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74EDE" w14:textId="408614DB" w:rsidR="00A62EF3" w:rsidRPr="00892D49" w:rsidRDefault="005D7C45" w:rsidP="002356F8">
      <w:pPr>
        <w:pStyle w:val="Title"/>
        <w:spacing w:after="120"/>
        <w:rPr>
          <w:sz w:val="44"/>
          <w:szCs w:val="52"/>
        </w:rPr>
      </w:pPr>
      <w:bookmarkStart w:id="0" w:name="_Toc96326909"/>
      <w:r w:rsidRPr="00892D49">
        <w:rPr>
          <w:sz w:val="44"/>
          <w:szCs w:val="52"/>
        </w:rPr>
        <w:t xml:space="preserve">Dashboard </w:t>
      </w:r>
      <w:r w:rsidR="00936C83">
        <w:rPr>
          <w:sz w:val="44"/>
          <w:szCs w:val="52"/>
        </w:rPr>
        <w:t>I</w:t>
      </w:r>
      <w:r w:rsidR="00936C83" w:rsidRPr="00892D49">
        <w:rPr>
          <w:sz w:val="44"/>
          <w:szCs w:val="52"/>
        </w:rPr>
        <w:t xml:space="preserve">mpact </w:t>
      </w:r>
      <w:r w:rsidR="00936C83">
        <w:rPr>
          <w:sz w:val="44"/>
          <w:szCs w:val="52"/>
        </w:rPr>
        <w:t>A</w:t>
      </w:r>
      <w:r w:rsidR="00936C83" w:rsidRPr="00892D49">
        <w:rPr>
          <w:sz w:val="44"/>
          <w:szCs w:val="52"/>
        </w:rPr>
        <w:t xml:space="preserve">nalysis </w:t>
      </w:r>
      <w:r w:rsidR="00232964" w:rsidRPr="00892D49">
        <w:rPr>
          <w:sz w:val="44"/>
          <w:szCs w:val="52"/>
        </w:rPr>
        <w:t xml:space="preserve">(IA) </w:t>
      </w:r>
      <w:r w:rsidR="005F66F9" w:rsidRPr="00892D49">
        <w:rPr>
          <w:sz w:val="44"/>
          <w:szCs w:val="52"/>
        </w:rPr>
        <w:t xml:space="preserve">– </w:t>
      </w:r>
      <w:r w:rsidR="000078AD">
        <w:rPr>
          <w:sz w:val="44"/>
          <w:szCs w:val="52"/>
        </w:rPr>
        <w:t>Financial reporting relief for wholly-owned companies</w:t>
      </w:r>
    </w:p>
    <w:p w14:paraId="4D99960E" w14:textId="1C86C270" w:rsidR="00A62EF3" w:rsidRPr="00892D49" w:rsidRDefault="000078AD" w:rsidP="0091141A">
      <w:pPr>
        <w:pStyle w:val="Subtitle"/>
        <w:rPr>
          <w:sz w:val="24"/>
          <w:szCs w:val="28"/>
        </w:rPr>
      </w:pPr>
      <w:r>
        <w:rPr>
          <w:sz w:val="24"/>
          <w:szCs w:val="28"/>
        </w:rPr>
        <w:t>Australian Securities and Investments Commission</w:t>
      </w:r>
    </w:p>
    <w:bookmarkEnd w:id="0"/>
    <w:p w14:paraId="63D07AE7" w14:textId="77777777" w:rsidR="00A62EF3" w:rsidRPr="0091141A" w:rsidRDefault="006C7E16" w:rsidP="0026634E">
      <w:pPr>
        <w:pStyle w:val="Heading1"/>
      </w:pPr>
      <w:r w:rsidRPr="0091141A">
        <w:t>The proposed policy approach and policy problem addressing</w:t>
      </w:r>
    </w:p>
    <w:p w14:paraId="5007EEC5" w14:textId="77777777" w:rsidR="001B2C89" w:rsidRDefault="005F3B45" w:rsidP="001B2C89">
      <w:pPr>
        <w:pStyle w:val="Heading2"/>
      </w:pPr>
      <w:r w:rsidRPr="005F3B45">
        <w:t>Proposed approach</w:t>
      </w:r>
    </w:p>
    <w:p w14:paraId="016C5FD9" w14:textId="25D4DFBE" w:rsidR="00F7611B" w:rsidRDefault="00F7611B" w:rsidP="00F726E5">
      <w:r>
        <w:t xml:space="preserve">ASIC proposes to </w:t>
      </w:r>
      <w:r w:rsidRPr="00F7611B">
        <w:t>provide relief so that entities that are a part of a closed group</w:t>
      </w:r>
      <w:r>
        <w:t xml:space="preserve"> of wholly-owned companies</w:t>
      </w:r>
      <w:r w:rsidRPr="00F7611B">
        <w:t xml:space="preserve">, and are </w:t>
      </w:r>
      <w:r w:rsidR="00A728F7">
        <w:t>a party</w:t>
      </w:r>
      <w:r w:rsidR="00A728F7" w:rsidRPr="00F7611B">
        <w:t xml:space="preserve"> </w:t>
      </w:r>
      <w:r w:rsidRPr="00F7611B">
        <w:t xml:space="preserve">to a deed of cross-guarantee, </w:t>
      </w:r>
      <w:r w:rsidR="00DE33E0">
        <w:t xml:space="preserve">do not </w:t>
      </w:r>
      <w:r w:rsidR="00CE6E5B">
        <w:t xml:space="preserve">have to prepare and lodge individual </w:t>
      </w:r>
      <w:r w:rsidR="007B3D7B">
        <w:t xml:space="preserve">audited </w:t>
      </w:r>
      <w:r w:rsidR="00CE6E5B">
        <w:t>financial statements if their holding entity lodges</w:t>
      </w:r>
      <w:r w:rsidR="00A728F7">
        <w:t xml:space="preserve"> a</w:t>
      </w:r>
      <w:r w:rsidR="00CE6E5B">
        <w:t xml:space="preserve"> </w:t>
      </w:r>
      <w:r w:rsidRPr="00F7611B">
        <w:t xml:space="preserve">consolidated financial report.  </w:t>
      </w:r>
    </w:p>
    <w:p w14:paraId="5340439C" w14:textId="14EB9000" w:rsidR="00D8672A" w:rsidRDefault="00D8672A" w:rsidP="00F726E5">
      <w:r>
        <w:t xml:space="preserve">This approach </w:t>
      </w:r>
      <w:r w:rsidR="0090392B">
        <w:t>balances the compliance savings for companies that take advantage of the relief, while ensuring that cre</w:t>
      </w:r>
      <w:r w:rsidR="00E61EC2">
        <w:t>ditors and other stakeholders have</w:t>
      </w:r>
      <w:r w:rsidR="00E61EC2" w:rsidDel="008551BB">
        <w:t xml:space="preserve"> </w:t>
      </w:r>
      <w:r w:rsidR="00E61EC2">
        <w:t xml:space="preserve">access to financial information about the group through the </w:t>
      </w:r>
      <w:r w:rsidR="009C42FD">
        <w:t xml:space="preserve">consolidated </w:t>
      </w:r>
      <w:r w:rsidR="00E61EC2">
        <w:t>financial report of the holding company</w:t>
      </w:r>
      <w:r w:rsidR="008551BB">
        <w:t xml:space="preserve"> and </w:t>
      </w:r>
      <w:r w:rsidR="00445B37">
        <w:t xml:space="preserve">there is a </w:t>
      </w:r>
      <w:r w:rsidR="008551BB">
        <w:t>deed of cross guarantee</w:t>
      </w:r>
      <w:r w:rsidR="00445B37">
        <w:t xml:space="preserve"> for the benefit of creditors</w:t>
      </w:r>
      <w:r w:rsidR="00E61EC2">
        <w:t xml:space="preserve">. </w:t>
      </w:r>
    </w:p>
    <w:p w14:paraId="051D111A" w14:textId="2C000460" w:rsidR="00F726E5" w:rsidRDefault="00F726E5" w:rsidP="00F726E5">
      <w:r>
        <w:t>ASIC has</w:t>
      </w:r>
      <w:r w:rsidDel="00B060F8">
        <w:t xml:space="preserve"> </w:t>
      </w:r>
      <w:r>
        <w:t xml:space="preserve">provided financial reporting relief for wholly-owned companies </w:t>
      </w:r>
      <w:r w:rsidR="00B060F8">
        <w:t xml:space="preserve">for many years, most recently </w:t>
      </w:r>
      <w:r>
        <w:t xml:space="preserve">under </w:t>
      </w:r>
      <w:r w:rsidRPr="00771377">
        <w:rPr>
          <w:i/>
          <w:iCs/>
        </w:rPr>
        <w:t>ASIC Corporations (Wholly-owned Companies) Instrument 2016/785</w:t>
      </w:r>
      <w:r>
        <w:t xml:space="preserve"> (‘the 2016 Instrument’). The 2016 Instrument is scheduled to sunset on 1 October 2026. </w:t>
      </w:r>
    </w:p>
    <w:p w14:paraId="3FE52CBE" w14:textId="729837E3" w:rsidR="006F3E96" w:rsidRDefault="006F3E96" w:rsidP="00F726E5">
      <w:r>
        <w:t xml:space="preserve">We propose to continue the </w:t>
      </w:r>
      <w:r w:rsidRPr="006F3E96">
        <w:t>existing relief while the Government progresses law reform for simplified reporting relief for group entities, announced as part of the </w:t>
      </w:r>
      <w:hyperlink r:id="rId7" w:tgtFrame="_blank" w:history="1">
        <w:r w:rsidRPr="006F3E96">
          <w:rPr>
            <w:rStyle w:val="Hyperlink"/>
          </w:rPr>
          <w:t>Whole-of-Government Regulatory Reform Agenda</w:t>
        </w:r>
      </w:hyperlink>
      <w:r w:rsidRPr="006F3E96">
        <w:t> in the 2026</w:t>
      </w:r>
      <w:r w:rsidR="00A728F7">
        <w:t>-</w:t>
      </w:r>
      <w:r w:rsidRPr="006F3E96">
        <w:t>27 Budget.  </w:t>
      </w:r>
    </w:p>
    <w:p w14:paraId="0984862F" w14:textId="77777777" w:rsidR="001B2C89" w:rsidRDefault="005F3B45" w:rsidP="001B2C89">
      <w:pPr>
        <w:pStyle w:val="Heading2"/>
      </w:pPr>
      <w:r w:rsidRPr="005F3B45">
        <w:t>Policy problem</w:t>
      </w:r>
    </w:p>
    <w:p w14:paraId="69E5E44A" w14:textId="77777777" w:rsidR="002D6139" w:rsidRDefault="002D6139" w:rsidP="002D6139">
      <w:r>
        <w:t xml:space="preserve">Part 2M.3 of the </w:t>
      </w:r>
      <w:r w:rsidRPr="00513B4B">
        <w:rPr>
          <w:i/>
          <w:iCs/>
        </w:rPr>
        <w:t>Corporations Act 2001</w:t>
      </w:r>
      <w:r>
        <w:t xml:space="preserve"> requires companies (except most small proprietary companies), disclosing entities and registered managed investment schemes to prepare and lodge a financial report, directors’ report and auditor’s report for a financial year.   </w:t>
      </w:r>
    </w:p>
    <w:p w14:paraId="6693F3E3" w14:textId="5BF32DDA" w:rsidR="00C0689E" w:rsidRDefault="00C0689E" w:rsidP="002D6139">
      <w:r>
        <w:t xml:space="preserve">Financial reporting provides </w:t>
      </w:r>
      <w:r w:rsidR="00B134B4">
        <w:t xml:space="preserve">information about an entity’s performance, </w:t>
      </w:r>
      <w:r w:rsidR="00917600">
        <w:t xml:space="preserve">financial </w:t>
      </w:r>
      <w:r w:rsidR="00B134B4">
        <w:t xml:space="preserve">position and cash flows. This helps creditors and other stakeholders </w:t>
      </w:r>
      <w:r w:rsidR="00925F94">
        <w:t xml:space="preserve">evaluate risks when transacting with the entity. </w:t>
      </w:r>
    </w:p>
    <w:p w14:paraId="3373E9BD" w14:textId="102AFF8E" w:rsidR="002D6139" w:rsidRDefault="00925F94" w:rsidP="002D6139">
      <w:r>
        <w:t>However,</w:t>
      </w:r>
      <w:r w:rsidR="001C19C4">
        <w:t xml:space="preserve"> the cost of preparing </w:t>
      </w:r>
      <w:r w:rsidR="008152CE">
        <w:t>an audited</w:t>
      </w:r>
      <w:r w:rsidR="001C19C4">
        <w:t xml:space="preserve"> financial report </w:t>
      </w:r>
      <w:r w:rsidR="008152CE">
        <w:t xml:space="preserve">is </w:t>
      </w:r>
      <w:r w:rsidR="001C19C4">
        <w:t xml:space="preserve">significant. If entities are wholly-owned within a group of companies and there is a deed of cross guarantee within the group, the information needs of creditors and other stakeholders may be sufficiently met by the holding entity </w:t>
      </w:r>
      <w:r w:rsidR="0093363D">
        <w:t xml:space="preserve">lodging </w:t>
      </w:r>
      <w:r w:rsidR="001C19C4">
        <w:t>consolidated financial statements</w:t>
      </w:r>
      <w:r w:rsidR="000D6FF4">
        <w:t>.</w:t>
      </w:r>
      <w:r w:rsidR="008152CE">
        <w:t xml:space="preserve"> Further, consolidated financial statements </w:t>
      </w:r>
      <w:r w:rsidR="00B17BC0">
        <w:t xml:space="preserve">may provide more useful financial information because the financial </w:t>
      </w:r>
      <w:r w:rsidR="00917600">
        <w:t xml:space="preserve">position and performance </w:t>
      </w:r>
      <w:r w:rsidR="00B17BC0">
        <w:t xml:space="preserve">of an entire </w:t>
      </w:r>
      <w:r w:rsidR="00A1283B">
        <w:t>economic entity</w:t>
      </w:r>
      <w:r w:rsidR="00915631">
        <w:t xml:space="preserve"> is aggregated</w:t>
      </w:r>
      <w:r w:rsidR="00A1283B">
        <w:t xml:space="preserve">. This is usually preferable to stand-alone financial reports of individual group entities because </w:t>
      </w:r>
      <w:r w:rsidR="00FD006B">
        <w:t>inter-group transactions that do not give rise to any real economic benefit</w:t>
      </w:r>
      <w:r w:rsidR="00915631">
        <w:t xml:space="preserve"> are eliminated.</w:t>
      </w:r>
      <w:r w:rsidR="00A70914">
        <w:t xml:space="preserve"> </w:t>
      </w:r>
      <w:r w:rsidR="00915631">
        <w:t xml:space="preserve">Consolidation ensures that only </w:t>
      </w:r>
      <w:r w:rsidR="00DF22A5">
        <w:t>real profits and losses incurred by the group are recognised</w:t>
      </w:r>
      <w:r w:rsidR="002D6139">
        <w:t xml:space="preserve">. </w:t>
      </w:r>
    </w:p>
    <w:p w14:paraId="6AC4ABF0" w14:textId="15E7DAD5" w:rsidR="00CC5C6D" w:rsidRDefault="006C7E16" w:rsidP="003947E9">
      <w:pPr>
        <w:pStyle w:val="Heading1"/>
      </w:pPr>
      <w:r w:rsidRPr="0091141A">
        <w:lastRenderedPageBreak/>
        <w:t xml:space="preserve">Summary of impacts and methodology </w:t>
      </w:r>
    </w:p>
    <w:p w14:paraId="4B92ABAD" w14:textId="77777777" w:rsidR="005754E8" w:rsidRDefault="00784B5F" w:rsidP="00784B5F">
      <w:r>
        <w:t>The Australian Government Impact Analysis Framework requires ASIC to assess the potential impact of a new legislative instrument compared with the legislative status quo if the instrument did not exist. We have therefore estimated the decrease in regulatory burden as if there was no financial reporting exemption available for wholly-owned entities</w:t>
      </w:r>
      <w:r w:rsidR="00965FF8">
        <w:t xml:space="preserve"> </w:t>
      </w:r>
      <w:r w:rsidR="008A0CE9">
        <w:t xml:space="preserve">through a legislative instrument </w:t>
      </w:r>
      <w:r w:rsidR="00965FF8">
        <w:t>but such entities were able to apply for individual relief on similar terms</w:t>
      </w:r>
      <w:r>
        <w:t xml:space="preserve">. </w:t>
      </w:r>
    </w:p>
    <w:p w14:paraId="02C72A1C" w14:textId="0F8CFF1F" w:rsidR="00784B5F" w:rsidRPr="00DF4521" w:rsidRDefault="00965FF8" w:rsidP="00784B5F">
      <w:r>
        <w:t>I</w:t>
      </w:r>
      <w:r w:rsidR="00784B5F">
        <w:t xml:space="preserve">f we assessed the new instrument compared with the position that existed under </w:t>
      </w:r>
      <w:r w:rsidR="00784B5F" w:rsidRPr="00771377">
        <w:rPr>
          <w:i/>
          <w:iCs/>
        </w:rPr>
        <w:t>ASIC Corporations (Wholly-owned Companies) Instrument 2016/785</w:t>
      </w:r>
      <w:r w:rsidR="00784B5F">
        <w:t>, the impact and decrease in regulatory burden would be minimal because there has been no significant change to terms of the 2016 instrument.</w:t>
      </w:r>
    </w:p>
    <w:p w14:paraId="34C464B6" w14:textId="77777777" w:rsidR="00784B5F" w:rsidRPr="00784B5F" w:rsidRDefault="00784B5F" w:rsidP="00457036"/>
    <w:tbl>
      <w:tblPr>
        <w:tblStyle w:val="Style1"/>
        <w:tblW w:w="5000" w:type="pct"/>
        <w:tblBorders>
          <w:top w:val="single" w:sz="8" w:space="0" w:color="0F1F35" w:themeColor="text2"/>
          <w:left w:val="single" w:sz="8" w:space="0" w:color="0F1F35" w:themeColor="text2"/>
          <w:bottom w:val="single" w:sz="8" w:space="0" w:color="0F1F35" w:themeColor="text2"/>
          <w:right w:val="single" w:sz="8" w:space="0" w:color="0F1F35" w:themeColor="text2"/>
          <w:insideH w:val="single" w:sz="8" w:space="0" w:color="0F1F35" w:themeColor="text2"/>
          <w:insideV w:val="single" w:sz="8" w:space="0" w:color="0F1F35" w:themeColor="text2"/>
        </w:tblBorders>
        <w:tblCellMar>
          <w:left w:w="85" w:type="dxa"/>
          <w:right w:w="85" w:type="dxa"/>
        </w:tblCellMar>
        <w:tblLook w:val="0620" w:firstRow="1" w:lastRow="0" w:firstColumn="0" w:lastColumn="0" w:noHBand="1" w:noVBand="1"/>
      </w:tblPr>
      <w:tblGrid>
        <w:gridCol w:w="1430"/>
        <w:gridCol w:w="2024"/>
        <w:gridCol w:w="2024"/>
        <w:gridCol w:w="2024"/>
        <w:gridCol w:w="2116"/>
      </w:tblGrid>
      <w:tr w:rsidR="00364D89" w14:paraId="706AAD1E" w14:textId="77777777" w:rsidTr="00EA3FE4">
        <w:trPr>
          <w:cnfStyle w:val="100000000000" w:firstRow="1" w:lastRow="0" w:firstColumn="0" w:lastColumn="0" w:oddVBand="0" w:evenVBand="0" w:oddHBand="0" w:evenHBand="0" w:firstRowFirstColumn="0" w:firstRowLastColumn="0" w:lastRowFirstColumn="0" w:lastRowLastColumn="0"/>
          <w:tblHeader/>
        </w:trPr>
        <w:tc>
          <w:tcPr>
            <w:tcW w:w="743" w:type="pct"/>
            <w:shd w:val="clear" w:color="auto" w:fill="0F1F35" w:themeFill="text2"/>
          </w:tcPr>
          <w:p w14:paraId="3C58287E" w14:textId="77777777" w:rsidR="00364D89" w:rsidRPr="0004246F" w:rsidRDefault="00364D89" w:rsidP="006C62B2">
            <w:pPr>
              <w:pStyle w:val="TBLText"/>
              <w:spacing w:after="0"/>
              <w:rPr>
                <w:color w:val="FFFFFF" w:themeColor="background1"/>
              </w:rPr>
            </w:pPr>
            <w:r w:rsidRPr="0004246F">
              <w:rPr>
                <w:color w:val="FFFFFF" w:themeColor="background1"/>
              </w:rPr>
              <w:t>Option</w:t>
            </w:r>
          </w:p>
        </w:tc>
        <w:tc>
          <w:tcPr>
            <w:tcW w:w="1052" w:type="pct"/>
            <w:shd w:val="clear" w:color="auto" w:fill="0F1F35" w:themeFill="text2"/>
          </w:tcPr>
          <w:p w14:paraId="1D164856" w14:textId="59029E74" w:rsidR="00364D89" w:rsidRPr="0004246F" w:rsidRDefault="00364D89" w:rsidP="00542ECD">
            <w:pPr>
              <w:pStyle w:val="TBLText"/>
              <w:spacing w:after="0"/>
              <w:jc w:val="right"/>
              <w:rPr>
                <w:color w:val="FFFFFF" w:themeColor="background1"/>
              </w:rPr>
            </w:pPr>
            <w:r w:rsidRPr="0004246F">
              <w:rPr>
                <w:color w:val="FFFFFF" w:themeColor="background1"/>
              </w:rPr>
              <w:t xml:space="preserve">Benefits </w:t>
            </w:r>
          </w:p>
        </w:tc>
        <w:tc>
          <w:tcPr>
            <w:tcW w:w="1052" w:type="pct"/>
            <w:shd w:val="clear" w:color="auto" w:fill="0F1F35" w:themeFill="text2"/>
          </w:tcPr>
          <w:p w14:paraId="7AE1C78E" w14:textId="6EC9471F" w:rsidR="00364D89" w:rsidRPr="0004246F" w:rsidRDefault="00364D89" w:rsidP="00542ECD">
            <w:pPr>
              <w:pStyle w:val="TBLText"/>
              <w:spacing w:after="0"/>
              <w:jc w:val="right"/>
              <w:rPr>
                <w:color w:val="FFFFFF" w:themeColor="background1"/>
              </w:rPr>
            </w:pPr>
            <w:r w:rsidRPr="0004246F">
              <w:rPr>
                <w:color w:val="FFFFFF" w:themeColor="background1"/>
              </w:rPr>
              <w:t xml:space="preserve">Other costs </w:t>
            </w:r>
            <w:r w:rsidR="00613F08">
              <w:rPr>
                <w:color w:val="FFFFFF" w:themeColor="background1"/>
              </w:rPr>
              <w:t xml:space="preserve"> </w:t>
            </w:r>
          </w:p>
        </w:tc>
        <w:tc>
          <w:tcPr>
            <w:tcW w:w="1052" w:type="pct"/>
            <w:shd w:val="clear" w:color="auto" w:fill="0F1F35" w:themeFill="text2"/>
          </w:tcPr>
          <w:p w14:paraId="42B19B41" w14:textId="0AE81F19" w:rsidR="00364D89" w:rsidRPr="0004246F" w:rsidRDefault="00364D89" w:rsidP="00542ECD">
            <w:pPr>
              <w:pStyle w:val="TBLText"/>
              <w:spacing w:after="0"/>
              <w:jc w:val="right"/>
              <w:rPr>
                <w:color w:val="FFFFFF" w:themeColor="background1"/>
              </w:rPr>
            </w:pPr>
            <w:r w:rsidRPr="0004246F">
              <w:rPr>
                <w:color w:val="FFFFFF" w:themeColor="background1"/>
              </w:rPr>
              <w:t xml:space="preserve">Net impact </w:t>
            </w:r>
          </w:p>
        </w:tc>
        <w:tc>
          <w:tcPr>
            <w:tcW w:w="1100" w:type="pct"/>
            <w:shd w:val="clear" w:color="auto" w:fill="0F1F35" w:themeFill="text2"/>
          </w:tcPr>
          <w:p w14:paraId="329DF271" w14:textId="576DDC7E" w:rsidR="00364D89" w:rsidRPr="0004246F" w:rsidRDefault="00364D89" w:rsidP="00542ECD">
            <w:pPr>
              <w:pStyle w:val="TBLText"/>
              <w:spacing w:after="0"/>
              <w:jc w:val="right"/>
              <w:rPr>
                <w:color w:val="FFFFFF" w:themeColor="background1"/>
              </w:rPr>
            </w:pPr>
            <w:r w:rsidRPr="0004246F">
              <w:rPr>
                <w:color w:val="FFFFFF" w:themeColor="background1"/>
              </w:rPr>
              <w:t xml:space="preserve">Regulatory burden </w:t>
            </w:r>
          </w:p>
        </w:tc>
      </w:tr>
      <w:tr w:rsidR="00E002A9" w14:paraId="2A9A35AF" w14:textId="77777777" w:rsidTr="00EA3FE4">
        <w:trPr>
          <w:trHeight w:val="1050"/>
        </w:trPr>
        <w:tc>
          <w:tcPr>
            <w:tcW w:w="743" w:type="pct"/>
          </w:tcPr>
          <w:p w14:paraId="47805075" w14:textId="62C9347D" w:rsidR="00E002A9" w:rsidRPr="00473172" w:rsidRDefault="00E002A9" w:rsidP="00E002A9">
            <w:pPr>
              <w:pStyle w:val="TBLText"/>
              <w:rPr>
                <w:b/>
                <w:bCs/>
              </w:rPr>
            </w:pPr>
            <w:r w:rsidRPr="00473172">
              <w:rPr>
                <w:b/>
                <w:bCs/>
              </w:rPr>
              <w:t>Proposed</w:t>
            </w:r>
            <w:r>
              <w:rPr>
                <w:b/>
                <w:bCs/>
              </w:rPr>
              <w:t xml:space="preserve">: </w:t>
            </w:r>
            <w:r w:rsidR="00C152B5" w:rsidRPr="003947E9">
              <w:t>Financial reporting relief for wholly-owned companies</w:t>
            </w:r>
            <w:r w:rsidR="00965FF8">
              <w:t xml:space="preserve"> by legislative instrument</w:t>
            </w:r>
            <w:r w:rsidR="0096014E">
              <w:t xml:space="preserve"> rather than individual relief</w:t>
            </w:r>
          </w:p>
        </w:tc>
        <w:tc>
          <w:tcPr>
            <w:tcW w:w="1052" w:type="pct"/>
          </w:tcPr>
          <w:p w14:paraId="209B7C63" w14:textId="42410167" w:rsidR="00E002A9" w:rsidRPr="00473172" w:rsidRDefault="00F85B41" w:rsidP="00CF3511">
            <w:pPr>
              <w:pStyle w:val="TBLText"/>
              <w:jc w:val="right"/>
            </w:pPr>
            <w:r>
              <w:t>Upfront c</w:t>
            </w:r>
            <w:r w:rsidR="0028479B">
              <w:t>ost savings</w:t>
            </w:r>
            <w:r w:rsidR="00C94B23">
              <w:t xml:space="preserve"> </w:t>
            </w:r>
            <w:r w:rsidR="00C13979">
              <w:t xml:space="preserve">for industry </w:t>
            </w:r>
            <w:r w:rsidR="0023737F">
              <w:t xml:space="preserve">from </w:t>
            </w:r>
            <w:r w:rsidR="00726B27">
              <w:t xml:space="preserve">not having to apply for </w:t>
            </w:r>
            <w:r w:rsidR="00875132">
              <w:t xml:space="preserve">individual relief </w:t>
            </w:r>
            <w:r w:rsidR="0028479B">
              <w:t xml:space="preserve">estimated at </w:t>
            </w:r>
            <w:r w:rsidR="00A87DA4">
              <w:t>$</w:t>
            </w:r>
            <w:r w:rsidR="00D50865">
              <w:t>61,650,000</w:t>
            </w:r>
            <w:r w:rsidR="00EE7E1B">
              <w:t xml:space="preserve">. </w:t>
            </w:r>
            <w:r w:rsidR="00CF3511">
              <w:br/>
            </w:r>
            <w:r w:rsidR="00A87DA4">
              <w:t xml:space="preserve"> </w:t>
            </w:r>
          </w:p>
        </w:tc>
        <w:tc>
          <w:tcPr>
            <w:tcW w:w="1052" w:type="pct"/>
          </w:tcPr>
          <w:p w14:paraId="07FF9A51" w14:textId="1D31F301" w:rsidR="001856F4" w:rsidRPr="00473172" w:rsidRDefault="00BB5E01" w:rsidP="00542ECD">
            <w:pPr>
              <w:pStyle w:val="TBLText"/>
              <w:jc w:val="right"/>
            </w:pPr>
            <w:r>
              <w:t xml:space="preserve">Although there are compliance costs associated with complying with the legislative instrument, these costs would be the same if ASIC granted </w:t>
            </w:r>
            <w:r w:rsidR="00121A75">
              <w:t>relief on similar terms under individual relief instruments.</w:t>
            </w:r>
            <w:r w:rsidR="001856F4">
              <w:t xml:space="preserve"> </w:t>
            </w:r>
          </w:p>
        </w:tc>
        <w:tc>
          <w:tcPr>
            <w:tcW w:w="1052" w:type="pct"/>
          </w:tcPr>
          <w:p w14:paraId="2D7BFE01" w14:textId="3DB1C53D" w:rsidR="00C306E2" w:rsidRDefault="00E57831" w:rsidP="00C306E2">
            <w:pPr>
              <w:pStyle w:val="TBLText"/>
              <w:jc w:val="right"/>
            </w:pPr>
            <w:r w:rsidRPr="00397CD3">
              <w:rPr>
                <w:b/>
                <w:bCs/>
              </w:rPr>
              <w:t>Industry</w:t>
            </w:r>
            <w:r w:rsidR="00023205">
              <w:t xml:space="preserve">: </w:t>
            </w:r>
            <w:r w:rsidR="009552B6">
              <w:t>Reduction in compliance costs of $</w:t>
            </w:r>
            <w:r w:rsidR="00121A75">
              <w:t>61,650,000</w:t>
            </w:r>
            <w:r w:rsidR="00BC5FCA">
              <w:t xml:space="preserve"> </w:t>
            </w:r>
          </w:p>
          <w:p w14:paraId="73CFB950" w14:textId="67E88807" w:rsidR="00E002A9" w:rsidRPr="00473172" w:rsidRDefault="00BC5FCA" w:rsidP="00542ECD">
            <w:pPr>
              <w:pStyle w:val="TBLText"/>
              <w:jc w:val="right"/>
            </w:pPr>
            <w:r w:rsidRPr="00397CD3">
              <w:rPr>
                <w:b/>
                <w:bCs/>
              </w:rPr>
              <w:t>Creditors and other stakeholders</w:t>
            </w:r>
            <w:r>
              <w:t>: Net impact is estimated to be minimal</w:t>
            </w:r>
          </w:p>
        </w:tc>
        <w:tc>
          <w:tcPr>
            <w:tcW w:w="1100" w:type="pct"/>
          </w:tcPr>
          <w:p w14:paraId="796ECC22" w14:textId="7E4BD061" w:rsidR="00E002A9" w:rsidRPr="00473172" w:rsidRDefault="006C1CF8" w:rsidP="00542ECD">
            <w:pPr>
              <w:pStyle w:val="TBLText"/>
              <w:jc w:val="right"/>
            </w:pPr>
            <w:r>
              <w:t xml:space="preserve">Decrease in regulatory burden </w:t>
            </w:r>
            <w:r w:rsidR="00E50F8B">
              <w:t>estimated at</w:t>
            </w:r>
            <w:r w:rsidR="001611D2">
              <w:t xml:space="preserve"> </w:t>
            </w:r>
            <w:r w:rsidR="00121A75">
              <w:t xml:space="preserve">a one off </w:t>
            </w:r>
            <w:r w:rsidR="00E50F8B">
              <w:t>$</w:t>
            </w:r>
            <w:r w:rsidR="00121A75">
              <w:t>61,650,000</w:t>
            </w:r>
            <w:r w:rsidR="008A0CE9">
              <w:t>.</w:t>
            </w:r>
            <w:r w:rsidR="00EE2AA8">
              <w:br/>
            </w:r>
          </w:p>
        </w:tc>
      </w:tr>
    </w:tbl>
    <w:p w14:paraId="4D56E1B4" w14:textId="77777777" w:rsidR="00C6523A" w:rsidRDefault="00C6523A" w:rsidP="003947E9"/>
    <w:p w14:paraId="7DE82F4E" w14:textId="77777777" w:rsidR="001A5542" w:rsidRPr="0004246F" w:rsidRDefault="001A5542" w:rsidP="00DF4521">
      <w:pPr>
        <w:pStyle w:val="Heading2"/>
      </w:pPr>
      <w:r w:rsidRPr="0004246F">
        <w:t>Economic</w:t>
      </w:r>
      <w:r w:rsidR="00603F00">
        <w:t xml:space="preserve"> and</w:t>
      </w:r>
      <w:r w:rsidRPr="0004246F">
        <w:t xml:space="preserve"> social impacts</w:t>
      </w:r>
    </w:p>
    <w:tbl>
      <w:tblPr>
        <w:tblStyle w:val="Style1"/>
        <w:tblW w:w="9634" w:type="dxa"/>
        <w:tblBorders>
          <w:top w:val="single" w:sz="4" w:space="0" w:color="0F1F35" w:themeColor="text2"/>
          <w:left w:val="single" w:sz="4" w:space="0" w:color="0F1F35" w:themeColor="text2"/>
          <w:bottom w:val="single" w:sz="4" w:space="0" w:color="0F1F35" w:themeColor="text2"/>
          <w:right w:val="single" w:sz="4" w:space="0" w:color="0F1F35" w:themeColor="text2"/>
          <w:insideH w:val="single" w:sz="4" w:space="0" w:color="0F1F35" w:themeColor="text2"/>
          <w:insideV w:val="single" w:sz="4" w:space="0" w:color="0F1F35" w:themeColor="text2"/>
        </w:tblBorders>
        <w:tblCellMar>
          <w:left w:w="85" w:type="dxa"/>
          <w:right w:w="85" w:type="dxa"/>
        </w:tblCellMar>
        <w:tblLook w:val="0620" w:firstRow="1" w:lastRow="0" w:firstColumn="0" w:lastColumn="0" w:noHBand="1" w:noVBand="1"/>
      </w:tblPr>
      <w:tblGrid>
        <w:gridCol w:w="4178"/>
        <w:gridCol w:w="5456"/>
      </w:tblGrid>
      <w:tr w:rsidR="001A5542" w14:paraId="6E7072BD" w14:textId="77777777" w:rsidTr="00397435">
        <w:trPr>
          <w:cnfStyle w:val="100000000000" w:firstRow="1" w:lastRow="0" w:firstColumn="0" w:lastColumn="0" w:oddVBand="0" w:evenVBand="0" w:oddHBand="0" w:evenHBand="0" w:firstRowFirstColumn="0" w:firstRowLastColumn="0" w:lastRowFirstColumn="0" w:lastRowLastColumn="0"/>
          <w:tblHeader/>
        </w:trPr>
        <w:tc>
          <w:tcPr>
            <w:tcW w:w="4178" w:type="dxa"/>
            <w:tcBorders>
              <w:bottom w:val="single" w:sz="8" w:space="0" w:color="0F1F35" w:themeColor="text2"/>
            </w:tcBorders>
            <w:shd w:val="clear" w:color="auto" w:fill="0F1F35" w:themeFill="text2"/>
          </w:tcPr>
          <w:p w14:paraId="4F6BC1D0" w14:textId="77777777" w:rsidR="001A5542" w:rsidRPr="00473172" w:rsidRDefault="001A5542" w:rsidP="006C62B2">
            <w:pPr>
              <w:pStyle w:val="TBLText"/>
              <w:spacing w:after="0"/>
              <w:rPr>
                <w:color w:val="FFFFFF" w:themeColor="background1"/>
              </w:rPr>
            </w:pPr>
            <w:r w:rsidRPr="00473172">
              <w:rPr>
                <w:color w:val="FFFFFF" w:themeColor="background1"/>
              </w:rPr>
              <w:t>Status quo</w:t>
            </w:r>
          </w:p>
        </w:tc>
        <w:tc>
          <w:tcPr>
            <w:tcW w:w="5456" w:type="dxa"/>
            <w:tcBorders>
              <w:bottom w:val="single" w:sz="8" w:space="0" w:color="0F1F35" w:themeColor="text2"/>
            </w:tcBorders>
            <w:shd w:val="clear" w:color="auto" w:fill="0F1F35" w:themeFill="text2"/>
          </w:tcPr>
          <w:p w14:paraId="73F739C7" w14:textId="77777777" w:rsidR="001A5542" w:rsidRPr="00473172" w:rsidRDefault="001A5542" w:rsidP="006C62B2">
            <w:pPr>
              <w:pStyle w:val="TBLText"/>
              <w:spacing w:after="0"/>
              <w:rPr>
                <w:color w:val="FFFFFF" w:themeColor="background1"/>
              </w:rPr>
            </w:pPr>
            <w:r w:rsidRPr="00473172">
              <w:rPr>
                <w:color w:val="FFFFFF" w:themeColor="background1"/>
              </w:rPr>
              <w:t>Proposed option</w:t>
            </w:r>
          </w:p>
        </w:tc>
      </w:tr>
      <w:tr w:rsidR="001A5542" w:rsidRPr="004D3335" w14:paraId="67BF8DE0" w14:textId="77777777" w:rsidTr="00397435">
        <w:tc>
          <w:tcPr>
            <w:tcW w:w="4178" w:type="dxa"/>
            <w:tcBorders>
              <w:top w:val="single" w:sz="8" w:space="0" w:color="0F1F35" w:themeColor="text2"/>
              <w:left w:val="single" w:sz="8" w:space="0" w:color="0F1F35" w:themeColor="text2"/>
              <w:bottom w:val="single" w:sz="8" w:space="0" w:color="0F1F35" w:themeColor="text2"/>
              <w:right w:val="single" w:sz="8" w:space="0" w:color="0F1F35" w:themeColor="text2"/>
            </w:tcBorders>
          </w:tcPr>
          <w:p w14:paraId="205BD903" w14:textId="72F8557E" w:rsidR="00731190" w:rsidRDefault="00731190">
            <w:pPr>
              <w:pStyle w:val="TBLText"/>
            </w:pPr>
            <w:r>
              <w:t>The status quo is that each entity in a group may have an obligation to prepare audited financial statements under s292 of the Corporations Act.</w:t>
            </w:r>
            <w:r w:rsidR="009644F0">
              <w:t xml:space="preserve"> This can involve </w:t>
            </w:r>
            <w:r w:rsidR="00926812">
              <w:t>a significant regulatory burden.</w:t>
            </w:r>
          </w:p>
          <w:p w14:paraId="4C08B4C9" w14:textId="77777777" w:rsidR="00BE268A" w:rsidRDefault="00D858C4" w:rsidP="00BE336B">
            <w:pPr>
              <w:pStyle w:val="TBLText"/>
            </w:pPr>
            <w:r>
              <w:t xml:space="preserve">However, </w:t>
            </w:r>
            <w:r w:rsidR="00D026BE">
              <w:t>individual relief would be available where</w:t>
            </w:r>
            <w:r>
              <w:t xml:space="preserve"> </w:t>
            </w:r>
            <w:r w:rsidR="00BE336B">
              <w:t xml:space="preserve">ASIC is satisfied that complying with those requirements would make the financial report, sustainability report or other reports misleading, or </w:t>
            </w:r>
            <w:r w:rsidR="004A1E15">
              <w:t>would</w:t>
            </w:r>
            <w:r w:rsidR="00BE336B">
              <w:t xml:space="preserve"> be inappropriate in the circumstances</w:t>
            </w:r>
            <w:r w:rsidR="004A1E15">
              <w:t>,</w:t>
            </w:r>
            <w:r w:rsidR="00BE336B">
              <w:t xml:space="preserve"> or</w:t>
            </w:r>
            <w:r w:rsidR="004A1E15">
              <w:t xml:space="preserve"> would </w:t>
            </w:r>
            <w:r w:rsidR="00BE336B">
              <w:t>impose unreasonable burden</w:t>
            </w:r>
            <w:r w:rsidR="00BE268A">
              <w:t xml:space="preserve">. </w:t>
            </w:r>
          </w:p>
          <w:p w14:paraId="4447BE56" w14:textId="6F2F945C" w:rsidR="00E04898" w:rsidRDefault="00E04898" w:rsidP="00BE336B">
            <w:pPr>
              <w:pStyle w:val="TBLText"/>
            </w:pPr>
            <w:r>
              <w:t>C</w:t>
            </w:r>
            <w:r w:rsidRPr="00E04898">
              <w:t xml:space="preserve">onsolidated financial statements may provide more useful financial information because the financial position and performance of an entire economic entity is aggregated. This is usually preferable to stand-alone financial reports of individual group entities because inter-group transactions that do not give rise to any real economic benefit are eliminated. Consolidation </w:t>
            </w:r>
            <w:r w:rsidRPr="00E04898">
              <w:lastRenderedPageBreak/>
              <w:t>ensures that only real profits and losses incurred by the group are recognised</w:t>
            </w:r>
            <w:r>
              <w:t xml:space="preserve">. </w:t>
            </w:r>
          </w:p>
          <w:p w14:paraId="41606293" w14:textId="3BA7BE2F" w:rsidR="00E04898" w:rsidRDefault="00E04898" w:rsidP="00BE336B">
            <w:pPr>
              <w:pStyle w:val="TBLText"/>
            </w:pPr>
            <w:r>
              <w:t xml:space="preserve">It is therefore likely that ASIC would grant individual relief to </w:t>
            </w:r>
            <w:r w:rsidR="00225E4E">
              <w:t xml:space="preserve">wholly-owned companies that are part of a group, provided that certain conditions are met to ensure creditors and other stakeholders are protected, such as each company in the group entering into a deed of cross guarantee. </w:t>
            </w:r>
          </w:p>
          <w:p w14:paraId="69283652" w14:textId="4AA6B77B" w:rsidR="001A5542" w:rsidRPr="004D3335" w:rsidRDefault="00155383">
            <w:pPr>
              <w:pStyle w:val="TBLText"/>
            </w:pPr>
            <w:r>
              <w:t xml:space="preserve">Individual relief </w:t>
            </w:r>
            <w:r w:rsidR="00A27867">
              <w:t xml:space="preserve">would </w:t>
            </w:r>
            <w:r w:rsidR="00C427D6">
              <w:t>involve significant cost to ASIC</w:t>
            </w:r>
            <w:r>
              <w:t xml:space="preserve">. </w:t>
            </w:r>
            <w:r w:rsidR="00857DE9">
              <w:t xml:space="preserve">In circumstances where a large number of companies are likely to require relief, ASIC generally considers it </w:t>
            </w:r>
            <w:r w:rsidR="00044D79">
              <w:t>is more efficient</w:t>
            </w:r>
            <w:r w:rsidR="00857DE9">
              <w:t xml:space="preserve"> </w:t>
            </w:r>
            <w:r w:rsidR="000460EE">
              <w:t>to grant relief by legislative instrument.</w:t>
            </w:r>
            <w:r w:rsidR="00A146D2">
              <w:t xml:space="preserve"> It also helps to ensure a level playing field for </w:t>
            </w:r>
            <w:r w:rsidR="007A51B9">
              <w:t>companies that have financial reporting relief on the same terms.</w:t>
            </w:r>
          </w:p>
        </w:tc>
        <w:tc>
          <w:tcPr>
            <w:tcW w:w="5456" w:type="dxa"/>
            <w:tcBorders>
              <w:top w:val="single" w:sz="8" w:space="0" w:color="0F1F35" w:themeColor="text2"/>
              <w:left w:val="single" w:sz="8" w:space="0" w:color="0F1F35" w:themeColor="text2"/>
              <w:bottom w:val="single" w:sz="8" w:space="0" w:color="0F1F35" w:themeColor="text2"/>
              <w:right w:val="single" w:sz="8" w:space="0" w:color="0F1F35" w:themeColor="text2"/>
            </w:tcBorders>
          </w:tcPr>
          <w:p w14:paraId="3F2C20FF" w14:textId="2D50925D" w:rsidR="001543CF" w:rsidRDefault="0049187C">
            <w:pPr>
              <w:pStyle w:val="TBLText"/>
            </w:pPr>
            <w:r>
              <w:lastRenderedPageBreak/>
              <w:t xml:space="preserve">The proposed option </w:t>
            </w:r>
            <w:r w:rsidR="00281C05">
              <w:t xml:space="preserve">will </w:t>
            </w:r>
            <w:r w:rsidR="00281C05" w:rsidRPr="00281C05">
              <w:t xml:space="preserve">provide relief </w:t>
            </w:r>
            <w:r w:rsidR="001543CF">
              <w:t xml:space="preserve">by legislative instrument </w:t>
            </w:r>
            <w:r w:rsidR="00281C05" w:rsidRPr="00281C05">
              <w:t>so that entities that are a part of a closed group of wholly-owned companies, and are a party to a deed of cross-guarantee, do not have to prepare and lodge individual audited financial statements if their holding entity lodges a consolidated financial report</w:t>
            </w:r>
            <w:r w:rsidR="001543CF">
              <w:t>.</w:t>
            </w:r>
          </w:p>
          <w:p w14:paraId="026EDF36" w14:textId="78D9CCBC" w:rsidR="00BC4A86" w:rsidRDefault="001543CF">
            <w:pPr>
              <w:pStyle w:val="TBLText"/>
            </w:pPr>
            <w:r>
              <w:t xml:space="preserve">This </w:t>
            </w:r>
            <w:r w:rsidR="0049187C">
              <w:t xml:space="preserve">will have </w:t>
            </w:r>
            <w:r w:rsidR="002A4409">
              <w:t xml:space="preserve">a significant economic impact on </w:t>
            </w:r>
            <w:r w:rsidR="00596AE0">
              <w:t>entit</w:t>
            </w:r>
            <w:r w:rsidR="00996D35">
              <w:t>ies</w:t>
            </w:r>
            <w:r w:rsidR="00596AE0">
              <w:t xml:space="preserve"> </w:t>
            </w:r>
            <w:r w:rsidR="00765F2E">
              <w:t>that</w:t>
            </w:r>
            <w:r w:rsidR="00596AE0">
              <w:t xml:space="preserve"> would otherwise be required to prepare a financial report. </w:t>
            </w:r>
            <w:r w:rsidR="008D3150">
              <w:t xml:space="preserve">The compliance cost savings from not having to prepare a financial report </w:t>
            </w:r>
            <w:r w:rsidR="00710E23">
              <w:t xml:space="preserve">or apply for individual relief </w:t>
            </w:r>
            <w:r w:rsidR="007B161B">
              <w:t xml:space="preserve">will allow </w:t>
            </w:r>
            <w:r w:rsidR="008D3150">
              <w:t>relevant entities to use</w:t>
            </w:r>
            <w:r w:rsidR="005D7F78">
              <w:t xml:space="preserve"> their</w:t>
            </w:r>
            <w:r w:rsidR="008D3150">
              <w:t xml:space="preserve"> resources in a more efficient manner.</w:t>
            </w:r>
          </w:p>
          <w:p w14:paraId="2E564D1E" w14:textId="796F8566" w:rsidR="00EA3449" w:rsidRDefault="00E75DCB">
            <w:pPr>
              <w:pStyle w:val="TBLText"/>
            </w:pPr>
            <w:r>
              <w:t xml:space="preserve">The proposed option requires adequate disclosure about the corporate group’s financial position and performance in the holding entity’s </w:t>
            </w:r>
            <w:r w:rsidR="00990CCC">
              <w:t>consolidated financial statements.</w:t>
            </w:r>
            <w:r w:rsidR="00F30967">
              <w:t xml:space="preserve"> </w:t>
            </w:r>
            <w:r w:rsidR="008934CD">
              <w:t xml:space="preserve">Some stakeholders </w:t>
            </w:r>
            <w:r w:rsidR="005B380B">
              <w:t>prefer to assess a corporate group’s financial position and performance through consolidated financial statements</w:t>
            </w:r>
            <w:r w:rsidR="0069582B">
              <w:t xml:space="preserve"> for the reasons outlined above</w:t>
            </w:r>
            <w:r w:rsidR="005B380B">
              <w:t>.</w:t>
            </w:r>
            <w:r w:rsidR="008934CD">
              <w:t xml:space="preserve"> </w:t>
            </w:r>
            <w:r w:rsidR="00DB4AFA">
              <w:t>The group must also enter a deed of cross guarantee for creditors’ benefit.</w:t>
            </w:r>
          </w:p>
          <w:p w14:paraId="01358C22" w14:textId="75637821" w:rsidR="00EF40FB" w:rsidRDefault="00F30967">
            <w:pPr>
              <w:pStyle w:val="TBLText"/>
            </w:pPr>
            <w:r>
              <w:lastRenderedPageBreak/>
              <w:t>The relief re</w:t>
            </w:r>
            <w:r w:rsidR="00EA3449">
              <w:t>quires the notes to the consolidated financial statements to set out details of</w:t>
            </w:r>
            <w:r w:rsidR="00DB4AFA">
              <w:t xml:space="preserve"> the deed of cross guarantee</w:t>
            </w:r>
            <w:r w:rsidR="00CC23F2">
              <w:t xml:space="preserve"> and specific information </w:t>
            </w:r>
            <w:r w:rsidR="00C82CBA">
              <w:t xml:space="preserve">in respect of the consolidation of members of the closed group (after eliminating transactions between members of the closed group). </w:t>
            </w:r>
            <w:r w:rsidR="00EA3449">
              <w:t xml:space="preserve"> </w:t>
            </w:r>
            <w:r w:rsidR="008D3150">
              <w:t xml:space="preserve"> </w:t>
            </w:r>
          </w:p>
          <w:p w14:paraId="03759B04" w14:textId="5224C249" w:rsidR="001A5542" w:rsidRDefault="001A5542" w:rsidP="002356F8">
            <w:pPr>
              <w:pStyle w:val="TBLText"/>
            </w:pPr>
            <w:r w:rsidRPr="000E5B4B">
              <w:rPr>
                <w:b/>
                <w:bCs/>
              </w:rPr>
              <w:t>Stakeholder views:</w:t>
            </w:r>
            <w:r w:rsidRPr="004D3335">
              <w:t xml:space="preserve"> </w:t>
            </w:r>
            <w:r w:rsidR="001F0B44">
              <w:t>ASIC consulted publicly on our proposal to provide financial reporting relief for wholly-owned entities</w:t>
            </w:r>
            <w:r w:rsidR="00A146D2">
              <w:t xml:space="preserve"> by legislative instrument</w:t>
            </w:r>
            <w:r w:rsidR="001F0B44">
              <w:t xml:space="preserve">. </w:t>
            </w:r>
            <w:r w:rsidR="001F0B44" w:rsidRPr="001F0B44">
              <w:t xml:space="preserve">Submissions supported </w:t>
            </w:r>
            <w:r w:rsidR="001F0B44">
              <w:t>the proposal</w:t>
            </w:r>
            <w:r w:rsidR="001F0B44" w:rsidRPr="001F0B44">
              <w:t xml:space="preserve"> to reduce duplicative financial reporting and audit requirements</w:t>
            </w:r>
            <w:r w:rsidR="0013449C">
              <w:t xml:space="preserve"> for group entities</w:t>
            </w:r>
            <w:r w:rsidR="001F0B44">
              <w:t xml:space="preserve">. </w:t>
            </w:r>
          </w:p>
          <w:p w14:paraId="783F300C" w14:textId="38A0BA4A" w:rsidR="00B72664" w:rsidRDefault="004E367B" w:rsidP="002356F8">
            <w:pPr>
              <w:pStyle w:val="TBLText"/>
            </w:pPr>
            <w:r>
              <w:t xml:space="preserve">Further, </w:t>
            </w:r>
            <w:r w:rsidR="005373A2">
              <w:t xml:space="preserve">this type of </w:t>
            </w:r>
            <w:r>
              <w:t xml:space="preserve">financial reporting relief for wholly-owned entities has been </w:t>
            </w:r>
            <w:r w:rsidR="00DD7C52">
              <w:t xml:space="preserve">available </w:t>
            </w:r>
            <w:r w:rsidR="00EF7537">
              <w:t xml:space="preserve">for many years </w:t>
            </w:r>
            <w:r w:rsidR="00DD7C52">
              <w:t>and</w:t>
            </w:r>
            <w:r w:rsidR="00A31FED">
              <w:t xml:space="preserve"> is an important aspect of corporate financial reporting </w:t>
            </w:r>
            <w:r w:rsidR="00EC3D93">
              <w:t>arrangements</w:t>
            </w:r>
            <w:r w:rsidR="004100FA">
              <w:t>.</w:t>
            </w:r>
            <w:r w:rsidR="00C22EE9">
              <w:t xml:space="preserve"> </w:t>
            </w:r>
          </w:p>
          <w:p w14:paraId="2FD3B47B" w14:textId="000D90D6" w:rsidR="004E367B" w:rsidRPr="004D3335" w:rsidRDefault="00C22EE9" w:rsidP="002356F8">
            <w:pPr>
              <w:pStyle w:val="TBLText"/>
            </w:pPr>
            <w:r>
              <w:t xml:space="preserve">On this basis, ASIC concluded that the relief is </w:t>
            </w:r>
            <w:r w:rsidR="00EC3D93">
              <w:t xml:space="preserve">operating </w:t>
            </w:r>
            <w:r w:rsidR="00B72664">
              <w:t xml:space="preserve">efficiently and </w:t>
            </w:r>
            <w:r w:rsidR="00EC3D93">
              <w:t>effectively.</w:t>
            </w:r>
            <w:r>
              <w:t xml:space="preserve"> </w:t>
            </w:r>
          </w:p>
        </w:tc>
      </w:tr>
    </w:tbl>
    <w:p w14:paraId="3AB2B73F" w14:textId="77777777" w:rsidR="001A5542" w:rsidRDefault="001A5542" w:rsidP="0091141A">
      <w:pPr>
        <w:pStyle w:val="Heading2"/>
      </w:pPr>
      <w:r w:rsidRPr="001A5542">
        <w:lastRenderedPageBreak/>
        <w:t xml:space="preserve">Regulatory </w:t>
      </w:r>
      <w:r w:rsidR="00603F00">
        <w:t>burden</w:t>
      </w:r>
    </w:p>
    <w:tbl>
      <w:tblPr>
        <w:tblStyle w:val="Style1"/>
        <w:tblW w:w="9634" w:type="dxa"/>
        <w:tblBorders>
          <w:top w:val="single" w:sz="4" w:space="0" w:color="0F1F35" w:themeColor="text2"/>
          <w:left w:val="single" w:sz="4" w:space="0" w:color="0F1F35" w:themeColor="text2"/>
          <w:bottom w:val="single" w:sz="4" w:space="0" w:color="0F1F35" w:themeColor="text2"/>
          <w:right w:val="single" w:sz="4" w:space="0" w:color="0F1F35" w:themeColor="text2"/>
          <w:insideH w:val="single" w:sz="4" w:space="0" w:color="0F1F35" w:themeColor="text2"/>
          <w:insideV w:val="single" w:sz="4" w:space="0" w:color="0F1F35" w:themeColor="text2"/>
        </w:tblBorders>
        <w:tblCellMar>
          <w:left w:w="85" w:type="dxa"/>
          <w:right w:w="85" w:type="dxa"/>
        </w:tblCellMar>
        <w:tblLook w:val="0620" w:firstRow="1" w:lastRow="0" w:firstColumn="0" w:lastColumn="0" w:noHBand="1" w:noVBand="1"/>
      </w:tblPr>
      <w:tblGrid>
        <w:gridCol w:w="4178"/>
        <w:gridCol w:w="5456"/>
      </w:tblGrid>
      <w:tr w:rsidR="001A5542" w14:paraId="3F01FC41" w14:textId="77777777" w:rsidTr="00397435">
        <w:trPr>
          <w:cnfStyle w:val="100000000000" w:firstRow="1" w:lastRow="0" w:firstColumn="0" w:lastColumn="0" w:oddVBand="0" w:evenVBand="0" w:oddHBand="0" w:evenHBand="0" w:firstRowFirstColumn="0" w:firstRowLastColumn="0" w:lastRowFirstColumn="0" w:lastRowLastColumn="0"/>
          <w:trHeight w:val="200"/>
          <w:tblHeader/>
        </w:trPr>
        <w:tc>
          <w:tcPr>
            <w:tcW w:w="4178" w:type="dxa"/>
            <w:shd w:val="clear" w:color="auto" w:fill="0F1F35" w:themeFill="text2"/>
          </w:tcPr>
          <w:p w14:paraId="752CC2CD" w14:textId="77777777" w:rsidR="001A5542" w:rsidRPr="00473172" w:rsidRDefault="001A5542" w:rsidP="006C62B2">
            <w:pPr>
              <w:pStyle w:val="TBLText"/>
              <w:spacing w:after="0"/>
              <w:rPr>
                <w:color w:val="FFFFFF" w:themeColor="background1"/>
              </w:rPr>
            </w:pPr>
            <w:r w:rsidRPr="00473172">
              <w:rPr>
                <w:color w:val="FFFFFF" w:themeColor="background1"/>
              </w:rPr>
              <w:t>Status quo</w:t>
            </w:r>
          </w:p>
        </w:tc>
        <w:tc>
          <w:tcPr>
            <w:tcW w:w="5456" w:type="dxa"/>
            <w:shd w:val="clear" w:color="auto" w:fill="0F1F35" w:themeFill="text2"/>
          </w:tcPr>
          <w:p w14:paraId="513A2749" w14:textId="77777777" w:rsidR="001A5542" w:rsidRPr="00473172" w:rsidRDefault="001A5542" w:rsidP="006C62B2">
            <w:pPr>
              <w:pStyle w:val="TBLText"/>
              <w:spacing w:after="0"/>
              <w:rPr>
                <w:color w:val="FFFFFF" w:themeColor="background1"/>
              </w:rPr>
            </w:pPr>
            <w:r w:rsidRPr="00473172">
              <w:rPr>
                <w:color w:val="FFFFFF" w:themeColor="background1"/>
              </w:rPr>
              <w:t>Proposed option</w:t>
            </w:r>
          </w:p>
        </w:tc>
      </w:tr>
      <w:tr w:rsidR="001A5542" w:rsidRPr="004D3335" w14:paraId="423B96D6" w14:textId="77777777" w:rsidTr="00397435">
        <w:tc>
          <w:tcPr>
            <w:tcW w:w="4178" w:type="dxa"/>
          </w:tcPr>
          <w:p w14:paraId="13B41D77" w14:textId="78F7DFB5" w:rsidR="00D37AE4" w:rsidRDefault="00D37AE4" w:rsidP="00397435">
            <w:pPr>
              <w:pStyle w:val="TBLText"/>
            </w:pPr>
            <w:r w:rsidRPr="00D37AE4">
              <w:t xml:space="preserve">Under the status quo, </w:t>
            </w:r>
            <w:r w:rsidR="006A358E" w:rsidRPr="006A358E">
              <w:t xml:space="preserve">companies (except most small proprietary companies), disclosing entities and registered managed investment schemes </w:t>
            </w:r>
            <w:r w:rsidR="006A358E">
              <w:t xml:space="preserve">are required </w:t>
            </w:r>
            <w:r w:rsidR="006A358E" w:rsidRPr="006A358E">
              <w:t>to prepare and lodge a financial report, directors’ report and auditor’s report for a financial year</w:t>
            </w:r>
            <w:r w:rsidR="00E1168C">
              <w:t>, unless they have applied for and obtained</w:t>
            </w:r>
            <w:r w:rsidR="00AD4795">
              <w:t xml:space="preserve"> individual relief</w:t>
            </w:r>
            <w:r w:rsidR="006A358E">
              <w:t xml:space="preserve"> </w:t>
            </w:r>
          </w:p>
          <w:p w14:paraId="788695FB" w14:textId="2CFEF815" w:rsidR="001A5542" w:rsidRDefault="00ED6C1B" w:rsidP="00762605">
            <w:pPr>
              <w:pStyle w:val="ListPara1"/>
              <w:numPr>
                <w:ilvl w:val="1"/>
                <w:numId w:val="0"/>
              </w:numPr>
              <w:rPr>
                <w:rFonts w:asciiTheme="minorHAnsi" w:eastAsiaTheme="minorEastAsia" w:hAnsiTheme="minorHAnsi" w:cstheme="minorBidi"/>
                <w:color w:val="262626" w:themeColor="text1" w:themeTint="D9"/>
                <w:sz w:val="18"/>
                <w:szCs w:val="18"/>
                <w:lang w:val="en-AU" w:eastAsia="en-US"/>
              </w:rPr>
            </w:pPr>
            <w:r>
              <w:rPr>
                <w:rFonts w:asciiTheme="minorHAnsi" w:eastAsiaTheme="minorEastAsia" w:hAnsiTheme="minorHAnsi" w:cstheme="minorBidi"/>
                <w:color w:val="262626" w:themeColor="text1" w:themeTint="D9"/>
                <w:sz w:val="18"/>
                <w:szCs w:val="18"/>
                <w:lang w:val="en-AU" w:eastAsia="en-US"/>
              </w:rPr>
              <w:t>While t</w:t>
            </w:r>
            <w:r w:rsidR="00172824" w:rsidRPr="00172824">
              <w:rPr>
                <w:rFonts w:asciiTheme="minorHAnsi" w:eastAsiaTheme="minorEastAsia" w:hAnsiTheme="minorHAnsi" w:cstheme="minorBidi"/>
                <w:color w:val="262626" w:themeColor="text1" w:themeTint="D9"/>
                <w:sz w:val="18"/>
                <w:szCs w:val="18"/>
                <w:lang w:val="en-AU" w:eastAsia="en-US"/>
              </w:rPr>
              <w:t xml:space="preserve">he costs of preparing a financial report and having it audited </w:t>
            </w:r>
            <w:r w:rsidR="00F63B94">
              <w:rPr>
                <w:rFonts w:asciiTheme="minorHAnsi" w:eastAsiaTheme="minorEastAsia" w:hAnsiTheme="minorHAnsi" w:cstheme="minorBidi"/>
                <w:color w:val="262626" w:themeColor="text1" w:themeTint="D9"/>
                <w:sz w:val="18"/>
                <w:szCs w:val="18"/>
                <w:lang w:val="en-AU" w:eastAsia="en-US"/>
              </w:rPr>
              <w:t>will depend on the size of the company and the complexity of its operations, they are likely to be</w:t>
            </w:r>
            <w:r w:rsidR="00172824" w:rsidRPr="00172824">
              <w:rPr>
                <w:rFonts w:asciiTheme="minorHAnsi" w:eastAsiaTheme="minorEastAsia" w:hAnsiTheme="minorHAnsi" w:cstheme="minorBidi"/>
                <w:color w:val="262626" w:themeColor="text1" w:themeTint="D9"/>
                <w:sz w:val="18"/>
                <w:szCs w:val="18"/>
                <w:lang w:val="en-AU" w:eastAsia="en-US"/>
              </w:rPr>
              <w:t xml:space="preserve"> significant. </w:t>
            </w:r>
          </w:p>
          <w:p w14:paraId="3CBEA9AE" w14:textId="727329AA" w:rsidR="00AF6E68" w:rsidRDefault="007167AE" w:rsidP="00762605">
            <w:pPr>
              <w:pStyle w:val="ListPara1"/>
              <w:numPr>
                <w:ilvl w:val="1"/>
                <w:numId w:val="0"/>
              </w:numPr>
              <w:rPr>
                <w:rFonts w:asciiTheme="minorHAnsi" w:eastAsiaTheme="minorEastAsia" w:hAnsiTheme="minorHAnsi" w:cstheme="minorBidi"/>
                <w:color w:val="262626" w:themeColor="text1" w:themeTint="D9"/>
                <w:sz w:val="18"/>
                <w:szCs w:val="18"/>
                <w:lang w:val="en-AU" w:eastAsia="en-US"/>
              </w:rPr>
            </w:pPr>
            <w:r>
              <w:rPr>
                <w:rFonts w:asciiTheme="minorHAnsi" w:eastAsiaTheme="minorEastAsia" w:hAnsiTheme="minorHAnsi" w:cstheme="minorBidi"/>
                <w:color w:val="262626" w:themeColor="text1" w:themeTint="D9"/>
                <w:sz w:val="18"/>
                <w:szCs w:val="18"/>
                <w:lang w:val="en-AU" w:eastAsia="en-US"/>
              </w:rPr>
              <w:t>Given the cost of individual financial reports, it</w:t>
            </w:r>
            <w:r w:rsidR="00BD1E83">
              <w:rPr>
                <w:rFonts w:asciiTheme="minorHAnsi" w:eastAsiaTheme="minorEastAsia" w:hAnsiTheme="minorHAnsi" w:cstheme="minorBidi"/>
                <w:color w:val="262626" w:themeColor="text1" w:themeTint="D9"/>
                <w:sz w:val="18"/>
                <w:szCs w:val="18"/>
                <w:lang w:val="en-AU" w:eastAsia="en-US"/>
              </w:rPr>
              <w:t xml:space="preserve"> is likely that ma</w:t>
            </w:r>
            <w:r w:rsidR="007A51B9">
              <w:rPr>
                <w:rFonts w:asciiTheme="minorHAnsi" w:eastAsiaTheme="minorEastAsia" w:hAnsiTheme="minorHAnsi" w:cstheme="minorBidi"/>
                <w:color w:val="262626" w:themeColor="text1" w:themeTint="D9"/>
                <w:sz w:val="18"/>
                <w:szCs w:val="18"/>
                <w:lang w:val="en-AU" w:eastAsia="en-US"/>
              </w:rPr>
              <w:t>ny</w:t>
            </w:r>
            <w:r w:rsidR="00BD1E83">
              <w:rPr>
                <w:rFonts w:asciiTheme="minorHAnsi" w:eastAsiaTheme="minorEastAsia" w:hAnsiTheme="minorHAnsi" w:cstheme="minorBidi"/>
                <w:color w:val="262626" w:themeColor="text1" w:themeTint="D9"/>
                <w:sz w:val="18"/>
                <w:szCs w:val="18"/>
                <w:lang w:val="en-AU" w:eastAsia="en-US"/>
              </w:rPr>
              <w:t xml:space="preserve"> wholly-owned companies would seek individual relief</w:t>
            </w:r>
            <w:r w:rsidR="002D083D">
              <w:rPr>
                <w:rFonts w:asciiTheme="minorHAnsi" w:eastAsiaTheme="minorEastAsia" w:hAnsiTheme="minorHAnsi" w:cstheme="minorBidi"/>
                <w:color w:val="262626" w:themeColor="text1" w:themeTint="D9"/>
                <w:sz w:val="18"/>
                <w:szCs w:val="18"/>
                <w:lang w:val="en-AU" w:eastAsia="en-US"/>
              </w:rPr>
              <w:t>.</w:t>
            </w:r>
            <w:r w:rsidR="00AB53DA">
              <w:rPr>
                <w:rFonts w:asciiTheme="minorHAnsi" w:eastAsiaTheme="minorEastAsia" w:hAnsiTheme="minorHAnsi" w:cstheme="minorBidi"/>
                <w:color w:val="262626" w:themeColor="text1" w:themeTint="D9"/>
                <w:sz w:val="18"/>
                <w:szCs w:val="18"/>
                <w:lang w:val="en-AU" w:eastAsia="en-US"/>
              </w:rPr>
              <w:t xml:space="preserve"> </w:t>
            </w:r>
            <w:r w:rsidR="008C1B11" w:rsidRPr="008C1B11">
              <w:rPr>
                <w:rFonts w:asciiTheme="minorHAnsi" w:eastAsiaTheme="minorEastAsia" w:hAnsiTheme="minorHAnsi" w:cstheme="minorBidi"/>
                <w:color w:val="262626" w:themeColor="text1" w:themeTint="D9"/>
                <w:sz w:val="18"/>
                <w:szCs w:val="18"/>
                <w:lang w:val="en-AU" w:eastAsia="en-US"/>
              </w:rPr>
              <w:t>There are costs associated with such applications, including a fee of $3</w:t>
            </w:r>
            <w:r w:rsidR="00701949">
              <w:rPr>
                <w:rFonts w:asciiTheme="minorHAnsi" w:eastAsiaTheme="minorEastAsia" w:hAnsiTheme="minorHAnsi" w:cstheme="minorBidi"/>
                <w:color w:val="262626" w:themeColor="text1" w:themeTint="D9"/>
                <w:sz w:val="18"/>
                <w:szCs w:val="18"/>
                <w:lang w:val="en-AU" w:eastAsia="en-US"/>
              </w:rPr>
              <w:t>,</w:t>
            </w:r>
            <w:r w:rsidR="008C1B11" w:rsidRPr="008C1B11">
              <w:rPr>
                <w:rFonts w:asciiTheme="minorHAnsi" w:eastAsiaTheme="minorEastAsia" w:hAnsiTheme="minorHAnsi" w:cstheme="minorBidi"/>
                <w:color w:val="262626" w:themeColor="text1" w:themeTint="D9"/>
                <w:sz w:val="18"/>
                <w:szCs w:val="18"/>
                <w:lang w:val="en-AU" w:eastAsia="en-US"/>
              </w:rPr>
              <w:t xml:space="preserve">487 payable per company under the </w:t>
            </w:r>
            <w:r w:rsidR="008C1B11" w:rsidRPr="005979BF">
              <w:rPr>
                <w:rFonts w:asciiTheme="minorHAnsi" w:eastAsiaTheme="minorEastAsia" w:hAnsiTheme="minorHAnsi" w:cstheme="minorBidi"/>
                <w:i/>
                <w:iCs/>
                <w:color w:val="262626" w:themeColor="text1" w:themeTint="D9"/>
                <w:sz w:val="18"/>
                <w:szCs w:val="18"/>
                <w:lang w:val="en-AU" w:eastAsia="en-US"/>
              </w:rPr>
              <w:t>Corporations (Fees) Act 2001</w:t>
            </w:r>
            <w:r w:rsidR="00D43009">
              <w:rPr>
                <w:rFonts w:asciiTheme="minorHAnsi" w:eastAsiaTheme="minorEastAsia" w:hAnsiTheme="minorHAnsi" w:cstheme="minorBidi"/>
                <w:color w:val="262626" w:themeColor="text1" w:themeTint="D9"/>
                <w:sz w:val="18"/>
                <w:szCs w:val="18"/>
                <w:lang w:val="en-AU" w:eastAsia="en-US"/>
              </w:rPr>
              <w:t>,</w:t>
            </w:r>
            <w:r w:rsidR="008C1B11" w:rsidRPr="008C1B11">
              <w:rPr>
                <w:rFonts w:asciiTheme="minorHAnsi" w:eastAsiaTheme="minorEastAsia" w:hAnsiTheme="minorHAnsi" w:cstheme="minorBidi"/>
                <w:color w:val="262626" w:themeColor="text1" w:themeTint="D9"/>
                <w:sz w:val="18"/>
                <w:szCs w:val="18"/>
                <w:lang w:val="en-AU" w:eastAsia="en-US"/>
              </w:rPr>
              <w:t xml:space="preserve"> plus potentially advisor fees of an estimated $5500 per group</w:t>
            </w:r>
            <w:r w:rsidR="00D0473D">
              <w:rPr>
                <w:rFonts w:asciiTheme="minorHAnsi" w:eastAsiaTheme="minorEastAsia" w:hAnsiTheme="minorHAnsi" w:cstheme="minorBidi"/>
                <w:color w:val="262626" w:themeColor="text1" w:themeTint="D9"/>
                <w:sz w:val="18"/>
                <w:szCs w:val="18"/>
                <w:lang w:val="en-AU" w:eastAsia="en-US"/>
              </w:rPr>
              <w:t>.</w:t>
            </w:r>
            <w:r w:rsidR="003A3D65">
              <w:rPr>
                <w:rFonts w:asciiTheme="minorHAnsi" w:eastAsiaTheme="minorEastAsia" w:hAnsiTheme="minorHAnsi" w:cstheme="minorBidi"/>
                <w:color w:val="262626" w:themeColor="text1" w:themeTint="D9"/>
                <w:sz w:val="18"/>
                <w:szCs w:val="18"/>
                <w:lang w:val="en-AU" w:eastAsia="en-US"/>
              </w:rPr>
              <w:t xml:space="preserve"> A</w:t>
            </w:r>
            <w:r w:rsidR="007B509D">
              <w:rPr>
                <w:rFonts w:asciiTheme="minorHAnsi" w:eastAsiaTheme="minorEastAsia" w:hAnsiTheme="minorHAnsi" w:cstheme="minorBidi"/>
                <w:color w:val="262626" w:themeColor="text1" w:themeTint="D9"/>
                <w:sz w:val="18"/>
                <w:szCs w:val="18"/>
                <w:lang w:val="en-AU" w:eastAsia="en-US"/>
              </w:rPr>
              <w:t xml:space="preserve">ssuming an average of </w:t>
            </w:r>
            <w:r w:rsidR="004F0BD9">
              <w:rPr>
                <w:rFonts w:asciiTheme="minorHAnsi" w:eastAsiaTheme="minorEastAsia" w:hAnsiTheme="minorHAnsi" w:cstheme="minorBidi"/>
                <w:color w:val="262626" w:themeColor="text1" w:themeTint="D9"/>
                <w:sz w:val="18"/>
                <w:szCs w:val="18"/>
                <w:lang w:val="en-AU" w:eastAsia="en-US"/>
              </w:rPr>
              <w:t>4-</w:t>
            </w:r>
            <w:r w:rsidR="007B509D">
              <w:rPr>
                <w:rFonts w:asciiTheme="minorHAnsi" w:eastAsiaTheme="minorEastAsia" w:hAnsiTheme="minorHAnsi" w:cstheme="minorBidi"/>
                <w:color w:val="262626" w:themeColor="text1" w:themeTint="D9"/>
                <w:sz w:val="18"/>
                <w:szCs w:val="18"/>
                <w:lang w:val="en-AU" w:eastAsia="en-US"/>
              </w:rPr>
              <w:t>5 companies per gr</w:t>
            </w:r>
            <w:r w:rsidR="002774DE">
              <w:rPr>
                <w:rFonts w:asciiTheme="minorHAnsi" w:eastAsiaTheme="minorEastAsia" w:hAnsiTheme="minorHAnsi" w:cstheme="minorBidi"/>
                <w:color w:val="262626" w:themeColor="text1" w:themeTint="D9"/>
                <w:sz w:val="18"/>
                <w:szCs w:val="18"/>
                <w:lang w:val="en-AU" w:eastAsia="en-US"/>
              </w:rPr>
              <w:t>o</w:t>
            </w:r>
            <w:r w:rsidR="007B509D">
              <w:rPr>
                <w:rFonts w:asciiTheme="minorHAnsi" w:eastAsiaTheme="minorEastAsia" w:hAnsiTheme="minorHAnsi" w:cstheme="minorBidi"/>
                <w:color w:val="262626" w:themeColor="text1" w:themeTint="D9"/>
                <w:sz w:val="18"/>
                <w:szCs w:val="18"/>
                <w:lang w:val="en-AU" w:eastAsia="en-US"/>
              </w:rPr>
              <w:t>up</w:t>
            </w:r>
            <w:r w:rsidR="003A3D65">
              <w:rPr>
                <w:rFonts w:asciiTheme="minorHAnsi" w:eastAsiaTheme="minorEastAsia" w:hAnsiTheme="minorHAnsi" w:cstheme="minorBidi"/>
                <w:color w:val="262626" w:themeColor="text1" w:themeTint="D9"/>
                <w:sz w:val="18"/>
                <w:szCs w:val="18"/>
                <w:lang w:val="en-AU" w:eastAsia="en-US"/>
              </w:rPr>
              <w:t>, t</w:t>
            </w:r>
            <w:r w:rsidR="00AF6E68" w:rsidRPr="005979BF">
              <w:rPr>
                <w:rFonts w:asciiTheme="minorHAnsi" w:eastAsiaTheme="minorEastAsia" w:hAnsiTheme="minorHAnsi" w:cstheme="minorBidi"/>
                <w:color w:val="262626" w:themeColor="text1" w:themeTint="D9"/>
                <w:sz w:val="18"/>
                <w:szCs w:val="18"/>
                <w:lang w:val="en-AU" w:eastAsia="en-US"/>
              </w:rPr>
              <w:t xml:space="preserve">he cost of seeking individual relief is </w:t>
            </w:r>
            <w:r w:rsidR="002774DE">
              <w:rPr>
                <w:rFonts w:asciiTheme="minorHAnsi" w:eastAsiaTheme="minorEastAsia" w:hAnsiTheme="minorHAnsi" w:cstheme="minorBidi"/>
                <w:color w:val="262626" w:themeColor="text1" w:themeTint="D9"/>
                <w:sz w:val="18"/>
                <w:szCs w:val="18"/>
                <w:lang w:val="en-AU" w:eastAsia="en-US"/>
              </w:rPr>
              <w:t xml:space="preserve">therefore </w:t>
            </w:r>
            <w:r w:rsidR="00AF6E68" w:rsidRPr="005979BF">
              <w:rPr>
                <w:rFonts w:asciiTheme="minorHAnsi" w:eastAsiaTheme="minorEastAsia" w:hAnsiTheme="minorHAnsi" w:cstheme="minorBidi"/>
                <w:color w:val="262626" w:themeColor="text1" w:themeTint="D9"/>
                <w:sz w:val="18"/>
                <w:szCs w:val="18"/>
                <w:lang w:val="en-AU" w:eastAsia="en-US"/>
              </w:rPr>
              <w:t>approximately $</w:t>
            </w:r>
            <w:r w:rsidR="00AF6E68">
              <w:rPr>
                <w:rFonts w:asciiTheme="minorHAnsi" w:eastAsiaTheme="minorEastAsia" w:hAnsiTheme="minorHAnsi" w:cstheme="minorBidi"/>
                <w:color w:val="262626" w:themeColor="text1" w:themeTint="D9"/>
                <w:sz w:val="18"/>
                <w:szCs w:val="18"/>
                <w:lang w:val="en-AU" w:eastAsia="en-US"/>
              </w:rPr>
              <w:t>5,000</w:t>
            </w:r>
            <w:r w:rsidR="00AF6E68" w:rsidRPr="005979BF">
              <w:rPr>
                <w:rFonts w:asciiTheme="minorHAnsi" w:eastAsiaTheme="minorEastAsia" w:hAnsiTheme="minorHAnsi" w:cstheme="minorBidi"/>
                <w:color w:val="262626" w:themeColor="text1" w:themeTint="D9"/>
                <w:sz w:val="18"/>
                <w:szCs w:val="18"/>
                <w:lang w:val="en-AU" w:eastAsia="en-US"/>
              </w:rPr>
              <w:t xml:space="preserve"> per company</w:t>
            </w:r>
            <w:r w:rsidR="005F5BE2">
              <w:rPr>
                <w:rFonts w:asciiTheme="minorHAnsi" w:eastAsiaTheme="minorEastAsia" w:hAnsiTheme="minorHAnsi" w:cstheme="minorBidi"/>
                <w:color w:val="262626" w:themeColor="text1" w:themeTint="D9"/>
                <w:sz w:val="18"/>
                <w:szCs w:val="18"/>
                <w:lang w:val="en-AU" w:eastAsia="en-US"/>
              </w:rPr>
              <w:t xml:space="preserve"> (</w:t>
            </w:r>
            <w:r w:rsidR="00BB06A1">
              <w:rPr>
                <w:rFonts w:asciiTheme="minorHAnsi" w:eastAsiaTheme="minorEastAsia" w:hAnsiTheme="minorHAnsi" w:cstheme="minorBidi"/>
                <w:color w:val="262626" w:themeColor="text1" w:themeTint="D9"/>
                <w:sz w:val="18"/>
                <w:szCs w:val="18"/>
                <w:lang w:val="en-AU" w:eastAsia="en-US"/>
              </w:rPr>
              <w:t xml:space="preserve">$3,487 + </w:t>
            </w:r>
            <w:r w:rsidR="00B81519">
              <w:rPr>
                <w:rFonts w:asciiTheme="minorHAnsi" w:eastAsiaTheme="minorEastAsia" w:hAnsiTheme="minorHAnsi" w:cstheme="minorBidi"/>
                <w:color w:val="262626" w:themeColor="text1" w:themeTint="D9"/>
                <w:sz w:val="18"/>
                <w:szCs w:val="18"/>
                <w:lang w:val="en-AU" w:eastAsia="en-US"/>
              </w:rPr>
              <w:t xml:space="preserve">approximately </w:t>
            </w:r>
            <w:r w:rsidR="00BB06A1">
              <w:rPr>
                <w:rFonts w:asciiTheme="minorHAnsi" w:eastAsiaTheme="minorEastAsia" w:hAnsiTheme="minorHAnsi" w:cstheme="minorBidi"/>
                <w:color w:val="262626" w:themeColor="text1" w:themeTint="D9"/>
                <w:sz w:val="18"/>
                <w:szCs w:val="18"/>
                <w:lang w:val="en-AU" w:eastAsia="en-US"/>
              </w:rPr>
              <w:t>$1,5</w:t>
            </w:r>
            <w:r w:rsidR="00B81519">
              <w:rPr>
                <w:rFonts w:asciiTheme="minorHAnsi" w:eastAsiaTheme="minorEastAsia" w:hAnsiTheme="minorHAnsi" w:cstheme="minorBidi"/>
                <w:color w:val="262626" w:themeColor="text1" w:themeTint="D9"/>
                <w:sz w:val="18"/>
                <w:szCs w:val="18"/>
                <w:lang w:val="en-AU" w:eastAsia="en-US"/>
              </w:rPr>
              <w:t>00</w:t>
            </w:r>
            <w:r w:rsidR="00BB06A1">
              <w:rPr>
                <w:rFonts w:asciiTheme="minorHAnsi" w:eastAsiaTheme="minorEastAsia" w:hAnsiTheme="minorHAnsi" w:cstheme="minorBidi"/>
                <w:color w:val="262626" w:themeColor="text1" w:themeTint="D9"/>
                <w:sz w:val="18"/>
                <w:szCs w:val="18"/>
                <w:lang w:val="en-AU" w:eastAsia="en-US"/>
              </w:rPr>
              <w:t>)</w:t>
            </w:r>
            <w:r w:rsidR="00AF6E68" w:rsidRPr="005979BF">
              <w:rPr>
                <w:rFonts w:asciiTheme="minorHAnsi" w:eastAsiaTheme="minorEastAsia" w:hAnsiTheme="minorHAnsi" w:cstheme="minorBidi"/>
                <w:color w:val="262626" w:themeColor="text1" w:themeTint="D9"/>
                <w:sz w:val="18"/>
                <w:szCs w:val="18"/>
                <w:lang w:val="en-AU" w:eastAsia="en-US"/>
              </w:rPr>
              <w:t>.</w:t>
            </w:r>
            <w:r w:rsidR="002D083D">
              <w:rPr>
                <w:rFonts w:asciiTheme="minorHAnsi" w:eastAsiaTheme="minorEastAsia" w:hAnsiTheme="minorHAnsi" w:cstheme="minorBidi"/>
                <w:color w:val="262626" w:themeColor="text1" w:themeTint="D9"/>
                <w:sz w:val="18"/>
                <w:szCs w:val="18"/>
                <w:lang w:val="en-AU" w:eastAsia="en-US"/>
              </w:rPr>
              <w:t xml:space="preserve"> </w:t>
            </w:r>
          </w:p>
          <w:p w14:paraId="47A3B692" w14:textId="7B9F2ABC" w:rsidR="00FE018E" w:rsidRPr="004D3335" w:rsidRDefault="002D083D" w:rsidP="00B81519">
            <w:pPr>
              <w:pStyle w:val="ListPara1"/>
              <w:numPr>
                <w:ilvl w:val="1"/>
                <w:numId w:val="0"/>
              </w:numPr>
            </w:pPr>
            <w:r>
              <w:rPr>
                <w:rFonts w:asciiTheme="minorHAnsi" w:eastAsiaTheme="minorEastAsia" w:hAnsiTheme="minorHAnsi" w:cstheme="minorBidi"/>
                <w:color w:val="262626" w:themeColor="text1" w:themeTint="D9"/>
                <w:sz w:val="18"/>
                <w:szCs w:val="18"/>
                <w:lang w:val="en-AU" w:eastAsia="en-US"/>
              </w:rPr>
              <w:t>It is likely that</w:t>
            </w:r>
            <w:r w:rsidR="000E331E">
              <w:rPr>
                <w:rFonts w:asciiTheme="minorHAnsi" w:eastAsiaTheme="minorEastAsia" w:hAnsiTheme="minorHAnsi" w:cstheme="minorBidi"/>
                <w:color w:val="262626" w:themeColor="text1" w:themeTint="D9"/>
                <w:sz w:val="18"/>
                <w:szCs w:val="18"/>
                <w:lang w:val="en-AU" w:eastAsia="en-US"/>
              </w:rPr>
              <w:t xml:space="preserve"> </w:t>
            </w:r>
            <w:r>
              <w:rPr>
                <w:rFonts w:asciiTheme="minorHAnsi" w:eastAsiaTheme="minorEastAsia" w:hAnsiTheme="minorHAnsi" w:cstheme="minorBidi"/>
                <w:color w:val="262626" w:themeColor="text1" w:themeTint="D9"/>
                <w:sz w:val="18"/>
                <w:szCs w:val="18"/>
                <w:lang w:val="en-AU" w:eastAsia="en-US"/>
              </w:rPr>
              <w:t>ASIC would</w:t>
            </w:r>
            <w:r w:rsidR="00E0753F">
              <w:rPr>
                <w:rFonts w:asciiTheme="minorHAnsi" w:eastAsiaTheme="minorEastAsia" w:hAnsiTheme="minorHAnsi" w:cstheme="minorBidi"/>
                <w:color w:val="262626" w:themeColor="text1" w:themeTint="D9"/>
                <w:sz w:val="18"/>
                <w:szCs w:val="18"/>
                <w:lang w:val="en-AU" w:eastAsia="en-US"/>
              </w:rPr>
              <w:t xml:space="preserve"> impose conditions on the relief to protect creditors, such as requiring </w:t>
            </w:r>
            <w:r>
              <w:rPr>
                <w:rFonts w:asciiTheme="minorHAnsi" w:eastAsiaTheme="minorEastAsia" w:hAnsiTheme="minorHAnsi" w:cstheme="minorBidi"/>
                <w:color w:val="262626" w:themeColor="text1" w:themeTint="D9"/>
                <w:sz w:val="18"/>
                <w:szCs w:val="18"/>
                <w:lang w:val="en-AU" w:eastAsia="en-US"/>
              </w:rPr>
              <w:t xml:space="preserve">the holding entity </w:t>
            </w:r>
            <w:r w:rsidR="00E0753F">
              <w:rPr>
                <w:rFonts w:asciiTheme="minorHAnsi" w:eastAsiaTheme="minorEastAsia" w:hAnsiTheme="minorHAnsi" w:cstheme="minorBidi"/>
                <w:color w:val="262626" w:themeColor="text1" w:themeTint="D9"/>
                <w:sz w:val="18"/>
                <w:szCs w:val="18"/>
                <w:lang w:val="en-AU" w:eastAsia="en-US"/>
              </w:rPr>
              <w:t xml:space="preserve">to </w:t>
            </w:r>
            <w:r>
              <w:rPr>
                <w:rFonts w:asciiTheme="minorHAnsi" w:eastAsiaTheme="minorEastAsia" w:hAnsiTheme="minorHAnsi" w:cstheme="minorBidi"/>
                <w:color w:val="262626" w:themeColor="text1" w:themeTint="D9"/>
                <w:sz w:val="18"/>
                <w:szCs w:val="18"/>
                <w:lang w:val="en-AU" w:eastAsia="en-US"/>
              </w:rPr>
              <w:t xml:space="preserve">lodge consolidated financial reports and the entities </w:t>
            </w:r>
            <w:r w:rsidR="00E0753F">
              <w:rPr>
                <w:rFonts w:asciiTheme="minorHAnsi" w:eastAsiaTheme="minorEastAsia" w:hAnsiTheme="minorHAnsi" w:cstheme="minorBidi"/>
                <w:color w:val="262626" w:themeColor="text1" w:themeTint="D9"/>
                <w:sz w:val="18"/>
                <w:szCs w:val="18"/>
                <w:lang w:val="en-AU" w:eastAsia="en-US"/>
              </w:rPr>
              <w:t>to be</w:t>
            </w:r>
            <w:r>
              <w:rPr>
                <w:rFonts w:asciiTheme="minorHAnsi" w:eastAsiaTheme="minorEastAsia" w:hAnsiTheme="minorHAnsi" w:cstheme="minorBidi"/>
                <w:color w:val="262626" w:themeColor="text1" w:themeTint="D9"/>
                <w:sz w:val="18"/>
                <w:szCs w:val="18"/>
                <w:lang w:val="en-AU" w:eastAsia="en-US"/>
              </w:rPr>
              <w:t xml:space="preserve"> party to a deed of cross </w:t>
            </w:r>
            <w:r w:rsidR="00221F2C">
              <w:rPr>
                <w:rFonts w:asciiTheme="minorHAnsi" w:eastAsiaTheme="minorEastAsia" w:hAnsiTheme="minorHAnsi" w:cstheme="minorBidi"/>
                <w:color w:val="262626" w:themeColor="text1" w:themeTint="D9"/>
                <w:sz w:val="18"/>
                <w:szCs w:val="18"/>
                <w:lang w:val="en-AU" w:eastAsia="en-US"/>
              </w:rPr>
              <w:t>g</w:t>
            </w:r>
            <w:r>
              <w:rPr>
                <w:rFonts w:asciiTheme="minorHAnsi" w:eastAsiaTheme="minorEastAsia" w:hAnsiTheme="minorHAnsi" w:cstheme="minorBidi"/>
                <w:color w:val="262626" w:themeColor="text1" w:themeTint="D9"/>
                <w:sz w:val="18"/>
                <w:szCs w:val="18"/>
                <w:lang w:val="en-AU" w:eastAsia="en-US"/>
              </w:rPr>
              <w:t>uarantee regime similar to that applying under the legislative instrument.</w:t>
            </w:r>
          </w:p>
        </w:tc>
        <w:tc>
          <w:tcPr>
            <w:tcW w:w="5456" w:type="dxa"/>
          </w:tcPr>
          <w:p w14:paraId="11FF8086" w14:textId="6CA98AAD" w:rsidR="00172824" w:rsidRDefault="00172824" w:rsidP="00397435">
            <w:pPr>
              <w:pStyle w:val="TBLText"/>
            </w:pPr>
            <w:r w:rsidRPr="00172824">
              <w:t xml:space="preserve">Under the proposed option, </w:t>
            </w:r>
            <w:r w:rsidR="005537D1">
              <w:t xml:space="preserve">ASIC would make a legislative instrument </w:t>
            </w:r>
            <w:r w:rsidR="003C219E">
              <w:t>so that</w:t>
            </w:r>
            <w:r w:rsidR="005537D1">
              <w:t xml:space="preserve"> </w:t>
            </w:r>
            <w:r w:rsidR="002B7A79">
              <w:t>companies in a wholly-owned group would be reli</w:t>
            </w:r>
            <w:r w:rsidR="00566B72">
              <w:t>e</w:t>
            </w:r>
            <w:r w:rsidR="002B7A79">
              <w:t xml:space="preserve">ved from the requirement to </w:t>
            </w:r>
            <w:r w:rsidR="00AA5636" w:rsidRPr="00AA5636">
              <w:t>prepare and lodge a financial report, directors’ report and auditor’s report for a financial year</w:t>
            </w:r>
            <w:r w:rsidR="004E7A65">
              <w:t xml:space="preserve">. </w:t>
            </w:r>
            <w:r w:rsidR="004C0A6E">
              <w:t xml:space="preserve">Wholly-owned companies would not need to </w:t>
            </w:r>
            <w:r w:rsidR="00845FE6">
              <w:t>apply for an individual exemption</w:t>
            </w:r>
            <w:r w:rsidR="00AA5636" w:rsidRPr="00AA5636">
              <w:t>.</w:t>
            </w:r>
            <w:r w:rsidR="001C394B">
              <w:t xml:space="preserve"> </w:t>
            </w:r>
          </w:p>
          <w:p w14:paraId="5BD4870F" w14:textId="46CE044E" w:rsidR="004342B1" w:rsidRDefault="004342B1" w:rsidP="004342B1">
            <w:pPr>
              <w:pStyle w:val="TBLText"/>
            </w:pPr>
            <w:r>
              <w:t xml:space="preserve">Based on lodgements of documents indicating reliance on </w:t>
            </w:r>
            <w:r w:rsidR="005E3B12">
              <w:t xml:space="preserve">the previous </w:t>
            </w:r>
            <w:r>
              <w:t>relief</w:t>
            </w:r>
            <w:r w:rsidR="005E3B12">
              <w:t xml:space="preserve"> in </w:t>
            </w:r>
            <w:r w:rsidR="005E3B12" w:rsidRPr="00397CD3">
              <w:rPr>
                <w:i/>
              </w:rPr>
              <w:t>ASIC Corporations (Wholly-owned Companies) Instrument 2016/785</w:t>
            </w:r>
            <w:r w:rsidR="005E3B12">
              <w:t xml:space="preserve"> as at </w:t>
            </w:r>
            <w:r w:rsidR="00362F24">
              <w:t>April 2026</w:t>
            </w:r>
            <w:r>
              <w:t xml:space="preserve">, </w:t>
            </w:r>
            <w:r w:rsidRPr="00946609">
              <w:t xml:space="preserve">ASIC estimates that </w:t>
            </w:r>
            <w:r>
              <w:t>12,330 companies will take advantage of the relief</w:t>
            </w:r>
            <w:r w:rsidR="006B029B">
              <w:t xml:space="preserve"> in the legislative instrument</w:t>
            </w:r>
            <w:r>
              <w:t xml:space="preserve">. </w:t>
            </w:r>
          </w:p>
          <w:p w14:paraId="19583685" w14:textId="6E4EB395" w:rsidR="00071328" w:rsidRPr="005979BF" w:rsidRDefault="00071328" w:rsidP="004342B1">
            <w:pPr>
              <w:pStyle w:val="TBLText"/>
              <w:rPr>
                <w:b/>
                <w:i/>
              </w:rPr>
            </w:pPr>
            <w:r w:rsidRPr="005979BF">
              <w:rPr>
                <w:b/>
                <w:i/>
              </w:rPr>
              <w:t>Compliance cost savings</w:t>
            </w:r>
            <w:r w:rsidR="0073400A">
              <w:rPr>
                <w:b/>
                <w:i/>
              </w:rPr>
              <w:t xml:space="preserve"> for industry</w:t>
            </w:r>
          </w:p>
          <w:p w14:paraId="1B1A4016" w14:textId="28F13322" w:rsidR="00B802D3" w:rsidRDefault="004C5A81" w:rsidP="004342B1">
            <w:pPr>
              <w:pStyle w:val="TBLText"/>
            </w:pPr>
            <w:r>
              <w:t>The one-off c</w:t>
            </w:r>
            <w:r w:rsidR="00EF37EB">
              <w:t xml:space="preserve">ompliance </w:t>
            </w:r>
            <w:r w:rsidR="00B802D3">
              <w:t xml:space="preserve">cost savings </w:t>
            </w:r>
            <w:r w:rsidR="00EF37EB">
              <w:t xml:space="preserve">arising from not having to </w:t>
            </w:r>
            <w:r w:rsidR="00653D7A">
              <w:t xml:space="preserve">apply for individual relief </w:t>
            </w:r>
            <w:r w:rsidR="00397A11">
              <w:t>are</w:t>
            </w:r>
            <w:r w:rsidR="00B802D3">
              <w:t xml:space="preserve"> therefore </w:t>
            </w:r>
            <w:r w:rsidR="00C65E6F">
              <w:t>estimated to</w:t>
            </w:r>
            <w:r w:rsidR="00B802D3">
              <w:t xml:space="preserve"> be </w:t>
            </w:r>
            <w:r w:rsidR="00DF62B8" w:rsidRPr="00FF308C">
              <w:t xml:space="preserve">12,330 x </w:t>
            </w:r>
            <w:r w:rsidR="000377F1" w:rsidRPr="00FF308C">
              <w:t>$</w:t>
            </w:r>
            <w:r w:rsidR="008B7D87">
              <w:t>5,000</w:t>
            </w:r>
            <w:r w:rsidR="005979BF">
              <w:t xml:space="preserve"> </w:t>
            </w:r>
            <w:r w:rsidR="009F6E29">
              <w:t xml:space="preserve">= </w:t>
            </w:r>
            <w:r w:rsidR="00427210">
              <w:t>$</w:t>
            </w:r>
            <w:r w:rsidR="009C7244">
              <w:t>61,650,</w:t>
            </w:r>
            <w:r w:rsidR="00917CA3">
              <w:t>000</w:t>
            </w:r>
            <w:r w:rsidR="002A1839">
              <w:t>.</w:t>
            </w:r>
            <w:r w:rsidR="005979BF">
              <w:t xml:space="preserve"> There will likely be additional savings with additional </w:t>
            </w:r>
            <w:r w:rsidR="00C41FC0">
              <w:t xml:space="preserve">companies </w:t>
            </w:r>
            <w:r w:rsidR="00DB33FF">
              <w:t xml:space="preserve">making use of the relief </w:t>
            </w:r>
            <w:r w:rsidR="00D02664">
              <w:t>provided by the</w:t>
            </w:r>
            <w:r w:rsidR="00DB33FF">
              <w:t xml:space="preserve"> Instrument over time, without the need to seek individual relief.</w:t>
            </w:r>
            <w:r w:rsidR="002A1839">
              <w:t xml:space="preserve"> </w:t>
            </w:r>
          </w:p>
          <w:p w14:paraId="72A95E9A" w14:textId="460F664B" w:rsidR="001D5AC7" w:rsidRDefault="009E5FBC" w:rsidP="00917CA3">
            <w:pPr>
              <w:pStyle w:val="TBLText"/>
            </w:pPr>
            <w:r w:rsidRPr="007645E4">
              <w:t xml:space="preserve">As a condition of the relief, </w:t>
            </w:r>
            <w:r w:rsidR="008467EA">
              <w:t>the holding company is required to lodge consolidated financial reports and</w:t>
            </w:r>
            <w:r w:rsidRPr="007645E4">
              <w:t xml:space="preserve"> </w:t>
            </w:r>
            <w:r>
              <w:t xml:space="preserve">each wholly-owned company in the group, and the holding company, </w:t>
            </w:r>
            <w:r w:rsidR="006609BE">
              <w:t>is</w:t>
            </w:r>
            <w:r>
              <w:t xml:space="preserve"> required to enter into a deed of cross-guarantee.</w:t>
            </w:r>
            <w:r w:rsidR="003A2AEA">
              <w:t xml:space="preserve"> These costs are </w:t>
            </w:r>
            <w:r w:rsidR="00EA7017">
              <w:t xml:space="preserve">the same as </w:t>
            </w:r>
            <w:r w:rsidR="003A2AEA">
              <w:t xml:space="preserve">would apply if ASIC was to grant companies individual relief under a similar </w:t>
            </w:r>
            <w:r w:rsidR="004E19EC">
              <w:t xml:space="preserve">deed of cross </w:t>
            </w:r>
            <w:r w:rsidR="001D692D">
              <w:t>g</w:t>
            </w:r>
            <w:r w:rsidR="004E19EC">
              <w:t xml:space="preserve">uarantee </w:t>
            </w:r>
            <w:r w:rsidR="003A2AEA">
              <w:t>regime.</w:t>
            </w:r>
            <w:r>
              <w:t xml:space="preserve"> </w:t>
            </w:r>
          </w:p>
          <w:p w14:paraId="1DCFD830" w14:textId="3477E48F" w:rsidR="00FF308C" w:rsidRPr="00397CD3" w:rsidRDefault="00FF308C" w:rsidP="00D15439">
            <w:pPr>
              <w:pStyle w:val="TBLText"/>
              <w:rPr>
                <w:b/>
                <w:bCs/>
                <w:i/>
                <w:iCs/>
              </w:rPr>
            </w:pPr>
            <w:r w:rsidRPr="00397CD3">
              <w:rPr>
                <w:b/>
                <w:bCs/>
                <w:i/>
                <w:iCs/>
              </w:rPr>
              <w:t>Impact on other stakeholders</w:t>
            </w:r>
          </w:p>
          <w:p w14:paraId="196B3E23" w14:textId="02C7D98A" w:rsidR="001A5542" w:rsidRPr="004D3335" w:rsidRDefault="00D15439" w:rsidP="001A5542">
            <w:pPr>
              <w:pStyle w:val="TBLText"/>
            </w:pPr>
            <w:r w:rsidRPr="00D15439">
              <w:t xml:space="preserve">We estimate that the impact </w:t>
            </w:r>
            <w:r w:rsidR="006C0AE6">
              <w:t xml:space="preserve">of the legislative instrument </w:t>
            </w:r>
            <w:r w:rsidRPr="00D15439">
              <w:t xml:space="preserve">on creditors and other stakeholders </w:t>
            </w:r>
            <w:r w:rsidR="00FF0244">
              <w:t>will be</w:t>
            </w:r>
            <w:r w:rsidR="00FF0244" w:rsidRPr="00D15439">
              <w:t xml:space="preserve"> </w:t>
            </w:r>
            <w:r w:rsidRPr="00D15439">
              <w:t>minimal</w:t>
            </w:r>
            <w:r w:rsidR="00680CA0">
              <w:t xml:space="preserve"> compared with the status quo of granting individual relief.</w:t>
            </w:r>
            <w:r w:rsidR="006D6065">
              <w:t xml:space="preserve"> </w:t>
            </w:r>
          </w:p>
        </w:tc>
      </w:tr>
    </w:tbl>
    <w:p w14:paraId="27057342" w14:textId="77777777" w:rsidR="00CA3925" w:rsidRDefault="00CA3925" w:rsidP="0074565F">
      <w:pPr>
        <w:pStyle w:val="Heading2"/>
      </w:pPr>
      <w:r w:rsidRPr="00CA3925">
        <w:lastRenderedPageBreak/>
        <w:t>Other considerations and implementation</w:t>
      </w:r>
    </w:p>
    <w:p w14:paraId="73E7D7A4" w14:textId="1DEE855B" w:rsidR="00C000E6" w:rsidRDefault="00C000E6" w:rsidP="003947E9">
      <w:r>
        <w:t xml:space="preserve">The proposal remakes </w:t>
      </w:r>
      <w:r w:rsidR="00A13D3F">
        <w:t xml:space="preserve">long standing relief that is scheduled to sunset on 1 </w:t>
      </w:r>
      <w:r w:rsidR="00FA7526">
        <w:t>October</w:t>
      </w:r>
      <w:r w:rsidR="00A13D3F">
        <w:t xml:space="preserve"> 2026. </w:t>
      </w:r>
      <w:r w:rsidR="000F2CAF">
        <w:t xml:space="preserve">Our review of the existing relief </w:t>
      </w:r>
      <w:r w:rsidR="00EE3C02">
        <w:t>has shown it to be effective and efficient</w:t>
      </w:r>
      <w:r w:rsidR="00FA7526">
        <w:t xml:space="preserve"> and there have been no significant issues raised by stakeholders in relation </w:t>
      </w:r>
      <w:r w:rsidR="00E90813">
        <w:t>to</w:t>
      </w:r>
      <w:r w:rsidR="00FA7526">
        <w:t xml:space="preserve"> the operation of the relief. </w:t>
      </w:r>
      <w:r w:rsidR="00B248E6">
        <w:t xml:space="preserve">This being the case, exploration of another option would likely result in more cost than benefit. </w:t>
      </w:r>
    </w:p>
    <w:p w14:paraId="45B439BD" w14:textId="6821817F" w:rsidR="00AE39E1" w:rsidRDefault="00CA3925" w:rsidP="00AE39E1">
      <w:pPr>
        <w:pStyle w:val="Heading3"/>
      </w:pPr>
      <w:r w:rsidRPr="00CA3925">
        <w:t>What success looks like</w:t>
      </w:r>
    </w:p>
    <w:p w14:paraId="2E17EED6" w14:textId="0B360A42" w:rsidR="00CA3925" w:rsidRDefault="000232D1" w:rsidP="00AE39E1">
      <w:r>
        <w:t xml:space="preserve">The policy will be a success if </w:t>
      </w:r>
      <w:r w:rsidR="00BC6A19">
        <w:t xml:space="preserve">wholly-owned companies save significant </w:t>
      </w:r>
      <w:r w:rsidR="00C37C1C">
        <w:t xml:space="preserve">regulatory costs associated with preparing </w:t>
      </w:r>
      <w:r w:rsidR="00D601AC">
        <w:t xml:space="preserve">and lodging </w:t>
      </w:r>
      <w:r w:rsidR="00C37C1C">
        <w:t xml:space="preserve">individual reports while </w:t>
      </w:r>
      <w:r>
        <w:t xml:space="preserve">creditors and other stakeholders continue to have access to </w:t>
      </w:r>
      <w:r w:rsidR="00DB5161">
        <w:t xml:space="preserve">consolidated </w:t>
      </w:r>
      <w:r w:rsidR="0076191B">
        <w:t xml:space="preserve">financial information about group entities. </w:t>
      </w:r>
    </w:p>
    <w:p w14:paraId="67326626" w14:textId="77777777" w:rsidR="00AE39E1" w:rsidRDefault="00CA3925" w:rsidP="00AE39E1">
      <w:pPr>
        <w:pStyle w:val="Heading3"/>
      </w:pPr>
      <w:r w:rsidRPr="000E5B4B">
        <w:t>Implementation approach</w:t>
      </w:r>
    </w:p>
    <w:p w14:paraId="1385BAEA" w14:textId="4EE0DAC1" w:rsidR="00CA3925" w:rsidRDefault="00FB6CAA" w:rsidP="00AE39E1">
      <w:r>
        <w:t xml:space="preserve">ASIC will make </w:t>
      </w:r>
      <w:r w:rsidR="00006A58" w:rsidRPr="003947E9">
        <w:rPr>
          <w:i/>
          <w:iCs/>
        </w:rPr>
        <w:t>ASIC Corporations (Wholly-owned Companies) Instrument 2026</w:t>
      </w:r>
      <w:r w:rsidR="00006A58" w:rsidRPr="00006A58">
        <w:t>/533</w:t>
      </w:r>
      <w:r w:rsidR="00006A58">
        <w:t xml:space="preserve"> </w:t>
      </w:r>
      <w:r w:rsidR="00EA6E64">
        <w:t xml:space="preserve">before 1 October 2026. We will also amend and update all associated </w:t>
      </w:r>
      <w:r w:rsidR="003826E1">
        <w:t xml:space="preserve">forms, pro formas and regulatory guidance. </w:t>
      </w:r>
    </w:p>
    <w:p w14:paraId="0C606732" w14:textId="77777777" w:rsidR="00AE39E1" w:rsidRDefault="00AE39E1" w:rsidP="00AE39E1">
      <w:pPr>
        <w:pStyle w:val="Heading3"/>
      </w:pPr>
      <w:r>
        <w:t>Planned evaluation</w:t>
      </w:r>
    </w:p>
    <w:p w14:paraId="6963A7E0" w14:textId="25E3774F" w:rsidR="00AE39E1" w:rsidRDefault="003826E1" w:rsidP="00AE39E1">
      <w:r>
        <w:t xml:space="preserve">The wholly-owned companies relief will be reviewed </w:t>
      </w:r>
      <w:r w:rsidR="0057033E">
        <w:t xml:space="preserve">by ASIC </w:t>
      </w:r>
      <w:r>
        <w:t>after 5 years</w:t>
      </w:r>
      <w:r w:rsidR="0057033E">
        <w:t xml:space="preserve"> to ensure </w:t>
      </w:r>
      <w:r w:rsidR="00E44789">
        <w:t xml:space="preserve">it is </w:t>
      </w:r>
      <w:r w:rsidR="00E44789" w:rsidRPr="00E44789">
        <w:t>operating effectively and efficiently and continue</w:t>
      </w:r>
      <w:r w:rsidR="00E44789">
        <w:t>s</w:t>
      </w:r>
      <w:r w:rsidR="00E44789" w:rsidRPr="00E44789">
        <w:t xml:space="preserve"> to form a necessary and useful part of the legislative framework</w:t>
      </w:r>
      <w:r w:rsidR="0057033E">
        <w:t xml:space="preserve">. </w:t>
      </w:r>
    </w:p>
    <w:p w14:paraId="2F2C3DDA" w14:textId="77777777" w:rsidR="00AE39E1" w:rsidRDefault="00AE39E1">
      <w:pPr>
        <w:spacing w:after="200" w:line="288" w:lineRule="auto"/>
      </w:pPr>
      <w:r>
        <w:br w:type="page"/>
      </w:r>
    </w:p>
    <w:p w14:paraId="4F4DA93D" w14:textId="77777777" w:rsidR="00A17097" w:rsidRPr="00370EA1" w:rsidRDefault="00936C83" w:rsidP="00AE39E1">
      <w:pPr>
        <w:pStyle w:val="Heading1"/>
      </w:pPr>
      <w:r>
        <w:lastRenderedPageBreak/>
        <w:t>S</w:t>
      </w:r>
      <w:r w:rsidRPr="00370EA1">
        <w:t xml:space="preserve">tatement </w:t>
      </w:r>
      <w:r w:rsidR="00077EAC">
        <w:t xml:space="preserve">of </w:t>
      </w:r>
      <w:r>
        <w:t>Sufficiency</w:t>
      </w:r>
    </w:p>
    <w:p w14:paraId="71626937" w14:textId="51E61E53" w:rsidR="00A17097" w:rsidRPr="00370EA1" w:rsidRDefault="00A17097" w:rsidP="00AE39E1">
      <w:r w:rsidRPr="00AE39E1">
        <w:t xml:space="preserve">I confirm that this Dashboard Impact Analysis (IA) prepared for </w:t>
      </w:r>
      <w:r w:rsidR="001C4A58">
        <w:t xml:space="preserve">financial reporting relief for wholly-owned companies </w:t>
      </w:r>
      <w:r w:rsidRPr="00AE39E1">
        <w:t>meets the requirements</w:t>
      </w:r>
      <w:r w:rsidRPr="00370EA1">
        <w:t xml:space="preserve"> set out in the </w:t>
      </w:r>
      <w:r w:rsidR="00695CB5" w:rsidRPr="0087619F">
        <w:rPr>
          <w:i/>
          <w:iCs/>
        </w:rPr>
        <w:t xml:space="preserve">Australian Government </w:t>
      </w:r>
      <w:r w:rsidRPr="00370EA1">
        <w:rPr>
          <w:i/>
        </w:rPr>
        <w:t>Impact Analysis Framework</w:t>
      </w:r>
      <w:r>
        <w:rPr>
          <w:i/>
        </w:rPr>
        <w:t>.</w:t>
      </w:r>
    </w:p>
    <w:p w14:paraId="676B5DF0" w14:textId="77777777" w:rsidR="00A17097" w:rsidRPr="00370EA1" w:rsidRDefault="00A17097" w:rsidP="00AE39E1">
      <w:r w:rsidRPr="00370EA1">
        <w:t xml:space="preserve">I confirm that the level of analysis is proportionate to the policy issue being considered. </w:t>
      </w:r>
    </w:p>
    <w:p w14:paraId="1CFF9CE0" w14:textId="77777777" w:rsidR="00A17097" w:rsidRPr="00370EA1" w:rsidRDefault="00A17097" w:rsidP="00AE39E1">
      <w:pPr>
        <w:spacing w:after="0"/>
      </w:pPr>
      <w:r w:rsidRPr="00370EA1">
        <w:t>I note the</w:t>
      </w:r>
      <w:r w:rsidR="001C0480">
        <w:t xml:space="preserve"> Dashboard</w:t>
      </w:r>
      <w:r w:rsidRPr="00370EA1">
        <w:t xml:space="preserve"> IA provides</w:t>
      </w:r>
      <w:r w:rsidR="00561D39" w:rsidRPr="00561D39">
        <w:t xml:space="preserve"> </w:t>
      </w:r>
      <w:r w:rsidR="00561D39" w:rsidRPr="00370EA1">
        <w:t xml:space="preserve">analysis of the impacts of the proposal using the </w:t>
      </w:r>
      <w:r w:rsidR="007114AC">
        <w:t>7</w:t>
      </w:r>
      <w:r w:rsidR="007114AC" w:rsidRPr="00370EA1">
        <w:t xml:space="preserve"> </w:t>
      </w:r>
      <w:r w:rsidR="00561D39" w:rsidRPr="00370EA1">
        <w:t>IA questions</w:t>
      </w:r>
      <w:r w:rsidR="00561D39">
        <w:t xml:space="preserve"> and</w:t>
      </w:r>
      <w:r w:rsidRPr="00370EA1">
        <w:t>:</w:t>
      </w:r>
    </w:p>
    <w:p w14:paraId="15320B4E" w14:textId="77777777" w:rsidR="00A17097" w:rsidRPr="00370EA1" w:rsidRDefault="00A17097" w:rsidP="00AE39E1">
      <w:pPr>
        <w:pStyle w:val="BulletedList-Level1"/>
      </w:pPr>
      <w:r>
        <w:t xml:space="preserve">a </w:t>
      </w:r>
      <w:r w:rsidR="00EB763B">
        <w:t>high-level</w:t>
      </w:r>
      <w:r>
        <w:t xml:space="preserve"> summary</w:t>
      </w:r>
      <w:r w:rsidR="001C0480">
        <w:t xml:space="preserve"> of</w:t>
      </w:r>
      <w:r>
        <w:t xml:space="preserve"> </w:t>
      </w:r>
      <w:r w:rsidRPr="00370EA1">
        <w:t>costs and benefits</w:t>
      </w:r>
      <w:r w:rsidR="009433AF">
        <w:t xml:space="preserve"> and an estimate in</w:t>
      </w:r>
      <w:r>
        <w:t xml:space="preserve"> the change in the regulatory burden,</w:t>
      </w:r>
      <w:r w:rsidRPr="00370EA1">
        <w:t xml:space="preserve"> of </w:t>
      </w:r>
      <w:r w:rsidR="009433AF">
        <w:t>the policy options</w:t>
      </w:r>
      <w:r w:rsidR="00F568A6">
        <w:t xml:space="preserve"> under consideration </w:t>
      </w:r>
    </w:p>
    <w:p w14:paraId="3BE85F37" w14:textId="77777777" w:rsidR="00A17097" w:rsidRPr="00370EA1" w:rsidRDefault="00A17097" w:rsidP="00AE39E1">
      <w:pPr>
        <w:pStyle w:val="BulletedList-Level1"/>
      </w:pPr>
      <w:r w:rsidRPr="00370EA1">
        <w:t xml:space="preserve">high-level analysis of the policy option against the </w:t>
      </w:r>
      <w:r w:rsidR="00542ECD">
        <w:t>g</w:t>
      </w:r>
      <w:r w:rsidRPr="00370EA1">
        <w:t>overnment’s key strategic priorities</w:t>
      </w:r>
    </w:p>
    <w:p w14:paraId="5C999D71" w14:textId="77777777" w:rsidR="00A17097" w:rsidRPr="00370EA1" w:rsidRDefault="00A17097" w:rsidP="00AE39E1">
      <w:pPr>
        <w:pStyle w:val="BulletedList-Level1"/>
      </w:pPr>
      <w:r w:rsidRPr="00370EA1">
        <w:t xml:space="preserve">a summary of </w:t>
      </w:r>
      <w:r>
        <w:t>relevant</w:t>
      </w:r>
      <w:r w:rsidRPr="00370EA1">
        <w:t xml:space="preserve"> distributional effects</w:t>
      </w:r>
      <w:r w:rsidR="00B922B2">
        <w:t xml:space="preserve"> and </w:t>
      </w:r>
      <w:r w:rsidR="00AA5F0B">
        <w:t xml:space="preserve">evidence </w:t>
      </w:r>
      <w:r w:rsidR="007114AC">
        <w:t xml:space="preserve">of </w:t>
      </w:r>
      <w:r w:rsidR="007114AC" w:rsidRPr="007114AC">
        <w:t>key stakeholder feedback incorporated into the policy design</w:t>
      </w:r>
    </w:p>
    <w:p w14:paraId="0C39D770" w14:textId="77777777" w:rsidR="00A17097" w:rsidRPr="00370EA1" w:rsidRDefault="00A17097" w:rsidP="00AE39E1">
      <w:pPr>
        <w:pStyle w:val="BulletedList-Level1"/>
        <w:spacing w:after="600"/>
      </w:pPr>
      <w:r w:rsidRPr="00370EA1">
        <w:t>other details required to understand and assess the proposal.</w:t>
      </w:r>
    </w:p>
    <w:p w14:paraId="220A9FEF" w14:textId="1154F69E" w:rsidR="00AE39E1" w:rsidRPr="00AE39E1" w:rsidRDefault="00B248E6" w:rsidP="00AE39E1">
      <w:pPr>
        <w:spacing w:after="0"/>
        <w:rPr>
          <w:b/>
          <w:bCs/>
        </w:rPr>
      </w:pPr>
      <w:r>
        <w:rPr>
          <w:b/>
          <w:bCs/>
        </w:rPr>
        <w:t>Certified</w:t>
      </w:r>
      <w:r w:rsidRPr="00AE39E1">
        <w:rPr>
          <w:b/>
          <w:bCs/>
        </w:rPr>
        <w:t xml:space="preserve"> </w:t>
      </w:r>
      <w:r w:rsidR="00A17097" w:rsidRPr="00AE39E1">
        <w:rPr>
          <w:b/>
          <w:bCs/>
        </w:rPr>
        <w:t>by</w:t>
      </w:r>
    </w:p>
    <w:p w14:paraId="70C2F8F5" w14:textId="77777777" w:rsidR="00B248E6" w:rsidRDefault="00B248E6" w:rsidP="00AE39E1">
      <w:pPr>
        <w:spacing w:after="0"/>
      </w:pPr>
    </w:p>
    <w:p w14:paraId="38C36F98" w14:textId="588C46F9" w:rsidR="005926D5" w:rsidRPr="005926D5" w:rsidRDefault="005926D5" w:rsidP="005926D5">
      <w:pPr>
        <w:spacing w:after="0"/>
      </w:pPr>
    </w:p>
    <w:p w14:paraId="25778845" w14:textId="77777777" w:rsidR="00A05F4D" w:rsidRDefault="00A05F4D" w:rsidP="00AE39E1">
      <w:pPr>
        <w:spacing w:after="0"/>
      </w:pPr>
    </w:p>
    <w:p w14:paraId="211436E4" w14:textId="77777777" w:rsidR="00B248E6" w:rsidRDefault="00B248E6" w:rsidP="00AE39E1">
      <w:pPr>
        <w:spacing w:after="0"/>
      </w:pPr>
    </w:p>
    <w:p w14:paraId="0CA648CD" w14:textId="762541F5" w:rsidR="00A17097" w:rsidRPr="0043491A" w:rsidRDefault="00C53985" w:rsidP="00AE39E1">
      <w:pPr>
        <w:spacing w:after="0"/>
      </w:pPr>
      <w:r>
        <w:t>Michael Dorman</w:t>
      </w:r>
    </w:p>
    <w:p w14:paraId="6243A40E" w14:textId="2C38BE97" w:rsidR="00A17097" w:rsidRPr="0043491A" w:rsidRDefault="00C53985" w:rsidP="00AE39E1">
      <w:pPr>
        <w:spacing w:after="0"/>
      </w:pPr>
      <w:r>
        <w:t xml:space="preserve">Senior Executive Leader, Companies, </w:t>
      </w:r>
      <w:r w:rsidR="00C01529">
        <w:t xml:space="preserve">Registered </w:t>
      </w:r>
      <w:r>
        <w:t xml:space="preserve">Liquidators and </w:t>
      </w:r>
      <w:r w:rsidR="00C01529">
        <w:t>Small Business</w:t>
      </w:r>
    </w:p>
    <w:p w14:paraId="57F9A725" w14:textId="17F45E88" w:rsidR="00A17097" w:rsidRPr="00D85CAB" w:rsidRDefault="00C01529" w:rsidP="00AE39E1">
      <w:pPr>
        <w:spacing w:after="0"/>
      </w:pPr>
      <w:r>
        <w:t>Australian Securities and Investments Commission</w:t>
      </w:r>
    </w:p>
    <w:p w14:paraId="1F8E0C29" w14:textId="132F4D26" w:rsidR="005C32EF" w:rsidRPr="005C32EF" w:rsidRDefault="00575B55" w:rsidP="00AE39E1">
      <w:pPr>
        <w:spacing w:after="0"/>
      </w:pPr>
      <w:r>
        <w:t xml:space="preserve">24 </w:t>
      </w:r>
      <w:r w:rsidR="00094550">
        <w:t>September 2026</w:t>
      </w:r>
    </w:p>
    <w:sectPr w:rsidR="005C32EF" w:rsidRPr="005C32EF" w:rsidSect="002356F8">
      <w:headerReference w:type="default" r:id="rId8"/>
      <w:footerReference w:type="default" r:id="rId9"/>
      <w:headerReference w:type="first" r:id="rId10"/>
      <w:footerReference w:type="first" r:id="rId11"/>
      <w:pgSz w:w="11906" w:h="16838"/>
      <w:pgMar w:top="1701" w:right="1134" w:bottom="1134" w:left="1134" w:header="992"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04E75" w14:textId="77777777" w:rsidR="00182892" w:rsidRDefault="00182892" w:rsidP="00F957C6">
      <w:pPr>
        <w:spacing w:after="0" w:line="240" w:lineRule="auto"/>
      </w:pPr>
      <w:r>
        <w:separator/>
      </w:r>
    </w:p>
  </w:endnote>
  <w:endnote w:type="continuationSeparator" w:id="0">
    <w:p w14:paraId="15030B4E" w14:textId="77777777" w:rsidR="00182892" w:rsidRDefault="00182892" w:rsidP="00F95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do">
    <w:altName w:val="Times New Roman"/>
    <w:charset w:val="00"/>
    <w:family w:val="roman"/>
    <w:pitch w:val="variable"/>
    <w:sig w:usb0="E40008FF" w:usb1="5201E0FB" w:usb2="04608000" w:usb3="00000000" w:csb0="000000BB"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light">
    <w:panose1 w:val="020B04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ter Light">
    <w:altName w:val="Inter Light"/>
    <w:charset w:val="00"/>
    <w:family w:val="auto"/>
    <w:pitch w:val="variable"/>
    <w:sig w:usb0="E00002FF" w:usb1="1200A1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ADCFD" w14:textId="7A886EE1" w:rsidR="00037513" w:rsidRPr="00852F35" w:rsidRDefault="00936C83" w:rsidP="00936C83">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 xml:space="preserve">| </w:t>
    </w:r>
    <w:r>
      <w:rPr>
        <w:color w:val="6E6E6E"/>
        <w:sz w:val="18"/>
        <w:szCs w:val="18"/>
      </w:rPr>
      <w:t xml:space="preserve">Dashboard Impact Analysis (IA) – </w:t>
    </w:r>
    <w:r w:rsidR="00D15439">
      <w:rPr>
        <w:color w:val="6E6E6E"/>
        <w:sz w:val="18"/>
        <w:szCs w:val="18"/>
      </w:rPr>
      <w:t>Financial reporting relief for wholly-owned companies</w:t>
    </w:r>
    <w:r w:rsidRPr="00852F35">
      <w:rPr>
        <w:color w:val="6E6E6E"/>
      </w:rPr>
      <w:ptab w:relativeTo="margin" w:alignment="right" w:leader="none"/>
    </w:r>
    <w:r w:rsidRPr="00852F35">
      <w:rPr>
        <w:rFonts w:ascii="Segoe UI" w:hAnsi="Segoe UI" w:cs="Segoe UI"/>
        <w:color w:val="6E6E6E"/>
        <w:sz w:val="18"/>
      </w:rPr>
      <w:fldChar w:fldCharType="begin"/>
    </w:r>
    <w:r w:rsidRPr="00852F35">
      <w:rPr>
        <w:rFonts w:ascii="Segoe UI" w:hAnsi="Segoe UI" w:cs="Segoe UI"/>
        <w:color w:val="6E6E6E"/>
        <w:sz w:val="18"/>
      </w:rPr>
      <w:instrText xml:space="preserve"> PAGE   \* MERGEFORMAT </w:instrText>
    </w:r>
    <w:r w:rsidRPr="00852F35">
      <w:rPr>
        <w:rFonts w:ascii="Segoe UI" w:hAnsi="Segoe UI" w:cs="Segoe UI"/>
        <w:color w:val="6E6E6E"/>
        <w:sz w:val="18"/>
      </w:rPr>
      <w:fldChar w:fldCharType="separate"/>
    </w:r>
    <w:r>
      <w:rPr>
        <w:rFonts w:ascii="Segoe UI" w:hAnsi="Segoe UI" w:cs="Segoe UI"/>
        <w:color w:val="6E6E6E"/>
        <w:sz w:val="18"/>
      </w:rPr>
      <w:t>1</w:t>
    </w:r>
    <w:r w:rsidRPr="00852F35">
      <w:rPr>
        <w:rFonts w:ascii="Segoe UI" w:hAnsi="Segoe UI" w:cs="Segoe UI"/>
        <w:noProof/>
        <w:color w:val="6E6E6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9EB8" w14:textId="01443A35" w:rsidR="00464D89" w:rsidRPr="00BB1526" w:rsidRDefault="005A3632" w:rsidP="00BB1526">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w:t>
    </w:r>
    <w:r w:rsidR="00BB1526" w:rsidRPr="00852F35">
      <w:rPr>
        <w:color w:val="6E6E6E"/>
        <w:sz w:val="18"/>
        <w:szCs w:val="18"/>
      </w:rPr>
      <w:t xml:space="preserve"> </w:t>
    </w:r>
    <w:r w:rsidR="005D7C45">
      <w:rPr>
        <w:color w:val="6E6E6E"/>
        <w:sz w:val="18"/>
        <w:szCs w:val="18"/>
      </w:rPr>
      <w:t xml:space="preserve">Dashboard Impact Analysis (IA) – </w:t>
    </w:r>
    <w:r w:rsidR="004D5E38">
      <w:rPr>
        <w:color w:val="6E6E6E"/>
        <w:sz w:val="18"/>
        <w:szCs w:val="18"/>
      </w:rPr>
      <w:t>Financial reporting relief for wholly-owned companies</w:t>
    </w:r>
    <w:r w:rsidR="00BB1526" w:rsidRPr="00852F35">
      <w:rPr>
        <w:color w:val="6E6E6E"/>
      </w:rPr>
      <w:ptab w:relativeTo="margin" w:alignment="right" w:leader="none"/>
    </w:r>
    <w:r w:rsidR="00BB1526" w:rsidRPr="00852F35">
      <w:rPr>
        <w:rFonts w:ascii="Segoe UI" w:hAnsi="Segoe UI" w:cs="Segoe UI"/>
        <w:color w:val="6E6E6E"/>
        <w:sz w:val="18"/>
      </w:rPr>
      <w:fldChar w:fldCharType="begin"/>
    </w:r>
    <w:r w:rsidR="00BB1526" w:rsidRPr="00852F35">
      <w:rPr>
        <w:rFonts w:ascii="Segoe UI" w:hAnsi="Segoe UI" w:cs="Segoe UI"/>
        <w:color w:val="6E6E6E"/>
        <w:sz w:val="18"/>
      </w:rPr>
      <w:instrText xml:space="preserve"> PAGE   \* MERGEFORMAT </w:instrText>
    </w:r>
    <w:r w:rsidR="00BB1526" w:rsidRPr="00852F35">
      <w:rPr>
        <w:rFonts w:ascii="Segoe UI" w:hAnsi="Segoe UI" w:cs="Segoe UI"/>
        <w:color w:val="6E6E6E"/>
        <w:sz w:val="18"/>
      </w:rPr>
      <w:fldChar w:fldCharType="separate"/>
    </w:r>
    <w:r w:rsidR="00E155C1">
      <w:rPr>
        <w:rFonts w:ascii="Segoe UI" w:hAnsi="Segoe UI" w:cs="Segoe UI"/>
        <w:noProof/>
        <w:color w:val="6E6E6E"/>
        <w:sz w:val="18"/>
      </w:rPr>
      <w:t>1</w:t>
    </w:r>
    <w:r w:rsidR="00BB1526" w:rsidRPr="00852F35">
      <w:rPr>
        <w:rFonts w:ascii="Segoe UI" w:hAnsi="Segoe UI" w:cs="Segoe UI"/>
        <w:noProof/>
        <w:color w:val="6E6E6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90A6B" w14:textId="77777777" w:rsidR="00182892" w:rsidRDefault="00182892" w:rsidP="00F957C6">
      <w:pPr>
        <w:spacing w:after="0" w:line="240" w:lineRule="auto"/>
      </w:pPr>
      <w:r>
        <w:separator/>
      </w:r>
    </w:p>
  </w:footnote>
  <w:footnote w:type="continuationSeparator" w:id="0">
    <w:p w14:paraId="74A4C332" w14:textId="77777777" w:rsidR="00182892" w:rsidRDefault="00182892" w:rsidP="00F95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3107" w14:textId="53C9F762" w:rsidR="00037513" w:rsidRPr="00D10635" w:rsidRDefault="00037513" w:rsidP="00464D8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F4561" w14:textId="77777777" w:rsidR="0026634E" w:rsidRDefault="0026634E" w:rsidP="0026634E">
    <w:pPr>
      <w:pStyle w:val="Header"/>
      <w:jc w:val="center"/>
      <w:rPr>
        <w:rStyle w:val="CLASSIFICATIONChar"/>
      </w:rPr>
    </w:pPr>
    <w:r>
      <w:rPr>
        <w:rStyle w:val="CLASSIFICATIONChar"/>
        <w:noProof/>
        <w:lang w:eastAsia="en-AU"/>
      </w:rPr>
      <w:drawing>
        <wp:anchor distT="0" distB="0" distL="114300" distR="114300" simplePos="0" relativeHeight="251658240" behindDoc="1" locked="0" layoutInCell="1" allowOverlap="1" wp14:anchorId="0BAD895F" wp14:editId="1B7BAD46">
          <wp:simplePos x="0" y="0"/>
          <wp:positionH relativeFrom="column">
            <wp:posOffset>-46990</wp:posOffset>
          </wp:positionH>
          <wp:positionV relativeFrom="paragraph">
            <wp:posOffset>-217805</wp:posOffset>
          </wp:positionV>
          <wp:extent cx="2322830" cy="621665"/>
          <wp:effectExtent l="0" t="0" r="1270" b="6985"/>
          <wp:wrapNone/>
          <wp:docPr id="16" name="Picture 16"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ustralian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21665"/>
                  </a:xfrm>
                  <a:prstGeom prst="rect">
                    <a:avLst/>
                  </a:prstGeom>
                  <a:noFill/>
                </pic:spPr>
              </pic:pic>
            </a:graphicData>
          </a:graphic>
        </wp:anchor>
      </w:drawing>
    </w:r>
  </w:p>
  <w:p w14:paraId="7E056C5B" w14:textId="77777777" w:rsidR="0026634E" w:rsidRDefault="0026634E" w:rsidP="0026634E">
    <w:pPr>
      <w:pStyle w:val="Header"/>
      <w:jc w:val="center"/>
      <w:rPr>
        <w:rStyle w:val="CLASSIFICATIONChar"/>
      </w:rPr>
    </w:pPr>
  </w:p>
  <w:p w14:paraId="648BE20F" w14:textId="77777777" w:rsidR="00037513" w:rsidRPr="0026634E" w:rsidRDefault="00037513" w:rsidP="00266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04592A"/>
    <w:lvl w:ilvl="0">
      <w:start w:val="1"/>
      <w:numFmt w:val="decimal"/>
      <w:lvlText w:val="%1."/>
      <w:lvlJc w:val="left"/>
      <w:pPr>
        <w:tabs>
          <w:tab w:val="num" w:pos="2060"/>
        </w:tabs>
        <w:ind w:left="2060" w:hanging="360"/>
      </w:pPr>
    </w:lvl>
  </w:abstractNum>
  <w:abstractNum w:abstractNumId="1" w15:restartNumberingAfterBreak="0">
    <w:nsid w:val="FFFFFF7D"/>
    <w:multiLevelType w:val="singleLevel"/>
    <w:tmpl w:val="35487F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50D9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D612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1469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F01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FE08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9813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620C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4281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75033"/>
    <w:multiLevelType w:val="hybridMultilevel"/>
    <w:tmpl w:val="C6DC8A2C"/>
    <w:lvl w:ilvl="0" w:tplc="458A1C2C">
      <w:start w:val="1"/>
      <w:numFmt w:val="bullet"/>
      <w:pStyle w:val="TBL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014CCD"/>
    <w:multiLevelType w:val="hybridMultilevel"/>
    <w:tmpl w:val="D0E0AE74"/>
    <w:lvl w:ilvl="0" w:tplc="42CAA44A">
      <w:start w:val="1"/>
      <w:numFmt w:val="bullet"/>
      <w:pStyle w:val="BOXBulletedList"/>
      <w:lvlText w:val=""/>
      <w:lvlJc w:val="left"/>
      <w:pPr>
        <w:ind w:left="284" w:hanging="284"/>
      </w:pPr>
      <w:rPr>
        <w:rFonts w:ascii="Symbol" w:hAnsi="Symbol" w:hint="default"/>
      </w:rPr>
    </w:lvl>
    <w:lvl w:ilvl="1" w:tplc="AFD06412">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AF6F03"/>
    <w:multiLevelType w:val="hybridMultilevel"/>
    <w:tmpl w:val="4CF49542"/>
    <w:lvl w:ilvl="0" w:tplc="6C069990">
      <w:start w:val="1"/>
      <w:numFmt w:val="bullet"/>
      <w:pStyle w:val="BulletedList-Level3"/>
      <w:lvlText w:val="o"/>
      <w:lvlJc w:val="left"/>
      <w:pPr>
        <w:ind w:left="1134" w:hanging="283"/>
      </w:pPr>
      <w:rPr>
        <w:rFonts w:ascii="Courier New" w:hAnsi="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3" w15:restartNumberingAfterBreak="0">
    <w:nsid w:val="13A3105B"/>
    <w:multiLevelType w:val="hybridMultilevel"/>
    <w:tmpl w:val="2F88CC68"/>
    <w:lvl w:ilvl="0" w:tplc="93300146">
      <w:start w:val="1"/>
      <w:numFmt w:val="decimal"/>
      <w:pStyle w:val="BoxDark-NumberedList"/>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4" w15:restartNumberingAfterBreak="0">
    <w:nsid w:val="19F33BBA"/>
    <w:multiLevelType w:val="hybridMultilevel"/>
    <w:tmpl w:val="0812E2DE"/>
    <w:lvl w:ilvl="0" w:tplc="E1AE5D66">
      <w:start w:val="1"/>
      <w:numFmt w:val="decimal"/>
      <w:pStyle w:val="Figure"/>
      <w:suff w:val="space"/>
      <w:lvlText w:val="Figure %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F507AC4"/>
    <w:multiLevelType w:val="hybridMultilevel"/>
    <w:tmpl w:val="6FFA548C"/>
    <w:lvl w:ilvl="0" w:tplc="E7066796">
      <w:start w:val="1"/>
      <w:numFmt w:val="bullet"/>
      <w:pStyle w:val="BulletedList-Level2"/>
      <w:lvlText w:val="−"/>
      <w:lvlJc w:val="left"/>
      <w:pPr>
        <w:ind w:left="851" w:hanging="284"/>
      </w:pPr>
      <w:rPr>
        <w:rFonts w:ascii="Cardo" w:hAnsi="Cardo"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26DF05D0"/>
    <w:multiLevelType w:val="hybridMultilevel"/>
    <w:tmpl w:val="361C2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854A54"/>
    <w:multiLevelType w:val="hybridMultilevel"/>
    <w:tmpl w:val="253E2E62"/>
    <w:lvl w:ilvl="0" w:tplc="B2AA9F56">
      <w:start w:val="1"/>
      <w:numFmt w:val="bullet"/>
      <w:pStyle w:val="BulletedList-Level1"/>
      <w:lvlText w:val=""/>
      <w:lvlJc w:val="left"/>
      <w:pPr>
        <w:ind w:left="425" w:hanging="283"/>
      </w:pPr>
      <w:rPr>
        <w:rFonts w:ascii="Symbol" w:hAnsi="Symbol" w:hint="default"/>
      </w:rPr>
    </w:lvl>
    <w:lvl w:ilvl="1" w:tplc="4BB4D094">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1EFC13BC">
      <w:start w:val="1"/>
      <w:numFmt w:val="bullet"/>
      <w:lvlText w:val=""/>
      <w:lvlJc w:val="left"/>
      <w:pPr>
        <w:ind w:left="992" w:hanging="283"/>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8" w15:restartNumberingAfterBreak="0">
    <w:nsid w:val="3A43634D"/>
    <w:multiLevelType w:val="hybridMultilevel"/>
    <w:tmpl w:val="BCB85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6C7FF6"/>
    <w:multiLevelType w:val="hybridMultilevel"/>
    <w:tmpl w:val="4D4A750C"/>
    <w:lvl w:ilvl="0" w:tplc="D6643B58">
      <w:start w:val="1"/>
      <w:numFmt w:val="decimal"/>
      <w:pStyle w:val="BOXNumberedList"/>
      <w:lvlText w:val="%1."/>
      <w:lvlJc w:val="left"/>
      <w:pPr>
        <w:ind w:left="840" w:hanging="360"/>
      </w:pPr>
    </w:lvl>
    <w:lvl w:ilvl="1" w:tplc="0C090019" w:tentative="1">
      <w:start w:val="1"/>
      <w:numFmt w:val="lowerLetter"/>
      <w:lvlText w:val="%2."/>
      <w:lvlJc w:val="left"/>
      <w:pPr>
        <w:ind w:left="1560" w:hanging="360"/>
      </w:pPr>
    </w:lvl>
    <w:lvl w:ilvl="2" w:tplc="0C09001B" w:tentative="1">
      <w:start w:val="1"/>
      <w:numFmt w:val="lowerRoman"/>
      <w:lvlText w:val="%3."/>
      <w:lvlJc w:val="right"/>
      <w:pPr>
        <w:ind w:left="2280" w:hanging="180"/>
      </w:pPr>
    </w:lvl>
    <w:lvl w:ilvl="3" w:tplc="0C09000F" w:tentative="1">
      <w:start w:val="1"/>
      <w:numFmt w:val="decimal"/>
      <w:lvlText w:val="%4."/>
      <w:lvlJc w:val="left"/>
      <w:pPr>
        <w:ind w:left="3000" w:hanging="360"/>
      </w:pPr>
    </w:lvl>
    <w:lvl w:ilvl="4" w:tplc="0C090019" w:tentative="1">
      <w:start w:val="1"/>
      <w:numFmt w:val="lowerLetter"/>
      <w:lvlText w:val="%5."/>
      <w:lvlJc w:val="left"/>
      <w:pPr>
        <w:ind w:left="3720" w:hanging="360"/>
      </w:pPr>
    </w:lvl>
    <w:lvl w:ilvl="5" w:tplc="0C09001B" w:tentative="1">
      <w:start w:val="1"/>
      <w:numFmt w:val="lowerRoman"/>
      <w:lvlText w:val="%6."/>
      <w:lvlJc w:val="right"/>
      <w:pPr>
        <w:ind w:left="4440" w:hanging="180"/>
      </w:pPr>
    </w:lvl>
    <w:lvl w:ilvl="6" w:tplc="0C09000F" w:tentative="1">
      <w:start w:val="1"/>
      <w:numFmt w:val="decimal"/>
      <w:lvlText w:val="%7."/>
      <w:lvlJc w:val="left"/>
      <w:pPr>
        <w:ind w:left="5160" w:hanging="360"/>
      </w:pPr>
    </w:lvl>
    <w:lvl w:ilvl="7" w:tplc="0C090019" w:tentative="1">
      <w:start w:val="1"/>
      <w:numFmt w:val="lowerLetter"/>
      <w:lvlText w:val="%8."/>
      <w:lvlJc w:val="left"/>
      <w:pPr>
        <w:ind w:left="5880" w:hanging="360"/>
      </w:pPr>
    </w:lvl>
    <w:lvl w:ilvl="8" w:tplc="0C09001B" w:tentative="1">
      <w:start w:val="1"/>
      <w:numFmt w:val="lowerRoman"/>
      <w:lvlText w:val="%9."/>
      <w:lvlJc w:val="right"/>
      <w:pPr>
        <w:ind w:left="6600" w:hanging="180"/>
      </w:pPr>
    </w:lvl>
  </w:abstractNum>
  <w:abstractNum w:abstractNumId="20" w15:restartNumberingAfterBreak="0">
    <w:nsid w:val="4E781EDD"/>
    <w:multiLevelType w:val="hybridMultilevel"/>
    <w:tmpl w:val="6B225E28"/>
    <w:lvl w:ilvl="0" w:tplc="1B58674C">
      <w:start w:val="1"/>
      <w:numFmt w:val="bullet"/>
      <w:lvlText w:val="–"/>
      <w:lvlJc w:val="left"/>
      <w:pPr>
        <w:ind w:left="851" w:hanging="284"/>
      </w:pPr>
      <w:rPr>
        <w:rFonts w:ascii="Arial Black" w:hAnsi="Arial Black"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1" w15:restartNumberingAfterBreak="0">
    <w:nsid w:val="61135143"/>
    <w:multiLevelType w:val="hybridMultilevel"/>
    <w:tmpl w:val="7D8C0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ABF0286"/>
    <w:multiLevelType w:val="hybridMultilevel"/>
    <w:tmpl w:val="70C6C990"/>
    <w:lvl w:ilvl="0" w:tplc="56D0C196">
      <w:start w:val="1"/>
      <w:numFmt w:val="decimal"/>
      <w:lvlText w:val="%1."/>
      <w:lvlJc w:val="left"/>
      <w:pPr>
        <w:ind w:left="284" w:hanging="28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EE51B32"/>
    <w:multiLevelType w:val="hybridMultilevel"/>
    <w:tmpl w:val="F2CE71E2"/>
    <w:lvl w:ilvl="0" w:tplc="5E348A7E">
      <w:start w:val="1"/>
      <w:numFmt w:val="decimal"/>
      <w:pStyle w:val="TBLNumbered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81170D5"/>
    <w:multiLevelType w:val="hybridMultilevel"/>
    <w:tmpl w:val="38E03EE6"/>
    <w:lvl w:ilvl="0" w:tplc="9C7CCF60">
      <w:start w:val="1"/>
      <w:numFmt w:val="decimal"/>
      <w:pStyle w:val="NumberedList-Level1"/>
      <w:lvlText w:val="%1."/>
      <w:lvlJc w:val="left"/>
      <w:pPr>
        <w:ind w:left="567" w:hanging="283"/>
      </w:pPr>
      <w:rPr>
        <w:rFonts w:hint="default"/>
      </w:rPr>
    </w:lvl>
    <w:lvl w:ilvl="1" w:tplc="1FAA0FEC">
      <w:start w:val="1"/>
      <w:numFmt w:val="lowerLetter"/>
      <w:pStyle w:val="NumberedList-level2"/>
      <w:lvlText w:val="%2."/>
      <w:lvlJc w:val="left"/>
      <w:pPr>
        <w:ind w:left="851" w:hanging="284"/>
      </w:pPr>
      <w:rPr>
        <w:rFonts w:hint="default"/>
      </w:rPr>
    </w:lvl>
    <w:lvl w:ilvl="2" w:tplc="65FAA32A">
      <w:start w:val="1"/>
      <w:numFmt w:val="lowerRoman"/>
      <w:pStyle w:val="NumberedList-Level3"/>
      <w:lvlText w:val="%3."/>
      <w:lvlJc w:val="right"/>
      <w:pPr>
        <w:ind w:left="1134" w:hanging="170"/>
      </w:pPr>
      <w:rPr>
        <w:rFonts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25884965">
    <w:abstractNumId w:val="11"/>
  </w:num>
  <w:num w:numId="2" w16cid:durableId="404568253">
    <w:abstractNumId w:val="9"/>
  </w:num>
  <w:num w:numId="3" w16cid:durableId="504319927">
    <w:abstractNumId w:val="7"/>
  </w:num>
  <w:num w:numId="4" w16cid:durableId="302465916">
    <w:abstractNumId w:val="6"/>
  </w:num>
  <w:num w:numId="5" w16cid:durableId="1197698854">
    <w:abstractNumId w:val="5"/>
  </w:num>
  <w:num w:numId="6" w16cid:durableId="680863680">
    <w:abstractNumId w:val="4"/>
  </w:num>
  <w:num w:numId="7" w16cid:durableId="255748006">
    <w:abstractNumId w:val="8"/>
  </w:num>
  <w:num w:numId="8" w16cid:durableId="1137651052">
    <w:abstractNumId w:val="3"/>
  </w:num>
  <w:num w:numId="9" w16cid:durableId="96338727">
    <w:abstractNumId w:val="2"/>
  </w:num>
  <w:num w:numId="10" w16cid:durableId="372266075">
    <w:abstractNumId w:val="1"/>
  </w:num>
  <w:num w:numId="11" w16cid:durableId="888490440">
    <w:abstractNumId w:val="0"/>
  </w:num>
  <w:num w:numId="12" w16cid:durableId="1815296940">
    <w:abstractNumId w:val="10"/>
  </w:num>
  <w:num w:numId="13" w16cid:durableId="1560096658">
    <w:abstractNumId w:val="23"/>
  </w:num>
  <w:num w:numId="14" w16cid:durableId="219633512">
    <w:abstractNumId w:val="17"/>
  </w:num>
  <w:num w:numId="15" w16cid:durableId="590897300">
    <w:abstractNumId w:val="17"/>
    <w:lvlOverride w:ilvl="0">
      <w:startOverride w:val="1"/>
    </w:lvlOverride>
  </w:num>
  <w:num w:numId="16" w16cid:durableId="534200502">
    <w:abstractNumId w:val="17"/>
    <w:lvlOverride w:ilvl="0">
      <w:startOverride w:val="1"/>
    </w:lvlOverride>
  </w:num>
  <w:num w:numId="17" w16cid:durableId="2023972854">
    <w:abstractNumId w:val="17"/>
    <w:lvlOverride w:ilvl="0">
      <w:startOverride w:val="1"/>
    </w:lvlOverride>
  </w:num>
  <w:num w:numId="18" w16cid:durableId="564725321">
    <w:abstractNumId w:val="17"/>
    <w:lvlOverride w:ilvl="0">
      <w:startOverride w:val="1"/>
    </w:lvlOverride>
  </w:num>
  <w:num w:numId="19" w16cid:durableId="224335938">
    <w:abstractNumId w:val="20"/>
  </w:num>
  <w:num w:numId="20" w16cid:durableId="1190410526">
    <w:abstractNumId w:val="20"/>
    <w:lvlOverride w:ilvl="0">
      <w:startOverride w:val="1"/>
    </w:lvlOverride>
  </w:num>
  <w:num w:numId="21" w16cid:durableId="1408385144">
    <w:abstractNumId w:val="24"/>
  </w:num>
  <w:num w:numId="22" w16cid:durableId="1652633785">
    <w:abstractNumId w:val="22"/>
  </w:num>
  <w:num w:numId="23" w16cid:durableId="1863855379">
    <w:abstractNumId w:val="11"/>
    <w:lvlOverride w:ilvl="0">
      <w:startOverride w:val="1"/>
    </w:lvlOverride>
  </w:num>
  <w:num w:numId="24" w16cid:durableId="1004935679">
    <w:abstractNumId w:val="24"/>
    <w:lvlOverride w:ilvl="0">
      <w:startOverride w:val="1"/>
    </w:lvlOverride>
  </w:num>
  <w:num w:numId="25" w16cid:durableId="556090353">
    <w:abstractNumId w:val="22"/>
    <w:lvlOverride w:ilvl="0">
      <w:startOverride w:val="1"/>
    </w:lvlOverride>
  </w:num>
  <w:num w:numId="26" w16cid:durableId="1451320037">
    <w:abstractNumId w:val="22"/>
    <w:lvlOverride w:ilvl="0">
      <w:startOverride w:val="1"/>
    </w:lvlOverride>
  </w:num>
  <w:num w:numId="27" w16cid:durableId="343560202">
    <w:abstractNumId w:val="14"/>
  </w:num>
  <w:num w:numId="28" w16cid:durableId="183137696">
    <w:abstractNumId w:val="19"/>
  </w:num>
  <w:num w:numId="29" w16cid:durableId="1159925919">
    <w:abstractNumId w:val="13"/>
  </w:num>
  <w:num w:numId="30" w16cid:durableId="506991561">
    <w:abstractNumId w:val="15"/>
  </w:num>
  <w:num w:numId="31" w16cid:durableId="762264085">
    <w:abstractNumId w:val="12"/>
  </w:num>
  <w:num w:numId="32" w16cid:durableId="1275554476">
    <w:abstractNumId w:val="24"/>
    <w:lvlOverride w:ilvl="0">
      <w:startOverride w:val="1"/>
    </w:lvlOverride>
  </w:num>
  <w:num w:numId="33" w16cid:durableId="22633587">
    <w:abstractNumId w:val="24"/>
    <w:lvlOverride w:ilvl="0">
      <w:startOverride w:val="1"/>
    </w:lvlOverride>
  </w:num>
  <w:num w:numId="34" w16cid:durableId="1153646539">
    <w:abstractNumId w:val="24"/>
    <w:lvlOverride w:ilvl="0">
      <w:startOverride w:val="1"/>
    </w:lvlOverride>
  </w:num>
  <w:num w:numId="35" w16cid:durableId="162401463">
    <w:abstractNumId w:val="23"/>
    <w:lvlOverride w:ilvl="0">
      <w:startOverride w:val="1"/>
    </w:lvlOverride>
  </w:num>
  <w:num w:numId="36" w16cid:durableId="450367212">
    <w:abstractNumId w:val="23"/>
    <w:lvlOverride w:ilvl="0">
      <w:startOverride w:val="1"/>
    </w:lvlOverride>
  </w:num>
  <w:num w:numId="37" w16cid:durableId="1187674628">
    <w:abstractNumId w:val="23"/>
    <w:lvlOverride w:ilvl="0">
      <w:startOverride w:val="1"/>
    </w:lvlOverride>
  </w:num>
  <w:num w:numId="38" w16cid:durableId="246689910">
    <w:abstractNumId w:val="21"/>
  </w:num>
  <w:num w:numId="39" w16cid:durableId="1755778916">
    <w:abstractNumId w:val="16"/>
  </w:num>
  <w:num w:numId="40" w16cid:durableId="3071769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6FB"/>
    <w:rsid w:val="000005B3"/>
    <w:rsid w:val="000007BC"/>
    <w:rsid w:val="0000144B"/>
    <w:rsid w:val="000027F1"/>
    <w:rsid w:val="0000326B"/>
    <w:rsid w:val="000035F5"/>
    <w:rsid w:val="00006A58"/>
    <w:rsid w:val="000078AD"/>
    <w:rsid w:val="000102CD"/>
    <w:rsid w:val="000109F5"/>
    <w:rsid w:val="00010BAD"/>
    <w:rsid w:val="00010DB4"/>
    <w:rsid w:val="00011161"/>
    <w:rsid w:val="00012C99"/>
    <w:rsid w:val="00012D5F"/>
    <w:rsid w:val="00012FED"/>
    <w:rsid w:val="00013113"/>
    <w:rsid w:val="00013BC2"/>
    <w:rsid w:val="000145D3"/>
    <w:rsid w:val="00014BB6"/>
    <w:rsid w:val="00015101"/>
    <w:rsid w:val="00016A37"/>
    <w:rsid w:val="00016A45"/>
    <w:rsid w:val="00016D77"/>
    <w:rsid w:val="00017401"/>
    <w:rsid w:val="0001758A"/>
    <w:rsid w:val="00017F58"/>
    <w:rsid w:val="0002049E"/>
    <w:rsid w:val="000206BB"/>
    <w:rsid w:val="00021631"/>
    <w:rsid w:val="000216F2"/>
    <w:rsid w:val="00021F79"/>
    <w:rsid w:val="00022BA7"/>
    <w:rsid w:val="00022CED"/>
    <w:rsid w:val="000231A1"/>
    <w:rsid w:val="00023205"/>
    <w:rsid w:val="000232D1"/>
    <w:rsid w:val="00023657"/>
    <w:rsid w:val="00023EF4"/>
    <w:rsid w:val="00024542"/>
    <w:rsid w:val="00025718"/>
    <w:rsid w:val="00027038"/>
    <w:rsid w:val="000276EF"/>
    <w:rsid w:val="00027798"/>
    <w:rsid w:val="000303CC"/>
    <w:rsid w:val="0003154E"/>
    <w:rsid w:val="00031C3A"/>
    <w:rsid w:val="000328DF"/>
    <w:rsid w:val="000339FF"/>
    <w:rsid w:val="00033CE6"/>
    <w:rsid w:val="00035963"/>
    <w:rsid w:val="00036162"/>
    <w:rsid w:val="00036586"/>
    <w:rsid w:val="000371BC"/>
    <w:rsid w:val="00037513"/>
    <w:rsid w:val="000377F1"/>
    <w:rsid w:val="00037F5B"/>
    <w:rsid w:val="00040206"/>
    <w:rsid w:val="0004246F"/>
    <w:rsid w:val="00042916"/>
    <w:rsid w:val="000433F6"/>
    <w:rsid w:val="0004377F"/>
    <w:rsid w:val="000437D4"/>
    <w:rsid w:val="000444A8"/>
    <w:rsid w:val="00044543"/>
    <w:rsid w:val="00044D79"/>
    <w:rsid w:val="00044F2C"/>
    <w:rsid w:val="0004502B"/>
    <w:rsid w:val="000460EE"/>
    <w:rsid w:val="000463CC"/>
    <w:rsid w:val="0004687B"/>
    <w:rsid w:val="000470DB"/>
    <w:rsid w:val="00047AAA"/>
    <w:rsid w:val="00050E9A"/>
    <w:rsid w:val="00051643"/>
    <w:rsid w:val="00051A28"/>
    <w:rsid w:val="00051F08"/>
    <w:rsid w:val="00053365"/>
    <w:rsid w:val="0005429D"/>
    <w:rsid w:val="0005464A"/>
    <w:rsid w:val="0005619A"/>
    <w:rsid w:val="00056733"/>
    <w:rsid w:val="00057763"/>
    <w:rsid w:val="00060058"/>
    <w:rsid w:val="000601B8"/>
    <w:rsid w:val="00060657"/>
    <w:rsid w:val="00060F17"/>
    <w:rsid w:val="000637FE"/>
    <w:rsid w:val="0006485D"/>
    <w:rsid w:val="00064EF6"/>
    <w:rsid w:val="00065136"/>
    <w:rsid w:val="0006627F"/>
    <w:rsid w:val="00066C15"/>
    <w:rsid w:val="00067250"/>
    <w:rsid w:val="00067397"/>
    <w:rsid w:val="00067D86"/>
    <w:rsid w:val="0007051C"/>
    <w:rsid w:val="0007064C"/>
    <w:rsid w:val="00071328"/>
    <w:rsid w:val="0007179E"/>
    <w:rsid w:val="00071A9A"/>
    <w:rsid w:val="00071C0A"/>
    <w:rsid w:val="00071D48"/>
    <w:rsid w:val="0007431F"/>
    <w:rsid w:val="00075028"/>
    <w:rsid w:val="000753A8"/>
    <w:rsid w:val="000758E3"/>
    <w:rsid w:val="000769AA"/>
    <w:rsid w:val="00076EFB"/>
    <w:rsid w:val="0007753D"/>
    <w:rsid w:val="00077EAC"/>
    <w:rsid w:val="0008099D"/>
    <w:rsid w:val="00081093"/>
    <w:rsid w:val="000834E8"/>
    <w:rsid w:val="000845E5"/>
    <w:rsid w:val="00085D87"/>
    <w:rsid w:val="00086052"/>
    <w:rsid w:val="000864A7"/>
    <w:rsid w:val="0008684A"/>
    <w:rsid w:val="00087F0D"/>
    <w:rsid w:val="000901A4"/>
    <w:rsid w:val="00090CD7"/>
    <w:rsid w:val="00090F25"/>
    <w:rsid w:val="00092B16"/>
    <w:rsid w:val="00092CCF"/>
    <w:rsid w:val="00094550"/>
    <w:rsid w:val="00096DE7"/>
    <w:rsid w:val="00097178"/>
    <w:rsid w:val="000A152C"/>
    <w:rsid w:val="000A30F0"/>
    <w:rsid w:val="000A4C28"/>
    <w:rsid w:val="000A56BD"/>
    <w:rsid w:val="000B02F4"/>
    <w:rsid w:val="000B0B31"/>
    <w:rsid w:val="000B0C4D"/>
    <w:rsid w:val="000B148D"/>
    <w:rsid w:val="000B2724"/>
    <w:rsid w:val="000B324F"/>
    <w:rsid w:val="000B332F"/>
    <w:rsid w:val="000B3417"/>
    <w:rsid w:val="000B3605"/>
    <w:rsid w:val="000B42B8"/>
    <w:rsid w:val="000B5B29"/>
    <w:rsid w:val="000B6728"/>
    <w:rsid w:val="000B6A28"/>
    <w:rsid w:val="000B6F58"/>
    <w:rsid w:val="000C031B"/>
    <w:rsid w:val="000C170D"/>
    <w:rsid w:val="000C1910"/>
    <w:rsid w:val="000C4640"/>
    <w:rsid w:val="000C51CC"/>
    <w:rsid w:val="000C52A6"/>
    <w:rsid w:val="000C6524"/>
    <w:rsid w:val="000C669B"/>
    <w:rsid w:val="000C6C61"/>
    <w:rsid w:val="000C712E"/>
    <w:rsid w:val="000D0035"/>
    <w:rsid w:val="000D01E1"/>
    <w:rsid w:val="000D0917"/>
    <w:rsid w:val="000D1ED4"/>
    <w:rsid w:val="000D3FFC"/>
    <w:rsid w:val="000D4815"/>
    <w:rsid w:val="000D588E"/>
    <w:rsid w:val="000D6FF4"/>
    <w:rsid w:val="000D749D"/>
    <w:rsid w:val="000D75FD"/>
    <w:rsid w:val="000E03A5"/>
    <w:rsid w:val="000E055D"/>
    <w:rsid w:val="000E0A07"/>
    <w:rsid w:val="000E0E7A"/>
    <w:rsid w:val="000E1C9C"/>
    <w:rsid w:val="000E1E85"/>
    <w:rsid w:val="000E23AC"/>
    <w:rsid w:val="000E27BD"/>
    <w:rsid w:val="000E2996"/>
    <w:rsid w:val="000E2BEC"/>
    <w:rsid w:val="000E331E"/>
    <w:rsid w:val="000E44CE"/>
    <w:rsid w:val="000E5B4B"/>
    <w:rsid w:val="000F007C"/>
    <w:rsid w:val="000F0182"/>
    <w:rsid w:val="000F060A"/>
    <w:rsid w:val="000F18BC"/>
    <w:rsid w:val="000F2CAF"/>
    <w:rsid w:val="000F3A7C"/>
    <w:rsid w:val="000F3C04"/>
    <w:rsid w:val="000F44A3"/>
    <w:rsid w:val="000F60F5"/>
    <w:rsid w:val="000F682A"/>
    <w:rsid w:val="000F6E15"/>
    <w:rsid w:val="00101162"/>
    <w:rsid w:val="00101FC1"/>
    <w:rsid w:val="00102B71"/>
    <w:rsid w:val="001035BF"/>
    <w:rsid w:val="00103AD2"/>
    <w:rsid w:val="00104658"/>
    <w:rsid w:val="00105394"/>
    <w:rsid w:val="00107DD8"/>
    <w:rsid w:val="001110EB"/>
    <w:rsid w:val="00113D72"/>
    <w:rsid w:val="001141BB"/>
    <w:rsid w:val="00114D7E"/>
    <w:rsid w:val="00115264"/>
    <w:rsid w:val="0011530F"/>
    <w:rsid w:val="00117A77"/>
    <w:rsid w:val="0012027F"/>
    <w:rsid w:val="001207A0"/>
    <w:rsid w:val="00120C74"/>
    <w:rsid w:val="00120D03"/>
    <w:rsid w:val="00121A75"/>
    <w:rsid w:val="001224E5"/>
    <w:rsid w:val="00122746"/>
    <w:rsid w:val="00122C35"/>
    <w:rsid w:val="00124EF7"/>
    <w:rsid w:val="001255AA"/>
    <w:rsid w:val="00125BD5"/>
    <w:rsid w:val="0012668F"/>
    <w:rsid w:val="00126884"/>
    <w:rsid w:val="00126B72"/>
    <w:rsid w:val="00127335"/>
    <w:rsid w:val="00130416"/>
    <w:rsid w:val="001310B0"/>
    <w:rsid w:val="001312FF"/>
    <w:rsid w:val="00133198"/>
    <w:rsid w:val="0013449C"/>
    <w:rsid w:val="00135C6F"/>
    <w:rsid w:val="00136756"/>
    <w:rsid w:val="00136BA1"/>
    <w:rsid w:val="00136EC3"/>
    <w:rsid w:val="00137190"/>
    <w:rsid w:val="001375DD"/>
    <w:rsid w:val="0013783A"/>
    <w:rsid w:val="00137D62"/>
    <w:rsid w:val="0014092F"/>
    <w:rsid w:val="001420D2"/>
    <w:rsid w:val="00143FFA"/>
    <w:rsid w:val="00144773"/>
    <w:rsid w:val="00144D23"/>
    <w:rsid w:val="00145AAF"/>
    <w:rsid w:val="001500E0"/>
    <w:rsid w:val="00150110"/>
    <w:rsid w:val="001502A1"/>
    <w:rsid w:val="00150D06"/>
    <w:rsid w:val="00152C6A"/>
    <w:rsid w:val="00153BB7"/>
    <w:rsid w:val="001543CF"/>
    <w:rsid w:val="00155383"/>
    <w:rsid w:val="00155734"/>
    <w:rsid w:val="001558AB"/>
    <w:rsid w:val="001562E4"/>
    <w:rsid w:val="0015677E"/>
    <w:rsid w:val="00160787"/>
    <w:rsid w:val="001611BF"/>
    <w:rsid w:val="001611D2"/>
    <w:rsid w:val="0016266F"/>
    <w:rsid w:val="00162A4E"/>
    <w:rsid w:val="00162B57"/>
    <w:rsid w:val="00162B88"/>
    <w:rsid w:val="001638E5"/>
    <w:rsid w:val="00164D65"/>
    <w:rsid w:val="0016672D"/>
    <w:rsid w:val="00167055"/>
    <w:rsid w:val="001676AC"/>
    <w:rsid w:val="001701B2"/>
    <w:rsid w:val="0017057D"/>
    <w:rsid w:val="001712F8"/>
    <w:rsid w:val="0017277A"/>
    <w:rsid w:val="00172824"/>
    <w:rsid w:val="00172EF9"/>
    <w:rsid w:val="00173C03"/>
    <w:rsid w:val="00173C4D"/>
    <w:rsid w:val="00173CE1"/>
    <w:rsid w:val="0017436A"/>
    <w:rsid w:val="00174AD6"/>
    <w:rsid w:val="001758FB"/>
    <w:rsid w:val="00176C32"/>
    <w:rsid w:val="00177C1F"/>
    <w:rsid w:val="00177CB2"/>
    <w:rsid w:val="0018010B"/>
    <w:rsid w:val="001803EF"/>
    <w:rsid w:val="00180706"/>
    <w:rsid w:val="00180ADB"/>
    <w:rsid w:val="00182892"/>
    <w:rsid w:val="001829CD"/>
    <w:rsid w:val="001856F4"/>
    <w:rsid w:val="00185FDA"/>
    <w:rsid w:val="00186AFE"/>
    <w:rsid w:val="0018735E"/>
    <w:rsid w:val="00187DC5"/>
    <w:rsid w:val="00187E55"/>
    <w:rsid w:val="00190395"/>
    <w:rsid w:val="00191BF8"/>
    <w:rsid w:val="001926B2"/>
    <w:rsid w:val="00192A9F"/>
    <w:rsid w:val="00193A2C"/>
    <w:rsid w:val="00194EE9"/>
    <w:rsid w:val="001954B4"/>
    <w:rsid w:val="00197C58"/>
    <w:rsid w:val="001A214E"/>
    <w:rsid w:val="001A2BE2"/>
    <w:rsid w:val="001A2F97"/>
    <w:rsid w:val="001A3BE8"/>
    <w:rsid w:val="001A414E"/>
    <w:rsid w:val="001A41FE"/>
    <w:rsid w:val="001A5437"/>
    <w:rsid w:val="001A5542"/>
    <w:rsid w:val="001A559B"/>
    <w:rsid w:val="001A7B20"/>
    <w:rsid w:val="001B19EA"/>
    <w:rsid w:val="001B2C89"/>
    <w:rsid w:val="001B2D56"/>
    <w:rsid w:val="001B3131"/>
    <w:rsid w:val="001B3641"/>
    <w:rsid w:val="001B37AF"/>
    <w:rsid w:val="001B38AB"/>
    <w:rsid w:val="001B3E10"/>
    <w:rsid w:val="001B41E4"/>
    <w:rsid w:val="001B51F0"/>
    <w:rsid w:val="001B55A0"/>
    <w:rsid w:val="001B58C5"/>
    <w:rsid w:val="001B59BB"/>
    <w:rsid w:val="001B5C2D"/>
    <w:rsid w:val="001B6C25"/>
    <w:rsid w:val="001B6C34"/>
    <w:rsid w:val="001B6F08"/>
    <w:rsid w:val="001B73E2"/>
    <w:rsid w:val="001B7E79"/>
    <w:rsid w:val="001C0480"/>
    <w:rsid w:val="001C19C4"/>
    <w:rsid w:val="001C1FAD"/>
    <w:rsid w:val="001C2AF6"/>
    <w:rsid w:val="001C394B"/>
    <w:rsid w:val="001C442C"/>
    <w:rsid w:val="001C4A58"/>
    <w:rsid w:val="001C5567"/>
    <w:rsid w:val="001C5C82"/>
    <w:rsid w:val="001C710A"/>
    <w:rsid w:val="001C794C"/>
    <w:rsid w:val="001C7E52"/>
    <w:rsid w:val="001D22E7"/>
    <w:rsid w:val="001D5A7E"/>
    <w:rsid w:val="001D5AC7"/>
    <w:rsid w:val="001D692D"/>
    <w:rsid w:val="001D732C"/>
    <w:rsid w:val="001D7856"/>
    <w:rsid w:val="001D7893"/>
    <w:rsid w:val="001D7F4D"/>
    <w:rsid w:val="001E0C44"/>
    <w:rsid w:val="001E16F4"/>
    <w:rsid w:val="001E2BBD"/>
    <w:rsid w:val="001E2F79"/>
    <w:rsid w:val="001E46BF"/>
    <w:rsid w:val="001E50B0"/>
    <w:rsid w:val="001E57FA"/>
    <w:rsid w:val="001E5E5C"/>
    <w:rsid w:val="001E7949"/>
    <w:rsid w:val="001F0B08"/>
    <w:rsid w:val="001F0B44"/>
    <w:rsid w:val="001F1170"/>
    <w:rsid w:val="001F2E4A"/>
    <w:rsid w:val="001F3780"/>
    <w:rsid w:val="001F52BA"/>
    <w:rsid w:val="001F53D7"/>
    <w:rsid w:val="001F5714"/>
    <w:rsid w:val="001F57EF"/>
    <w:rsid w:val="001F6307"/>
    <w:rsid w:val="001F6544"/>
    <w:rsid w:val="001F656C"/>
    <w:rsid w:val="001F793F"/>
    <w:rsid w:val="001F7ABE"/>
    <w:rsid w:val="00200CEC"/>
    <w:rsid w:val="002013D0"/>
    <w:rsid w:val="00201F65"/>
    <w:rsid w:val="00201FCD"/>
    <w:rsid w:val="00202A42"/>
    <w:rsid w:val="002030B3"/>
    <w:rsid w:val="00205A48"/>
    <w:rsid w:val="00210662"/>
    <w:rsid w:val="0021150E"/>
    <w:rsid w:val="0021173F"/>
    <w:rsid w:val="002117F3"/>
    <w:rsid w:val="00212015"/>
    <w:rsid w:val="00212443"/>
    <w:rsid w:val="00212A75"/>
    <w:rsid w:val="00215D31"/>
    <w:rsid w:val="00215ECF"/>
    <w:rsid w:val="00216047"/>
    <w:rsid w:val="002165DE"/>
    <w:rsid w:val="00216F6A"/>
    <w:rsid w:val="00217A6F"/>
    <w:rsid w:val="00220DDA"/>
    <w:rsid w:val="00220DF2"/>
    <w:rsid w:val="00221F2C"/>
    <w:rsid w:val="002226D4"/>
    <w:rsid w:val="00224BB5"/>
    <w:rsid w:val="00224E87"/>
    <w:rsid w:val="00225E4E"/>
    <w:rsid w:val="00226FBE"/>
    <w:rsid w:val="00227722"/>
    <w:rsid w:val="002277C0"/>
    <w:rsid w:val="002279EE"/>
    <w:rsid w:val="00227DB5"/>
    <w:rsid w:val="00227DBD"/>
    <w:rsid w:val="002304B4"/>
    <w:rsid w:val="002307A1"/>
    <w:rsid w:val="00231793"/>
    <w:rsid w:val="00231B47"/>
    <w:rsid w:val="00232710"/>
    <w:rsid w:val="00232964"/>
    <w:rsid w:val="002338F3"/>
    <w:rsid w:val="00233F66"/>
    <w:rsid w:val="002344BD"/>
    <w:rsid w:val="002348F1"/>
    <w:rsid w:val="002356F8"/>
    <w:rsid w:val="002358E5"/>
    <w:rsid w:val="00235B13"/>
    <w:rsid w:val="00236FF6"/>
    <w:rsid w:val="0023737F"/>
    <w:rsid w:val="00240A4A"/>
    <w:rsid w:val="002420B0"/>
    <w:rsid w:val="0024459F"/>
    <w:rsid w:val="00244C88"/>
    <w:rsid w:val="002451B1"/>
    <w:rsid w:val="00245BEB"/>
    <w:rsid w:val="00245C6B"/>
    <w:rsid w:val="00245E38"/>
    <w:rsid w:val="00247476"/>
    <w:rsid w:val="00247567"/>
    <w:rsid w:val="0025037F"/>
    <w:rsid w:val="00251485"/>
    <w:rsid w:val="002518AC"/>
    <w:rsid w:val="002523DD"/>
    <w:rsid w:val="00252E8E"/>
    <w:rsid w:val="00253AA7"/>
    <w:rsid w:val="00253F61"/>
    <w:rsid w:val="00254860"/>
    <w:rsid w:val="00255CC9"/>
    <w:rsid w:val="00256DE2"/>
    <w:rsid w:val="002575FE"/>
    <w:rsid w:val="00257AE7"/>
    <w:rsid w:val="00260B0E"/>
    <w:rsid w:val="0026106E"/>
    <w:rsid w:val="002611E9"/>
    <w:rsid w:val="002619BF"/>
    <w:rsid w:val="00261D99"/>
    <w:rsid w:val="002648F0"/>
    <w:rsid w:val="00264B5C"/>
    <w:rsid w:val="00264FFC"/>
    <w:rsid w:val="0026634E"/>
    <w:rsid w:val="0026648E"/>
    <w:rsid w:val="00266CCC"/>
    <w:rsid w:val="0027128C"/>
    <w:rsid w:val="002720B2"/>
    <w:rsid w:val="00272E8D"/>
    <w:rsid w:val="00273383"/>
    <w:rsid w:val="00274D42"/>
    <w:rsid w:val="00276BDD"/>
    <w:rsid w:val="002774DE"/>
    <w:rsid w:val="00277A64"/>
    <w:rsid w:val="00280EA1"/>
    <w:rsid w:val="00281445"/>
    <w:rsid w:val="00281A9A"/>
    <w:rsid w:val="00281C05"/>
    <w:rsid w:val="0028266A"/>
    <w:rsid w:val="00282DDF"/>
    <w:rsid w:val="0028479B"/>
    <w:rsid w:val="00285417"/>
    <w:rsid w:val="00285CAF"/>
    <w:rsid w:val="00287CB9"/>
    <w:rsid w:val="002911FD"/>
    <w:rsid w:val="0029275B"/>
    <w:rsid w:val="0029287C"/>
    <w:rsid w:val="00292DD3"/>
    <w:rsid w:val="002930DF"/>
    <w:rsid w:val="0029324D"/>
    <w:rsid w:val="00293E78"/>
    <w:rsid w:val="00293E89"/>
    <w:rsid w:val="00294D7C"/>
    <w:rsid w:val="00295AC5"/>
    <w:rsid w:val="002A0AE4"/>
    <w:rsid w:val="002A0F9E"/>
    <w:rsid w:val="002A1839"/>
    <w:rsid w:val="002A28A8"/>
    <w:rsid w:val="002A3158"/>
    <w:rsid w:val="002A408E"/>
    <w:rsid w:val="002A429D"/>
    <w:rsid w:val="002A42D6"/>
    <w:rsid w:val="002A4409"/>
    <w:rsid w:val="002A4866"/>
    <w:rsid w:val="002A6E6F"/>
    <w:rsid w:val="002A75D2"/>
    <w:rsid w:val="002B03CF"/>
    <w:rsid w:val="002B28AE"/>
    <w:rsid w:val="002B4950"/>
    <w:rsid w:val="002B569A"/>
    <w:rsid w:val="002B5716"/>
    <w:rsid w:val="002B661A"/>
    <w:rsid w:val="002B7A79"/>
    <w:rsid w:val="002B7C8E"/>
    <w:rsid w:val="002C03EC"/>
    <w:rsid w:val="002C1514"/>
    <w:rsid w:val="002C1A10"/>
    <w:rsid w:val="002C1AD3"/>
    <w:rsid w:val="002C31A2"/>
    <w:rsid w:val="002C375E"/>
    <w:rsid w:val="002C41F3"/>
    <w:rsid w:val="002C46CA"/>
    <w:rsid w:val="002C6258"/>
    <w:rsid w:val="002C6D60"/>
    <w:rsid w:val="002C7A05"/>
    <w:rsid w:val="002D083D"/>
    <w:rsid w:val="002D2AC1"/>
    <w:rsid w:val="002D2EA1"/>
    <w:rsid w:val="002D37D1"/>
    <w:rsid w:val="002D3BE7"/>
    <w:rsid w:val="002D55FD"/>
    <w:rsid w:val="002D5B75"/>
    <w:rsid w:val="002D6139"/>
    <w:rsid w:val="002D6753"/>
    <w:rsid w:val="002D6759"/>
    <w:rsid w:val="002D6B3D"/>
    <w:rsid w:val="002D7347"/>
    <w:rsid w:val="002E1073"/>
    <w:rsid w:val="002E1201"/>
    <w:rsid w:val="002E1968"/>
    <w:rsid w:val="002E1B56"/>
    <w:rsid w:val="002E272D"/>
    <w:rsid w:val="002E5229"/>
    <w:rsid w:val="002E5916"/>
    <w:rsid w:val="002E5C68"/>
    <w:rsid w:val="002E619B"/>
    <w:rsid w:val="002E6DC4"/>
    <w:rsid w:val="002E7492"/>
    <w:rsid w:val="002E786D"/>
    <w:rsid w:val="002E7B19"/>
    <w:rsid w:val="002F0EEA"/>
    <w:rsid w:val="002F260C"/>
    <w:rsid w:val="002F3CB5"/>
    <w:rsid w:val="002F555E"/>
    <w:rsid w:val="002F582E"/>
    <w:rsid w:val="002F6B99"/>
    <w:rsid w:val="002F6C9D"/>
    <w:rsid w:val="002F7439"/>
    <w:rsid w:val="0030127B"/>
    <w:rsid w:val="00301396"/>
    <w:rsid w:val="00301DB7"/>
    <w:rsid w:val="00302BC5"/>
    <w:rsid w:val="003030E1"/>
    <w:rsid w:val="0030332C"/>
    <w:rsid w:val="00303427"/>
    <w:rsid w:val="00303C55"/>
    <w:rsid w:val="00303EED"/>
    <w:rsid w:val="0030564B"/>
    <w:rsid w:val="0030689E"/>
    <w:rsid w:val="00307465"/>
    <w:rsid w:val="00307731"/>
    <w:rsid w:val="003113A4"/>
    <w:rsid w:val="00311C2D"/>
    <w:rsid w:val="003128CB"/>
    <w:rsid w:val="0031310C"/>
    <w:rsid w:val="003134AF"/>
    <w:rsid w:val="00315663"/>
    <w:rsid w:val="00315895"/>
    <w:rsid w:val="00316303"/>
    <w:rsid w:val="00317030"/>
    <w:rsid w:val="003211A3"/>
    <w:rsid w:val="00321379"/>
    <w:rsid w:val="00321618"/>
    <w:rsid w:val="0032251E"/>
    <w:rsid w:val="0032282F"/>
    <w:rsid w:val="0032323C"/>
    <w:rsid w:val="00326663"/>
    <w:rsid w:val="0032744B"/>
    <w:rsid w:val="00330003"/>
    <w:rsid w:val="00331006"/>
    <w:rsid w:val="0033248F"/>
    <w:rsid w:val="00333264"/>
    <w:rsid w:val="0033357B"/>
    <w:rsid w:val="0033510D"/>
    <w:rsid w:val="00335A0D"/>
    <w:rsid w:val="00335DE8"/>
    <w:rsid w:val="003363C3"/>
    <w:rsid w:val="00340F4F"/>
    <w:rsid w:val="0034141C"/>
    <w:rsid w:val="0034257A"/>
    <w:rsid w:val="00342C74"/>
    <w:rsid w:val="00342E98"/>
    <w:rsid w:val="00344424"/>
    <w:rsid w:val="00345688"/>
    <w:rsid w:val="0034772E"/>
    <w:rsid w:val="00350F46"/>
    <w:rsid w:val="00352486"/>
    <w:rsid w:val="00353D21"/>
    <w:rsid w:val="00353E5E"/>
    <w:rsid w:val="003569DB"/>
    <w:rsid w:val="00357B81"/>
    <w:rsid w:val="00357F42"/>
    <w:rsid w:val="00361020"/>
    <w:rsid w:val="00361D0A"/>
    <w:rsid w:val="00362F24"/>
    <w:rsid w:val="00363D31"/>
    <w:rsid w:val="003645AB"/>
    <w:rsid w:val="00364D89"/>
    <w:rsid w:val="0036516C"/>
    <w:rsid w:val="0036638C"/>
    <w:rsid w:val="00371FB1"/>
    <w:rsid w:val="003739A0"/>
    <w:rsid w:val="00374A2B"/>
    <w:rsid w:val="00374BCA"/>
    <w:rsid w:val="00374D2A"/>
    <w:rsid w:val="00375EB6"/>
    <w:rsid w:val="00375F19"/>
    <w:rsid w:val="0037686B"/>
    <w:rsid w:val="00376FE6"/>
    <w:rsid w:val="003777FC"/>
    <w:rsid w:val="0038073D"/>
    <w:rsid w:val="003826E1"/>
    <w:rsid w:val="00383ACA"/>
    <w:rsid w:val="0038465F"/>
    <w:rsid w:val="00384B6A"/>
    <w:rsid w:val="0038501A"/>
    <w:rsid w:val="00385BD5"/>
    <w:rsid w:val="003863D0"/>
    <w:rsid w:val="003866DE"/>
    <w:rsid w:val="003904FF"/>
    <w:rsid w:val="00390F8D"/>
    <w:rsid w:val="0039118C"/>
    <w:rsid w:val="003915C8"/>
    <w:rsid w:val="0039167E"/>
    <w:rsid w:val="00391902"/>
    <w:rsid w:val="00391DF9"/>
    <w:rsid w:val="00392101"/>
    <w:rsid w:val="0039467C"/>
    <w:rsid w:val="003947E9"/>
    <w:rsid w:val="003950F4"/>
    <w:rsid w:val="00397435"/>
    <w:rsid w:val="00397A11"/>
    <w:rsid w:val="00397CD3"/>
    <w:rsid w:val="003A1300"/>
    <w:rsid w:val="003A1C24"/>
    <w:rsid w:val="003A2AEA"/>
    <w:rsid w:val="003A3C59"/>
    <w:rsid w:val="003A3D65"/>
    <w:rsid w:val="003A4C87"/>
    <w:rsid w:val="003A4D7E"/>
    <w:rsid w:val="003A5D6F"/>
    <w:rsid w:val="003A5F1F"/>
    <w:rsid w:val="003A62DD"/>
    <w:rsid w:val="003A7EFA"/>
    <w:rsid w:val="003B0D3D"/>
    <w:rsid w:val="003B1222"/>
    <w:rsid w:val="003B2410"/>
    <w:rsid w:val="003B24FB"/>
    <w:rsid w:val="003B49DE"/>
    <w:rsid w:val="003B5D22"/>
    <w:rsid w:val="003B6D0E"/>
    <w:rsid w:val="003C06A6"/>
    <w:rsid w:val="003C10A8"/>
    <w:rsid w:val="003C125A"/>
    <w:rsid w:val="003C181D"/>
    <w:rsid w:val="003C1F06"/>
    <w:rsid w:val="003C219E"/>
    <w:rsid w:val="003C2FB1"/>
    <w:rsid w:val="003C31AE"/>
    <w:rsid w:val="003C3331"/>
    <w:rsid w:val="003C36E6"/>
    <w:rsid w:val="003C39BA"/>
    <w:rsid w:val="003C48E8"/>
    <w:rsid w:val="003C6606"/>
    <w:rsid w:val="003C6EB8"/>
    <w:rsid w:val="003D1E58"/>
    <w:rsid w:val="003D2EA4"/>
    <w:rsid w:val="003D3351"/>
    <w:rsid w:val="003D551C"/>
    <w:rsid w:val="003D5DFA"/>
    <w:rsid w:val="003D6446"/>
    <w:rsid w:val="003D676D"/>
    <w:rsid w:val="003D68E9"/>
    <w:rsid w:val="003D6A1E"/>
    <w:rsid w:val="003D6DB2"/>
    <w:rsid w:val="003D7EB8"/>
    <w:rsid w:val="003E0CE5"/>
    <w:rsid w:val="003E13E1"/>
    <w:rsid w:val="003E2AFD"/>
    <w:rsid w:val="003E3894"/>
    <w:rsid w:val="003E40C8"/>
    <w:rsid w:val="003E44BB"/>
    <w:rsid w:val="003E4572"/>
    <w:rsid w:val="003E47F5"/>
    <w:rsid w:val="003F0123"/>
    <w:rsid w:val="003F0267"/>
    <w:rsid w:val="003F0796"/>
    <w:rsid w:val="003F083E"/>
    <w:rsid w:val="003F0AA5"/>
    <w:rsid w:val="003F23E9"/>
    <w:rsid w:val="003F300C"/>
    <w:rsid w:val="003F358D"/>
    <w:rsid w:val="003F393B"/>
    <w:rsid w:val="003F3C01"/>
    <w:rsid w:val="00400348"/>
    <w:rsid w:val="004017B5"/>
    <w:rsid w:val="00401A0F"/>
    <w:rsid w:val="00401A99"/>
    <w:rsid w:val="00401AF3"/>
    <w:rsid w:val="0040218D"/>
    <w:rsid w:val="00403BFC"/>
    <w:rsid w:val="00404E1F"/>
    <w:rsid w:val="00405546"/>
    <w:rsid w:val="0040727C"/>
    <w:rsid w:val="004100FA"/>
    <w:rsid w:val="00410172"/>
    <w:rsid w:val="004103B6"/>
    <w:rsid w:val="00410B68"/>
    <w:rsid w:val="004114D9"/>
    <w:rsid w:val="0041153F"/>
    <w:rsid w:val="00413D33"/>
    <w:rsid w:val="004164CD"/>
    <w:rsid w:val="0041692C"/>
    <w:rsid w:val="0041795D"/>
    <w:rsid w:val="00417DF4"/>
    <w:rsid w:val="00420F3C"/>
    <w:rsid w:val="00421234"/>
    <w:rsid w:val="00421B49"/>
    <w:rsid w:val="00422633"/>
    <w:rsid w:val="00424202"/>
    <w:rsid w:val="00424B33"/>
    <w:rsid w:val="004263C4"/>
    <w:rsid w:val="00427210"/>
    <w:rsid w:val="0042740F"/>
    <w:rsid w:val="004275D4"/>
    <w:rsid w:val="00430804"/>
    <w:rsid w:val="00430EA3"/>
    <w:rsid w:val="00431295"/>
    <w:rsid w:val="0043130B"/>
    <w:rsid w:val="004323B6"/>
    <w:rsid w:val="00433477"/>
    <w:rsid w:val="004335DE"/>
    <w:rsid w:val="00433BE4"/>
    <w:rsid w:val="004342B1"/>
    <w:rsid w:val="0043512D"/>
    <w:rsid w:val="00435DEC"/>
    <w:rsid w:val="00435F2D"/>
    <w:rsid w:val="00437594"/>
    <w:rsid w:val="00441287"/>
    <w:rsid w:val="0044139A"/>
    <w:rsid w:val="004415D2"/>
    <w:rsid w:val="00441CD6"/>
    <w:rsid w:val="00441E9D"/>
    <w:rsid w:val="00441FA1"/>
    <w:rsid w:val="004425C1"/>
    <w:rsid w:val="004434B2"/>
    <w:rsid w:val="00443F97"/>
    <w:rsid w:val="00444202"/>
    <w:rsid w:val="00444B06"/>
    <w:rsid w:val="0044523C"/>
    <w:rsid w:val="0044525C"/>
    <w:rsid w:val="0044557B"/>
    <w:rsid w:val="00445B37"/>
    <w:rsid w:val="00445C09"/>
    <w:rsid w:val="00445C50"/>
    <w:rsid w:val="004460CD"/>
    <w:rsid w:val="00446763"/>
    <w:rsid w:val="00447E35"/>
    <w:rsid w:val="00450BD2"/>
    <w:rsid w:val="0045113A"/>
    <w:rsid w:val="004513DC"/>
    <w:rsid w:val="00452203"/>
    <w:rsid w:val="004525B4"/>
    <w:rsid w:val="00452C7E"/>
    <w:rsid w:val="00454555"/>
    <w:rsid w:val="0045579F"/>
    <w:rsid w:val="00456591"/>
    <w:rsid w:val="004565C2"/>
    <w:rsid w:val="00457036"/>
    <w:rsid w:val="00457744"/>
    <w:rsid w:val="00460552"/>
    <w:rsid w:val="00460C1A"/>
    <w:rsid w:val="00460DF3"/>
    <w:rsid w:val="00461DF3"/>
    <w:rsid w:val="00463447"/>
    <w:rsid w:val="00463521"/>
    <w:rsid w:val="00464951"/>
    <w:rsid w:val="00464D89"/>
    <w:rsid w:val="0046590E"/>
    <w:rsid w:val="00466A6B"/>
    <w:rsid w:val="00466D37"/>
    <w:rsid w:val="00470823"/>
    <w:rsid w:val="00470A68"/>
    <w:rsid w:val="00470CAB"/>
    <w:rsid w:val="00472064"/>
    <w:rsid w:val="0047285C"/>
    <w:rsid w:val="00472F0D"/>
    <w:rsid w:val="00473172"/>
    <w:rsid w:val="0047452A"/>
    <w:rsid w:val="004759D5"/>
    <w:rsid w:val="00475FF0"/>
    <w:rsid w:val="00476174"/>
    <w:rsid w:val="00476583"/>
    <w:rsid w:val="0048036E"/>
    <w:rsid w:val="00480667"/>
    <w:rsid w:val="00480F7E"/>
    <w:rsid w:val="00481BFA"/>
    <w:rsid w:val="00483922"/>
    <w:rsid w:val="00484120"/>
    <w:rsid w:val="00484D99"/>
    <w:rsid w:val="004853F4"/>
    <w:rsid w:val="0048667A"/>
    <w:rsid w:val="004878D3"/>
    <w:rsid w:val="00490B90"/>
    <w:rsid w:val="004914E6"/>
    <w:rsid w:val="00491504"/>
    <w:rsid w:val="0049187C"/>
    <w:rsid w:val="0049255D"/>
    <w:rsid w:val="004929AD"/>
    <w:rsid w:val="00493185"/>
    <w:rsid w:val="004935BA"/>
    <w:rsid w:val="00493B31"/>
    <w:rsid w:val="00494402"/>
    <w:rsid w:val="00494B5B"/>
    <w:rsid w:val="004958F2"/>
    <w:rsid w:val="00496211"/>
    <w:rsid w:val="00496340"/>
    <w:rsid w:val="00496448"/>
    <w:rsid w:val="00497F2D"/>
    <w:rsid w:val="004A1E15"/>
    <w:rsid w:val="004A30F3"/>
    <w:rsid w:val="004A38DB"/>
    <w:rsid w:val="004A4EC7"/>
    <w:rsid w:val="004A6B1D"/>
    <w:rsid w:val="004B1455"/>
    <w:rsid w:val="004B14C5"/>
    <w:rsid w:val="004B1515"/>
    <w:rsid w:val="004B288D"/>
    <w:rsid w:val="004B2C90"/>
    <w:rsid w:val="004B3E50"/>
    <w:rsid w:val="004B5102"/>
    <w:rsid w:val="004B5547"/>
    <w:rsid w:val="004B5FC5"/>
    <w:rsid w:val="004B7C9B"/>
    <w:rsid w:val="004C0A6E"/>
    <w:rsid w:val="004C0BDD"/>
    <w:rsid w:val="004C0C0C"/>
    <w:rsid w:val="004C0F3E"/>
    <w:rsid w:val="004C17DE"/>
    <w:rsid w:val="004C1A89"/>
    <w:rsid w:val="004C1E72"/>
    <w:rsid w:val="004C228A"/>
    <w:rsid w:val="004C3B7E"/>
    <w:rsid w:val="004C421D"/>
    <w:rsid w:val="004C4418"/>
    <w:rsid w:val="004C442B"/>
    <w:rsid w:val="004C45C1"/>
    <w:rsid w:val="004C4630"/>
    <w:rsid w:val="004C5A81"/>
    <w:rsid w:val="004C6BB9"/>
    <w:rsid w:val="004C6DB7"/>
    <w:rsid w:val="004C7F51"/>
    <w:rsid w:val="004D0238"/>
    <w:rsid w:val="004D0379"/>
    <w:rsid w:val="004D095E"/>
    <w:rsid w:val="004D2941"/>
    <w:rsid w:val="004D3335"/>
    <w:rsid w:val="004D3B24"/>
    <w:rsid w:val="004D4A88"/>
    <w:rsid w:val="004D4CEC"/>
    <w:rsid w:val="004D50FB"/>
    <w:rsid w:val="004D5694"/>
    <w:rsid w:val="004D5E38"/>
    <w:rsid w:val="004D61F2"/>
    <w:rsid w:val="004D69C7"/>
    <w:rsid w:val="004D6D28"/>
    <w:rsid w:val="004D7C18"/>
    <w:rsid w:val="004E01D9"/>
    <w:rsid w:val="004E0C63"/>
    <w:rsid w:val="004E0FCE"/>
    <w:rsid w:val="004E19EC"/>
    <w:rsid w:val="004E1D44"/>
    <w:rsid w:val="004E2A4E"/>
    <w:rsid w:val="004E367B"/>
    <w:rsid w:val="004E428A"/>
    <w:rsid w:val="004E5EA8"/>
    <w:rsid w:val="004E629D"/>
    <w:rsid w:val="004E73B5"/>
    <w:rsid w:val="004E7A65"/>
    <w:rsid w:val="004F0BD9"/>
    <w:rsid w:val="004F13DF"/>
    <w:rsid w:val="004F163D"/>
    <w:rsid w:val="004F20E1"/>
    <w:rsid w:val="004F2A51"/>
    <w:rsid w:val="004F314E"/>
    <w:rsid w:val="004F4A4E"/>
    <w:rsid w:val="004F4C4F"/>
    <w:rsid w:val="004F4D77"/>
    <w:rsid w:val="004F6A65"/>
    <w:rsid w:val="004F79E6"/>
    <w:rsid w:val="00501768"/>
    <w:rsid w:val="00501908"/>
    <w:rsid w:val="00502C6B"/>
    <w:rsid w:val="00503B7A"/>
    <w:rsid w:val="00505188"/>
    <w:rsid w:val="0051034E"/>
    <w:rsid w:val="005105EF"/>
    <w:rsid w:val="00510A59"/>
    <w:rsid w:val="00511AD7"/>
    <w:rsid w:val="00511C9C"/>
    <w:rsid w:val="005122D0"/>
    <w:rsid w:val="00513940"/>
    <w:rsid w:val="00513B4B"/>
    <w:rsid w:val="00513E14"/>
    <w:rsid w:val="00514AA7"/>
    <w:rsid w:val="00514DC5"/>
    <w:rsid w:val="005161FF"/>
    <w:rsid w:val="00517C6F"/>
    <w:rsid w:val="005202BA"/>
    <w:rsid w:val="005203FB"/>
    <w:rsid w:val="005207CF"/>
    <w:rsid w:val="0052094E"/>
    <w:rsid w:val="00520D5B"/>
    <w:rsid w:val="00521EDC"/>
    <w:rsid w:val="005226B9"/>
    <w:rsid w:val="00522C0E"/>
    <w:rsid w:val="00522D9C"/>
    <w:rsid w:val="00523000"/>
    <w:rsid w:val="005230FB"/>
    <w:rsid w:val="005244F7"/>
    <w:rsid w:val="00525F92"/>
    <w:rsid w:val="00525F95"/>
    <w:rsid w:val="0052603D"/>
    <w:rsid w:val="00526339"/>
    <w:rsid w:val="00526741"/>
    <w:rsid w:val="00526F65"/>
    <w:rsid w:val="00527177"/>
    <w:rsid w:val="00527E61"/>
    <w:rsid w:val="00530887"/>
    <w:rsid w:val="005317B3"/>
    <w:rsid w:val="00533588"/>
    <w:rsid w:val="005335CC"/>
    <w:rsid w:val="00533C80"/>
    <w:rsid w:val="005357BA"/>
    <w:rsid w:val="00535AD1"/>
    <w:rsid w:val="00536677"/>
    <w:rsid w:val="00537259"/>
    <w:rsid w:val="005373A2"/>
    <w:rsid w:val="00537A21"/>
    <w:rsid w:val="0054237B"/>
    <w:rsid w:val="00542401"/>
    <w:rsid w:val="00542ECD"/>
    <w:rsid w:val="00543455"/>
    <w:rsid w:val="005437A2"/>
    <w:rsid w:val="00543C86"/>
    <w:rsid w:val="0054412E"/>
    <w:rsid w:val="0054425B"/>
    <w:rsid w:val="00545017"/>
    <w:rsid w:val="0054561A"/>
    <w:rsid w:val="005467A0"/>
    <w:rsid w:val="005478FE"/>
    <w:rsid w:val="005501A4"/>
    <w:rsid w:val="00550BCD"/>
    <w:rsid w:val="00551901"/>
    <w:rsid w:val="00551AE3"/>
    <w:rsid w:val="00552B50"/>
    <w:rsid w:val="0055363B"/>
    <w:rsid w:val="005537D1"/>
    <w:rsid w:val="00553E30"/>
    <w:rsid w:val="005548FC"/>
    <w:rsid w:val="0055610D"/>
    <w:rsid w:val="005566B9"/>
    <w:rsid w:val="00556EAA"/>
    <w:rsid w:val="00557B3E"/>
    <w:rsid w:val="00560949"/>
    <w:rsid w:val="00560C88"/>
    <w:rsid w:val="00560FCA"/>
    <w:rsid w:val="00561B7F"/>
    <w:rsid w:val="00561D39"/>
    <w:rsid w:val="00561FB9"/>
    <w:rsid w:val="0056265F"/>
    <w:rsid w:val="00563000"/>
    <w:rsid w:val="00563B42"/>
    <w:rsid w:val="00563C95"/>
    <w:rsid w:val="005647ED"/>
    <w:rsid w:val="00564D92"/>
    <w:rsid w:val="00565072"/>
    <w:rsid w:val="0056637A"/>
    <w:rsid w:val="0056687E"/>
    <w:rsid w:val="00566B72"/>
    <w:rsid w:val="005674B3"/>
    <w:rsid w:val="0057033E"/>
    <w:rsid w:val="00570765"/>
    <w:rsid w:val="00571466"/>
    <w:rsid w:val="0057170B"/>
    <w:rsid w:val="00572042"/>
    <w:rsid w:val="00572A59"/>
    <w:rsid w:val="00574318"/>
    <w:rsid w:val="005754E8"/>
    <w:rsid w:val="005755D6"/>
    <w:rsid w:val="00575B55"/>
    <w:rsid w:val="005764EC"/>
    <w:rsid w:val="00576572"/>
    <w:rsid w:val="00576CC3"/>
    <w:rsid w:val="00576F41"/>
    <w:rsid w:val="00581658"/>
    <w:rsid w:val="005818AA"/>
    <w:rsid w:val="00581F3B"/>
    <w:rsid w:val="00582570"/>
    <w:rsid w:val="00582A9E"/>
    <w:rsid w:val="005839BF"/>
    <w:rsid w:val="005843E1"/>
    <w:rsid w:val="005843E6"/>
    <w:rsid w:val="00584C18"/>
    <w:rsid w:val="00584D63"/>
    <w:rsid w:val="00585DB0"/>
    <w:rsid w:val="005861F7"/>
    <w:rsid w:val="00586C8D"/>
    <w:rsid w:val="00590B31"/>
    <w:rsid w:val="00591288"/>
    <w:rsid w:val="005917FD"/>
    <w:rsid w:val="005926D5"/>
    <w:rsid w:val="00592D7D"/>
    <w:rsid w:val="00593938"/>
    <w:rsid w:val="0059462E"/>
    <w:rsid w:val="0059541A"/>
    <w:rsid w:val="00596AE0"/>
    <w:rsid w:val="00596DE6"/>
    <w:rsid w:val="00596EA6"/>
    <w:rsid w:val="005979BF"/>
    <w:rsid w:val="005979C0"/>
    <w:rsid w:val="005A285A"/>
    <w:rsid w:val="005A2B85"/>
    <w:rsid w:val="005A2E57"/>
    <w:rsid w:val="005A31AE"/>
    <w:rsid w:val="005A34FB"/>
    <w:rsid w:val="005A3632"/>
    <w:rsid w:val="005A3866"/>
    <w:rsid w:val="005A4403"/>
    <w:rsid w:val="005A4AA1"/>
    <w:rsid w:val="005A5CB7"/>
    <w:rsid w:val="005A699D"/>
    <w:rsid w:val="005A7750"/>
    <w:rsid w:val="005B10CB"/>
    <w:rsid w:val="005B1853"/>
    <w:rsid w:val="005B3358"/>
    <w:rsid w:val="005B380B"/>
    <w:rsid w:val="005B541B"/>
    <w:rsid w:val="005B70E7"/>
    <w:rsid w:val="005C0043"/>
    <w:rsid w:val="005C0BC5"/>
    <w:rsid w:val="005C0F15"/>
    <w:rsid w:val="005C107F"/>
    <w:rsid w:val="005C11E1"/>
    <w:rsid w:val="005C1218"/>
    <w:rsid w:val="005C15FE"/>
    <w:rsid w:val="005C1BA5"/>
    <w:rsid w:val="005C2550"/>
    <w:rsid w:val="005C276A"/>
    <w:rsid w:val="005C32EF"/>
    <w:rsid w:val="005C3C13"/>
    <w:rsid w:val="005C54C6"/>
    <w:rsid w:val="005C584A"/>
    <w:rsid w:val="005C6035"/>
    <w:rsid w:val="005C6400"/>
    <w:rsid w:val="005C7A33"/>
    <w:rsid w:val="005D00E4"/>
    <w:rsid w:val="005D0381"/>
    <w:rsid w:val="005D13F6"/>
    <w:rsid w:val="005D1A5C"/>
    <w:rsid w:val="005D1CB1"/>
    <w:rsid w:val="005D1D6E"/>
    <w:rsid w:val="005D2AF0"/>
    <w:rsid w:val="005D36DC"/>
    <w:rsid w:val="005D45D2"/>
    <w:rsid w:val="005D4706"/>
    <w:rsid w:val="005D4F4A"/>
    <w:rsid w:val="005D5F5E"/>
    <w:rsid w:val="005D6299"/>
    <w:rsid w:val="005D745A"/>
    <w:rsid w:val="005D7618"/>
    <w:rsid w:val="005D7C45"/>
    <w:rsid w:val="005D7E8A"/>
    <w:rsid w:val="005D7F78"/>
    <w:rsid w:val="005E05EC"/>
    <w:rsid w:val="005E0929"/>
    <w:rsid w:val="005E0A0A"/>
    <w:rsid w:val="005E0B79"/>
    <w:rsid w:val="005E12BD"/>
    <w:rsid w:val="005E3199"/>
    <w:rsid w:val="005E3226"/>
    <w:rsid w:val="005E32DB"/>
    <w:rsid w:val="005E3B12"/>
    <w:rsid w:val="005E3B19"/>
    <w:rsid w:val="005E4B26"/>
    <w:rsid w:val="005E6507"/>
    <w:rsid w:val="005E74F6"/>
    <w:rsid w:val="005E7560"/>
    <w:rsid w:val="005F1A02"/>
    <w:rsid w:val="005F21D6"/>
    <w:rsid w:val="005F25D8"/>
    <w:rsid w:val="005F3B45"/>
    <w:rsid w:val="005F4316"/>
    <w:rsid w:val="005F5BE2"/>
    <w:rsid w:val="005F64A9"/>
    <w:rsid w:val="005F66F9"/>
    <w:rsid w:val="0060179C"/>
    <w:rsid w:val="00601A7B"/>
    <w:rsid w:val="00603F00"/>
    <w:rsid w:val="0060451E"/>
    <w:rsid w:val="00604F35"/>
    <w:rsid w:val="00606CF1"/>
    <w:rsid w:val="006078CF"/>
    <w:rsid w:val="006079D1"/>
    <w:rsid w:val="00607BFB"/>
    <w:rsid w:val="00611136"/>
    <w:rsid w:val="00611850"/>
    <w:rsid w:val="0061191E"/>
    <w:rsid w:val="00611F0B"/>
    <w:rsid w:val="00613F08"/>
    <w:rsid w:val="006146E4"/>
    <w:rsid w:val="006147EB"/>
    <w:rsid w:val="00614A1D"/>
    <w:rsid w:val="00615B58"/>
    <w:rsid w:val="00615C58"/>
    <w:rsid w:val="00615DDB"/>
    <w:rsid w:val="00616923"/>
    <w:rsid w:val="00616B9C"/>
    <w:rsid w:val="00617519"/>
    <w:rsid w:val="006200EB"/>
    <w:rsid w:val="006217B2"/>
    <w:rsid w:val="00621EA3"/>
    <w:rsid w:val="0062301D"/>
    <w:rsid w:val="00623876"/>
    <w:rsid w:val="00623EF9"/>
    <w:rsid w:val="0062432D"/>
    <w:rsid w:val="00624B3F"/>
    <w:rsid w:val="006266EA"/>
    <w:rsid w:val="0063003A"/>
    <w:rsid w:val="00630B03"/>
    <w:rsid w:val="00631F45"/>
    <w:rsid w:val="00632123"/>
    <w:rsid w:val="00632FE7"/>
    <w:rsid w:val="006331E4"/>
    <w:rsid w:val="006345C8"/>
    <w:rsid w:val="006352BD"/>
    <w:rsid w:val="0063547E"/>
    <w:rsid w:val="0063629B"/>
    <w:rsid w:val="00640234"/>
    <w:rsid w:val="00640C66"/>
    <w:rsid w:val="00641D6F"/>
    <w:rsid w:val="00642D6A"/>
    <w:rsid w:val="0064343A"/>
    <w:rsid w:val="00644DFC"/>
    <w:rsid w:val="00644EB2"/>
    <w:rsid w:val="00644F8C"/>
    <w:rsid w:val="00650011"/>
    <w:rsid w:val="00650727"/>
    <w:rsid w:val="00653832"/>
    <w:rsid w:val="00653D7A"/>
    <w:rsid w:val="006543C5"/>
    <w:rsid w:val="006556FD"/>
    <w:rsid w:val="006561C3"/>
    <w:rsid w:val="00656D7C"/>
    <w:rsid w:val="00660429"/>
    <w:rsid w:val="006609BE"/>
    <w:rsid w:val="00660B45"/>
    <w:rsid w:val="00660BC5"/>
    <w:rsid w:val="00660F9E"/>
    <w:rsid w:val="0066210C"/>
    <w:rsid w:val="00662F63"/>
    <w:rsid w:val="00663FF0"/>
    <w:rsid w:val="006640CF"/>
    <w:rsid w:val="00664798"/>
    <w:rsid w:val="00665FB6"/>
    <w:rsid w:val="00666B46"/>
    <w:rsid w:val="00666B58"/>
    <w:rsid w:val="00666FC8"/>
    <w:rsid w:val="00667DBC"/>
    <w:rsid w:val="0067154A"/>
    <w:rsid w:val="00672496"/>
    <w:rsid w:val="00672693"/>
    <w:rsid w:val="0067325D"/>
    <w:rsid w:val="00673B3D"/>
    <w:rsid w:val="00674FA8"/>
    <w:rsid w:val="006766E8"/>
    <w:rsid w:val="006773CE"/>
    <w:rsid w:val="00677F40"/>
    <w:rsid w:val="00677FF6"/>
    <w:rsid w:val="00680138"/>
    <w:rsid w:val="00680959"/>
    <w:rsid w:val="00680CA0"/>
    <w:rsid w:val="00680D88"/>
    <w:rsid w:val="0068119C"/>
    <w:rsid w:val="00681DFA"/>
    <w:rsid w:val="006838C1"/>
    <w:rsid w:val="00683936"/>
    <w:rsid w:val="00685E28"/>
    <w:rsid w:val="00685ED4"/>
    <w:rsid w:val="006868F2"/>
    <w:rsid w:val="00690538"/>
    <w:rsid w:val="006910EF"/>
    <w:rsid w:val="00691C79"/>
    <w:rsid w:val="00692EEB"/>
    <w:rsid w:val="00693F28"/>
    <w:rsid w:val="006944E8"/>
    <w:rsid w:val="006945A3"/>
    <w:rsid w:val="0069582B"/>
    <w:rsid w:val="00695CB5"/>
    <w:rsid w:val="006964E7"/>
    <w:rsid w:val="00697479"/>
    <w:rsid w:val="006A008F"/>
    <w:rsid w:val="006A1C39"/>
    <w:rsid w:val="006A358E"/>
    <w:rsid w:val="006A42B0"/>
    <w:rsid w:val="006A4903"/>
    <w:rsid w:val="006A5AA6"/>
    <w:rsid w:val="006A5F01"/>
    <w:rsid w:val="006A665C"/>
    <w:rsid w:val="006A6F3C"/>
    <w:rsid w:val="006B029B"/>
    <w:rsid w:val="006B0A11"/>
    <w:rsid w:val="006B0B03"/>
    <w:rsid w:val="006B0D1B"/>
    <w:rsid w:val="006B1CAF"/>
    <w:rsid w:val="006B1F84"/>
    <w:rsid w:val="006B2D51"/>
    <w:rsid w:val="006B3835"/>
    <w:rsid w:val="006B553A"/>
    <w:rsid w:val="006B5809"/>
    <w:rsid w:val="006B6089"/>
    <w:rsid w:val="006B6B21"/>
    <w:rsid w:val="006B6FCA"/>
    <w:rsid w:val="006B79B2"/>
    <w:rsid w:val="006C0442"/>
    <w:rsid w:val="006C0AE6"/>
    <w:rsid w:val="006C0E23"/>
    <w:rsid w:val="006C1CF8"/>
    <w:rsid w:val="006C475B"/>
    <w:rsid w:val="006C62B2"/>
    <w:rsid w:val="006C6B13"/>
    <w:rsid w:val="006C7687"/>
    <w:rsid w:val="006C7E16"/>
    <w:rsid w:val="006D0ACF"/>
    <w:rsid w:val="006D0DCB"/>
    <w:rsid w:val="006D1D5E"/>
    <w:rsid w:val="006D2B80"/>
    <w:rsid w:val="006D2D36"/>
    <w:rsid w:val="006D4826"/>
    <w:rsid w:val="006D4D35"/>
    <w:rsid w:val="006D6065"/>
    <w:rsid w:val="006D6D9A"/>
    <w:rsid w:val="006E0857"/>
    <w:rsid w:val="006E10D1"/>
    <w:rsid w:val="006E1121"/>
    <w:rsid w:val="006E170D"/>
    <w:rsid w:val="006E3864"/>
    <w:rsid w:val="006E393B"/>
    <w:rsid w:val="006E51CD"/>
    <w:rsid w:val="006E5908"/>
    <w:rsid w:val="006E59CE"/>
    <w:rsid w:val="006E698B"/>
    <w:rsid w:val="006E6D2B"/>
    <w:rsid w:val="006E7551"/>
    <w:rsid w:val="006E7CA5"/>
    <w:rsid w:val="006E7E55"/>
    <w:rsid w:val="006E7E7A"/>
    <w:rsid w:val="006F1EB4"/>
    <w:rsid w:val="006F3892"/>
    <w:rsid w:val="006F3E96"/>
    <w:rsid w:val="006F5E58"/>
    <w:rsid w:val="006F65FA"/>
    <w:rsid w:val="006F6FA2"/>
    <w:rsid w:val="006F731F"/>
    <w:rsid w:val="006F7EFE"/>
    <w:rsid w:val="007005AF"/>
    <w:rsid w:val="00701172"/>
    <w:rsid w:val="00701949"/>
    <w:rsid w:val="00702CBD"/>
    <w:rsid w:val="00702E8C"/>
    <w:rsid w:val="00703227"/>
    <w:rsid w:val="007036E3"/>
    <w:rsid w:val="0070513D"/>
    <w:rsid w:val="00705EB0"/>
    <w:rsid w:val="0070615C"/>
    <w:rsid w:val="00706AAD"/>
    <w:rsid w:val="00706ABF"/>
    <w:rsid w:val="00706CA9"/>
    <w:rsid w:val="00707517"/>
    <w:rsid w:val="007076FB"/>
    <w:rsid w:val="00707C2B"/>
    <w:rsid w:val="00710C4F"/>
    <w:rsid w:val="00710E23"/>
    <w:rsid w:val="007114AC"/>
    <w:rsid w:val="00712192"/>
    <w:rsid w:val="007127AE"/>
    <w:rsid w:val="007132E9"/>
    <w:rsid w:val="00714A81"/>
    <w:rsid w:val="007151E9"/>
    <w:rsid w:val="0071548B"/>
    <w:rsid w:val="007167AE"/>
    <w:rsid w:val="0071726B"/>
    <w:rsid w:val="007200EE"/>
    <w:rsid w:val="007200F7"/>
    <w:rsid w:val="00720150"/>
    <w:rsid w:val="007203C8"/>
    <w:rsid w:val="007203E4"/>
    <w:rsid w:val="007204A9"/>
    <w:rsid w:val="00722D12"/>
    <w:rsid w:val="00722F1D"/>
    <w:rsid w:val="007240CA"/>
    <w:rsid w:val="0072497F"/>
    <w:rsid w:val="00724989"/>
    <w:rsid w:val="00725448"/>
    <w:rsid w:val="00726B27"/>
    <w:rsid w:val="007274AD"/>
    <w:rsid w:val="00727A37"/>
    <w:rsid w:val="007301B8"/>
    <w:rsid w:val="007306BA"/>
    <w:rsid w:val="00731190"/>
    <w:rsid w:val="00731807"/>
    <w:rsid w:val="00732081"/>
    <w:rsid w:val="00732C8D"/>
    <w:rsid w:val="00733BD3"/>
    <w:rsid w:val="0073400A"/>
    <w:rsid w:val="0073476B"/>
    <w:rsid w:val="00734D2C"/>
    <w:rsid w:val="007359C0"/>
    <w:rsid w:val="00736171"/>
    <w:rsid w:val="007378C5"/>
    <w:rsid w:val="00741631"/>
    <w:rsid w:val="00742945"/>
    <w:rsid w:val="00743B31"/>
    <w:rsid w:val="00744140"/>
    <w:rsid w:val="007450E8"/>
    <w:rsid w:val="0074565F"/>
    <w:rsid w:val="007461F3"/>
    <w:rsid w:val="0074716D"/>
    <w:rsid w:val="0075042C"/>
    <w:rsid w:val="0075061A"/>
    <w:rsid w:val="00750B6D"/>
    <w:rsid w:val="00751D4D"/>
    <w:rsid w:val="00756929"/>
    <w:rsid w:val="00756D66"/>
    <w:rsid w:val="007570C5"/>
    <w:rsid w:val="007575F6"/>
    <w:rsid w:val="0076191B"/>
    <w:rsid w:val="00762605"/>
    <w:rsid w:val="00763AD5"/>
    <w:rsid w:val="00763B8E"/>
    <w:rsid w:val="007645E4"/>
    <w:rsid w:val="00764DC0"/>
    <w:rsid w:val="0076504D"/>
    <w:rsid w:val="00765B33"/>
    <w:rsid w:val="00765F2E"/>
    <w:rsid w:val="00766034"/>
    <w:rsid w:val="007669A8"/>
    <w:rsid w:val="00767DBB"/>
    <w:rsid w:val="00771377"/>
    <w:rsid w:val="00771BF9"/>
    <w:rsid w:val="00771CC6"/>
    <w:rsid w:val="0077206D"/>
    <w:rsid w:val="00772459"/>
    <w:rsid w:val="00772854"/>
    <w:rsid w:val="00774646"/>
    <w:rsid w:val="00775462"/>
    <w:rsid w:val="00775A2E"/>
    <w:rsid w:val="00775B29"/>
    <w:rsid w:val="00776D82"/>
    <w:rsid w:val="007775DF"/>
    <w:rsid w:val="00777DE5"/>
    <w:rsid w:val="00781175"/>
    <w:rsid w:val="007812F5"/>
    <w:rsid w:val="00781695"/>
    <w:rsid w:val="00781E82"/>
    <w:rsid w:val="007820F5"/>
    <w:rsid w:val="007825E5"/>
    <w:rsid w:val="00782D28"/>
    <w:rsid w:val="00783068"/>
    <w:rsid w:val="007830E8"/>
    <w:rsid w:val="007837FE"/>
    <w:rsid w:val="00783FBA"/>
    <w:rsid w:val="00784345"/>
    <w:rsid w:val="00784B5F"/>
    <w:rsid w:val="00784DA0"/>
    <w:rsid w:val="00787CD8"/>
    <w:rsid w:val="007903D3"/>
    <w:rsid w:val="00790DAD"/>
    <w:rsid w:val="00791832"/>
    <w:rsid w:val="0079267F"/>
    <w:rsid w:val="00792F81"/>
    <w:rsid w:val="00793504"/>
    <w:rsid w:val="00793856"/>
    <w:rsid w:val="00794FB8"/>
    <w:rsid w:val="00795317"/>
    <w:rsid w:val="00796213"/>
    <w:rsid w:val="007971E4"/>
    <w:rsid w:val="007A02A7"/>
    <w:rsid w:val="007A168D"/>
    <w:rsid w:val="007A1EEB"/>
    <w:rsid w:val="007A34BB"/>
    <w:rsid w:val="007A43DD"/>
    <w:rsid w:val="007A45C8"/>
    <w:rsid w:val="007A5116"/>
    <w:rsid w:val="007A51B9"/>
    <w:rsid w:val="007A6BA0"/>
    <w:rsid w:val="007A73F6"/>
    <w:rsid w:val="007A79D0"/>
    <w:rsid w:val="007B0945"/>
    <w:rsid w:val="007B101D"/>
    <w:rsid w:val="007B13F7"/>
    <w:rsid w:val="007B161B"/>
    <w:rsid w:val="007B1BD0"/>
    <w:rsid w:val="007B2339"/>
    <w:rsid w:val="007B23EF"/>
    <w:rsid w:val="007B30AE"/>
    <w:rsid w:val="007B3C47"/>
    <w:rsid w:val="007B3D7B"/>
    <w:rsid w:val="007B509D"/>
    <w:rsid w:val="007B6131"/>
    <w:rsid w:val="007B67CF"/>
    <w:rsid w:val="007B7344"/>
    <w:rsid w:val="007B7D13"/>
    <w:rsid w:val="007C0935"/>
    <w:rsid w:val="007C110D"/>
    <w:rsid w:val="007C1716"/>
    <w:rsid w:val="007C1882"/>
    <w:rsid w:val="007C1E4B"/>
    <w:rsid w:val="007C1FBE"/>
    <w:rsid w:val="007C2636"/>
    <w:rsid w:val="007C333B"/>
    <w:rsid w:val="007C5E3D"/>
    <w:rsid w:val="007C61FD"/>
    <w:rsid w:val="007C631F"/>
    <w:rsid w:val="007C7B7F"/>
    <w:rsid w:val="007D0755"/>
    <w:rsid w:val="007D0F89"/>
    <w:rsid w:val="007D1A5E"/>
    <w:rsid w:val="007D1D06"/>
    <w:rsid w:val="007D1D8D"/>
    <w:rsid w:val="007D2C37"/>
    <w:rsid w:val="007D373F"/>
    <w:rsid w:val="007D395F"/>
    <w:rsid w:val="007D4FA9"/>
    <w:rsid w:val="007D6061"/>
    <w:rsid w:val="007D6506"/>
    <w:rsid w:val="007D6D27"/>
    <w:rsid w:val="007D7CD9"/>
    <w:rsid w:val="007E042F"/>
    <w:rsid w:val="007E0C2B"/>
    <w:rsid w:val="007E1221"/>
    <w:rsid w:val="007E19DC"/>
    <w:rsid w:val="007E4908"/>
    <w:rsid w:val="007E596A"/>
    <w:rsid w:val="007E5F8E"/>
    <w:rsid w:val="007E6F67"/>
    <w:rsid w:val="007E7B68"/>
    <w:rsid w:val="007F00EF"/>
    <w:rsid w:val="007F056F"/>
    <w:rsid w:val="007F251A"/>
    <w:rsid w:val="007F2A7D"/>
    <w:rsid w:val="007F2A9E"/>
    <w:rsid w:val="007F44D8"/>
    <w:rsid w:val="007F4E93"/>
    <w:rsid w:val="007F67E0"/>
    <w:rsid w:val="007F6DBF"/>
    <w:rsid w:val="007F7AEA"/>
    <w:rsid w:val="00800A66"/>
    <w:rsid w:val="00800F32"/>
    <w:rsid w:val="00801C4F"/>
    <w:rsid w:val="00802ACE"/>
    <w:rsid w:val="008042B4"/>
    <w:rsid w:val="008046D4"/>
    <w:rsid w:val="00804703"/>
    <w:rsid w:val="00805A5D"/>
    <w:rsid w:val="00807829"/>
    <w:rsid w:val="00810907"/>
    <w:rsid w:val="00810AD5"/>
    <w:rsid w:val="00810E90"/>
    <w:rsid w:val="008113EE"/>
    <w:rsid w:val="008115F8"/>
    <w:rsid w:val="0081186A"/>
    <w:rsid w:val="00811CF7"/>
    <w:rsid w:val="00812634"/>
    <w:rsid w:val="00812AC6"/>
    <w:rsid w:val="00813887"/>
    <w:rsid w:val="00813BF0"/>
    <w:rsid w:val="008152CE"/>
    <w:rsid w:val="008154A6"/>
    <w:rsid w:val="00815B83"/>
    <w:rsid w:val="00815E84"/>
    <w:rsid w:val="00815F78"/>
    <w:rsid w:val="00816149"/>
    <w:rsid w:val="00817F25"/>
    <w:rsid w:val="0082019E"/>
    <w:rsid w:val="008203B9"/>
    <w:rsid w:val="00820415"/>
    <w:rsid w:val="008210BA"/>
    <w:rsid w:val="00821739"/>
    <w:rsid w:val="00823F98"/>
    <w:rsid w:val="00824D18"/>
    <w:rsid w:val="00825DC8"/>
    <w:rsid w:val="00825DED"/>
    <w:rsid w:val="00826144"/>
    <w:rsid w:val="00826AC6"/>
    <w:rsid w:val="00826EA9"/>
    <w:rsid w:val="008304CA"/>
    <w:rsid w:val="00830EC2"/>
    <w:rsid w:val="00831C04"/>
    <w:rsid w:val="00831F64"/>
    <w:rsid w:val="00833792"/>
    <w:rsid w:val="00833B77"/>
    <w:rsid w:val="00833FC1"/>
    <w:rsid w:val="00837707"/>
    <w:rsid w:val="008379BC"/>
    <w:rsid w:val="008407DC"/>
    <w:rsid w:val="00840A26"/>
    <w:rsid w:val="00841433"/>
    <w:rsid w:val="0084293A"/>
    <w:rsid w:val="00842BC9"/>
    <w:rsid w:val="00842C90"/>
    <w:rsid w:val="008432E6"/>
    <w:rsid w:val="008448F9"/>
    <w:rsid w:val="00844E6C"/>
    <w:rsid w:val="0084593A"/>
    <w:rsid w:val="00845FE6"/>
    <w:rsid w:val="0084646C"/>
    <w:rsid w:val="00846743"/>
    <w:rsid w:val="008467EA"/>
    <w:rsid w:val="008500C0"/>
    <w:rsid w:val="00850888"/>
    <w:rsid w:val="00850BCD"/>
    <w:rsid w:val="008518FA"/>
    <w:rsid w:val="00851AFC"/>
    <w:rsid w:val="00852331"/>
    <w:rsid w:val="008524BA"/>
    <w:rsid w:val="008527F2"/>
    <w:rsid w:val="00852933"/>
    <w:rsid w:val="00852F35"/>
    <w:rsid w:val="008544E9"/>
    <w:rsid w:val="00854EE3"/>
    <w:rsid w:val="008551BB"/>
    <w:rsid w:val="00855565"/>
    <w:rsid w:val="00856B74"/>
    <w:rsid w:val="00857057"/>
    <w:rsid w:val="00857363"/>
    <w:rsid w:val="00857DE9"/>
    <w:rsid w:val="00857E2C"/>
    <w:rsid w:val="00860946"/>
    <w:rsid w:val="00860A42"/>
    <w:rsid w:val="008622D7"/>
    <w:rsid w:val="008630ED"/>
    <w:rsid w:val="008634B9"/>
    <w:rsid w:val="0086394C"/>
    <w:rsid w:val="00864A24"/>
    <w:rsid w:val="00864B5C"/>
    <w:rsid w:val="0086514E"/>
    <w:rsid w:val="008661D2"/>
    <w:rsid w:val="008667C4"/>
    <w:rsid w:val="0086753E"/>
    <w:rsid w:val="00870159"/>
    <w:rsid w:val="00871A4E"/>
    <w:rsid w:val="008722B2"/>
    <w:rsid w:val="00873060"/>
    <w:rsid w:val="00873791"/>
    <w:rsid w:val="00875132"/>
    <w:rsid w:val="00875C91"/>
    <w:rsid w:val="0087619F"/>
    <w:rsid w:val="0087666F"/>
    <w:rsid w:val="00876A08"/>
    <w:rsid w:val="00877353"/>
    <w:rsid w:val="00877D31"/>
    <w:rsid w:val="00877F48"/>
    <w:rsid w:val="00880485"/>
    <w:rsid w:val="008811E2"/>
    <w:rsid w:val="00881A82"/>
    <w:rsid w:val="00881D30"/>
    <w:rsid w:val="00883248"/>
    <w:rsid w:val="00883819"/>
    <w:rsid w:val="00884065"/>
    <w:rsid w:val="008842FE"/>
    <w:rsid w:val="0088466C"/>
    <w:rsid w:val="0088541E"/>
    <w:rsid w:val="00885CD1"/>
    <w:rsid w:val="00886526"/>
    <w:rsid w:val="00886A22"/>
    <w:rsid w:val="00886C51"/>
    <w:rsid w:val="00887855"/>
    <w:rsid w:val="00887CAC"/>
    <w:rsid w:val="0089065D"/>
    <w:rsid w:val="00890D44"/>
    <w:rsid w:val="00890EA1"/>
    <w:rsid w:val="008921BE"/>
    <w:rsid w:val="00892621"/>
    <w:rsid w:val="00892D49"/>
    <w:rsid w:val="00892F1A"/>
    <w:rsid w:val="00893088"/>
    <w:rsid w:val="00893473"/>
    <w:rsid w:val="008934CD"/>
    <w:rsid w:val="008A0614"/>
    <w:rsid w:val="008A0CE9"/>
    <w:rsid w:val="008A0D5E"/>
    <w:rsid w:val="008A1952"/>
    <w:rsid w:val="008A1E8A"/>
    <w:rsid w:val="008A1EBC"/>
    <w:rsid w:val="008A23F2"/>
    <w:rsid w:val="008A3133"/>
    <w:rsid w:val="008A3B05"/>
    <w:rsid w:val="008A45F8"/>
    <w:rsid w:val="008A69F0"/>
    <w:rsid w:val="008A6BA6"/>
    <w:rsid w:val="008B0957"/>
    <w:rsid w:val="008B174C"/>
    <w:rsid w:val="008B1ACE"/>
    <w:rsid w:val="008B2472"/>
    <w:rsid w:val="008B28D9"/>
    <w:rsid w:val="008B3167"/>
    <w:rsid w:val="008B44F5"/>
    <w:rsid w:val="008B5FB2"/>
    <w:rsid w:val="008B7808"/>
    <w:rsid w:val="008B78D1"/>
    <w:rsid w:val="008B7D87"/>
    <w:rsid w:val="008C0553"/>
    <w:rsid w:val="008C0EA6"/>
    <w:rsid w:val="008C1B11"/>
    <w:rsid w:val="008C1DA1"/>
    <w:rsid w:val="008C1E66"/>
    <w:rsid w:val="008C349F"/>
    <w:rsid w:val="008C393B"/>
    <w:rsid w:val="008C3EA6"/>
    <w:rsid w:val="008C3FDC"/>
    <w:rsid w:val="008C4330"/>
    <w:rsid w:val="008C45FF"/>
    <w:rsid w:val="008C47A1"/>
    <w:rsid w:val="008C562B"/>
    <w:rsid w:val="008C6186"/>
    <w:rsid w:val="008C704E"/>
    <w:rsid w:val="008C738F"/>
    <w:rsid w:val="008D009E"/>
    <w:rsid w:val="008D074F"/>
    <w:rsid w:val="008D0E5B"/>
    <w:rsid w:val="008D18C1"/>
    <w:rsid w:val="008D3150"/>
    <w:rsid w:val="008D403F"/>
    <w:rsid w:val="008D5DEC"/>
    <w:rsid w:val="008D69DF"/>
    <w:rsid w:val="008D6B9E"/>
    <w:rsid w:val="008D7AD5"/>
    <w:rsid w:val="008D7FF8"/>
    <w:rsid w:val="008E005C"/>
    <w:rsid w:val="008E1024"/>
    <w:rsid w:val="008E123C"/>
    <w:rsid w:val="008E1FCD"/>
    <w:rsid w:val="008E3BFD"/>
    <w:rsid w:val="008E5613"/>
    <w:rsid w:val="008E641F"/>
    <w:rsid w:val="008E7B1B"/>
    <w:rsid w:val="008F197D"/>
    <w:rsid w:val="008F2A07"/>
    <w:rsid w:val="008F352D"/>
    <w:rsid w:val="008F42C1"/>
    <w:rsid w:val="008F4C6A"/>
    <w:rsid w:val="008F53CC"/>
    <w:rsid w:val="008F6845"/>
    <w:rsid w:val="00901352"/>
    <w:rsid w:val="00901AA3"/>
    <w:rsid w:val="00903386"/>
    <w:rsid w:val="0090392B"/>
    <w:rsid w:val="00903D05"/>
    <w:rsid w:val="00904503"/>
    <w:rsid w:val="00904ED6"/>
    <w:rsid w:val="00906150"/>
    <w:rsid w:val="00906D5D"/>
    <w:rsid w:val="00907AB8"/>
    <w:rsid w:val="009104F1"/>
    <w:rsid w:val="00910AEF"/>
    <w:rsid w:val="0091118C"/>
    <w:rsid w:val="0091141A"/>
    <w:rsid w:val="0091143A"/>
    <w:rsid w:val="00912142"/>
    <w:rsid w:val="009125B1"/>
    <w:rsid w:val="0091347B"/>
    <w:rsid w:val="009137B6"/>
    <w:rsid w:val="00913AA6"/>
    <w:rsid w:val="00913CE2"/>
    <w:rsid w:val="00913ED0"/>
    <w:rsid w:val="00914D9D"/>
    <w:rsid w:val="00915631"/>
    <w:rsid w:val="00915664"/>
    <w:rsid w:val="00915F51"/>
    <w:rsid w:val="00917073"/>
    <w:rsid w:val="00917600"/>
    <w:rsid w:val="009177BF"/>
    <w:rsid w:val="00917CA3"/>
    <w:rsid w:val="00917F58"/>
    <w:rsid w:val="00920EBC"/>
    <w:rsid w:val="00921433"/>
    <w:rsid w:val="00921D44"/>
    <w:rsid w:val="00923471"/>
    <w:rsid w:val="009248D2"/>
    <w:rsid w:val="00924A75"/>
    <w:rsid w:val="00925B8A"/>
    <w:rsid w:val="00925F94"/>
    <w:rsid w:val="00926812"/>
    <w:rsid w:val="00926CE2"/>
    <w:rsid w:val="00927328"/>
    <w:rsid w:val="00927650"/>
    <w:rsid w:val="00927859"/>
    <w:rsid w:val="009278E4"/>
    <w:rsid w:val="00927935"/>
    <w:rsid w:val="00927A2F"/>
    <w:rsid w:val="00930487"/>
    <w:rsid w:val="00930578"/>
    <w:rsid w:val="00930CB5"/>
    <w:rsid w:val="0093222B"/>
    <w:rsid w:val="00932DE1"/>
    <w:rsid w:val="0093363D"/>
    <w:rsid w:val="00933869"/>
    <w:rsid w:val="00934695"/>
    <w:rsid w:val="00934B86"/>
    <w:rsid w:val="00935E51"/>
    <w:rsid w:val="00935EA5"/>
    <w:rsid w:val="00936C83"/>
    <w:rsid w:val="009370A6"/>
    <w:rsid w:val="00937A52"/>
    <w:rsid w:val="00937B25"/>
    <w:rsid w:val="00940817"/>
    <w:rsid w:val="009418EB"/>
    <w:rsid w:val="00941B33"/>
    <w:rsid w:val="0094213F"/>
    <w:rsid w:val="00942CB6"/>
    <w:rsid w:val="00942CE9"/>
    <w:rsid w:val="00942D3B"/>
    <w:rsid w:val="009433AF"/>
    <w:rsid w:val="00944A0A"/>
    <w:rsid w:val="00944CCF"/>
    <w:rsid w:val="00945E1B"/>
    <w:rsid w:val="00946609"/>
    <w:rsid w:val="00951485"/>
    <w:rsid w:val="00951AA2"/>
    <w:rsid w:val="009525A8"/>
    <w:rsid w:val="0095336C"/>
    <w:rsid w:val="00954599"/>
    <w:rsid w:val="00954FF2"/>
    <w:rsid w:val="009552B6"/>
    <w:rsid w:val="009600A2"/>
    <w:rsid w:val="0096014E"/>
    <w:rsid w:val="009615D2"/>
    <w:rsid w:val="00961C8A"/>
    <w:rsid w:val="00961D30"/>
    <w:rsid w:val="00961DC9"/>
    <w:rsid w:val="0096268B"/>
    <w:rsid w:val="00962A41"/>
    <w:rsid w:val="00962EE8"/>
    <w:rsid w:val="009644F0"/>
    <w:rsid w:val="00964F84"/>
    <w:rsid w:val="00965FF8"/>
    <w:rsid w:val="009667BE"/>
    <w:rsid w:val="00970429"/>
    <w:rsid w:val="00971222"/>
    <w:rsid w:val="00971AA9"/>
    <w:rsid w:val="00972C50"/>
    <w:rsid w:val="00974666"/>
    <w:rsid w:val="0097491E"/>
    <w:rsid w:val="00974B9C"/>
    <w:rsid w:val="009766AA"/>
    <w:rsid w:val="00976EE9"/>
    <w:rsid w:val="00977EBA"/>
    <w:rsid w:val="00980F2E"/>
    <w:rsid w:val="00981FC0"/>
    <w:rsid w:val="00982357"/>
    <w:rsid w:val="00984376"/>
    <w:rsid w:val="009849CD"/>
    <w:rsid w:val="009852C0"/>
    <w:rsid w:val="009855E5"/>
    <w:rsid w:val="0098630B"/>
    <w:rsid w:val="00986581"/>
    <w:rsid w:val="00986C99"/>
    <w:rsid w:val="00990CCC"/>
    <w:rsid w:val="00990D7B"/>
    <w:rsid w:val="00990D9C"/>
    <w:rsid w:val="00991110"/>
    <w:rsid w:val="00991C32"/>
    <w:rsid w:val="0099222D"/>
    <w:rsid w:val="009933F2"/>
    <w:rsid w:val="0099693A"/>
    <w:rsid w:val="00996B64"/>
    <w:rsid w:val="00996D35"/>
    <w:rsid w:val="009974FB"/>
    <w:rsid w:val="009A0BC0"/>
    <w:rsid w:val="009A0F7A"/>
    <w:rsid w:val="009A14A1"/>
    <w:rsid w:val="009A1D53"/>
    <w:rsid w:val="009A43DE"/>
    <w:rsid w:val="009A4880"/>
    <w:rsid w:val="009A588F"/>
    <w:rsid w:val="009A5C32"/>
    <w:rsid w:val="009A6120"/>
    <w:rsid w:val="009A6D9C"/>
    <w:rsid w:val="009B0631"/>
    <w:rsid w:val="009B0764"/>
    <w:rsid w:val="009B101D"/>
    <w:rsid w:val="009B1378"/>
    <w:rsid w:val="009B1890"/>
    <w:rsid w:val="009B2AC8"/>
    <w:rsid w:val="009B7A96"/>
    <w:rsid w:val="009C051A"/>
    <w:rsid w:val="009C09AE"/>
    <w:rsid w:val="009C139B"/>
    <w:rsid w:val="009C1A2B"/>
    <w:rsid w:val="009C1BF2"/>
    <w:rsid w:val="009C2B29"/>
    <w:rsid w:val="009C3E49"/>
    <w:rsid w:val="009C42FD"/>
    <w:rsid w:val="009C529C"/>
    <w:rsid w:val="009C5B8C"/>
    <w:rsid w:val="009C5BDD"/>
    <w:rsid w:val="009C60F6"/>
    <w:rsid w:val="009C7244"/>
    <w:rsid w:val="009D1981"/>
    <w:rsid w:val="009D1CE2"/>
    <w:rsid w:val="009D205C"/>
    <w:rsid w:val="009D2232"/>
    <w:rsid w:val="009D31A1"/>
    <w:rsid w:val="009D4F25"/>
    <w:rsid w:val="009D5993"/>
    <w:rsid w:val="009D5C07"/>
    <w:rsid w:val="009D5F59"/>
    <w:rsid w:val="009D789B"/>
    <w:rsid w:val="009D79AD"/>
    <w:rsid w:val="009D7C9B"/>
    <w:rsid w:val="009D7E0D"/>
    <w:rsid w:val="009E131F"/>
    <w:rsid w:val="009E1D94"/>
    <w:rsid w:val="009E2FDE"/>
    <w:rsid w:val="009E4002"/>
    <w:rsid w:val="009E54B2"/>
    <w:rsid w:val="009E5FBC"/>
    <w:rsid w:val="009E6484"/>
    <w:rsid w:val="009E64E8"/>
    <w:rsid w:val="009E66C1"/>
    <w:rsid w:val="009F0889"/>
    <w:rsid w:val="009F0E78"/>
    <w:rsid w:val="009F127B"/>
    <w:rsid w:val="009F1B9E"/>
    <w:rsid w:val="009F371D"/>
    <w:rsid w:val="009F4806"/>
    <w:rsid w:val="009F5950"/>
    <w:rsid w:val="009F5A34"/>
    <w:rsid w:val="009F64CB"/>
    <w:rsid w:val="009F69BD"/>
    <w:rsid w:val="009F6A0F"/>
    <w:rsid w:val="009F6E29"/>
    <w:rsid w:val="009F7709"/>
    <w:rsid w:val="009F7EA6"/>
    <w:rsid w:val="00A00581"/>
    <w:rsid w:val="00A008E6"/>
    <w:rsid w:val="00A008F6"/>
    <w:rsid w:val="00A00DE3"/>
    <w:rsid w:val="00A00F3A"/>
    <w:rsid w:val="00A02973"/>
    <w:rsid w:val="00A038FC"/>
    <w:rsid w:val="00A03ECE"/>
    <w:rsid w:val="00A0454F"/>
    <w:rsid w:val="00A058CC"/>
    <w:rsid w:val="00A05F4D"/>
    <w:rsid w:val="00A06D2A"/>
    <w:rsid w:val="00A06E3F"/>
    <w:rsid w:val="00A06FA8"/>
    <w:rsid w:val="00A070CE"/>
    <w:rsid w:val="00A07CCB"/>
    <w:rsid w:val="00A07E6C"/>
    <w:rsid w:val="00A1068E"/>
    <w:rsid w:val="00A11479"/>
    <w:rsid w:val="00A11721"/>
    <w:rsid w:val="00A12054"/>
    <w:rsid w:val="00A1206A"/>
    <w:rsid w:val="00A1283B"/>
    <w:rsid w:val="00A12C2C"/>
    <w:rsid w:val="00A12C83"/>
    <w:rsid w:val="00A12F59"/>
    <w:rsid w:val="00A1372F"/>
    <w:rsid w:val="00A13B82"/>
    <w:rsid w:val="00A13D3F"/>
    <w:rsid w:val="00A146D2"/>
    <w:rsid w:val="00A1585F"/>
    <w:rsid w:val="00A158D4"/>
    <w:rsid w:val="00A16996"/>
    <w:rsid w:val="00A17097"/>
    <w:rsid w:val="00A21BFA"/>
    <w:rsid w:val="00A22606"/>
    <w:rsid w:val="00A23E4E"/>
    <w:rsid w:val="00A24966"/>
    <w:rsid w:val="00A269B3"/>
    <w:rsid w:val="00A26D73"/>
    <w:rsid w:val="00A27867"/>
    <w:rsid w:val="00A3085D"/>
    <w:rsid w:val="00A31714"/>
    <w:rsid w:val="00A31CD9"/>
    <w:rsid w:val="00A31FED"/>
    <w:rsid w:val="00A341AE"/>
    <w:rsid w:val="00A3440B"/>
    <w:rsid w:val="00A345DA"/>
    <w:rsid w:val="00A34D47"/>
    <w:rsid w:val="00A35E13"/>
    <w:rsid w:val="00A361D5"/>
    <w:rsid w:val="00A40216"/>
    <w:rsid w:val="00A402B7"/>
    <w:rsid w:val="00A40F8A"/>
    <w:rsid w:val="00A42705"/>
    <w:rsid w:val="00A427A0"/>
    <w:rsid w:val="00A44009"/>
    <w:rsid w:val="00A4476F"/>
    <w:rsid w:val="00A44C69"/>
    <w:rsid w:val="00A45A68"/>
    <w:rsid w:val="00A47011"/>
    <w:rsid w:val="00A47EE8"/>
    <w:rsid w:val="00A50D36"/>
    <w:rsid w:val="00A51597"/>
    <w:rsid w:val="00A52E9A"/>
    <w:rsid w:val="00A53411"/>
    <w:rsid w:val="00A54C6B"/>
    <w:rsid w:val="00A54E1B"/>
    <w:rsid w:val="00A56569"/>
    <w:rsid w:val="00A570B9"/>
    <w:rsid w:val="00A57820"/>
    <w:rsid w:val="00A578B7"/>
    <w:rsid w:val="00A57BCE"/>
    <w:rsid w:val="00A57D7B"/>
    <w:rsid w:val="00A600E7"/>
    <w:rsid w:val="00A60412"/>
    <w:rsid w:val="00A61377"/>
    <w:rsid w:val="00A61592"/>
    <w:rsid w:val="00A62EF3"/>
    <w:rsid w:val="00A63280"/>
    <w:rsid w:val="00A646B0"/>
    <w:rsid w:val="00A6521E"/>
    <w:rsid w:val="00A6568E"/>
    <w:rsid w:val="00A65B58"/>
    <w:rsid w:val="00A67EC4"/>
    <w:rsid w:val="00A70914"/>
    <w:rsid w:val="00A70CF0"/>
    <w:rsid w:val="00A71346"/>
    <w:rsid w:val="00A714DC"/>
    <w:rsid w:val="00A720D5"/>
    <w:rsid w:val="00A728F7"/>
    <w:rsid w:val="00A72C23"/>
    <w:rsid w:val="00A73D61"/>
    <w:rsid w:val="00A74415"/>
    <w:rsid w:val="00A75364"/>
    <w:rsid w:val="00A76DC5"/>
    <w:rsid w:val="00A80233"/>
    <w:rsid w:val="00A81168"/>
    <w:rsid w:val="00A81B00"/>
    <w:rsid w:val="00A841C3"/>
    <w:rsid w:val="00A86255"/>
    <w:rsid w:val="00A865C9"/>
    <w:rsid w:val="00A86C21"/>
    <w:rsid w:val="00A8740C"/>
    <w:rsid w:val="00A87695"/>
    <w:rsid w:val="00A87DA4"/>
    <w:rsid w:val="00A91001"/>
    <w:rsid w:val="00A918A7"/>
    <w:rsid w:val="00A91FBC"/>
    <w:rsid w:val="00A92211"/>
    <w:rsid w:val="00A934C4"/>
    <w:rsid w:val="00A93ACF"/>
    <w:rsid w:val="00A93D1B"/>
    <w:rsid w:val="00A946AB"/>
    <w:rsid w:val="00A95218"/>
    <w:rsid w:val="00A9550B"/>
    <w:rsid w:val="00A97478"/>
    <w:rsid w:val="00A97664"/>
    <w:rsid w:val="00AA2158"/>
    <w:rsid w:val="00AA2ACD"/>
    <w:rsid w:val="00AA3901"/>
    <w:rsid w:val="00AA5636"/>
    <w:rsid w:val="00AA5858"/>
    <w:rsid w:val="00AA5F0B"/>
    <w:rsid w:val="00AA705F"/>
    <w:rsid w:val="00AA7F82"/>
    <w:rsid w:val="00AB0094"/>
    <w:rsid w:val="00AB08CC"/>
    <w:rsid w:val="00AB17B1"/>
    <w:rsid w:val="00AB2696"/>
    <w:rsid w:val="00AB2846"/>
    <w:rsid w:val="00AB2E21"/>
    <w:rsid w:val="00AB367D"/>
    <w:rsid w:val="00AB3DB1"/>
    <w:rsid w:val="00AB3E9F"/>
    <w:rsid w:val="00AB503B"/>
    <w:rsid w:val="00AB53DA"/>
    <w:rsid w:val="00AB583E"/>
    <w:rsid w:val="00AB6B14"/>
    <w:rsid w:val="00AB7EAC"/>
    <w:rsid w:val="00AC0A35"/>
    <w:rsid w:val="00AC0C40"/>
    <w:rsid w:val="00AC16B3"/>
    <w:rsid w:val="00AC2CDC"/>
    <w:rsid w:val="00AC4272"/>
    <w:rsid w:val="00AC5304"/>
    <w:rsid w:val="00AD23C7"/>
    <w:rsid w:val="00AD2CA4"/>
    <w:rsid w:val="00AD3C7C"/>
    <w:rsid w:val="00AD4795"/>
    <w:rsid w:val="00AD5237"/>
    <w:rsid w:val="00AD55FD"/>
    <w:rsid w:val="00AD70BB"/>
    <w:rsid w:val="00AD76E3"/>
    <w:rsid w:val="00AD7805"/>
    <w:rsid w:val="00AD7BA9"/>
    <w:rsid w:val="00AE0C6D"/>
    <w:rsid w:val="00AE15B0"/>
    <w:rsid w:val="00AE17D5"/>
    <w:rsid w:val="00AE1B16"/>
    <w:rsid w:val="00AE37CC"/>
    <w:rsid w:val="00AE399F"/>
    <w:rsid w:val="00AE39E1"/>
    <w:rsid w:val="00AE4C6B"/>
    <w:rsid w:val="00AE5F61"/>
    <w:rsid w:val="00AE69F3"/>
    <w:rsid w:val="00AE781D"/>
    <w:rsid w:val="00AE7855"/>
    <w:rsid w:val="00AF080A"/>
    <w:rsid w:val="00AF0832"/>
    <w:rsid w:val="00AF0BDC"/>
    <w:rsid w:val="00AF1F45"/>
    <w:rsid w:val="00AF329C"/>
    <w:rsid w:val="00AF3AD5"/>
    <w:rsid w:val="00AF3F74"/>
    <w:rsid w:val="00AF41C0"/>
    <w:rsid w:val="00AF617D"/>
    <w:rsid w:val="00AF6E68"/>
    <w:rsid w:val="00B0014A"/>
    <w:rsid w:val="00B0067E"/>
    <w:rsid w:val="00B016AD"/>
    <w:rsid w:val="00B037AA"/>
    <w:rsid w:val="00B03FC9"/>
    <w:rsid w:val="00B05561"/>
    <w:rsid w:val="00B05FA3"/>
    <w:rsid w:val="00B05FFD"/>
    <w:rsid w:val="00B060F8"/>
    <w:rsid w:val="00B06740"/>
    <w:rsid w:val="00B06C3A"/>
    <w:rsid w:val="00B07EF7"/>
    <w:rsid w:val="00B10B8F"/>
    <w:rsid w:val="00B11003"/>
    <w:rsid w:val="00B11427"/>
    <w:rsid w:val="00B11D60"/>
    <w:rsid w:val="00B134B4"/>
    <w:rsid w:val="00B13935"/>
    <w:rsid w:val="00B13CBD"/>
    <w:rsid w:val="00B13FF2"/>
    <w:rsid w:val="00B147C7"/>
    <w:rsid w:val="00B15DDF"/>
    <w:rsid w:val="00B1679B"/>
    <w:rsid w:val="00B17BC0"/>
    <w:rsid w:val="00B2045F"/>
    <w:rsid w:val="00B21608"/>
    <w:rsid w:val="00B221EE"/>
    <w:rsid w:val="00B224F6"/>
    <w:rsid w:val="00B229FC"/>
    <w:rsid w:val="00B22BAB"/>
    <w:rsid w:val="00B23353"/>
    <w:rsid w:val="00B248E6"/>
    <w:rsid w:val="00B24D4D"/>
    <w:rsid w:val="00B2704C"/>
    <w:rsid w:val="00B27863"/>
    <w:rsid w:val="00B27D6A"/>
    <w:rsid w:val="00B27DA4"/>
    <w:rsid w:val="00B303AB"/>
    <w:rsid w:val="00B3172C"/>
    <w:rsid w:val="00B31EBD"/>
    <w:rsid w:val="00B32CCD"/>
    <w:rsid w:val="00B32CE9"/>
    <w:rsid w:val="00B35848"/>
    <w:rsid w:val="00B3597B"/>
    <w:rsid w:val="00B3653F"/>
    <w:rsid w:val="00B36BE9"/>
    <w:rsid w:val="00B40730"/>
    <w:rsid w:val="00B40876"/>
    <w:rsid w:val="00B40B1F"/>
    <w:rsid w:val="00B418E5"/>
    <w:rsid w:val="00B4203A"/>
    <w:rsid w:val="00B42103"/>
    <w:rsid w:val="00B4289B"/>
    <w:rsid w:val="00B44AFC"/>
    <w:rsid w:val="00B450F1"/>
    <w:rsid w:val="00B45DCF"/>
    <w:rsid w:val="00B464B1"/>
    <w:rsid w:val="00B47734"/>
    <w:rsid w:val="00B478B2"/>
    <w:rsid w:val="00B5013D"/>
    <w:rsid w:val="00B52632"/>
    <w:rsid w:val="00B55A0A"/>
    <w:rsid w:val="00B56617"/>
    <w:rsid w:val="00B56736"/>
    <w:rsid w:val="00B56C98"/>
    <w:rsid w:val="00B56ECE"/>
    <w:rsid w:val="00B573DD"/>
    <w:rsid w:val="00B577C9"/>
    <w:rsid w:val="00B57BA7"/>
    <w:rsid w:val="00B61AAB"/>
    <w:rsid w:val="00B61BDF"/>
    <w:rsid w:val="00B62626"/>
    <w:rsid w:val="00B62A0F"/>
    <w:rsid w:val="00B63855"/>
    <w:rsid w:val="00B64324"/>
    <w:rsid w:val="00B64B26"/>
    <w:rsid w:val="00B657C9"/>
    <w:rsid w:val="00B6596F"/>
    <w:rsid w:val="00B67570"/>
    <w:rsid w:val="00B70A45"/>
    <w:rsid w:val="00B70AD1"/>
    <w:rsid w:val="00B713F8"/>
    <w:rsid w:val="00B72664"/>
    <w:rsid w:val="00B72CAF"/>
    <w:rsid w:val="00B73383"/>
    <w:rsid w:val="00B74043"/>
    <w:rsid w:val="00B746ED"/>
    <w:rsid w:val="00B74924"/>
    <w:rsid w:val="00B802D3"/>
    <w:rsid w:val="00B80623"/>
    <w:rsid w:val="00B81519"/>
    <w:rsid w:val="00B818B4"/>
    <w:rsid w:val="00B820BA"/>
    <w:rsid w:val="00B82A65"/>
    <w:rsid w:val="00B837B3"/>
    <w:rsid w:val="00B8459C"/>
    <w:rsid w:val="00B850EB"/>
    <w:rsid w:val="00B85623"/>
    <w:rsid w:val="00B858B8"/>
    <w:rsid w:val="00B85BEA"/>
    <w:rsid w:val="00B875D0"/>
    <w:rsid w:val="00B9188D"/>
    <w:rsid w:val="00B92148"/>
    <w:rsid w:val="00B922B2"/>
    <w:rsid w:val="00B95025"/>
    <w:rsid w:val="00B95C8F"/>
    <w:rsid w:val="00B9622A"/>
    <w:rsid w:val="00B9781B"/>
    <w:rsid w:val="00B97E1E"/>
    <w:rsid w:val="00BA00CC"/>
    <w:rsid w:val="00BA15AA"/>
    <w:rsid w:val="00BA30DD"/>
    <w:rsid w:val="00BA373E"/>
    <w:rsid w:val="00BA3951"/>
    <w:rsid w:val="00BA3D8E"/>
    <w:rsid w:val="00BA4ADB"/>
    <w:rsid w:val="00BA5F28"/>
    <w:rsid w:val="00BA66D7"/>
    <w:rsid w:val="00BA68AA"/>
    <w:rsid w:val="00BA69BE"/>
    <w:rsid w:val="00BA78B9"/>
    <w:rsid w:val="00BB04DC"/>
    <w:rsid w:val="00BB06A1"/>
    <w:rsid w:val="00BB0A3A"/>
    <w:rsid w:val="00BB1526"/>
    <w:rsid w:val="00BB2D95"/>
    <w:rsid w:val="00BB33AD"/>
    <w:rsid w:val="00BB38C3"/>
    <w:rsid w:val="00BB3D4D"/>
    <w:rsid w:val="00BB49A2"/>
    <w:rsid w:val="00BB5D51"/>
    <w:rsid w:val="00BB5E01"/>
    <w:rsid w:val="00BB76FA"/>
    <w:rsid w:val="00BB79E5"/>
    <w:rsid w:val="00BC0BF7"/>
    <w:rsid w:val="00BC0ED5"/>
    <w:rsid w:val="00BC1A08"/>
    <w:rsid w:val="00BC1E8D"/>
    <w:rsid w:val="00BC227F"/>
    <w:rsid w:val="00BC330E"/>
    <w:rsid w:val="00BC394B"/>
    <w:rsid w:val="00BC4A86"/>
    <w:rsid w:val="00BC535A"/>
    <w:rsid w:val="00BC576F"/>
    <w:rsid w:val="00BC5893"/>
    <w:rsid w:val="00BC5FCA"/>
    <w:rsid w:val="00BC6A19"/>
    <w:rsid w:val="00BC6B27"/>
    <w:rsid w:val="00BC74F2"/>
    <w:rsid w:val="00BD111E"/>
    <w:rsid w:val="00BD141C"/>
    <w:rsid w:val="00BD171D"/>
    <w:rsid w:val="00BD1E83"/>
    <w:rsid w:val="00BD25DD"/>
    <w:rsid w:val="00BD2AD2"/>
    <w:rsid w:val="00BD3791"/>
    <w:rsid w:val="00BD37B8"/>
    <w:rsid w:val="00BD3EE8"/>
    <w:rsid w:val="00BD3F5E"/>
    <w:rsid w:val="00BD56D5"/>
    <w:rsid w:val="00BD57F5"/>
    <w:rsid w:val="00BD596F"/>
    <w:rsid w:val="00BD6701"/>
    <w:rsid w:val="00BD68CE"/>
    <w:rsid w:val="00BD7890"/>
    <w:rsid w:val="00BE07AE"/>
    <w:rsid w:val="00BE07B3"/>
    <w:rsid w:val="00BE17BA"/>
    <w:rsid w:val="00BE1B70"/>
    <w:rsid w:val="00BE268A"/>
    <w:rsid w:val="00BE281D"/>
    <w:rsid w:val="00BE30E1"/>
    <w:rsid w:val="00BE336B"/>
    <w:rsid w:val="00BE48A4"/>
    <w:rsid w:val="00BE4DE2"/>
    <w:rsid w:val="00BE55BA"/>
    <w:rsid w:val="00BE56F0"/>
    <w:rsid w:val="00BE5FBD"/>
    <w:rsid w:val="00BE6841"/>
    <w:rsid w:val="00BE7386"/>
    <w:rsid w:val="00BF0F26"/>
    <w:rsid w:val="00BF17B9"/>
    <w:rsid w:val="00BF203D"/>
    <w:rsid w:val="00BF2B11"/>
    <w:rsid w:val="00BF318E"/>
    <w:rsid w:val="00BF350F"/>
    <w:rsid w:val="00BF45E1"/>
    <w:rsid w:val="00BF4BD5"/>
    <w:rsid w:val="00BF5483"/>
    <w:rsid w:val="00BF5A50"/>
    <w:rsid w:val="00BF5ECC"/>
    <w:rsid w:val="00BF5F61"/>
    <w:rsid w:val="00BF6286"/>
    <w:rsid w:val="00BF6A7B"/>
    <w:rsid w:val="00BF7349"/>
    <w:rsid w:val="00BF766D"/>
    <w:rsid w:val="00C000E6"/>
    <w:rsid w:val="00C01529"/>
    <w:rsid w:val="00C02F16"/>
    <w:rsid w:val="00C0314D"/>
    <w:rsid w:val="00C045E0"/>
    <w:rsid w:val="00C04E50"/>
    <w:rsid w:val="00C05AED"/>
    <w:rsid w:val="00C0651F"/>
    <w:rsid w:val="00C066BA"/>
    <w:rsid w:val="00C0689E"/>
    <w:rsid w:val="00C06DBB"/>
    <w:rsid w:val="00C06F18"/>
    <w:rsid w:val="00C10D99"/>
    <w:rsid w:val="00C126F1"/>
    <w:rsid w:val="00C12D35"/>
    <w:rsid w:val="00C1305E"/>
    <w:rsid w:val="00C1330C"/>
    <w:rsid w:val="00C13746"/>
    <w:rsid w:val="00C13979"/>
    <w:rsid w:val="00C14109"/>
    <w:rsid w:val="00C1431E"/>
    <w:rsid w:val="00C14BB2"/>
    <w:rsid w:val="00C152B5"/>
    <w:rsid w:val="00C1689D"/>
    <w:rsid w:val="00C16D79"/>
    <w:rsid w:val="00C17529"/>
    <w:rsid w:val="00C17807"/>
    <w:rsid w:val="00C218E7"/>
    <w:rsid w:val="00C21AC7"/>
    <w:rsid w:val="00C22088"/>
    <w:rsid w:val="00C22624"/>
    <w:rsid w:val="00C22EE9"/>
    <w:rsid w:val="00C2307F"/>
    <w:rsid w:val="00C2371A"/>
    <w:rsid w:val="00C23E70"/>
    <w:rsid w:val="00C24717"/>
    <w:rsid w:val="00C2603D"/>
    <w:rsid w:val="00C264AE"/>
    <w:rsid w:val="00C3041A"/>
    <w:rsid w:val="00C306E2"/>
    <w:rsid w:val="00C30D58"/>
    <w:rsid w:val="00C3102E"/>
    <w:rsid w:val="00C31252"/>
    <w:rsid w:val="00C31B83"/>
    <w:rsid w:val="00C32918"/>
    <w:rsid w:val="00C332B2"/>
    <w:rsid w:val="00C34227"/>
    <w:rsid w:val="00C36808"/>
    <w:rsid w:val="00C37366"/>
    <w:rsid w:val="00C37C1C"/>
    <w:rsid w:val="00C412F0"/>
    <w:rsid w:val="00C415D0"/>
    <w:rsid w:val="00C41FC0"/>
    <w:rsid w:val="00C427D6"/>
    <w:rsid w:val="00C43356"/>
    <w:rsid w:val="00C44076"/>
    <w:rsid w:val="00C44906"/>
    <w:rsid w:val="00C44CFF"/>
    <w:rsid w:val="00C44DE1"/>
    <w:rsid w:val="00C45C67"/>
    <w:rsid w:val="00C4602E"/>
    <w:rsid w:val="00C46578"/>
    <w:rsid w:val="00C46724"/>
    <w:rsid w:val="00C468E6"/>
    <w:rsid w:val="00C471B8"/>
    <w:rsid w:val="00C47620"/>
    <w:rsid w:val="00C519E4"/>
    <w:rsid w:val="00C51E5D"/>
    <w:rsid w:val="00C527B9"/>
    <w:rsid w:val="00C5293B"/>
    <w:rsid w:val="00C53068"/>
    <w:rsid w:val="00C53985"/>
    <w:rsid w:val="00C54824"/>
    <w:rsid w:val="00C5482E"/>
    <w:rsid w:val="00C55719"/>
    <w:rsid w:val="00C560BB"/>
    <w:rsid w:val="00C56E3A"/>
    <w:rsid w:val="00C61074"/>
    <w:rsid w:val="00C619A2"/>
    <w:rsid w:val="00C61A35"/>
    <w:rsid w:val="00C61C8D"/>
    <w:rsid w:val="00C6271A"/>
    <w:rsid w:val="00C62B5B"/>
    <w:rsid w:val="00C6319C"/>
    <w:rsid w:val="00C64A14"/>
    <w:rsid w:val="00C6523A"/>
    <w:rsid w:val="00C65612"/>
    <w:rsid w:val="00C65E6F"/>
    <w:rsid w:val="00C667EE"/>
    <w:rsid w:val="00C66C2D"/>
    <w:rsid w:val="00C66F82"/>
    <w:rsid w:val="00C67B54"/>
    <w:rsid w:val="00C67CE4"/>
    <w:rsid w:val="00C70119"/>
    <w:rsid w:val="00C70474"/>
    <w:rsid w:val="00C70947"/>
    <w:rsid w:val="00C724D8"/>
    <w:rsid w:val="00C7250A"/>
    <w:rsid w:val="00C730DE"/>
    <w:rsid w:val="00C73C91"/>
    <w:rsid w:val="00C73DB7"/>
    <w:rsid w:val="00C76F83"/>
    <w:rsid w:val="00C7778D"/>
    <w:rsid w:val="00C81264"/>
    <w:rsid w:val="00C81637"/>
    <w:rsid w:val="00C81948"/>
    <w:rsid w:val="00C82CBA"/>
    <w:rsid w:val="00C836FC"/>
    <w:rsid w:val="00C83C12"/>
    <w:rsid w:val="00C83DD1"/>
    <w:rsid w:val="00C84375"/>
    <w:rsid w:val="00C846BB"/>
    <w:rsid w:val="00C84BDF"/>
    <w:rsid w:val="00C869BA"/>
    <w:rsid w:val="00C86D88"/>
    <w:rsid w:val="00C86E56"/>
    <w:rsid w:val="00C8707E"/>
    <w:rsid w:val="00C87113"/>
    <w:rsid w:val="00C90E6C"/>
    <w:rsid w:val="00C928AD"/>
    <w:rsid w:val="00C93682"/>
    <w:rsid w:val="00C94B23"/>
    <w:rsid w:val="00C95D66"/>
    <w:rsid w:val="00C95ECB"/>
    <w:rsid w:val="00C969DC"/>
    <w:rsid w:val="00C96D4B"/>
    <w:rsid w:val="00C9731E"/>
    <w:rsid w:val="00C976F9"/>
    <w:rsid w:val="00C97C06"/>
    <w:rsid w:val="00CA069F"/>
    <w:rsid w:val="00CA1478"/>
    <w:rsid w:val="00CA158C"/>
    <w:rsid w:val="00CA169C"/>
    <w:rsid w:val="00CA2AE9"/>
    <w:rsid w:val="00CA3925"/>
    <w:rsid w:val="00CA3B0F"/>
    <w:rsid w:val="00CA3F50"/>
    <w:rsid w:val="00CA58DF"/>
    <w:rsid w:val="00CA75F7"/>
    <w:rsid w:val="00CB03D9"/>
    <w:rsid w:val="00CB11F0"/>
    <w:rsid w:val="00CB182D"/>
    <w:rsid w:val="00CB29D4"/>
    <w:rsid w:val="00CB2A99"/>
    <w:rsid w:val="00CB2D37"/>
    <w:rsid w:val="00CB3318"/>
    <w:rsid w:val="00CB3853"/>
    <w:rsid w:val="00CB41A8"/>
    <w:rsid w:val="00CB44FA"/>
    <w:rsid w:val="00CB4E08"/>
    <w:rsid w:val="00CB6D28"/>
    <w:rsid w:val="00CB7E98"/>
    <w:rsid w:val="00CC0222"/>
    <w:rsid w:val="00CC03C2"/>
    <w:rsid w:val="00CC1358"/>
    <w:rsid w:val="00CC1F7D"/>
    <w:rsid w:val="00CC23F2"/>
    <w:rsid w:val="00CC43D6"/>
    <w:rsid w:val="00CC53F0"/>
    <w:rsid w:val="00CC5C6D"/>
    <w:rsid w:val="00CC6110"/>
    <w:rsid w:val="00CC6D68"/>
    <w:rsid w:val="00CC79DE"/>
    <w:rsid w:val="00CC7BA0"/>
    <w:rsid w:val="00CD00AC"/>
    <w:rsid w:val="00CD127E"/>
    <w:rsid w:val="00CD17DB"/>
    <w:rsid w:val="00CD192D"/>
    <w:rsid w:val="00CD2519"/>
    <w:rsid w:val="00CD2743"/>
    <w:rsid w:val="00CD2783"/>
    <w:rsid w:val="00CD2845"/>
    <w:rsid w:val="00CD2DCD"/>
    <w:rsid w:val="00CD3644"/>
    <w:rsid w:val="00CD4055"/>
    <w:rsid w:val="00CD4319"/>
    <w:rsid w:val="00CD5842"/>
    <w:rsid w:val="00CD6A39"/>
    <w:rsid w:val="00CD6D53"/>
    <w:rsid w:val="00CD6E51"/>
    <w:rsid w:val="00CE01EC"/>
    <w:rsid w:val="00CE0A70"/>
    <w:rsid w:val="00CE0A91"/>
    <w:rsid w:val="00CE0E8C"/>
    <w:rsid w:val="00CE10E3"/>
    <w:rsid w:val="00CE3CF8"/>
    <w:rsid w:val="00CE4043"/>
    <w:rsid w:val="00CE54C8"/>
    <w:rsid w:val="00CE5DC0"/>
    <w:rsid w:val="00CE6E5B"/>
    <w:rsid w:val="00CE704B"/>
    <w:rsid w:val="00CE7558"/>
    <w:rsid w:val="00CF068F"/>
    <w:rsid w:val="00CF0DE3"/>
    <w:rsid w:val="00CF2038"/>
    <w:rsid w:val="00CF2085"/>
    <w:rsid w:val="00CF21C2"/>
    <w:rsid w:val="00CF3511"/>
    <w:rsid w:val="00CF6B45"/>
    <w:rsid w:val="00CF6D72"/>
    <w:rsid w:val="00CF7172"/>
    <w:rsid w:val="00CF7765"/>
    <w:rsid w:val="00CF7A62"/>
    <w:rsid w:val="00D00FBD"/>
    <w:rsid w:val="00D0212B"/>
    <w:rsid w:val="00D02664"/>
    <w:rsid w:val="00D026BE"/>
    <w:rsid w:val="00D03799"/>
    <w:rsid w:val="00D038B2"/>
    <w:rsid w:val="00D03AAF"/>
    <w:rsid w:val="00D03B15"/>
    <w:rsid w:val="00D0404A"/>
    <w:rsid w:val="00D0473D"/>
    <w:rsid w:val="00D04E61"/>
    <w:rsid w:val="00D05930"/>
    <w:rsid w:val="00D06D8A"/>
    <w:rsid w:val="00D07CEA"/>
    <w:rsid w:val="00D07F40"/>
    <w:rsid w:val="00D10635"/>
    <w:rsid w:val="00D114DB"/>
    <w:rsid w:val="00D11553"/>
    <w:rsid w:val="00D121C6"/>
    <w:rsid w:val="00D122BE"/>
    <w:rsid w:val="00D15439"/>
    <w:rsid w:val="00D16165"/>
    <w:rsid w:val="00D17120"/>
    <w:rsid w:val="00D171E6"/>
    <w:rsid w:val="00D2080E"/>
    <w:rsid w:val="00D20BBF"/>
    <w:rsid w:val="00D20C28"/>
    <w:rsid w:val="00D21374"/>
    <w:rsid w:val="00D218F7"/>
    <w:rsid w:val="00D21D9E"/>
    <w:rsid w:val="00D22740"/>
    <w:rsid w:val="00D22FE9"/>
    <w:rsid w:val="00D237C5"/>
    <w:rsid w:val="00D2423F"/>
    <w:rsid w:val="00D2484F"/>
    <w:rsid w:val="00D25D19"/>
    <w:rsid w:val="00D27F02"/>
    <w:rsid w:val="00D3120C"/>
    <w:rsid w:val="00D32965"/>
    <w:rsid w:val="00D334D4"/>
    <w:rsid w:val="00D33677"/>
    <w:rsid w:val="00D3375F"/>
    <w:rsid w:val="00D344D2"/>
    <w:rsid w:val="00D349F0"/>
    <w:rsid w:val="00D362B5"/>
    <w:rsid w:val="00D36B5C"/>
    <w:rsid w:val="00D37500"/>
    <w:rsid w:val="00D37AE4"/>
    <w:rsid w:val="00D40D64"/>
    <w:rsid w:val="00D42BC9"/>
    <w:rsid w:val="00D43009"/>
    <w:rsid w:val="00D4364C"/>
    <w:rsid w:val="00D4485C"/>
    <w:rsid w:val="00D458A3"/>
    <w:rsid w:val="00D45E57"/>
    <w:rsid w:val="00D463E5"/>
    <w:rsid w:val="00D474EC"/>
    <w:rsid w:val="00D500C1"/>
    <w:rsid w:val="00D5015C"/>
    <w:rsid w:val="00D50865"/>
    <w:rsid w:val="00D50C59"/>
    <w:rsid w:val="00D525B8"/>
    <w:rsid w:val="00D529E3"/>
    <w:rsid w:val="00D52CC5"/>
    <w:rsid w:val="00D5420D"/>
    <w:rsid w:val="00D551FE"/>
    <w:rsid w:val="00D56000"/>
    <w:rsid w:val="00D577A2"/>
    <w:rsid w:val="00D57C09"/>
    <w:rsid w:val="00D57F07"/>
    <w:rsid w:val="00D601AC"/>
    <w:rsid w:val="00D604F4"/>
    <w:rsid w:val="00D6060E"/>
    <w:rsid w:val="00D61601"/>
    <w:rsid w:val="00D61A2C"/>
    <w:rsid w:val="00D632F8"/>
    <w:rsid w:val="00D6342A"/>
    <w:rsid w:val="00D6401E"/>
    <w:rsid w:val="00D6416B"/>
    <w:rsid w:val="00D64C61"/>
    <w:rsid w:val="00D6604D"/>
    <w:rsid w:val="00D668E8"/>
    <w:rsid w:val="00D678A0"/>
    <w:rsid w:val="00D67B76"/>
    <w:rsid w:val="00D70CB4"/>
    <w:rsid w:val="00D70F3D"/>
    <w:rsid w:val="00D71C39"/>
    <w:rsid w:val="00D72E4A"/>
    <w:rsid w:val="00D7308C"/>
    <w:rsid w:val="00D74009"/>
    <w:rsid w:val="00D75121"/>
    <w:rsid w:val="00D75F2C"/>
    <w:rsid w:val="00D7630D"/>
    <w:rsid w:val="00D76819"/>
    <w:rsid w:val="00D76CFF"/>
    <w:rsid w:val="00D77257"/>
    <w:rsid w:val="00D775D4"/>
    <w:rsid w:val="00D77D9C"/>
    <w:rsid w:val="00D80479"/>
    <w:rsid w:val="00D80A2A"/>
    <w:rsid w:val="00D80D56"/>
    <w:rsid w:val="00D80E41"/>
    <w:rsid w:val="00D81448"/>
    <w:rsid w:val="00D817D3"/>
    <w:rsid w:val="00D81F4C"/>
    <w:rsid w:val="00D82F07"/>
    <w:rsid w:val="00D83F02"/>
    <w:rsid w:val="00D840B8"/>
    <w:rsid w:val="00D84122"/>
    <w:rsid w:val="00D84580"/>
    <w:rsid w:val="00D84C95"/>
    <w:rsid w:val="00D858C4"/>
    <w:rsid w:val="00D86069"/>
    <w:rsid w:val="00D861A3"/>
    <w:rsid w:val="00D8672A"/>
    <w:rsid w:val="00D872E6"/>
    <w:rsid w:val="00D87BD2"/>
    <w:rsid w:val="00D87E98"/>
    <w:rsid w:val="00D90C71"/>
    <w:rsid w:val="00D91024"/>
    <w:rsid w:val="00D9175F"/>
    <w:rsid w:val="00D91C9E"/>
    <w:rsid w:val="00D91E5A"/>
    <w:rsid w:val="00D92C3A"/>
    <w:rsid w:val="00D936DE"/>
    <w:rsid w:val="00D93D00"/>
    <w:rsid w:val="00D94A6C"/>
    <w:rsid w:val="00D951A6"/>
    <w:rsid w:val="00D9539F"/>
    <w:rsid w:val="00D954AF"/>
    <w:rsid w:val="00D97F00"/>
    <w:rsid w:val="00D97FED"/>
    <w:rsid w:val="00DA1678"/>
    <w:rsid w:val="00DA18A2"/>
    <w:rsid w:val="00DA2C0A"/>
    <w:rsid w:val="00DA3E94"/>
    <w:rsid w:val="00DA40A5"/>
    <w:rsid w:val="00DA4921"/>
    <w:rsid w:val="00DA507A"/>
    <w:rsid w:val="00DA5CAF"/>
    <w:rsid w:val="00DA5FDB"/>
    <w:rsid w:val="00DA6A02"/>
    <w:rsid w:val="00DB00C8"/>
    <w:rsid w:val="00DB0AC9"/>
    <w:rsid w:val="00DB0F3A"/>
    <w:rsid w:val="00DB1EBF"/>
    <w:rsid w:val="00DB33FF"/>
    <w:rsid w:val="00DB3FD1"/>
    <w:rsid w:val="00DB4A14"/>
    <w:rsid w:val="00DB4AFA"/>
    <w:rsid w:val="00DB5161"/>
    <w:rsid w:val="00DB518F"/>
    <w:rsid w:val="00DB525E"/>
    <w:rsid w:val="00DB5395"/>
    <w:rsid w:val="00DB6C76"/>
    <w:rsid w:val="00DB728B"/>
    <w:rsid w:val="00DC0F4C"/>
    <w:rsid w:val="00DC4379"/>
    <w:rsid w:val="00DC6577"/>
    <w:rsid w:val="00DC6CF7"/>
    <w:rsid w:val="00DC7F9F"/>
    <w:rsid w:val="00DD0335"/>
    <w:rsid w:val="00DD1329"/>
    <w:rsid w:val="00DD1D15"/>
    <w:rsid w:val="00DD1DE9"/>
    <w:rsid w:val="00DD20EE"/>
    <w:rsid w:val="00DD36D4"/>
    <w:rsid w:val="00DD4880"/>
    <w:rsid w:val="00DD4D37"/>
    <w:rsid w:val="00DD4EFD"/>
    <w:rsid w:val="00DD59DA"/>
    <w:rsid w:val="00DD615D"/>
    <w:rsid w:val="00DD6834"/>
    <w:rsid w:val="00DD73E3"/>
    <w:rsid w:val="00DD7C52"/>
    <w:rsid w:val="00DE00E2"/>
    <w:rsid w:val="00DE052A"/>
    <w:rsid w:val="00DE1A46"/>
    <w:rsid w:val="00DE2474"/>
    <w:rsid w:val="00DE2970"/>
    <w:rsid w:val="00DE2C0E"/>
    <w:rsid w:val="00DE33E0"/>
    <w:rsid w:val="00DE3523"/>
    <w:rsid w:val="00DE4D20"/>
    <w:rsid w:val="00DE62EF"/>
    <w:rsid w:val="00DE6838"/>
    <w:rsid w:val="00DF0165"/>
    <w:rsid w:val="00DF0648"/>
    <w:rsid w:val="00DF0738"/>
    <w:rsid w:val="00DF0AB9"/>
    <w:rsid w:val="00DF1853"/>
    <w:rsid w:val="00DF1D2C"/>
    <w:rsid w:val="00DF1DC2"/>
    <w:rsid w:val="00DF22A5"/>
    <w:rsid w:val="00DF2F8D"/>
    <w:rsid w:val="00DF351D"/>
    <w:rsid w:val="00DF36C1"/>
    <w:rsid w:val="00DF4521"/>
    <w:rsid w:val="00DF62B8"/>
    <w:rsid w:val="00DF6C57"/>
    <w:rsid w:val="00DF72C6"/>
    <w:rsid w:val="00DF7354"/>
    <w:rsid w:val="00E002A9"/>
    <w:rsid w:val="00E0134F"/>
    <w:rsid w:val="00E0375C"/>
    <w:rsid w:val="00E03A93"/>
    <w:rsid w:val="00E04898"/>
    <w:rsid w:val="00E04A5E"/>
    <w:rsid w:val="00E05919"/>
    <w:rsid w:val="00E05B06"/>
    <w:rsid w:val="00E05FA4"/>
    <w:rsid w:val="00E0753F"/>
    <w:rsid w:val="00E07765"/>
    <w:rsid w:val="00E07C92"/>
    <w:rsid w:val="00E07E3F"/>
    <w:rsid w:val="00E100E9"/>
    <w:rsid w:val="00E10C5B"/>
    <w:rsid w:val="00E1168C"/>
    <w:rsid w:val="00E1180D"/>
    <w:rsid w:val="00E13199"/>
    <w:rsid w:val="00E13603"/>
    <w:rsid w:val="00E138DF"/>
    <w:rsid w:val="00E149D2"/>
    <w:rsid w:val="00E155C1"/>
    <w:rsid w:val="00E15A8E"/>
    <w:rsid w:val="00E15E8D"/>
    <w:rsid w:val="00E173BD"/>
    <w:rsid w:val="00E17BBB"/>
    <w:rsid w:val="00E20083"/>
    <w:rsid w:val="00E21038"/>
    <w:rsid w:val="00E21122"/>
    <w:rsid w:val="00E223E1"/>
    <w:rsid w:val="00E224F4"/>
    <w:rsid w:val="00E235A5"/>
    <w:rsid w:val="00E241FE"/>
    <w:rsid w:val="00E2619A"/>
    <w:rsid w:val="00E261DB"/>
    <w:rsid w:val="00E2702F"/>
    <w:rsid w:val="00E2753F"/>
    <w:rsid w:val="00E276E6"/>
    <w:rsid w:val="00E302CB"/>
    <w:rsid w:val="00E30BAD"/>
    <w:rsid w:val="00E3230D"/>
    <w:rsid w:val="00E3307F"/>
    <w:rsid w:val="00E33104"/>
    <w:rsid w:val="00E346AA"/>
    <w:rsid w:val="00E34726"/>
    <w:rsid w:val="00E35172"/>
    <w:rsid w:val="00E3574F"/>
    <w:rsid w:val="00E35F29"/>
    <w:rsid w:val="00E400A5"/>
    <w:rsid w:val="00E43609"/>
    <w:rsid w:val="00E44789"/>
    <w:rsid w:val="00E46597"/>
    <w:rsid w:val="00E4663D"/>
    <w:rsid w:val="00E46A6D"/>
    <w:rsid w:val="00E47BF3"/>
    <w:rsid w:val="00E50DB1"/>
    <w:rsid w:val="00E50F8B"/>
    <w:rsid w:val="00E517B6"/>
    <w:rsid w:val="00E5291A"/>
    <w:rsid w:val="00E5408B"/>
    <w:rsid w:val="00E555AC"/>
    <w:rsid w:val="00E55ECA"/>
    <w:rsid w:val="00E5612C"/>
    <w:rsid w:val="00E56698"/>
    <w:rsid w:val="00E57831"/>
    <w:rsid w:val="00E60630"/>
    <w:rsid w:val="00E61273"/>
    <w:rsid w:val="00E61EC2"/>
    <w:rsid w:val="00E62DF9"/>
    <w:rsid w:val="00E6432C"/>
    <w:rsid w:val="00E64E22"/>
    <w:rsid w:val="00E65AEC"/>
    <w:rsid w:val="00E663B7"/>
    <w:rsid w:val="00E665DC"/>
    <w:rsid w:val="00E66FDC"/>
    <w:rsid w:val="00E67200"/>
    <w:rsid w:val="00E70A3E"/>
    <w:rsid w:val="00E710DF"/>
    <w:rsid w:val="00E72786"/>
    <w:rsid w:val="00E73331"/>
    <w:rsid w:val="00E7566A"/>
    <w:rsid w:val="00E75698"/>
    <w:rsid w:val="00E756CA"/>
    <w:rsid w:val="00E7573D"/>
    <w:rsid w:val="00E75DCB"/>
    <w:rsid w:val="00E76900"/>
    <w:rsid w:val="00E76B4A"/>
    <w:rsid w:val="00E8064B"/>
    <w:rsid w:val="00E83678"/>
    <w:rsid w:val="00E83A11"/>
    <w:rsid w:val="00E84362"/>
    <w:rsid w:val="00E84E98"/>
    <w:rsid w:val="00E84F06"/>
    <w:rsid w:val="00E87290"/>
    <w:rsid w:val="00E87B4F"/>
    <w:rsid w:val="00E902B0"/>
    <w:rsid w:val="00E90813"/>
    <w:rsid w:val="00E90D4B"/>
    <w:rsid w:val="00E91560"/>
    <w:rsid w:val="00E92551"/>
    <w:rsid w:val="00E92D4E"/>
    <w:rsid w:val="00E93D0F"/>
    <w:rsid w:val="00E94AC5"/>
    <w:rsid w:val="00E94BF0"/>
    <w:rsid w:val="00E94E29"/>
    <w:rsid w:val="00E95AB3"/>
    <w:rsid w:val="00E9648A"/>
    <w:rsid w:val="00E9688D"/>
    <w:rsid w:val="00EA06BB"/>
    <w:rsid w:val="00EA10C0"/>
    <w:rsid w:val="00EA1886"/>
    <w:rsid w:val="00EA191F"/>
    <w:rsid w:val="00EA1D8E"/>
    <w:rsid w:val="00EA1E9A"/>
    <w:rsid w:val="00EA287E"/>
    <w:rsid w:val="00EA33F0"/>
    <w:rsid w:val="00EA3449"/>
    <w:rsid w:val="00EA364A"/>
    <w:rsid w:val="00EA3FE4"/>
    <w:rsid w:val="00EA4799"/>
    <w:rsid w:val="00EA4B75"/>
    <w:rsid w:val="00EA4C6C"/>
    <w:rsid w:val="00EA5E5D"/>
    <w:rsid w:val="00EA6068"/>
    <w:rsid w:val="00EA60C4"/>
    <w:rsid w:val="00EA6449"/>
    <w:rsid w:val="00EA6E64"/>
    <w:rsid w:val="00EA6FEF"/>
    <w:rsid w:val="00EA7017"/>
    <w:rsid w:val="00EA7F4E"/>
    <w:rsid w:val="00EB05F0"/>
    <w:rsid w:val="00EB06CF"/>
    <w:rsid w:val="00EB15AF"/>
    <w:rsid w:val="00EB1908"/>
    <w:rsid w:val="00EB36F3"/>
    <w:rsid w:val="00EB3EB7"/>
    <w:rsid w:val="00EB43BE"/>
    <w:rsid w:val="00EB5FCF"/>
    <w:rsid w:val="00EB7292"/>
    <w:rsid w:val="00EB7452"/>
    <w:rsid w:val="00EB75BF"/>
    <w:rsid w:val="00EB763B"/>
    <w:rsid w:val="00EB7E1D"/>
    <w:rsid w:val="00EC03DB"/>
    <w:rsid w:val="00EC188E"/>
    <w:rsid w:val="00EC32F6"/>
    <w:rsid w:val="00EC3AA5"/>
    <w:rsid w:val="00EC3D93"/>
    <w:rsid w:val="00EC439B"/>
    <w:rsid w:val="00EC51EE"/>
    <w:rsid w:val="00EC5518"/>
    <w:rsid w:val="00EC5C72"/>
    <w:rsid w:val="00EC6ABB"/>
    <w:rsid w:val="00EC6D96"/>
    <w:rsid w:val="00EC7060"/>
    <w:rsid w:val="00EC71B1"/>
    <w:rsid w:val="00EC7406"/>
    <w:rsid w:val="00EC74C2"/>
    <w:rsid w:val="00EC7EB8"/>
    <w:rsid w:val="00ED01B7"/>
    <w:rsid w:val="00ED038F"/>
    <w:rsid w:val="00ED0450"/>
    <w:rsid w:val="00ED0697"/>
    <w:rsid w:val="00ED0AB3"/>
    <w:rsid w:val="00ED22C5"/>
    <w:rsid w:val="00ED2B12"/>
    <w:rsid w:val="00ED3FC1"/>
    <w:rsid w:val="00ED42D3"/>
    <w:rsid w:val="00ED4A52"/>
    <w:rsid w:val="00ED6C1B"/>
    <w:rsid w:val="00ED6D82"/>
    <w:rsid w:val="00EE27BF"/>
    <w:rsid w:val="00EE2AA8"/>
    <w:rsid w:val="00EE2E3F"/>
    <w:rsid w:val="00EE30CE"/>
    <w:rsid w:val="00EE3C02"/>
    <w:rsid w:val="00EE3D67"/>
    <w:rsid w:val="00EE3E98"/>
    <w:rsid w:val="00EE561C"/>
    <w:rsid w:val="00EE68A9"/>
    <w:rsid w:val="00EE7E1B"/>
    <w:rsid w:val="00EF06F2"/>
    <w:rsid w:val="00EF12CD"/>
    <w:rsid w:val="00EF14B6"/>
    <w:rsid w:val="00EF150D"/>
    <w:rsid w:val="00EF159E"/>
    <w:rsid w:val="00EF183B"/>
    <w:rsid w:val="00EF37EB"/>
    <w:rsid w:val="00EF40FB"/>
    <w:rsid w:val="00EF4463"/>
    <w:rsid w:val="00EF494C"/>
    <w:rsid w:val="00EF516B"/>
    <w:rsid w:val="00EF727A"/>
    <w:rsid w:val="00EF7537"/>
    <w:rsid w:val="00EF7AE2"/>
    <w:rsid w:val="00F0012C"/>
    <w:rsid w:val="00F00A0A"/>
    <w:rsid w:val="00F01597"/>
    <w:rsid w:val="00F02051"/>
    <w:rsid w:val="00F02C16"/>
    <w:rsid w:val="00F03073"/>
    <w:rsid w:val="00F04EAF"/>
    <w:rsid w:val="00F052D8"/>
    <w:rsid w:val="00F05614"/>
    <w:rsid w:val="00F0565B"/>
    <w:rsid w:val="00F05880"/>
    <w:rsid w:val="00F060CA"/>
    <w:rsid w:val="00F064B4"/>
    <w:rsid w:val="00F0697B"/>
    <w:rsid w:val="00F07C30"/>
    <w:rsid w:val="00F109A1"/>
    <w:rsid w:val="00F13A7A"/>
    <w:rsid w:val="00F13B18"/>
    <w:rsid w:val="00F14C07"/>
    <w:rsid w:val="00F15FAB"/>
    <w:rsid w:val="00F16FD0"/>
    <w:rsid w:val="00F1704F"/>
    <w:rsid w:val="00F20325"/>
    <w:rsid w:val="00F21E0E"/>
    <w:rsid w:val="00F22005"/>
    <w:rsid w:val="00F2254F"/>
    <w:rsid w:val="00F23E96"/>
    <w:rsid w:val="00F23EA5"/>
    <w:rsid w:val="00F24405"/>
    <w:rsid w:val="00F24D2A"/>
    <w:rsid w:val="00F259F5"/>
    <w:rsid w:val="00F264F2"/>
    <w:rsid w:val="00F2674C"/>
    <w:rsid w:val="00F30967"/>
    <w:rsid w:val="00F31C01"/>
    <w:rsid w:val="00F33F75"/>
    <w:rsid w:val="00F345CF"/>
    <w:rsid w:val="00F34803"/>
    <w:rsid w:val="00F35A91"/>
    <w:rsid w:val="00F35B8B"/>
    <w:rsid w:val="00F406E6"/>
    <w:rsid w:val="00F41A18"/>
    <w:rsid w:val="00F41C01"/>
    <w:rsid w:val="00F42228"/>
    <w:rsid w:val="00F43338"/>
    <w:rsid w:val="00F44073"/>
    <w:rsid w:val="00F44E0B"/>
    <w:rsid w:val="00F4532F"/>
    <w:rsid w:val="00F464C5"/>
    <w:rsid w:val="00F46F32"/>
    <w:rsid w:val="00F471C7"/>
    <w:rsid w:val="00F4731E"/>
    <w:rsid w:val="00F477D0"/>
    <w:rsid w:val="00F47E9C"/>
    <w:rsid w:val="00F50DB5"/>
    <w:rsid w:val="00F525BA"/>
    <w:rsid w:val="00F528E7"/>
    <w:rsid w:val="00F5681E"/>
    <w:rsid w:val="00F568A6"/>
    <w:rsid w:val="00F5735E"/>
    <w:rsid w:val="00F60CB6"/>
    <w:rsid w:val="00F61245"/>
    <w:rsid w:val="00F61375"/>
    <w:rsid w:val="00F63777"/>
    <w:rsid w:val="00F63B94"/>
    <w:rsid w:val="00F63EFD"/>
    <w:rsid w:val="00F64736"/>
    <w:rsid w:val="00F64C04"/>
    <w:rsid w:val="00F66078"/>
    <w:rsid w:val="00F67E54"/>
    <w:rsid w:val="00F70412"/>
    <w:rsid w:val="00F70B58"/>
    <w:rsid w:val="00F71577"/>
    <w:rsid w:val="00F71B20"/>
    <w:rsid w:val="00F726E5"/>
    <w:rsid w:val="00F72877"/>
    <w:rsid w:val="00F7288C"/>
    <w:rsid w:val="00F72B90"/>
    <w:rsid w:val="00F72DB4"/>
    <w:rsid w:val="00F7322E"/>
    <w:rsid w:val="00F73B64"/>
    <w:rsid w:val="00F74230"/>
    <w:rsid w:val="00F7462E"/>
    <w:rsid w:val="00F74C2C"/>
    <w:rsid w:val="00F74D65"/>
    <w:rsid w:val="00F75321"/>
    <w:rsid w:val="00F75410"/>
    <w:rsid w:val="00F7611B"/>
    <w:rsid w:val="00F7632E"/>
    <w:rsid w:val="00F76F83"/>
    <w:rsid w:val="00F77895"/>
    <w:rsid w:val="00F80466"/>
    <w:rsid w:val="00F80AD0"/>
    <w:rsid w:val="00F80DBE"/>
    <w:rsid w:val="00F80EF4"/>
    <w:rsid w:val="00F81871"/>
    <w:rsid w:val="00F82137"/>
    <w:rsid w:val="00F82935"/>
    <w:rsid w:val="00F834BD"/>
    <w:rsid w:val="00F837E6"/>
    <w:rsid w:val="00F83EBA"/>
    <w:rsid w:val="00F84847"/>
    <w:rsid w:val="00F84A25"/>
    <w:rsid w:val="00F84EE2"/>
    <w:rsid w:val="00F85228"/>
    <w:rsid w:val="00F85B41"/>
    <w:rsid w:val="00F862D1"/>
    <w:rsid w:val="00F86700"/>
    <w:rsid w:val="00F86EA9"/>
    <w:rsid w:val="00F87586"/>
    <w:rsid w:val="00F91A0F"/>
    <w:rsid w:val="00F93B2C"/>
    <w:rsid w:val="00F93D47"/>
    <w:rsid w:val="00F951D7"/>
    <w:rsid w:val="00F957C6"/>
    <w:rsid w:val="00F95FEA"/>
    <w:rsid w:val="00FA0920"/>
    <w:rsid w:val="00FA0E83"/>
    <w:rsid w:val="00FA2596"/>
    <w:rsid w:val="00FA26B8"/>
    <w:rsid w:val="00FA3B2B"/>
    <w:rsid w:val="00FA3F95"/>
    <w:rsid w:val="00FA3F9D"/>
    <w:rsid w:val="00FA41AC"/>
    <w:rsid w:val="00FA6E2B"/>
    <w:rsid w:val="00FA7526"/>
    <w:rsid w:val="00FB068A"/>
    <w:rsid w:val="00FB1CFE"/>
    <w:rsid w:val="00FB2771"/>
    <w:rsid w:val="00FB2E18"/>
    <w:rsid w:val="00FB3B23"/>
    <w:rsid w:val="00FB4C2D"/>
    <w:rsid w:val="00FB57FC"/>
    <w:rsid w:val="00FB5DA0"/>
    <w:rsid w:val="00FB6CAA"/>
    <w:rsid w:val="00FB73F0"/>
    <w:rsid w:val="00FC16BF"/>
    <w:rsid w:val="00FC50CB"/>
    <w:rsid w:val="00FC5808"/>
    <w:rsid w:val="00FC5A77"/>
    <w:rsid w:val="00FC6129"/>
    <w:rsid w:val="00FC6CB8"/>
    <w:rsid w:val="00FC6DDE"/>
    <w:rsid w:val="00FC6F42"/>
    <w:rsid w:val="00FC7A0E"/>
    <w:rsid w:val="00FD006B"/>
    <w:rsid w:val="00FD032F"/>
    <w:rsid w:val="00FD074D"/>
    <w:rsid w:val="00FD116C"/>
    <w:rsid w:val="00FD1182"/>
    <w:rsid w:val="00FD1ECD"/>
    <w:rsid w:val="00FD20A5"/>
    <w:rsid w:val="00FD2456"/>
    <w:rsid w:val="00FD2C22"/>
    <w:rsid w:val="00FD2E5F"/>
    <w:rsid w:val="00FD4A7E"/>
    <w:rsid w:val="00FD5098"/>
    <w:rsid w:val="00FD635A"/>
    <w:rsid w:val="00FD6FD8"/>
    <w:rsid w:val="00FD78F9"/>
    <w:rsid w:val="00FD7D67"/>
    <w:rsid w:val="00FD7EE5"/>
    <w:rsid w:val="00FE018E"/>
    <w:rsid w:val="00FE0D2E"/>
    <w:rsid w:val="00FE278A"/>
    <w:rsid w:val="00FE2C7F"/>
    <w:rsid w:val="00FE2EB9"/>
    <w:rsid w:val="00FE34FB"/>
    <w:rsid w:val="00FE3924"/>
    <w:rsid w:val="00FE4F02"/>
    <w:rsid w:val="00FE63BB"/>
    <w:rsid w:val="00FE6D2B"/>
    <w:rsid w:val="00FF0244"/>
    <w:rsid w:val="00FF06B7"/>
    <w:rsid w:val="00FF0885"/>
    <w:rsid w:val="00FF0D83"/>
    <w:rsid w:val="00FF13AF"/>
    <w:rsid w:val="00FF171E"/>
    <w:rsid w:val="00FF17C2"/>
    <w:rsid w:val="00FF308C"/>
    <w:rsid w:val="00FF3567"/>
    <w:rsid w:val="00FF44D9"/>
    <w:rsid w:val="00FF4B2E"/>
    <w:rsid w:val="00FF4D08"/>
    <w:rsid w:val="00FF59DF"/>
    <w:rsid w:val="00FF6410"/>
    <w:rsid w:val="00FF698B"/>
    <w:rsid w:val="00FF75BA"/>
    <w:rsid w:val="00FF761A"/>
    <w:rsid w:val="00FF7FF5"/>
    <w:rsid w:val="1EE18650"/>
    <w:rsid w:val="40ADC202"/>
    <w:rsid w:val="719486C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CBA54"/>
  <w14:discardImageEditingData/>
  <w15:chartTrackingRefBased/>
  <w15:docId w15:val="{E579FD3C-7A02-4FB9-BDCB-A86C6B03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6" w:qFormat="1"/>
    <w:lsdException w:name="Intense Quote" w:uiPriority="17"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34E"/>
    <w:pPr>
      <w:spacing w:after="160" w:line="264" w:lineRule="auto"/>
    </w:pPr>
    <w:rPr>
      <w:color w:val="262626" w:themeColor="text1" w:themeTint="D9"/>
      <w:sz w:val="22"/>
    </w:rPr>
  </w:style>
  <w:style w:type="paragraph" w:styleId="Heading1">
    <w:name w:val="heading 1"/>
    <w:basedOn w:val="Normal"/>
    <w:next w:val="Normal"/>
    <w:link w:val="Heading1Char"/>
    <w:uiPriority w:val="9"/>
    <w:qFormat/>
    <w:rsid w:val="0091141A"/>
    <w:pPr>
      <w:keepNext/>
      <w:keepLines/>
      <w:spacing w:before="360" w:line="240" w:lineRule="auto"/>
      <w:outlineLvl w:val="0"/>
    </w:pPr>
    <w:rPr>
      <w:rFonts w:eastAsiaTheme="majorEastAsia" w:cstheme="minorHAnsi"/>
      <w:b/>
      <w:bCs/>
      <w:noProof/>
      <w:color w:val="007279" w:themeColor="accent1"/>
      <w:sz w:val="32"/>
      <w:szCs w:val="24"/>
    </w:rPr>
  </w:style>
  <w:style w:type="paragraph" w:styleId="Heading2">
    <w:name w:val="heading 2"/>
    <w:basedOn w:val="Normal"/>
    <w:next w:val="Normal"/>
    <w:link w:val="Heading2Char"/>
    <w:uiPriority w:val="2"/>
    <w:qFormat/>
    <w:rsid w:val="0091141A"/>
    <w:pPr>
      <w:keepNext/>
      <w:keepLines/>
      <w:spacing w:before="240" w:line="240" w:lineRule="auto"/>
      <w:outlineLvl w:val="1"/>
    </w:pPr>
    <w:rPr>
      <w:rFonts w:eastAsiaTheme="majorEastAsia" w:cstheme="minorHAnsi"/>
      <w:color w:val="007279" w:themeColor="accent1"/>
      <w:sz w:val="28"/>
      <w:szCs w:val="22"/>
    </w:rPr>
  </w:style>
  <w:style w:type="paragraph" w:styleId="Heading3">
    <w:name w:val="heading 3"/>
    <w:basedOn w:val="Heading4"/>
    <w:next w:val="Normal"/>
    <w:link w:val="Heading3Char"/>
    <w:uiPriority w:val="2"/>
    <w:qFormat/>
    <w:rsid w:val="00AE39E1"/>
    <w:pPr>
      <w:outlineLvl w:val="2"/>
    </w:pPr>
    <w:rPr>
      <w:color w:val="262626" w:themeColor="text1" w:themeTint="D9"/>
      <w:sz w:val="24"/>
      <w:szCs w:val="24"/>
    </w:rPr>
  </w:style>
  <w:style w:type="paragraph" w:styleId="Heading4">
    <w:name w:val="heading 4"/>
    <w:basedOn w:val="Normal"/>
    <w:next w:val="Normal"/>
    <w:link w:val="Heading4Char"/>
    <w:uiPriority w:val="2"/>
    <w:rsid w:val="006147EB"/>
    <w:pPr>
      <w:keepNext/>
      <w:keepLines/>
      <w:spacing w:before="240"/>
      <w:outlineLvl w:val="3"/>
    </w:pPr>
    <w:rPr>
      <w:rFonts w:eastAsiaTheme="majorEastAsia" w:cstheme="minorHAnsi"/>
      <w:b/>
      <w:color w:val="3266AB"/>
      <w:szCs w:val="22"/>
    </w:rPr>
  </w:style>
  <w:style w:type="paragraph" w:styleId="Heading5">
    <w:name w:val="heading 5"/>
    <w:basedOn w:val="Normal"/>
    <w:next w:val="Normal"/>
    <w:link w:val="Heading5Char"/>
    <w:uiPriority w:val="2"/>
    <w:unhideWhenUsed/>
    <w:rsid w:val="00857363"/>
    <w:pPr>
      <w:keepNext/>
      <w:keepLines/>
      <w:spacing w:before="240"/>
      <w:outlineLvl w:val="4"/>
    </w:pPr>
    <w:rPr>
      <w:rFonts w:eastAsiaTheme="majorEastAsia" w:cstheme="majorBidi"/>
      <w:iCs/>
      <w:color w:val="3266AB"/>
      <w:szCs w:val="22"/>
    </w:rPr>
  </w:style>
  <w:style w:type="paragraph" w:styleId="Heading6">
    <w:name w:val="heading 6"/>
    <w:basedOn w:val="Normal"/>
    <w:next w:val="Normal"/>
    <w:link w:val="Heading6Char"/>
    <w:uiPriority w:val="2"/>
    <w:unhideWhenUsed/>
    <w:rsid w:val="006200EB"/>
    <w:pPr>
      <w:keepNext/>
      <w:keepLines/>
      <w:spacing w:before="240"/>
      <w:outlineLvl w:val="5"/>
    </w:pPr>
    <w:rPr>
      <w:rFonts w:asciiTheme="majorHAnsi" w:eastAsiaTheme="majorEastAsia" w:hAnsiTheme="majorHAnsi" w:cstheme="majorBidi"/>
      <w:color w:val="3266AB"/>
    </w:rPr>
  </w:style>
  <w:style w:type="paragraph" w:styleId="Heading7">
    <w:name w:val="heading 7"/>
    <w:basedOn w:val="Normal"/>
    <w:next w:val="Normal"/>
    <w:link w:val="Heading7Char"/>
    <w:uiPriority w:val="2"/>
    <w:unhideWhenUsed/>
    <w:rsid w:val="006200EB"/>
    <w:pPr>
      <w:keepNext/>
      <w:keepLines/>
      <w:spacing w:before="240"/>
      <w:outlineLvl w:val="6"/>
    </w:pPr>
    <w:rPr>
      <w:rFonts w:asciiTheme="majorHAnsi" w:eastAsiaTheme="majorEastAsia" w:hAnsiTheme="majorHAnsi" w:cstheme="majorBidi"/>
      <w:b/>
      <w:bCs/>
      <w:color w:val="3266AB"/>
    </w:rPr>
  </w:style>
  <w:style w:type="paragraph" w:styleId="Heading8">
    <w:name w:val="heading 8"/>
    <w:basedOn w:val="Normal"/>
    <w:next w:val="Normal"/>
    <w:link w:val="Heading8Char"/>
    <w:uiPriority w:val="2"/>
    <w:unhideWhenUsed/>
    <w:rsid w:val="006200EB"/>
    <w:pPr>
      <w:keepNext/>
      <w:keepLines/>
      <w:spacing w:before="240"/>
      <w:outlineLvl w:val="7"/>
    </w:pPr>
    <w:rPr>
      <w:rFonts w:asciiTheme="majorHAnsi" w:eastAsiaTheme="majorEastAsia" w:hAnsiTheme="majorHAnsi" w:cstheme="majorBidi"/>
      <w:b/>
      <w:bCs/>
      <w:i/>
      <w:iCs/>
      <w:color w:val="3266AB"/>
      <w:sz w:val="20"/>
      <w:szCs w:val="20"/>
    </w:rPr>
  </w:style>
  <w:style w:type="paragraph" w:styleId="Heading9">
    <w:name w:val="heading 9"/>
    <w:basedOn w:val="Normal"/>
    <w:next w:val="Normal"/>
    <w:link w:val="Heading9Char"/>
    <w:uiPriority w:val="2"/>
    <w:unhideWhenUsed/>
    <w:rsid w:val="006200EB"/>
    <w:pPr>
      <w:keepNext/>
      <w:keepLines/>
      <w:spacing w:before="240"/>
      <w:outlineLvl w:val="8"/>
    </w:pPr>
    <w:rPr>
      <w:rFonts w:asciiTheme="majorHAnsi" w:eastAsiaTheme="majorEastAsia" w:hAnsiTheme="majorHAnsi" w:cstheme="majorBidi"/>
      <w:i/>
      <w:iCs/>
      <w:color w:val="3266A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1141A"/>
    <w:rPr>
      <w:rFonts w:eastAsiaTheme="majorEastAsia" w:cstheme="minorHAnsi"/>
      <w:b/>
      <w:bCs/>
      <w:noProof/>
      <w:color w:val="007279" w:themeColor="accent1"/>
      <w:sz w:val="32"/>
      <w:szCs w:val="24"/>
    </w:rPr>
  </w:style>
  <w:style w:type="paragraph" w:styleId="Title">
    <w:name w:val="Title"/>
    <w:basedOn w:val="Normal"/>
    <w:next w:val="Normal"/>
    <w:link w:val="TitleChar"/>
    <w:uiPriority w:val="18"/>
    <w:rsid w:val="0091141A"/>
    <w:pPr>
      <w:spacing w:after="240" w:line="240" w:lineRule="auto"/>
      <w:contextualSpacing/>
    </w:pPr>
    <w:rPr>
      <w:rFonts w:asciiTheme="majorHAnsi" w:eastAsiaTheme="majorEastAsia" w:hAnsiTheme="majorHAnsi" w:cstheme="majorBidi"/>
      <w:noProof/>
      <w:spacing w:val="-15"/>
      <w:sz w:val="48"/>
      <w:szCs w:val="56"/>
    </w:rPr>
  </w:style>
  <w:style w:type="character" w:customStyle="1" w:styleId="TitleChar">
    <w:name w:val="Title Char"/>
    <w:basedOn w:val="DefaultParagraphFont"/>
    <w:link w:val="Title"/>
    <w:uiPriority w:val="18"/>
    <w:rsid w:val="0091141A"/>
    <w:rPr>
      <w:rFonts w:asciiTheme="majorHAnsi" w:eastAsiaTheme="majorEastAsia" w:hAnsiTheme="majorHAnsi" w:cstheme="majorBidi"/>
      <w:noProof/>
      <w:spacing w:val="-15"/>
      <w:sz w:val="48"/>
      <w:szCs w:val="56"/>
    </w:rPr>
  </w:style>
  <w:style w:type="character" w:customStyle="1" w:styleId="Heading2Char">
    <w:name w:val="Heading 2 Char"/>
    <w:basedOn w:val="DefaultParagraphFont"/>
    <w:link w:val="Heading2"/>
    <w:uiPriority w:val="2"/>
    <w:rsid w:val="0091141A"/>
    <w:rPr>
      <w:rFonts w:eastAsiaTheme="majorEastAsia" w:cstheme="minorHAnsi"/>
      <w:color w:val="007279" w:themeColor="accent1"/>
      <w:sz w:val="28"/>
      <w:szCs w:val="22"/>
    </w:rPr>
  </w:style>
  <w:style w:type="character" w:customStyle="1" w:styleId="Heading3Char">
    <w:name w:val="Heading 3 Char"/>
    <w:basedOn w:val="DefaultParagraphFont"/>
    <w:link w:val="Heading3"/>
    <w:uiPriority w:val="2"/>
    <w:rsid w:val="00AE39E1"/>
    <w:rPr>
      <w:rFonts w:eastAsiaTheme="majorEastAsia" w:cstheme="minorHAnsi"/>
      <w:b/>
      <w:color w:val="262626" w:themeColor="text1" w:themeTint="D9"/>
      <w:sz w:val="24"/>
      <w:szCs w:val="24"/>
    </w:rPr>
  </w:style>
  <w:style w:type="character" w:customStyle="1" w:styleId="Heading4Char">
    <w:name w:val="Heading 4 Char"/>
    <w:basedOn w:val="DefaultParagraphFont"/>
    <w:link w:val="Heading4"/>
    <w:uiPriority w:val="2"/>
    <w:rsid w:val="006147EB"/>
    <w:rPr>
      <w:rFonts w:eastAsiaTheme="majorEastAsia" w:cstheme="minorHAnsi"/>
      <w:b/>
      <w:color w:val="3266AB"/>
      <w:sz w:val="22"/>
      <w:szCs w:val="22"/>
    </w:rPr>
  </w:style>
  <w:style w:type="character" w:customStyle="1" w:styleId="Heading5Char">
    <w:name w:val="Heading 5 Char"/>
    <w:basedOn w:val="DefaultParagraphFont"/>
    <w:link w:val="Heading5"/>
    <w:uiPriority w:val="2"/>
    <w:rsid w:val="00857363"/>
    <w:rPr>
      <w:rFonts w:eastAsiaTheme="majorEastAsia" w:cstheme="majorBidi"/>
      <w:iCs/>
      <w:color w:val="3266AB"/>
      <w:sz w:val="22"/>
      <w:szCs w:val="22"/>
    </w:rPr>
  </w:style>
  <w:style w:type="character" w:customStyle="1" w:styleId="Heading6Char">
    <w:name w:val="Heading 6 Char"/>
    <w:basedOn w:val="DefaultParagraphFont"/>
    <w:link w:val="Heading6"/>
    <w:uiPriority w:val="2"/>
    <w:rsid w:val="006200EB"/>
    <w:rPr>
      <w:rFonts w:asciiTheme="majorHAnsi" w:eastAsiaTheme="majorEastAsia" w:hAnsiTheme="majorHAnsi" w:cstheme="majorBidi"/>
      <w:color w:val="3266AB"/>
      <w:sz w:val="22"/>
    </w:rPr>
  </w:style>
  <w:style w:type="character" w:customStyle="1" w:styleId="Heading7Char">
    <w:name w:val="Heading 7 Char"/>
    <w:basedOn w:val="DefaultParagraphFont"/>
    <w:link w:val="Heading7"/>
    <w:uiPriority w:val="2"/>
    <w:rsid w:val="006200EB"/>
    <w:rPr>
      <w:rFonts w:asciiTheme="majorHAnsi" w:eastAsiaTheme="majorEastAsia" w:hAnsiTheme="majorHAnsi" w:cstheme="majorBidi"/>
      <w:b/>
      <w:bCs/>
      <w:color w:val="3266AB"/>
      <w:sz w:val="22"/>
    </w:rPr>
  </w:style>
  <w:style w:type="character" w:customStyle="1" w:styleId="Heading8Char">
    <w:name w:val="Heading 8 Char"/>
    <w:basedOn w:val="DefaultParagraphFont"/>
    <w:link w:val="Heading8"/>
    <w:uiPriority w:val="2"/>
    <w:rsid w:val="006200EB"/>
    <w:rPr>
      <w:rFonts w:asciiTheme="majorHAnsi" w:eastAsiaTheme="majorEastAsia" w:hAnsiTheme="majorHAnsi" w:cstheme="majorBidi"/>
      <w:b/>
      <w:bCs/>
      <w:i/>
      <w:iCs/>
      <w:color w:val="3266AB"/>
      <w:sz w:val="20"/>
      <w:szCs w:val="20"/>
    </w:rPr>
  </w:style>
  <w:style w:type="character" w:customStyle="1" w:styleId="Heading9Char">
    <w:name w:val="Heading 9 Char"/>
    <w:basedOn w:val="DefaultParagraphFont"/>
    <w:link w:val="Heading9"/>
    <w:uiPriority w:val="2"/>
    <w:rsid w:val="006200EB"/>
    <w:rPr>
      <w:rFonts w:asciiTheme="majorHAnsi" w:eastAsiaTheme="majorEastAsia" w:hAnsiTheme="majorHAnsi" w:cstheme="majorBidi"/>
      <w:i/>
      <w:iCs/>
      <w:color w:val="3266AB"/>
      <w:sz w:val="20"/>
      <w:szCs w:val="20"/>
    </w:rPr>
  </w:style>
  <w:style w:type="paragraph" w:styleId="Subtitle">
    <w:name w:val="Subtitle"/>
    <w:basedOn w:val="Normal"/>
    <w:next w:val="Normal"/>
    <w:link w:val="SubtitleChar"/>
    <w:uiPriority w:val="19"/>
    <w:rsid w:val="0091141A"/>
    <w:pPr>
      <w:numPr>
        <w:ilvl w:val="1"/>
      </w:numPr>
      <w:spacing w:line="240" w:lineRule="auto"/>
    </w:pPr>
    <w:rPr>
      <w:rFonts w:eastAsiaTheme="majorEastAsia" w:cstheme="minorHAnsi"/>
      <w:noProof/>
      <w:color w:val="6C6C6C" w:themeColor="background2" w:themeShade="80"/>
      <w:sz w:val="28"/>
      <w:szCs w:val="30"/>
    </w:rPr>
  </w:style>
  <w:style w:type="character" w:customStyle="1" w:styleId="SubtitleChar">
    <w:name w:val="Subtitle Char"/>
    <w:basedOn w:val="DefaultParagraphFont"/>
    <w:link w:val="Subtitle"/>
    <w:uiPriority w:val="19"/>
    <w:rsid w:val="0091141A"/>
    <w:rPr>
      <w:rFonts w:eastAsiaTheme="majorEastAsia" w:cstheme="minorHAnsi"/>
      <w:noProof/>
      <w:color w:val="6C6C6C" w:themeColor="background2" w:themeShade="80"/>
      <w:sz w:val="28"/>
      <w:szCs w:val="30"/>
    </w:rPr>
  </w:style>
  <w:style w:type="paragraph" w:styleId="NoSpacing">
    <w:name w:val="No Spacing"/>
    <w:uiPriority w:val="98"/>
    <w:unhideWhenUsed/>
    <w:rsid w:val="00D525B8"/>
    <w:pPr>
      <w:spacing w:after="0" w:line="240" w:lineRule="auto"/>
    </w:pPr>
  </w:style>
  <w:style w:type="paragraph" w:styleId="Caption">
    <w:name w:val="caption"/>
    <w:basedOn w:val="Normal"/>
    <w:next w:val="Normal"/>
    <w:uiPriority w:val="35"/>
    <w:semiHidden/>
    <w:unhideWhenUsed/>
    <w:qFormat/>
    <w:rsid w:val="00D525B8"/>
    <w:pPr>
      <w:spacing w:line="240" w:lineRule="auto"/>
    </w:pPr>
    <w:rPr>
      <w:b/>
      <w:bCs/>
      <w:smallCaps/>
      <w:color w:val="595959" w:themeColor="text1" w:themeTint="A6"/>
    </w:rPr>
  </w:style>
  <w:style w:type="character" w:styleId="Strong">
    <w:name w:val="Strong"/>
    <w:basedOn w:val="DefaultParagraphFont"/>
    <w:uiPriority w:val="22"/>
    <w:unhideWhenUsed/>
    <w:rsid w:val="00D525B8"/>
    <w:rPr>
      <w:b/>
      <w:bCs/>
    </w:rPr>
  </w:style>
  <w:style w:type="character" w:styleId="Emphasis">
    <w:name w:val="Emphasis"/>
    <w:basedOn w:val="DefaultParagraphFont"/>
    <w:uiPriority w:val="20"/>
    <w:unhideWhenUsed/>
    <w:qFormat/>
    <w:rsid w:val="005C0F15"/>
    <w:rPr>
      <w:i/>
      <w:iCs/>
      <w:color w:val="auto"/>
    </w:rPr>
  </w:style>
  <w:style w:type="paragraph" w:styleId="Quote">
    <w:name w:val="Quote"/>
    <w:basedOn w:val="Normal"/>
    <w:next w:val="Normal"/>
    <w:link w:val="QuoteChar"/>
    <w:uiPriority w:val="16"/>
    <w:qFormat/>
    <w:rsid w:val="00857363"/>
    <w:pPr>
      <w:spacing w:before="240"/>
      <w:ind w:left="720" w:right="720"/>
    </w:pPr>
    <w:rPr>
      <w:i/>
      <w:iCs/>
      <w:color w:val="3266AB"/>
    </w:rPr>
  </w:style>
  <w:style w:type="character" w:customStyle="1" w:styleId="QuoteChar">
    <w:name w:val="Quote Char"/>
    <w:basedOn w:val="DefaultParagraphFont"/>
    <w:link w:val="Quote"/>
    <w:uiPriority w:val="16"/>
    <w:rsid w:val="00857363"/>
    <w:rPr>
      <w:i/>
      <w:iCs/>
      <w:color w:val="3266AB"/>
      <w:sz w:val="22"/>
    </w:rPr>
  </w:style>
  <w:style w:type="paragraph" w:styleId="IntenseQuote">
    <w:name w:val="Intense Quote"/>
    <w:basedOn w:val="Normal"/>
    <w:next w:val="Normal"/>
    <w:link w:val="IntenseQuoteChar"/>
    <w:uiPriority w:val="17"/>
    <w:qFormat/>
    <w:rsid w:val="00857363"/>
    <w:pPr>
      <w:spacing w:before="120"/>
      <w:ind w:left="720" w:right="720"/>
    </w:pPr>
    <w:rPr>
      <w:rFonts w:asciiTheme="majorHAnsi" w:eastAsiaTheme="majorEastAsia" w:hAnsiTheme="majorHAnsi" w:cstheme="majorBidi"/>
      <w:i/>
      <w:iCs/>
      <w:color w:val="3266AB"/>
      <w:sz w:val="32"/>
      <w:szCs w:val="32"/>
    </w:rPr>
  </w:style>
  <w:style w:type="character" w:customStyle="1" w:styleId="IntenseQuoteChar">
    <w:name w:val="Intense Quote Char"/>
    <w:basedOn w:val="DefaultParagraphFont"/>
    <w:link w:val="IntenseQuote"/>
    <w:uiPriority w:val="17"/>
    <w:rsid w:val="00857363"/>
    <w:rPr>
      <w:rFonts w:asciiTheme="majorHAnsi" w:eastAsiaTheme="majorEastAsia" w:hAnsiTheme="majorHAnsi" w:cstheme="majorBidi"/>
      <w:i/>
      <w:iCs/>
      <w:color w:val="3266AB"/>
      <w:sz w:val="32"/>
      <w:szCs w:val="32"/>
    </w:rPr>
  </w:style>
  <w:style w:type="character" w:styleId="SubtleEmphasis">
    <w:name w:val="Subtle Emphasis"/>
    <w:basedOn w:val="DefaultParagraphFont"/>
    <w:uiPriority w:val="19"/>
    <w:unhideWhenUsed/>
    <w:rsid w:val="00D525B8"/>
    <w:rPr>
      <w:i/>
      <w:iCs/>
    </w:rPr>
  </w:style>
  <w:style w:type="character" w:styleId="IntenseEmphasis">
    <w:name w:val="Intense Emphasis"/>
    <w:basedOn w:val="DefaultParagraphFont"/>
    <w:uiPriority w:val="21"/>
    <w:unhideWhenUsed/>
    <w:rsid w:val="00D525B8"/>
    <w:rPr>
      <w:b/>
      <w:bCs/>
      <w:i/>
      <w:iCs/>
    </w:rPr>
  </w:style>
  <w:style w:type="character" w:styleId="SubtleReference">
    <w:name w:val="Subtle Reference"/>
    <w:basedOn w:val="DefaultParagraphFont"/>
    <w:uiPriority w:val="31"/>
    <w:unhideWhenUsed/>
    <w:rsid w:val="00D525B8"/>
    <w:rPr>
      <w:smallCaps/>
      <w:color w:val="595959" w:themeColor="text1" w:themeTint="A6"/>
    </w:rPr>
  </w:style>
  <w:style w:type="character" w:styleId="IntenseReference">
    <w:name w:val="Intense Reference"/>
    <w:basedOn w:val="DefaultParagraphFont"/>
    <w:uiPriority w:val="32"/>
    <w:unhideWhenUsed/>
    <w:rsid w:val="006200EB"/>
    <w:rPr>
      <w:b/>
      <w:bCs/>
      <w:smallCaps/>
      <w:color w:val="3266AB"/>
    </w:rPr>
  </w:style>
  <w:style w:type="paragraph" w:styleId="TOCHeading">
    <w:name w:val="TOC Heading"/>
    <w:basedOn w:val="Heading1"/>
    <w:next w:val="Normal"/>
    <w:uiPriority w:val="39"/>
    <w:unhideWhenUsed/>
    <w:rsid w:val="00D525B8"/>
    <w:pPr>
      <w:outlineLvl w:val="9"/>
    </w:pPr>
  </w:style>
  <w:style w:type="paragraph" w:styleId="Header">
    <w:name w:val="header"/>
    <w:basedOn w:val="Normal"/>
    <w:link w:val="HeaderChar"/>
    <w:uiPriority w:val="99"/>
    <w:unhideWhenUsed/>
    <w:rsid w:val="00F9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7C6"/>
  </w:style>
  <w:style w:type="paragraph" w:styleId="Footer">
    <w:name w:val="footer"/>
    <w:basedOn w:val="Normal"/>
    <w:link w:val="FooterChar"/>
    <w:uiPriority w:val="99"/>
    <w:unhideWhenUsed/>
    <w:rsid w:val="00F9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7C6"/>
  </w:style>
  <w:style w:type="character" w:styleId="PlaceholderText">
    <w:name w:val="Placeholder Text"/>
    <w:basedOn w:val="DefaultParagraphFont"/>
    <w:uiPriority w:val="99"/>
    <w:semiHidden/>
    <w:rsid w:val="005226B9"/>
    <w:rPr>
      <w:color w:val="808080"/>
    </w:rPr>
  </w:style>
  <w:style w:type="paragraph" w:styleId="BalloonText">
    <w:name w:val="Balloon Text"/>
    <w:basedOn w:val="Normal"/>
    <w:link w:val="BalloonTextChar"/>
    <w:uiPriority w:val="99"/>
    <w:semiHidden/>
    <w:unhideWhenUsed/>
    <w:rsid w:val="00522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6B9"/>
    <w:rPr>
      <w:rFonts w:ascii="Segoe UI" w:hAnsi="Segoe UI" w:cs="Segoe UI"/>
      <w:sz w:val="18"/>
      <w:szCs w:val="18"/>
    </w:rPr>
  </w:style>
  <w:style w:type="paragraph" w:customStyle="1" w:styleId="CLASSIFICATION">
    <w:name w:val="CLASSIFICATION"/>
    <w:basedOn w:val="Normal"/>
    <w:link w:val="CLASSIFICATIONChar"/>
    <w:autoRedefine/>
    <w:uiPriority w:val="99"/>
    <w:unhideWhenUsed/>
    <w:rsid w:val="00F86700"/>
    <w:pPr>
      <w:jc w:val="center"/>
    </w:pPr>
    <w:rPr>
      <w:rFonts w:ascii="Segoe UI" w:hAnsi="Segoe UI"/>
      <w:caps/>
      <w:color w:val="C00000"/>
      <w:sz w:val="18"/>
    </w:rPr>
  </w:style>
  <w:style w:type="paragraph" w:customStyle="1" w:styleId="BOXHeading2">
    <w:name w:val="BOX Heading 2"/>
    <w:basedOn w:val="Heading2"/>
    <w:next w:val="BOXText"/>
    <w:uiPriority w:val="6"/>
    <w:qFormat/>
    <w:rsid w:val="0091141A"/>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ind w:left="227" w:right="227"/>
    </w:pPr>
  </w:style>
  <w:style w:type="character" w:customStyle="1" w:styleId="CLASSIFICATIONChar">
    <w:name w:val="CLASSIFICATION Char"/>
    <w:basedOn w:val="DefaultParagraphFont"/>
    <w:link w:val="CLASSIFICATION"/>
    <w:uiPriority w:val="99"/>
    <w:rsid w:val="00F86700"/>
    <w:rPr>
      <w:rFonts w:ascii="Segoe UI" w:hAnsi="Segoe UI"/>
      <w:caps/>
      <w:color w:val="C00000"/>
      <w:sz w:val="18"/>
    </w:rPr>
  </w:style>
  <w:style w:type="paragraph" w:customStyle="1" w:styleId="BOXText">
    <w:name w:val="BOX Text"/>
    <w:basedOn w:val="Normal"/>
    <w:next w:val="Normal"/>
    <w:uiPriority w:val="4"/>
    <w:qFormat/>
    <w:rsid w:val="005F3B45"/>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tabs>
        <w:tab w:val="left" w:pos="3300"/>
      </w:tabs>
      <w:ind w:left="227" w:right="227"/>
    </w:pPr>
    <w:rPr>
      <w:sz w:val="18"/>
      <w:szCs w:val="18"/>
    </w:rPr>
  </w:style>
  <w:style w:type="paragraph" w:customStyle="1" w:styleId="BOXBulletedList">
    <w:name w:val="BOX Bulleted List"/>
    <w:basedOn w:val="BOXText"/>
    <w:uiPriority w:val="5"/>
    <w:qFormat/>
    <w:rsid w:val="00BD171D"/>
    <w:pPr>
      <w:numPr>
        <w:numId w:val="1"/>
      </w:numPr>
      <w:ind w:left="511"/>
    </w:pPr>
  </w:style>
  <w:style w:type="table" w:styleId="TableGrid">
    <w:name w:val="Table Grid"/>
    <w:basedOn w:val="TableNormal"/>
    <w:uiPriority w:val="39"/>
    <w:rsid w:val="00BD5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BD57F5"/>
    <w:pPr>
      <w:spacing w:after="0" w:line="240" w:lineRule="auto"/>
    </w:pPr>
    <w:tblPr>
      <w:tblStyleRowBandSize w:val="1"/>
      <w:tblStyleColBandSize w:val="1"/>
      <w:tblBorders>
        <w:top w:val="single" w:sz="4" w:space="0" w:color="15F1FF" w:themeColor="accent1" w:themeTint="99"/>
        <w:left w:val="single" w:sz="4" w:space="0" w:color="15F1FF" w:themeColor="accent1" w:themeTint="99"/>
        <w:bottom w:val="single" w:sz="4" w:space="0" w:color="15F1FF" w:themeColor="accent1" w:themeTint="99"/>
        <w:right w:val="single" w:sz="4" w:space="0" w:color="15F1FF" w:themeColor="accent1" w:themeTint="99"/>
        <w:insideH w:val="single" w:sz="4" w:space="0" w:color="15F1FF" w:themeColor="accent1" w:themeTint="99"/>
      </w:tblBorders>
    </w:tblPr>
    <w:tblStylePr w:type="firstRow">
      <w:rPr>
        <w:b/>
        <w:bCs/>
        <w:color w:val="FFFFFF" w:themeColor="background1"/>
      </w:rPr>
      <w:tblPr/>
      <w:tcPr>
        <w:tcBorders>
          <w:top w:val="single" w:sz="4" w:space="0" w:color="007279" w:themeColor="accent1"/>
          <w:left w:val="single" w:sz="4" w:space="0" w:color="007279" w:themeColor="accent1"/>
          <w:bottom w:val="single" w:sz="4" w:space="0" w:color="007279" w:themeColor="accent1"/>
          <w:right w:val="single" w:sz="4" w:space="0" w:color="007279" w:themeColor="accent1"/>
          <w:insideH w:val="nil"/>
        </w:tcBorders>
        <w:shd w:val="clear" w:color="auto" w:fill="007279" w:themeFill="accent1"/>
      </w:tcPr>
    </w:tblStylePr>
    <w:tblStylePr w:type="lastRow">
      <w:rPr>
        <w:b/>
        <w:bCs/>
      </w:rPr>
      <w:tblPr/>
      <w:tcPr>
        <w:tcBorders>
          <w:top w:val="double" w:sz="4" w:space="0" w:color="15F1FF" w:themeColor="accent1" w:themeTint="99"/>
        </w:tcBorders>
      </w:tcPr>
    </w:tblStylePr>
    <w:tblStylePr w:type="firstCol">
      <w:rPr>
        <w:b/>
        <w:bCs/>
      </w:rPr>
    </w:tblStylePr>
    <w:tblStylePr w:type="lastCol">
      <w:rPr>
        <w:b/>
        <w:bCs/>
      </w:rPr>
    </w:tblStylePr>
    <w:tblStylePr w:type="band1Vert">
      <w:tblPr/>
      <w:tcPr>
        <w:shd w:val="clear" w:color="auto" w:fill="B1FAFF" w:themeFill="accent1" w:themeFillTint="33"/>
      </w:tcPr>
    </w:tblStylePr>
    <w:tblStylePr w:type="band1Horz">
      <w:tblPr/>
      <w:tcPr>
        <w:shd w:val="clear" w:color="auto" w:fill="B1FAFF" w:themeFill="accent1" w:themeFillTint="33"/>
      </w:tcPr>
    </w:tblStylePr>
  </w:style>
  <w:style w:type="paragraph" w:customStyle="1" w:styleId="Figure">
    <w:name w:val="Figure"/>
    <w:basedOn w:val="Normal"/>
    <w:uiPriority w:val="2"/>
    <w:qFormat/>
    <w:rsid w:val="006147EB"/>
    <w:pPr>
      <w:numPr>
        <w:numId w:val="27"/>
      </w:numPr>
      <w:spacing w:before="240"/>
    </w:pPr>
    <w:rPr>
      <w:rFonts w:ascii="Segoe UI" w:hAnsi="Segoe UI" w:cs="Segoe UI"/>
      <w:color w:val="3266AB"/>
    </w:rPr>
  </w:style>
  <w:style w:type="paragraph" w:customStyle="1" w:styleId="TBLHeading">
    <w:name w:val="TBL Heading"/>
    <w:basedOn w:val="Normal"/>
    <w:autoRedefine/>
    <w:uiPriority w:val="11"/>
    <w:qFormat/>
    <w:rsid w:val="009615D2"/>
    <w:pPr>
      <w:spacing w:after="0" w:line="240" w:lineRule="auto"/>
    </w:pPr>
    <w:rPr>
      <w:rFonts w:ascii="Segoe UI" w:hAnsi="Segoe UI" w:cs="Segoe UI"/>
      <w:color w:val="FFFFFF" w:themeColor="background1"/>
      <w:sz w:val="18"/>
    </w:rPr>
  </w:style>
  <w:style w:type="paragraph" w:customStyle="1" w:styleId="TBLText">
    <w:name w:val="TBL Text"/>
    <w:basedOn w:val="Normal"/>
    <w:uiPriority w:val="9"/>
    <w:qFormat/>
    <w:rsid w:val="004D3335"/>
    <w:pPr>
      <w:spacing w:after="120" w:line="240" w:lineRule="auto"/>
    </w:pPr>
    <w:rPr>
      <w:sz w:val="18"/>
      <w:szCs w:val="18"/>
    </w:rPr>
  </w:style>
  <w:style w:type="paragraph" w:customStyle="1" w:styleId="TBLBulletedList">
    <w:name w:val="TBL Bulleted List"/>
    <w:basedOn w:val="TBLText"/>
    <w:uiPriority w:val="10"/>
    <w:qFormat/>
    <w:rsid w:val="006C62B2"/>
    <w:pPr>
      <w:numPr>
        <w:numId w:val="12"/>
      </w:numPr>
      <w:ind w:left="204" w:hanging="204"/>
    </w:pPr>
  </w:style>
  <w:style w:type="paragraph" w:customStyle="1" w:styleId="TBLNumberedList">
    <w:name w:val="TBL Numbered List"/>
    <w:basedOn w:val="TBLText"/>
    <w:uiPriority w:val="10"/>
    <w:qFormat/>
    <w:rsid w:val="00E05FA4"/>
    <w:pPr>
      <w:numPr>
        <w:numId w:val="13"/>
      </w:numPr>
      <w:ind w:left="270" w:hanging="270"/>
    </w:pPr>
  </w:style>
  <w:style w:type="paragraph" w:customStyle="1" w:styleId="BOXHeading3">
    <w:name w:val="BOX Heading 3"/>
    <w:basedOn w:val="BOXHeading2"/>
    <w:next w:val="BOXText"/>
    <w:uiPriority w:val="6"/>
    <w:qFormat/>
    <w:rsid w:val="00857363"/>
    <w:pPr>
      <w:outlineLvl w:val="2"/>
    </w:pPr>
    <w:rPr>
      <w:b/>
      <w:sz w:val="24"/>
      <w:szCs w:val="26"/>
    </w:rPr>
  </w:style>
  <w:style w:type="paragraph" w:styleId="ListParagraph">
    <w:name w:val="List Paragraph"/>
    <w:basedOn w:val="Normal"/>
    <w:uiPriority w:val="34"/>
    <w:unhideWhenUsed/>
    <w:rsid w:val="005917FD"/>
    <w:pPr>
      <w:ind w:left="720"/>
      <w:contextualSpacing/>
    </w:pPr>
  </w:style>
  <w:style w:type="paragraph" w:customStyle="1" w:styleId="BulletedList-Level1">
    <w:name w:val="Bulleted List - Level 1"/>
    <w:basedOn w:val="ListParagraph"/>
    <w:uiPriority w:val="1"/>
    <w:qFormat/>
    <w:rsid w:val="00BD171D"/>
    <w:pPr>
      <w:numPr>
        <w:numId w:val="14"/>
      </w:numPr>
      <w:ind w:left="568" w:hanging="284"/>
    </w:pPr>
  </w:style>
  <w:style w:type="paragraph" w:customStyle="1" w:styleId="BulletedList-Level2">
    <w:name w:val="Bulleted List - Level 2"/>
    <w:basedOn w:val="BulletedList-Level1"/>
    <w:uiPriority w:val="1"/>
    <w:qFormat/>
    <w:rsid w:val="00BD171D"/>
    <w:pPr>
      <w:numPr>
        <w:numId w:val="30"/>
      </w:numPr>
    </w:pPr>
  </w:style>
  <w:style w:type="paragraph" w:customStyle="1" w:styleId="BulletedList-Level3">
    <w:name w:val="Bulleted List - Level 3"/>
    <w:basedOn w:val="ListParagraph"/>
    <w:uiPriority w:val="1"/>
    <w:qFormat/>
    <w:rsid w:val="00BD171D"/>
    <w:pPr>
      <w:numPr>
        <w:numId w:val="31"/>
      </w:numPr>
      <w:ind w:left="1135" w:hanging="284"/>
    </w:pPr>
  </w:style>
  <w:style w:type="paragraph" w:customStyle="1" w:styleId="NumberedList-Level1">
    <w:name w:val="Numbered List - Level 1"/>
    <w:basedOn w:val="ListParagraph"/>
    <w:uiPriority w:val="1"/>
    <w:qFormat/>
    <w:rsid w:val="00BD171D"/>
    <w:pPr>
      <w:numPr>
        <w:numId w:val="21"/>
      </w:numPr>
      <w:ind w:left="568" w:hanging="284"/>
    </w:pPr>
  </w:style>
  <w:style w:type="paragraph" w:customStyle="1" w:styleId="NumberedList-level2">
    <w:name w:val="Numbered List - level 2"/>
    <w:basedOn w:val="ListParagraph"/>
    <w:uiPriority w:val="1"/>
    <w:qFormat/>
    <w:rsid w:val="00BD171D"/>
    <w:pPr>
      <w:numPr>
        <w:ilvl w:val="1"/>
        <w:numId w:val="21"/>
      </w:numPr>
    </w:pPr>
  </w:style>
  <w:style w:type="paragraph" w:customStyle="1" w:styleId="NumberedList-Level3">
    <w:name w:val="Numbered List - Level 3"/>
    <w:basedOn w:val="ListParagraph"/>
    <w:uiPriority w:val="1"/>
    <w:qFormat/>
    <w:rsid w:val="00BD171D"/>
    <w:pPr>
      <w:numPr>
        <w:ilvl w:val="2"/>
        <w:numId w:val="21"/>
      </w:numPr>
    </w:pPr>
  </w:style>
  <w:style w:type="paragraph" w:customStyle="1" w:styleId="BoxDark-HeadingLevel1">
    <w:name w:val="Box Dark - Heading Level 1"/>
    <w:basedOn w:val="BOXHeading2"/>
    <w:uiPriority w:val="9"/>
    <w:rsid w:val="00311C2D"/>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color w:val="FFFFFF" w:themeColor="background1"/>
    </w:rPr>
  </w:style>
  <w:style w:type="paragraph" w:styleId="TOC1">
    <w:name w:val="toc 1"/>
    <w:basedOn w:val="Normal"/>
    <w:next w:val="Normal"/>
    <w:autoRedefine/>
    <w:uiPriority w:val="39"/>
    <w:unhideWhenUsed/>
    <w:rsid w:val="00117A77"/>
    <w:pPr>
      <w:spacing w:after="100"/>
    </w:pPr>
  </w:style>
  <w:style w:type="paragraph" w:styleId="TOC2">
    <w:name w:val="toc 2"/>
    <w:basedOn w:val="Normal"/>
    <w:next w:val="Normal"/>
    <w:autoRedefine/>
    <w:uiPriority w:val="39"/>
    <w:unhideWhenUsed/>
    <w:rsid w:val="00117A77"/>
    <w:pPr>
      <w:spacing w:after="100"/>
      <w:ind w:left="220"/>
    </w:pPr>
  </w:style>
  <w:style w:type="paragraph" w:styleId="TOC3">
    <w:name w:val="toc 3"/>
    <w:basedOn w:val="Normal"/>
    <w:next w:val="Normal"/>
    <w:autoRedefine/>
    <w:uiPriority w:val="39"/>
    <w:unhideWhenUsed/>
    <w:rsid w:val="00117A77"/>
    <w:pPr>
      <w:spacing w:after="100"/>
      <w:ind w:left="440"/>
    </w:pPr>
  </w:style>
  <w:style w:type="character" w:styleId="Hyperlink">
    <w:name w:val="Hyperlink"/>
    <w:basedOn w:val="DefaultParagraphFont"/>
    <w:uiPriority w:val="99"/>
    <w:unhideWhenUsed/>
    <w:rsid w:val="00117A77"/>
    <w:rPr>
      <w:color w:val="007279" w:themeColor="hyperlink"/>
      <w:u w:val="single"/>
    </w:rPr>
  </w:style>
  <w:style w:type="paragraph" w:customStyle="1" w:styleId="BoxDark-HeadingLevel3">
    <w:name w:val="Box Dark - Heading Level 3"/>
    <w:basedOn w:val="BOXHeading3"/>
    <w:uiPriority w:val="9"/>
    <w:rsid w:val="00311C2D"/>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color w:val="FFFFFF" w:themeColor="background1"/>
    </w:rPr>
  </w:style>
  <w:style w:type="paragraph" w:customStyle="1" w:styleId="BoxDark-Text">
    <w:name w:val="Box Dark - Text"/>
    <w:basedOn w:val="BOXText"/>
    <w:uiPriority w:val="7"/>
    <w:rsid w:val="00FE2C7F"/>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rFonts w:ascii="Segoe UI Semilight" w:hAnsi="Segoe UI Semilight"/>
      <w:color w:val="FFFFFF" w:themeColor="background1"/>
    </w:rPr>
  </w:style>
  <w:style w:type="paragraph" w:customStyle="1" w:styleId="BoxDark-BulletedList">
    <w:name w:val="Box Dark - Bulleted List"/>
    <w:basedOn w:val="BOXBulletedList"/>
    <w:uiPriority w:val="8"/>
    <w:rsid w:val="00FE2C7F"/>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rFonts w:ascii="Segoe UI Semilight" w:hAnsi="Segoe UI Semilight"/>
    </w:rPr>
  </w:style>
  <w:style w:type="paragraph" w:customStyle="1" w:styleId="BOXNumberedList">
    <w:name w:val="BOX Numbered List"/>
    <w:basedOn w:val="BOXText"/>
    <w:uiPriority w:val="5"/>
    <w:qFormat/>
    <w:rsid w:val="00BD171D"/>
    <w:pPr>
      <w:numPr>
        <w:numId w:val="28"/>
      </w:numPr>
      <w:ind w:left="584" w:hanging="357"/>
    </w:pPr>
  </w:style>
  <w:style w:type="paragraph" w:customStyle="1" w:styleId="BoxDark-NumberedList">
    <w:name w:val="Box Dark - Numbered List"/>
    <w:basedOn w:val="BOXNumberedList"/>
    <w:uiPriority w:val="8"/>
    <w:rsid w:val="00FE2C7F"/>
    <w:pPr>
      <w:numPr>
        <w:numId w:val="29"/>
      </w:num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ind w:left="584" w:hanging="357"/>
    </w:pPr>
  </w:style>
  <w:style w:type="table" w:customStyle="1" w:styleId="Custom1">
    <w:name w:val="Custom 1"/>
    <w:basedOn w:val="TableNormal"/>
    <w:uiPriority w:val="99"/>
    <w:rsid w:val="00665FB6"/>
    <w:pPr>
      <w:spacing w:after="0" w:line="240" w:lineRule="auto"/>
    </w:pPr>
    <w:rPr>
      <w:sz w:val="18"/>
    </w:rPr>
    <w:tblPr>
      <w:tblStyleRowBandSize w:val="1"/>
      <w:tblBorders>
        <w:top w:val="single" w:sz="4" w:space="0" w:color="007279" w:themeColor="accent1"/>
        <w:bottom w:val="single" w:sz="12" w:space="0" w:color="007279" w:themeColor="accent1"/>
        <w:insideH w:val="single" w:sz="4" w:space="0" w:color="007279" w:themeColor="accent1"/>
      </w:tblBorders>
      <w:tblCellMar>
        <w:top w:w="57" w:type="dxa"/>
        <w:bottom w:w="57" w:type="dxa"/>
      </w:tblCellMar>
    </w:tblPr>
    <w:tblStylePr w:type="firstRow">
      <w:rPr>
        <w:rFonts w:asciiTheme="minorHAnsi" w:hAnsiTheme="minorHAnsi"/>
        <w:b/>
        <w:sz w:val="18"/>
      </w:rPr>
      <w:tblPr/>
      <w:tcPr>
        <w:shd w:val="clear" w:color="auto" w:fill="007279" w:themeFill="accent1"/>
      </w:tcPr>
    </w:tblStylePr>
    <w:tblStylePr w:type="band1Horz">
      <w:tblPr/>
      <w:tcPr>
        <w:shd w:val="clear" w:color="auto" w:fill="D8D8D8" w:themeFill="background2"/>
      </w:tcPr>
    </w:tblStylePr>
  </w:style>
  <w:style w:type="table" w:customStyle="1" w:styleId="Style1">
    <w:name w:val="Style1"/>
    <w:basedOn w:val="Custom1"/>
    <w:uiPriority w:val="99"/>
    <w:rsid w:val="00D500C1"/>
    <w:tblPr>
      <w:tblBorders>
        <w:top w:val="none" w:sz="0" w:space="0" w:color="auto"/>
        <w:left w:val="single" w:sz="4" w:space="0" w:color="007279" w:themeColor="accent1"/>
        <w:bottom w:val="single" w:sz="4" w:space="0" w:color="007279" w:themeColor="accent1"/>
        <w:right w:val="single" w:sz="4" w:space="0" w:color="007279" w:themeColor="accent1"/>
        <w:insideH w:val="none" w:sz="0" w:space="0" w:color="auto"/>
        <w:insideV w:val="single" w:sz="4" w:space="0" w:color="007279" w:themeColor="accent1"/>
      </w:tblBorders>
    </w:tblPr>
    <w:tblStylePr w:type="firstRow">
      <w:rPr>
        <w:rFonts w:asciiTheme="minorHAnsi" w:hAnsiTheme="minorHAnsi"/>
        <w:b/>
        <w:sz w:val="18"/>
      </w:rPr>
      <w:tblPr/>
      <w:tcPr>
        <w:shd w:val="clear" w:color="auto" w:fill="007279" w:themeFill="accent1"/>
      </w:tcPr>
    </w:tblStylePr>
    <w:tblStylePr w:type="firstCol">
      <w:rPr>
        <w:b/>
      </w:rPr>
      <w:tblPr/>
      <w:tcPr>
        <w:shd w:val="clear" w:color="auto" w:fill="007279" w:themeFill="accent1"/>
      </w:tcPr>
    </w:tblStylePr>
    <w:tblStylePr w:type="band1Horz">
      <w:tblPr/>
      <w:tcPr>
        <w:shd w:val="clear" w:color="auto" w:fill="D8D8D8" w:themeFill="background2"/>
      </w:tcPr>
    </w:tblStylePr>
  </w:style>
  <w:style w:type="character" w:styleId="UnresolvedMention">
    <w:name w:val="Unresolved Mention"/>
    <w:basedOn w:val="DefaultParagraphFont"/>
    <w:uiPriority w:val="99"/>
    <w:semiHidden/>
    <w:unhideWhenUsed/>
    <w:rsid w:val="006C7E16"/>
    <w:rPr>
      <w:color w:val="605E5C"/>
      <w:shd w:val="clear" w:color="auto" w:fill="E1DFDD"/>
    </w:rPr>
  </w:style>
  <w:style w:type="paragraph" w:styleId="Revision">
    <w:name w:val="Revision"/>
    <w:hidden/>
    <w:uiPriority w:val="99"/>
    <w:semiHidden/>
    <w:rsid w:val="005F66F9"/>
    <w:pPr>
      <w:spacing w:after="0" w:line="240" w:lineRule="auto"/>
    </w:pPr>
    <w:rPr>
      <w:sz w:val="22"/>
    </w:rPr>
  </w:style>
  <w:style w:type="character" w:styleId="CommentReference">
    <w:name w:val="annotation reference"/>
    <w:basedOn w:val="DefaultParagraphFont"/>
    <w:uiPriority w:val="99"/>
    <w:semiHidden/>
    <w:unhideWhenUsed/>
    <w:rsid w:val="00810E90"/>
    <w:rPr>
      <w:sz w:val="16"/>
      <w:szCs w:val="16"/>
    </w:rPr>
  </w:style>
  <w:style w:type="paragraph" w:styleId="CommentText">
    <w:name w:val="annotation text"/>
    <w:basedOn w:val="Normal"/>
    <w:link w:val="CommentTextChar"/>
    <w:uiPriority w:val="99"/>
    <w:unhideWhenUsed/>
    <w:rsid w:val="00810E90"/>
    <w:pPr>
      <w:spacing w:line="240" w:lineRule="auto"/>
    </w:pPr>
    <w:rPr>
      <w:sz w:val="20"/>
      <w:szCs w:val="20"/>
    </w:rPr>
  </w:style>
  <w:style w:type="character" w:customStyle="1" w:styleId="CommentTextChar">
    <w:name w:val="Comment Text Char"/>
    <w:basedOn w:val="DefaultParagraphFont"/>
    <w:link w:val="CommentText"/>
    <w:uiPriority w:val="99"/>
    <w:rsid w:val="00810E90"/>
    <w:rPr>
      <w:sz w:val="20"/>
      <w:szCs w:val="20"/>
    </w:rPr>
  </w:style>
  <w:style w:type="paragraph" w:styleId="CommentSubject">
    <w:name w:val="annotation subject"/>
    <w:basedOn w:val="CommentText"/>
    <w:next w:val="CommentText"/>
    <w:link w:val="CommentSubjectChar"/>
    <w:uiPriority w:val="99"/>
    <w:semiHidden/>
    <w:unhideWhenUsed/>
    <w:rsid w:val="00810E90"/>
    <w:rPr>
      <w:b/>
      <w:bCs/>
    </w:rPr>
  </w:style>
  <w:style w:type="character" w:customStyle="1" w:styleId="CommentSubjectChar">
    <w:name w:val="Comment Subject Char"/>
    <w:basedOn w:val="CommentTextChar"/>
    <w:link w:val="CommentSubject"/>
    <w:uiPriority w:val="99"/>
    <w:semiHidden/>
    <w:rsid w:val="00810E90"/>
    <w:rPr>
      <w:b/>
      <w:bCs/>
      <w:sz w:val="20"/>
      <w:szCs w:val="20"/>
    </w:rPr>
  </w:style>
  <w:style w:type="character" w:styleId="FollowedHyperlink">
    <w:name w:val="FollowedHyperlink"/>
    <w:basedOn w:val="DefaultParagraphFont"/>
    <w:uiPriority w:val="99"/>
    <w:semiHidden/>
    <w:unhideWhenUsed/>
    <w:rsid w:val="000E5B4B"/>
    <w:rPr>
      <w:color w:val="007279" w:themeColor="followedHyperlink"/>
      <w:u w:val="single"/>
    </w:rPr>
  </w:style>
  <w:style w:type="table" w:customStyle="1" w:styleId="LightGrid-Accent21">
    <w:name w:val="Light Grid - Accent 21"/>
    <w:basedOn w:val="TableNormal"/>
    <w:next w:val="LightGrid-Accent2"/>
    <w:uiPriority w:val="62"/>
    <w:rsid w:val="00A17097"/>
    <w:pPr>
      <w:spacing w:after="0" w:line="240" w:lineRule="auto"/>
    </w:pPr>
    <w:rPr>
      <w:rFonts w:eastAsia="Times New Roman" w:cs="Times New Roman"/>
      <w:sz w:val="24"/>
      <w:szCs w:val="24"/>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auto"/>
    </w:tcPr>
    <w:tblStylePr w:type="firstRow">
      <w:pPr>
        <w:spacing w:before="0" w:after="0" w:line="240" w:lineRule="auto"/>
      </w:pPr>
      <w:rPr>
        <w:rFonts w:ascii="Lucida Sans Unicode" w:eastAsia="Times New Roman" w:hAnsi="Lucida Sans Unicode" w:cs="Times New Roman"/>
        <w:b/>
        <w:bCs/>
      </w:rPr>
      <w:tblPr/>
      <w:tcPr>
        <w:shd w:val="clear" w:color="auto" w:fill="CD0920"/>
      </w:tcPr>
    </w:tblStylePr>
    <w:tblStylePr w:type="lastRow">
      <w:pPr>
        <w:spacing w:before="0" w:after="0" w:line="240" w:lineRule="auto"/>
      </w:pPr>
      <w:rPr>
        <w:rFonts w:ascii="Lucida Sans Unicode" w:eastAsia="Times New Roman" w:hAnsi="Lucida Sans Unicode"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Lucida Sans Unicode" w:eastAsia="Times New Roman" w:hAnsi="Lucida Sans Unicode" w:cs="Times New Roman"/>
        <w:b/>
        <w:bCs/>
      </w:rPr>
    </w:tblStylePr>
    <w:tblStylePr w:type="lastCol">
      <w:rPr>
        <w:rFonts w:ascii="Lucida Sans Unicode" w:eastAsia="Times New Roman" w:hAnsi="Lucida Sans Unicode"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2">
    <w:name w:val="Light Grid Accent 2"/>
    <w:basedOn w:val="TableNormal"/>
    <w:uiPriority w:val="62"/>
    <w:semiHidden/>
    <w:unhideWhenUsed/>
    <w:rsid w:val="00A17097"/>
    <w:pPr>
      <w:spacing w:after="0" w:line="240" w:lineRule="auto"/>
    </w:pPr>
    <w:tblPr>
      <w:tblStyleRowBandSize w:val="1"/>
      <w:tblStyleColBandSize w:val="1"/>
      <w:tblBorders>
        <w:top w:val="single" w:sz="8" w:space="0" w:color="1C2B39" w:themeColor="accent2"/>
        <w:left w:val="single" w:sz="8" w:space="0" w:color="1C2B39" w:themeColor="accent2"/>
        <w:bottom w:val="single" w:sz="8" w:space="0" w:color="1C2B39" w:themeColor="accent2"/>
        <w:right w:val="single" w:sz="8" w:space="0" w:color="1C2B39" w:themeColor="accent2"/>
        <w:insideH w:val="single" w:sz="8" w:space="0" w:color="1C2B39" w:themeColor="accent2"/>
        <w:insideV w:val="single" w:sz="8" w:space="0" w:color="1C2B3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2B39" w:themeColor="accent2"/>
          <w:left w:val="single" w:sz="8" w:space="0" w:color="1C2B39" w:themeColor="accent2"/>
          <w:bottom w:val="single" w:sz="18" w:space="0" w:color="1C2B39" w:themeColor="accent2"/>
          <w:right w:val="single" w:sz="8" w:space="0" w:color="1C2B39" w:themeColor="accent2"/>
          <w:insideH w:val="nil"/>
          <w:insideV w:val="single" w:sz="8" w:space="0" w:color="1C2B3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2B39" w:themeColor="accent2"/>
          <w:left w:val="single" w:sz="8" w:space="0" w:color="1C2B39" w:themeColor="accent2"/>
          <w:bottom w:val="single" w:sz="8" w:space="0" w:color="1C2B39" w:themeColor="accent2"/>
          <w:right w:val="single" w:sz="8" w:space="0" w:color="1C2B39" w:themeColor="accent2"/>
          <w:insideH w:val="nil"/>
          <w:insideV w:val="single" w:sz="8" w:space="0" w:color="1C2B3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2B39" w:themeColor="accent2"/>
          <w:left w:val="single" w:sz="8" w:space="0" w:color="1C2B39" w:themeColor="accent2"/>
          <w:bottom w:val="single" w:sz="8" w:space="0" w:color="1C2B39" w:themeColor="accent2"/>
          <w:right w:val="single" w:sz="8" w:space="0" w:color="1C2B39" w:themeColor="accent2"/>
        </w:tcBorders>
      </w:tcPr>
    </w:tblStylePr>
    <w:tblStylePr w:type="band1Vert">
      <w:tblPr/>
      <w:tcPr>
        <w:tcBorders>
          <w:top w:val="single" w:sz="8" w:space="0" w:color="1C2B39" w:themeColor="accent2"/>
          <w:left w:val="single" w:sz="8" w:space="0" w:color="1C2B39" w:themeColor="accent2"/>
          <w:bottom w:val="single" w:sz="8" w:space="0" w:color="1C2B39" w:themeColor="accent2"/>
          <w:right w:val="single" w:sz="8" w:space="0" w:color="1C2B39" w:themeColor="accent2"/>
        </w:tcBorders>
        <w:shd w:val="clear" w:color="auto" w:fill="B8CADC" w:themeFill="accent2" w:themeFillTint="3F"/>
      </w:tcPr>
    </w:tblStylePr>
    <w:tblStylePr w:type="band1Horz">
      <w:tblPr/>
      <w:tcPr>
        <w:tcBorders>
          <w:top w:val="single" w:sz="8" w:space="0" w:color="1C2B39" w:themeColor="accent2"/>
          <w:left w:val="single" w:sz="8" w:space="0" w:color="1C2B39" w:themeColor="accent2"/>
          <w:bottom w:val="single" w:sz="8" w:space="0" w:color="1C2B39" w:themeColor="accent2"/>
          <w:right w:val="single" w:sz="8" w:space="0" w:color="1C2B39" w:themeColor="accent2"/>
          <w:insideV w:val="single" w:sz="8" w:space="0" w:color="1C2B39" w:themeColor="accent2"/>
        </w:tcBorders>
        <w:shd w:val="clear" w:color="auto" w:fill="B8CADC" w:themeFill="accent2" w:themeFillTint="3F"/>
      </w:tcPr>
    </w:tblStylePr>
    <w:tblStylePr w:type="band2Horz">
      <w:tblPr/>
      <w:tcPr>
        <w:tcBorders>
          <w:top w:val="single" w:sz="8" w:space="0" w:color="1C2B39" w:themeColor="accent2"/>
          <w:left w:val="single" w:sz="8" w:space="0" w:color="1C2B39" w:themeColor="accent2"/>
          <w:bottom w:val="single" w:sz="8" w:space="0" w:color="1C2B39" w:themeColor="accent2"/>
          <w:right w:val="single" w:sz="8" w:space="0" w:color="1C2B39" w:themeColor="accent2"/>
          <w:insideV w:val="single" w:sz="8" w:space="0" w:color="1C2B39" w:themeColor="accent2"/>
        </w:tcBorders>
      </w:tcPr>
    </w:tblStylePr>
  </w:style>
  <w:style w:type="paragraph" w:customStyle="1" w:styleId="Default">
    <w:name w:val="Default"/>
    <w:rsid w:val="008A3133"/>
    <w:pPr>
      <w:autoSpaceDE w:val="0"/>
      <w:autoSpaceDN w:val="0"/>
      <w:adjustRightInd w:val="0"/>
      <w:spacing w:after="0" w:line="240" w:lineRule="auto"/>
    </w:pPr>
    <w:rPr>
      <w:rFonts w:ascii="Inter Light" w:hAnsi="Inter Light" w:cs="Inter Light"/>
      <w:color w:val="000000"/>
      <w:sz w:val="24"/>
      <w:szCs w:val="24"/>
    </w:rPr>
  </w:style>
  <w:style w:type="character" w:customStyle="1" w:styleId="A9">
    <w:name w:val="A9"/>
    <w:uiPriority w:val="99"/>
    <w:rsid w:val="008A3133"/>
    <w:rPr>
      <w:rFonts w:cs="Inter Light"/>
      <w:color w:val="042534"/>
    </w:rPr>
  </w:style>
  <w:style w:type="paragraph" w:customStyle="1" w:styleId="ListPara1">
    <w:name w:val="List Para 1"/>
    <w:basedOn w:val="Normal"/>
    <w:link w:val="ListPara1Char"/>
    <w:uiPriority w:val="4"/>
    <w:qFormat/>
    <w:rsid w:val="00172824"/>
    <w:pPr>
      <w:spacing w:after="200" w:line="276" w:lineRule="auto"/>
      <w:ind w:left="360" w:hanging="360"/>
    </w:pPr>
    <w:rPr>
      <w:rFonts w:ascii="Century Gothic" w:eastAsia="Times New Roman" w:hAnsi="Century Gothic" w:cs="Arial"/>
      <w:color w:val="auto"/>
      <w:szCs w:val="22"/>
      <w:lang w:val="en-US" w:eastAsia="en-AU"/>
    </w:rPr>
  </w:style>
  <w:style w:type="character" w:customStyle="1" w:styleId="ListPara1Char">
    <w:name w:val="List Para 1 Char"/>
    <w:basedOn w:val="DefaultParagraphFont"/>
    <w:link w:val="ListPara1"/>
    <w:uiPriority w:val="4"/>
    <w:rsid w:val="00172824"/>
    <w:rPr>
      <w:rFonts w:ascii="Century Gothic" w:eastAsia="Times New Roman" w:hAnsi="Century Gothic" w:cs="Arial"/>
      <w:sz w:val="22"/>
      <w:szCs w:val="22"/>
      <w:lang w:val="en-US" w:eastAsia="en-AU"/>
    </w:rPr>
  </w:style>
  <w:style w:type="paragraph" w:customStyle="1" w:styleId="ListPara2">
    <w:name w:val="List Para 2"/>
    <w:basedOn w:val="Normal"/>
    <w:qFormat/>
    <w:rsid w:val="00172824"/>
    <w:pPr>
      <w:spacing w:line="259" w:lineRule="auto"/>
      <w:ind w:left="1134" w:hanging="454"/>
    </w:pPr>
    <w:rPr>
      <w:rFonts w:ascii="Century Gothic" w:eastAsiaTheme="minorHAnsi" w:hAnsi="Century Gothic"/>
      <w:color w:val="auto"/>
      <w:szCs w:val="20"/>
    </w:rPr>
  </w:style>
  <w:style w:type="paragraph" w:styleId="FootnoteText">
    <w:name w:val="footnote text"/>
    <w:basedOn w:val="Normal"/>
    <w:link w:val="FootnoteTextChar"/>
    <w:uiPriority w:val="99"/>
    <w:semiHidden/>
    <w:unhideWhenUsed/>
    <w:rsid w:val="00172824"/>
    <w:pPr>
      <w:spacing w:after="0" w:line="240" w:lineRule="auto"/>
    </w:pPr>
    <w:rPr>
      <w:rFonts w:ascii="Century Gothic" w:eastAsiaTheme="minorHAnsi" w:hAnsi="Century Gothic"/>
      <w:color w:val="auto"/>
      <w:sz w:val="20"/>
      <w:szCs w:val="20"/>
    </w:rPr>
  </w:style>
  <w:style w:type="character" w:customStyle="1" w:styleId="FootnoteTextChar">
    <w:name w:val="Footnote Text Char"/>
    <w:basedOn w:val="DefaultParagraphFont"/>
    <w:link w:val="FootnoteText"/>
    <w:uiPriority w:val="99"/>
    <w:semiHidden/>
    <w:rsid w:val="00172824"/>
    <w:rPr>
      <w:rFonts w:ascii="Century Gothic" w:eastAsiaTheme="minorHAnsi" w:hAnsi="Century Gothic"/>
      <w:sz w:val="20"/>
      <w:szCs w:val="20"/>
    </w:rPr>
  </w:style>
  <w:style w:type="character" w:styleId="FootnoteReference">
    <w:name w:val="footnote reference"/>
    <w:basedOn w:val="DefaultParagraphFont"/>
    <w:uiPriority w:val="99"/>
    <w:semiHidden/>
    <w:unhideWhenUsed/>
    <w:rsid w:val="00172824"/>
    <w:rPr>
      <w:vertAlign w:val="superscript"/>
    </w:rPr>
  </w:style>
  <w:style w:type="character" w:styleId="Mention">
    <w:name w:val="Mention"/>
    <w:basedOn w:val="DefaultParagraphFont"/>
    <w:uiPriority w:val="99"/>
    <w:unhideWhenUsed/>
    <w:rsid w:val="0070615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85144">
      <w:bodyDiv w:val="1"/>
      <w:marLeft w:val="0"/>
      <w:marRight w:val="0"/>
      <w:marTop w:val="0"/>
      <w:marBottom w:val="0"/>
      <w:divBdr>
        <w:top w:val="none" w:sz="0" w:space="0" w:color="auto"/>
        <w:left w:val="none" w:sz="0" w:space="0" w:color="auto"/>
        <w:bottom w:val="none" w:sz="0" w:space="0" w:color="auto"/>
        <w:right w:val="none" w:sz="0" w:space="0" w:color="auto"/>
      </w:divBdr>
    </w:div>
    <w:div w:id="18738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dget.gov.au/content/factsheets/download/factsheet-regulatory-reform.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6">
      <a:dk1>
        <a:srgbClr val="000000"/>
      </a:dk1>
      <a:lt1>
        <a:srgbClr val="FFFFFF"/>
      </a:lt1>
      <a:dk2>
        <a:srgbClr val="0F1F35"/>
      </a:dk2>
      <a:lt2>
        <a:srgbClr val="D8D8D8"/>
      </a:lt2>
      <a:accent1>
        <a:srgbClr val="007279"/>
      </a:accent1>
      <a:accent2>
        <a:srgbClr val="1C2B39"/>
      </a:accent2>
      <a:accent3>
        <a:srgbClr val="F26337"/>
      </a:accent3>
      <a:accent4>
        <a:srgbClr val="4BADB0"/>
      </a:accent4>
      <a:accent5>
        <a:srgbClr val="B75B53"/>
      </a:accent5>
      <a:accent6>
        <a:srgbClr val="FCB76C"/>
      </a:accent6>
      <a:hlink>
        <a:srgbClr val="007279"/>
      </a:hlink>
      <a:folHlink>
        <a:srgbClr val="007279"/>
      </a:folHlink>
    </a:clrScheme>
    <a:fontScheme name="PM&amp;C light">
      <a:majorFont>
        <a:latin typeface="Times New Roman"/>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1895</Words>
  <Characters>10803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12673</CharactersWithSpaces>
  <SharedDoc>false</SharedDoc>
  <HLinks>
    <vt:vector size="6" baseType="variant">
      <vt:variant>
        <vt:i4>5636165</vt:i4>
      </vt:variant>
      <vt:variant>
        <vt:i4>0</vt:i4>
      </vt:variant>
      <vt:variant>
        <vt:i4>0</vt:i4>
      </vt:variant>
      <vt:variant>
        <vt:i4>5</vt:i4>
      </vt:variant>
      <vt:variant>
        <vt:lpwstr>https://budget.gov.au/content/factsheets/download/factsheet-regulatory-reform.pdf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Sugden, Robert</cp:lastModifiedBy>
  <cp:revision>2</cp:revision>
  <cp:lastPrinted>2026-10-11T22:26:00Z</cp:lastPrinted>
  <dcterms:created xsi:type="dcterms:W3CDTF">2026-10-11T22:25:00Z</dcterms:created>
  <dcterms:modified xsi:type="dcterms:W3CDTF">2026-10-11T22:26:00Z</dcterms:modified>
</cp:coreProperties>
</file>