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3B402" w14:textId="77777777" w:rsidR="005D5B85" w:rsidRPr="0097484C" w:rsidRDefault="005D5B85" w:rsidP="005D5B85">
      <w:pPr>
        <w:pStyle w:val="Heading6"/>
        <w:pageBreakBefore w:val="0"/>
        <w:framePr w:hSpace="1134" w:wrap="around" w:vAnchor="page" w:hAnchor="page" w:x="97" w:y="2041"/>
        <w:numPr>
          <w:ilvl w:val="0"/>
          <w:numId w:val="0"/>
        </w:numPr>
        <w:spacing w:after="0" w:line="14" w:lineRule="exact"/>
        <w:ind w:left="-1134"/>
        <w:rPr>
          <w:b/>
          <w:i w:val="0"/>
          <w:color w:val="FFFFFF"/>
          <w:sz w:val="14"/>
          <w:szCs w:val="14"/>
        </w:rPr>
      </w:pPr>
    </w:p>
    <w:p w14:paraId="0B1D93A3" w14:textId="77777777" w:rsidR="00BC4823" w:rsidRPr="0097484C" w:rsidRDefault="00BC4823" w:rsidP="00BC4823">
      <w:pPr>
        <w:pStyle w:val="Heading6"/>
        <w:pageBreakBefore w:val="0"/>
        <w:framePr w:hSpace="1134" w:wrap="around" w:vAnchor="page" w:hAnchor="page" w:x="97" w:y="3481"/>
        <w:numPr>
          <w:ilvl w:val="0"/>
          <w:numId w:val="0"/>
        </w:numPr>
        <w:spacing w:after="0" w:line="14" w:lineRule="exact"/>
        <w:ind w:left="-1134"/>
        <w:rPr>
          <w:b/>
          <w:i w:val="0"/>
          <w:color w:val="FFFFFF"/>
          <w:sz w:val="14"/>
          <w:szCs w:val="14"/>
        </w:rPr>
      </w:pPr>
    </w:p>
    <w:tbl>
      <w:tblPr>
        <w:tblStyle w:val="TableGrid"/>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984"/>
        <w:gridCol w:w="3521"/>
      </w:tblGrid>
      <w:tr w:rsidR="00767FC0" w14:paraId="35CA727E" w14:textId="77777777">
        <w:trPr>
          <w:cantSplit/>
          <w:trHeight w:hRule="exact" w:val="1150"/>
        </w:trPr>
        <w:tc>
          <w:tcPr>
            <w:tcW w:w="8505" w:type="dxa"/>
            <w:gridSpan w:val="2"/>
          </w:tcPr>
          <w:p w14:paraId="08B57EB4" w14:textId="6EA6628F" w:rsidR="00767FC0" w:rsidRDefault="00767FC0">
            <w:pPr>
              <w:pStyle w:val="Confidential"/>
              <w:jc w:val="right"/>
            </w:pPr>
          </w:p>
        </w:tc>
      </w:tr>
      <w:tr w:rsidR="00767FC0" w14:paraId="6AD891B9" w14:textId="77777777">
        <w:trPr>
          <w:cantSplit/>
          <w:trHeight w:val="1968"/>
        </w:trPr>
        <w:tc>
          <w:tcPr>
            <w:tcW w:w="8505" w:type="dxa"/>
            <w:gridSpan w:val="2"/>
          </w:tcPr>
          <w:p w14:paraId="329720F8" w14:textId="77777777" w:rsidR="00767FC0" w:rsidRDefault="00767FC0">
            <w:pPr>
              <w:pStyle w:val="BodyText"/>
              <w:spacing w:before="0"/>
            </w:pPr>
          </w:p>
        </w:tc>
      </w:tr>
      <w:tr w:rsidR="00767FC0" w14:paraId="06214933" w14:textId="77777777">
        <w:trPr>
          <w:cantSplit/>
          <w:trHeight w:val="2988"/>
        </w:trPr>
        <w:tc>
          <w:tcPr>
            <w:tcW w:w="8505" w:type="dxa"/>
            <w:gridSpan w:val="2"/>
          </w:tcPr>
          <w:p w14:paraId="439EB8FC" w14:textId="04726657" w:rsidR="00767FC0" w:rsidRPr="00767FC0" w:rsidRDefault="00F73033" w:rsidP="00767FC0">
            <w:pPr>
              <w:pStyle w:val="Reporttype"/>
              <w:rPr>
                <w:color w:val="7F0A05" w:themeColor="accent2" w:themeShade="80"/>
              </w:rPr>
            </w:pPr>
            <w:r>
              <w:rPr>
                <w:color w:val="7F0A05" w:themeColor="accent2" w:themeShade="80"/>
              </w:rPr>
              <w:t>final</w:t>
            </w:r>
            <w:r w:rsidR="00767FC0" w:rsidRPr="00767FC0">
              <w:rPr>
                <w:color w:val="7F0A05" w:themeColor="accent2" w:themeShade="80"/>
              </w:rPr>
              <w:t xml:space="preserve"> report</w:t>
            </w:r>
          </w:p>
          <w:p w14:paraId="3B2B8007" w14:textId="77777777" w:rsidR="00767FC0" w:rsidRDefault="00767FC0" w:rsidP="00767FC0">
            <w:pPr>
              <w:pStyle w:val="Title"/>
            </w:pPr>
            <w:r>
              <w:t>Increasing the stringency of the commercial building energy efficiency provisions in the 2025 National Construction Code</w:t>
            </w:r>
          </w:p>
          <w:p w14:paraId="5D0AE5DD" w14:textId="0EDB5647" w:rsidR="00767FC0" w:rsidRPr="0089278E" w:rsidRDefault="00767FC0" w:rsidP="00767FC0">
            <w:pPr>
              <w:pStyle w:val="Subtitle"/>
            </w:pPr>
            <w:r>
              <w:t>Decision Regulation Impact Statement</w:t>
            </w:r>
          </w:p>
        </w:tc>
      </w:tr>
      <w:tr w:rsidR="00767FC0" w14:paraId="45EA2002" w14:textId="77777777">
        <w:trPr>
          <w:cantSplit/>
          <w:trHeight w:hRule="exact" w:val="3640"/>
        </w:trPr>
        <w:tc>
          <w:tcPr>
            <w:tcW w:w="4984" w:type="dxa"/>
          </w:tcPr>
          <w:p w14:paraId="4601CAF2" w14:textId="77777777" w:rsidR="00767FC0" w:rsidRDefault="00767FC0">
            <w:pPr>
              <w:pStyle w:val="Chart"/>
            </w:pPr>
          </w:p>
        </w:tc>
        <w:tc>
          <w:tcPr>
            <w:tcW w:w="3521" w:type="dxa"/>
          </w:tcPr>
          <w:p w14:paraId="4DD38034" w14:textId="77777777" w:rsidR="00767FC0" w:rsidRDefault="00767FC0">
            <w:pPr>
              <w:pStyle w:val="BodyText"/>
            </w:pPr>
          </w:p>
        </w:tc>
      </w:tr>
      <w:tr w:rsidR="00767FC0" w14:paraId="448E881F" w14:textId="77777777">
        <w:trPr>
          <w:cantSplit/>
          <w:trHeight w:val="4224"/>
        </w:trPr>
        <w:tc>
          <w:tcPr>
            <w:tcW w:w="8505" w:type="dxa"/>
            <w:gridSpan w:val="2"/>
          </w:tcPr>
          <w:p w14:paraId="47C576D3" w14:textId="77777777" w:rsidR="00767FC0" w:rsidRDefault="00767FC0" w:rsidP="00767FC0">
            <w:pPr>
              <w:pStyle w:val="Client"/>
              <w:spacing w:before="280"/>
            </w:pPr>
            <w:r w:rsidRPr="001647E4">
              <w:t>Prepared for</w:t>
            </w:r>
          </w:p>
          <w:p w14:paraId="7D6C4B53" w14:textId="77777777" w:rsidR="00767FC0" w:rsidRDefault="00767FC0" w:rsidP="00767FC0">
            <w:pPr>
              <w:pStyle w:val="Client"/>
            </w:pPr>
            <w:r>
              <w:t>Australian Building Codes Board</w:t>
            </w:r>
          </w:p>
          <w:p w14:paraId="5ACB4E7A" w14:textId="4AD36093" w:rsidR="00767FC0" w:rsidRPr="009E7DDD" w:rsidRDefault="00FE054A" w:rsidP="00767FC0">
            <w:pPr>
              <w:pStyle w:val="Date"/>
            </w:pPr>
            <w:r>
              <w:rPr>
                <w:color w:val="000000" w:themeColor="text1"/>
              </w:rPr>
              <w:t>Dec</w:t>
            </w:r>
            <w:r w:rsidR="00B31449">
              <w:rPr>
                <w:color w:val="000000" w:themeColor="text1"/>
              </w:rPr>
              <w:t>ember</w:t>
            </w:r>
            <w:r w:rsidR="00767FC0" w:rsidRPr="00767FC0">
              <w:rPr>
                <w:color w:val="000000" w:themeColor="text1"/>
              </w:rPr>
              <w:t xml:space="preserve"> 2024</w:t>
            </w:r>
          </w:p>
        </w:tc>
      </w:tr>
      <w:tr w:rsidR="00767FC0" w14:paraId="6D905405" w14:textId="77777777">
        <w:trPr>
          <w:cantSplit/>
          <w:trHeight w:val="419"/>
        </w:trPr>
        <w:tc>
          <w:tcPr>
            <w:tcW w:w="8505" w:type="dxa"/>
            <w:gridSpan w:val="2"/>
          </w:tcPr>
          <w:p w14:paraId="2B08EA06" w14:textId="77777777" w:rsidR="00767FC0" w:rsidRPr="00F062BF" w:rsidRDefault="00767FC0">
            <w:pPr>
              <w:pStyle w:val="BodyText"/>
              <w:spacing w:before="0"/>
              <w:rPr>
                <w:rFonts w:ascii="Franklin Gothic Demi" w:hAnsi="Franklin Gothic Demi"/>
                <w:caps/>
                <w:spacing w:val="10"/>
                <w:sz w:val="20"/>
              </w:rPr>
            </w:pPr>
            <w:r w:rsidRPr="00F062BF">
              <w:rPr>
                <w:rFonts w:ascii="Franklin Gothic Demi" w:hAnsi="Franklin Gothic Demi"/>
                <w:caps/>
                <w:spacing w:val="10"/>
                <w:sz w:val="20"/>
              </w:rPr>
              <w:t>The Centre for International Economics</w:t>
            </w:r>
          </w:p>
          <w:p w14:paraId="1006BD14" w14:textId="77777777" w:rsidR="00767FC0" w:rsidRPr="00DA40B0" w:rsidRDefault="00767FC0">
            <w:pPr>
              <w:pStyle w:val="BodyText"/>
              <w:spacing w:before="0"/>
              <w:rPr>
                <w:i/>
                <w:color w:val="9B917E" w:themeColor="accent4"/>
                <w:spacing w:val="10"/>
                <w:sz w:val="25"/>
              </w:rPr>
            </w:pPr>
            <w:r w:rsidRPr="00DA40B0">
              <w:rPr>
                <w:i/>
                <w:color w:val="9B917E" w:themeColor="accent4"/>
                <w:spacing w:val="10"/>
                <w:sz w:val="25"/>
              </w:rPr>
              <w:t>www.TheCIE.com.au</w:t>
            </w:r>
          </w:p>
        </w:tc>
      </w:tr>
    </w:tbl>
    <w:p w14:paraId="54F44704" w14:textId="77777777" w:rsidR="002A5062" w:rsidRDefault="00767FC0" w:rsidP="00767FC0">
      <w:pPr>
        <w:pStyle w:val="BodyText"/>
        <w:spacing w:before="0" w:line="240" w:lineRule="auto"/>
      </w:pPr>
      <w:r>
        <w:rPr>
          <w:noProof/>
        </w:rPr>
        <w:drawing>
          <wp:anchor distT="0" distB="0" distL="114300" distR="114300" simplePos="0" relativeHeight="251658240" behindDoc="1" locked="1" layoutInCell="0" allowOverlap="1" wp14:anchorId="56B347A5" wp14:editId="7A49CF31">
            <wp:simplePos x="0" y="0"/>
            <wp:positionH relativeFrom="page">
              <wp:posOffset>0</wp:posOffset>
            </wp:positionH>
            <wp:positionV relativeFrom="page">
              <wp:posOffset>265430</wp:posOffset>
            </wp:positionV>
            <wp:extent cx="7559675" cy="10691495"/>
            <wp:effectExtent l="0" t="0" r="3175" b="0"/>
            <wp:wrapNone/>
            <wp:docPr id="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no_image.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a:graphicData>
            </a:graphic>
            <wp14:sizeRelH relativeFrom="margin">
              <wp14:pctWidth>0</wp14:pctWidth>
            </wp14:sizeRelH>
            <wp14:sizeRelV relativeFrom="margin">
              <wp14:pctHeight>0</wp14:pctHeight>
            </wp14:sizeRelV>
          </wp:anchor>
        </w:drawing>
      </w:r>
    </w:p>
    <w:p w14:paraId="3A554064" w14:textId="77777777" w:rsidR="008F1A78" w:rsidRDefault="008F1A78" w:rsidP="00656D2E">
      <w:pPr>
        <w:rPr>
          <w:lang w:bidi="fa-IR"/>
        </w:rPr>
      </w:pPr>
    </w:p>
    <w:p w14:paraId="7394114B" w14:textId="77777777" w:rsidR="008F1A78" w:rsidRDefault="008F1A78" w:rsidP="00656D2E">
      <w:pPr>
        <w:rPr>
          <w:lang w:bidi="fa-IR"/>
        </w:rPr>
        <w:sectPr w:rsidR="008F1A78" w:rsidSect="001B3438">
          <w:headerReference w:type="even" r:id="rId8"/>
          <w:headerReference w:type="default" r:id="rId9"/>
          <w:footerReference w:type="even" r:id="rId10"/>
          <w:footerReference w:type="default" r:id="rId11"/>
          <w:pgSz w:w="11906" w:h="16838" w:code="9"/>
          <w:pgMar w:top="1145" w:right="1701" w:bottom="284" w:left="2268" w:header="680" w:footer="57" w:gutter="0"/>
          <w:cols w:space="708"/>
          <w:docGrid w:linePitch="360"/>
        </w:sectPr>
      </w:pPr>
    </w:p>
    <w:p w14:paraId="126869B4" w14:textId="77777777" w:rsidR="00721CE9" w:rsidRDefault="00721CE9" w:rsidP="00721CE9">
      <w:pPr>
        <w:pStyle w:val="BodyText"/>
        <w:pageBreakBefore/>
        <w:spacing w:before="0"/>
      </w:pPr>
      <w:bookmarkStart w:id="0" w:name="SummaryPage"/>
      <w:r>
        <w:lastRenderedPageBreak/>
        <w:t>The Centre for International Economics is a private economic research agency that provides professional, independent and timely analysis of international and domestic events and policies.</w:t>
      </w:r>
    </w:p>
    <w:p w14:paraId="4AABD0D1" w14:textId="77777777" w:rsidR="00721CE9" w:rsidRDefault="00721CE9" w:rsidP="00721CE9">
      <w:pPr>
        <w:pStyle w:val="BodyText"/>
      </w:pPr>
      <w:r>
        <w:t>The CIE’s professional staff arrange, undertake and publish commissioned economic research and analysis for industry, corporations, governments, international agencies and individuals.</w:t>
      </w:r>
    </w:p>
    <w:p w14:paraId="3C76C522" w14:textId="77777777" w:rsidR="00A838D1" w:rsidRDefault="00A838D1" w:rsidP="00721CE9">
      <w:pPr>
        <w:pStyle w:val="BodyText"/>
      </w:pPr>
    </w:p>
    <w:p w14:paraId="33756FB6" w14:textId="77777777" w:rsidR="00A838D1" w:rsidRDefault="00A838D1" w:rsidP="00721CE9">
      <w:pPr>
        <w:pStyle w:val="BodyText"/>
      </w:pPr>
    </w:p>
    <w:p w14:paraId="3B4B6219" w14:textId="77777777" w:rsidR="00A838D1" w:rsidRDefault="00A838D1" w:rsidP="00721CE9">
      <w:pPr>
        <w:pStyle w:val="BodyText"/>
      </w:pPr>
    </w:p>
    <w:p w14:paraId="55FF2FC6" w14:textId="11D72AC8" w:rsidR="00721CE9" w:rsidRPr="00A838D1" w:rsidRDefault="00721CE9" w:rsidP="00A838D1">
      <w:pPr>
        <w:pStyle w:val="BodyText"/>
      </w:pPr>
      <w:r w:rsidRPr="00A838D1">
        <w:t xml:space="preserve">© Centre for International Economics </w:t>
      </w:r>
      <w:r w:rsidRPr="00A838D1">
        <w:fldChar w:fldCharType="begin"/>
      </w:r>
      <w:r w:rsidRPr="00A838D1">
        <w:instrText xml:space="preserve"> SAVEDATE  \@ "yyyy"  \* MERGEFORMAT </w:instrText>
      </w:r>
      <w:r w:rsidRPr="00A838D1">
        <w:fldChar w:fldCharType="separate"/>
      </w:r>
      <w:r w:rsidR="008C60A3">
        <w:rPr>
          <w:noProof/>
        </w:rPr>
        <w:t>2025</w:t>
      </w:r>
      <w:r w:rsidRPr="00A838D1">
        <w:fldChar w:fldCharType="end"/>
      </w:r>
    </w:p>
    <w:p w14:paraId="39D89ED7" w14:textId="77777777" w:rsidR="00721CE9" w:rsidRPr="00511766" w:rsidRDefault="00721CE9" w:rsidP="00721CE9">
      <w:pPr>
        <w:pStyle w:val="BodyText"/>
        <w:spacing w:before="80"/>
      </w:pPr>
      <w:r w:rsidRPr="00511766">
        <w:t>This work is copyright. Individuals, agencies and corporations wishing to reproduce this material should contact the Centre for International Economics at one of the following addresses.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911"/>
        <w:gridCol w:w="4026"/>
      </w:tblGrid>
      <w:tr w:rsidR="00767FC0" w:rsidRPr="00767FC0" w14:paraId="1EB41C23" w14:textId="77777777" w:rsidTr="000A43D9">
        <w:tc>
          <w:tcPr>
            <w:tcW w:w="3911" w:type="dxa"/>
          </w:tcPr>
          <w:p w14:paraId="465264C3" w14:textId="77777777" w:rsidR="00721CE9" w:rsidRPr="00767FC0" w:rsidRDefault="00721CE9" w:rsidP="004E7620">
            <w:pPr>
              <w:pStyle w:val="BodyText"/>
              <w:spacing w:before="200" w:line="260" w:lineRule="atLeast"/>
              <w:rPr>
                <w:rFonts w:ascii="Franklin Gothic Demi" w:hAnsi="Franklin Gothic Demi"/>
                <w:caps/>
                <w:color w:val="000000" w:themeColor="text1"/>
                <w:spacing w:val="44"/>
              </w:rPr>
            </w:pPr>
            <w:r w:rsidRPr="00767FC0">
              <w:rPr>
                <w:rFonts w:ascii="Franklin Gothic Demi" w:hAnsi="Franklin Gothic Demi"/>
                <w:caps/>
                <w:color w:val="000000" w:themeColor="text1"/>
                <w:spacing w:val="44"/>
              </w:rPr>
              <w:t>Canberra</w:t>
            </w:r>
          </w:p>
          <w:p w14:paraId="61F071B1" w14:textId="77777777" w:rsidR="00721CE9" w:rsidRPr="00767FC0" w:rsidRDefault="00721CE9" w:rsidP="001D72A4">
            <w:pPr>
              <w:pStyle w:val="SenderAddress"/>
              <w:rPr>
                <w:color w:val="000000" w:themeColor="text1"/>
              </w:rPr>
            </w:pPr>
            <w:r w:rsidRPr="00767FC0">
              <w:rPr>
                <w:color w:val="000000" w:themeColor="text1"/>
              </w:rPr>
              <w:t>Centre for International Economics</w:t>
            </w:r>
            <w:r w:rsidR="001D72A4" w:rsidRPr="00767FC0">
              <w:rPr>
                <w:color w:val="000000" w:themeColor="text1"/>
              </w:rPr>
              <w:t xml:space="preserve"> </w:t>
            </w:r>
            <w:r w:rsidR="001D72A4" w:rsidRPr="00767FC0">
              <w:rPr>
                <w:color w:val="000000" w:themeColor="text1"/>
              </w:rPr>
              <w:br/>
            </w:r>
            <w:r w:rsidRPr="00767FC0">
              <w:rPr>
                <w:color w:val="000000" w:themeColor="text1"/>
              </w:rPr>
              <w:t>Ground Floor, 11 Lancaster Place</w:t>
            </w:r>
            <w:r w:rsidR="001D72A4" w:rsidRPr="00767FC0">
              <w:rPr>
                <w:color w:val="000000" w:themeColor="text1"/>
              </w:rPr>
              <w:t xml:space="preserve"> </w:t>
            </w:r>
            <w:r w:rsidR="001D72A4" w:rsidRPr="00767FC0">
              <w:rPr>
                <w:color w:val="000000" w:themeColor="text1"/>
              </w:rPr>
              <w:br/>
            </w:r>
            <w:r w:rsidR="003A1E79" w:rsidRPr="00767FC0">
              <w:rPr>
                <w:color w:val="000000" w:themeColor="text1"/>
              </w:rPr>
              <w:t>Canberra Airport</w:t>
            </w:r>
            <w:r w:rsidRPr="00767FC0">
              <w:rPr>
                <w:color w:val="000000" w:themeColor="text1"/>
              </w:rPr>
              <w:t> </w:t>
            </w:r>
            <w:r w:rsidRPr="00767FC0">
              <w:rPr>
                <w:color w:val="000000" w:themeColor="text1"/>
              </w:rPr>
              <w:t>ACT</w:t>
            </w:r>
            <w:r w:rsidRPr="00767FC0">
              <w:rPr>
                <w:color w:val="000000" w:themeColor="text1"/>
              </w:rPr>
              <w:t> </w:t>
            </w:r>
            <w:r w:rsidRPr="00767FC0">
              <w:rPr>
                <w:color w:val="000000" w:themeColor="text1"/>
              </w:rPr>
              <w:t>2609</w:t>
            </w:r>
            <w:r w:rsidR="001D72A4" w:rsidRPr="00767FC0">
              <w:rPr>
                <w:color w:val="000000" w:themeColor="text1"/>
              </w:rPr>
              <w:t xml:space="preserve"> </w:t>
            </w:r>
            <w:r w:rsidR="001D72A4" w:rsidRPr="00767FC0">
              <w:rPr>
                <w:color w:val="000000" w:themeColor="text1"/>
              </w:rPr>
              <w:br/>
            </w:r>
          </w:p>
          <w:p w14:paraId="60467FDF" w14:textId="77777777" w:rsidR="00721CE9" w:rsidRPr="00767FC0" w:rsidRDefault="00721CE9" w:rsidP="001D72A4">
            <w:pPr>
              <w:pStyle w:val="SenderAddress"/>
              <w:rPr>
                <w:color w:val="000000" w:themeColor="text1"/>
              </w:rPr>
            </w:pPr>
            <w:r w:rsidRPr="00767FC0">
              <w:rPr>
                <w:color w:val="000000" w:themeColor="text1"/>
              </w:rPr>
              <w:t>Telephone</w:t>
            </w:r>
            <w:r w:rsidRPr="00767FC0">
              <w:rPr>
                <w:color w:val="000000" w:themeColor="text1"/>
              </w:rPr>
              <w:tab/>
              <w:t>+61 2 6245 7800</w:t>
            </w:r>
            <w:r w:rsidR="001D72A4" w:rsidRPr="00767FC0">
              <w:rPr>
                <w:color w:val="000000" w:themeColor="text1"/>
              </w:rPr>
              <w:t xml:space="preserve"> </w:t>
            </w:r>
            <w:r w:rsidR="001D72A4" w:rsidRPr="00767FC0">
              <w:rPr>
                <w:color w:val="000000" w:themeColor="text1"/>
              </w:rPr>
              <w:br/>
            </w:r>
            <w:r w:rsidRPr="00767FC0">
              <w:rPr>
                <w:color w:val="000000" w:themeColor="text1"/>
              </w:rPr>
              <w:t xml:space="preserve">Facsimile </w:t>
            </w:r>
            <w:r w:rsidRPr="00767FC0">
              <w:rPr>
                <w:color w:val="000000" w:themeColor="text1"/>
              </w:rPr>
              <w:tab/>
              <w:t>+61 2 6245 7888</w:t>
            </w:r>
            <w:r w:rsidR="001D72A4" w:rsidRPr="00767FC0">
              <w:rPr>
                <w:color w:val="000000" w:themeColor="text1"/>
              </w:rPr>
              <w:t xml:space="preserve"> </w:t>
            </w:r>
            <w:r w:rsidR="001D72A4" w:rsidRPr="00767FC0">
              <w:rPr>
                <w:color w:val="000000" w:themeColor="text1"/>
              </w:rPr>
              <w:br/>
            </w:r>
            <w:r w:rsidRPr="00767FC0">
              <w:rPr>
                <w:color w:val="000000" w:themeColor="text1"/>
              </w:rPr>
              <w:t>Email</w:t>
            </w:r>
            <w:r w:rsidRPr="00767FC0">
              <w:rPr>
                <w:color w:val="000000" w:themeColor="text1"/>
              </w:rPr>
              <w:tab/>
              <w:t>cie@TheCIE.com.au</w:t>
            </w:r>
          </w:p>
          <w:p w14:paraId="0BA46F6C" w14:textId="77777777" w:rsidR="00721CE9" w:rsidRPr="00767FC0" w:rsidRDefault="00721CE9" w:rsidP="001D72A4">
            <w:pPr>
              <w:pStyle w:val="SenderAddress"/>
              <w:rPr>
                <w:rFonts w:ascii="Franklin Gothic Demi" w:hAnsi="Franklin Gothic Demi"/>
                <w:color w:val="000000" w:themeColor="text1"/>
              </w:rPr>
            </w:pPr>
            <w:r w:rsidRPr="00767FC0">
              <w:rPr>
                <w:color w:val="000000" w:themeColor="text1"/>
              </w:rPr>
              <w:t>Website</w:t>
            </w:r>
            <w:r w:rsidRPr="00767FC0">
              <w:rPr>
                <w:color w:val="000000" w:themeColor="text1"/>
              </w:rPr>
              <w:tab/>
              <w:t>www.TheCIE.com.au</w:t>
            </w:r>
          </w:p>
        </w:tc>
        <w:tc>
          <w:tcPr>
            <w:tcW w:w="4026" w:type="dxa"/>
          </w:tcPr>
          <w:p w14:paraId="3E533ACE" w14:textId="77777777" w:rsidR="00721CE9" w:rsidRPr="00767FC0" w:rsidRDefault="00721CE9" w:rsidP="004E7620">
            <w:pPr>
              <w:pStyle w:val="BodyText"/>
              <w:spacing w:before="200" w:line="260" w:lineRule="atLeast"/>
              <w:rPr>
                <w:rFonts w:ascii="Franklin Gothic Demi" w:hAnsi="Franklin Gothic Demi"/>
                <w:caps/>
                <w:color w:val="000000" w:themeColor="text1"/>
                <w:spacing w:val="44"/>
              </w:rPr>
            </w:pPr>
            <w:r w:rsidRPr="00767FC0">
              <w:rPr>
                <w:rFonts w:ascii="Franklin Gothic Demi" w:hAnsi="Franklin Gothic Demi"/>
                <w:caps/>
                <w:color w:val="000000" w:themeColor="text1"/>
                <w:spacing w:val="44"/>
              </w:rPr>
              <w:t>Sydney</w:t>
            </w:r>
          </w:p>
          <w:p w14:paraId="1A03CFFF" w14:textId="77777777" w:rsidR="00721CE9" w:rsidRPr="00767FC0" w:rsidRDefault="00721CE9" w:rsidP="001D72A4">
            <w:pPr>
              <w:pStyle w:val="SenderAddress"/>
              <w:rPr>
                <w:color w:val="000000" w:themeColor="text1"/>
              </w:rPr>
            </w:pPr>
            <w:r w:rsidRPr="00767FC0">
              <w:rPr>
                <w:color w:val="000000" w:themeColor="text1"/>
              </w:rPr>
              <w:t>Centre for International Economics</w:t>
            </w:r>
            <w:r w:rsidR="001D72A4" w:rsidRPr="00767FC0">
              <w:rPr>
                <w:color w:val="000000" w:themeColor="text1"/>
              </w:rPr>
              <w:t xml:space="preserve"> </w:t>
            </w:r>
            <w:r w:rsidR="001D72A4" w:rsidRPr="00767FC0">
              <w:rPr>
                <w:color w:val="000000" w:themeColor="text1"/>
              </w:rPr>
              <w:br/>
            </w:r>
            <w:r w:rsidRPr="00767FC0">
              <w:rPr>
                <w:color w:val="000000" w:themeColor="text1"/>
              </w:rPr>
              <w:t xml:space="preserve">Level </w:t>
            </w:r>
            <w:r w:rsidR="00C934E1" w:rsidRPr="00767FC0">
              <w:rPr>
                <w:color w:val="000000" w:themeColor="text1"/>
              </w:rPr>
              <w:t>7</w:t>
            </w:r>
            <w:r w:rsidRPr="00767FC0">
              <w:rPr>
                <w:color w:val="000000" w:themeColor="text1"/>
              </w:rPr>
              <w:t xml:space="preserve">, </w:t>
            </w:r>
            <w:r w:rsidR="00C934E1" w:rsidRPr="00767FC0">
              <w:rPr>
                <w:color w:val="000000" w:themeColor="text1"/>
              </w:rPr>
              <w:t>8 Spring</w:t>
            </w:r>
            <w:r w:rsidRPr="00767FC0">
              <w:rPr>
                <w:color w:val="000000" w:themeColor="text1"/>
              </w:rPr>
              <w:t xml:space="preserve"> Street</w:t>
            </w:r>
            <w:r w:rsidR="001D72A4" w:rsidRPr="00767FC0">
              <w:rPr>
                <w:color w:val="000000" w:themeColor="text1"/>
              </w:rPr>
              <w:t xml:space="preserve"> </w:t>
            </w:r>
            <w:r w:rsidR="001D72A4" w:rsidRPr="00767FC0">
              <w:rPr>
                <w:color w:val="000000" w:themeColor="text1"/>
              </w:rPr>
              <w:br/>
            </w:r>
            <w:r w:rsidRPr="00767FC0">
              <w:rPr>
                <w:color w:val="000000" w:themeColor="text1"/>
              </w:rPr>
              <w:t>Sydney</w:t>
            </w:r>
            <w:r w:rsidRPr="00767FC0">
              <w:rPr>
                <w:rFonts w:cs="Book Antiqua"/>
                <w:color w:val="000000" w:themeColor="text1"/>
              </w:rPr>
              <w:t> </w:t>
            </w:r>
            <w:r w:rsidRPr="00767FC0">
              <w:rPr>
                <w:color w:val="000000" w:themeColor="text1"/>
              </w:rPr>
              <w:t>NSW 2000</w:t>
            </w:r>
          </w:p>
          <w:p w14:paraId="1F4F3757" w14:textId="77777777" w:rsidR="00242E1D" w:rsidRPr="00767FC0" w:rsidRDefault="00242E1D" w:rsidP="001D72A4">
            <w:pPr>
              <w:pStyle w:val="SenderAddress"/>
              <w:rPr>
                <w:color w:val="000000" w:themeColor="text1"/>
              </w:rPr>
            </w:pPr>
          </w:p>
          <w:p w14:paraId="3D0AC5F2" w14:textId="31097191" w:rsidR="00721CE9" w:rsidRPr="00767FC0" w:rsidRDefault="00721CE9" w:rsidP="001D72A4">
            <w:pPr>
              <w:pStyle w:val="SenderAddress"/>
              <w:rPr>
                <w:color w:val="000000" w:themeColor="text1"/>
              </w:rPr>
            </w:pPr>
            <w:r w:rsidRPr="00767FC0">
              <w:rPr>
                <w:color w:val="000000" w:themeColor="text1"/>
              </w:rPr>
              <w:t>Telephone</w:t>
            </w:r>
            <w:r w:rsidRPr="00767FC0">
              <w:rPr>
                <w:color w:val="000000" w:themeColor="text1"/>
              </w:rPr>
              <w:tab/>
              <w:t>+61 2 9250 0800</w:t>
            </w:r>
            <w:r w:rsidR="001D72A4" w:rsidRPr="00767FC0">
              <w:rPr>
                <w:color w:val="000000" w:themeColor="text1"/>
              </w:rPr>
              <w:t xml:space="preserve"> </w:t>
            </w:r>
            <w:r w:rsidR="001D72A4" w:rsidRPr="00767FC0">
              <w:rPr>
                <w:color w:val="000000" w:themeColor="text1"/>
              </w:rPr>
              <w:br/>
            </w:r>
            <w:r w:rsidRPr="00767FC0">
              <w:rPr>
                <w:color w:val="000000" w:themeColor="text1"/>
              </w:rPr>
              <w:t>Email</w:t>
            </w:r>
            <w:r w:rsidRPr="00767FC0">
              <w:rPr>
                <w:color w:val="000000" w:themeColor="text1"/>
              </w:rPr>
              <w:tab/>
            </w:r>
            <w:hyperlink r:id="rId12" w:history="1">
              <w:r w:rsidRPr="00767FC0">
                <w:rPr>
                  <w:color w:val="000000" w:themeColor="text1"/>
                </w:rPr>
                <w:t>ciesyd@TheCIE.com.au</w:t>
              </w:r>
            </w:hyperlink>
          </w:p>
          <w:p w14:paraId="61589760" w14:textId="5DE434A1" w:rsidR="00721CE9" w:rsidRPr="00767FC0" w:rsidRDefault="00721CE9" w:rsidP="001D72A4">
            <w:pPr>
              <w:pStyle w:val="SenderAddress"/>
              <w:rPr>
                <w:rFonts w:ascii="Franklin Gothic Demi" w:hAnsi="Franklin Gothic Demi"/>
                <w:color w:val="000000" w:themeColor="text1"/>
              </w:rPr>
            </w:pPr>
            <w:r w:rsidRPr="00767FC0">
              <w:rPr>
                <w:color w:val="000000" w:themeColor="text1"/>
              </w:rPr>
              <w:t>Website</w:t>
            </w:r>
            <w:r w:rsidRPr="00767FC0">
              <w:rPr>
                <w:color w:val="000000" w:themeColor="text1"/>
              </w:rPr>
              <w:tab/>
            </w:r>
            <w:hyperlink r:id="rId13" w:history="1">
              <w:r w:rsidRPr="00767FC0">
                <w:rPr>
                  <w:color w:val="000000" w:themeColor="text1"/>
                </w:rPr>
                <w:t>www.TheCIE.com.au</w:t>
              </w:r>
            </w:hyperlink>
          </w:p>
        </w:tc>
      </w:tr>
      <w:tr w:rsidR="004E13DA" w14:paraId="04A42624" w14:textId="77777777" w:rsidTr="000A43D9">
        <w:trPr>
          <w:trHeight w:hRule="exact" w:val="2552"/>
        </w:trPr>
        <w:tc>
          <w:tcPr>
            <w:tcW w:w="3911" w:type="dxa"/>
          </w:tcPr>
          <w:p w14:paraId="7EA83185" w14:textId="77777777" w:rsidR="004E13DA" w:rsidRPr="009E7DDD" w:rsidRDefault="004E13DA" w:rsidP="001D72A4">
            <w:pPr>
              <w:pStyle w:val="SenderAddress"/>
              <w:rPr>
                <w:rFonts w:ascii="Franklin Gothic Demi" w:hAnsi="Franklin Gothic Demi"/>
                <w:caps/>
                <w:color w:val="9B917E" w:themeColor="accent4"/>
                <w:spacing w:val="44"/>
              </w:rPr>
            </w:pPr>
          </w:p>
        </w:tc>
        <w:tc>
          <w:tcPr>
            <w:tcW w:w="4026" w:type="dxa"/>
          </w:tcPr>
          <w:p w14:paraId="1580AE1C" w14:textId="77777777" w:rsidR="004E13DA" w:rsidRPr="009E7DDD" w:rsidRDefault="004E13DA" w:rsidP="004E7620">
            <w:pPr>
              <w:pStyle w:val="BodyText"/>
              <w:spacing w:before="200" w:line="260" w:lineRule="atLeast"/>
              <w:rPr>
                <w:rFonts w:ascii="Franklin Gothic Demi" w:hAnsi="Franklin Gothic Demi"/>
                <w:caps/>
                <w:color w:val="9B917E" w:themeColor="accent4"/>
                <w:spacing w:val="44"/>
              </w:rPr>
            </w:pPr>
          </w:p>
        </w:tc>
      </w:tr>
    </w:tbl>
    <w:p w14:paraId="2857EEDF" w14:textId="77777777" w:rsidR="005B1FD7" w:rsidRPr="00375BA6" w:rsidRDefault="005B1FD7" w:rsidP="00D36422">
      <w:pPr>
        <w:pStyle w:val="DisclaimerHeading"/>
      </w:pPr>
      <w:r w:rsidRPr="00375BA6">
        <w:t>Disclaimer</w:t>
      </w:r>
    </w:p>
    <w:p w14:paraId="5073B8E7" w14:textId="77777777" w:rsidR="006730DA" w:rsidRDefault="001B25D3" w:rsidP="001B25D3">
      <w:pPr>
        <w:pStyle w:val="Disclaimer"/>
        <w:rPr>
          <w:lang w:bidi="fa-IR"/>
        </w:rPr>
      </w:pPr>
      <w:r>
        <w:t>While the CIE endeavours to provide reliable analysis and believes the material it presents is accurate, it will not be liable for any party acting on such information.</w:t>
      </w:r>
    </w:p>
    <w:p w14:paraId="0289523C" w14:textId="77777777" w:rsidR="001B25D3" w:rsidRDefault="001B25D3" w:rsidP="006730DA"/>
    <w:p w14:paraId="692472E1" w14:textId="77777777" w:rsidR="001B25D3" w:rsidRDefault="001B25D3" w:rsidP="006730DA">
      <w:pPr>
        <w:sectPr w:rsidR="001B25D3" w:rsidSect="00A838D1">
          <w:headerReference w:type="even" r:id="rId14"/>
          <w:headerReference w:type="default" r:id="rId15"/>
          <w:footerReference w:type="even" r:id="rId16"/>
          <w:footerReference w:type="default" r:id="rId17"/>
          <w:pgSz w:w="11906" w:h="16838" w:code="9"/>
          <w:pgMar w:top="2268" w:right="1701" w:bottom="567" w:left="2268" w:header="680" w:footer="113" w:gutter="0"/>
          <w:cols w:space="708"/>
          <w:docGrid w:linePitch="360"/>
        </w:sectPr>
      </w:pPr>
    </w:p>
    <w:p w14:paraId="36580C97" w14:textId="77777777" w:rsidR="00650F3E" w:rsidRDefault="00650F3E" w:rsidP="004E7620">
      <w:pPr>
        <w:pStyle w:val="Contents"/>
      </w:pPr>
      <w:bookmarkStart w:id="1" w:name="DeleteTOC"/>
      <w:bookmarkEnd w:id="0"/>
      <w:r>
        <w:lastRenderedPageBreak/>
        <w:t>Contents</w:t>
      </w:r>
    </w:p>
    <w:p w14:paraId="0EE4D35C" w14:textId="2A38D67E" w:rsidR="006E00A7" w:rsidRDefault="00650F3E">
      <w:pPr>
        <w:pStyle w:val="TOC1"/>
        <w:rPr>
          <w:rFonts w:asciiTheme="minorHAnsi" w:eastAsiaTheme="minorEastAsia" w:hAnsiTheme="minorHAnsi" w:cstheme="minorBidi"/>
          <w:noProof/>
          <w:kern w:val="2"/>
          <w:sz w:val="24"/>
          <w14:ligatures w14:val="standardContextual"/>
        </w:rPr>
      </w:pPr>
      <w:r w:rsidRPr="00876B40">
        <w:fldChar w:fldCharType="begin"/>
      </w:r>
      <w:r w:rsidRPr="00876B40">
        <w:instrText xml:space="preserve"> TOC \t "Heading 1,1</w:instrText>
      </w:r>
      <w:r w:rsidR="00D22E66">
        <w:instrText>,</w:instrText>
      </w:r>
      <w:r w:rsidR="008D3341" w:rsidRPr="008D3341">
        <w:instrText>Heading 1 NotNumbered</w:instrText>
      </w:r>
      <w:r w:rsidR="008D3341">
        <w:instrText>,1</w:instrText>
      </w:r>
      <w:r w:rsidRPr="00876B40">
        <w:instrText xml:space="preserve">,Heading 2,2,Heading </w:instrText>
      </w:r>
      <w:r>
        <w:instrText>6</w:instrText>
      </w:r>
      <w:r w:rsidRPr="00876B40">
        <w:instrText xml:space="preserve">,1,Part Title,4" </w:instrText>
      </w:r>
      <w:r w:rsidRPr="00876B40">
        <w:fldChar w:fldCharType="separate"/>
      </w:r>
      <w:r w:rsidR="006E00A7">
        <w:rPr>
          <w:noProof/>
          <w:lang w:bidi="fa-IR"/>
        </w:rPr>
        <w:t>Abbreviations</w:t>
      </w:r>
      <w:r w:rsidR="006E00A7">
        <w:rPr>
          <w:noProof/>
        </w:rPr>
        <w:tab/>
      </w:r>
      <w:r w:rsidR="006E00A7">
        <w:rPr>
          <w:noProof/>
        </w:rPr>
        <w:fldChar w:fldCharType="begin"/>
      </w:r>
      <w:r w:rsidR="006E00A7">
        <w:rPr>
          <w:noProof/>
        </w:rPr>
        <w:instrText xml:space="preserve"> PAGEREF _Toc178292510 \h </w:instrText>
      </w:r>
      <w:r w:rsidR="006E00A7">
        <w:rPr>
          <w:noProof/>
        </w:rPr>
      </w:r>
      <w:r w:rsidR="006E00A7">
        <w:rPr>
          <w:noProof/>
        </w:rPr>
        <w:fldChar w:fldCharType="separate"/>
      </w:r>
      <w:r w:rsidR="006E00A7">
        <w:rPr>
          <w:noProof/>
        </w:rPr>
        <w:t>1</w:t>
      </w:r>
      <w:r w:rsidR="006E00A7">
        <w:rPr>
          <w:noProof/>
        </w:rPr>
        <w:fldChar w:fldCharType="end"/>
      </w:r>
    </w:p>
    <w:p w14:paraId="7B8D2D09" w14:textId="2D2E7DD3" w:rsidR="006E00A7" w:rsidRDefault="006E00A7">
      <w:pPr>
        <w:pStyle w:val="TOC1"/>
        <w:rPr>
          <w:rFonts w:asciiTheme="minorHAnsi" w:eastAsiaTheme="minorEastAsia" w:hAnsiTheme="minorHAnsi" w:cstheme="minorBidi"/>
          <w:noProof/>
          <w:kern w:val="2"/>
          <w:sz w:val="24"/>
          <w14:ligatures w14:val="standardContextual"/>
        </w:rPr>
      </w:pPr>
      <w:r>
        <w:rPr>
          <w:noProof/>
          <w:lang w:bidi="fa-IR"/>
        </w:rPr>
        <w:t>Executive summary</w:t>
      </w:r>
      <w:r>
        <w:rPr>
          <w:noProof/>
        </w:rPr>
        <w:tab/>
      </w:r>
      <w:r>
        <w:rPr>
          <w:noProof/>
        </w:rPr>
        <w:fldChar w:fldCharType="begin"/>
      </w:r>
      <w:r>
        <w:rPr>
          <w:noProof/>
        </w:rPr>
        <w:instrText xml:space="preserve"> PAGEREF _Toc178292511 \h </w:instrText>
      </w:r>
      <w:r>
        <w:rPr>
          <w:noProof/>
        </w:rPr>
      </w:r>
      <w:r>
        <w:rPr>
          <w:noProof/>
        </w:rPr>
        <w:fldChar w:fldCharType="separate"/>
      </w:r>
      <w:r>
        <w:rPr>
          <w:noProof/>
        </w:rPr>
        <w:t>5</w:t>
      </w:r>
      <w:r>
        <w:rPr>
          <w:noProof/>
        </w:rPr>
        <w:fldChar w:fldCharType="end"/>
      </w:r>
    </w:p>
    <w:p w14:paraId="7205B072" w14:textId="2B063616" w:rsidR="006E00A7" w:rsidRDefault="006E00A7">
      <w:pPr>
        <w:pStyle w:val="TOC2"/>
        <w:rPr>
          <w:rFonts w:asciiTheme="minorHAnsi" w:eastAsiaTheme="minorEastAsia" w:hAnsiTheme="minorHAnsi" w:cstheme="minorBidi"/>
          <w:noProof/>
          <w:kern w:val="2"/>
          <w:sz w:val="24"/>
          <w14:ligatures w14:val="standardContextual"/>
        </w:rPr>
      </w:pPr>
      <w:r>
        <w:rPr>
          <w:noProof/>
        </w:rPr>
        <w:t>Statement of the problem</w:t>
      </w:r>
      <w:r>
        <w:rPr>
          <w:noProof/>
        </w:rPr>
        <w:tab/>
      </w:r>
      <w:r>
        <w:rPr>
          <w:noProof/>
        </w:rPr>
        <w:fldChar w:fldCharType="begin"/>
      </w:r>
      <w:r>
        <w:rPr>
          <w:noProof/>
        </w:rPr>
        <w:instrText xml:space="preserve"> PAGEREF _Toc178292512 \h </w:instrText>
      </w:r>
      <w:r>
        <w:rPr>
          <w:noProof/>
        </w:rPr>
      </w:r>
      <w:r>
        <w:rPr>
          <w:noProof/>
        </w:rPr>
        <w:fldChar w:fldCharType="separate"/>
      </w:r>
      <w:r>
        <w:rPr>
          <w:noProof/>
        </w:rPr>
        <w:t>5</w:t>
      </w:r>
      <w:r>
        <w:rPr>
          <w:noProof/>
        </w:rPr>
        <w:fldChar w:fldCharType="end"/>
      </w:r>
    </w:p>
    <w:p w14:paraId="5F4F011E" w14:textId="35C66776" w:rsidR="006E00A7" w:rsidRDefault="006E00A7">
      <w:pPr>
        <w:pStyle w:val="TOC2"/>
        <w:rPr>
          <w:rFonts w:asciiTheme="minorHAnsi" w:eastAsiaTheme="minorEastAsia" w:hAnsiTheme="minorHAnsi" w:cstheme="minorBidi"/>
          <w:noProof/>
          <w:kern w:val="2"/>
          <w:sz w:val="24"/>
          <w14:ligatures w14:val="standardContextual"/>
        </w:rPr>
      </w:pPr>
      <w:r>
        <w:rPr>
          <w:noProof/>
        </w:rPr>
        <w:t>Energy efficiency requirements</w:t>
      </w:r>
      <w:r>
        <w:rPr>
          <w:noProof/>
        </w:rPr>
        <w:tab/>
      </w:r>
      <w:r>
        <w:rPr>
          <w:noProof/>
        </w:rPr>
        <w:fldChar w:fldCharType="begin"/>
      </w:r>
      <w:r>
        <w:rPr>
          <w:noProof/>
        </w:rPr>
        <w:instrText xml:space="preserve"> PAGEREF _Toc178292513 \h </w:instrText>
      </w:r>
      <w:r>
        <w:rPr>
          <w:noProof/>
        </w:rPr>
      </w:r>
      <w:r>
        <w:rPr>
          <w:noProof/>
        </w:rPr>
        <w:fldChar w:fldCharType="separate"/>
      </w:r>
      <w:r>
        <w:rPr>
          <w:noProof/>
        </w:rPr>
        <w:t>6</w:t>
      </w:r>
      <w:r>
        <w:rPr>
          <w:noProof/>
        </w:rPr>
        <w:fldChar w:fldCharType="end"/>
      </w:r>
    </w:p>
    <w:p w14:paraId="74EAD7E7" w14:textId="1E82F6BC" w:rsidR="006E00A7" w:rsidRDefault="006E00A7">
      <w:pPr>
        <w:pStyle w:val="TOC2"/>
        <w:rPr>
          <w:rFonts w:asciiTheme="minorHAnsi" w:eastAsiaTheme="minorEastAsia" w:hAnsiTheme="minorHAnsi" w:cstheme="minorBidi"/>
          <w:noProof/>
          <w:kern w:val="2"/>
          <w:sz w:val="24"/>
          <w14:ligatures w14:val="standardContextual"/>
        </w:rPr>
      </w:pPr>
      <w:r>
        <w:rPr>
          <w:noProof/>
        </w:rPr>
        <w:t>Mandatory electric vehicle charging</w:t>
      </w:r>
      <w:r>
        <w:rPr>
          <w:noProof/>
        </w:rPr>
        <w:tab/>
      </w:r>
      <w:r>
        <w:rPr>
          <w:noProof/>
        </w:rPr>
        <w:fldChar w:fldCharType="begin"/>
      </w:r>
      <w:r>
        <w:rPr>
          <w:noProof/>
        </w:rPr>
        <w:instrText xml:space="preserve"> PAGEREF _Toc178292514 \h </w:instrText>
      </w:r>
      <w:r>
        <w:rPr>
          <w:noProof/>
        </w:rPr>
      </w:r>
      <w:r>
        <w:rPr>
          <w:noProof/>
        </w:rPr>
        <w:fldChar w:fldCharType="separate"/>
      </w:r>
      <w:r>
        <w:rPr>
          <w:noProof/>
        </w:rPr>
        <w:t>11</w:t>
      </w:r>
      <w:r>
        <w:rPr>
          <w:noProof/>
        </w:rPr>
        <w:fldChar w:fldCharType="end"/>
      </w:r>
    </w:p>
    <w:p w14:paraId="7069AA5B" w14:textId="0295DD0C" w:rsidR="006E00A7" w:rsidRDefault="006E00A7">
      <w:pPr>
        <w:pStyle w:val="TOC2"/>
        <w:rPr>
          <w:rFonts w:asciiTheme="minorHAnsi" w:eastAsiaTheme="minorEastAsia" w:hAnsiTheme="minorHAnsi" w:cstheme="minorBidi"/>
          <w:noProof/>
          <w:kern w:val="2"/>
          <w:sz w:val="24"/>
          <w14:ligatures w14:val="standardContextual"/>
        </w:rPr>
      </w:pPr>
      <w:r>
        <w:rPr>
          <w:noProof/>
        </w:rPr>
        <w:t>Conclusions</w:t>
      </w:r>
      <w:r>
        <w:rPr>
          <w:noProof/>
        </w:rPr>
        <w:tab/>
      </w:r>
      <w:r>
        <w:rPr>
          <w:noProof/>
        </w:rPr>
        <w:fldChar w:fldCharType="begin"/>
      </w:r>
      <w:r>
        <w:rPr>
          <w:noProof/>
        </w:rPr>
        <w:instrText xml:space="preserve"> PAGEREF _Toc178292515 \h </w:instrText>
      </w:r>
      <w:r>
        <w:rPr>
          <w:noProof/>
        </w:rPr>
      </w:r>
      <w:r>
        <w:rPr>
          <w:noProof/>
        </w:rPr>
        <w:fldChar w:fldCharType="separate"/>
      </w:r>
      <w:r>
        <w:rPr>
          <w:noProof/>
        </w:rPr>
        <w:t>12</w:t>
      </w:r>
      <w:r>
        <w:rPr>
          <w:noProof/>
        </w:rPr>
        <w:fldChar w:fldCharType="end"/>
      </w:r>
    </w:p>
    <w:p w14:paraId="20B96590" w14:textId="394B955F" w:rsidR="006E00A7" w:rsidRDefault="006E00A7">
      <w:pPr>
        <w:pStyle w:val="TOC1"/>
        <w:rPr>
          <w:rFonts w:asciiTheme="minorHAnsi" w:eastAsiaTheme="minorEastAsia" w:hAnsiTheme="minorHAnsi" w:cstheme="minorBidi"/>
          <w:noProof/>
          <w:kern w:val="2"/>
          <w:sz w:val="24"/>
          <w14:ligatures w14:val="standardContextual"/>
        </w:rPr>
      </w:pPr>
      <w:r>
        <w:rPr>
          <w:noProof/>
          <w:lang w:bidi="fa-IR"/>
        </w:rPr>
        <w:t>1</w:t>
      </w:r>
      <w:r>
        <w:rPr>
          <w:rFonts w:asciiTheme="minorHAnsi" w:eastAsiaTheme="minorEastAsia" w:hAnsiTheme="minorHAnsi" w:cstheme="minorBidi"/>
          <w:noProof/>
          <w:kern w:val="2"/>
          <w:sz w:val="24"/>
          <w14:ligatures w14:val="standardContextual"/>
        </w:rPr>
        <w:tab/>
      </w:r>
      <w:r>
        <w:rPr>
          <w:noProof/>
        </w:rPr>
        <w:t>Introduction</w:t>
      </w:r>
      <w:r>
        <w:rPr>
          <w:noProof/>
        </w:rPr>
        <w:tab/>
      </w:r>
      <w:r>
        <w:rPr>
          <w:noProof/>
        </w:rPr>
        <w:fldChar w:fldCharType="begin"/>
      </w:r>
      <w:r>
        <w:rPr>
          <w:noProof/>
        </w:rPr>
        <w:instrText xml:space="preserve"> PAGEREF _Toc178292516 \h </w:instrText>
      </w:r>
      <w:r>
        <w:rPr>
          <w:noProof/>
        </w:rPr>
      </w:r>
      <w:r>
        <w:rPr>
          <w:noProof/>
        </w:rPr>
        <w:fldChar w:fldCharType="separate"/>
      </w:r>
      <w:r>
        <w:rPr>
          <w:noProof/>
        </w:rPr>
        <w:t>13</w:t>
      </w:r>
      <w:r>
        <w:rPr>
          <w:noProof/>
        </w:rPr>
        <w:fldChar w:fldCharType="end"/>
      </w:r>
    </w:p>
    <w:p w14:paraId="037A0C93" w14:textId="21FC9C13" w:rsidR="006E00A7" w:rsidRDefault="006E00A7">
      <w:pPr>
        <w:pStyle w:val="TOC2"/>
        <w:rPr>
          <w:rFonts w:asciiTheme="minorHAnsi" w:eastAsiaTheme="minorEastAsia" w:hAnsiTheme="minorHAnsi" w:cstheme="minorBidi"/>
          <w:noProof/>
          <w:kern w:val="2"/>
          <w:sz w:val="24"/>
          <w14:ligatures w14:val="standardContextual"/>
        </w:rPr>
      </w:pPr>
      <w:r>
        <w:rPr>
          <w:noProof/>
        </w:rPr>
        <w:t>Scope</w:t>
      </w:r>
      <w:r>
        <w:rPr>
          <w:noProof/>
        </w:rPr>
        <w:tab/>
      </w:r>
      <w:r>
        <w:rPr>
          <w:noProof/>
        </w:rPr>
        <w:fldChar w:fldCharType="begin"/>
      </w:r>
      <w:r>
        <w:rPr>
          <w:noProof/>
        </w:rPr>
        <w:instrText xml:space="preserve"> PAGEREF _Toc178292517 \h </w:instrText>
      </w:r>
      <w:r>
        <w:rPr>
          <w:noProof/>
        </w:rPr>
      </w:r>
      <w:r>
        <w:rPr>
          <w:noProof/>
        </w:rPr>
        <w:fldChar w:fldCharType="separate"/>
      </w:r>
      <w:r>
        <w:rPr>
          <w:noProof/>
        </w:rPr>
        <w:t>13</w:t>
      </w:r>
      <w:r>
        <w:rPr>
          <w:noProof/>
        </w:rPr>
        <w:fldChar w:fldCharType="end"/>
      </w:r>
    </w:p>
    <w:p w14:paraId="7C410CE9" w14:textId="7B4780B2" w:rsidR="006E00A7" w:rsidRDefault="006E00A7">
      <w:pPr>
        <w:pStyle w:val="TOC2"/>
        <w:rPr>
          <w:rFonts w:asciiTheme="minorHAnsi" w:eastAsiaTheme="minorEastAsia" w:hAnsiTheme="minorHAnsi" w:cstheme="minorBidi"/>
          <w:noProof/>
          <w:kern w:val="2"/>
          <w:sz w:val="24"/>
          <w14:ligatures w14:val="standardContextual"/>
        </w:rPr>
      </w:pPr>
      <w:r>
        <w:rPr>
          <w:noProof/>
        </w:rPr>
        <w:t>Energy efficiency in the NCC</w:t>
      </w:r>
      <w:r>
        <w:rPr>
          <w:noProof/>
        </w:rPr>
        <w:tab/>
      </w:r>
      <w:r>
        <w:rPr>
          <w:noProof/>
        </w:rPr>
        <w:fldChar w:fldCharType="begin"/>
      </w:r>
      <w:r>
        <w:rPr>
          <w:noProof/>
        </w:rPr>
        <w:instrText xml:space="preserve"> PAGEREF _Toc178292518 \h </w:instrText>
      </w:r>
      <w:r>
        <w:rPr>
          <w:noProof/>
        </w:rPr>
      </w:r>
      <w:r>
        <w:rPr>
          <w:noProof/>
        </w:rPr>
        <w:fldChar w:fldCharType="separate"/>
      </w:r>
      <w:r>
        <w:rPr>
          <w:noProof/>
        </w:rPr>
        <w:t>14</w:t>
      </w:r>
      <w:r>
        <w:rPr>
          <w:noProof/>
        </w:rPr>
        <w:fldChar w:fldCharType="end"/>
      </w:r>
    </w:p>
    <w:p w14:paraId="6699389C" w14:textId="29FC7C09" w:rsidR="006E00A7" w:rsidRDefault="006E00A7">
      <w:pPr>
        <w:pStyle w:val="TOC2"/>
        <w:rPr>
          <w:rFonts w:asciiTheme="minorHAnsi" w:eastAsiaTheme="minorEastAsia" w:hAnsiTheme="minorHAnsi" w:cstheme="minorBidi"/>
          <w:noProof/>
          <w:kern w:val="2"/>
          <w:sz w:val="24"/>
          <w14:ligatures w14:val="standardContextual"/>
        </w:rPr>
      </w:pPr>
      <w:r>
        <w:rPr>
          <w:noProof/>
        </w:rPr>
        <w:t>Regulation Impact Statement</w:t>
      </w:r>
      <w:r>
        <w:rPr>
          <w:noProof/>
        </w:rPr>
        <w:tab/>
      </w:r>
      <w:r>
        <w:rPr>
          <w:noProof/>
        </w:rPr>
        <w:fldChar w:fldCharType="begin"/>
      </w:r>
      <w:r>
        <w:rPr>
          <w:noProof/>
        </w:rPr>
        <w:instrText xml:space="preserve"> PAGEREF _Toc178292519 \h </w:instrText>
      </w:r>
      <w:r>
        <w:rPr>
          <w:noProof/>
        </w:rPr>
      </w:r>
      <w:r>
        <w:rPr>
          <w:noProof/>
        </w:rPr>
        <w:fldChar w:fldCharType="separate"/>
      </w:r>
      <w:r>
        <w:rPr>
          <w:noProof/>
        </w:rPr>
        <w:t>16</w:t>
      </w:r>
      <w:r>
        <w:rPr>
          <w:noProof/>
        </w:rPr>
        <w:fldChar w:fldCharType="end"/>
      </w:r>
    </w:p>
    <w:p w14:paraId="1F1D9D27" w14:textId="57B15F88" w:rsidR="006E00A7" w:rsidRDefault="006E00A7">
      <w:pPr>
        <w:pStyle w:val="TOC1"/>
        <w:rPr>
          <w:rFonts w:asciiTheme="minorHAnsi" w:eastAsiaTheme="minorEastAsia" w:hAnsiTheme="minorHAnsi" w:cstheme="minorBidi"/>
          <w:noProof/>
          <w:kern w:val="2"/>
          <w:sz w:val="24"/>
          <w14:ligatures w14:val="standardContextual"/>
        </w:rPr>
      </w:pPr>
      <w:r>
        <w:rPr>
          <w:noProof/>
          <w:lang w:bidi="fa-IR"/>
        </w:rPr>
        <w:t>2</w:t>
      </w:r>
      <w:r>
        <w:rPr>
          <w:rFonts w:asciiTheme="minorHAnsi" w:eastAsiaTheme="minorEastAsia" w:hAnsiTheme="minorHAnsi" w:cstheme="minorBidi"/>
          <w:noProof/>
          <w:kern w:val="2"/>
          <w:sz w:val="24"/>
          <w14:ligatures w14:val="standardContextual"/>
        </w:rPr>
        <w:tab/>
      </w:r>
      <w:r>
        <w:rPr>
          <w:noProof/>
          <w:lang w:bidi="fa-IR"/>
        </w:rPr>
        <w:t>Feedback on the Consultation RIS</w:t>
      </w:r>
      <w:r>
        <w:rPr>
          <w:noProof/>
        </w:rPr>
        <w:tab/>
      </w:r>
      <w:r>
        <w:rPr>
          <w:noProof/>
        </w:rPr>
        <w:fldChar w:fldCharType="begin"/>
      </w:r>
      <w:r>
        <w:rPr>
          <w:noProof/>
        </w:rPr>
        <w:instrText xml:space="preserve"> PAGEREF _Toc178292520 \h </w:instrText>
      </w:r>
      <w:r>
        <w:rPr>
          <w:noProof/>
        </w:rPr>
      </w:r>
      <w:r>
        <w:rPr>
          <w:noProof/>
        </w:rPr>
        <w:fldChar w:fldCharType="separate"/>
      </w:r>
      <w:r>
        <w:rPr>
          <w:noProof/>
        </w:rPr>
        <w:t>17</w:t>
      </w:r>
      <w:r>
        <w:rPr>
          <w:noProof/>
        </w:rPr>
        <w:fldChar w:fldCharType="end"/>
      </w:r>
    </w:p>
    <w:p w14:paraId="4E22AAE6" w14:textId="3F7172BE" w:rsidR="006E00A7" w:rsidRDefault="006E00A7">
      <w:pPr>
        <w:pStyle w:val="TOC2"/>
        <w:rPr>
          <w:rFonts w:asciiTheme="minorHAnsi" w:eastAsiaTheme="minorEastAsia" w:hAnsiTheme="minorHAnsi" w:cstheme="minorBidi"/>
          <w:noProof/>
          <w:kern w:val="2"/>
          <w:sz w:val="24"/>
          <w14:ligatures w14:val="standardContextual"/>
        </w:rPr>
      </w:pPr>
      <w:r>
        <w:rPr>
          <w:noProof/>
          <w:lang w:bidi="fa-IR"/>
        </w:rPr>
        <w:t>Key issues raised in consultation</w:t>
      </w:r>
      <w:r>
        <w:rPr>
          <w:noProof/>
        </w:rPr>
        <w:tab/>
      </w:r>
      <w:r>
        <w:rPr>
          <w:noProof/>
        </w:rPr>
        <w:fldChar w:fldCharType="begin"/>
      </w:r>
      <w:r>
        <w:rPr>
          <w:noProof/>
        </w:rPr>
        <w:instrText xml:space="preserve"> PAGEREF _Toc178292521 \h </w:instrText>
      </w:r>
      <w:r>
        <w:rPr>
          <w:noProof/>
        </w:rPr>
      </w:r>
      <w:r>
        <w:rPr>
          <w:noProof/>
        </w:rPr>
        <w:fldChar w:fldCharType="separate"/>
      </w:r>
      <w:r>
        <w:rPr>
          <w:noProof/>
        </w:rPr>
        <w:t>17</w:t>
      </w:r>
      <w:r>
        <w:rPr>
          <w:noProof/>
        </w:rPr>
        <w:fldChar w:fldCharType="end"/>
      </w:r>
    </w:p>
    <w:p w14:paraId="23030935" w14:textId="03F89B4E" w:rsidR="006E00A7" w:rsidRDefault="006E00A7">
      <w:pPr>
        <w:pStyle w:val="TOC2"/>
        <w:rPr>
          <w:rFonts w:asciiTheme="minorHAnsi" w:eastAsiaTheme="minorEastAsia" w:hAnsiTheme="minorHAnsi" w:cstheme="minorBidi"/>
          <w:noProof/>
          <w:kern w:val="2"/>
          <w:sz w:val="24"/>
          <w14:ligatures w14:val="standardContextual"/>
        </w:rPr>
      </w:pPr>
      <w:r>
        <w:rPr>
          <w:noProof/>
          <w:lang w:bidi="fa-IR"/>
        </w:rPr>
        <w:t>Approach to address the feedback</w:t>
      </w:r>
      <w:r>
        <w:rPr>
          <w:noProof/>
        </w:rPr>
        <w:tab/>
      </w:r>
      <w:r>
        <w:rPr>
          <w:noProof/>
        </w:rPr>
        <w:fldChar w:fldCharType="begin"/>
      </w:r>
      <w:r>
        <w:rPr>
          <w:noProof/>
        </w:rPr>
        <w:instrText xml:space="preserve"> PAGEREF _Toc178292522 \h </w:instrText>
      </w:r>
      <w:r>
        <w:rPr>
          <w:noProof/>
        </w:rPr>
      </w:r>
      <w:r>
        <w:rPr>
          <w:noProof/>
        </w:rPr>
        <w:fldChar w:fldCharType="separate"/>
      </w:r>
      <w:r>
        <w:rPr>
          <w:noProof/>
        </w:rPr>
        <w:t>21</w:t>
      </w:r>
      <w:r>
        <w:rPr>
          <w:noProof/>
        </w:rPr>
        <w:fldChar w:fldCharType="end"/>
      </w:r>
    </w:p>
    <w:p w14:paraId="4684ECF4" w14:textId="50F170C1" w:rsidR="006E00A7" w:rsidRDefault="006E00A7">
      <w:pPr>
        <w:pStyle w:val="TOC1"/>
        <w:rPr>
          <w:rFonts w:asciiTheme="minorHAnsi" w:eastAsiaTheme="minorEastAsia" w:hAnsiTheme="minorHAnsi" w:cstheme="minorBidi"/>
          <w:noProof/>
          <w:kern w:val="2"/>
          <w:sz w:val="24"/>
          <w14:ligatures w14:val="standardContextual"/>
        </w:rPr>
      </w:pPr>
      <w:r>
        <w:rPr>
          <w:noProof/>
        </w:rPr>
        <w:t>3</w:t>
      </w:r>
      <w:r>
        <w:rPr>
          <w:rFonts w:asciiTheme="minorHAnsi" w:eastAsiaTheme="minorEastAsia" w:hAnsiTheme="minorHAnsi" w:cstheme="minorBidi"/>
          <w:noProof/>
          <w:kern w:val="2"/>
          <w:sz w:val="24"/>
          <w14:ligatures w14:val="standardContextual"/>
        </w:rPr>
        <w:tab/>
      </w:r>
      <w:r>
        <w:rPr>
          <w:noProof/>
        </w:rPr>
        <w:t>Statement of the problem</w:t>
      </w:r>
      <w:r>
        <w:rPr>
          <w:noProof/>
        </w:rPr>
        <w:tab/>
      </w:r>
      <w:r>
        <w:rPr>
          <w:noProof/>
        </w:rPr>
        <w:fldChar w:fldCharType="begin"/>
      </w:r>
      <w:r>
        <w:rPr>
          <w:noProof/>
        </w:rPr>
        <w:instrText xml:space="preserve"> PAGEREF _Toc178292523 \h </w:instrText>
      </w:r>
      <w:r>
        <w:rPr>
          <w:noProof/>
        </w:rPr>
      </w:r>
      <w:r>
        <w:rPr>
          <w:noProof/>
        </w:rPr>
        <w:fldChar w:fldCharType="separate"/>
      </w:r>
      <w:r>
        <w:rPr>
          <w:noProof/>
        </w:rPr>
        <w:t>28</w:t>
      </w:r>
      <w:r>
        <w:rPr>
          <w:noProof/>
        </w:rPr>
        <w:fldChar w:fldCharType="end"/>
      </w:r>
    </w:p>
    <w:p w14:paraId="7483170B" w14:textId="3D02C0A8" w:rsidR="006E00A7" w:rsidRDefault="006E00A7">
      <w:pPr>
        <w:pStyle w:val="TOC2"/>
        <w:rPr>
          <w:rFonts w:asciiTheme="minorHAnsi" w:eastAsiaTheme="minorEastAsia" w:hAnsiTheme="minorHAnsi" w:cstheme="minorBidi"/>
          <w:noProof/>
          <w:kern w:val="2"/>
          <w:sz w:val="24"/>
          <w14:ligatures w14:val="standardContextual"/>
        </w:rPr>
      </w:pPr>
      <w:r>
        <w:rPr>
          <w:noProof/>
        </w:rPr>
        <w:t>The rationale for regulation</w:t>
      </w:r>
      <w:r>
        <w:rPr>
          <w:noProof/>
        </w:rPr>
        <w:tab/>
      </w:r>
      <w:r>
        <w:rPr>
          <w:noProof/>
        </w:rPr>
        <w:fldChar w:fldCharType="begin"/>
      </w:r>
      <w:r>
        <w:rPr>
          <w:noProof/>
        </w:rPr>
        <w:instrText xml:space="preserve"> PAGEREF _Toc178292524 \h </w:instrText>
      </w:r>
      <w:r>
        <w:rPr>
          <w:noProof/>
        </w:rPr>
      </w:r>
      <w:r>
        <w:rPr>
          <w:noProof/>
        </w:rPr>
        <w:fldChar w:fldCharType="separate"/>
      </w:r>
      <w:r>
        <w:rPr>
          <w:noProof/>
        </w:rPr>
        <w:t>28</w:t>
      </w:r>
      <w:r>
        <w:rPr>
          <w:noProof/>
        </w:rPr>
        <w:fldChar w:fldCharType="end"/>
      </w:r>
    </w:p>
    <w:p w14:paraId="6417E8FF" w14:textId="566E77EC" w:rsidR="006E00A7" w:rsidRDefault="006E00A7">
      <w:pPr>
        <w:pStyle w:val="TOC2"/>
        <w:rPr>
          <w:rFonts w:asciiTheme="minorHAnsi" w:eastAsiaTheme="minorEastAsia" w:hAnsiTheme="minorHAnsi" w:cstheme="minorBidi"/>
          <w:noProof/>
          <w:kern w:val="2"/>
          <w:sz w:val="24"/>
          <w14:ligatures w14:val="standardContextual"/>
        </w:rPr>
      </w:pPr>
      <w:r>
        <w:rPr>
          <w:noProof/>
          <w:lang w:eastAsia="en-US"/>
        </w:rPr>
        <w:t>Policy environment</w:t>
      </w:r>
      <w:r>
        <w:rPr>
          <w:noProof/>
        </w:rPr>
        <w:tab/>
      </w:r>
      <w:r>
        <w:rPr>
          <w:noProof/>
        </w:rPr>
        <w:fldChar w:fldCharType="begin"/>
      </w:r>
      <w:r>
        <w:rPr>
          <w:noProof/>
        </w:rPr>
        <w:instrText xml:space="preserve"> PAGEREF _Toc178292525 \h </w:instrText>
      </w:r>
      <w:r>
        <w:rPr>
          <w:noProof/>
        </w:rPr>
      </w:r>
      <w:r>
        <w:rPr>
          <w:noProof/>
        </w:rPr>
        <w:fldChar w:fldCharType="separate"/>
      </w:r>
      <w:r>
        <w:rPr>
          <w:noProof/>
        </w:rPr>
        <w:t>34</w:t>
      </w:r>
      <w:r>
        <w:rPr>
          <w:noProof/>
        </w:rPr>
        <w:fldChar w:fldCharType="end"/>
      </w:r>
    </w:p>
    <w:p w14:paraId="04525CFA" w14:textId="448FF31A" w:rsidR="006E00A7" w:rsidRDefault="006E00A7">
      <w:pPr>
        <w:pStyle w:val="TOC2"/>
        <w:rPr>
          <w:rFonts w:asciiTheme="minorHAnsi" w:eastAsiaTheme="minorEastAsia" w:hAnsiTheme="minorHAnsi" w:cstheme="minorBidi"/>
          <w:noProof/>
          <w:kern w:val="2"/>
          <w:sz w:val="24"/>
          <w14:ligatures w14:val="standardContextual"/>
        </w:rPr>
      </w:pPr>
      <w:r>
        <w:rPr>
          <w:noProof/>
        </w:rPr>
        <w:t>The case for change</w:t>
      </w:r>
      <w:r>
        <w:rPr>
          <w:noProof/>
        </w:rPr>
        <w:tab/>
      </w:r>
      <w:r>
        <w:rPr>
          <w:noProof/>
        </w:rPr>
        <w:fldChar w:fldCharType="begin"/>
      </w:r>
      <w:r>
        <w:rPr>
          <w:noProof/>
        </w:rPr>
        <w:instrText xml:space="preserve"> PAGEREF _Toc178292526 \h </w:instrText>
      </w:r>
      <w:r>
        <w:rPr>
          <w:noProof/>
        </w:rPr>
      </w:r>
      <w:r>
        <w:rPr>
          <w:noProof/>
        </w:rPr>
        <w:fldChar w:fldCharType="separate"/>
      </w:r>
      <w:r>
        <w:rPr>
          <w:noProof/>
        </w:rPr>
        <w:t>45</w:t>
      </w:r>
      <w:r>
        <w:rPr>
          <w:noProof/>
        </w:rPr>
        <w:fldChar w:fldCharType="end"/>
      </w:r>
    </w:p>
    <w:p w14:paraId="66C58A3B" w14:textId="2B6B7D21" w:rsidR="006E00A7" w:rsidRDefault="006E00A7">
      <w:pPr>
        <w:pStyle w:val="TOC1"/>
        <w:rPr>
          <w:rFonts w:asciiTheme="minorHAnsi" w:eastAsiaTheme="minorEastAsia" w:hAnsiTheme="minorHAnsi" w:cstheme="minorBidi"/>
          <w:noProof/>
          <w:kern w:val="2"/>
          <w:sz w:val="24"/>
          <w14:ligatures w14:val="standardContextual"/>
        </w:rPr>
      </w:pPr>
      <w:r>
        <w:rPr>
          <w:noProof/>
        </w:rPr>
        <w:t>4</w:t>
      </w:r>
      <w:r>
        <w:rPr>
          <w:rFonts w:asciiTheme="minorHAnsi" w:eastAsiaTheme="minorEastAsia" w:hAnsiTheme="minorHAnsi" w:cstheme="minorBidi"/>
          <w:noProof/>
          <w:kern w:val="2"/>
          <w:sz w:val="24"/>
          <w14:ligatures w14:val="standardContextual"/>
        </w:rPr>
        <w:tab/>
      </w:r>
      <w:r>
        <w:rPr>
          <w:noProof/>
        </w:rPr>
        <w:t>Objectives and options</w:t>
      </w:r>
      <w:r>
        <w:rPr>
          <w:noProof/>
        </w:rPr>
        <w:tab/>
      </w:r>
      <w:r>
        <w:rPr>
          <w:noProof/>
        </w:rPr>
        <w:fldChar w:fldCharType="begin"/>
      </w:r>
      <w:r>
        <w:rPr>
          <w:noProof/>
        </w:rPr>
        <w:instrText xml:space="preserve"> PAGEREF _Toc178292527 \h </w:instrText>
      </w:r>
      <w:r>
        <w:rPr>
          <w:noProof/>
        </w:rPr>
      </w:r>
      <w:r>
        <w:rPr>
          <w:noProof/>
        </w:rPr>
        <w:fldChar w:fldCharType="separate"/>
      </w:r>
      <w:r>
        <w:rPr>
          <w:noProof/>
        </w:rPr>
        <w:t>48</w:t>
      </w:r>
      <w:r>
        <w:rPr>
          <w:noProof/>
        </w:rPr>
        <w:fldChar w:fldCharType="end"/>
      </w:r>
    </w:p>
    <w:p w14:paraId="4354E81A" w14:textId="7D11F9F4" w:rsidR="006E00A7" w:rsidRDefault="006E00A7">
      <w:pPr>
        <w:pStyle w:val="TOC2"/>
        <w:rPr>
          <w:rFonts w:asciiTheme="minorHAnsi" w:eastAsiaTheme="minorEastAsia" w:hAnsiTheme="minorHAnsi" w:cstheme="minorBidi"/>
          <w:noProof/>
          <w:kern w:val="2"/>
          <w:sz w:val="24"/>
          <w14:ligatures w14:val="standardContextual"/>
        </w:rPr>
      </w:pPr>
      <w:r>
        <w:rPr>
          <w:noProof/>
          <w:lang w:bidi="fa-IR"/>
        </w:rPr>
        <w:t>Objectives</w:t>
      </w:r>
      <w:r>
        <w:rPr>
          <w:noProof/>
        </w:rPr>
        <w:tab/>
      </w:r>
      <w:r>
        <w:rPr>
          <w:noProof/>
        </w:rPr>
        <w:fldChar w:fldCharType="begin"/>
      </w:r>
      <w:r>
        <w:rPr>
          <w:noProof/>
        </w:rPr>
        <w:instrText xml:space="preserve"> PAGEREF _Toc178292528 \h </w:instrText>
      </w:r>
      <w:r>
        <w:rPr>
          <w:noProof/>
        </w:rPr>
      </w:r>
      <w:r>
        <w:rPr>
          <w:noProof/>
        </w:rPr>
        <w:fldChar w:fldCharType="separate"/>
      </w:r>
      <w:r>
        <w:rPr>
          <w:noProof/>
        </w:rPr>
        <w:t>48</w:t>
      </w:r>
      <w:r>
        <w:rPr>
          <w:noProof/>
        </w:rPr>
        <w:fldChar w:fldCharType="end"/>
      </w:r>
    </w:p>
    <w:p w14:paraId="2B591227" w14:textId="22DDDF7C" w:rsidR="006E00A7" w:rsidRDefault="006E00A7">
      <w:pPr>
        <w:pStyle w:val="TOC2"/>
        <w:rPr>
          <w:rFonts w:asciiTheme="minorHAnsi" w:eastAsiaTheme="minorEastAsia" w:hAnsiTheme="minorHAnsi" w:cstheme="minorBidi"/>
          <w:noProof/>
          <w:kern w:val="2"/>
          <w:sz w:val="24"/>
          <w14:ligatures w14:val="standardContextual"/>
        </w:rPr>
      </w:pPr>
      <w:r>
        <w:rPr>
          <w:noProof/>
          <w:lang w:bidi="fa-IR"/>
        </w:rPr>
        <w:t>Options: minimum energy efficiency requirements</w:t>
      </w:r>
      <w:r>
        <w:rPr>
          <w:noProof/>
        </w:rPr>
        <w:tab/>
      </w:r>
      <w:r>
        <w:rPr>
          <w:noProof/>
        </w:rPr>
        <w:fldChar w:fldCharType="begin"/>
      </w:r>
      <w:r>
        <w:rPr>
          <w:noProof/>
        </w:rPr>
        <w:instrText xml:space="preserve"> PAGEREF _Toc178292529 \h </w:instrText>
      </w:r>
      <w:r>
        <w:rPr>
          <w:noProof/>
        </w:rPr>
      </w:r>
      <w:r>
        <w:rPr>
          <w:noProof/>
        </w:rPr>
        <w:fldChar w:fldCharType="separate"/>
      </w:r>
      <w:r>
        <w:rPr>
          <w:noProof/>
        </w:rPr>
        <w:t>49</w:t>
      </w:r>
      <w:r>
        <w:rPr>
          <w:noProof/>
        </w:rPr>
        <w:fldChar w:fldCharType="end"/>
      </w:r>
    </w:p>
    <w:p w14:paraId="131A1A71" w14:textId="4AAEFED9" w:rsidR="006E00A7" w:rsidRDefault="006E00A7">
      <w:pPr>
        <w:pStyle w:val="TOC1"/>
        <w:rPr>
          <w:rFonts w:asciiTheme="minorHAnsi" w:eastAsiaTheme="minorEastAsia" w:hAnsiTheme="minorHAnsi" w:cstheme="minorBidi"/>
          <w:noProof/>
          <w:kern w:val="2"/>
          <w:sz w:val="24"/>
          <w14:ligatures w14:val="standardContextual"/>
        </w:rPr>
      </w:pPr>
      <w:r>
        <w:rPr>
          <w:noProof/>
          <w:lang w:bidi="fa-IR"/>
        </w:rPr>
        <w:t>5</w:t>
      </w:r>
      <w:r>
        <w:rPr>
          <w:rFonts w:asciiTheme="minorHAnsi" w:eastAsiaTheme="minorEastAsia" w:hAnsiTheme="minorHAnsi" w:cstheme="minorBidi"/>
          <w:noProof/>
          <w:kern w:val="2"/>
          <w:sz w:val="24"/>
          <w14:ligatures w14:val="standardContextual"/>
        </w:rPr>
        <w:tab/>
      </w:r>
      <w:r>
        <w:rPr>
          <w:noProof/>
          <w:lang w:bidi="fa-IR"/>
        </w:rPr>
        <w:t>Approach to impact analysis</w:t>
      </w:r>
      <w:r>
        <w:rPr>
          <w:noProof/>
        </w:rPr>
        <w:tab/>
      </w:r>
      <w:r>
        <w:rPr>
          <w:noProof/>
        </w:rPr>
        <w:fldChar w:fldCharType="begin"/>
      </w:r>
      <w:r>
        <w:rPr>
          <w:noProof/>
        </w:rPr>
        <w:instrText xml:space="preserve"> PAGEREF _Toc178292530 \h </w:instrText>
      </w:r>
      <w:r>
        <w:rPr>
          <w:noProof/>
        </w:rPr>
      </w:r>
      <w:r>
        <w:rPr>
          <w:noProof/>
        </w:rPr>
        <w:fldChar w:fldCharType="separate"/>
      </w:r>
      <w:r>
        <w:rPr>
          <w:noProof/>
        </w:rPr>
        <w:t>59</w:t>
      </w:r>
      <w:r>
        <w:rPr>
          <w:noProof/>
        </w:rPr>
        <w:fldChar w:fldCharType="end"/>
      </w:r>
    </w:p>
    <w:p w14:paraId="6B752456" w14:textId="5E8375A1" w:rsidR="006E00A7" w:rsidRDefault="006E00A7">
      <w:pPr>
        <w:pStyle w:val="TOC2"/>
        <w:rPr>
          <w:rFonts w:asciiTheme="minorHAnsi" w:eastAsiaTheme="minorEastAsia" w:hAnsiTheme="minorHAnsi" w:cstheme="minorBidi"/>
          <w:noProof/>
          <w:kern w:val="2"/>
          <w:sz w:val="24"/>
          <w14:ligatures w14:val="standardContextual"/>
        </w:rPr>
      </w:pPr>
      <w:r>
        <w:rPr>
          <w:noProof/>
        </w:rPr>
        <w:t>Overview of impact analysis methodology</w:t>
      </w:r>
      <w:r>
        <w:rPr>
          <w:noProof/>
        </w:rPr>
        <w:tab/>
      </w:r>
      <w:r>
        <w:rPr>
          <w:noProof/>
        </w:rPr>
        <w:fldChar w:fldCharType="begin"/>
      </w:r>
      <w:r>
        <w:rPr>
          <w:noProof/>
        </w:rPr>
        <w:instrText xml:space="preserve"> PAGEREF _Toc178292531 \h </w:instrText>
      </w:r>
      <w:r>
        <w:rPr>
          <w:noProof/>
        </w:rPr>
      </w:r>
      <w:r>
        <w:rPr>
          <w:noProof/>
        </w:rPr>
        <w:fldChar w:fldCharType="separate"/>
      </w:r>
      <w:r>
        <w:rPr>
          <w:noProof/>
        </w:rPr>
        <w:t>59</w:t>
      </w:r>
      <w:r>
        <w:rPr>
          <w:noProof/>
        </w:rPr>
        <w:fldChar w:fldCharType="end"/>
      </w:r>
    </w:p>
    <w:p w14:paraId="07FFD56E" w14:textId="6FC6A94C" w:rsidR="006E00A7" w:rsidRDefault="006E00A7">
      <w:pPr>
        <w:pStyle w:val="TOC2"/>
        <w:rPr>
          <w:rFonts w:asciiTheme="minorHAnsi" w:eastAsiaTheme="minorEastAsia" w:hAnsiTheme="minorHAnsi" w:cstheme="minorBidi"/>
          <w:noProof/>
          <w:kern w:val="2"/>
          <w:sz w:val="24"/>
          <w14:ligatures w14:val="standardContextual"/>
        </w:rPr>
      </w:pPr>
      <w:r>
        <w:rPr>
          <w:noProof/>
        </w:rPr>
        <w:t>Cost</w:t>
      </w:r>
      <w:r>
        <w:rPr>
          <w:noProof/>
        </w:rPr>
        <w:noBreakHyphen/>
        <w:t>benefit analysis</w:t>
      </w:r>
      <w:r>
        <w:rPr>
          <w:noProof/>
        </w:rPr>
        <w:tab/>
      </w:r>
      <w:r>
        <w:rPr>
          <w:noProof/>
        </w:rPr>
        <w:fldChar w:fldCharType="begin"/>
      </w:r>
      <w:r>
        <w:rPr>
          <w:noProof/>
        </w:rPr>
        <w:instrText xml:space="preserve"> PAGEREF _Toc178292532 \h </w:instrText>
      </w:r>
      <w:r>
        <w:rPr>
          <w:noProof/>
        </w:rPr>
      </w:r>
      <w:r>
        <w:rPr>
          <w:noProof/>
        </w:rPr>
        <w:fldChar w:fldCharType="separate"/>
      </w:r>
      <w:r>
        <w:rPr>
          <w:noProof/>
        </w:rPr>
        <w:t>60</w:t>
      </w:r>
      <w:r>
        <w:rPr>
          <w:noProof/>
        </w:rPr>
        <w:fldChar w:fldCharType="end"/>
      </w:r>
    </w:p>
    <w:p w14:paraId="7CAB9CDF" w14:textId="05098CA5" w:rsidR="006E00A7" w:rsidRDefault="006E00A7">
      <w:pPr>
        <w:pStyle w:val="TOC2"/>
        <w:rPr>
          <w:rFonts w:asciiTheme="minorHAnsi" w:eastAsiaTheme="minorEastAsia" w:hAnsiTheme="minorHAnsi" w:cstheme="minorBidi"/>
          <w:noProof/>
          <w:kern w:val="2"/>
          <w:sz w:val="24"/>
          <w14:ligatures w14:val="standardContextual"/>
        </w:rPr>
      </w:pPr>
      <w:r>
        <w:rPr>
          <w:noProof/>
        </w:rPr>
        <w:t>Impacts of more stringent minimum energy efficiency standards</w:t>
      </w:r>
      <w:r>
        <w:rPr>
          <w:noProof/>
        </w:rPr>
        <w:tab/>
      </w:r>
      <w:r>
        <w:rPr>
          <w:noProof/>
        </w:rPr>
        <w:fldChar w:fldCharType="begin"/>
      </w:r>
      <w:r>
        <w:rPr>
          <w:noProof/>
        </w:rPr>
        <w:instrText xml:space="preserve"> PAGEREF _Toc178292533 \h </w:instrText>
      </w:r>
      <w:r>
        <w:rPr>
          <w:noProof/>
        </w:rPr>
      </w:r>
      <w:r>
        <w:rPr>
          <w:noProof/>
        </w:rPr>
        <w:fldChar w:fldCharType="separate"/>
      </w:r>
      <w:r>
        <w:rPr>
          <w:noProof/>
        </w:rPr>
        <w:t>63</w:t>
      </w:r>
      <w:r>
        <w:rPr>
          <w:noProof/>
        </w:rPr>
        <w:fldChar w:fldCharType="end"/>
      </w:r>
    </w:p>
    <w:p w14:paraId="5EAE14E4" w14:textId="47305622" w:rsidR="006E00A7" w:rsidRDefault="006E00A7">
      <w:pPr>
        <w:pStyle w:val="TOC2"/>
        <w:rPr>
          <w:rFonts w:asciiTheme="minorHAnsi" w:eastAsiaTheme="minorEastAsia" w:hAnsiTheme="minorHAnsi" w:cstheme="minorBidi"/>
          <w:noProof/>
          <w:kern w:val="2"/>
          <w:sz w:val="24"/>
          <w14:ligatures w14:val="standardContextual"/>
        </w:rPr>
      </w:pPr>
      <w:r>
        <w:rPr>
          <w:noProof/>
        </w:rPr>
        <w:t>Impacts of mandatory rooftop solar requirements</w:t>
      </w:r>
      <w:r>
        <w:rPr>
          <w:noProof/>
        </w:rPr>
        <w:tab/>
      </w:r>
      <w:r>
        <w:rPr>
          <w:noProof/>
        </w:rPr>
        <w:fldChar w:fldCharType="begin"/>
      </w:r>
      <w:r>
        <w:rPr>
          <w:noProof/>
        </w:rPr>
        <w:instrText xml:space="preserve"> PAGEREF _Toc178292534 \h </w:instrText>
      </w:r>
      <w:r>
        <w:rPr>
          <w:noProof/>
        </w:rPr>
      </w:r>
      <w:r>
        <w:rPr>
          <w:noProof/>
        </w:rPr>
        <w:fldChar w:fldCharType="separate"/>
      </w:r>
      <w:r>
        <w:rPr>
          <w:noProof/>
        </w:rPr>
        <w:t>73</w:t>
      </w:r>
      <w:r>
        <w:rPr>
          <w:noProof/>
        </w:rPr>
        <w:fldChar w:fldCharType="end"/>
      </w:r>
    </w:p>
    <w:p w14:paraId="57644EA9" w14:textId="5BDF5F72" w:rsidR="006E00A7" w:rsidRDefault="006E00A7">
      <w:pPr>
        <w:pStyle w:val="TOC2"/>
        <w:rPr>
          <w:rFonts w:asciiTheme="minorHAnsi" w:eastAsiaTheme="minorEastAsia" w:hAnsiTheme="minorHAnsi" w:cstheme="minorBidi"/>
          <w:noProof/>
          <w:kern w:val="2"/>
          <w:sz w:val="24"/>
          <w14:ligatures w14:val="standardContextual"/>
        </w:rPr>
      </w:pPr>
      <w:r>
        <w:rPr>
          <w:noProof/>
        </w:rPr>
        <w:t>Impacts of least cost net zero carbon ready building provisions</w:t>
      </w:r>
      <w:r>
        <w:rPr>
          <w:noProof/>
        </w:rPr>
        <w:tab/>
      </w:r>
      <w:r>
        <w:rPr>
          <w:noProof/>
        </w:rPr>
        <w:fldChar w:fldCharType="begin"/>
      </w:r>
      <w:r>
        <w:rPr>
          <w:noProof/>
        </w:rPr>
        <w:instrText xml:space="preserve"> PAGEREF _Toc178292535 \h </w:instrText>
      </w:r>
      <w:r>
        <w:rPr>
          <w:noProof/>
        </w:rPr>
      </w:r>
      <w:r>
        <w:rPr>
          <w:noProof/>
        </w:rPr>
        <w:fldChar w:fldCharType="separate"/>
      </w:r>
      <w:r>
        <w:rPr>
          <w:noProof/>
        </w:rPr>
        <w:t>76</w:t>
      </w:r>
      <w:r>
        <w:rPr>
          <w:noProof/>
        </w:rPr>
        <w:fldChar w:fldCharType="end"/>
      </w:r>
    </w:p>
    <w:p w14:paraId="3E2A8F73" w14:textId="6FDE6553" w:rsidR="006E00A7" w:rsidRDefault="006E00A7">
      <w:pPr>
        <w:pStyle w:val="TOC2"/>
        <w:rPr>
          <w:rFonts w:asciiTheme="minorHAnsi" w:eastAsiaTheme="minorEastAsia" w:hAnsiTheme="minorHAnsi" w:cstheme="minorBidi"/>
          <w:noProof/>
          <w:kern w:val="2"/>
          <w:sz w:val="24"/>
          <w14:ligatures w14:val="standardContextual"/>
        </w:rPr>
      </w:pPr>
      <w:r>
        <w:rPr>
          <w:noProof/>
        </w:rPr>
        <w:t>Impacts of mandating electric vehicle charging facilities</w:t>
      </w:r>
      <w:r>
        <w:rPr>
          <w:noProof/>
        </w:rPr>
        <w:tab/>
      </w:r>
      <w:r>
        <w:rPr>
          <w:noProof/>
        </w:rPr>
        <w:fldChar w:fldCharType="begin"/>
      </w:r>
      <w:r>
        <w:rPr>
          <w:noProof/>
        </w:rPr>
        <w:instrText xml:space="preserve"> PAGEREF _Toc178292536 \h </w:instrText>
      </w:r>
      <w:r>
        <w:rPr>
          <w:noProof/>
        </w:rPr>
      </w:r>
      <w:r>
        <w:rPr>
          <w:noProof/>
        </w:rPr>
        <w:fldChar w:fldCharType="separate"/>
      </w:r>
      <w:r>
        <w:rPr>
          <w:noProof/>
        </w:rPr>
        <w:t>81</w:t>
      </w:r>
      <w:r>
        <w:rPr>
          <w:noProof/>
        </w:rPr>
        <w:fldChar w:fldCharType="end"/>
      </w:r>
    </w:p>
    <w:p w14:paraId="01CDF165" w14:textId="1D353742" w:rsidR="006E00A7" w:rsidRDefault="006E00A7">
      <w:pPr>
        <w:pStyle w:val="TOC2"/>
        <w:rPr>
          <w:rFonts w:asciiTheme="minorHAnsi" w:eastAsiaTheme="minorEastAsia" w:hAnsiTheme="minorHAnsi" w:cstheme="minorBidi"/>
          <w:noProof/>
          <w:kern w:val="2"/>
          <w:sz w:val="24"/>
          <w14:ligatures w14:val="standardContextual"/>
        </w:rPr>
      </w:pPr>
      <w:r>
        <w:rPr>
          <w:noProof/>
          <w:lang w:bidi="fa-IR"/>
        </w:rPr>
        <w:t>Other impacts</w:t>
      </w:r>
      <w:r>
        <w:rPr>
          <w:noProof/>
        </w:rPr>
        <w:tab/>
      </w:r>
      <w:r>
        <w:rPr>
          <w:noProof/>
        </w:rPr>
        <w:fldChar w:fldCharType="begin"/>
      </w:r>
      <w:r>
        <w:rPr>
          <w:noProof/>
        </w:rPr>
        <w:instrText xml:space="preserve"> PAGEREF _Toc178292537 \h </w:instrText>
      </w:r>
      <w:r>
        <w:rPr>
          <w:noProof/>
        </w:rPr>
      </w:r>
      <w:r>
        <w:rPr>
          <w:noProof/>
        </w:rPr>
        <w:fldChar w:fldCharType="separate"/>
      </w:r>
      <w:r>
        <w:rPr>
          <w:noProof/>
        </w:rPr>
        <w:t>84</w:t>
      </w:r>
      <w:r>
        <w:rPr>
          <w:noProof/>
        </w:rPr>
        <w:fldChar w:fldCharType="end"/>
      </w:r>
    </w:p>
    <w:p w14:paraId="54B24F29" w14:textId="4E7F303D" w:rsidR="006E00A7" w:rsidRDefault="006E00A7">
      <w:pPr>
        <w:pStyle w:val="TOC1"/>
        <w:rPr>
          <w:rFonts w:asciiTheme="minorHAnsi" w:eastAsiaTheme="minorEastAsia" w:hAnsiTheme="minorHAnsi" w:cstheme="minorBidi"/>
          <w:noProof/>
          <w:kern w:val="2"/>
          <w:sz w:val="24"/>
          <w14:ligatures w14:val="standardContextual"/>
        </w:rPr>
      </w:pPr>
      <w:r>
        <w:rPr>
          <w:noProof/>
        </w:rPr>
        <w:t>6</w:t>
      </w:r>
      <w:r>
        <w:rPr>
          <w:rFonts w:asciiTheme="minorHAnsi" w:eastAsiaTheme="minorEastAsia" w:hAnsiTheme="minorHAnsi" w:cstheme="minorBidi"/>
          <w:noProof/>
          <w:kern w:val="2"/>
          <w:sz w:val="24"/>
          <w14:ligatures w14:val="standardContextual"/>
        </w:rPr>
        <w:tab/>
      </w:r>
      <w:r>
        <w:rPr>
          <w:noProof/>
        </w:rPr>
        <w:t>Building-level impacts</w:t>
      </w:r>
      <w:r>
        <w:rPr>
          <w:noProof/>
        </w:rPr>
        <w:tab/>
      </w:r>
      <w:r>
        <w:rPr>
          <w:noProof/>
        </w:rPr>
        <w:fldChar w:fldCharType="begin"/>
      </w:r>
      <w:r>
        <w:rPr>
          <w:noProof/>
        </w:rPr>
        <w:instrText xml:space="preserve"> PAGEREF _Toc178292538 \h </w:instrText>
      </w:r>
      <w:r>
        <w:rPr>
          <w:noProof/>
        </w:rPr>
      </w:r>
      <w:r>
        <w:rPr>
          <w:noProof/>
        </w:rPr>
        <w:fldChar w:fldCharType="separate"/>
      </w:r>
      <w:r>
        <w:rPr>
          <w:noProof/>
        </w:rPr>
        <w:t>88</w:t>
      </w:r>
      <w:r>
        <w:rPr>
          <w:noProof/>
        </w:rPr>
        <w:fldChar w:fldCharType="end"/>
      </w:r>
    </w:p>
    <w:p w14:paraId="5793BCD3" w14:textId="67F0113D" w:rsidR="006E00A7" w:rsidRDefault="006E00A7">
      <w:pPr>
        <w:pStyle w:val="TOC2"/>
        <w:rPr>
          <w:rFonts w:asciiTheme="minorHAnsi" w:eastAsiaTheme="minorEastAsia" w:hAnsiTheme="minorHAnsi" w:cstheme="minorBidi"/>
          <w:noProof/>
          <w:kern w:val="2"/>
          <w:sz w:val="24"/>
          <w14:ligatures w14:val="standardContextual"/>
        </w:rPr>
      </w:pPr>
      <w:r>
        <w:rPr>
          <w:noProof/>
        </w:rPr>
        <w:t>Building</w:t>
      </w:r>
      <w:r>
        <w:rPr>
          <w:noProof/>
        </w:rPr>
        <w:noBreakHyphen/>
        <w:t>level energy modelling</w:t>
      </w:r>
      <w:r>
        <w:rPr>
          <w:noProof/>
        </w:rPr>
        <w:tab/>
      </w:r>
      <w:r>
        <w:rPr>
          <w:noProof/>
        </w:rPr>
        <w:fldChar w:fldCharType="begin"/>
      </w:r>
      <w:r>
        <w:rPr>
          <w:noProof/>
        </w:rPr>
        <w:instrText xml:space="preserve"> PAGEREF _Toc178292539 \h </w:instrText>
      </w:r>
      <w:r>
        <w:rPr>
          <w:noProof/>
        </w:rPr>
      </w:r>
      <w:r>
        <w:rPr>
          <w:noProof/>
        </w:rPr>
        <w:fldChar w:fldCharType="separate"/>
      </w:r>
      <w:r>
        <w:rPr>
          <w:noProof/>
        </w:rPr>
        <w:t>88</w:t>
      </w:r>
      <w:r>
        <w:rPr>
          <w:noProof/>
        </w:rPr>
        <w:fldChar w:fldCharType="end"/>
      </w:r>
    </w:p>
    <w:p w14:paraId="59BFCED5" w14:textId="3D0518EE" w:rsidR="006E00A7" w:rsidRDefault="006E00A7">
      <w:pPr>
        <w:pStyle w:val="TOC2"/>
        <w:rPr>
          <w:rFonts w:asciiTheme="minorHAnsi" w:eastAsiaTheme="minorEastAsia" w:hAnsiTheme="minorHAnsi" w:cstheme="minorBidi"/>
          <w:noProof/>
          <w:kern w:val="2"/>
          <w:sz w:val="24"/>
          <w14:ligatures w14:val="standardContextual"/>
        </w:rPr>
      </w:pPr>
      <w:r>
        <w:rPr>
          <w:noProof/>
          <w:lang w:bidi="fa-IR"/>
        </w:rPr>
        <w:t>Stringency Level 1: Cost-effective energy efficiency without mandated on-site PV</w:t>
      </w:r>
      <w:r>
        <w:rPr>
          <w:noProof/>
        </w:rPr>
        <w:tab/>
      </w:r>
      <w:r>
        <w:rPr>
          <w:noProof/>
        </w:rPr>
        <w:fldChar w:fldCharType="begin"/>
      </w:r>
      <w:r>
        <w:rPr>
          <w:noProof/>
        </w:rPr>
        <w:instrText xml:space="preserve"> PAGEREF _Toc178292540 \h </w:instrText>
      </w:r>
      <w:r>
        <w:rPr>
          <w:noProof/>
        </w:rPr>
      </w:r>
      <w:r>
        <w:rPr>
          <w:noProof/>
        </w:rPr>
        <w:fldChar w:fldCharType="separate"/>
      </w:r>
      <w:r>
        <w:rPr>
          <w:noProof/>
        </w:rPr>
        <w:t>89</w:t>
      </w:r>
      <w:r>
        <w:rPr>
          <w:noProof/>
        </w:rPr>
        <w:fldChar w:fldCharType="end"/>
      </w:r>
    </w:p>
    <w:p w14:paraId="2E6E959A" w14:textId="4AE879BE" w:rsidR="006E00A7" w:rsidRDefault="006E00A7">
      <w:pPr>
        <w:pStyle w:val="TOC2"/>
        <w:rPr>
          <w:rFonts w:asciiTheme="minorHAnsi" w:eastAsiaTheme="minorEastAsia" w:hAnsiTheme="minorHAnsi" w:cstheme="minorBidi"/>
          <w:noProof/>
          <w:kern w:val="2"/>
          <w:sz w:val="24"/>
          <w14:ligatures w14:val="standardContextual"/>
        </w:rPr>
      </w:pPr>
      <w:r>
        <w:rPr>
          <w:noProof/>
          <w:lang w:bidi="fa-IR"/>
        </w:rPr>
        <w:lastRenderedPageBreak/>
        <w:t>Stringency Level 2: Cost-effective energy efficiency standards with mandated on-site PV</w:t>
      </w:r>
      <w:r>
        <w:rPr>
          <w:noProof/>
        </w:rPr>
        <w:tab/>
      </w:r>
      <w:r>
        <w:rPr>
          <w:noProof/>
        </w:rPr>
        <w:fldChar w:fldCharType="begin"/>
      </w:r>
      <w:r>
        <w:rPr>
          <w:noProof/>
        </w:rPr>
        <w:instrText xml:space="preserve"> PAGEREF _Toc178292541 \h </w:instrText>
      </w:r>
      <w:r>
        <w:rPr>
          <w:noProof/>
        </w:rPr>
      </w:r>
      <w:r>
        <w:rPr>
          <w:noProof/>
        </w:rPr>
        <w:fldChar w:fldCharType="separate"/>
      </w:r>
      <w:r>
        <w:rPr>
          <w:noProof/>
        </w:rPr>
        <w:t>95</w:t>
      </w:r>
      <w:r>
        <w:rPr>
          <w:noProof/>
        </w:rPr>
        <w:fldChar w:fldCharType="end"/>
      </w:r>
    </w:p>
    <w:p w14:paraId="636DEEB7" w14:textId="21500676" w:rsidR="006E00A7" w:rsidRDefault="006E00A7">
      <w:pPr>
        <w:pStyle w:val="TOC2"/>
        <w:rPr>
          <w:rFonts w:asciiTheme="minorHAnsi" w:eastAsiaTheme="minorEastAsia" w:hAnsiTheme="minorHAnsi" w:cstheme="minorBidi"/>
          <w:noProof/>
          <w:kern w:val="2"/>
          <w:sz w:val="24"/>
          <w14:ligatures w14:val="standardContextual"/>
        </w:rPr>
      </w:pPr>
      <w:r>
        <w:rPr>
          <w:noProof/>
          <w:lang w:bidi="fa-IR"/>
        </w:rPr>
        <w:t>Stringency Level 3: Least cost net zero carbon ready buildings</w:t>
      </w:r>
      <w:r>
        <w:rPr>
          <w:noProof/>
        </w:rPr>
        <w:tab/>
      </w:r>
      <w:r>
        <w:rPr>
          <w:noProof/>
        </w:rPr>
        <w:fldChar w:fldCharType="begin"/>
      </w:r>
      <w:r>
        <w:rPr>
          <w:noProof/>
        </w:rPr>
        <w:instrText xml:space="preserve"> PAGEREF _Toc178292542 \h </w:instrText>
      </w:r>
      <w:r>
        <w:rPr>
          <w:noProof/>
        </w:rPr>
      </w:r>
      <w:r>
        <w:rPr>
          <w:noProof/>
        </w:rPr>
        <w:fldChar w:fldCharType="separate"/>
      </w:r>
      <w:r>
        <w:rPr>
          <w:noProof/>
        </w:rPr>
        <w:t>99</w:t>
      </w:r>
      <w:r>
        <w:rPr>
          <w:noProof/>
        </w:rPr>
        <w:fldChar w:fldCharType="end"/>
      </w:r>
    </w:p>
    <w:p w14:paraId="0B6BBE0C" w14:textId="0913313D" w:rsidR="006E00A7" w:rsidRDefault="006E00A7">
      <w:pPr>
        <w:pStyle w:val="TOC1"/>
        <w:rPr>
          <w:rFonts w:asciiTheme="minorHAnsi" w:eastAsiaTheme="minorEastAsia" w:hAnsiTheme="minorHAnsi" w:cstheme="minorBidi"/>
          <w:noProof/>
          <w:kern w:val="2"/>
          <w:sz w:val="24"/>
          <w14:ligatures w14:val="standardContextual"/>
        </w:rPr>
      </w:pPr>
      <w:r>
        <w:rPr>
          <w:noProof/>
        </w:rPr>
        <w:t>7</w:t>
      </w:r>
      <w:r>
        <w:rPr>
          <w:rFonts w:asciiTheme="minorHAnsi" w:eastAsiaTheme="minorEastAsia" w:hAnsiTheme="minorHAnsi" w:cstheme="minorBidi"/>
          <w:noProof/>
          <w:kern w:val="2"/>
          <w:sz w:val="24"/>
          <w14:ligatures w14:val="standardContextual"/>
        </w:rPr>
        <w:tab/>
      </w:r>
      <w:r>
        <w:rPr>
          <w:noProof/>
        </w:rPr>
        <w:t>Aggregate impacts</w:t>
      </w:r>
      <w:r>
        <w:rPr>
          <w:noProof/>
        </w:rPr>
        <w:tab/>
      </w:r>
      <w:r>
        <w:rPr>
          <w:noProof/>
        </w:rPr>
        <w:fldChar w:fldCharType="begin"/>
      </w:r>
      <w:r>
        <w:rPr>
          <w:noProof/>
        </w:rPr>
        <w:instrText xml:space="preserve"> PAGEREF _Toc178292543 \h </w:instrText>
      </w:r>
      <w:r>
        <w:rPr>
          <w:noProof/>
        </w:rPr>
      </w:r>
      <w:r>
        <w:rPr>
          <w:noProof/>
        </w:rPr>
        <w:fldChar w:fldCharType="separate"/>
      </w:r>
      <w:r>
        <w:rPr>
          <w:noProof/>
        </w:rPr>
        <w:t>103</w:t>
      </w:r>
      <w:r>
        <w:rPr>
          <w:noProof/>
        </w:rPr>
        <w:fldChar w:fldCharType="end"/>
      </w:r>
    </w:p>
    <w:p w14:paraId="3F66847D" w14:textId="6E32BF22" w:rsidR="006E00A7" w:rsidRDefault="006E00A7">
      <w:pPr>
        <w:pStyle w:val="TOC2"/>
        <w:rPr>
          <w:rFonts w:asciiTheme="minorHAnsi" w:eastAsiaTheme="minorEastAsia" w:hAnsiTheme="minorHAnsi" w:cstheme="minorBidi"/>
          <w:noProof/>
          <w:kern w:val="2"/>
          <w:sz w:val="24"/>
          <w14:ligatures w14:val="standardContextual"/>
        </w:rPr>
      </w:pPr>
      <w:r>
        <w:rPr>
          <w:noProof/>
        </w:rPr>
        <w:t>Summary of aggregate impacts</w:t>
      </w:r>
      <w:r>
        <w:rPr>
          <w:noProof/>
        </w:rPr>
        <w:tab/>
      </w:r>
      <w:r>
        <w:rPr>
          <w:noProof/>
        </w:rPr>
        <w:fldChar w:fldCharType="begin"/>
      </w:r>
      <w:r>
        <w:rPr>
          <w:noProof/>
        </w:rPr>
        <w:instrText xml:space="preserve"> PAGEREF _Toc178292544 \h </w:instrText>
      </w:r>
      <w:r>
        <w:rPr>
          <w:noProof/>
        </w:rPr>
      </w:r>
      <w:r>
        <w:rPr>
          <w:noProof/>
        </w:rPr>
        <w:fldChar w:fldCharType="separate"/>
      </w:r>
      <w:r>
        <w:rPr>
          <w:noProof/>
        </w:rPr>
        <w:t>103</w:t>
      </w:r>
      <w:r>
        <w:rPr>
          <w:noProof/>
        </w:rPr>
        <w:fldChar w:fldCharType="end"/>
      </w:r>
    </w:p>
    <w:p w14:paraId="5AF576BE" w14:textId="6273FC74" w:rsidR="006E00A7" w:rsidRDefault="006E00A7">
      <w:pPr>
        <w:pStyle w:val="TOC2"/>
        <w:rPr>
          <w:rFonts w:asciiTheme="minorHAnsi" w:eastAsiaTheme="minorEastAsia" w:hAnsiTheme="minorHAnsi" w:cstheme="minorBidi"/>
          <w:noProof/>
          <w:kern w:val="2"/>
          <w:sz w:val="24"/>
          <w14:ligatures w14:val="standardContextual"/>
        </w:rPr>
      </w:pPr>
      <w:r>
        <w:rPr>
          <w:noProof/>
        </w:rPr>
        <w:t>Commercial building projections</w:t>
      </w:r>
      <w:r>
        <w:rPr>
          <w:noProof/>
        </w:rPr>
        <w:tab/>
      </w:r>
      <w:r>
        <w:rPr>
          <w:noProof/>
        </w:rPr>
        <w:fldChar w:fldCharType="begin"/>
      </w:r>
      <w:r>
        <w:rPr>
          <w:noProof/>
        </w:rPr>
        <w:instrText xml:space="preserve"> PAGEREF _Toc178292545 \h </w:instrText>
      </w:r>
      <w:r>
        <w:rPr>
          <w:noProof/>
        </w:rPr>
      </w:r>
      <w:r>
        <w:rPr>
          <w:noProof/>
        </w:rPr>
        <w:fldChar w:fldCharType="separate"/>
      </w:r>
      <w:r>
        <w:rPr>
          <w:noProof/>
        </w:rPr>
        <w:t>105</w:t>
      </w:r>
      <w:r>
        <w:rPr>
          <w:noProof/>
        </w:rPr>
        <w:fldChar w:fldCharType="end"/>
      </w:r>
    </w:p>
    <w:p w14:paraId="15D92DDE" w14:textId="7A3997BC" w:rsidR="006E00A7" w:rsidRDefault="006E00A7">
      <w:pPr>
        <w:pStyle w:val="TOC2"/>
        <w:rPr>
          <w:rFonts w:asciiTheme="minorHAnsi" w:eastAsiaTheme="minorEastAsia" w:hAnsiTheme="minorHAnsi" w:cstheme="minorBidi"/>
          <w:noProof/>
          <w:kern w:val="2"/>
          <w:sz w:val="24"/>
          <w14:ligatures w14:val="standardContextual"/>
        </w:rPr>
      </w:pPr>
      <w:r>
        <w:rPr>
          <w:noProof/>
        </w:rPr>
        <w:t>Building energy impacts</w:t>
      </w:r>
      <w:r>
        <w:rPr>
          <w:noProof/>
        </w:rPr>
        <w:tab/>
      </w:r>
      <w:r>
        <w:rPr>
          <w:noProof/>
        </w:rPr>
        <w:fldChar w:fldCharType="begin"/>
      </w:r>
      <w:r>
        <w:rPr>
          <w:noProof/>
        </w:rPr>
        <w:instrText xml:space="preserve"> PAGEREF _Toc178292546 \h </w:instrText>
      </w:r>
      <w:r>
        <w:rPr>
          <w:noProof/>
        </w:rPr>
      </w:r>
      <w:r>
        <w:rPr>
          <w:noProof/>
        </w:rPr>
        <w:fldChar w:fldCharType="separate"/>
      </w:r>
      <w:r>
        <w:rPr>
          <w:noProof/>
        </w:rPr>
        <w:t>107</w:t>
      </w:r>
      <w:r>
        <w:rPr>
          <w:noProof/>
        </w:rPr>
        <w:fldChar w:fldCharType="end"/>
      </w:r>
    </w:p>
    <w:p w14:paraId="47C16521" w14:textId="692899FA" w:rsidR="006E00A7" w:rsidRDefault="006E00A7">
      <w:pPr>
        <w:pStyle w:val="TOC2"/>
        <w:rPr>
          <w:rFonts w:asciiTheme="minorHAnsi" w:eastAsiaTheme="minorEastAsia" w:hAnsiTheme="minorHAnsi" w:cstheme="minorBidi"/>
          <w:noProof/>
          <w:kern w:val="2"/>
          <w:sz w:val="24"/>
          <w14:ligatures w14:val="standardContextual"/>
        </w:rPr>
      </w:pPr>
      <w:r>
        <w:rPr>
          <w:noProof/>
          <w:lang w:bidi="fa-IR"/>
        </w:rPr>
        <w:t>Scenario analysis</w:t>
      </w:r>
      <w:r>
        <w:rPr>
          <w:noProof/>
        </w:rPr>
        <w:tab/>
      </w:r>
      <w:r>
        <w:rPr>
          <w:noProof/>
        </w:rPr>
        <w:fldChar w:fldCharType="begin"/>
      </w:r>
      <w:r>
        <w:rPr>
          <w:noProof/>
        </w:rPr>
        <w:instrText xml:space="preserve"> PAGEREF _Toc178292547 \h </w:instrText>
      </w:r>
      <w:r>
        <w:rPr>
          <w:noProof/>
        </w:rPr>
      </w:r>
      <w:r>
        <w:rPr>
          <w:noProof/>
        </w:rPr>
        <w:fldChar w:fldCharType="separate"/>
      </w:r>
      <w:r>
        <w:rPr>
          <w:noProof/>
        </w:rPr>
        <w:t>114</w:t>
      </w:r>
      <w:r>
        <w:rPr>
          <w:noProof/>
        </w:rPr>
        <w:fldChar w:fldCharType="end"/>
      </w:r>
    </w:p>
    <w:p w14:paraId="615187C4" w14:textId="1D1097DC" w:rsidR="006E00A7" w:rsidRDefault="006E00A7">
      <w:pPr>
        <w:pStyle w:val="TOC1"/>
        <w:rPr>
          <w:rFonts w:asciiTheme="minorHAnsi" w:eastAsiaTheme="minorEastAsia" w:hAnsiTheme="minorHAnsi" w:cstheme="minorBidi"/>
          <w:noProof/>
          <w:kern w:val="2"/>
          <w:sz w:val="24"/>
          <w14:ligatures w14:val="standardContextual"/>
        </w:rPr>
      </w:pPr>
      <w:r>
        <w:rPr>
          <w:noProof/>
        </w:rPr>
        <w:t>8</w:t>
      </w:r>
      <w:r>
        <w:rPr>
          <w:rFonts w:asciiTheme="minorHAnsi" w:eastAsiaTheme="minorEastAsia" w:hAnsiTheme="minorHAnsi" w:cstheme="minorBidi"/>
          <w:noProof/>
          <w:kern w:val="2"/>
          <w:sz w:val="24"/>
          <w14:ligatures w14:val="standardContextual"/>
        </w:rPr>
        <w:tab/>
      </w:r>
      <w:r>
        <w:rPr>
          <w:noProof/>
        </w:rPr>
        <w:t>Mandatory electric vehicle charging</w:t>
      </w:r>
      <w:r>
        <w:rPr>
          <w:noProof/>
        </w:rPr>
        <w:tab/>
      </w:r>
      <w:r>
        <w:rPr>
          <w:noProof/>
        </w:rPr>
        <w:fldChar w:fldCharType="begin"/>
      </w:r>
      <w:r>
        <w:rPr>
          <w:noProof/>
        </w:rPr>
        <w:instrText xml:space="preserve"> PAGEREF _Toc178292548 \h </w:instrText>
      </w:r>
      <w:r>
        <w:rPr>
          <w:noProof/>
        </w:rPr>
      </w:r>
      <w:r>
        <w:rPr>
          <w:noProof/>
        </w:rPr>
        <w:fldChar w:fldCharType="separate"/>
      </w:r>
      <w:r>
        <w:rPr>
          <w:noProof/>
        </w:rPr>
        <w:t>127</w:t>
      </w:r>
      <w:r>
        <w:rPr>
          <w:noProof/>
        </w:rPr>
        <w:fldChar w:fldCharType="end"/>
      </w:r>
    </w:p>
    <w:p w14:paraId="0FD24FCF" w14:textId="7C297953" w:rsidR="006E00A7" w:rsidRDefault="006E00A7">
      <w:pPr>
        <w:pStyle w:val="TOC2"/>
        <w:rPr>
          <w:rFonts w:asciiTheme="minorHAnsi" w:eastAsiaTheme="minorEastAsia" w:hAnsiTheme="minorHAnsi" w:cstheme="minorBidi"/>
          <w:noProof/>
          <w:kern w:val="2"/>
          <w:sz w:val="24"/>
          <w14:ligatures w14:val="standardContextual"/>
        </w:rPr>
      </w:pPr>
      <w:r>
        <w:rPr>
          <w:noProof/>
          <w:lang w:bidi="fa-IR"/>
        </w:rPr>
        <w:t>Summary</w:t>
      </w:r>
      <w:r>
        <w:rPr>
          <w:noProof/>
        </w:rPr>
        <w:tab/>
      </w:r>
      <w:r>
        <w:rPr>
          <w:noProof/>
        </w:rPr>
        <w:fldChar w:fldCharType="begin"/>
      </w:r>
      <w:r>
        <w:rPr>
          <w:noProof/>
        </w:rPr>
        <w:instrText xml:space="preserve"> PAGEREF _Toc178292549 \h </w:instrText>
      </w:r>
      <w:r>
        <w:rPr>
          <w:noProof/>
        </w:rPr>
      </w:r>
      <w:r>
        <w:rPr>
          <w:noProof/>
        </w:rPr>
        <w:fldChar w:fldCharType="separate"/>
      </w:r>
      <w:r>
        <w:rPr>
          <w:noProof/>
        </w:rPr>
        <w:t>127</w:t>
      </w:r>
      <w:r>
        <w:rPr>
          <w:noProof/>
        </w:rPr>
        <w:fldChar w:fldCharType="end"/>
      </w:r>
    </w:p>
    <w:p w14:paraId="124C775E" w14:textId="5E68FCF3" w:rsidR="006E00A7" w:rsidRDefault="006E00A7">
      <w:pPr>
        <w:pStyle w:val="TOC2"/>
        <w:rPr>
          <w:rFonts w:asciiTheme="minorHAnsi" w:eastAsiaTheme="minorEastAsia" w:hAnsiTheme="minorHAnsi" w:cstheme="minorBidi"/>
          <w:noProof/>
          <w:kern w:val="2"/>
          <w:sz w:val="24"/>
          <w14:ligatures w14:val="standardContextual"/>
        </w:rPr>
      </w:pPr>
      <w:r>
        <w:rPr>
          <w:noProof/>
          <w:lang w:bidi="fa-IR"/>
        </w:rPr>
        <w:t>Estimated costs</w:t>
      </w:r>
      <w:r>
        <w:rPr>
          <w:noProof/>
        </w:rPr>
        <w:tab/>
      </w:r>
      <w:r>
        <w:rPr>
          <w:noProof/>
        </w:rPr>
        <w:fldChar w:fldCharType="begin"/>
      </w:r>
      <w:r>
        <w:rPr>
          <w:noProof/>
        </w:rPr>
        <w:instrText xml:space="preserve"> PAGEREF _Toc178292550 \h </w:instrText>
      </w:r>
      <w:r>
        <w:rPr>
          <w:noProof/>
        </w:rPr>
      </w:r>
      <w:r>
        <w:rPr>
          <w:noProof/>
        </w:rPr>
        <w:fldChar w:fldCharType="separate"/>
      </w:r>
      <w:r>
        <w:rPr>
          <w:noProof/>
        </w:rPr>
        <w:t>127</w:t>
      </w:r>
      <w:r>
        <w:rPr>
          <w:noProof/>
        </w:rPr>
        <w:fldChar w:fldCharType="end"/>
      </w:r>
    </w:p>
    <w:p w14:paraId="1A8C0959" w14:textId="17917528" w:rsidR="006E00A7" w:rsidRDefault="006E00A7">
      <w:pPr>
        <w:pStyle w:val="TOC2"/>
        <w:rPr>
          <w:rFonts w:asciiTheme="minorHAnsi" w:eastAsiaTheme="minorEastAsia" w:hAnsiTheme="minorHAnsi" w:cstheme="minorBidi"/>
          <w:noProof/>
          <w:kern w:val="2"/>
          <w:sz w:val="24"/>
          <w14:ligatures w14:val="standardContextual"/>
        </w:rPr>
      </w:pPr>
      <w:r>
        <w:rPr>
          <w:noProof/>
          <w:lang w:bidi="fa-IR"/>
        </w:rPr>
        <w:t>Estimated benefits</w:t>
      </w:r>
      <w:r>
        <w:rPr>
          <w:noProof/>
        </w:rPr>
        <w:tab/>
      </w:r>
      <w:r>
        <w:rPr>
          <w:noProof/>
        </w:rPr>
        <w:fldChar w:fldCharType="begin"/>
      </w:r>
      <w:r>
        <w:rPr>
          <w:noProof/>
        </w:rPr>
        <w:instrText xml:space="preserve"> PAGEREF _Toc178292551 \h </w:instrText>
      </w:r>
      <w:r>
        <w:rPr>
          <w:noProof/>
        </w:rPr>
      </w:r>
      <w:r>
        <w:rPr>
          <w:noProof/>
        </w:rPr>
        <w:fldChar w:fldCharType="separate"/>
      </w:r>
      <w:r>
        <w:rPr>
          <w:noProof/>
        </w:rPr>
        <w:t>131</w:t>
      </w:r>
      <w:r>
        <w:rPr>
          <w:noProof/>
        </w:rPr>
        <w:fldChar w:fldCharType="end"/>
      </w:r>
    </w:p>
    <w:p w14:paraId="094F57A7" w14:textId="30C65DE3" w:rsidR="006E00A7" w:rsidRDefault="006E00A7">
      <w:pPr>
        <w:pStyle w:val="TOC2"/>
        <w:rPr>
          <w:rFonts w:asciiTheme="minorHAnsi" w:eastAsiaTheme="minorEastAsia" w:hAnsiTheme="minorHAnsi" w:cstheme="minorBidi"/>
          <w:noProof/>
          <w:kern w:val="2"/>
          <w:sz w:val="24"/>
          <w14:ligatures w14:val="standardContextual"/>
        </w:rPr>
      </w:pPr>
      <w:r>
        <w:rPr>
          <w:noProof/>
          <w:lang w:bidi="fa-IR"/>
        </w:rPr>
        <w:t>Sensitivity analysis</w:t>
      </w:r>
      <w:r>
        <w:rPr>
          <w:noProof/>
        </w:rPr>
        <w:tab/>
      </w:r>
      <w:r>
        <w:rPr>
          <w:noProof/>
        </w:rPr>
        <w:fldChar w:fldCharType="begin"/>
      </w:r>
      <w:r>
        <w:rPr>
          <w:noProof/>
        </w:rPr>
        <w:instrText xml:space="preserve"> PAGEREF _Toc178292552 \h </w:instrText>
      </w:r>
      <w:r>
        <w:rPr>
          <w:noProof/>
        </w:rPr>
      </w:r>
      <w:r>
        <w:rPr>
          <w:noProof/>
        </w:rPr>
        <w:fldChar w:fldCharType="separate"/>
      </w:r>
      <w:r>
        <w:rPr>
          <w:noProof/>
        </w:rPr>
        <w:t>138</w:t>
      </w:r>
      <w:r>
        <w:rPr>
          <w:noProof/>
        </w:rPr>
        <w:fldChar w:fldCharType="end"/>
      </w:r>
    </w:p>
    <w:p w14:paraId="43E25D9C" w14:textId="7E8D0E40" w:rsidR="006E00A7" w:rsidRDefault="006E00A7">
      <w:pPr>
        <w:pStyle w:val="TOC1"/>
        <w:rPr>
          <w:rFonts w:asciiTheme="minorHAnsi" w:eastAsiaTheme="minorEastAsia" w:hAnsiTheme="minorHAnsi" w:cstheme="minorBidi"/>
          <w:noProof/>
          <w:kern w:val="2"/>
          <w:sz w:val="24"/>
          <w14:ligatures w14:val="standardContextual"/>
        </w:rPr>
      </w:pPr>
      <w:r>
        <w:rPr>
          <w:noProof/>
          <w:lang w:bidi="fa-IR"/>
        </w:rPr>
        <w:t>9</w:t>
      </w:r>
      <w:r>
        <w:rPr>
          <w:rFonts w:asciiTheme="minorHAnsi" w:eastAsiaTheme="minorEastAsia" w:hAnsiTheme="minorHAnsi" w:cstheme="minorBidi"/>
          <w:noProof/>
          <w:kern w:val="2"/>
          <w:sz w:val="24"/>
          <w14:ligatures w14:val="standardContextual"/>
        </w:rPr>
        <w:tab/>
      </w:r>
      <w:r>
        <w:rPr>
          <w:noProof/>
          <w:lang w:bidi="fa-IR"/>
        </w:rPr>
        <w:t>Discussion and conclusions</w:t>
      </w:r>
      <w:r>
        <w:rPr>
          <w:noProof/>
        </w:rPr>
        <w:tab/>
      </w:r>
      <w:r>
        <w:rPr>
          <w:noProof/>
        </w:rPr>
        <w:fldChar w:fldCharType="begin"/>
      </w:r>
      <w:r>
        <w:rPr>
          <w:noProof/>
        </w:rPr>
        <w:instrText xml:space="preserve"> PAGEREF _Toc178292553 \h </w:instrText>
      </w:r>
      <w:r>
        <w:rPr>
          <w:noProof/>
        </w:rPr>
      </w:r>
      <w:r>
        <w:rPr>
          <w:noProof/>
        </w:rPr>
        <w:fldChar w:fldCharType="separate"/>
      </w:r>
      <w:r>
        <w:rPr>
          <w:noProof/>
        </w:rPr>
        <w:t>140</w:t>
      </w:r>
      <w:r>
        <w:rPr>
          <w:noProof/>
        </w:rPr>
        <w:fldChar w:fldCharType="end"/>
      </w:r>
    </w:p>
    <w:p w14:paraId="5E2E0F7F" w14:textId="4F30B77C" w:rsidR="006E00A7" w:rsidRDefault="006E00A7">
      <w:pPr>
        <w:pStyle w:val="TOC2"/>
        <w:rPr>
          <w:rFonts w:asciiTheme="minorHAnsi" w:eastAsiaTheme="minorEastAsia" w:hAnsiTheme="minorHAnsi" w:cstheme="minorBidi"/>
          <w:noProof/>
          <w:kern w:val="2"/>
          <w:sz w:val="24"/>
          <w14:ligatures w14:val="standardContextual"/>
        </w:rPr>
      </w:pPr>
      <w:r>
        <w:rPr>
          <w:noProof/>
          <w:lang w:bidi="fa-IR"/>
        </w:rPr>
        <w:t>Discussion of results by component</w:t>
      </w:r>
      <w:r>
        <w:rPr>
          <w:noProof/>
        </w:rPr>
        <w:tab/>
      </w:r>
      <w:r>
        <w:rPr>
          <w:noProof/>
        </w:rPr>
        <w:fldChar w:fldCharType="begin"/>
      </w:r>
      <w:r>
        <w:rPr>
          <w:noProof/>
        </w:rPr>
        <w:instrText xml:space="preserve"> PAGEREF _Toc178292554 \h </w:instrText>
      </w:r>
      <w:r>
        <w:rPr>
          <w:noProof/>
        </w:rPr>
      </w:r>
      <w:r>
        <w:rPr>
          <w:noProof/>
        </w:rPr>
        <w:fldChar w:fldCharType="separate"/>
      </w:r>
      <w:r>
        <w:rPr>
          <w:noProof/>
        </w:rPr>
        <w:t>140</w:t>
      </w:r>
      <w:r>
        <w:rPr>
          <w:noProof/>
        </w:rPr>
        <w:fldChar w:fldCharType="end"/>
      </w:r>
    </w:p>
    <w:p w14:paraId="28157592" w14:textId="31DA735A" w:rsidR="006E00A7" w:rsidRDefault="006E00A7">
      <w:pPr>
        <w:pStyle w:val="TOC2"/>
        <w:rPr>
          <w:rFonts w:asciiTheme="minorHAnsi" w:eastAsiaTheme="minorEastAsia" w:hAnsiTheme="minorHAnsi" w:cstheme="minorBidi"/>
          <w:noProof/>
          <w:kern w:val="2"/>
          <w:sz w:val="24"/>
          <w14:ligatures w14:val="standardContextual"/>
        </w:rPr>
      </w:pPr>
      <w:r>
        <w:rPr>
          <w:noProof/>
          <w:lang w:bidi="fa-IR"/>
        </w:rPr>
        <w:t>Conclusions</w:t>
      </w:r>
      <w:r>
        <w:rPr>
          <w:noProof/>
        </w:rPr>
        <w:tab/>
      </w:r>
      <w:r>
        <w:rPr>
          <w:noProof/>
        </w:rPr>
        <w:fldChar w:fldCharType="begin"/>
      </w:r>
      <w:r>
        <w:rPr>
          <w:noProof/>
        </w:rPr>
        <w:instrText xml:space="preserve"> PAGEREF _Toc178292555 \h </w:instrText>
      </w:r>
      <w:r>
        <w:rPr>
          <w:noProof/>
        </w:rPr>
      </w:r>
      <w:r>
        <w:rPr>
          <w:noProof/>
        </w:rPr>
        <w:fldChar w:fldCharType="separate"/>
      </w:r>
      <w:r>
        <w:rPr>
          <w:noProof/>
        </w:rPr>
        <w:t>144</w:t>
      </w:r>
      <w:r>
        <w:rPr>
          <w:noProof/>
        </w:rPr>
        <w:fldChar w:fldCharType="end"/>
      </w:r>
    </w:p>
    <w:p w14:paraId="5A4C343C" w14:textId="46E2EAA3" w:rsidR="006E00A7" w:rsidRDefault="006E00A7">
      <w:pPr>
        <w:pStyle w:val="TOC1"/>
        <w:rPr>
          <w:rFonts w:asciiTheme="minorHAnsi" w:eastAsiaTheme="minorEastAsia" w:hAnsiTheme="minorHAnsi" w:cstheme="minorBidi"/>
          <w:noProof/>
          <w:kern w:val="2"/>
          <w:sz w:val="24"/>
          <w14:ligatures w14:val="standardContextual"/>
        </w:rPr>
      </w:pPr>
      <w:r>
        <w:rPr>
          <w:noProof/>
        </w:rPr>
        <w:t>A</w:t>
      </w:r>
      <w:r>
        <w:rPr>
          <w:rFonts w:asciiTheme="minorHAnsi" w:eastAsiaTheme="minorEastAsia" w:hAnsiTheme="minorHAnsi" w:cstheme="minorBidi"/>
          <w:noProof/>
          <w:kern w:val="2"/>
          <w:sz w:val="24"/>
          <w14:ligatures w14:val="standardContextual"/>
        </w:rPr>
        <w:tab/>
      </w:r>
      <w:r>
        <w:rPr>
          <w:noProof/>
        </w:rPr>
        <w:t>Review of direct evidence on market failures and behavioural anomalies</w:t>
      </w:r>
      <w:r>
        <w:rPr>
          <w:noProof/>
        </w:rPr>
        <w:tab/>
      </w:r>
      <w:r>
        <w:rPr>
          <w:noProof/>
        </w:rPr>
        <w:fldChar w:fldCharType="begin"/>
      </w:r>
      <w:r>
        <w:rPr>
          <w:noProof/>
        </w:rPr>
        <w:instrText xml:space="preserve"> PAGEREF _Toc178292556 \h </w:instrText>
      </w:r>
      <w:r>
        <w:rPr>
          <w:noProof/>
        </w:rPr>
      </w:r>
      <w:r>
        <w:rPr>
          <w:noProof/>
        </w:rPr>
        <w:fldChar w:fldCharType="separate"/>
      </w:r>
      <w:r>
        <w:rPr>
          <w:noProof/>
        </w:rPr>
        <w:t>146</w:t>
      </w:r>
      <w:r>
        <w:rPr>
          <w:noProof/>
        </w:rPr>
        <w:fldChar w:fldCharType="end"/>
      </w:r>
    </w:p>
    <w:p w14:paraId="387CC59A" w14:textId="1816DAD5" w:rsidR="006E00A7" w:rsidRDefault="006E00A7">
      <w:pPr>
        <w:pStyle w:val="TOC1"/>
        <w:rPr>
          <w:rFonts w:asciiTheme="minorHAnsi" w:eastAsiaTheme="minorEastAsia" w:hAnsiTheme="minorHAnsi" w:cstheme="minorBidi"/>
          <w:noProof/>
          <w:kern w:val="2"/>
          <w:sz w:val="24"/>
          <w14:ligatures w14:val="standardContextual"/>
        </w:rPr>
      </w:pPr>
      <w:r>
        <w:rPr>
          <w:noProof/>
          <w:lang w:bidi="fa-IR"/>
        </w:rPr>
        <w:t>B</w:t>
      </w:r>
      <w:r>
        <w:rPr>
          <w:rFonts w:asciiTheme="minorHAnsi" w:eastAsiaTheme="minorEastAsia" w:hAnsiTheme="minorHAnsi" w:cstheme="minorBidi"/>
          <w:noProof/>
          <w:kern w:val="2"/>
          <w:sz w:val="24"/>
          <w14:ligatures w14:val="standardContextual"/>
        </w:rPr>
        <w:tab/>
      </w:r>
      <w:r>
        <w:rPr>
          <w:noProof/>
          <w:lang w:bidi="fa-IR"/>
        </w:rPr>
        <w:t>Avoided energy</w:t>
      </w:r>
      <w:r>
        <w:rPr>
          <w:noProof/>
          <w:lang w:bidi="fa-IR"/>
        </w:rPr>
        <w:noBreakHyphen/>
        <w:t>related costs</w:t>
      </w:r>
      <w:r>
        <w:rPr>
          <w:noProof/>
        </w:rPr>
        <w:tab/>
      </w:r>
      <w:r>
        <w:rPr>
          <w:noProof/>
        </w:rPr>
        <w:fldChar w:fldCharType="begin"/>
      </w:r>
      <w:r>
        <w:rPr>
          <w:noProof/>
        </w:rPr>
        <w:instrText xml:space="preserve"> PAGEREF _Toc178292557 \h </w:instrText>
      </w:r>
      <w:r>
        <w:rPr>
          <w:noProof/>
        </w:rPr>
      </w:r>
      <w:r>
        <w:rPr>
          <w:noProof/>
        </w:rPr>
        <w:fldChar w:fldCharType="separate"/>
      </w:r>
      <w:r>
        <w:rPr>
          <w:noProof/>
        </w:rPr>
        <w:t>158</w:t>
      </w:r>
      <w:r>
        <w:rPr>
          <w:noProof/>
        </w:rPr>
        <w:fldChar w:fldCharType="end"/>
      </w:r>
    </w:p>
    <w:p w14:paraId="25B57CB0" w14:textId="4A87B6A0" w:rsidR="006E00A7" w:rsidRDefault="006E00A7">
      <w:pPr>
        <w:pStyle w:val="TOC1"/>
        <w:rPr>
          <w:rFonts w:asciiTheme="minorHAnsi" w:eastAsiaTheme="minorEastAsia" w:hAnsiTheme="minorHAnsi" w:cstheme="minorBidi"/>
          <w:noProof/>
          <w:kern w:val="2"/>
          <w:sz w:val="24"/>
          <w14:ligatures w14:val="standardContextual"/>
        </w:rPr>
      </w:pPr>
      <w:r>
        <w:rPr>
          <w:noProof/>
        </w:rPr>
        <w:t>C</w:t>
      </w:r>
      <w:r>
        <w:rPr>
          <w:rFonts w:asciiTheme="minorHAnsi" w:eastAsiaTheme="minorEastAsia" w:hAnsiTheme="minorHAnsi" w:cstheme="minorBidi"/>
          <w:noProof/>
          <w:kern w:val="2"/>
          <w:sz w:val="24"/>
          <w14:ligatures w14:val="standardContextual"/>
        </w:rPr>
        <w:tab/>
      </w:r>
      <w:r>
        <w:rPr>
          <w:noProof/>
        </w:rPr>
        <w:t>Are modelled energy savings realised in practice?</w:t>
      </w:r>
      <w:r>
        <w:rPr>
          <w:noProof/>
        </w:rPr>
        <w:tab/>
      </w:r>
      <w:r>
        <w:rPr>
          <w:noProof/>
        </w:rPr>
        <w:fldChar w:fldCharType="begin"/>
      </w:r>
      <w:r>
        <w:rPr>
          <w:noProof/>
        </w:rPr>
        <w:instrText xml:space="preserve"> PAGEREF _Toc178292558 \h </w:instrText>
      </w:r>
      <w:r>
        <w:rPr>
          <w:noProof/>
        </w:rPr>
      </w:r>
      <w:r>
        <w:rPr>
          <w:noProof/>
        </w:rPr>
        <w:fldChar w:fldCharType="separate"/>
      </w:r>
      <w:r>
        <w:rPr>
          <w:noProof/>
        </w:rPr>
        <w:t>176</w:t>
      </w:r>
      <w:r>
        <w:rPr>
          <w:noProof/>
        </w:rPr>
        <w:fldChar w:fldCharType="end"/>
      </w:r>
    </w:p>
    <w:p w14:paraId="3E7D3A50" w14:textId="5B0F77BF" w:rsidR="006E00A7" w:rsidRDefault="006E00A7">
      <w:pPr>
        <w:pStyle w:val="TOC1"/>
        <w:rPr>
          <w:rFonts w:asciiTheme="minorHAnsi" w:eastAsiaTheme="minorEastAsia" w:hAnsiTheme="minorHAnsi" w:cstheme="minorBidi"/>
          <w:noProof/>
          <w:kern w:val="2"/>
          <w:sz w:val="24"/>
          <w14:ligatures w14:val="standardContextual"/>
        </w:rPr>
      </w:pPr>
      <w:r>
        <w:rPr>
          <w:noProof/>
        </w:rPr>
        <w:t>D</w:t>
      </w:r>
      <w:r>
        <w:rPr>
          <w:rFonts w:asciiTheme="minorHAnsi" w:eastAsiaTheme="minorEastAsia" w:hAnsiTheme="minorHAnsi" w:cstheme="minorBidi"/>
          <w:noProof/>
          <w:kern w:val="2"/>
          <w:sz w:val="24"/>
          <w14:ligatures w14:val="standardContextual"/>
        </w:rPr>
        <w:tab/>
      </w:r>
      <w:r>
        <w:rPr>
          <w:noProof/>
        </w:rPr>
        <w:t>Health and productivity benefits</w:t>
      </w:r>
      <w:r>
        <w:rPr>
          <w:noProof/>
        </w:rPr>
        <w:tab/>
      </w:r>
      <w:r>
        <w:rPr>
          <w:noProof/>
        </w:rPr>
        <w:fldChar w:fldCharType="begin"/>
      </w:r>
      <w:r>
        <w:rPr>
          <w:noProof/>
        </w:rPr>
        <w:instrText xml:space="preserve"> PAGEREF _Toc178292559 \h </w:instrText>
      </w:r>
      <w:r>
        <w:rPr>
          <w:noProof/>
        </w:rPr>
      </w:r>
      <w:r>
        <w:rPr>
          <w:noProof/>
        </w:rPr>
        <w:fldChar w:fldCharType="separate"/>
      </w:r>
      <w:r>
        <w:rPr>
          <w:noProof/>
        </w:rPr>
        <w:t>185</w:t>
      </w:r>
      <w:r>
        <w:rPr>
          <w:noProof/>
        </w:rPr>
        <w:fldChar w:fldCharType="end"/>
      </w:r>
    </w:p>
    <w:p w14:paraId="6532E8C0" w14:textId="459615F2" w:rsidR="006E00A7" w:rsidRDefault="006E00A7">
      <w:pPr>
        <w:pStyle w:val="TOC1"/>
        <w:rPr>
          <w:rFonts w:asciiTheme="minorHAnsi" w:eastAsiaTheme="minorEastAsia" w:hAnsiTheme="minorHAnsi" w:cstheme="minorBidi"/>
          <w:noProof/>
          <w:kern w:val="2"/>
          <w:sz w:val="24"/>
          <w14:ligatures w14:val="standardContextual"/>
        </w:rPr>
      </w:pPr>
      <w:r>
        <w:rPr>
          <w:noProof/>
          <w:lang w:bidi="fa-IR"/>
        </w:rPr>
        <w:t>E</w:t>
      </w:r>
      <w:r>
        <w:rPr>
          <w:rFonts w:asciiTheme="minorHAnsi" w:eastAsiaTheme="minorEastAsia" w:hAnsiTheme="minorHAnsi" w:cstheme="minorBidi"/>
          <w:noProof/>
          <w:kern w:val="2"/>
          <w:sz w:val="24"/>
          <w14:ligatures w14:val="standardContextual"/>
        </w:rPr>
        <w:tab/>
      </w:r>
      <w:r w:rsidRPr="006C61B8">
        <w:rPr>
          <w:rFonts w:eastAsia="SimSun"/>
          <w:noProof/>
          <w:lang w:bidi="fa-IR"/>
        </w:rPr>
        <w:t>Impact of EV charging facilities</w:t>
      </w:r>
      <w:r>
        <w:rPr>
          <w:noProof/>
        </w:rPr>
        <w:tab/>
      </w:r>
      <w:r>
        <w:rPr>
          <w:noProof/>
        </w:rPr>
        <w:fldChar w:fldCharType="begin"/>
      </w:r>
      <w:r>
        <w:rPr>
          <w:noProof/>
        </w:rPr>
        <w:instrText xml:space="preserve"> PAGEREF _Toc178292560 \h </w:instrText>
      </w:r>
      <w:r>
        <w:rPr>
          <w:noProof/>
        </w:rPr>
      </w:r>
      <w:r>
        <w:rPr>
          <w:noProof/>
        </w:rPr>
        <w:fldChar w:fldCharType="separate"/>
      </w:r>
      <w:r>
        <w:rPr>
          <w:noProof/>
        </w:rPr>
        <w:t>191</w:t>
      </w:r>
      <w:r>
        <w:rPr>
          <w:noProof/>
        </w:rPr>
        <w:fldChar w:fldCharType="end"/>
      </w:r>
    </w:p>
    <w:p w14:paraId="6D17F7D9" w14:textId="69CEBE02" w:rsidR="006E00A7" w:rsidRDefault="006E00A7">
      <w:pPr>
        <w:pStyle w:val="TOC1"/>
        <w:rPr>
          <w:rFonts w:asciiTheme="minorHAnsi" w:eastAsiaTheme="minorEastAsia" w:hAnsiTheme="minorHAnsi" w:cstheme="minorBidi"/>
          <w:noProof/>
          <w:kern w:val="2"/>
          <w:sz w:val="24"/>
          <w14:ligatures w14:val="standardContextual"/>
        </w:rPr>
      </w:pPr>
      <w:r>
        <w:rPr>
          <w:noProof/>
        </w:rPr>
        <w:t>F</w:t>
      </w:r>
      <w:r>
        <w:rPr>
          <w:rFonts w:asciiTheme="minorHAnsi" w:eastAsiaTheme="minorEastAsia" w:hAnsiTheme="minorHAnsi" w:cstheme="minorBidi"/>
          <w:noProof/>
          <w:kern w:val="2"/>
          <w:sz w:val="24"/>
          <w14:ligatures w14:val="standardContextual"/>
        </w:rPr>
        <w:tab/>
      </w:r>
      <w:r>
        <w:rPr>
          <w:noProof/>
        </w:rPr>
        <w:t>Modelled building archetypes and climate zones</w:t>
      </w:r>
      <w:r>
        <w:rPr>
          <w:noProof/>
        </w:rPr>
        <w:tab/>
      </w:r>
      <w:r>
        <w:rPr>
          <w:noProof/>
        </w:rPr>
        <w:fldChar w:fldCharType="begin"/>
      </w:r>
      <w:r>
        <w:rPr>
          <w:noProof/>
        </w:rPr>
        <w:instrText xml:space="preserve"> PAGEREF _Toc178292561 \h </w:instrText>
      </w:r>
      <w:r>
        <w:rPr>
          <w:noProof/>
        </w:rPr>
      </w:r>
      <w:r>
        <w:rPr>
          <w:noProof/>
        </w:rPr>
        <w:fldChar w:fldCharType="separate"/>
      </w:r>
      <w:r>
        <w:rPr>
          <w:noProof/>
        </w:rPr>
        <w:t>197</w:t>
      </w:r>
      <w:r>
        <w:rPr>
          <w:noProof/>
        </w:rPr>
        <w:fldChar w:fldCharType="end"/>
      </w:r>
    </w:p>
    <w:p w14:paraId="4B8C2177" w14:textId="59B37BBB" w:rsidR="006E00A7" w:rsidRDefault="006E00A7">
      <w:pPr>
        <w:pStyle w:val="TOC1"/>
        <w:rPr>
          <w:rFonts w:asciiTheme="minorHAnsi" w:eastAsiaTheme="minorEastAsia" w:hAnsiTheme="minorHAnsi" w:cstheme="minorBidi"/>
          <w:noProof/>
          <w:kern w:val="2"/>
          <w:sz w:val="24"/>
          <w14:ligatures w14:val="standardContextual"/>
        </w:rPr>
      </w:pPr>
      <w:r>
        <w:rPr>
          <w:noProof/>
        </w:rPr>
        <w:t>G</w:t>
      </w:r>
      <w:r>
        <w:rPr>
          <w:rFonts w:asciiTheme="minorHAnsi" w:eastAsiaTheme="minorEastAsia" w:hAnsiTheme="minorHAnsi" w:cstheme="minorBidi"/>
          <w:noProof/>
          <w:kern w:val="2"/>
          <w:sz w:val="24"/>
          <w14:ligatures w14:val="standardContextual"/>
        </w:rPr>
        <w:tab/>
      </w:r>
      <w:r>
        <w:rPr>
          <w:noProof/>
        </w:rPr>
        <w:t>Modelled electricity savings by time of day</w:t>
      </w:r>
      <w:r>
        <w:rPr>
          <w:noProof/>
        </w:rPr>
        <w:tab/>
      </w:r>
      <w:r>
        <w:rPr>
          <w:noProof/>
        </w:rPr>
        <w:fldChar w:fldCharType="begin"/>
      </w:r>
      <w:r>
        <w:rPr>
          <w:noProof/>
        </w:rPr>
        <w:instrText xml:space="preserve"> PAGEREF _Toc178292562 \h </w:instrText>
      </w:r>
      <w:r>
        <w:rPr>
          <w:noProof/>
        </w:rPr>
      </w:r>
      <w:r>
        <w:rPr>
          <w:noProof/>
        </w:rPr>
        <w:fldChar w:fldCharType="separate"/>
      </w:r>
      <w:r>
        <w:rPr>
          <w:noProof/>
        </w:rPr>
        <w:t>203</w:t>
      </w:r>
      <w:r>
        <w:rPr>
          <w:noProof/>
        </w:rPr>
        <w:fldChar w:fldCharType="end"/>
      </w:r>
    </w:p>
    <w:p w14:paraId="59EC9FC8" w14:textId="043C9B4C" w:rsidR="006E00A7" w:rsidRDefault="006E00A7">
      <w:pPr>
        <w:pStyle w:val="TOC1"/>
        <w:rPr>
          <w:rFonts w:asciiTheme="minorHAnsi" w:eastAsiaTheme="minorEastAsia" w:hAnsiTheme="minorHAnsi" w:cstheme="minorBidi"/>
          <w:noProof/>
          <w:kern w:val="2"/>
          <w:sz w:val="24"/>
          <w14:ligatures w14:val="standardContextual"/>
        </w:rPr>
      </w:pPr>
      <w:r>
        <w:rPr>
          <w:noProof/>
        </w:rPr>
        <w:t>H</w:t>
      </w:r>
      <w:r>
        <w:rPr>
          <w:rFonts w:asciiTheme="minorHAnsi" w:eastAsiaTheme="minorEastAsia" w:hAnsiTheme="minorHAnsi" w:cstheme="minorBidi"/>
          <w:noProof/>
          <w:kern w:val="2"/>
          <w:sz w:val="24"/>
          <w14:ligatures w14:val="standardContextual"/>
        </w:rPr>
        <w:tab/>
      </w:r>
      <w:r>
        <w:rPr>
          <w:noProof/>
        </w:rPr>
        <w:t>Building-level costs and benefits</w:t>
      </w:r>
      <w:r>
        <w:rPr>
          <w:noProof/>
        </w:rPr>
        <w:tab/>
      </w:r>
      <w:r>
        <w:rPr>
          <w:noProof/>
        </w:rPr>
        <w:fldChar w:fldCharType="begin"/>
      </w:r>
      <w:r>
        <w:rPr>
          <w:noProof/>
        </w:rPr>
        <w:instrText xml:space="preserve"> PAGEREF _Toc178292563 \h </w:instrText>
      </w:r>
      <w:r>
        <w:rPr>
          <w:noProof/>
        </w:rPr>
      </w:r>
      <w:r>
        <w:rPr>
          <w:noProof/>
        </w:rPr>
        <w:fldChar w:fldCharType="separate"/>
      </w:r>
      <w:r>
        <w:rPr>
          <w:noProof/>
        </w:rPr>
        <w:t>210</w:t>
      </w:r>
      <w:r>
        <w:rPr>
          <w:noProof/>
        </w:rPr>
        <w:fldChar w:fldCharType="end"/>
      </w:r>
    </w:p>
    <w:p w14:paraId="65BA956B" w14:textId="72EBEFDB" w:rsidR="006E00A7" w:rsidRDefault="006E00A7">
      <w:pPr>
        <w:pStyle w:val="TOC1"/>
        <w:rPr>
          <w:rFonts w:asciiTheme="minorHAnsi" w:eastAsiaTheme="minorEastAsia" w:hAnsiTheme="minorHAnsi" w:cstheme="minorBidi"/>
          <w:noProof/>
          <w:kern w:val="2"/>
          <w:sz w:val="24"/>
          <w14:ligatures w14:val="standardContextual"/>
        </w:rPr>
      </w:pPr>
      <w:r>
        <w:rPr>
          <w:noProof/>
        </w:rPr>
        <w:t>I</w:t>
      </w:r>
      <w:r>
        <w:rPr>
          <w:rFonts w:asciiTheme="minorHAnsi" w:eastAsiaTheme="minorEastAsia" w:hAnsiTheme="minorHAnsi" w:cstheme="minorBidi"/>
          <w:noProof/>
          <w:kern w:val="2"/>
          <w:sz w:val="24"/>
          <w14:ligatures w14:val="standardContextual"/>
        </w:rPr>
        <w:tab/>
      </w:r>
      <w:r>
        <w:rPr>
          <w:noProof/>
        </w:rPr>
        <w:t>Electricity grid impacts</w:t>
      </w:r>
      <w:r>
        <w:rPr>
          <w:noProof/>
        </w:rPr>
        <w:tab/>
      </w:r>
      <w:r>
        <w:rPr>
          <w:noProof/>
        </w:rPr>
        <w:fldChar w:fldCharType="begin"/>
      </w:r>
      <w:r>
        <w:rPr>
          <w:noProof/>
        </w:rPr>
        <w:instrText xml:space="preserve"> PAGEREF _Toc178292564 \h </w:instrText>
      </w:r>
      <w:r>
        <w:rPr>
          <w:noProof/>
        </w:rPr>
      </w:r>
      <w:r>
        <w:rPr>
          <w:noProof/>
        </w:rPr>
        <w:fldChar w:fldCharType="separate"/>
      </w:r>
      <w:r>
        <w:rPr>
          <w:noProof/>
        </w:rPr>
        <w:t>222</w:t>
      </w:r>
      <w:r>
        <w:rPr>
          <w:noProof/>
        </w:rPr>
        <w:fldChar w:fldCharType="end"/>
      </w:r>
    </w:p>
    <w:p w14:paraId="58F3B58E" w14:textId="42031AF0" w:rsidR="00650F3E" w:rsidRPr="002B76B3" w:rsidRDefault="00650F3E" w:rsidP="004E7620">
      <w:pPr>
        <w:pStyle w:val="BodyText"/>
        <w:spacing w:before="480"/>
        <w:rPr>
          <w:rFonts w:ascii="Franklin Gothic Demi" w:hAnsi="Franklin Gothic Demi"/>
          <w:caps/>
          <w:spacing w:val="10"/>
          <w:sz w:val="22"/>
        </w:rPr>
      </w:pPr>
      <w:r w:rsidRPr="00876B40">
        <w:fldChar w:fldCharType="end"/>
      </w:r>
      <w:r w:rsidRPr="002B76B3">
        <w:rPr>
          <w:rFonts w:ascii="Franklin Gothic Demi" w:hAnsi="Franklin Gothic Demi"/>
          <w:caps/>
          <w:spacing w:val="10"/>
          <w:sz w:val="22"/>
        </w:rPr>
        <w:t>Boxes, charts and tables</w:t>
      </w:r>
    </w:p>
    <w:p w14:paraId="56E5EA9F" w14:textId="4483F4D3" w:rsidR="006E00A7" w:rsidRDefault="00C27E60">
      <w:pPr>
        <w:pStyle w:val="TableofFigures"/>
        <w:rPr>
          <w:rFonts w:eastAsiaTheme="minorEastAsia" w:cstheme="minorBidi"/>
          <w:noProof/>
          <w:kern w:val="2"/>
          <w:sz w:val="24"/>
          <w:szCs w:val="24"/>
          <w14:ligatures w14:val="standardContextual"/>
        </w:rPr>
      </w:pPr>
      <w:r>
        <w:fldChar w:fldCharType="begin"/>
      </w:r>
      <w:r>
        <w:instrText xml:space="preserve"> TOC \t "Caption" \c </w:instrText>
      </w:r>
      <w:r>
        <w:fldChar w:fldCharType="separate"/>
      </w:r>
      <w:r w:rsidR="006E00A7">
        <w:rPr>
          <w:noProof/>
        </w:rPr>
        <w:t>1</w:t>
      </w:r>
      <w:r w:rsidR="006E00A7">
        <w:rPr>
          <w:rFonts w:eastAsiaTheme="minorEastAsia" w:cstheme="minorBidi"/>
          <w:noProof/>
          <w:kern w:val="2"/>
          <w:sz w:val="24"/>
          <w:szCs w:val="24"/>
          <w14:ligatures w14:val="standardContextual"/>
        </w:rPr>
        <w:tab/>
      </w:r>
      <w:r w:rsidR="006E00A7">
        <w:rPr>
          <w:noProof/>
        </w:rPr>
        <w:t>Estimated impacts of proposed options</w:t>
      </w:r>
      <w:r w:rsidR="006E00A7">
        <w:rPr>
          <w:noProof/>
        </w:rPr>
        <w:tab/>
      </w:r>
      <w:r w:rsidR="006E00A7">
        <w:rPr>
          <w:noProof/>
        </w:rPr>
        <w:fldChar w:fldCharType="begin"/>
      </w:r>
      <w:r w:rsidR="006E00A7">
        <w:rPr>
          <w:noProof/>
        </w:rPr>
        <w:instrText xml:space="preserve"> PAGEREF _Toc178292565 \h </w:instrText>
      </w:r>
      <w:r w:rsidR="006E00A7">
        <w:rPr>
          <w:noProof/>
        </w:rPr>
      </w:r>
      <w:r w:rsidR="006E00A7">
        <w:rPr>
          <w:noProof/>
        </w:rPr>
        <w:fldChar w:fldCharType="separate"/>
      </w:r>
      <w:r w:rsidR="006E00A7">
        <w:rPr>
          <w:noProof/>
        </w:rPr>
        <w:t>8</w:t>
      </w:r>
      <w:r w:rsidR="006E00A7">
        <w:rPr>
          <w:noProof/>
        </w:rPr>
        <w:fldChar w:fldCharType="end"/>
      </w:r>
    </w:p>
    <w:p w14:paraId="4D66C63B" w14:textId="3284F66F" w:rsidR="006E00A7" w:rsidRDefault="006E00A7">
      <w:pPr>
        <w:pStyle w:val="TableofFigures"/>
        <w:rPr>
          <w:rFonts w:eastAsiaTheme="minorEastAsia" w:cstheme="minorBidi"/>
          <w:noProof/>
          <w:kern w:val="2"/>
          <w:sz w:val="24"/>
          <w:szCs w:val="24"/>
          <w14:ligatures w14:val="standardContextual"/>
        </w:rPr>
      </w:pPr>
      <w:r>
        <w:rPr>
          <w:noProof/>
        </w:rPr>
        <w:t>2</w:t>
      </w:r>
      <w:r>
        <w:rPr>
          <w:rFonts w:eastAsiaTheme="minorEastAsia" w:cstheme="minorBidi"/>
          <w:noProof/>
          <w:kern w:val="2"/>
          <w:sz w:val="24"/>
          <w:szCs w:val="24"/>
          <w14:ligatures w14:val="standardContextual"/>
        </w:rPr>
        <w:tab/>
      </w:r>
      <w:r>
        <w:rPr>
          <w:noProof/>
        </w:rPr>
        <w:t>Cumulative reduction in GHG emissions</w:t>
      </w:r>
      <w:r>
        <w:rPr>
          <w:noProof/>
        </w:rPr>
        <w:tab/>
      </w:r>
      <w:r>
        <w:rPr>
          <w:noProof/>
        </w:rPr>
        <w:fldChar w:fldCharType="begin"/>
      </w:r>
      <w:r>
        <w:rPr>
          <w:noProof/>
        </w:rPr>
        <w:instrText xml:space="preserve"> PAGEREF _Toc178292566 \h </w:instrText>
      </w:r>
      <w:r>
        <w:rPr>
          <w:noProof/>
        </w:rPr>
      </w:r>
      <w:r>
        <w:rPr>
          <w:noProof/>
        </w:rPr>
        <w:fldChar w:fldCharType="separate"/>
      </w:r>
      <w:r>
        <w:rPr>
          <w:noProof/>
        </w:rPr>
        <w:t>9</w:t>
      </w:r>
      <w:r>
        <w:rPr>
          <w:noProof/>
        </w:rPr>
        <w:fldChar w:fldCharType="end"/>
      </w:r>
    </w:p>
    <w:p w14:paraId="7ACF918F" w14:textId="26560BED" w:rsidR="006E00A7" w:rsidRDefault="006E00A7">
      <w:pPr>
        <w:pStyle w:val="TableofFigures"/>
        <w:rPr>
          <w:rFonts w:eastAsiaTheme="minorEastAsia" w:cstheme="minorBidi"/>
          <w:noProof/>
          <w:kern w:val="2"/>
          <w:sz w:val="24"/>
          <w:szCs w:val="24"/>
          <w14:ligatures w14:val="standardContextual"/>
        </w:rPr>
      </w:pPr>
      <w:r>
        <w:rPr>
          <w:noProof/>
        </w:rPr>
        <w:t>2</w:t>
      </w:r>
      <w:r>
        <w:rPr>
          <w:rFonts w:eastAsiaTheme="minorEastAsia" w:cstheme="minorBidi"/>
          <w:noProof/>
          <w:kern w:val="2"/>
          <w:sz w:val="24"/>
          <w:szCs w:val="24"/>
          <w14:ligatures w14:val="standardContextual"/>
        </w:rPr>
        <w:tab/>
      </w:r>
      <w:r>
        <w:rPr>
          <w:noProof/>
        </w:rPr>
        <w:t>Mandatory electric vehicle charging — estimated impacts</w:t>
      </w:r>
      <w:r>
        <w:rPr>
          <w:noProof/>
        </w:rPr>
        <w:tab/>
      </w:r>
      <w:r>
        <w:rPr>
          <w:noProof/>
        </w:rPr>
        <w:fldChar w:fldCharType="begin"/>
      </w:r>
      <w:r>
        <w:rPr>
          <w:noProof/>
        </w:rPr>
        <w:instrText xml:space="preserve"> PAGEREF _Toc178292567 \h </w:instrText>
      </w:r>
      <w:r>
        <w:rPr>
          <w:noProof/>
        </w:rPr>
      </w:r>
      <w:r>
        <w:rPr>
          <w:noProof/>
        </w:rPr>
        <w:fldChar w:fldCharType="separate"/>
      </w:r>
      <w:r>
        <w:rPr>
          <w:noProof/>
        </w:rPr>
        <w:t>11</w:t>
      </w:r>
      <w:r>
        <w:rPr>
          <w:noProof/>
        </w:rPr>
        <w:fldChar w:fldCharType="end"/>
      </w:r>
    </w:p>
    <w:p w14:paraId="081009C6" w14:textId="5F865AA4" w:rsidR="006E00A7" w:rsidRDefault="006E00A7">
      <w:pPr>
        <w:pStyle w:val="TableofFigures"/>
        <w:rPr>
          <w:rFonts w:eastAsiaTheme="minorEastAsia" w:cstheme="minorBidi"/>
          <w:noProof/>
          <w:kern w:val="2"/>
          <w:sz w:val="24"/>
          <w:szCs w:val="24"/>
          <w14:ligatures w14:val="standardContextual"/>
        </w:rPr>
      </w:pPr>
      <w:r>
        <w:rPr>
          <w:noProof/>
        </w:rPr>
        <w:t>1.1</w:t>
      </w:r>
      <w:r>
        <w:rPr>
          <w:rFonts w:eastAsiaTheme="minorEastAsia" w:cstheme="minorBidi"/>
          <w:noProof/>
          <w:kern w:val="2"/>
          <w:sz w:val="24"/>
          <w:szCs w:val="24"/>
          <w14:ligatures w14:val="standardContextual"/>
        </w:rPr>
        <w:tab/>
      </w:r>
      <w:r>
        <w:rPr>
          <w:noProof/>
        </w:rPr>
        <w:t>Commercial buildings</w:t>
      </w:r>
      <w:r>
        <w:rPr>
          <w:noProof/>
        </w:rPr>
        <w:tab/>
      </w:r>
      <w:r>
        <w:rPr>
          <w:noProof/>
        </w:rPr>
        <w:fldChar w:fldCharType="begin"/>
      </w:r>
      <w:r>
        <w:rPr>
          <w:noProof/>
        </w:rPr>
        <w:instrText xml:space="preserve"> PAGEREF _Toc178292568 \h </w:instrText>
      </w:r>
      <w:r>
        <w:rPr>
          <w:noProof/>
        </w:rPr>
      </w:r>
      <w:r>
        <w:rPr>
          <w:noProof/>
        </w:rPr>
        <w:fldChar w:fldCharType="separate"/>
      </w:r>
      <w:r>
        <w:rPr>
          <w:noProof/>
        </w:rPr>
        <w:t>14</w:t>
      </w:r>
      <w:r>
        <w:rPr>
          <w:noProof/>
        </w:rPr>
        <w:fldChar w:fldCharType="end"/>
      </w:r>
    </w:p>
    <w:p w14:paraId="6A5396EB" w14:textId="3CDDDE73" w:rsidR="006E00A7" w:rsidRDefault="006E00A7">
      <w:pPr>
        <w:pStyle w:val="TableofFigures"/>
        <w:rPr>
          <w:rFonts w:eastAsiaTheme="minorEastAsia" w:cstheme="minorBidi"/>
          <w:noProof/>
          <w:kern w:val="2"/>
          <w:sz w:val="24"/>
          <w:szCs w:val="24"/>
          <w14:ligatures w14:val="standardContextual"/>
        </w:rPr>
      </w:pPr>
      <w:r>
        <w:rPr>
          <w:noProof/>
        </w:rPr>
        <w:t>2.1</w:t>
      </w:r>
      <w:r>
        <w:rPr>
          <w:rFonts w:eastAsiaTheme="minorEastAsia" w:cstheme="minorBidi"/>
          <w:noProof/>
          <w:kern w:val="2"/>
          <w:sz w:val="24"/>
          <w:szCs w:val="24"/>
          <w14:ligatures w14:val="standardContextual"/>
        </w:rPr>
        <w:tab/>
      </w:r>
      <w:r>
        <w:rPr>
          <w:noProof/>
        </w:rPr>
        <w:t>Illustration of estimating the cost with external shading</w:t>
      </w:r>
      <w:r>
        <w:rPr>
          <w:noProof/>
        </w:rPr>
        <w:tab/>
      </w:r>
      <w:r>
        <w:rPr>
          <w:noProof/>
        </w:rPr>
        <w:fldChar w:fldCharType="begin"/>
      </w:r>
      <w:r>
        <w:rPr>
          <w:noProof/>
        </w:rPr>
        <w:instrText xml:space="preserve"> PAGEREF _Toc178292569 \h </w:instrText>
      </w:r>
      <w:r>
        <w:rPr>
          <w:noProof/>
        </w:rPr>
      </w:r>
      <w:r>
        <w:rPr>
          <w:noProof/>
        </w:rPr>
        <w:fldChar w:fldCharType="separate"/>
      </w:r>
      <w:r>
        <w:rPr>
          <w:noProof/>
        </w:rPr>
        <w:t>22</w:t>
      </w:r>
      <w:r>
        <w:rPr>
          <w:noProof/>
        </w:rPr>
        <w:fldChar w:fldCharType="end"/>
      </w:r>
    </w:p>
    <w:p w14:paraId="23D192BC" w14:textId="65EEAAB0" w:rsidR="006E00A7" w:rsidRDefault="006E00A7">
      <w:pPr>
        <w:pStyle w:val="TableofFigures"/>
        <w:rPr>
          <w:rFonts w:eastAsiaTheme="minorEastAsia" w:cstheme="minorBidi"/>
          <w:noProof/>
          <w:kern w:val="2"/>
          <w:sz w:val="24"/>
          <w:szCs w:val="24"/>
          <w14:ligatures w14:val="standardContextual"/>
        </w:rPr>
      </w:pPr>
      <w:r>
        <w:rPr>
          <w:noProof/>
        </w:rPr>
        <w:t>2.2</w:t>
      </w:r>
      <w:r>
        <w:rPr>
          <w:rFonts w:eastAsiaTheme="minorEastAsia" w:cstheme="minorBidi"/>
          <w:noProof/>
          <w:kern w:val="2"/>
          <w:sz w:val="24"/>
          <w:szCs w:val="24"/>
          <w14:ligatures w14:val="standardContextual"/>
        </w:rPr>
        <w:tab/>
      </w:r>
      <w:r>
        <w:rPr>
          <w:noProof/>
        </w:rPr>
        <w:t>Comparison of carbon value</w:t>
      </w:r>
      <w:r>
        <w:rPr>
          <w:noProof/>
        </w:rPr>
        <w:tab/>
      </w:r>
      <w:r>
        <w:rPr>
          <w:noProof/>
        </w:rPr>
        <w:fldChar w:fldCharType="begin"/>
      </w:r>
      <w:r>
        <w:rPr>
          <w:noProof/>
        </w:rPr>
        <w:instrText xml:space="preserve"> PAGEREF _Toc178292570 \h </w:instrText>
      </w:r>
      <w:r>
        <w:rPr>
          <w:noProof/>
        </w:rPr>
      </w:r>
      <w:r>
        <w:rPr>
          <w:noProof/>
        </w:rPr>
        <w:fldChar w:fldCharType="separate"/>
      </w:r>
      <w:r>
        <w:rPr>
          <w:noProof/>
        </w:rPr>
        <w:t>25</w:t>
      </w:r>
      <w:r>
        <w:rPr>
          <w:noProof/>
        </w:rPr>
        <w:fldChar w:fldCharType="end"/>
      </w:r>
    </w:p>
    <w:p w14:paraId="39F6F636" w14:textId="3D9765E9" w:rsidR="006E00A7" w:rsidRDefault="006E00A7">
      <w:pPr>
        <w:pStyle w:val="TableofFigures"/>
        <w:rPr>
          <w:rFonts w:eastAsiaTheme="minorEastAsia" w:cstheme="minorBidi"/>
          <w:noProof/>
          <w:kern w:val="2"/>
          <w:sz w:val="24"/>
          <w:szCs w:val="24"/>
          <w14:ligatures w14:val="standardContextual"/>
        </w:rPr>
      </w:pPr>
      <w:r>
        <w:rPr>
          <w:noProof/>
        </w:rPr>
        <w:t>3.1</w:t>
      </w:r>
      <w:r>
        <w:rPr>
          <w:rFonts w:eastAsiaTheme="minorEastAsia" w:cstheme="minorBidi"/>
          <w:noProof/>
          <w:kern w:val="2"/>
          <w:sz w:val="24"/>
          <w:szCs w:val="24"/>
          <w14:ligatures w14:val="standardContextual"/>
        </w:rPr>
        <w:tab/>
      </w:r>
      <w:r>
        <w:rPr>
          <w:noProof/>
        </w:rPr>
        <w:t>Global context</w:t>
      </w:r>
      <w:r>
        <w:rPr>
          <w:noProof/>
        </w:rPr>
        <w:tab/>
      </w:r>
      <w:r>
        <w:rPr>
          <w:noProof/>
        </w:rPr>
        <w:fldChar w:fldCharType="begin"/>
      </w:r>
      <w:r>
        <w:rPr>
          <w:noProof/>
        </w:rPr>
        <w:instrText xml:space="preserve"> PAGEREF _Toc178292571 \h </w:instrText>
      </w:r>
      <w:r>
        <w:rPr>
          <w:noProof/>
        </w:rPr>
      </w:r>
      <w:r>
        <w:rPr>
          <w:noProof/>
        </w:rPr>
        <w:fldChar w:fldCharType="separate"/>
      </w:r>
      <w:r>
        <w:rPr>
          <w:noProof/>
        </w:rPr>
        <w:t>28</w:t>
      </w:r>
      <w:r>
        <w:rPr>
          <w:noProof/>
        </w:rPr>
        <w:fldChar w:fldCharType="end"/>
      </w:r>
    </w:p>
    <w:p w14:paraId="52504D22" w14:textId="2949E429" w:rsidR="006E00A7" w:rsidRDefault="006E00A7">
      <w:pPr>
        <w:pStyle w:val="TableofFigures"/>
        <w:rPr>
          <w:rFonts w:eastAsiaTheme="minorEastAsia" w:cstheme="minorBidi"/>
          <w:noProof/>
          <w:kern w:val="2"/>
          <w:sz w:val="24"/>
          <w:szCs w:val="24"/>
          <w14:ligatures w14:val="standardContextual"/>
        </w:rPr>
      </w:pPr>
      <w:r>
        <w:rPr>
          <w:noProof/>
        </w:rPr>
        <w:t>3.2</w:t>
      </w:r>
      <w:r>
        <w:rPr>
          <w:rFonts w:eastAsiaTheme="minorEastAsia" w:cstheme="minorBidi"/>
          <w:noProof/>
          <w:kern w:val="2"/>
          <w:sz w:val="24"/>
          <w:szCs w:val="24"/>
          <w14:ligatures w14:val="standardContextual"/>
        </w:rPr>
        <w:tab/>
      </w:r>
      <w:r>
        <w:rPr>
          <w:noProof/>
        </w:rPr>
        <w:t>Summary of direct evidence of market failures and behavioural anomalies</w:t>
      </w:r>
      <w:r>
        <w:rPr>
          <w:noProof/>
        </w:rPr>
        <w:tab/>
      </w:r>
      <w:r>
        <w:rPr>
          <w:noProof/>
        </w:rPr>
        <w:fldChar w:fldCharType="begin"/>
      </w:r>
      <w:r>
        <w:rPr>
          <w:noProof/>
        </w:rPr>
        <w:instrText xml:space="preserve"> PAGEREF _Toc178292572 \h </w:instrText>
      </w:r>
      <w:r>
        <w:rPr>
          <w:noProof/>
        </w:rPr>
      </w:r>
      <w:r>
        <w:rPr>
          <w:noProof/>
        </w:rPr>
        <w:fldChar w:fldCharType="separate"/>
      </w:r>
      <w:r>
        <w:rPr>
          <w:noProof/>
        </w:rPr>
        <w:t>31</w:t>
      </w:r>
      <w:r>
        <w:rPr>
          <w:noProof/>
        </w:rPr>
        <w:fldChar w:fldCharType="end"/>
      </w:r>
    </w:p>
    <w:p w14:paraId="6DABF12F" w14:textId="0BD07990" w:rsidR="006E00A7" w:rsidRDefault="006E00A7">
      <w:pPr>
        <w:pStyle w:val="TableofFigures"/>
        <w:rPr>
          <w:rFonts w:eastAsiaTheme="minorEastAsia" w:cstheme="minorBidi"/>
          <w:noProof/>
          <w:kern w:val="2"/>
          <w:sz w:val="24"/>
          <w:szCs w:val="24"/>
          <w14:ligatures w14:val="standardContextual"/>
        </w:rPr>
      </w:pPr>
      <w:r>
        <w:rPr>
          <w:noProof/>
        </w:rPr>
        <w:t>3.3</w:t>
      </w:r>
      <w:r>
        <w:rPr>
          <w:rFonts w:eastAsiaTheme="minorEastAsia" w:cstheme="minorBidi"/>
          <w:noProof/>
          <w:kern w:val="2"/>
          <w:sz w:val="24"/>
          <w:szCs w:val="24"/>
          <w14:ligatures w14:val="standardContextual"/>
        </w:rPr>
        <w:tab/>
      </w:r>
      <w:r>
        <w:rPr>
          <w:noProof/>
        </w:rPr>
        <w:t>Specific policies and the implications for NCC 2025</w:t>
      </w:r>
      <w:r>
        <w:rPr>
          <w:noProof/>
        </w:rPr>
        <w:tab/>
      </w:r>
      <w:r>
        <w:rPr>
          <w:noProof/>
        </w:rPr>
        <w:fldChar w:fldCharType="begin"/>
      </w:r>
      <w:r>
        <w:rPr>
          <w:noProof/>
        </w:rPr>
        <w:instrText xml:space="preserve"> PAGEREF _Toc178292573 \h </w:instrText>
      </w:r>
      <w:r>
        <w:rPr>
          <w:noProof/>
        </w:rPr>
      </w:r>
      <w:r>
        <w:rPr>
          <w:noProof/>
        </w:rPr>
        <w:fldChar w:fldCharType="separate"/>
      </w:r>
      <w:r>
        <w:rPr>
          <w:noProof/>
        </w:rPr>
        <w:t>39</w:t>
      </w:r>
      <w:r>
        <w:rPr>
          <w:noProof/>
        </w:rPr>
        <w:fldChar w:fldCharType="end"/>
      </w:r>
    </w:p>
    <w:p w14:paraId="78507E20" w14:textId="4D1B6BD1" w:rsidR="006E00A7" w:rsidRDefault="006E00A7">
      <w:pPr>
        <w:pStyle w:val="TableofFigures"/>
        <w:rPr>
          <w:rFonts w:eastAsiaTheme="minorEastAsia" w:cstheme="minorBidi"/>
          <w:noProof/>
          <w:kern w:val="2"/>
          <w:sz w:val="24"/>
          <w:szCs w:val="24"/>
          <w14:ligatures w14:val="standardContextual"/>
        </w:rPr>
      </w:pPr>
      <w:r>
        <w:rPr>
          <w:noProof/>
        </w:rPr>
        <w:t>4.1</w:t>
      </w:r>
      <w:r>
        <w:rPr>
          <w:rFonts w:eastAsiaTheme="minorEastAsia" w:cstheme="minorBidi"/>
          <w:noProof/>
          <w:kern w:val="2"/>
          <w:sz w:val="24"/>
          <w:szCs w:val="24"/>
          <w14:ligatures w14:val="standardContextual"/>
        </w:rPr>
        <w:tab/>
      </w:r>
      <w:r>
        <w:rPr>
          <w:noProof/>
        </w:rPr>
        <w:t>Options of proposed changes</w:t>
      </w:r>
      <w:r>
        <w:rPr>
          <w:noProof/>
        </w:rPr>
        <w:tab/>
      </w:r>
      <w:r>
        <w:rPr>
          <w:noProof/>
        </w:rPr>
        <w:fldChar w:fldCharType="begin"/>
      </w:r>
      <w:r>
        <w:rPr>
          <w:noProof/>
        </w:rPr>
        <w:instrText xml:space="preserve"> PAGEREF _Toc178292574 \h </w:instrText>
      </w:r>
      <w:r>
        <w:rPr>
          <w:noProof/>
        </w:rPr>
      </w:r>
      <w:r>
        <w:rPr>
          <w:noProof/>
        </w:rPr>
        <w:fldChar w:fldCharType="separate"/>
      </w:r>
      <w:r>
        <w:rPr>
          <w:noProof/>
        </w:rPr>
        <w:t>50</w:t>
      </w:r>
      <w:r>
        <w:rPr>
          <w:noProof/>
        </w:rPr>
        <w:fldChar w:fldCharType="end"/>
      </w:r>
    </w:p>
    <w:p w14:paraId="43037AC0" w14:textId="3D9D6B70" w:rsidR="006E00A7" w:rsidRDefault="006E00A7">
      <w:pPr>
        <w:pStyle w:val="TableofFigures"/>
        <w:rPr>
          <w:rFonts w:eastAsiaTheme="minorEastAsia" w:cstheme="minorBidi"/>
          <w:noProof/>
          <w:kern w:val="2"/>
          <w:sz w:val="24"/>
          <w:szCs w:val="24"/>
          <w14:ligatures w14:val="standardContextual"/>
        </w:rPr>
      </w:pPr>
      <w:r>
        <w:rPr>
          <w:noProof/>
        </w:rPr>
        <w:t>5.1</w:t>
      </w:r>
      <w:r>
        <w:rPr>
          <w:rFonts w:eastAsiaTheme="minorEastAsia" w:cstheme="minorBidi"/>
          <w:noProof/>
          <w:kern w:val="2"/>
          <w:sz w:val="24"/>
          <w:szCs w:val="24"/>
          <w14:ligatures w14:val="standardContextual"/>
        </w:rPr>
        <w:tab/>
      </w:r>
      <w:r>
        <w:rPr>
          <w:noProof/>
        </w:rPr>
        <w:t>Relationship between SHGC and price</w:t>
      </w:r>
      <w:r>
        <w:rPr>
          <w:noProof/>
        </w:rPr>
        <w:tab/>
      </w:r>
      <w:r>
        <w:rPr>
          <w:noProof/>
        </w:rPr>
        <w:fldChar w:fldCharType="begin"/>
      </w:r>
      <w:r>
        <w:rPr>
          <w:noProof/>
        </w:rPr>
        <w:instrText xml:space="preserve"> PAGEREF _Toc178292575 \h </w:instrText>
      </w:r>
      <w:r>
        <w:rPr>
          <w:noProof/>
        </w:rPr>
      </w:r>
      <w:r>
        <w:rPr>
          <w:noProof/>
        </w:rPr>
        <w:fldChar w:fldCharType="separate"/>
      </w:r>
      <w:r>
        <w:rPr>
          <w:noProof/>
        </w:rPr>
        <w:t>65</w:t>
      </w:r>
      <w:r>
        <w:rPr>
          <w:noProof/>
        </w:rPr>
        <w:fldChar w:fldCharType="end"/>
      </w:r>
    </w:p>
    <w:p w14:paraId="7788EB97" w14:textId="50FD5F30" w:rsidR="006E00A7" w:rsidRDefault="006E00A7">
      <w:pPr>
        <w:pStyle w:val="TableofFigures"/>
        <w:rPr>
          <w:rFonts w:eastAsiaTheme="minorEastAsia" w:cstheme="minorBidi"/>
          <w:noProof/>
          <w:kern w:val="2"/>
          <w:sz w:val="24"/>
          <w:szCs w:val="24"/>
          <w14:ligatures w14:val="standardContextual"/>
        </w:rPr>
      </w:pPr>
      <w:r>
        <w:rPr>
          <w:noProof/>
        </w:rPr>
        <w:t>5.2</w:t>
      </w:r>
      <w:r>
        <w:rPr>
          <w:rFonts w:eastAsiaTheme="minorEastAsia" w:cstheme="minorBidi"/>
          <w:noProof/>
          <w:kern w:val="2"/>
          <w:sz w:val="24"/>
          <w:szCs w:val="24"/>
          <w14:ligatures w14:val="standardContextual"/>
        </w:rPr>
        <w:tab/>
      </w:r>
      <w:r>
        <w:rPr>
          <w:noProof/>
        </w:rPr>
        <w:t>Indirect scope 1 and 3 combined emissions factors of electricity consumption</w:t>
      </w:r>
      <w:r>
        <w:rPr>
          <w:noProof/>
        </w:rPr>
        <w:tab/>
      </w:r>
      <w:r>
        <w:rPr>
          <w:noProof/>
        </w:rPr>
        <w:fldChar w:fldCharType="begin"/>
      </w:r>
      <w:r>
        <w:rPr>
          <w:noProof/>
        </w:rPr>
        <w:instrText xml:space="preserve"> PAGEREF _Toc178292576 \h </w:instrText>
      </w:r>
      <w:r>
        <w:rPr>
          <w:noProof/>
        </w:rPr>
      </w:r>
      <w:r>
        <w:rPr>
          <w:noProof/>
        </w:rPr>
        <w:fldChar w:fldCharType="separate"/>
      </w:r>
      <w:r>
        <w:rPr>
          <w:noProof/>
        </w:rPr>
        <w:t>68</w:t>
      </w:r>
      <w:r>
        <w:rPr>
          <w:noProof/>
        </w:rPr>
        <w:fldChar w:fldCharType="end"/>
      </w:r>
    </w:p>
    <w:p w14:paraId="5AC309DF" w14:textId="641F0E24" w:rsidR="006E00A7" w:rsidRDefault="006E00A7">
      <w:pPr>
        <w:pStyle w:val="TableofFigures"/>
        <w:rPr>
          <w:rFonts w:eastAsiaTheme="minorEastAsia" w:cstheme="minorBidi"/>
          <w:noProof/>
          <w:kern w:val="2"/>
          <w:sz w:val="24"/>
          <w:szCs w:val="24"/>
          <w14:ligatures w14:val="standardContextual"/>
        </w:rPr>
      </w:pPr>
      <w:r>
        <w:rPr>
          <w:noProof/>
        </w:rPr>
        <w:t>5.3</w:t>
      </w:r>
      <w:r>
        <w:rPr>
          <w:rFonts w:eastAsiaTheme="minorEastAsia" w:cstheme="minorBidi"/>
          <w:noProof/>
          <w:kern w:val="2"/>
          <w:sz w:val="24"/>
          <w:szCs w:val="24"/>
          <w14:ligatures w14:val="standardContextual"/>
        </w:rPr>
        <w:tab/>
      </w:r>
      <w:r>
        <w:rPr>
          <w:noProof/>
        </w:rPr>
        <w:t>Natural gas emissions factors</w:t>
      </w:r>
      <w:r>
        <w:rPr>
          <w:noProof/>
        </w:rPr>
        <w:tab/>
      </w:r>
      <w:r>
        <w:rPr>
          <w:noProof/>
        </w:rPr>
        <w:fldChar w:fldCharType="begin"/>
      </w:r>
      <w:r>
        <w:rPr>
          <w:noProof/>
        </w:rPr>
        <w:instrText xml:space="preserve"> PAGEREF _Toc178292577 \h </w:instrText>
      </w:r>
      <w:r>
        <w:rPr>
          <w:noProof/>
        </w:rPr>
      </w:r>
      <w:r>
        <w:rPr>
          <w:noProof/>
        </w:rPr>
        <w:fldChar w:fldCharType="separate"/>
      </w:r>
      <w:r>
        <w:rPr>
          <w:noProof/>
        </w:rPr>
        <w:t>69</w:t>
      </w:r>
      <w:r>
        <w:rPr>
          <w:noProof/>
        </w:rPr>
        <w:fldChar w:fldCharType="end"/>
      </w:r>
    </w:p>
    <w:p w14:paraId="075EA055" w14:textId="3B0289B8" w:rsidR="006E00A7" w:rsidRDefault="006E00A7">
      <w:pPr>
        <w:pStyle w:val="TableofFigures"/>
        <w:rPr>
          <w:rFonts w:eastAsiaTheme="minorEastAsia" w:cstheme="minorBidi"/>
          <w:noProof/>
          <w:kern w:val="2"/>
          <w:sz w:val="24"/>
          <w:szCs w:val="24"/>
          <w14:ligatures w14:val="standardContextual"/>
        </w:rPr>
      </w:pPr>
      <w:r>
        <w:rPr>
          <w:noProof/>
        </w:rPr>
        <w:t>5.4</w:t>
      </w:r>
      <w:r>
        <w:rPr>
          <w:rFonts w:eastAsiaTheme="minorEastAsia" w:cstheme="minorBidi"/>
          <w:noProof/>
          <w:kern w:val="2"/>
          <w:sz w:val="24"/>
          <w:szCs w:val="24"/>
          <w14:ligatures w14:val="standardContextual"/>
        </w:rPr>
        <w:tab/>
      </w:r>
      <w:r>
        <w:rPr>
          <w:noProof/>
        </w:rPr>
        <w:t>Social cost of carbon</w:t>
      </w:r>
      <w:r>
        <w:rPr>
          <w:noProof/>
        </w:rPr>
        <w:tab/>
      </w:r>
      <w:r>
        <w:rPr>
          <w:noProof/>
        </w:rPr>
        <w:fldChar w:fldCharType="begin"/>
      </w:r>
      <w:r>
        <w:rPr>
          <w:noProof/>
        </w:rPr>
        <w:instrText xml:space="preserve"> PAGEREF _Toc178292578 \h </w:instrText>
      </w:r>
      <w:r>
        <w:rPr>
          <w:noProof/>
        </w:rPr>
      </w:r>
      <w:r>
        <w:rPr>
          <w:noProof/>
        </w:rPr>
        <w:fldChar w:fldCharType="separate"/>
      </w:r>
      <w:r>
        <w:rPr>
          <w:noProof/>
        </w:rPr>
        <w:t>70</w:t>
      </w:r>
      <w:r>
        <w:rPr>
          <w:noProof/>
        </w:rPr>
        <w:fldChar w:fldCharType="end"/>
      </w:r>
    </w:p>
    <w:p w14:paraId="54399B12" w14:textId="7251D3DB" w:rsidR="006E00A7" w:rsidRDefault="006E00A7">
      <w:pPr>
        <w:pStyle w:val="TableofFigures"/>
        <w:rPr>
          <w:rFonts w:eastAsiaTheme="minorEastAsia" w:cstheme="minorBidi"/>
          <w:noProof/>
          <w:kern w:val="2"/>
          <w:sz w:val="24"/>
          <w:szCs w:val="24"/>
          <w14:ligatures w14:val="standardContextual"/>
        </w:rPr>
      </w:pPr>
      <w:r>
        <w:rPr>
          <w:noProof/>
        </w:rPr>
        <w:t>5.5</w:t>
      </w:r>
      <w:r>
        <w:rPr>
          <w:rFonts w:eastAsiaTheme="minorEastAsia" w:cstheme="minorBidi"/>
          <w:noProof/>
          <w:kern w:val="2"/>
          <w:sz w:val="24"/>
          <w:szCs w:val="24"/>
          <w14:ligatures w14:val="standardContextual"/>
        </w:rPr>
        <w:tab/>
      </w:r>
      <w:r>
        <w:rPr>
          <w:noProof/>
        </w:rPr>
        <w:t>Share of buildings with rooftop solar</w:t>
      </w:r>
      <w:r>
        <w:rPr>
          <w:noProof/>
        </w:rPr>
        <w:tab/>
      </w:r>
      <w:r>
        <w:rPr>
          <w:noProof/>
        </w:rPr>
        <w:fldChar w:fldCharType="begin"/>
      </w:r>
      <w:r>
        <w:rPr>
          <w:noProof/>
        </w:rPr>
        <w:instrText xml:space="preserve"> PAGEREF _Toc178292579 \h </w:instrText>
      </w:r>
      <w:r>
        <w:rPr>
          <w:noProof/>
        </w:rPr>
      </w:r>
      <w:r>
        <w:rPr>
          <w:noProof/>
        </w:rPr>
        <w:fldChar w:fldCharType="separate"/>
      </w:r>
      <w:r>
        <w:rPr>
          <w:noProof/>
        </w:rPr>
        <w:t>73</w:t>
      </w:r>
      <w:r>
        <w:rPr>
          <w:noProof/>
        </w:rPr>
        <w:fldChar w:fldCharType="end"/>
      </w:r>
    </w:p>
    <w:p w14:paraId="40FED23D" w14:textId="348A5714" w:rsidR="006E00A7" w:rsidRDefault="006E00A7">
      <w:pPr>
        <w:pStyle w:val="TableofFigures"/>
        <w:rPr>
          <w:rFonts w:eastAsiaTheme="minorEastAsia" w:cstheme="minorBidi"/>
          <w:noProof/>
          <w:kern w:val="2"/>
          <w:sz w:val="24"/>
          <w:szCs w:val="24"/>
          <w14:ligatures w14:val="standardContextual"/>
        </w:rPr>
      </w:pPr>
      <w:r>
        <w:rPr>
          <w:noProof/>
        </w:rPr>
        <w:t>5.6</w:t>
      </w:r>
      <w:r>
        <w:rPr>
          <w:rFonts w:eastAsiaTheme="minorEastAsia" w:cstheme="minorBidi"/>
          <w:noProof/>
          <w:kern w:val="2"/>
          <w:sz w:val="24"/>
          <w:szCs w:val="24"/>
          <w14:ligatures w14:val="standardContextual"/>
        </w:rPr>
        <w:tab/>
      </w:r>
      <w:r>
        <w:rPr>
          <w:noProof/>
        </w:rPr>
        <w:t>Minimum operational demand challenges</w:t>
      </w:r>
      <w:r>
        <w:rPr>
          <w:noProof/>
        </w:rPr>
        <w:tab/>
      </w:r>
      <w:r>
        <w:rPr>
          <w:noProof/>
        </w:rPr>
        <w:fldChar w:fldCharType="begin"/>
      </w:r>
      <w:r>
        <w:rPr>
          <w:noProof/>
        </w:rPr>
        <w:instrText xml:space="preserve"> PAGEREF _Toc178292580 \h </w:instrText>
      </w:r>
      <w:r>
        <w:rPr>
          <w:noProof/>
        </w:rPr>
      </w:r>
      <w:r>
        <w:rPr>
          <w:noProof/>
        </w:rPr>
        <w:fldChar w:fldCharType="separate"/>
      </w:r>
      <w:r>
        <w:rPr>
          <w:noProof/>
        </w:rPr>
        <w:t>75</w:t>
      </w:r>
      <w:r>
        <w:rPr>
          <w:noProof/>
        </w:rPr>
        <w:fldChar w:fldCharType="end"/>
      </w:r>
    </w:p>
    <w:p w14:paraId="0AD439B1" w14:textId="1EE81BD8" w:rsidR="006E00A7" w:rsidRDefault="006E00A7">
      <w:pPr>
        <w:pStyle w:val="TableofFigures"/>
        <w:rPr>
          <w:rFonts w:eastAsiaTheme="minorEastAsia" w:cstheme="minorBidi"/>
          <w:noProof/>
          <w:kern w:val="2"/>
          <w:sz w:val="24"/>
          <w:szCs w:val="24"/>
          <w14:ligatures w14:val="standardContextual"/>
        </w:rPr>
      </w:pPr>
      <w:r>
        <w:rPr>
          <w:noProof/>
        </w:rPr>
        <w:t>5.7</w:t>
      </w:r>
      <w:r>
        <w:rPr>
          <w:rFonts w:eastAsiaTheme="minorEastAsia" w:cstheme="minorBidi"/>
          <w:noProof/>
          <w:kern w:val="2"/>
          <w:sz w:val="24"/>
          <w:szCs w:val="24"/>
          <w14:ligatures w14:val="standardContextual"/>
        </w:rPr>
        <w:tab/>
      </w:r>
      <w:r>
        <w:rPr>
          <w:noProof/>
        </w:rPr>
        <w:t>Electrification scenarios — benefits and costs</w:t>
      </w:r>
      <w:r>
        <w:rPr>
          <w:noProof/>
        </w:rPr>
        <w:tab/>
      </w:r>
      <w:r>
        <w:rPr>
          <w:noProof/>
        </w:rPr>
        <w:fldChar w:fldCharType="begin"/>
      </w:r>
      <w:r>
        <w:rPr>
          <w:noProof/>
        </w:rPr>
        <w:instrText xml:space="preserve"> PAGEREF _Toc178292581 \h </w:instrText>
      </w:r>
      <w:r>
        <w:rPr>
          <w:noProof/>
        </w:rPr>
      </w:r>
      <w:r>
        <w:rPr>
          <w:noProof/>
        </w:rPr>
        <w:fldChar w:fldCharType="separate"/>
      </w:r>
      <w:r>
        <w:rPr>
          <w:noProof/>
        </w:rPr>
        <w:t>79</w:t>
      </w:r>
      <w:r>
        <w:rPr>
          <w:noProof/>
        </w:rPr>
        <w:fldChar w:fldCharType="end"/>
      </w:r>
    </w:p>
    <w:p w14:paraId="0AB5F260" w14:textId="45FD29C1" w:rsidR="006E00A7" w:rsidRDefault="006E00A7">
      <w:pPr>
        <w:pStyle w:val="TableofFigures"/>
        <w:rPr>
          <w:rFonts w:eastAsiaTheme="minorEastAsia" w:cstheme="minorBidi"/>
          <w:noProof/>
          <w:kern w:val="2"/>
          <w:sz w:val="24"/>
          <w:szCs w:val="24"/>
          <w14:ligatures w14:val="standardContextual"/>
        </w:rPr>
      </w:pPr>
      <w:r>
        <w:rPr>
          <w:noProof/>
        </w:rPr>
        <w:t>5.8</w:t>
      </w:r>
      <w:r>
        <w:rPr>
          <w:rFonts w:eastAsiaTheme="minorEastAsia" w:cstheme="minorBidi"/>
          <w:noProof/>
          <w:kern w:val="2"/>
          <w:sz w:val="24"/>
          <w:szCs w:val="24"/>
          <w14:ligatures w14:val="standardContextual"/>
        </w:rPr>
        <w:tab/>
      </w:r>
      <w:r>
        <w:rPr>
          <w:noProof/>
        </w:rPr>
        <w:t>Projected EV sales share</w:t>
      </w:r>
      <w:r>
        <w:rPr>
          <w:noProof/>
        </w:rPr>
        <w:tab/>
      </w:r>
      <w:r>
        <w:rPr>
          <w:noProof/>
        </w:rPr>
        <w:fldChar w:fldCharType="begin"/>
      </w:r>
      <w:r>
        <w:rPr>
          <w:noProof/>
        </w:rPr>
        <w:instrText xml:space="preserve"> PAGEREF _Toc178292582 \h </w:instrText>
      </w:r>
      <w:r>
        <w:rPr>
          <w:noProof/>
        </w:rPr>
      </w:r>
      <w:r>
        <w:rPr>
          <w:noProof/>
        </w:rPr>
        <w:fldChar w:fldCharType="separate"/>
      </w:r>
      <w:r>
        <w:rPr>
          <w:noProof/>
        </w:rPr>
        <w:t>84</w:t>
      </w:r>
      <w:r>
        <w:rPr>
          <w:noProof/>
        </w:rPr>
        <w:fldChar w:fldCharType="end"/>
      </w:r>
    </w:p>
    <w:p w14:paraId="012013C3" w14:textId="16631DB3" w:rsidR="006E00A7" w:rsidRDefault="006E00A7">
      <w:pPr>
        <w:pStyle w:val="TableofFigures"/>
        <w:rPr>
          <w:rFonts w:eastAsiaTheme="minorEastAsia" w:cstheme="minorBidi"/>
          <w:noProof/>
          <w:kern w:val="2"/>
          <w:sz w:val="24"/>
          <w:szCs w:val="24"/>
          <w14:ligatures w14:val="standardContextual"/>
        </w:rPr>
      </w:pPr>
      <w:r>
        <w:rPr>
          <w:noProof/>
        </w:rPr>
        <w:t>5.9</w:t>
      </w:r>
      <w:r>
        <w:rPr>
          <w:rFonts w:eastAsiaTheme="minorEastAsia" w:cstheme="minorBidi"/>
          <w:noProof/>
          <w:kern w:val="2"/>
          <w:sz w:val="24"/>
          <w:szCs w:val="24"/>
          <w14:ligatures w14:val="standardContextual"/>
        </w:rPr>
        <w:tab/>
      </w:r>
      <w:r>
        <w:rPr>
          <w:noProof/>
        </w:rPr>
        <w:t>Projected EV fleet share</w:t>
      </w:r>
      <w:r>
        <w:rPr>
          <w:noProof/>
        </w:rPr>
        <w:tab/>
      </w:r>
      <w:r>
        <w:rPr>
          <w:noProof/>
        </w:rPr>
        <w:fldChar w:fldCharType="begin"/>
      </w:r>
      <w:r>
        <w:rPr>
          <w:noProof/>
        </w:rPr>
        <w:instrText xml:space="preserve"> PAGEREF _Toc178292583 \h </w:instrText>
      </w:r>
      <w:r>
        <w:rPr>
          <w:noProof/>
        </w:rPr>
      </w:r>
      <w:r>
        <w:rPr>
          <w:noProof/>
        </w:rPr>
        <w:fldChar w:fldCharType="separate"/>
      </w:r>
      <w:r>
        <w:rPr>
          <w:noProof/>
        </w:rPr>
        <w:t>84</w:t>
      </w:r>
      <w:r>
        <w:rPr>
          <w:noProof/>
        </w:rPr>
        <w:fldChar w:fldCharType="end"/>
      </w:r>
    </w:p>
    <w:p w14:paraId="46A2CCDF" w14:textId="3DFA6970" w:rsidR="006E00A7" w:rsidRDefault="006E00A7">
      <w:pPr>
        <w:pStyle w:val="TableofFigures"/>
        <w:rPr>
          <w:rFonts w:eastAsiaTheme="minorEastAsia" w:cstheme="minorBidi"/>
          <w:noProof/>
          <w:kern w:val="2"/>
          <w:sz w:val="24"/>
          <w:szCs w:val="24"/>
          <w14:ligatures w14:val="standardContextual"/>
        </w:rPr>
      </w:pPr>
      <w:r>
        <w:rPr>
          <w:noProof/>
        </w:rPr>
        <w:t>5.10</w:t>
      </w:r>
      <w:r>
        <w:rPr>
          <w:rFonts w:eastAsiaTheme="minorEastAsia" w:cstheme="minorBidi"/>
          <w:noProof/>
          <w:kern w:val="2"/>
          <w:sz w:val="24"/>
          <w:szCs w:val="24"/>
          <w14:ligatures w14:val="standardContextual"/>
        </w:rPr>
        <w:tab/>
      </w:r>
      <w:r>
        <w:rPr>
          <w:noProof/>
        </w:rPr>
        <w:t>Estimated training costs incurred by industry</w:t>
      </w:r>
      <w:r>
        <w:rPr>
          <w:noProof/>
        </w:rPr>
        <w:tab/>
      </w:r>
      <w:r>
        <w:rPr>
          <w:noProof/>
        </w:rPr>
        <w:fldChar w:fldCharType="begin"/>
      </w:r>
      <w:r>
        <w:rPr>
          <w:noProof/>
        </w:rPr>
        <w:instrText xml:space="preserve"> PAGEREF _Toc178292584 \h </w:instrText>
      </w:r>
      <w:r>
        <w:rPr>
          <w:noProof/>
        </w:rPr>
      </w:r>
      <w:r>
        <w:rPr>
          <w:noProof/>
        </w:rPr>
        <w:fldChar w:fldCharType="separate"/>
      </w:r>
      <w:r>
        <w:rPr>
          <w:noProof/>
        </w:rPr>
        <w:t>85</w:t>
      </w:r>
      <w:r>
        <w:rPr>
          <w:noProof/>
        </w:rPr>
        <w:fldChar w:fldCharType="end"/>
      </w:r>
    </w:p>
    <w:p w14:paraId="6E9A6738" w14:textId="638D7BA9" w:rsidR="006E00A7" w:rsidRDefault="006E00A7">
      <w:pPr>
        <w:pStyle w:val="TableofFigures"/>
        <w:rPr>
          <w:rFonts w:eastAsiaTheme="minorEastAsia" w:cstheme="minorBidi"/>
          <w:noProof/>
          <w:kern w:val="2"/>
          <w:sz w:val="24"/>
          <w:szCs w:val="24"/>
          <w14:ligatures w14:val="standardContextual"/>
        </w:rPr>
      </w:pPr>
      <w:r>
        <w:rPr>
          <w:noProof/>
        </w:rPr>
        <w:t>5.11</w:t>
      </w:r>
      <w:r>
        <w:rPr>
          <w:rFonts w:eastAsiaTheme="minorEastAsia" w:cstheme="minorBidi"/>
          <w:noProof/>
          <w:kern w:val="2"/>
          <w:sz w:val="24"/>
          <w:szCs w:val="24"/>
          <w14:ligatures w14:val="standardContextual"/>
        </w:rPr>
        <w:tab/>
      </w:r>
      <w:r>
        <w:rPr>
          <w:noProof/>
        </w:rPr>
        <w:t>Allocation of training costs across jurisdictions</w:t>
      </w:r>
      <w:r>
        <w:rPr>
          <w:noProof/>
        </w:rPr>
        <w:tab/>
      </w:r>
      <w:r>
        <w:rPr>
          <w:noProof/>
        </w:rPr>
        <w:fldChar w:fldCharType="begin"/>
      </w:r>
      <w:r>
        <w:rPr>
          <w:noProof/>
        </w:rPr>
        <w:instrText xml:space="preserve"> PAGEREF _Toc178292585 \h </w:instrText>
      </w:r>
      <w:r>
        <w:rPr>
          <w:noProof/>
        </w:rPr>
      </w:r>
      <w:r>
        <w:rPr>
          <w:noProof/>
        </w:rPr>
        <w:fldChar w:fldCharType="separate"/>
      </w:r>
      <w:r>
        <w:rPr>
          <w:noProof/>
        </w:rPr>
        <w:t>85</w:t>
      </w:r>
      <w:r>
        <w:rPr>
          <w:noProof/>
        </w:rPr>
        <w:fldChar w:fldCharType="end"/>
      </w:r>
    </w:p>
    <w:p w14:paraId="3476BD57" w14:textId="72F03CEE" w:rsidR="006E00A7" w:rsidRDefault="006E00A7">
      <w:pPr>
        <w:pStyle w:val="TableofFigures"/>
        <w:rPr>
          <w:rFonts w:eastAsiaTheme="minorEastAsia" w:cstheme="minorBidi"/>
          <w:noProof/>
          <w:kern w:val="2"/>
          <w:sz w:val="24"/>
          <w:szCs w:val="24"/>
          <w14:ligatures w14:val="standardContextual"/>
        </w:rPr>
      </w:pPr>
      <w:r>
        <w:rPr>
          <w:noProof/>
        </w:rPr>
        <w:t>5.12</w:t>
      </w:r>
      <w:r>
        <w:rPr>
          <w:rFonts w:eastAsiaTheme="minorEastAsia" w:cstheme="minorBidi"/>
          <w:noProof/>
          <w:kern w:val="2"/>
          <w:sz w:val="24"/>
          <w:szCs w:val="24"/>
          <w14:ligatures w14:val="standardContextual"/>
        </w:rPr>
        <w:tab/>
      </w:r>
      <w:r>
        <w:rPr>
          <w:noProof/>
        </w:rPr>
        <w:t>Estimated number of stakeholders directly affected by proposed changes</w:t>
      </w:r>
      <w:r>
        <w:rPr>
          <w:noProof/>
        </w:rPr>
        <w:tab/>
      </w:r>
      <w:r>
        <w:rPr>
          <w:noProof/>
        </w:rPr>
        <w:fldChar w:fldCharType="begin"/>
      </w:r>
      <w:r>
        <w:rPr>
          <w:noProof/>
        </w:rPr>
        <w:instrText xml:space="preserve"> PAGEREF _Toc178292586 \h </w:instrText>
      </w:r>
      <w:r>
        <w:rPr>
          <w:noProof/>
        </w:rPr>
      </w:r>
      <w:r>
        <w:rPr>
          <w:noProof/>
        </w:rPr>
        <w:fldChar w:fldCharType="separate"/>
      </w:r>
      <w:r>
        <w:rPr>
          <w:noProof/>
        </w:rPr>
        <w:t>86</w:t>
      </w:r>
      <w:r>
        <w:rPr>
          <w:noProof/>
        </w:rPr>
        <w:fldChar w:fldCharType="end"/>
      </w:r>
    </w:p>
    <w:p w14:paraId="4A4A7EF5" w14:textId="68E721FA" w:rsidR="006E00A7" w:rsidRDefault="006E00A7">
      <w:pPr>
        <w:pStyle w:val="TableofFigures"/>
        <w:rPr>
          <w:rFonts w:eastAsiaTheme="minorEastAsia" w:cstheme="minorBidi"/>
          <w:noProof/>
          <w:kern w:val="2"/>
          <w:sz w:val="24"/>
          <w:szCs w:val="24"/>
          <w14:ligatures w14:val="standardContextual"/>
        </w:rPr>
      </w:pPr>
      <w:r>
        <w:rPr>
          <w:noProof/>
        </w:rPr>
        <w:t>5.13</w:t>
      </w:r>
      <w:r>
        <w:rPr>
          <w:rFonts w:eastAsiaTheme="minorEastAsia" w:cstheme="minorBidi"/>
          <w:noProof/>
          <w:kern w:val="2"/>
          <w:sz w:val="24"/>
          <w:szCs w:val="24"/>
          <w14:ligatures w14:val="standardContextual"/>
        </w:rPr>
        <w:tab/>
      </w:r>
      <w:r>
        <w:rPr>
          <w:noProof/>
        </w:rPr>
        <w:t>Indicative salaries for relevant professions</w:t>
      </w:r>
      <w:r>
        <w:rPr>
          <w:noProof/>
        </w:rPr>
        <w:tab/>
      </w:r>
      <w:r>
        <w:rPr>
          <w:noProof/>
        </w:rPr>
        <w:fldChar w:fldCharType="begin"/>
      </w:r>
      <w:r>
        <w:rPr>
          <w:noProof/>
        </w:rPr>
        <w:instrText xml:space="preserve"> PAGEREF _Toc178292587 \h </w:instrText>
      </w:r>
      <w:r>
        <w:rPr>
          <w:noProof/>
        </w:rPr>
      </w:r>
      <w:r>
        <w:rPr>
          <w:noProof/>
        </w:rPr>
        <w:fldChar w:fldCharType="separate"/>
      </w:r>
      <w:r>
        <w:rPr>
          <w:noProof/>
        </w:rPr>
        <w:t>87</w:t>
      </w:r>
      <w:r>
        <w:rPr>
          <w:noProof/>
        </w:rPr>
        <w:fldChar w:fldCharType="end"/>
      </w:r>
    </w:p>
    <w:p w14:paraId="26F55A5E" w14:textId="623FD4BE" w:rsidR="006E00A7" w:rsidRDefault="006E00A7">
      <w:pPr>
        <w:pStyle w:val="TableofFigures"/>
        <w:rPr>
          <w:rFonts w:eastAsiaTheme="minorEastAsia" w:cstheme="minorBidi"/>
          <w:noProof/>
          <w:kern w:val="2"/>
          <w:sz w:val="24"/>
          <w:szCs w:val="24"/>
          <w14:ligatures w14:val="standardContextual"/>
        </w:rPr>
      </w:pPr>
      <w:r>
        <w:rPr>
          <w:noProof/>
        </w:rPr>
        <w:t>6.1</w:t>
      </w:r>
      <w:r>
        <w:rPr>
          <w:rFonts w:eastAsiaTheme="minorEastAsia" w:cstheme="minorBidi"/>
          <w:noProof/>
          <w:kern w:val="2"/>
          <w:sz w:val="24"/>
          <w:szCs w:val="24"/>
          <w14:ligatures w14:val="standardContextual"/>
        </w:rPr>
        <w:tab/>
      </w:r>
      <w:r>
        <w:rPr>
          <w:noProof/>
        </w:rPr>
        <w:t>Composition of new floor space — selected building classes</w:t>
      </w:r>
      <w:r>
        <w:rPr>
          <w:noProof/>
        </w:rPr>
        <w:tab/>
      </w:r>
      <w:r>
        <w:rPr>
          <w:noProof/>
        </w:rPr>
        <w:fldChar w:fldCharType="begin"/>
      </w:r>
      <w:r>
        <w:rPr>
          <w:noProof/>
        </w:rPr>
        <w:instrText xml:space="preserve"> PAGEREF _Toc178292588 \h </w:instrText>
      </w:r>
      <w:r>
        <w:rPr>
          <w:noProof/>
        </w:rPr>
      </w:r>
      <w:r>
        <w:rPr>
          <w:noProof/>
        </w:rPr>
        <w:fldChar w:fldCharType="separate"/>
      </w:r>
      <w:r>
        <w:rPr>
          <w:noProof/>
        </w:rPr>
        <w:t>89</w:t>
      </w:r>
      <w:r>
        <w:rPr>
          <w:noProof/>
        </w:rPr>
        <w:fldChar w:fldCharType="end"/>
      </w:r>
    </w:p>
    <w:p w14:paraId="2D988810" w14:textId="0F559221" w:rsidR="006E00A7" w:rsidRDefault="006E00A7">
      <w:pPr>
        <w:pStyle w:val="TableofFigures"/>
        <w:rPr>
          <w:rFonts w:eastAsiaTheme="minorEastAsia" w:cstheme="minorBidi"/>
          <w:noProof/>
          <w:kern w:val="2"/>
          <w:sz w:val="24"/>
          <w:szCs w:val="24"/>
          <w14:ligatures w14:val="standardContextual"/>
        </w:rPr>
      </w:pPr>
      <w:r>
        <w:rPr>
          <w:noProof/>
        </w:rPr>
        <w:t>6.2</w:t>
      </w:r>
      <w:r>
        <w:rPr>
          <w:rFonts w:eastAsiaTheme="minorEastAsia" w:cstheme="minorBidi"/>
          <w:noProof/>
          <w:kern w:val="2"/>
          <w:sz w:val="24"/>
          <w:szCs w:val="24"/>
          <w14:ligatures w14:val="standardContextual"/>
        </w:rPr>
        <w:tab/>
      </w:r>
      <w:r>
        <w:rPr>
          <w:noProof/>
        </w:rPr>
        <w:t>Modelled energy consumption and emissions change – Stringency Level 1</w:t>
      </w:r>
      <w:r>
        <w:rPr>
          <w:noProof/>
        </w:rPr>
        <w:tab/>
      </w:r>
      <w:r>
        <w:rPr>
          <w:noProof/>
        </w:rPr>
        <w:fldChar w:fldCharType="begin"/>
      </w:r>
      <w:r>
        <w:rPr>
          <w:noProof/>
        </w:rPr>
        <w:instrText xml:space="preserve"> PAGEREF _Toc178292589 \h </w:instrText>
      </w:r>
      <w:r>
        <w:rPr>
          <w:noProof/>
        </w:rPr>
      </w:r>
      <w:r>
        <w:rPr>
          <w:noProof/>
        </w:rPr>
        <w:fldChar w:fldCharType="separate"/>
      </w:r>
      <w:r>
        <w:rPr>
          <w:noProof/>
        </w:rPr>
        <w:t>89</w:t>
      </w:r>
      <w:r>
        <w:rPr>
          <w:noProof/>
        </w:rPr>
        <w:fldChar w:fldCharType="end"/>
      </w:r>
    </w:p>
    <w:p w14:paraId="4FA8A554" w14:textId="512D22F1" w:rsidR="006E00A7" w:rsidRDefault="006E00A7">
      <w:pPr>
        <w:pStyle w:val="TableofFigures"/>
        <w:rPr>
          <w:rFonts w:eastAsiaTheme="minorEastAsia" w:cstheme="minorBidi"/>
          <w:noProof/>
          <w:kern w:val="2"/>
          <w:sz w:val="24"/>
          <w:szCs w:val="24"/>
          <w14:ligatures w14:val="standardContextual"/>
        </w:rPr>
      </w:pPr>
      <w:r>
        <w:rPr>
          <w:noProof/>
        </w:rPr>
        <w:t>6.3</w:t>
      </w:r>
      <w:r>
        <w:rPr>
          <w:rFonts w:eastAsiaTheme="minorEastAsia" w:cstheme="minorBidi"/>
          <w:noProof/>
          <w:kern w:val="2"/>
          <w:sz w:val="24"/>
          <w:szCs w:val="24"/>
          <w14:ligatures w14:val="standardContextual"/>
        </w:rPr>
        <w:tab/>
      </w:r>
      <w:r>
        <w:rPr>
          <w:noProof/>
        </w:rPr>
        <w:t>Building</w:t>
      </w:r>
      <w:r>
        <w:rPr>
          <w:noProof/>
        </w:rPr>
        <w:noBreakHyphen/>
        <w:t>level CBA for Stringency Level 1 — C5OL</w:t>
      </w:r>
      <w:r>
        <w:rPr>
          <w:noProof/>
        </w:rPr>
        <w:tab/>
      </w:r>
      <w:r>
        <w:rPr>
          <w:noProof/>
        </w:rPr>
        <w:fldChar w:fldCharType="begin"/>
      </w:r>
      <w:r>
        <w:rPr>
          <w:noProof/>
        </w:rPr>
        <w:instrText xml:space="preserve"> PAGEREF _Toc178292590 \h </w:instrText>
      </w:r>
      <w:r>
        <w:rPr>
          <w:noProof/>
        </w:rPr>
      </w:r>
      <w:r>
        <w:rPr>
          <w:noProof/>
        </w:rPr>
        <w:fldChar w:fldCharType="separate"/>
      </w:r>
      <w:r>
        <w:rPr>
          <w:noProof/>
        </w:rPr>
        <w:t>92</w:t>
      </w:r>
      <w:r>
        <w:rPr>
          <w:noProof/>
        </w:rPr>
        <w:fldChar w:fldCharType="end"/>
      </w:r>
    </w:p>
    <w:p w14:paraId="13DB675A" w14:textId="0CBF6C78" w:rsidR="006E00A7" w:rsidRDefault="006E00A7">
      <w:pPr>
        <w:pStyle w:val="TableofFigures"/>
        <w:rPr>
          <w:rFonts w:eastAsiaTheme="minorEastAsia" w:cstheme="minorBidi"/>
          <w:noProof/>
          <w:kern w:val="2"/>
          <w:sz w:val="24"/>
          <w:szCs w:val="24"/>
          <w14:ligatures w14:val="standardContextual"/>
        </w:rPr>
      </w:pPr>
      <w:r>
        <w:rPr>
          <w:noProof/>
        </w:rPr>
        <w:t>6.4</w:t>
      </w:r>
      <w:r>
        <w:rPr>
          <w:rFonts w:eastAsiaTheme="minorEastAsia" w:cstheme="minorBidi"/>
          <w:noProof/>
          <w:kern w:val="2"/>
          <w:sz w:val="24"/>
          <w:szCs w:val="24"/>
          <w14:ligatures w14:val="standardContextual"/>
        </w:rPr>
        <w:tab/>
      </w:r>
      <w:r>
        <w:rPr>
          <w:noProof/>
        </w:rPr>
        <w:t>Building</w:t>
      </w:r>
      <w:r>
        <w:rPr>
          <w:noProof/>
        </w:rPr>
        <w:noBreakHyphen/>
        <w:t>level net benefits for Stringency Level 1 by archetype</w:t>
      </w:r>
      <w:r>
        <w:rPr>
          <w:noProof/>
        </w:rPr>
        <w:tab/>
      </w:r>
      <w:r>
        <w:rPr>
          <w:noProof/>
        </w:rPr>
        <w:fldChar w:fldCharType="begin"/>
      </w:r>
      <w:r>
        <w:rPr>
          <w:noProof/>
        </w:rPr>
        <w:instrText xml:space="preserve"> PAGEREF _Toc178292591 \h </w:instrText>
      </w:r>
      <w:r>
        <w:rPr>
          <w:noProof/>
        </w:rPr>
      </w:r>
      <w:r>
        <w:rPr>
          <w:noProof/>
        </w:rPr>
        <w:fldChar w:fldCharType="separate"/>
      </w:r>
      <w:r>
        <w:rPr>
          <w:noProof/>
        </w:rPr>
        <w:t>92</w:t>
      </w:r>
      <w:r>
        <w:rPr>
          <w:noProof/>
        </w:rPr>
        <w:fldChar w:fldCharType="end"/>
      </w:r>
    </w:p>
    <w:p w14:paraId="6318A762" w14:textId="6CC7C75C" w:rsidR="006E00A7" w:rsidRDefault="006E00A7">
      <w:pPr>
        <w:pStyle w:val="TableofFigures"/>
        <w:rPr>
          <w:rFonts w:eastAsiaTheme="minorEastAsia" w:cstheme="minorBidi"/>
          <w:noProof/>
          <w:kern w:val="2"/>
          <w:sz w:val="24"/>
          <w:szCs w:val="24"/>
          <w14:ligatures w14:val="standardContextual"/>
        </w:rPr>
      </w:pPr>
      <w:r>
        <w:rPr>
          <w:noProof/>
        </w:rPr>
        <w:t>6.5</w:t>
      </w:r>
      <w:r>
        <w:rPr>
          <w:rFonts w:eastAsiaTheme="minorEastAsia" w:cstheme="minorBidi"/>
          <w:noProof/>
          <w:kern w:val="2"/>
          <w:sz w:val="24"/>
          <w:szCs w:val="24"/>
          <w14:ligatures w14:val="standardContextual"/>
        </w:rPr>
        <w:tab/>
      </w:r>
      <w:r>
        <w:rPr>
          <w:noProof/>
        </w:rPr>
        <w:t>Changes in capital-related costs over building life – Stringency Level 1</w:t>
      </w:r>
      <w:r>
        <w:rPr>
          <w:noProof/>
        </w:rPr>
        <w:tab/>
      </w:r>
      <w:r>
        <w:rPr>
          <w:noProof/>
        </w:rPr>
        <w:fldChar w:fldCharType="begin"/>
      </w:r>
      <w:r>
        <w:rPr>
          <w:noProof/>
        </w:rPr>
        <w:instrText xml:space="preserve"> PAGEREF _Toc178292592 \h </w:instrText>
      </w:r>
      <w:r>
        <w:rPr>
          <w:noProof/>
        </w:rPr>
      </w:r>
      <w:r>
        <w:rPr>
          <w:noProof/>
        </w:rPr>
        <w:fldChar w:fldCharType="separate"/>
      </w:r>
      <w:r>
        <w:rPr>
          <w:noProof/>
        </w:rPr>
        <w:t>94</w:t>
      </w:r>
      <w:r>
        <w:rPr>
          <w:noProof/>
        </w:rPr>
        <w:fldChar w:fldCharType="end"/>
      </w:r>
    </w:p>
    <w:p w14:paraId="43DA4394" w14:textId="7AF48FEA" w:rsidR="006E00A7" w:rsidRDefault="006E00A7">
      <w:pPr>
        <w:pStyle w:val="TableofFigures"/>
        <w:rPr>
          <w:rFonts w:eastAsiaTheme="minorEastAsia" w:cstheme="minorBidi"/>
          <w:noProof/>
          <w:kern w:val="2"/>
          <w:sz w:val="24"/>
          <w:szCs w:val="24"/>
          <w14:ligatures w14:val="standardContextual"/>
        </w:rPr>
      </w:pPr>
      <w:r>
        <w:rPr>
          <w:noProof/>
        </w:rPr>
        <w:t>6.6</w:t>
      </w:r>
      <w:r>
        <w:rPr>
          <w:rFonts w:eastAsiaTheme="minorEastAsia" w:cstheme="minorBidi"/>
          <w:noProof/>
          <w:kern w:val="2"/>
          <w:sz w:val="24"/>
          <w:szCs w:val="24"/>
          <w14:ligatures w14:val="standardContextual"/>
        </w:rPr>
        <w:tab/>
      </w:r>
      <w:r>
        <w:rPr>
          <w:noProof/>
        </w:rPr>
        <w:t>Modelled energy consumption and emissions change – Stringency Level 2</w:t>
      </w:r>
      <w:r>
        <w:rPr>
          <w:noProof/>
        </w:rPr>
        <w:tab/>
      </w:r>
      <w:r>
        <w:rPr>
          <w:noProof/>
        </w:rPr>
        <w:fldChar w:fldCharType="begin"/>
      </w:r>
      <w:r>
        <w:rPr>
          <w:noProof/>
        </w:rPr>
        <w:instrText xml:space="preserve"> PAGEREF _Toc178292593 \h </w:instrText>
      </w:r>
      <w:r>
        <w:rPr>
          <w:noProof/>
        </w:rPr>
      </w:r>
      <w:r>
        <w:rPr>
          <w:noProof/>
        </w:rPr>
        <w:fldChar w:fldCharType="separate"/>
      </w:r>
      <w:r>
        <w:rPr>
          <w:noProof/>
        </w:rPr>
        <w:t>95</w:t>
      </w:r>
      <w:r>
        <w:rPr>
          <w:noProof/>
        </w:rPr>
        <w:fldChar w:fldCharType="end"/>
      </w:r>
    </w:p>
    <w:p w14:paraId="275F4A9A" w14:textId="2F04F3EC" w:rsidR="006E00A7" w:rsidRDefault="006E00A7">
      <w:pPr>
        <w:pStyle w:val="TableofFigures"/>
        <w:rPr>
          <w:rFonts w:eastAsiaTheme="minorEastAsia" w:cstheme="minorBidi"/>
          <w:noProof/>
          <w:kern w:val="2"/>
          <w:sz w:val="24"/>
          <w:szCs w:val="24"/>
          <w14:ligatures w14:val="standardContextual"/>
        </w:rPr>
      </w:pPr>
      <w:r>
        <w:rPr>
          <w:noProof/>
        </w:rPr>
        <w:t>6.7</w:t>
      </w:r>
      <w:r>
        <w:rPr>
          <w:rFonts w:eastAsiaTheme="minorEastAsia" w:cstheme="minorBidi"/>
          <w:noProof/>
          <w:kern w:val="2"/>
          <w:sz w:val="24"/>
          <w:szCs w:val="24"/>
          <w14:ligatures w14:val="standardContextual"/>
        </w:rPr>
        <w:tab/>
      </w:r>
      <w:r>
        <w:rPr>
          <w:noProof/>
        </w:rPr>
        <w:t>Building</w:t>
      </w:r>
      <w:r>
        <w:rPr>
          <w:noProof/>
        </w:rPr>
        <w:noBreakHyphen/>
        <w:t>level CBA for Stringency Level 2 — C5OL</w:t>
      </w:r>
      <w:r>
        <w:rPr>
          <w:noProof/>
        </w:rPr>
        <w:tab/>
      </w:r>
      <w:r>
        <w:rPr>
          <w:noProof/>
        </w:rPr>
        <w:fldChar w:fldCharType="begin"/>
      </w:r>
      <w:r>
        <w:rPr>
          <w:noProof/>
        </w:rPr>
        <w:instrText xml:space="preserve"> PAGEREF _Toc178292594 \h </w:instrText>
      </w:r>
      <w:r>
        <w:rPr>
          <w:noProof/>
        </w:rPr>
      </w:r>
      <w:r>
        <w:rPr>
          <w:noProof/>
        </w:rPr>
        <w:fldChar w:fldCharType="separate"/>
      </w:r>
      <w:r>
        <w:rPr>
          <w:noProof/>
        </w:rPr>
        <w:t>97</w:t>
      </w:r>
      <w:r>
        <w:rPr>
          <w:noProof/>
        </w:rPr>
        <w:fldChar w:fldCharType="end"/>
      </w:r>
    </w:p>
    <w:p w14:paraId="0DBDB484" w14:textId="3D222651" w:rsidR="006E00A7" w:rsidRDefault="006E00A7">
      <w:pPr>
        <w:pStyle w:val="TableofFigures"/>
        <w:rPr>
          <w:rFonts w:eastAsiaTheme="minorEastAsia" w:cstheme="minorBidi"/>
          <w:noProof/>
          <w:kern w:val="2"/>
          <w:sz w:val="24"/>
          <w:szCs w:val="24"/>
          <w14:ligatures w14:val="standardContextual"/>
        </w:rPr>
      </w:pPr>
      <w:r>
        <w:rPr>
          <w:noProof/>
        </w:rPr>
        <w:t>6.8</w:t>
      </w:r>
      <w:r>
        <w:rPr>
          <w:rFonts w:eastAsiaTheme="minorEastAsia" w:cstheme="minorBidi"/>
          <w:noProof/>
          <w:kern w:val="2"/>
          <w:sz w:val="24"/>
          <w:szCs w:val="24"/>
          <w14:ligatures w14:val="standardContextual"/>
        </w:rPr>
        <w:tab/>
      </w:r>
      <w:r>
        <w:rPr>
          <w:noProof/>
        </w:rPr>
        <w:t>Building</w:t>
      </w:r>
      <w:r>
        <w:rPr>
          <w:noProof/>
        </w:rPr>
        <w:noBreakHyphen/>
        <w:t>level net benefits for Stringency Level 2 by archetype</w:t>
      </w:r>
      <w:r>
        <w:rPr>
          <w:noProof/>
        </w:rPr>
        <w:tab/>
      </w:r>
      <w:r>
        <w:rPr>
          <w:noProof/>
        </w:rPr>
        <w:fldChar w:fldCharType="begin"/>
      </w:r>
      <w:r>
        <w:rPr>
          <w:noProof/>
        </w:rPr>
        <w:instrText xml:space="preserve"> PAGEREF _Toc178292595 \h </w:instrText>
      </w:r>
      <w:r>
        <w:rPr>
          <w:noProof/>
        </w:rPr>
      </w:r>
      <w:r>
        <w:rPr>
          <w:noProof/>
        </w:rPr>
        <w:fldChar w:fldCharType="separate"/>
      </w:r>
      <w:r>
        <w:rPr>
          <w:noProof/>
        </w:rPr>
        <w:t>98</w:t>
      </w:r>
      <w:r>
        <w:rPr>
          <w:noProof/>
        </w:rPr>
        <w:fldChar w:fldCharType="end"/>
      </w:r>
    </w:p>
    <w:p w14:paraId="41C2D2C4" w14:textId="2D7E188C" w:rsidR="006E00A7" w:rsidRDefault="006E00A7">
      <w:pPr>
        <w:pStyle w:val="TableofFigures"/>
        <w:rPr>
          <w:rFonts w:eastAsiaTheme="minorEastAsia" w:cstheme="minorBidi"/>
          <w:noProof/>
          <w:kern w:val="2"/>
          <w:sz w:val="24"/>
          <w:szCs w:val="24"/>
          <w14:ligatures w14:val="standardContextual"/>
        </w:rPr>
      </w:pPr>
      <w:r>
        <w:rPr>
          <w:noProof/>
        </w:rPr>
        <w:t>6.9</w:t>
      </w:r>
      <w:r>
        <w:rPr>
          <w:rFonts w:eastAsiaTheme="minorEastAsia" w:cstheme="minorBidi"/>
          <w:noProof/>
          <w:kern w:val="2"/>
          <w:sz w:val="24"/>
          <w:szCs w:val="24"/>
          <w14:ligatures w14:val="standardContextual"/>
        </w:rPr>
        <w:tab/>
      </w:r>
      <w:r>
        <w:rPr>
          <w:noProof/>
        </w:rPr>
        <w:t>Stringency Level 3 estimated costs and benefits — C5OL</w:t>
      </w:r>
      <w:r>
        <w:rPr>
          <w:noProof/>
        </w:rPr>
        <w:tab/>
      </w:r>
      <w:r>
        <w:rPr>
          <w:noProof/>
        </w:rPr>
        <w:fldChar w:fldCharType="begin"/>
      </w:r>
      <w:r>
        <w:rPr>
          <w:noProof/>
        </w:rPr>
        <w:instrText xml:space="preserve"> PAGEREF _Toc178292596 \h </w:instrText>
      </w:r>
      <w:r>
        <w:rPr>
          <w:noProof/>
        </w:rPr>
      </w:r>
      <w:r>
        <w:rPr>
          <w:noProof/>
        </w:rPr>
        <w:fldChar w:fldCharType="separate"/>
      </w:r>
      <w:r>
        <w:rPr>
          <w:noProof/>
        </w:rPr>
        <w:t>100</w:t>
      </w:r>
      <w:r>
        <w:rPr>
          <w:noProof/>
        </w:rPr>
        <w:fldChar w:fldCharType="end"/>
      </w:r>
    </w:p>
    <w:p w14:paraId="6A1C867D" w14:textId="1233FF16" w:rsidR="006E00A7" w:rsidRDefault="006E00A7">
      <w:pPr>
        <w:pStyle w:val="TableofFigures"/>
        <w:rPr>
          <w:rFonts w:eastAsiaTheme="minorEastAsia" w:cstheme="minorBidi"/>
          <w:noProof/>
          <w:kern w:val="2"/>
          <w:sz w:val="24"/>
          <w:szCs w:val="24"/>
          <w14:ligatures w14:val="standardContextual"/>
        </w:rPr>
      </w:pPr>
      <w:r>
        <w:rPr>
          <w:noProof/>
        </w:rPr>
        <w:t>6.10</w:t>
      </w:r>
      <w:r>
        <w:rPr>
          <w:rFonts w:eastAsiaTheme="minorEastAsia" w:cstheme="minorBidi"/>
          <w:noProof/>
          <w:kern w:val="2"/>
          <w:sz w:val="24"/>
          <w:szCs w:val="24"/>
          <w14:ligatures w14:val="standardContextual"/>
        </w:rPr>
        <w:tab/>
      </w:r>
      <w:r>
        <w:rPr>
          <w:noProof/>
        </w:rPr>
        <w:t>Building</w:t>
      </w:r>
      <w:r>
        <w:rPr>
          <w:noProof/>
        </w:rPr>
        <w:noBreakHyphen/>
        <w:t>level net benefits for Stringency Level 3 by archetype</w:t>
      </w:r>
      <w:r>
        <w:rPr>
          <w:noProof/>
        </w:rPr>
        <w:tab/>
      </w:r>
      <w:r>
        <w:rPr>
          <w:noProof/>
        </w:rPr>
        <w:fldChar w:fldCharType="begin"/>
      </w:r>
      <w:r>
        <w:rPr>
          <w:noProof/>
        </w:rPr>
        <w:instrText xml:space="preserve"> PAGEREF _Toc178292597 \h </w:instrText>
      </w:r>
      <w:r>
        <w:rPr>
          <w:noProof/>
        </w:rPr>
      </w:r>
      <w:r>
        <w:rPr>
          <w:noProof/>
        </w:rPr>
        <w:fldChar w:fldCharType="separate"/>
      </w:r>
      <w:r>
        <w:rPr>
          <w:noProof/>
        </w:rPr>
        <w:t>100</w:t>
      </w:r>
      <w:r>
        <w:rPr>
          <w:noProof/>
        </w:rPr>
        <w:fldChar w:fldCharType="end"/>
      </w:r>
    </w:p>
    <w:p w14:paraId="636048B8" w14:textId="41DC458D" w:rsidR="006E00A7" w:rsidRDefault="006E00A7">
      <w:pPr>
        <w:pStyle w:val="TableofFigures"/>
        <w:rPr>
          <w:rFonts w:eastAsiaTheme="minorEastAsia" w:cstheme="minorBidi"/>
          <w:noProof/>
          <w:kern w:val="2"/>
          <w:sz w:val="24"/>
          <w:szCs w:val="24"/>
          <w14:ligatures w14:val="standardContextual"/>
        </w:rPr>
      </w:pPr>
      <w:r>
        <w:rPr>
          <w:noProof/>
        </w:rPr>
        <w:t>6.11</w:t>
      </w:r>
      <w:r>
        <w:rPr>
          <w:rFonts w:eastAsiaTheme="minorEastAsia" w:cstheme="minorBidi"/>
          <w:noProof/>
          <w:kern w:val="2"/>
          <w:sz w:val="24"/>
          <w:szCs w:val="24"/>
          <w14:ligatures w14:val="standardContextual"/>
        </w:rPr>
        <w:tab/>
      </w:r>
      <w:r>
        <w:rPr>
          <w:noProof/>
        </w:rPr>
        <w:t>Estimate additional savings in energy</w:t>
      </w:r>
      <w:r>
        <w:rPr>
          <w:noProof/>
        </w:rPr>
        <w:noBreakHyphen/>
        <w:t>related costs over building life under Stringency Level 3 relative to Stringency Level 2</w:t>
      </w:r>
      <w:r>
        <w:rPr>
          <w:noProof/>
        </w:rPr>
        <w:tab/>
      </w:r>
      <w:r>
        <w:rPr>
          <w:noProof/>
        </w:rPr>
        <w:fldChar w:fldCharType="begin"/>
      </w:r>
      <w:r>
        <w:rPr>
          <w:noProof/>
        </w:rPr>
        <w:instrText xml:space="preserve"> PAGEREF _Toc178292598 \h </w:instrText>
      </w:r>
      <w:r>
        <w:rPr>
          <w:noProof/>
        </w:rPr>
      </w:r>
      <w:r>
        <w:rPr>
          <w:noProof/>
        </w:rPr>
        <w:fldChar w:fldCharType="separate"/>
      </w:r>
      <w:r>
        <w:rPr>
          <w:noProof/>
        </w:rPr>
        <w:t>101</w:t>
      </w:r>
      <w:r>
        <w:rPr>
          <w:noProof/>
        </w:rPr>
        <w:fldChar w:fldCharType="end"/>
      </w:r>
    </w:p>
    <w:p w14:paraId="7FD2967A" w14:textId="4FD8419D" w:rsidR="006E00A7" w:rsidRDefault="006E00A7">
      <w:pPr>
        <w:pStyle w:val="TableofFigures"/>
        <w:rPr>
          <w:rFonts w:eastAsiaTheme="minorEastAsia" w:cstheme="minorBidi"/>
          <w:noProof/>
          <w:kern w:val="2"/>
          <w:sz w:val="24"/>
          <w:szCs w:val="24"/>
          <w14:ligatures w14:val="standardContextual"/>
        </w:rPr>
      </w:pPr>
      <w:r>
        <w:rPr>
          <w:noProof/>
        </w:rPr>
        <w:t>6.12</w:t>
      </w:r>
      <w:r>
        <w:rPr>
          <w:rFonts w:eastAsiaTheme="minorEastAsia" w:cstheme="minorBidi"/>
          <w:noProof/>
          <w:kern w:val="2"/>
          <w:sz w:val="24"/>
          <w:szCs w:val="24"/>
          <w14:ligatures w14:val="standardContextual"/>
        </w:rPr>
        <w:tab/>
      </w:r>
      <w:r>
        <w:rPr>
          <w:noProof/>
        </w:rPr>
        <w:t>Changes in capital-related costs over building life – Stringency Level 3</w:t>
      </w:r>
      <w:r>
        <w:rPr>
          <w:noProof/>
        </w:rPr>
        <w:tab/>
      </w:r>
      <w:r>
        <w:rPr>
          <w:noProof/>
        </w:rPr>
        <w:fldChar w:fldCharType="begin"/>
      </w:r>
      <w:r>
        <w:rPr>
          <w:noProof/>
        </w:rPr>
        <w:instrText xml:space="preserve"> PAGEREF _Toc178292599 \h </w:instrText>
      </w:r>
      <w:r>
        <w:rPr>
          <w:noProof/>
        </w:rPr>
      </w:r>
      <w:r>
        <w:rPr>
          <w:noProof/>
        </w:rPr>
        <w:fldChar w:fldCharType="separate"/>
      </w:r>
      <w:r>
        <w:rPr>
          <w:noProof/>
        </w:rPr>
        <w:t>101</w:t>
      </w:r>
      <w:r>
        <w:rPr>
          <w:noProof/>
        </w:rPr>
        <w:fldChar w:fldCharType="end"/>
      </w:r>
    </w:p>
    <w:p w14:paraId="4CE3CC24" w14:textId="7DC07990" w:rsidR="006E00A7" w:rsidRDefault="006E00A7">
      <w:pPr>
        <w:pStyle w:val="TableofFigures"/>
        <w:rPr>
          <w:rFonts w:eastAsiaTheme="minorEastAsia" w:cstheme="minorBidi"/>
          <w:noProof/>
          <w:kern w:val="2"/>
          <w:sz w:val="24"/>
          <w:szCs w:val="24"/>
          <w14:ligatures w14:val="standardContextual"/>
        </w:rPr>
      </w:pPr>
      <w:r>
        <w:rPr>
          <w:noProof/>
        </w:rPr>
        <w:t>7.1</w:t>
      </w:r>
      <w:r>
        <w:rPr>
          <w:rFonts w:eastAsiaTheme="minorEastAsia" w:cstheme="minorBidi"/>
          <w:noProof/>
          <w:kern w:val="2"/>
          <w:sz w:val="24"/>
          <w:szCs w:val="24"/>
          <w14:ligatures w14:val="standardContextual"/>
        </w:rPr>
        <w:tab/>
      </w:r>
      <w:r>
        <w:rPr>
          <w:noProof/>
        </w:rPr>
        <w:t>Estimated impacts of proposed options</w:t>
      </w:r>
      <w:r>
        <w:rPr>
          <w:noProof/>
        </w:rPr>
        <w:tab/>
      </w:r>
      <w:r>
        <w:rPr>
          <w:noProof/>
        </w:rPr>
        <w:fldChar w:fldCharType="begin"/>
      </w:r>
      <w:r>
        <w:rPr>
          <w:noProof/>
        </w:rPr>
        <w:instrText xml:space="preserve"> PAGEREF _Toc178292600 \h </w:instrText>
      </w:r>
      <w:r>
        <w:rPr>
          <w:noProof/>
        </w:rPr>
      </w:r>
      <w:r>
        <w:rPr>
          <w:noProof/>
        </w:rPr>
        <w:fldChar w:fldCharType="separate"/>
      </w:r>
      <w:r>
        <w:rPr>
          <w:noProof/>
        </w:rPr>
        <w:t>103</w:t>
      </w:r>
      <w:r>
        <w:rPr>
          <w:noProof/>
        </w:rPr>
        <w:fldChar w:fldCharType="end"/>
      </w:r>
    </w:p>
    <w:p w14:paraId="5A1B6ACD" w14:textId="0E7B2B89" w:rsidR="006E00A7" w:rsidRDefault="006E00A7">
      <w:pPr>
        <w:pStyle w:val="TableofFigures"/>
        <w:rPr>
          <w:rFonts w:eastAsiaTheme="minorEastAsia" w:cstheme="minorBidi"/>
          <w:noProof/>
          <w:kern w:val="2"/>
          <w:sz w:val="24"/>
          <w:szCs w:val="24"/>
          <w14:ligatures w14:val="standardContextual"/>
        </w:rPr>
      </w:pPr>
      <w:r>
        <w:rPr>
          <w:noProof/>
        </w:rPr>
        <w:t>7.2</w:t>
      </w:r>
      <w:r>
        <w:rPr>
          <w:rFonts w:eastAsiaTheme="minorEastAsia" w:cstheme="minorBidi"/>
          <w:noProof/>
          <w:kern w:val="2"/>
          <w:sz w:val="24"/>
          <w:szCs w:val="24"/>
          <w14:ligatures w14:val="standardContextual"/>
        </w:rPr>
        <w:tab/>
      </w:r>
      <w:r>
        <w:rPr>
          <w:noProof/>
        </w:rPr>
        <w:t>Commercial building stock projections</w:t>
      </w:r>
      <w:r>
        <w:rPr>
          <w:noProof/>
        </w:rPr>
        <w:tab/>
      </w:r>
      <w:r>
        <w:rPr>
          <w:noProof/>
        </w:rPr>
        <w:fldChar w:fldCharType="begin"/>
      </w:r>
      <w:r>
        <w:rPr>
          <w:noProof/>
        </w:rPr>
        <w:instrText xml:space="preserve"> PAGEREF _Toc178292601 \h </w:instrText>
      </w:r>
      <w:r>
        <w:rPr>
          <w:noProof/>
        </w:rPr>
      </w:r>
      <w:r>
        <w:rPr>
          <w:noProof/>
        </w:rPr>
        <w:fldChar w:fldCharType="separate"/>
      </w:r>
      <w:r>
        <w:rPr>
          <w:noProof/>
        </w:rPr>
        <w:t>105</w:t>
      </w:r>
      <w:r>
        <w:rPr>
          <w:noProof/>
        </w:rPr>
        <w:fldChar w:fldCharType="end"/>
      </w:r>
    </w:p>
    <w:p w14:paraId="68DD1FA0" w14:textId="036D4862" w:rsidR="006E00A7" w:rsidRDefault="006E00A7">
      <w:pPr>
        <w:pStyle w:val="TableofFigures"/>
        <w:rPr>
          <w:rFonts w:eastAsiaTheme="minorEastAsia" w:cstheme="minorBidi"/>
          <w:noProof/>
          <w:kern w:val="2"/>
          <w:sz w:val="24"/>
          <w:szCs w:val="24"/>
          <w14:ligatures w14:val="standardContextual"/>
        </w:rPr>
      </w:pPr>
      <w:r>
        <w:rPr>
          <w:noProof/>
        </w:rPr>
        <w:t>7.3</w:t>
      </w:r>
      <w:r>
        <w:rPr>
          <w:rFonts w:eastAsiaTheme="minorEastAsia" w:cstheme="minorBidi"/>
          <w:noProof/>
          <w:kern w:val="2"/>
          <w:sz w:val="24"/>
          <w:szCs w:val="24"/>
          <w14:ligatures w14:val="standardContextual"/>
        </w:rPr>
        <w:tab/>
      </w:r>
      <w:r>
        <w:rPr>
          <w:noProof/>
        </w:rPr>
        <w:t>New construction of commercial buildings: Step change</w:t>
      </w:r>
      <w:r>
        <w:rPr>
          <w:noProof/>
        </w:rPr>
        <w:tab/>
      </w:r>
      <w:r>
        <w:rPr>
          <w:noProof/>
        </w:rPr>
        <w:fldChar w:fldCharType="begin"/>
      </w:r>
      <w:r>
        <w:rPr>
          <w:noProof/>
        </w:rPr>
        <w:instrText xml:space="preserve"> PAGEREF _Toc178292602 \h </w:instrText>
      </w:r>
      <w:r>
        <w:rPr>
          <w:noProof/>
        </w:rPr>
      </w:r>
      <w:r>
        <w:rPr>
          <w:noProof/>
        </w:rPr>
        <w:fldChar w:fldCharType="separate"/>
      </w:r>
      <w:r>
        <w:rPr>
          <w:noProof/>
        </w:rPr>
        <w:t>106</w:t>
      </w:r>
      <w:r>
        <w:rPr>
          <w:noProof/>
        </w:rPr>
        <w:fldChar w:fldCharType="end"/>
      </w:r>
    </w:p>
    <w:p w14:paraId="06131F36" w14:textId="5E4E27AE" w:rsidR="006E00A7" w:rsidRDefault="006E00A7">
      <w:pPr>
        <w:pStyle w:val="TableofFigures"/>
        <w:rPr>
          <w:rFonts w:eastAsiaTheme="minorEastAsia" w:cstheme="minorBidi"/>
          <w:noProof/>
          <w:kern w:val="2"/>
          <w:sz w:val="24"/>
          <w:szCs w:val="24"/>
          <w14:ligatures w14:val="standardContextual"/>
        </w:rPr>
      </w:pPr>
      <w:r>
        <w:rPr>
          <w:noProof/>
        </w:rPr>
        <w:t>7.4</w:t>
      </w:r>
      <w:r>
        <w:rPr>
          <w:rFonts w:eastAsiaTheme="minorEastAsia" w:cstheme="minorBidi"/>
          <w:noProof/>
          <w:kern w:val="2"/>
          <w:sz w:val="24"/>
          <w:szCs w:val="24"/>
          <w14:ligatures w14:val="standardContextual"/>
        </w:rPr>
        <w:tab/>
      </w:r>
      <w:r>
        <w:rPr>
          <w:noProof/>
        </w:rPr>
        <w:t>New construction of commercial buildings by climate zone</w:t>
      </w:r>
      <w:r>
        <w:rPr>
          <w:noProof/>
        </w:rPr>
        <w:tab/>
      </w:r>
      <w:r>
        <w:rPr>
          <w:noProof/>
        </w:rPr>
        <w:fldChar w:fldCharType="begin"/>
      </w:r>
      <w:r>
        <w:rPr>
          <w:noProof/>
        </w:rPr>
        <w:instrText xml:space="preserve"> PAGEREF _Toc178292603 \h </w:instrText>
      </w:r>
      <w:r>
        <w:rPr>
          <w:noProof/>
        </w:rPr>
      </w:r>
      <w:r>
        <w:rPr>
          <w:noProof/>
        </w:rPr>
        <w:fldChar w:fldCharType="separate"/>
      </w:r>
      <w:r>
        <w:rPr>
          <w:noProof/>
        </w:rPr>
        <w:t>106</w:t>
      </w:r>
      <w:r>
        <w:rPr>
          <w:noProof/>
        </w:rPr>
        <w:fldChar w:fldCharType="end"/>
      </w:r>
    </w:p>
    <w:p w14:paraId="26A1052E" w14:textId="0AB5AFBE" w:rsidR="006E00A7" w:rsidRDefault="006E00A7">
      <w:pPr>
        <w:pStyle w:val="TableofFigures"/>
        <w:rPr>
          <w:rFonts w:eastAsiaTheme="minorEastAsia" w:cstheme="minorBidi"/>
          <w:noProof/>
          <w:kern w:val="2"/>
          <w:sz w:val="24"/>
          <w:szCs w:val="24"/>
          <w14:ligatures w14:val="standardContextual"/>
        </w:rPr>
      </w:pPr>
      <w:r>
        <w:rPr>
          <w:noProof/>
        </w:rPr>
        <w:t>7.5</w:t>
      </w:r>
      <w:r>
        <w:rPr>
          <w:rFonts w:eastAsiaTheme="minorEastAsia" w:cstheme="minorBidi"/>
          <w:noProof/>
          <w:kern w:val="2"/>
          <w:sz w:val="24"/>
          <w:szCs w:val="24"/>
          <w14:ligatures w14:val="standardContextual"/>
        </w:rPr>
        <w:tab/>
      </w:r>
      <w:r>
        <w:rPr>
          <w:noProof/>
        </w:rPr>
        <w:t>New construction of commercial buildings by jurisdiction</w:t>
      </w:r>
      <w:r>
        <w:rPr>
          <w:noProof/>
        </w:rPr>
        <w:tab/>
      </w:r>
      <w:r>
        <w:rPr>
          <w:noProof/>
        </w:rPr>
        <w:fldChar w:fldCharType="begin"/>
      </w:r>
      <w:r>
        <w:rPr>
          <w:noProof/>
        </w:rPr>
        <w:instrText xml:space="preserve"> PAGEREF _Toc178292604 \h </w:instrText>
      </w:r>
      <w:r>
        <w:rPr>
          <w:noProof/>
        </w:rPr>
      </w:r>
      <w:r>
        <w:rPr>
          <w:noProof/>
        </w:rPr>
        <w:fldChar w:fldCharType="separate"/>
      </w:r>
      <w:r>
        <w:rPr>
          <w:noProof/>
        </w:rPr>
        <w:t>107</w:t>
      </w:r>
      <w:r>
        <w:rPr>
          <w:noProof/>
        </w:rPr>
        <w:fldChar w:fldCharType="end"/>
      </w:r>
    </w:p>
    <w:p w14:paraId="0A506FC9" w14:textId="5AB5F090" w:rsidR="006E00A7" w:rsidRDefault="006E00A7">
      <w:pPr>
        <w:pStyle w:val="TableofFigures"/>
        <w:rPr>
          <w:rFonts w:eastAsiaTheme="minorEastAsia" w:cstheme="minorBidi"/>
          <w:noProof/>
          <w:kern w:val="2"/>
          <w:sz w:val="24"/>
          <w:szCs w:val="24"/>
          <w14:ligatures w14:val="standardContextual"/>
        </w:rPr>
      </w:pPr>
      <w:r>
        <w:rPr>
          <w:noProof/>
        </w:rPr>
        <w:t>7.6</w:t>
      </w:r>
      <w:r>
        <w:rPr>
          <w:rFonts w:eastAsiaTheme="minorEastAsia" w:cstheme="minorBidi"/>
          <w:noProof/>
          <w:kern w:val="2"/>
          <w:sz w:val="24"/>
          <w:szCs w:val="24"/>
          <w14:ligatures w14:val="standardContextual"/>
        </w:rPr>
        <w:tab/>
      </w:r>
      <w:r>
        <w:rPr>
          <w:noProof/>
        </w:rPr>
        <w:t>Estimated impacts by state/territory — Stringency Level 1</w:t>
      </w:r>
      <w:r>
        <w:rPr>
          <w:noProof/>
        </w:rPr>
        <w:tab/>
      </w:r>
      <w:r>
        <w:rPr>
          <w:noProof/>
        </w:rPr>
        <w:fldChar w:fldCharType="begin"/>
      </w:r>
      <w:r>
        <w:rPr>
          <w:noProof/>
        </w:rPr>
        <w:instrText xml:space="preserve"> PAGEREF _Toc178292605 \h </w:instrText>
      </w:r>
      <w:r>
        <w:rPr>
          <w:noProof/>
        </w:rPr>
      </w:r>
      <w:r>
        <w:rPr>
          <w:noProof/>
        </w:rPr>
        <w:fldChar w:fldCharType="separate"/>
      </w:r>
      <w:r>
        <w:rPr>
          <w:noProof/>
        </w:rPr>
        <w:t>107</w:t>
      </w:r>
      <w:r>
        <w:rPr>
          <w:noProof/>
        </w:rPr>
        <w:fldChar w:fldCharType="end"/>
      </w:r>
    </w:p>
    <w:p w14:paraId="4ADD1CBA" w14:textId="011DBFD4" w:rsidR="006E00A7" w:rsidRDefault="006E00A7">
      <w:pPr>
        <w:pStyle w:val="TableofFigures"/>
        <w:rPr>
          <w:rFonts w:eastAsiaTheme="minorEastAsia" w:cstheme="minorBidi"/>
          <w:noProof/>
          <w:kern w:val="2"/>
          <w:sz w:val="24"/>
          <w:szCs w:val="24"/>
          <w14:ligatures w14:val="standardContextual"/>
        </w:rPr>
      </w:pPr>
      <w:r>
        <w:rPr>
          <w:noProof/>
        </w:rPr>
        <w:t>7.7</w:t>
      </w:r>
      <w:r>
        <w:rPr>
          <w:rFonts w:eastAsiaTheme="minorEastAsia" w:cstheme="minorBidi"/>
          <w:noProof/>
          <w:kern w:val="2"/>
          <w:sz w:val="24"/>
          <w:szCs w:val="24"/>
          <w14:ligatures w14:val="standardContextual"/>
        </w:rPr>
        <w:tab/>
      </w:r>
      <w:r>
        <w:rPr>
          <w:noProof/>
        </w:rPr>
        <w:t>Estimated impacts by state/territory — Stringency Level 2</w:t>
      </w:r>
      <w:r>
        <w:rPr>
          <w:noProof/>
        </w:rPr>
        <w:tab/>
      </w:r>
      <w:r>
        <w:rPr>
          <w:noProof/>
        </w:rPr>
        <w:fldChar w:fldCharType="begin"/>
      </w:r>
      <w:r>
        <w:rPr>
          <w:noProof/>
        </w:rPr>
        <w:instrText xml:space="preserve"> PAGEREF _Toc178292606 \h </w:instrText>
      </w:r>
      <w:r>
        <w:rPr>
          <w:noProof/>
        </w:rPr>
      </w:r>
      <w:r>
        <w:rPr>
          <w:noProof/>
        </w:rPr>
        <w:fldChar w:fldCharType="separate"/>
      </w:r>
      <w:r>
        <w:rPr>
          <w:noProof/>
        </w:rPr>
        <w:t>109</w:t>
      </w:r>
      <w:r>
        <w:rPr>
          <w:noProof/>
        </w:rPr>
        <w:fldChar w:fldCharType="end"/>
      </w:r>
    </w:p>
    <w:p w14:paraId="1FA3F9F1" w14:textId="29C4FFF2" w:rsidR="006E00A7" w:rsidRDefault="006E00A7">
      <w:pPr>
        <w:pStyle w:val="TableofFigures"/>
        <w:rPr>
          <w:rFonts w:eastAsiaTheme="minorEastAsia" w:cstheme="minorBidi"/>
          <w:noProof/>
          <w:kern w:val="2"/>
          <w:sz w:val="24"/>
          <w:szCs w:val="24"/>
          <w14:ligatures w14:val="standardContextual"/>
        </w:rPr>
      </w:pPr>
      <w:r>
        <w:rPr>
          <w:noProof/>
        </w:rPr>
        <w:t>7.8</w:t>
      </w:r>
      <w:r>
        <w:rPr>
          <w:rFonts w:eastAsiaTheme="minorEastAsia" w:cstheme="minorBidi"/>
          <w:noProof/>
          <w:kern w:val="2"/>
          <w:sz w:val="24"/>
          <w:szCs w:val="24"/>
          <w14:ligatures w14:val="standardContextual"/>
        </w:rPr>
        <w:tab/>
      </w:r>
      <w:r>
        <w:rPr>
          <w:noProof/>
        </w:rPr>
        <w:t>Estimated impacts by state/territory — Stringency Level 3</w:t>
      </w:r>
      <w:r>
        <w:rPr>
          <w:noProof/>
        </w:rPr>
        <w:tab/>
      </w:r>
      <w:r>
        <w:rPr>
          <w:noProof/>
        </w:rPr>
        <w:fldChar w:fldCharType="begin"/>
      </w:r>
      <w:r>
        <w:rPr>
          <w:noProof/>
        </w:rPr>
        <w:instrText xml:space="preserve"> PAGEREF _Toc178292607 \h </w:instrText>
      </w:r>
      <w:r>
        <w:rPr>
          <w:noProof/>
        </w:rPr>
      </w:r>
      <w:r>
        <w:rPr>
          <w:noProof/>
        </w:rPr>
        <w:fldChar w:fldCharType="separate"/>
      </w:r>
      <w:r>
        <w:rPr>
          <w:noProof/>
        </w:rPr>
        <w:t>110</w:t>
      </w:r>
      <w:r>
        <w:rPr>
          <w:noProof/>
        </w:rPr>
        <w:fldChar w:fldCharType="end"/>
      </w:r>
    </w:p>
    <w:p w14:paraId="70B85B61" w14:textId="69D98DBC" w:rsidR="006E00A7" w:rsidRDefault="006E00A7">
      <w:pPr>
        <w:pStyle w:val="TableofFigures"/>
        <w:rPr>
          <w:rFonts w:eastAsiaTheme="minorEastAsia" w:cstheme="minorBidi"/>
          <w:noProof/>
          <w:kern w:val="2"/>
          <w:sz w:val="24"/>
          <w:szCs w:val="24"/>
          <w14:ligatures w14:val="standardContextual"/>
        </w:rPr>
      </w:pPr>
      <w:r>
        <w:rPr>
          <w:noProof/>
        </w:rPr>
        <w:t>7.9</w:t>
      </w:r>
      <w:r>
        <w:rPr>
          <w:rFonts w:eastAsiaTheme="minorEastAsia" w:cstheme="minorBidi"/>
          <w:noProof/>
          <w:kern w:val="2"/>
          <w:sz w:val="24"/>
          <w:szCs w:val="24"/>
          <w14:ligatures w14:val="standardContextual"/>
        </w:rPr>
        <w:tab/>
      </w:r>
      <w:r>
        <w:rPr>
          <w:noProof/>
        </w:rPr>
        <w:t>Avoided GHG emissions</w:t>
      </w:r>
      <w:r>
        <w:rPr>
          <w:noProof/>
        </w:rPr>
        <w:tab/>
      </w:r>
      <w:r>
        <w:rPr>
          <w:noProof/>
        </w:rPr>
        <w:fldChar w:fldCharType="begin"/>
      </w:r>
      <w:r>
        <w:rPr>
          <w:noProof/>
        </w:rPr>
        <w:instrText xml:space="preserve"> PAGEREF _Toc178292608 \h </w:instrText>
      </w:r>
      <w:r>
        <w:rPr>
          <w:noProof/>
        </w:rPr>
      </w:r>
      <w:r>
        <w:rPr>
          <w:noProof/>
        </w:rPr>
        <w:fldChar w:fldCharType="separate"/>
      </w:r>
      <w:r>
        <w:rPr>
          <w:noProof/>
        </w:rPr>
        <w:t>111</w:t>
      </w:r>
      <w:r>
        <w:rPr>
          <w:noProof/>
        </w:rPr>
        <w:fldChar w:fldCharType="end"/>
      </w:r>
    </w:p>
    <w:p w14:paraId="6B96875B" w14:textId="73B99F08" w:rsidR="006E00A7" w:rsidRDefault="006E00A7">
      <w:pPr>
        <w:pStyle w:val="TableofFigures"/>
        <w:rPr>
          <w:rFonts w:eastAsiaTheme="minorEastAsia" w:cstheme="minorBidi"/>
          <w:noProof/>
          <w:kern w:val="2"/>
          <w:sz w:val="24"/>
          <w:szCs w:val="24"/>
          <w14:ligatures w14:val="standardContextual"/>
        </w:rPr>
      </w:pPr>
      <w:r>
        <w:rPr>
          <w:noProof/>
        </w:rPr>
        <w:t>7.10</w:t>
      </w:r>
      <w:r>
        <w:rPr>
          <w:rFonts w:eastAsiaTheme="minorEastAsia" w:cstheme="minorBidi"/>
          <w:noProof/>
          <w:kern w:val="2"/>
          <w:sz w:val="24"/>
          <w:szCs w:val="24"/>
          <w14:ligatures w14:val="standardContextual"/>
        </w:rPr>
        <w:tab/>
      </w:r>
      <w:r>
        <w:rPr>
          <w:noProof/>
        </w:rPr>
        <w:t>Cumulative avoided GHG emissions</w:t>
      </w:r>
      <w:r>
        <w:rPr>
          <w:noProof/>
        </w:rPr>
        <w:tab/>
      </w:r>
      <w:r>
        <w:rPr>
          <w:noProof/>
        </w:rPr>
        <w:fldChar w:fldCharType="begin"/>
      </w:r>
      <w:r>
        <w:rPr>
          <w:noProof/>
        </w:rPr>
        <w:instrText xml:space="preserve"> PAGEREF _Toc178292609 \h </w:instrText>
      </w:r>
      <w:r>
        <w:rPr>
          <w:noProof/>
        </w:rPr>
      </w:r>
      <w:r>
        <w:rPr>
          <w:noProof/>
        </w:rPr>
        <w:fldChar w:fldCharType="separate"/>
      </w:r>
      <w:r>
        <w:rPr>
          <w:noProof/>
        </w:rPr>
        <w:t>112</w:t>
      </w:r>
      <w:r>
        <w:rPr>
          <w:noProof/>
        </w:rPr>
        <w:fldChar w:fldCharType="end"/>
      </w:r>
    </w:p>
    <w:p w14:paraId="08D3964A" w14:textId="3158F309" w:rsidR="006E00A7" w:rsidRDefault="006E00A7">
      <w:pPr>
        <w:pStyle w:val="TableofFigures"/>
        <w:rPr>
          <w:rFonts w:eastAsiaTheme="minorEastAsia" w:cstheme="minorBidi"/>
          <w:noProof/>
          <w:kern w:val="2"/>
          <w:sz w:val="24"/>
          <w:szCs w:val="24"/>
          <w14:ligatures w14:val="standardContextual"/>
        </w:rPr>
      </w:pPr>
      <w:r>
        <w:rPr>
          <w:noProof/>
        </w:rPr>
        <w:t>7.11</w:t>
      </w:r>
      <w:r>
        <w:rPr>
          <w:rFonts w:eastAsiaTheme="minorEastAsia" w:cstheme="minorBidi"/>
          <w:noProof/>
          <w:kern w:val="2"/>
          <w:sz w:val="24"/>
          <w:szCs w:val="24"/>
          <w14:ligatures w14:val="standardContextual"/>
        </w:rPr>
        <w:tab/>
      </w:r>
      <w:r>
        <w:rPr>
          <w:noProof/>
        </w:rPr>
        <w:t>Forecast minimum operational demand by NEM region</w:t>
      </w:r>
      <w:r>
        <w:rPr>
          <w:noProof/>
        </w:rPr>
        <w:tab/>
      </w:r>
      <w:r>
        <w:rPr>
          <w:noProof/>
        </w:rPr>
        <w:fldChar w:fldCharType="begin"/>
      </w:r>
      <w:r>
        <w:rPr>
          <w:noProof/>
        </w:rPr>
        <w:instrText xml:space="preserve"> PAGEREF _Toc178292610 \h </w:instrText>
      </w:r>
      <w:r>
        <w:rPr>
          <w:noProof/>
        </w:rPr>
      </w:r>
      <w:r>
        <w:rPr>
          <w:noProof/>
        </w:rPr>
        <w:fldChar w:fldCharType="separate"/>
      </w:r>
      <w:r>
        <w:rPr>
          <w:noProof/>
        </w:rPr>
        <w:t>112</w:t>
      </w:r>
      <w:r>
        <w:rPr>
          <w:noProof/>
        </w:rPr>
        <w:fldChar w:fldCharType="end"/>
      </w:r>
    </w:p>
    <w:p w14:paraId="38393B79" w14:textId="3E85E362" w:rsidR="006E00A7" w:rsidRDefault="006E00A7">
      <w:pPr>
        <w:pStyle w:val="TableofFigures"/>
        <w:rPr>
          <w:rFonts w:eastAsiaTheme="minorEastAsia" w:cstheme="minorBidi"/>
          <w:noProof/>
          <w:kern w:val="2"/>
          <w:sz w:val="24"/>
          <w:szCs w:val="24"/>
          <w14:ligatures w14:val="standardContextual"/>
        </w:rPr>
      </w:pPr>
      <w:r>
        <w:rPr>
          <w:noProof/>
        </w:rPr>
        <w:t>7.12</w:t>
      </w:r>
      <w:r>
        <w:rPr>
          <w:rFonts w:eastAsiaTheme="minorEastAsia" w:cstheme="minorBidi"/>
          <w:noProof/>
          <w:kern w:val="2"/>
          <w:sz w:val="24"/>
          <w:szCs w:val="24"/>
          <w14:ligatures w14:val="standardContextual"/>
        </w:rPr>
        <w:tab/>
      </w:r>
      <w:r>
        <w:rPr>
          <w:noProof/>
        </w:rPr>
        <w:t>Forecast change in minimum demand by NEM Region</w:t>
      </w:r>
      <w:r>
        <w:rPr>
          <w:noProof/>
        </w:rPr>
        <w:tab/>
      </w:r>
      <w:r>
        <w:rPr>
          <w:noProof/>
        </w:rPr>
        <w:fldChar w:fldCharType="begin"/>
      </w:r>
      <w:r>
        <w:rPr>
          <w:noProof/>
        </w:rPr>
        <w:instrText xml:space="preserve"> PAGEREF _Toc178292611 \h </w:instrText>
      </w:r>
      <w:r>
        <w:rPr>
          <w:noProof/>
        </w:rPr>
      </w:r>
      <w:r>
        <w:rPr>
          <w:noProof/>
        </w:rPr>
        <w:fldChar w:fldCharType="separate"/>
      </w:r>
      <w:r>
        <w:rPr>
          <w:noProof/>
        </w:rPr>
        <w:t>113</w:t>
      </w:r>
      <w:r>
        <w:rPr>
          <w:noProof/>
        </w:rPr>
        <w:fldChar w:fldCharType="end"/>
      </w:r>
    </w:p>
    <w:p w14:paraId="06AB5957" w14:textId="43E7BA33" w:rsidR="006E00A7" w:rsidRDefault="006E00A7">
      <w:pPr>
        <w:pStyle w:val="TableofFigures"/>
        <w:rPr>
          <w:rFonts w:eastAsiaTheme="minorEastAsia" w:cstheme="minorBidi"/>
          <w:noProof/>
          <w:kern w:val="2"/>
          <w:sz w:val="24"/>
          <w:szCs w:val="24"/>
          <w14:ligatures w14:val="standardContextual"/>
        </w:rPr>
      </w:pPr>
      <w:r>
        <w:rPr>
          <w:noProof/>
        </w:rPr>
        <w:t>7.13</w:t>
      </w:r>
      <w:r>
        <w:rPr>
          <w:rFonts w:eastAsiaTheme="minorEastAsia" w:cstheme="minorBidi"/>
          <w:noProof/>
          <w:kern w:val="2"/>
          <w:sz w:val="24"/>
          <w:szCs w:val="24"/>
          <w14:ligatures w14:val="standardContextual"/>
        </w:rPr>
        <w:tab/>
      </w:r>
      <w:r>
        <w:rPr>
          <w:noProof/>
        </w:rPr>
        <w:t>Potential impacts on minimum operational demand</w:t>
      </w:r>
      <w:r>
        <w:rPr>
          <w:noProof/>
        </w:rPr>
        <w:tab/>
      </w:r>
      <w:r>
        <w:rPr>
          <w:noProof/>
        </w:rPr>
        <w:fldChar w:fldCharType="begin"/>
      </w:r>
      <w:r>
        <w:rPr>
          <w:noProof/>
        </w:rPr>
        <w:instrText xml:space="preserve"> PAGEREF _Toc178292612 \h </w:instrText>
      </w:r>
      <w:r>
        <w:rPr>
          <w:noProof/>
        </w:rPr>
      </w:r>
      <w:r>
        <w:rPr>
          <w:noProof/>
        </w:rPr>
        <w:fldChar w:fldCharType="separate"/>
      </w:r>
      <w:r>
        <w:rPr>
          <w:noProof/>
        </w:rPr>
        <w:t>113</w:t>
      </w:r>
      <w:r>
        <w:rPr>
          <w:noProof/>
        </w:rPr>
        <w:fldChar w:fldCharType="end"/>
      </w:r>
    </w:p>
    <w:p w14:paraId="768F23E9" w14:textId="14CA45AF" w:rsidR="006E00A7" w:rsidRDefault="006E00A7">
      <w:pPr>
        <w:pStyle w:val="TableofFigures"/>
        <w:rPr>
          <w:rFonts w:eastAsiaTheme="minorEastAsia" w:cstheme="minorBidi"/>
          <w:noProof/>
          <w:kern w:val="2"/>
          <w:sz w:val="24"/>
          <w:szCs w:val="24"/>
          <w14:ligatures w14:val="standardContextual"/>
        </w:rPr>
      </w:pPr>
      <w:r>
        <w:rPr>
          <w:noProof/>
        </w:rPr>
        <w:t>7.14</w:t>
      </w:r>
      <w:r>
        <w:rPr>
          <w:rFonts w:eastAsiaTheme="minorEastAsia" w:cstheme="minorBidi"/>
          <w:noProof/>
          <w:kern w:val="2"/>
          <w:sz w:val="24"/>
          <w:szCs w:val="24"/>
          <w14:ligatures w14:val="standardContextual"/>
        </w:rPr>
        <w:tab/>
      </w:r>
      <w:r>
        <w:rPr>
          <w:noProof/>
        </w:rPr>
        <w:t>Future electrification scenario — summary</w:t>
      </w:r>
      <w:r>
        <w:rPr>
          <w:noProof/>
        </w:rPr>
        <w:tab/>
      </w:r>
      <w:r>
        <w:rPr>
          <w:noProof/>
        </w:rPr>
        <w:fldChar w:fldCharType="begin"/>
      </w:r>
      <w:r>
        <w:rPr>
          <w:noProof/>
        </w:rPr>
        <w:instrText xml:space="preserve"> PAGEREF _Toc178292613 \h </w:instrText>
      </w:r>
      <w:r>
        <w:rPr>
          <w:noProof/>
        </w:rPr>
      </w:r>
      <w:r>
        <w:rPr>
          <w:noProof/>
        </w:rPr>
        <w:fldChar w:fldCharType="separate"/>
      </w:r>
      <w:r>
        <w:rPr>
          <w:noProof/>
        </w:rPr>
        <w:t>115</w:t>
      </w:r>
      <w:r>
        <w:rPr>
          <w:noProof/>
        </w:rPr>
        <w:fldChar w:fldCharType="end"/>
      </w:r>
    </w:p>
    <w:p w14:paraId="6C61A285" w14:textId="6257DE0A" w:rsidR="006E00A7" w:rsidRDefault="006E00A7">
      <w:pPr>
        <w:pStyle w:val="TableofFigures"/>
        <w:rPr>
          <w:rFonts w:eastAsiaTheme="minorEastAsia" w:cstheme="minorBidi"/>
          <w:noProof/>
          <w:kern w:val="2"/>
          <w:sz w:val="24"/>
          <w:szCs w:val="24"/>
          <w14:ligatures w14:val="standardContextual"/>
        </w:rPr>
      </w:pPr>
      <w:r>
        <w:rPr>
          <w:noProof/>
        </w:rPr>
        <w:t>7.15</w:t>
      </w:r>
      <w:r>
        <w:rPr>
          <w:rFonts w:eastAsiaTheme="minorEastAsia" w:cstheme="minorBidi"/>
          <w:noProof/>
          <w:kern w:val="2"/>
          <w:sz w:val="24"/>
          <w:szCs w:val="24"/>
          <w14:ligatures w14:val="standardContextual"/>
        </w:rPr>
        <w:tab/>
      </w:r>
      <w:r>
        <w:rPr>
          <w:noProof/>
        </w:rPr>
        <w:t>Alternative future electrification scenario — net impacts</w:t>
      </w:r>
      <w:r>
        <w:rPr>
          <w:noProof/>
        </w:rPr>
        <w:tab/>
      </w:r>
      <w:r>
        <w:rPr>
          <w:noProof/>
        </w:rPr>
        <w:fldChar w:fldCharType="begin"/>
      </w:r>
      <w:r>
        <w:rPr>
          <w:noProof/>
        </w:rPr>
        <w:instrText xml:space="preserve"> PAGEREF _Toc178292614 \h </w:instrText>
      </w:r>
      <w:r>
        <w:rPr>
          <w:noProof/>
        </w:rPr>
      </w:r>
      <w:r>
        <w:rPr>
          <w:noProof/>
        </w:rPr>
        <w:fldChar w:fldCharType="separate"/>
      </w:r>
      <w:r>
        <w:rPr>
          <w:noProof/>
        </w:rPr>
        <w:t>116</w:t>
      </w:r>
      <w:r>
        <w:rPr>
          <w:noProof/>
        </w:rPr>
        <w:fldChar w:fldCharType="end"/>
      </w:r>
    </w:p>
    <w:p w14:paraId="78A4B256" w14:textId="650AD29A" w:rsidR="006E00A7" w:rsidRDefault="006E00A7">
      <w:pPr>
        <w:pStyle w:val="TableofFigures"/>
        <w:rPr>
          <w:rFonts w:eastAsiaTheme="minorEastAsia" w:cstheme="minorBidi"/>
          <w:noProof/>
          <w:kern w:val="2"/>
          <w:sz w:val="24"/>
          <w:szCs w:val="24"/>
          <w14:ligatures w14:val="standardContextual"/>
        </w:rPr>
      </w:pPr>
      <w:r>
        <w:rPr>
          <w:noProof/>
        </w:rPr>
        <w:t>7.16</w:t>
      </w:r>
      <w:r>
        <w:rPr>
          <w:rFonts w:eastAsiaTheme="minorEastAsia" w:cstheme="minorBidi"/>
          <w:noProof/>
          <w:kern w:val="2"/>
          <w:sz w:val="24"/>
          <w:szCs w:val="24"/>
          <w14:ligatures w14:val="standardContextual"/>
        </w:rPr>
        <w:tab/>
      </w:r>
      <w:r>
        <w:rPr>
          <w:noProof/>
        </w:rPr>
        <w:t>Break-even future electrification probability</w:t>
      </w:r>
      <w:r>
        <w:rPr>
          <w:noProof/>
        </w:rPr>
        <w:tab/>
      </w:r>
      <w:r>
        <w:rPr>
          <w:noProof/>
        </w:rPr>
        <w:fldChar w:fldCharType="begin"/>
      </w:r>
      <w:r>
        <w:rPr>
          <w:noProof/>
        </w:rPr>
        <w:instrText xml:space="preserve"> PAGEREF _Toc178292615 \h </w:instrText>
      </w:r>
      <w:r>
        <w:rPr>
          <w:noProof/>
        </w:rPr>
      </w:r>
      <w:r>
        <w:rPr>
          <w:noProof/>
        </w:rPr>
        <w:fldChar w:fldCharType="separate"/>
      </w:r>
      <w:r>
        <w:rPr>
          <w:noProof/>
        </w:rPr>
        <w:t>117</w:t>
      </w:r>
      <w:r>
        <w:rPr>
          <w:noProof/>
        </w:rPr>
        <w:fldChar w:fldCharType="end"/>
      </w:r>
    </w:p>
    <w:p w14:paraId="615A8E58" w14:textId="00A99F52" w:rsidR="006E00A7" w:rsidRDefault="006E00A7">
      <w:pPr>
        <w:pStyle w:val="TableofFigures"/>
        <w:rPr>
          <w:rFonts w:eastAsiaTheme="minorEastAsia" w:cstheme="minorBidi"/>
          <w:noProof/>
          <w:kern w:val="2"/>
          <w:sz w:val="24"/>
          <w:szCs w:val="24"/>
          <w14:ligatures w14:val="standardContextual"/>
        </w:rPr>
      </w:pPr>
      <w:r>
        <w:rPr>
          <w:noProof/>
        </w:rPr>
        <w:t>7.17</w:t>
      </w:r>
      <w:r>
        <w:rPr>
          <w:rFonts w:eastAsiaTheme="minorEastAsia" w:cstheme="minorBidi"/>
          <w:noProof/>
          <w:kern w:val="2"/>
          <w:sz w:val="24"/>
          <w:szCs w:val="24"/>
          <w14:ligatures w14:val="standardContextual"/>
        </w:rPr>
        <w:tab/>
      </w:r>
      <w:r>
        <w:rPr>
          <w:noProof/>
        </w:rPr>
        <w:t>No voluntary uptake of rooftop solar in base case — summary</w:t>
      </w:r>
      <w:r>
        <w:rPr>
          <w:noProof/>
        </w:rPr>
        <w:tab/>
      </w:r>
      <w:r>
        <w:rPr>
          <w:noProof/>
        </w:rPr>
        <w:fldChar w:fldCharType="begin"/>
      </w:r>
      <w:r>
        <w:rPr>
          <w:noProof/>
        </w:rPr>
        <w:instrText xml:space="preserve"> PAGEREF _Toc178292616 \h </w:instrText>
      </w:r>
      <w:r>
        <w:rPr>
          <w:noProof/>
        </w:rPr>
      </w:r>
      <w:r>
        <w:rPr>
          <w:noProof/>
        </w:rPr>
        <w:fldChar w:fldCharType="separate"/>
      </w:r>
      <w:r>
        <w:rPr>
          <w:noProof/>
        </w:rPr>
        <w:t>117</w:t>
      </w:r>
      <w:r>
        <w:rPr>
          <w:noProof/>
        </w:rPr>
        <w:fldChar w:fldCharType="end"/>
      </w:r>
    </w:p>
    <w:p w14:paraId="6A139E9B" w14:textId="16F9B748" w:rsidR="006E00A7" w:rsidRDefault="006E00A7">
      <w:pPr>
        <w:pStyle w:val="TableofFigures"/>
        <w:rPr>
          <w:rFonts w:eastAsiaTheme="minorEastAsia" w:cstheme="minorBidi"/>
          <w:noProof/>
          <w:kern w:val="2"/>
          <w:sz w:val="24"/>
          <w:szCs w:val="24"/>
          <w14:ligatures w14:val="standardContextual"/>
        </w:rPr>
      </w:pPr>
      <w:r>
        <w:rPr>
          <w:noProof/>
        </w:rPr>
        <w:t>7.18</w:t>
      </w:r>
      <w:r>
        <w:rPr>
          <w:rFonts w:eastAsiaTheme="minorEastAsia" w:cstheme="minorBidi"/>
          <w:noProof/>
          <w:kern w:val="2"/>
          <w:sz w:val="24"/>
          <w:szCs w:val="24"/>
          <w14:ligatures w14:val="standardContextual"/>
        </w:rPr>
        <w:tab/>
      </w:r>
      <w:r>
        <w:rPr>
          <w:noProof/>
        </w:rPr>
        <w:t>Estimated change in glazing costs</w:t>
      </w:r>
      <w:r>
        <w:rPr>
          <w:noProof/>
        </w:rPr>
        <w:tab/>
      </w:r>
      <w:r>
        <w:rPr>
          <w:noProof/>
        </w:rPr>
        <w:fldChar w:fldCharType="begin"/>
      </w:r>
      <w:r>
        <w:rPr>
          <w:noProof/>
        </w:rPr>
        <w:instrText xml:space="preserve"> PAGEREF _Toc178292617 \h </w:instrText>
      </w:r>
      <w:r>
        <w:rPr>
          <w:noProof/>
        </w:rPr>
      </w:r>
      <w:r>
        <w:rPr>
          <w:noProof/>
        </w:rPr>
        <w:fldChar w:fldCharType="separate"/>
      </w:r>
      <w:r>
        <w:rPr>
          <w:noProof/>
        </w:rPr>
        <w:t>118</w:t>
      </w:r>
      <w:r>
        <w:rPr>
          <w:noProof/>
        </w:rPr>
        <w:fldChar w:fldCharType="end"/>
      </w:r>
    </w:p>
    <w:p w14:paraId="0DB89BF2" w14:textId="23C753DB" w:rsidR="006E00A7" w:rsidRDefault="006E00A7">
      <w:pPr>
        <w:pStyle w:val="TableofFigures"/>
        <w:rPr>
          <w:rFonts w:eastAsiaTheme="minorEastAsia" w:cstheme="minorBidi"/>
          <w:noProof/>
          <w:kern w:val="2"/>
          <w:sz w:val="24"/>
          <w:szCs w:val="24"/>
          <w14:ligatures w14:val="standardContextual"/>
        </w:rPr>
      </w:pPr>
      <w:r>
        <w:rPr>
          <w:noProof/>
        </w:rPr>
        <w:t>7.19</w:t>
      </w:r>
      <w:r>
        <w:rPr>
          <w:rFonts w:eastAsiaTheme="minorEastAsia" w:cstheme="minorBidi"/>
          <w:noProof/>
          <w:kern w:val="2"/>
          <w:sz w:val="24"/>
          <w:szCs w:val="24"/>
          <w14:ligatures w14:val="standardContextual"/>
        </w:rPr>
        <w:tab/>
      </w:r>
      <w:r>
        <w:rPr>
          <w:noProof/>
        </w:rPr>
        <w:t>Alternative glazing cost estimates — summary</w:t>
      </w:r>
      <w:r>
        <w:rPr>
          <w:noProof/>
        </w:rPr>
        <w:tab/>
      </w:r>
      <w:r>
        <w:rPr>
          <w:noProof/>
        </w:rPr>
        <w:fldChar w:fldCharType="begin"/>
      </w:r>
      <w:r>
        <w:rPr>
          <w:noProof/>
        </w:rPr>
        <w:instrText xml:space="preserve"> PAGEREF _Toc178292618 \h </w:instrText>
      </w:r>
      <w:r>
        <w:rPr>
          <w:noProof/>
        </w:rPr>
      </w:r>
      <w:r>
        <w:rPr>
          <w:noProof/>
        </w:rPr>
        <w:fldChar w:fldCharType="separate"/>
      </w:r>
      <w:r>
        <w:rPr>
          <w:noProof/>
        </w:rPr>
        <w:t>120</w:t>
      </w:r>
      <w:r>
        <w:rPr>
          <w:noProof/>
        </w:rPr>
        <w:fldChar w:fldCharType="end"/>
      </w:r>
    </w:p>
    <w:p w14:paraId="7E433B26" w14:textId="718AC741" w:rsidR="006E00A7" w:rsidRDefault="006E00A7">
      <w:pPr>
        <w:pStyle w:val="TableofFigures"/>
        <w:rPr>
          <w:rFonts w:eastAsiaTheme="minorEastAsia" w:cstheme="minorBidi"/>
          <w:noProof/>
          <w:kern w:val="2"/>
          <w:sz w:val="24"/>
          <w:szCs w:val="24"/>
          <w14:ligatures w14:val="standardContextual"/>
        </w:rPr>
      </w:pPr>
      <w:r>
        <w:rPr>
          <w:noProof/>
        </w:rPr>
        <w:t>7.20</w:t>
      </w:r>
      <w:r>
        <w:rPr>
          <w:rFonts w:eastAsiaTheme="minorEastAsia" w:cstheme="minorBidi"/>
          <w:noProof/>
          <w:kern w:val="2"/>
          <w:sz w:val="24"/>
          <w:szCs w:val="24"/>
          <w14:ligatures w14:val="standardContextual"/>
        </w:rPr>
        <w:tab/>
      </w:r>
      <w:r>
        <w:rPr>
          <w:noProof/>
        </w:rPr>
        <w:t>Building level impacts incorporating shading costs — large office buildings</w:t>
      </w:r>
      <w:r>
        <w:rPr>
          <w:noProof/>
        </w:rPr>
        <w:tab/>
      </w:r>
      <w:r>
        <w:rPr>
          <w:noProof/>
        </w:rPr>
        <w:fldChar w:fldCharType="begin"/>
      </w:r>
      <w:r>
        <w:rPr>
          <w:noProof/>
        </w:rPr>
        <w:instrText xml:space="preserve"> PAGEREF _Toc178292619 \h </w:instrText>
      </w:r>
      <w:r>
        <w:rPr>
          <w:noProof/>
        </w:rPr>
      </w:r>
      <w:r>
        <w:rPr>
          <w:noProof/>
        </w:rPr>
        <w:fldChar w:fldCharType="separate"/>
      </w:r>
      <w:r>
        <w:rPr>
          <w:noProof/>
        </w:rPr>
        <w:t>122</w:t>
      </w:r>
      <w:r>
        <w:rPr>
          <w:noProof/>
        </w:rPr>
        <w:fldChar w:fldCharType="end"/>
      </w:r>
    </w:p>
    <w:p w14:paraId="74410F65" w14:textId="6EFD6C8B" w:rsidR="006E00A7" w:rsidRDefault="006E00A7">
      <w:pPr>
        <w:pStyle w:val="TableofFigures"/>
        <w:rPr>
          <w:rFonts w:eastAsiaTheme="minorEastAsia" w:cstheme="minorBidi"/>
          <w:noProof/>
          <w:kern w:val="2"/>
          <w:sz w:val="24"/>
          <w:szCs w:val="24"/>
          <w14:ligatures w14:val="standardContextual"/>
        </w:rPr>
      </w:pPr>
      <w:r>
        <w:rPr>
          <w:noProof/>
        </w:rPr>
        <w:t>7.21</w:t>
      </w:r>
      <w:r>
        <w:rPr>
          <w:rFonts w:eastAsiaTheme="minorEastAsia" w:cstheme="minorBidi"/>
          <w:noProof/>
          <w:kern w:val="2"/>
          <w:sz w:val="24"/>
          <w:szCs w:val="24"/>
          <w14:ligatures w14:val="standardContextual"/>
        </w:rPr>
        <w:tab/>
      </w:r>
      <w:r>
        <w:rPr>
          <w:noProof/>
        </w:rPr>
        <w:t>Aggregate impacts with shading costs included</w:t>
      </w:r>
      <w:r>
        <w:rPr>
          <w:noProof/>
        </w:rPr>
        <w:tab/>
      </w:r>
      <w:r>
        <w:rPr>
          <w:noProof/>
        </w:rPr>
        <w:fldChar w:fldCharType="begin"/>
      </w:r>
      <w:r>
        <w:rPr>
          <w:noProof/>
        </w:rPr>
        <w:instrText xml:space="preserve"> PAGEREF _Toc178292620 \h </w:instrText>
      </w:r>
      <w:r>
        <w:rPr>
          <w:noProof/>
        </w:rPr>
      </w:r>
      <w:r>
        <w:rPr>
          <w:noProof/>
        </w:rPr>
        <w:fldChar w:fldCharType="separate"/>
      </w:r>
      <w:r>
        <w:rPr>
          <w:noProof/>
        </w:rPr>
        <w:t>122</w:t>
      </w:r>
      <w:r>
        <w:rPr>
          <w:noProof/>
        </w:rPr>
        <w:fldChar w:fldCharType="end"/>
      </w:r>
    </w:p>
    <w:p w14:paraId="7EF899C9" w14:textId="5DD84B84" w:rsidR="006E00A7" w:rsidRDefault="006E00A7">
      <w:pPr>
        <w:pStyle w:val="TableofFigures"/>
        <w:rPr>
          <w:rFonts w:eastAsiaTheme="minorEastAsia" w:cstheme="minorBidi"/>
          <w:noProof/>
          <w:kern w:val="2"/>
          <w:sz w:val="24"/>
          <w:szCs w:val="24"/>
          <w14:ligatures w14:val="standardContextual"/>
        </w:rPr>
      </w:pPr>
      <w:r>
        <w:rPr>
          <w:noProof/>
        </w:rPr>
        <w:t>7.22</w:t>
      </w:r>
      <w:r>
        <w:rPr>
          <w:rFonts w:eastAsiaTheme="minorEastAsia" w:cstheme="minorBidi"/>
          <w:noProof/>
          <w:kern w:val="2"/>
          <w:sz w:val="24"/>
          <w:szCs w:val="24"/>
          <w14:ligatures w14:val="standardContextual"/>
        </w:rPr>
        <w:tab/>
      </w:r>
      <w:r>
        <w:rPr>
          <w:noProof/>
        </w:rPr>
        <w:t>CBA results using realisation rate of 50 per cent</w:t>
      </w:r>
      <w:r>
        <w:rPr>
          <w:noProof/>
        </w:rPr>
        <w:tab/>
      </w:r>
      <w:r>
        <w:rPr>
          <w:noProof/>
        </w:rPr>
        <w:fldChar w:fldCharType="begin"/>
      </w:r>
      <w:r>
        <w:rPr>
          <w:noProof/>
        </w:rPr>
        <w:instrText xml:space="preserve"> PAGEREF _Toc178292621 \h </w:instrText>
      </w:r>
      <w:r>
        <w:rPr>
          <w:noProof/>
        </w:rPr>
      </w:r>
      <w:r>
        <w:rPr>
          <w:noProof/>
        </w:rPr>
        <w:fldChar w:fldCharType="separate"/>
      </w:r>
      <w:r>
        <w:rPr>
          <w:noProof/>
        </w:rPr>
        <w:t>123</w:t>
      </w:r>
      <w:r>
        <w:rPr>
          <w:noProof/>
        </w:rPr>
        <w:fldChar w:fldCharType="end"/>
      </w:r>
    </w:p>
    <w:p w14:paraId="2230BD37" w14:textId="64B9BF0A" w:rsidR="006E00A7" w:rsidRDefault="006E00A7">
      <w:pPr>
        <w:pStyle w:val="TableofFigures"/>
        <w:rPr>
          <w:rFonts w:eastAsiaTheme="minorEastAsia" w:cstheme="minorBidi"/>
          <w:noProof/>
          <w:kern w:val="2"/>
          <w:sz w:val="24"/>
          <w:szCs w:val="24"/>
          <w14:ligatures w14:val="standardContextual"/>
        </w:rPr>
      </w:pPr>
      <w:r>
        <w:rPr>
          <w:noProof/>
        </w:rPr>
        <w:t>7.23</w:t>
      </w:r>
      <w:r>
        <w:rPr>
          <w:rFonts w:eastAsiaTheme="minorEastAsia" w:cstheme="minorBidi"/>
          <w:noProof/>
          <w:kern w:val="2"/>
          <w:sz w:val="24"/>
          <w:szCs w:val="24"/>
          <w14:ligatures w14:val="standardContextual"/>
        </w:rPr>
        <w:tab/>
      </w:r>
      <w:r>
        <w:rPr>
          <w:noProof/>
        </w:rPr>
        <w:t>CBA results using realisation rate of 75 per cent</w:t>
      </w:r>
      <w:r>
        <w:rPr>
          <w:noProof/>
        </w:rPr>
        <w:tab/>
      </w:r>
      <w:r>
        <w:rPr>
          <w:noProof/>
        </w:rPr>
        <w:fldChar w:fldCharType="begin"/>
      </w:r>
      <w:r>
        <w:rPr>
          <w:noProof/>
        </w:rPr>
        <w:instrText xml:space="preserve"> PAGEREF _Toc178292622 \h </w:instrText>
      </w:r>
      <w:r>
        <w:rPr>
          <w:noProof/>
        </w:rPr>
      </w:r>
      <w:r>
        <w:rPr>
          <w:noProof/>
        </w:rPr>
        <w:fldChar w:fldCharType="separate"/>
      </w:r>
      <w:r>
        <w:rPr>
          <w:noProof/>
        </w:rPr>
        <w:t>123</w:t>
      </w:r>
      <w:r>
        <w:rPr>
          <w:noProof/>
        </w:rPr>
        <w:fldChar w:fldCharType="end"/>
      </w:r>
    </w:p>
    <w:p w14:paraId="42D7B0EF" w14:textId="6338AAC0" w:rsidR="006E00A7" w:rsidRDefault="006E00A7">
      <w:pPr>
        <w:pStyle w:val="TableofFigures"/>
        <w:rPr>
          <w:rFonts w:eastAsiaTheme="minorEastAsia" w:cstheme="minorBidi"/>
          <w:noProof/>
          <w:kern w:val="2"/>
          <w:sz w:val="24"/>
          <w:szCs w:val="24"/>
          <w14:ligatures w14:val="standardContextual"/>
        </w:rPr>
      </w:pPr>
      <w:r>
        <w:rPr>
          <w:noProof/>
        </w:rPr>
        <w:t>7.24</w:t>
      </w:r>
      <w:r>
        <w:rPr>
          <w:rFonts w:eastAsiaTheme="minorEastAsia" w:cstheme="minorBidi"/>
          <w:noProof/>
          <w:kern w:val="2"/>
          <w:sz w:val="24"/>
          <w:szCs w:val="24"/>
          <w14:ligatures w14:val="standardContextual"/>
        </w:rPr>
        <w:tab/>
      </w:r>
      <w:r>
        <w:rPr>
          <w:noProof/>
        </w:rPr>
        <w:t>Alternative assumptions for sensitivity testing</w:t>
      </w:r>
      <w:r>
        <w:rPr>
          <w:noProof/>
        </w:rPr>
        <w:tab/>
      </w:r>
      <w:r>
        <w:rPr>
          <w:noProof/>
        </w:rPr>
        <w:fldChar w:fldCharType="begin"/>
      </w:r>
      <w:r>
        <w:rPr>
          <w:noProof/>
        </w:rPr>
        <w:instrText xml:space="preserve"> PAGEREF _Toc178292623 \h </w:instrText>
      </w:r>
      <w:r>
        <w:rPr>
          <w:noProof/>
        </w:rPr>
      </w:r>
      <w:r>
        <w:rPr>
          <w:noProof/>
        </w:rPr>
        <w:fldChar w:fldCharType="separate"/>
      </w:r>
      <w:r>
        <w:rPr>
          <w:noProof/>
        </w:rPr>
        <w:t>124</w:t>
      </w:r>
      <w:r>
        <w:rPr>
          <w:noProof/>
        </w:rPr>
        <w:fldChar w:fldCharType="end"/>
      </w:r>
    </w:p>
    <w:p w14:paraId="67ABA560" w14:textId="438537B0" w:rsidR="006E00A7" w:rsidRDefault="006E00A7">
      <w:pPr>
        <w:pStyle w:val="TableofFigures"/>
        <w:rPr>
          <w:rFonts w:eastAsiaTheme="minorEastAsia" w:cstheme="minorBidi"/>
          <w:noProof/>
          <w:kern w:val="2"/>
          <w:sz w:val="24"/>
          <w:szCs w:val="24"/>
          <w14:ligatures w14:val="standardContextual"/>
        </w:rPr>
      </w:pPr>
      <w:r>
        <w:rPr>
          <w:noProof/>
        </w:rPr>
        <w:t>7.25</w:t>
      </w:r>
      <w:r>
        <w:rPr>
          <w:rFonts w:eastAsiaTheme="minorEastAsia" w:cstheme="minorBidi"/>
          <w:noProof/>
          <w:kern w:val="2"/>
          <w:sz w:val="24"/>
          <w:szCs w:val="24"/>
          <w14:ligatures w14:val="standardContextual"/>
        </w:rPr>
        <w:tab/>
      </w:r>
      <w:r>
        <w:rPr>
          <w:noProof/>
        </w:rPr>
        <w:t>CBA results under different sensitivity assumptions — net present value</w:t>
      </w:r>
      <w:r>
        <w:rPr>
          <w:noProof/>
        </w:rPr>
        <w:tab/>
      </w:r>
      <w:r>
        <w:rPr>
          <w:noProof/>
        </w:rPr>
        <w:fldChar w:fldCharType="begin"/>
      </w:r>
      <w:r>
        <w:rPr>
          <w:noProof/>
        </w:rPr>
        <w:instrText xml:space="preserve"> PAGEREF _Toc178292624 \h </w:instrText>
      </w:r>
      <w:r>
        <w:rPr>
          <w:noProof/>
        </w:rPr>
      </w:r>
      <w:r>
        <w:rPr>
          <w:noProof/>
        </w:rPr>
        <w:fldChar w:fldCharType="separate"/>
      </w:r>
      <w:r>
        <w:rPr>
          <w:noProof/>
        </w:rPr>
        <w:t>125</w:t>
      </w:r>
      <w:r>
        <w:rPr>
          <w:noProof/>
        </w:rPr>
        <w:fldChar w:fldCharType="end"/>
      </w:r>
    </w:p>
    <w:p w14:paraId="3EF44AF0" w14:textId="29E7D454" w:rsidR="006E00A7" w:rsidRDefault="006E00A7">
      <w:pPr>
        <w:pStyle w:val="TableofFigures"/>
        <w:rPr>
          <w:rFonts w:eastAsiaTheme="minorEastAsia" w:cstheme="minorBidi"/>
          <w:noProof/>
          <w:kern w:val="2"/>
          <w:sz w:val="24"/>
          <w:szCs w:val="24"/>
          <w14:ligatures w14:val="standardContextual"/>
        </w:rPr>
      </w:pPr>
      <w:r>
        <w:rPr>
          <w:noProof/>
        </w:rPr>
        <w:t>8.1</w:t>
      </w:r>
      <w:r>
        <w:rPr>
          <w:rFonts w:eastAsiaTheme="minorEastAsia" w:cstheme="minorBidi"/>
          <w:noProof/>
          <w:kern w:val="2"/>
          <w:sz w:val="24"/>
          <w:szCs w:val="24"/>
          <w14:ligatures w14:val="standardContextual"/>
        </w:rPr>
        <w:tab/>
      </w:r>
      <w:r>
        <w:rPr>
          <w:noProof/>
        </w:rPr>
        <w:t>Net impact of proposed mandatory electric vehicle charging requirements</w:t>
      </w:r>
      <w:r>
        <w:rPr>
          <w:noProof/>
        </w:rPr>
        <w:tab/>
      </w:r>
      <w:r>
        <w:rPr>
          <w:noProof/>
        </w:rPr>
        <w:fldChar w:fldCharType="begin"/>
      </w:r>
      <w:r>
        <w:rPr>
          <w:noProof/>
        </w:rPr>
        <w:instrText xml:space="preserve"> PAGEREF _Toc178292625 \h </w:instrText>
      </w:r>
      <w:r>
        <w:rPr>
          <w:noProof/>
        </w:rPr>
      </w:r>
      <w:r>
        <w:rPr>
          <w:noProof/>
        </w:rPr>
        <w:fldChar w:fldCharType="separate"/>
      </w:r>
      <w:r>
        <w:rPr>
          <w:noProof/>
        </w:rPr>
        <w:t>127</w:t>
      </w:r>
      <w:r>
        <w:rPr>
          <w:noProof/>
        </w:rPr>
        <w:fldChar w:fldCharType="end"/>
      </w:r>
    </w:p>
    <w:p w14:paraId="3CEBA4B7" w14:textId="003ACF48" w:rsidR="006E00A7" w:rsidRDefault="006E00A7">
      <w:pPr>
        <w:pStyle w:val="TableofFigures"/>
        <w:rPr>
          <w:rFonts w:eastAsiaTheme="minorEastAsia" w:cstheme="minorBidi"/>
          <w:noProof/>
          <w:kern w:val="2"/>
          <w:sz w:val="24"/>
          <w:szCs w:val="24"/>
          <w14:ligatures w14:val="standardContextual"/>
        </w:rPr>
      </w:pPr>
      <w:r>
        <w:rPr>
          <w:noProof/>
        </w:rPr>
        <w:t>8.2</w:t>
      </w:r>
      <w:r>
        <w:rPr>
          <w:rFonts w:eastAsiaTheme="minorEastAsia" w:cstheme="minorBidi"/>
          <w:noProof/>
          <w:kern w:val="2"/>
          <w:sz w:val="24"/>
          <w:szCs w:val="24"/>
          <w14:ligatures w14:val="standardContextual"/>
        </w:rPr>
        <w:tab/>
      </w:r>
      <w:r>
        <w:rPr>
          <w:noProof/>
        </w:rPr>
        <w:t>Estimated cost of EV charging per building — summary</w:t>
      </w:r>
      <w:r>
        <w:rPr>
          <w:noProof/>
        </w:rPr>
        <w:tab/>
      </w:r>
      <w:r>
        <w:rPr>
          <w:noProof/>
        </w:rPr>
        <w:fldChar w:fldCharType="begin"/>
      </w:r>
      <w:r>
        <w:rPr>
          <w:noProof/>
        </w:rPr>
        <w:instrText xml:space="preserve"> PAGEREF _Toc178292626 \h </w:instrText>
      </w:r>
      <w:r>
        <w:rPr>
          <w:noProof/>
        </w:rPr>
      </w:r>
      <w:r>
        <w:rPr>
          <w:noProof/>
        </w:rPr>
        <w:fldChar w:fldCharType="separate"/>
      </w:r>
      <w:r>
        <w:rPr>
          <w:noProof/>
        </w:rPr>
        <w:t>127</w:t>
      </w:r>
      <w:r>
        <w:rPr>
          <w:noProof/>
        </w:rPr>
        <w:fldChar w:fldCharType="end"/>
      </w:r>
    </w:p>
    <w:p w14:paraId="371ADDEB" w14:textId="70DAE923" w:rsidR="006E00A7" w:rsidRDefault="006E00A7">
      <w:pPr>
        <w:pStyle w:val="TableofFigures"/>
        <w:rPr>
          <w:rFonts w:eastAsiaTheme="minorEastAsia" w:cstheme="minorBidi"/>
          <w:noProof/>
          <w:kern w:val="2"/>
          <w:sz w:val="24"/>
          <w:szCs w:val="24"/>
          <w14:ligatures w14:val="standardContextual"/>
        </w:rPr>
      </w:pPr>
      <w:r>
        <w:rPr>
          <w:noProof/>
        </w:rPr>
        <w:t>8.3</w:t>
      </w:r>
      <w:r>
        <w:rPr>
          <w:rFonts w:eastAsiaTheme="minorEastAsia" w:cstheme="minorBidi"/>
          <w:noProof/>
          <w:kern w:val="2"/>
          <w:sz w:val="24"/>
          <w:szCs w:val="24"/>
          <w14:ligatures w14:val="standardContextual"/>
        </w:rPr>
        <w:tab/>
      </w:r>
      <w:r>
        <w:rPr>
          <w:noProof/>
        </w:rPr>
        <w:t>Unit cost of charger installation — Internal car parks</w:t>
      </w:r>
      <w:r>
        <w:rPr>
          <w:noProof/>
        </w:rPr>
        <w:tab/>
      </w:r>
      <w:r>
        <w:rPr>
          <w:noProof/>
        </w:rPr>
        <w:fldChar w:fldCharType="begin"/>
      </w:r>
      <w:r>
        <w:rPr>
          <w:noProof/>
        </w:rPr>
        <w:instrText xml:space="preserve"> PAGEREF _Toc178292627 \h </w:instrText>
      </w:r>
      <w:r>
        <w:rPr>
          <w:noProof/>
        </w:rPr>
      </w:r>
      <w:r>
        <w:rPr>
          <w:noProof/>
        </w:rPr>
        <w:fldChar w:fldCharType="separate"/>
      </w:r>
      <w:r>
        <w:rPr>
          <w:noProof/>
        </w:rPr>
        <w:t>128</w:t>
      </w:r>
      <w:r>
        <w:rPr>
          <w:noProof/>
        </w:rPr>
        <w:fldChar w:fldCharType="end"/>
      </w:r>
    </w:p>
    <w:p w14:paraId="1CC04741" w14:textId="2A979287" w:rsidR="006E00A7" w:rsidRDefault="006E00A7">
      <w:pPr>
        <w:pStyle w:val="TableofFigures"/>
        <w:rPr>
          <w:rFonts w:eastAsiaTheme="minorEastAsia" w:cstheme="minorBidi"/>
          <w:noProof/>
          <w:kern w:val="2"/>
          <w:sz w:val="24"/>
          <w:szCs w:val="24"/>
          <w14:ligatures w14:val="standardContextual"/>
        </w:rPr>
      </w:pPr>
      <w:r>
        <w:rPr>
          <w:noProof/>
        </w:rPr>
        <w:t>8.4</w:t>
      </w:r>
      <w:r>
        <w:rPr>
          <w:rFonts w:eastAsiaTheme="minorEastAsia" w:cstheme="minorBidi"/>
          <w:noProof/>
          <w:kern w:val="2"/>
          <w:sz w:val="24"/>
          <w:szCs w:val="24"/>
          <w14:ligatures w14:val="standardContextual"/>
        </w:rPr>
        <w:tab/>
      </w:r>
      <w:r>
        <w:rPr>
          <w:noProof/>
        </w:rPr>
        <w:t>Unit cost of charger installation — External car parks</w:t>
      </w:r>
      <w:r>
        <w:rPr>
          <w:noProof/>
        </w:rPr>
        <w:tab/>
      </w:r>
      <w:r>
        <w:rPr>
          <w:noProof/>
        </w:rPr>
        <w:fldChar w:fldCharType="begin"/>
      </w:r>
      <w:r>
        <w:rPr>
          <w:noProof/>
        </w:rPr>
        <w:instrText xml:space="preserve"> PAGEREF _Toc178292628 \h </w:instrText>
      </w:r>
      <w:r>
        <w:rPr>
          <w:noProof/>
        </w:rPr>
      </w:r>
      <w:r>
        <w:rPr>
          <w:noProof/>
        </w:rPr>
        <w:fldChar w:fldCharType="separate"/>
      </w:r>
      <w:r>
        <w:rPr>
          <w:noProof/>
        </w:rPr>
        <w:t>129</w:t>
      </w:r>
      <w:r>
        <w:rPr>
          <w:noProof/>
        </w:rPr>
        <w:fldChar w:fldCharType="end"/>
      </w:r>
    </w:p>
    <w:p w14:paraId="177A5C03" w14:textId="5641A1B0" w:rsidR="006E00A7" w:rsidRDefault="006E00A7">
      <w:pPr>
        <w:pStyle w:val="TableofFigures"/>
        <w:rPr>
          <w:rFonts w:eastAsiaTheme="minorEastAsia" w:cstheme="minorBidi"/>
          <w:noProof/>
          <w:kern w:val="2"/>
          <w:sz w:val="24"/>
          <w:szCs w:val="24"/>
          <w14:ligatures w14:val="standardContextual"/>
        </w:rPr>
      </w:pPr>
      <w:r>
        <w:rPr>
          <w:noProof/>
        </w:rPr>
        <w:t>8.5</w:t>
      </w:r>
      <w:r>
        <w:rPr>
          <w:rFonts w:eastAsiaTheme="minorEastAsia" w:cstheme="minorBidi"/>
          <w:noProof/>
          <w:kern w:val="2"/>
          <w:sz w:val="24"/>
          <w:szCs w:val="24"/>
          <w14:ligatures w14:val="standardContextual"/>
        </w:rPr>
        <w:tab/>
      </w:r>
      <w:r>
        <w:rPr>
          <w:noProof/>
        </w:rPr>
        <w:t>Additional buildings installing EV charging facilities</w:t>
      </w:r>
      <w:r>
        <w:rPr>
          <w:noProof/>
        </w:rPr>
        <w:tab/>
      </w:r>
      <w:r>
        <w:rPr>
          <w:noProof/>
        </w:rPr>
        <w:fldChar w:fldCharType="begin"/>
      </w:r>
      <w:r>
        <w:rPr>
          <w:noProof/>
        </w:rPr>
        <w:instrText xml:space="preserve"> PAGEREF _Toc178292629 \h </w:instrText>
      </w:r>
      <w:r>
        <w:rPr>
          <w:noProof/>
        </w:rPr>
      </w:r>
      <w:r>
        <w:rPr>
          <w:noProof/>
        </w:rPr>
        <w:fldChar w:fldCharType="separate"/>
      </w:r>
      <w:r>
        <w:rPr>
          <w:noProof/>
        </w:rPr>
        <w:t>130</w:t>
      </w:r>
      <w:r>
        <w:rPr>
          <w:noProof/>
        </w:rPr>
        <w:fldChar w:fldCharType="end"/>
      </w:r>
    </w:p>
    <w:p w14:paraId="4C2898EF" w14:textId="19D055F7" w:rsidR="006E00A7" w:rsidRDefault="006E00A7">
      <w:pPr>
        <w:pStyle w:val="TableofFigures"/>
        <w:rPr>
          <w:rFonts w:eastAsiaTheme="minorEastAsia" w:cstheme="minorBidi"/>
          <w:noProof/>
          <w:kern w:val="2"/>
          <w:sz w:val="24"/>
          <w:szCs w:val="24"/>
          <w14:ligatures w14:val="standardContextual"/>
        </w:rPr>
      </w:pPr>
      <w:r>
        <w:rPr>
          <w:noProof/>
        </w:rPr>
        <w:t>8.6</w:t>
      </w:r>
      <w:r>
        <w:rPr>
          <w:rFonts w:eastAsiaTheme="minorEastAsia" w:cstheme="minorBidi"/>
          <w:noProof/>
          <w:kern w:val="2"/>
          <w:sz w:val="24"/>
          <w:szCs w:val="24"/>
          <w14:ligatures w14:val="standardContextual"/>
        </w:rPr>
        <w:tab/>
      </w:r>
      <w:r>
        <w:rPr>
          <w:noProof/>
        </w:rPr>
        <w:t>Estimated costs of mandatory EV charging requirements</w:t>
      </w:r>
      <w:r>
        <w:rPr>
          <w:noProof/>
        </w:rPr>
        <w:tab/>
      </w:r>
      <w:r>
        <w:rPr>
          <w:noProof/>
        </w:rPr>
        <w:fldChar w:fldCharType="begin"/>
      </w:r>
      <w:r>
        <w:rPr>
          <w:noProof/>
        </w:rPr>
        <w:instrText xml:space="preserve"> PAGEREF _Toc178292630 \h </w:instrText>
      </w:r>
      <w:r>
        <w:rPr>
          <w:noProof/>
        </w:rPr>
      </w:r>
      <w:r>
        <w:rPr>
          <w:noProof/>
        </w:rPr>
        <w:fldChar w:fldCharType="separate"/>
      </w:r>
      <w:r>
        <w:rPr>
          <w:noProof/>
        </w:rPr>
        <w:t>130</w:t>
      </w:r>
      <w:r>
        <w:rPr>
          <w:noProof/>
        </w:rPr>
        <w:fldChar w:fldCharType="end"/>
      </w:r>
    </w:p>
    <w:p w14:paraId="4C7FEB5B" w14:textId="32FE8596" w:rsidR="006E00A7" w:rsidRDefault="006E00A7">
      <w:pPr>
        <w:pStyle w:val="TableofFigures"/>
        <w:rPr>
          <w:rFonts w:eastAsiaTheme="minorEastAsia" w:cstheme="minorBidi"/>
          <w:noProof/>
          <w:kern w:val="2"/>
          <w:sz w:val="24"/>
          <w:szCs w:val="24"/>
          <w14:ligatures w14:val="standardContextual"/>
        </w:rPr>
      </w:pPr>
      <w:r>
        <w:rPr>
          <w:noProof/>
        </w:rPr>
        <w:t>8.7</w:t>
      </w:r>
      <w:r>
        <w:rPr>
          <w:rFonts w:eastAsiaTheme="minorEastAsia" w:cstheme="minorBidi"/>
          <w:noProof/>
          <w:kern w:val="2"/>
          <w:sz w:val="24"/>
          <w:szCs w:val="24"/>
          <w14:ligatures w14:val="standardContextual"/>
        </w:rPr>
        <w:tab/>
      </w:r>
      <w:r>
        <w:rPr>
          <w:noProof/>
        </w:rPr>
        <w:t>Projected vehicle sales under the base case</w:t>
      </w:r>
      <w:r>
        <w:rPr>
          <w:noProof/>
        </w:rPr>
        <w:tab/>
      </w:r>
      <w:r>
        <w:rPr>
          <w:noProof/>
        </w:rPr>
        <w:fldChar w:fldCharType="begin"/>
      </w:r>
      <w:r>
        <w:rPr>
          <w:noProof/>
        </w:rPr>
        <w:instrText xml:space="preserve"> PAGEREF _Toc178292631 \h </w:instrText>
      </w:r>
      <w:r>
        <w:rPr>
          <w:noProof/>
        </w:rPr>
      </w:r>
      <w:r>
        <w:rPr>
          <w:noProof/>
        </w:rPr>
        <w:fldChar w:fldCharType="separate"/>
      </w:r>
      <w:r>
        <w:rPr>
          <w:noProof/>
        </w:rPr>
        <w:t>132</w:t>
      </w:r>
      <w:r>
        <w:rPr>
          <w:noProof/>
        </w:rPr>
        <w:fldChar w:fldCharType="end"/>
      </w:r>
    </w:p>
    <w:p w14:paraId="6274D66D" w14:textId="40EDE705" w:rsidR="006E00A7" w:rsidRDefault="006E00A7">
      <w:pPr>
        <w:pStyle w:val="TableofFigures"/>
        <w:rPr>
          <w:rFonts w:eastAsiaTheme="minorEastAsia" w:cstheme="minorBidi"/>
          <w:noProof/>
          <w:kern w:val="2"/>
          <w:sz w:val="24"/>
          <w:szCs w:val="24"/>
          <w14:ligatures w14:val="standardContextual"/>
        </w:rPr>
      </w:pPr>
      <w:r>
        <w:rPr>
          <w:noProof/>
        </w:rPr>
        <w:t>8.8</w:t>
      </w:r>
      <w:r>
        <w:rPr>
          <w:rFonts w:eastAsiaTheme="minorEastAsia" w:cstheme="minorBidi"/>
          <w:noProof/>
          <w:kern w:val="2"/>
          <w:sz w:val="24"/>
          <w:szCs w:val="24"/>
          <w14:ligatures w14:val="standardContextual"/>
        </w:rPr>
        <w:tab/>
      </w:r>
      <w:r>
        <w:rPr>
          <w:noProof/>
        </w:rPr>
        <w:t>Projected electric vehicle share of stock under the base case</w:t>
      </w:r>
      <w:r>
        <w:rPr>
          <w:noProof/>
        </w:rPr>
        <w:tab/>
      </w:r>
      <w:r>
        <w:rPr>
          <w:noProof/>
        </w:rPr>
        <w:fldChar w:fldCharType="begin"/>
      </w:r>
      <w:r>
        <w:rPr>
          <w:noProof/>
        </w:rPr>
        <w:instrText xml:space="preserve"> PAGEREF _Toc178292632 \h </w:instrText>
      </w:r>
      <w:r>
        <w:rPr>
          <w:noProof/>
        </w:rPr>
      </w:r>
      <w:r>
        <w:rPr>
          <w:noProof/>
        </w:rPr>
        <w:fldChar w:fldCharType="separate"/>
      </w:r>
      <w:r>
        <w:rPr>
          <w:noProof/>
        </w:rPr>
        <w:t>132</w:t>
      </w:r>
      <w:r>
        <w:rPr>
          <w:noProof/>
        </w:rPr>
        <w:fldChar w:fldCharType="end"/>
      </w:r>
    </w:p>
    <w:p w14:paraId="375301AB" w14:textId="6F1AAED7" w:rsidR="006E00A7" w:rsidRDefault="006E00A7">
      <w:pPr>
        <w:pStyle w:val="TableofFigures"/>
        <w:rPr>
          <w:rFonts w:eastAsiaTheme="minorEastAsia" w:cstheme="minorBidi"/>
          <w:noProof/>
          <w:kern w:val="2"/>
          <w:sz w:val="24"/>
          <w:szCs w:val="24"/>
          <w14:ligatures w14:val="standardContextual"/>
        </w:rPr>
      </w:pPr>
      <w:r>
        <w:rPr>
          <w:noProof/>
        </w:rPr>
        <w:t>8.9</w:t>
      </w:r>
      <w:r>
        <w:rPr>
          <w:rFonts w:eastAsiaTheme="minorEastAsia" w:cstheme="minorBidi"/>
          <w:noProof/>
          <w:kern w:val="2"/>
          <w:sz w:val="24"/>
          <w:szCs w:val="24"/>
          <w14:ligatures w14:val="standardContextual"/>
        </w:rPr>
        <w:tab/>
      </w:r>
      <w:r>
        <w:rPr>
          <w:noProof/>
        </w:rPr>
        <w:t>Share of new commercial buildings with electric vehicle charging</w:t>
      </w:r>
      <w:r>
        <w:rPr>
          <w:noProof/>
        </w:rPr>
        <w:tab/>
      </w:r>
      <w:r>
        <w:rPr>
          <w:noProof/>
        </w:rPr>
        <w:fldChar w:fldCharType="begin"/>
      </w:r>
      <w:r>
        <w:rPr>
          <w:noProof/>
        </w:rPr>
        <w:instrText xml:space="preserve"> PAGEREF _Toc178292633 \h </w:instrText>
      </w:r>
      <w:r>
        <w:rPr>
          <w:noProof/>
        </w:rPr>
      </w:r>
      <w:r>
        <w:rPr>
          <w:noProof/>
        </w:rPr>
        <w:fldChar w:fldCharType="separate"/>
      </w:r>
      <w:r>
        <w:rPr>
          <w:noProof/>
        </w:rPr>
        <w:t>133</w:t>
      </w:r>
      <w:r>
        <w:rPr>
          <w:noProof/>
        </w:rPr>
        <w:fldChar w:fldCharType="end"/>
      </w:r>
    </w:p>
    <w:p w14:paraId="0673D072" w14:textId="5D99F585" w:rsidR="006E00A7" w:rsidRDefault="006E00A7">
      <w:pPr>
        <w:pStyle w:val="TableofFigures"/>
        <w:rPr>
          <w:rFonts w:eastAsiaTheme="minorEastAsia" w:cstheme="minorBidi"/>
          <w:noProof/>
          <w:kern w:val="2"/>
          <w:sz w:val="24"/>
          <w:szCs w:val="24"/>
          <w14:ligatures w14:val="standardContextual"/>
        </w:rPr>
      </w:pPr>
      <w:r>
        <w:rPr>
          <w:noProof/>
        </w:rPr>
        <w:t>8.10</w:t>
      </w:r>
      <w:r>
        <w:rPr>
          <w:rFonts w:eastAsiaTheme="minorEastAsia" w:cstheme="minorBidi"/>
          <w:noProof/>
          <w:kern w:val="2"/>
          <w:sz w:val="24"/>
          <w:szCs w:val="24"/>
          <w14:ligatures w14:val="standardContextual"/>
        </w:rPr>
        <w:tab/>
      </w:r>
      <w:r>
        <w:rPr>
          <w:noProof/>
        </w:rPr>
        <w:t>Share of commercial building stock with electric vehicle charging</w:t>
      </w:r>
      <w:r>
        <w:rPr>
          <w:noProof/>
        </w:rPr>
        <w:tab/>
      </w:r>
      <w:r>
        <w:rPr>
          <w:noProof/>
        </w:rPr>
        <w:fldChar w:fldCharType="begin"/>
      </w:r>
      <w:r>
        <w:rPr>
          <w:noProof/>
        </w:rPr>
        <w:instrText xml:space="preserve"> PAGEREF _Toc178292634 \h </w:instrText>
      </w:r>
      <w:r>
        <w:rPr>
          <w:noProof/>
        </w:rPr>
      </w:r>
      <w:r>
        <w:rPr>
          <w:noProof/>
        </w:rPr>
        <w:fldChar w:fldCharType="separate"/>
      </w:r>
      <w:r>
        <w:rPr>
          <w:noProof/>
        </w:rPr>
        <w:t>134</w:t>
      </w:r>
      <w:r>
        <w:rPr>
          <w:noProof/>
        </w:rPr>
        <w:fldChar w:fldCharType="end"/>
      </w:r>
    </w:p>
    <w:p w14:paraId="2410584B" w14:textId="5A6B2A92" w:rsidR="006E00A7" w:rsidRDefault="006E00A7">
      <w:pPr>
        <w:pStyle w:val="TableofFigures"/>
        <w:rPr>
          <w:rFonts w:eastAsiaTheme="minorEastAsia" w:cstheme="minorBidi"/>
          <w:noProof/>
          <w:kern w:val="2"/>
          <w:sz w:val="24"/>
          <w:szCs w:val="24"/>
          <w14:ligatures w14:val="standardContextual"/>
        </w:rPr>
      </w:pPr>
      <w:r>
        <w:rPr>
          <w:noProof/>
        </w:rPr>
        <w:t>8.11</w:t>
      </w:r>
      <w:r>
        <w:rPr>
          <w:rFonts w:eastAsiaTheme="minorEastAsia" w:cstheme="minorBidi"/>
          <w:noProof/>
          <w:kern w:val="2"/>
          <w:sz w:val="24"/>
          <w:szCs w:val="24"/>
          <w14:ligatures w14:val="standardContextual"/>
        </w:rPr>
        <w:tab/>
      </w:r>
      <w:r>
        <w:rPr>
          <w:noProof/>
        </w:rPr>
        <w:t>Model of vehicle demand</w:t>
      </w:r>
      <w:r>
        <w:rPr>
          <w:noProof/>
        </w:rPr>
        <w:tab/>
      </w:r>
      <w:r>
        <w:rPr>
          <w:noProof/>
        </w:rPr>
        <w:fldChar w:fldCharType="begin"/>
      </w:r>
      <w:r>
        <w:rPr>
          <w:noProof/>
        </w:rPr>
        <w:instrText xml:space="preserve"> PAGEREF _Toc178292635 \h </w:instrText>
      </w:r>
      <w:r>
        <w:rPr>
          <w:noProof/>
        </w:rPr>
      </w:r>
      <w:r>
        <w:rPr>
          <w:noProof/>
        </w:rPr>
        <w:fldChar w:fldCharType="separate"/>
      </w:r>
      <w:r>
        <w:rPr>
          <w:noProof/>
        </w:rPr>
        <w:t>135</w:t>
      </w:r>
      <w:r>
        <w:rPr>
          <w:noProof/>
        </w:rPr>
        <w:fldChar w:fldCharType="end"/>
      </w:r>
    </w:p>
    <w:p w14:paraId="2217F589" w14:textId="282AA2C5" w:rsidR="006E00A7" w:rsidRDefault="006E00A7">
      <w:pPr>
        <w:pStyle w:val="TableofFigures"/>
        <w:rPr>
          <w:rFonts w:eastAsiaTheme="minorEastAsia" w:cstheme="minorBidi"/>
          <w:noProof/>
          <w:kern w:val="2"/>
          <w:sz w:val="24"/>
          <w:szCs w:val="24"/>
          <w14:ligatures w14:val="standardContextual"/>
        </w:rPr>
      </w:pPr>
      <w:r>
        <w:rPr>
          <w:noProof/>
        </w:rPr>
        <w:t>8.12</w:t>
      </w:r>
      <w:r>
        <w:rPr>
          <w:rFonts w:eastAsiaTheme="minorEastAsia" w:cstheme="minorBidi"/>
          <w:noProof/>
          <w:kern w:val="2"/>
          <w:sz w:val="24"/>
          <w:szCs w:val="24"/>
          <w14:ligatures w14:val="standardContextual"/>
        </w:rPr>
        <w:tab/>
      </w:r>
      <w:r>
        <w:rPr>
          <w:noProof/>
        </w:rPr>
        <w:t>Electric vehicle sales induced by the policy options</w:t>
      </w:r>
      <w:r>
        <w:rPr>
          <w:noProof/>
        </w:rPr>
        <w:tab/>
      </w:r>
      <w:r>
        <w:rPr>
          <w:noProof/>
        </w:rPr>
        <w:fldChar w:fldCharType="begin"/>
      </w:r>
      <w:r>
        <w:rPr>
          <w:noProof/>
        </w:rPr>
        <w:instrText xml:space="preserve"> PAGEREF _Toc178292636 \h </w:instrText>
      </w:r>
      <w:r>
        <w:rPr>
          <w:noProof/>
        </w:rPr>
      </w:r>
      <w:r>
        <w:rPr>
          <w:noProof/>
        </w:rPr>
        <w:fldChar w:fldCharType="separate"/>
      </w:r>
      <w:r>
        <w:rPr>
          <w:noProof/>
        </w:rPr>
        <w:t>135</w:t>
      </w:r>
      <w:r>
        <w:rPr>
          <w:noProof/>
        </w:rPr>
        <w:fldChar w:fldCharType="end"/>
      </w:r>
    </w:p>
    <w:p w14:paraId="0C335CC5" w14:textId="3D8067A4" w:rsidR="006E00A7" w:rsidRDefault="006E00A7">
      <w:pPr>
        <w:pStyle w:val="TableofFigures"/>
        <w:rPr>
          <w:rFonts w:eastAsiaTheme="minorEastAsia" w:cstheme="minorBidi"/>
          <w:noProof/>
          <w:kern w:val="2"/>
          <w:sz w:val="24"/>
          <w:szCs w:val="24"/>
          <w14:ligatures w14:val="standardContextual"/>
        </w:rPr>
      </w:pPr>
      <w:r>
        <w:rPr>
          <w:noProof/>
        </w:rPr>
        <w:t>8.13</w:t>
      </w:r>
      <w:r>
        <w:rPr>
          <w:rFonts w:eastAsiaTheme="minorEastAsia" w:cstheme="minorBidi"/>
          <w:noProof/>
          <w:kern w:val="2"/>
          <w:sz w:val="24"/>
          <w:szCs w:val="24"/>
          <w14:ligatures w14:val="standardContextual"/>
        </w:rPr>
        <w:tab/>
      </w:r>
      <w:r>
        <w:rPr>
          <w:noProof/>
        </w:rPr>
        <w:t>Willingness to pay for improved destination charging availability</w:t>
      </w:r>
      <w:r>
        <w:rPr>
          <w:noProof/>
        </w:rPr>
        <w:tab/>
      </w:r>
      <w:r>
        <w:rPr>
          <w:noProof/>
        </w:rPr>
        <w:fldChar w:fldCharType="begin"/>
      </w:r>
      <w:r>
        <w:rPr>
          <w:noProof/>
        </w:rPr>
        <w:instrText xml:space="preserve"> PAGEREF _Toc178292637 \h </w:instrText>
      </w:r>
      <w:r>
        <w:rPr>
          <w:noProof/>
        </w:rPr>
      </w:r>
      <w:r>
        <w:rPr>
          <w:noProof/>
        </w:rPr>
        <w:fldChar w:fldCharType="separate"/>
      </w:r>
      <w:r>
        <w:rPr>
          <w:noProof/>
        </w:rPr>
        <w:t>136</w:t>
      </w:r>
      <w:r>
        <w:rPr>
          <w:noProof/>
        </w:rPr>
        <w:fldChar w:fldCharType="end"/>
      </w:r>
    </w:p>
    <w:p w14:paraId="297A966F" w14:textId="2C5D7B75" w:rsidR="006E00A7" w:rsidRDefault="006E00A7">
      <w:pPr>
        <w:pStyle w:val="TableofFigures"/>
        <w:rPr>
          <w:rFonts w:eastAsiaTheme="minorEastAsia" w:cstheme="minorBidi"/>
          <w:noProof/>
          <w:kern w:val="2"/>
          <w:sz w:val="24"/>
          <w:szCs w:val="24"/>
          <w14:ligatures w14:val="standardContextual"/>
        </w:rPr>
      </w:pPr>
      <w:r>
        <w:rPr>
          <w:noProof/>
        </w:rPr>
        <w:t>8.14</w:t>
      </w:r>
      <w:r>
        <w:rPr>
          <w:rFonts w:eastAsiaTheme="minorEastAsia" w:cstheme="minorBidi"/>
          <w:noProof/>
          <w:kern w:val="2"/>
          <w:sz w:val="24"/>
          <w:szCs w:val="24"/>
          <w14:ligatures w14:val="standardContextual"/>
        </w:rPr>
        <w:tab/>
      </w:r>
      <w:r>
        <w:rPr>
          <w:noProof/>
        </w:rPr>
        <w:t>Emission intensity of new vehicles other than battery electric vehicles</w:t>
      </w:r>
      <w:r>
        <w:rPr>
          <w:noProof/>
        </w:rPr>
        <w:tab/>
      </w:r>
      <w:r>
        <w:rPr>
          <w:noProof/>
        </w:rPr>
        <w:fldChar w:fldCharType="begin"/>
      </w:r>
      <w:r>
        <w:rPr>
          <w:noProof/>
        </w:rPr>
        <w:instrText xml:space="preserve"> PAGEREF _Toc178292638 \h </w:instrText>
      </w:r>
      <w:r>
        <w:rPr>
          <w:noProof/>
        </w:rPr>
      </w:r>
      <w:r>
        <w:rPr>
          <w:noProof/>
        </w:rPr>
        <w:fldChar w:fldCharType="separate"/>
      </w:r>
      <w:r>
        <w:rPr>
          <w:noProof/>
        </w:rPr>
        <w:t>137</w:t>
      </w:r>
      <w:r>
        <w:rPr>
          <w:noProof/>
        </w:rPr>
        <w:fldChar w:fldCharType="end"/>
      </w:r>
    </w:p>
    <w:p w14:paraId="5EE9E1E3" w14:textId="37660E1C" w:rsidR="006E00A7" w:rsidRDefault="006E00A7">
      <w:pPr>
        <w:pStyle w:val="TableofFigures"/>
        <w:rPr>
          <w:rFonts w:eastAsiaTheme="minorEastAsia" w:cstheme="minorBidi"/>
          <w:noProof/>
          <w:kern w:val="2"/>
          <w:sz w:val="24"/>
          <w:szCs w:val="24"/>
          <w14:ligatures w14:val="standardContextual"/>
        </w:rPr>
      </w:pPr>
      <w:r>
        <w:rPr>
          <w:noProof/>
        </w:rPr>
        <w:t>8.15</w:t>
      </w:r>
      <w:r>
        <w:rPr>
          <w:rFonts w:eastAsiaTheme="minorEastAsia" w:cstheme="minorBidi"/>
          <w:noProof/>
          <w:kern w:val="2"/>
          <w:sz w:val="24"/>
          <w:szCs w:val="24"/>
          <w14:ligatures w14:val="standardContextual"/>
        </w:rPr>
        <w:tab/>
      </w:r>
      <w:r>
        <w:rPr>
          <w:noProof/>
        </w:rPr>
        <w:t>Impact of policy options on emissions from vehicles</w:t>
      </w:r>
      <w:r>
        <w:rPr>
          <w:noProof/>
        </w:rPr>
        <w:tab/>
      </w:r>
      <w:r>
        <w:rPr>
          <w:noProof/>
        </w:rPr>
        <w:fldChar w:fldCharType="begin"/>
      </w:r>
      <w:r>
        <w:rPr>
          <w:noProof/>
        </w:rPr>
        <w:instrText xml:space="preserve"> PAGEREF _Toc178292639 \h </w:instrText>
      </w:r>
      <w:r>
        <w:rPr>
          <w:noProof/>
        </w:rPr>
      </w:r>
      <w:r>
        <w:rPr>
          <w:noProof/>
        </w:rPr>
        <w:fldChar w:fldCharType="separate"/>
      </w:r>
      <w:r>
        <w:rPr>
          <w:noProof/>
        </w:rPr>
        <w:t>137</w:t>
      </w:r>
      <w:r>
        <w:rPr>
          <w:noProof/>
        </w:rPr>
        <w:fldChar w:fldCharType="end"/>
      </w:r>
    </w:p>
    <w:p w14:paraId="4D8B98D5" w14:textId="699512F7" w:rsidR="006E00A7" w:rsidRDefault="006E00A7">
      <w:pPr>
        <w:pStyle w:val="TableofFigures"/>
        <w:rPr>
          <w:rFonts w:eastAsiaTheme="minorEastAsia" w:cstheme="minorBidi"/>
          <w:noProof/>
          <w:kern w:val="2"/>
          <w:sz w:val="24"/>
          <w:szCs w:val="24"/>
          <w14:ligatures w14:val="standardContextual"/>
        </w:rPr>
      </w:pPr>
      <w:r>
        <w:rPr>
          <w:noProof/>
        </w:rPr>
        <w:t>8.16</w:t>
      </w:r>
      <w:r>
        <w:rPr>
          <w:rFonts w:eastAsiaTheme="minorEastAsia" w:cstheme="minorBidi"/>
          <w:noProof/>
          <w:kern w:val="2"/>
          <w:sz w:val="24"/>
          <w:szCs w:val="24"/>
          <w14:ligatures w14:val="standardContextual"/>
        </w:rPr>
        <w:tab/>
      </w:r>
      <w:r>
        <w:rPr>
          <w:noProof/>
        </w:rPr>
        <w:t>Total benefits from mandatory electric vehicle charging</w:t>
      </w:r>
      <w:r>
        <w:rPr>
          <w:noProof/>
        </w:rPr>
        <w:tab/>
      </w:r>
      <w:r>
        <w:rPr>
          <w:noProof/>
        </w:rPr>
        <w:fldChar w:fldCharType="begin"/>
      </w:r>
      <w:r>
        <w:rPr>
          <w:noProof/>
        </w:rPr>
        <w:instrText xml:space="preserve"> PAGEREF _Toc178292640 \h </w:instrText>
      </w:r>
      <w:r>
        <w:rPr>
          <w:noProof/>
        </w:rPr>
      </w:r>
      <w:r>
        <w:rPr>
          <w:noProof/>
        </w:rPr>
        <w:fldChar w:fldCharType="separate"/>
      </w:r>
      <w:r>
        <w:rPr>
          <w:noProof/>
        </w:rPr>
        <w:t>138</w:t>
      </w:r>
      <w:r>
        <w:rPr>
          <w:noProof/>
        </w:rPr>
        <w:fldChar w:fldCharType="end"/>
      </w:r>
    </w:p>
    <w:p w14:paraId="7F72F546" w14:textId="197C9126" w:rsidR="006E00A7" w:rsidRDefault="006E00A7">
      <w:pPr>
        <w:pStyle w:val="TableofFigures"/>
        <w:rPr>
          <w:rFonts w:eastAsiaTheme="minorEastAsia" w:cstheme="minorBidi"/>
          <w:noProof/>
          <w:kern w:val="2"/>
          <w:sz w:val="24"/>
          <w:szCs w:val="24"/>
          <w14:ligatures w14:val="standardContextual"/>
        </w:rPr>
      </w:pPr>
      <w:r>
        <w:rPr>
          <w:noProof/>
        </w:rPr>
        <w:t>8.17</w:t>
      </w:r>
      <w:r>
        <w:rPr>
          <w:rFonts w:eastAsiaTheme="minorEastAsia" w:cstheme="minorBidi"/>
          <w:noProof/>
          <w:kern w:val="2"/>
          <w:sz w:val="24"/>
          <w:szCs w:val="24"/>
          <w14:ligatures w14:val="standardContextual"/>
        </w:rPr>
        <w:tab/>
      </w:r>
      <w:r>
        <w:rPr>
          <w:noProof/>
        </w:rPr>
        <w:t>Alternative assumptions for sensitivity testing</w:t>
      </w:r>
      <w:r>
        <w:rPr>
          <w:noProof/>
        </w:rPr>
        <w:tab/>
      </w:r>
      <w:r>
        <w:rPr>
          <w:noProof/>
        </w:rPr>
        <w:fldChar w:fldCharType="begin"/>
      </w:r>
      <w:r>
        <w:rPr>
          <w:noProof/>
        </w:rPr>
        <w:instrText xml:space="preserve"> PAGEREF _Toc178292641 \h </w:instrText>
      </w:r>
      <w:r>
        <w:rPr>
          <w:noProof/>
        </w:rPr>
      </w:r>
      <w:r>
        <w:rPr>
          <w:noProof/>
        </w:rPr>
        <w:fldChar w:fldCharType="separate"/>
      </w:r>
      <w:r>
        <w:rPr>
          <w:noProof/>
        </w:rPr>
        <w:t>138</w:t>
      </w:r>
      <w:r>
        <w:rPr>
          <w:noProof/>
        </w:rPr>
        <w:fldChar w:fldCharType="end"/>
      </w:r>
    </w:p>
    <w:p w14:paraId="78386CB9" w14:textId="6C76257C" w:rsidR="006E00A7" w:rsidRDefault="006E00A7">
      <w:pPr>
        <w:pStyle w:val="TableofFigures"/>
        <w:rPr>
          <w:rFonts w:eastAsiaTheme="minorEastAsia" w:cstheme="minorBidi"/>
          <w:noProof/>
          <w:kern w:val="2"/>
          <w:sz w:val="24"/>
          <w:szCs w:val="24"/>
          <w14:ligatures w14:val="standardContextual"/>
        </w:rPr>
      </w:pPr>
      <w:r>
        <w:rPr>
          <w:noProof/>
        </w:rPr>
        <w:t>8.18</w:t>
      </w:r>
      <w:r>
        <w:rPr>
          <w:rFonts w:eastAsiaTheme="minorEastAsia" w:cstheme="minorBidi"/>
          <w:noProof/>
          <w:kern w:val="2"/>
          <w:sz w:val="24"/>
          <w:szCs w:val="24"/>
          <w14:ligatures w14:val="standardContextual"/>
        </w:rPr>
        <w:tab/>
      </w:r>
      <w:r>
        <w:rPr>
          <w:noProof/>
        </w:rPr>
        <w:t>CBA results under different sensitivity assumptions — net present value</w:t>
      </w:r>
      <w:r>
        <w:rPr>
          <w:noProof/>
        </w:rPr>
        <w:tab/>
      </w:r>
      <w:r>
        <w:rPr>
          <w:noProof/>
        </w:rPr>
        <w:fldChar w:fldCharType="begin"/>
      </w:r>
      <w:r>
        <w:rPr>
          <w:noProof/>
        </w:rPr>
        <w:instrText xml:space="preserve"> PAGEREF _Toc178292642 \h </w:instrText>
      </w:r>
      <w:r>
        <w:rPr>
          <w:noProof/>
        </w:rPr>
      </w:r>
      <w:r>
        <w:rPr>
          <w:noProof/>
        </w:rPr>
        <w:fldChar w:fldCharType="separate"/>
      </w:r>
      <w:r>
        <w:rPr>
          <w:noProof/>
        </w:rPr>
        <w:t>139</w:t>
      </w:r>
      <w:r>
        <w:rPr>
          <w:noProof/>
        </w:rPr>
        <w:fldChar w:fldCharType="end"/>
      </w:r>
    </w:p>
    <w:p w14:paraId="27AFDD6F" w14:textId="6A3C1E55" w:rsidR="006E00A7" w:rsidRDefault="006E00A7">
      <w:pPr>
        <w:pStyle w:val="TableofFigures"/>
        <w:rPr>
          <w:rFonts w:eastAsiaTheme="minorEastAsia" w:cstheme="minorBidi"/>
          <w:noProof/>
          <w:kern w:val="2"/>
          <w:sz w:val="24"/>
          <w:szCs w:val="24"/>
          <w14:ligatures w14:val="standardContextual"/>
        </w:rPr>
      </w:pPr>
      <w:r>
        <w:rPr>
          <w:noProof/>
        </w:rPr>
        <w:t>B.1</w:t>
      </w:r>
      <w:r>
        <w:rPr>
          <w:rFonts w:eastAsiaTheme="minorEastAsia" w:cstheme="minorBidi"/>
          <w:noProof/>
          <w:kern w:val="2"/>
          <w:sz w:val="24"/>
          <w:szCs w:val="24"/>
          <w14:ligatures w14:val="standardContextual"/>
        </w:rPr>
        <w:tab/>
      </w:r>
      <w:r>
        <w:rPr>
          <w:noProof/>
        </w:rPr>
        <w:t>Avoided energy costs</w:t>
      </w:r>
      <w:r>
        <w:rPr>
          <w:noProof/>
        </w:rPr>
        <w:tab/>
      </w:r>
      <w:r>
        <w:rPr>
          <w:noProof/>
        </w:rPr>
        <w:fldChar w:fldCharType="begin"/>
      </w:r>
      <w:r>
        <w:rPr>
          <w:noProof/>
        </w:rPr>
        <w:instrText xml:space="preserve"> PAGEREF _Toc178292643 \h </w:instrText>
      </w:r>
      <w:r>
        <w:rPr>
          <w:noProof/>
        </w:rPr>
      </w:r>
      <w:r>
        <w:rPr>
          <w:noProof/>
        </w:rPr>
        <w:fldChar w:fldCharType="separate"/>
      </w:r>
      <w:r>
        <w:rPr>
          <w:noProof/>
        </w:rPr>
        <w:t>158</w:t>
      </w:r>
      <w:r>
        <w:rPr>
          <w:noProof/>
        </w:rPr>
        <w:fldChar w:fldCharType="end"/>
      </w:r>
    </w:p>
    <w:p w14:paraId="20CEB847" w14:textId="3132B30A" w:rsidR="006E00A7" w:rsidRDefault="006E00A7">
      <w:pPr>
        <w:pStyle w:val="TableofFigures"/>
        <w:rPr>
          <w:rFonts w:eastAsiaTheme="minorEastAsia" w:cstheme="minorBidi"/>
          <w:noProof/>
          <w:kern w:val="2"/>
          <w:sz w:val="24"/>
          <w:szCs w:val="24"/>
          <w14:ligatures w14:val="standardContextual"/>
        </w:rPr>
      </w:pPr>
      <w:r>
        <w:rPr>
          <w:noProof/>
        </w:rPr>
        <w:t>B.2</w:t>
      </w:r>
      <w:r>
        <w:rPr>
          <w:rFonts w:eastAsiaTheme="minorEastAsia" w:cstheme="minorBidi"/>
          <w:noProof/>
          <w:kern w:val="2"/>
          <w:sz w:val="24"/>
          <w:szCs w:val="24"/>
          <w14:ligatures w14:val="standardContextual"/>
        </w:rPr>
        <w:tab/>
      </w:r>
      <w:r>
        <w:rPr>
          <w:noProof/>
        </w:rPr>
        <w:t>Average wholesale electricity prices 2019-2021 — NSW</w:t>
      </w:r>
      <w:r>
        <w:rPr>
          <w:noProof/>
        </w:rPr>
        <w:tab/>
      </w:r>
      <w:r>
        <w:rPr>
          <w:noProof/>
        </w:rPr>
        <w:fldChar w:fldCharType="begin"/>
      </w:r>
      <w:r>
        <w:rPr>
          <w:noProof/>
        </w:rPr>
        <w:instrText xml:space="preserve"> PAGEREF _Toc178292644 \h </w:instrText>
      </w:r>
      <w:r>
        <w:rPr>
          <w:noProof/>
        </w:rPr>
      </w:r>
      <w:r>
        <w:rPr>
          <w:noProof/>
        </w:rPr>
        <w:fldChar w:fldCharType="separate"/>
      </w:r>
      <w:r>
        <w:rPr>
          <w:noProof/>
        </w:rPr>
        <w:t>160</w:t>
      </w:r>
      <w:r>
        <w:rPr>
          <w:noProof/>
        </w:rPr>
        <w:fldChar w:fldCharType="end"/>
      </w:r>
    </w:p>
    <w:p w14:paraId="3580442D" w14:textId="55CE4627" w:rsidR="006E00A7" w:rsidRDefault="006E00A7">
      <w:pPr>
        <w:pStyle w:val="TableofFigures"/>
        <w:rPr>
          <w:rFonts w:eastAsiaTheme="minorEastAsia" w:cstheme="minorBidi"/>
          <w:noProof/>
          <w:kern w:val="2"/>
          <w:sz w:val="24"/>
          <w:szCs w:val="24"/>
          <w14:ligatures w14:val="standardContextual"/>
        </w:rPr>
      </w:pPr>
      <w:r>
        <w:rPr>
          <w:noProof/>
        </w:rPr>
        <w:t>B.3</w:t>
      </w:r>
      <w:r>
        <w:rPr>
          <w:rFonts w:eastAsiaTheme="minorEastAsia" w:cstheme="minorBidi"/>
          <w:noProof/>
          <w:kern w:val="2"/>
          <w:sz w:val="24"/>
          <w:szCs w:val="24"/>
          <w14:ligatures w14:val="standardContextual"/>
        </w:rPr>
        <w:tab/>
      </w:r>
      <w:r>
        <w:rPr>
          <w:noProof/>
        </w:rPr>
        <w:t>Average wholesale electricity prices 2019-2021 — Victoria</w:t>
      </w:r>
      <w:r>
        <w:rPr>
          <w:noProof/>
        </w:rPr>
        <w:tab/>
      </w:r>
      <w:r>
        <w:rPr>
          <w:noProof/>
        </w:rPr>
        <w:fldChar w:fldCharType="begin"/>
      </w:r>
      <w:r>
        <w:rPr>
          <w:noProof/>
        </w:rPr>
        <w:instrText xml:space="preserve"> PAGEREF _Toc178292645 \h </w:instrText>
      </w:r>
      <w:r>
        <w:rPr>
          <w:noProof/>
        </w:rPr>
      </w:r>
      <w:r>
        <w:rPr>
          <w:noProof/>
        </w:rPr>
        <w:fldChar w:fldCharType="separate"/>
      </w:r>
      <w:r>
        <w:rPr>
          <w:noProof/>
        </w:rPr>
        <w:t>161</w:t>
      </w:r>
      <w:r>
        <w:rPr>
          <w:noProof/>
        </w:rPr>
        <w:fldChar w:fldCharType="end"/>
      </w:r>
    </w:p>
    <w:p w14:paraId="14C437A9" w14:textId="6B14E416" w:rsidR="006E00A7" w:rsidRDefault="006E00A7">
      <w:pPr>
        <w:pStyle w:val="TableofFigures"/>
        <w:rPr>
          <w:rFonts w:eastAsiaTheme="minorEastAsia" w:cstheme="minorBidi"/>
          <w:noProof/>
          <w:kern w:val="2"/>
          <w:sz w:val="24"/>
          <w:szCs w:val="24"/>
          <w14:ligatures w14:val="standardContextual"/>
        </w:rPr>
      </w:pPr>
      <w:r>
        <w:rPr>
          <w:noProof/>
        </w:rPr>
        <w:t>B.4</w:t>
      </w:r>
      <w:r>
        <w:rPr>
          <w:rFonts w:eastAsiaTheme="minorEastAsia" w:cstheme="minorBidi"/>
          <w:noProof/>
          <w:kern w:val="2"/>
          <w:sz w:val="24"/>
          <w:szCs w:val="24"/>
          <w14:ligatures w14:val="standardContextual"/>
        </w:rPr>
        <w:tab/>
      </w:r>
      <w:r>
        <w:rPr>
          <w:noProof/>
        </w:rPr>
        <w:t>Average wholesale electricity prices 2019-2021 — Queensland</w:t>
      </w:r>
      <w:r>
        <w:rPr>
          <w:noProof/>
        </w:rPr>
        <w:tab/>
      </w:r>
      <w:r>
        <w:rPr>
          <w:noProof/>
        </w:rPr>
        <w:fldChar w:fldCharType="begin"/>
      </w:r>
      <w:r>
        <w:rPr>
          <w:noProof/>
        </w:rPr>
        <w:instrText xml:space="preserve"> PAGEREF _Toc178292646 \h </w:instrText>
      </w:r>
      <w:r>
        <w:rPr>
          <w:noProof/>
        </w:rPr>
      </w:r>
      <w:r>
        <w:rPr>
          <w:noProof/>
        </w:rPr>
        <w:fldChar w:fldCharType="separate"/>
      </w:r>
      <w:r>
        <w:rPr>
          <w:noProof/>
        </w:rPr>
        <w:t>161</w:t>
      </w:r>
      <w:r>
        <w:rPr>
          <w:noProof/>
        </w:rPr>
        <w:fldChar w:fldCharType="end"/>
      </w:r>
    </w:p>
    <w:p w14:paraId="4698028B" w14:textId="3D5A26A9" w:rsidR="006E00A7" w:rsidRDefault="006E00A7">
      <w:pPr>
        <w:pStyle w:val="TableofFigures"/>
        <w:rPr>
          <w:rFonts w:eastAsiaTheme="minorEastAsia" w:cstheme="minorBidi"/>
          <w:noProof/>
          <w:kern w:val="2"/>
          <w:sz w:val="24"/>
          <w:szCs w:val="24"/>
          <w14:ligatures w14:val="standardContextual"/>
        </w:rPr>
      </w:pPr>
      <w:r>
        <w:rPr>
          <w:noProof/>
        </w:rPr>
        <w:t>B.5</w:t>
      </w:r>
      <w:r>
        <w:rPr>
          <w:rFonts w:eastAsiaTheme="minorEastAsia" w:cstheme="minorBidi"/>
          <w:noProof/>
          <w:kern w:val="2"/>
          <w:sz w:val="24"/>
          <w:szCs w:val="24"/>
          <w14:ligatures w14:val="standardContextual"/>
        </w:rPr>
        <w:tab/>
      </w:r>
      <w:r>
        <w:rPr>
          <w:noProof/>
        </w:rPr>
        <w:t>Average wholesale electricity prices 2019-2021 — Western Australia</w:t>
      </w:r>
      <w:r>
        <w:rPr>
          <w:noProof/>
        </w:rPr>
        <w:tab/>
      </w:r>
      <w:r>
        <w:rPr>
          <w:noProof/>
        </w:rPr>
        <w:fldChar w:fldCharType="begin"/>
      </w:r>
      <w:r>
        <w:rPr>
          <w:noProof/>
        </w:rPr>
        <w:instrText xml:space="preserve"> PAGEREF _Toc178292647 \h </w:instrText>
      </w:r>
      <w:r>
        <w:rPr>
          <w:noProof/>
        </w:rPr>
      </w:r>
      <w:r>
        <w:rPr>
          <w:noProof/>
        </w:rPr>
        <w:fldChar w:fldCharType="separate"/>
      </w:r>
      <w:r>
        <w:rPr>
          <w:noProof/>
        </w:rPr>
        <w:t>162</w:t>
      </w:r>
      <w:r>
        <w:rPr>
          <w:noProof/>
        </w:rPr>
        <w:fldChar w:fldCharType="end"/>
      </w:r>
    </w:p>
    <w:p w14:paraId="50A67885" w14:textId="619DF5BC" w:rsidR="006E00A7" w:rsidRDefault="006E00A7">
      <w:pPr>
        <w:pStyle w:val="TableofFigures"/>
        <w:rPr>
          <w:rFonts w:eastAsiaTheme="minorEastAsia" w:cstheme="minorBidi"/>
          <w:noProof/>
          <w:kern w:val="2"/>
          <w:sz w:val="24"/>
          <w:szCs w:val="24"/>
          <w14:ligatures w14:val="standardContextual"/>
        </w:rPr>
      </w:pPr>
      <w:r>
        <w:rPr>
          <w:noProof/>
        </w:rPr>
        <w:t>B.6</w:t>
      </w:r>
      <w:r>
        <w:rPr>
          <w:rFonts w:eastAsiaTheme="minorEastAsia" w:cstheme="minorBidi"/>
          <w:noProof/>
          <w:kern w:val="2"/>
          <w:sz w:val="24"/>
          <w:szCs w:val="24"/>
          <w14:ligatures w14:val="standardContextual"/>
        </w:rPr>
        <w:tab/>
      </w:r>
      <w:r>
        <w:rPr>
          <w:noProof/>
        </w:rPr>
        <w:t>Average wholesale electricity prices 2019-2021 — South Australia</w:t>
      </w:r>
      <w:r>
        <w:rPr>
          <w:noProof/>
        </w:rPr>
        <w:tab/>
      </w:r>
      <w:r>
        <w:rPr>
          <w:noProof/>
        </w:rPr>
        <w:fldChar w:fldCharType="begin"/>
      </w:r>
      <w:r>
        <w:rPr>
          <w:noProof/>
        </w:rPr>
        <w:instrText xml:space="preserve"> PAGEREF _Toc178292648 \h </w:instrText>
      </w:r>
      <w:r>
        <w:rPr>
          <w:noProof/>
        </w:rPr>
      </w:r>
      <w:r>
        <w:rPr>
          <w:noProof/>
        </w:rPr>
        <w:fldChar w:fldCharType="separate"/>
      </w:r>
      <w:r>
        <w:rPr>
          <w:noProof/>
        </w:rPr>
        <w:t>162</w:t>
      </w:r>
      <w:r>
        <w:rPr>
          <w:noProof/>
        </w:rPr>
        <w:fldChar w:fldCharType="end"/>
      </w:r>
    </w:p>
    <w:p w14:paraId="1D6A60FB" w14:textId="118E2710" w:rsidR="006E00A7" w:rsidRDefault="006E00A7">
      <w:pPr>
        <w:pStyle w:val="TableofFigures"/>
        <w:rPr>
          <w:rFonts w:eastAsiaTheme="minorEastAsia" w:cstheme="minorBidi"/>
          <w:noProof/>
          <w:kern w:val="2"/>
          <w:sz w:val="24"/>
          <w:szCs w:val="24"/>
          <w14:ligatures w14:val="standardContextual"/>
        </w:rPr>
      </w:pPr>
      <w:r>
        <w:rPr>
          <w:noProof/>
        </w:rPr>
        <w:t>B.7</w:t>
      </w:r>
      <w:r>
        <w:rPr>
          <w:rFonts w:eastAsiaTheme="minorEastAsia" w:cstheme="minorBidi"/>
          <w:noProof/>
          <w:kern w:val="2"/>
          <w:sz w:val="24"/>
          <w:szCs w:val="24"/>
          <w14:ligatures w14:val="standardContextual"/>
        </w:rPr>
        <w:tab/>
      </w:r>
      <w:r>
        <w:rPr>
          <w:noProof/>
        </w:rPr>
        <w:t>Average wholesale electricity prices 2019-2021 — Tasmania</w:t>
      </w:r>
      <w:r>
        <w:rPr>
          <w:noProof/>
        </w:rPr>
        <w:tab/>
      </w:r>
      <w:r>
        <w:rPr>
          <w:noProof/>
        </w:rPr>
        <w:fldChar w:fldCharType="begin"/>
      </w:r>
      <w:r>
        <w:rPr>
          <w:noProof/>
        </w:rPr>
        <w:instrText xml:space="preserve"> PAGEREF _Toc178292649 \h </w:instrText>
      </w:r>
      <w:r>
        <w:rPr>
          <w:noProof/>
        </w:rPr>
      </w:r>
      <w:r>
        <w:rPr>
          <w:noProof/>
        </w:rPr>
        <w:fldChar w:fldCharType="separate"/>
      </w:r>
      <w:r>
        <w:rPr>
          <w:noProof/>
        </w:rPr>
        <w:t>163</w:t>
      </w:r>
      <w:r>
        <w:rPr>
          <w:noProof/>
        </w:rPr>
        <w:fldChar w:fldCharType="end"/>
      </w:r>
    </w:p>
    <w:p w14:paraId="15174EC9" w14:textId="64137B74" w:rsidR="006E00A7" w:rsidRDefault="006E00A7">
      <w:pPr>
        <w:pStyle w:val="TableofFigures"/>
        <w:rPr>
          <w:rFonts w:eastAsiaTheme="minorEastAsia" w:cstheme="minorBidi"/>
          <w:noProof/>
          <w:kern w:val="2"/>
          <w:sz w:val="24"/>
          <w:szCs w:val="24"/>
          <w14:ligatures w14:val="standardContextual"/>
        </w:rPr>
      </w:pPr>
      <w:r>
        <w:rPr>
          <w:noProof/>
        </w:rPr>
        <w:t>B.8</w:t>
      </w:r>
      <w:r>
        <w:rPr>
          <w:rFonts w:eastAsiaTheme="minorEastAsia" w:cstheme="minorBidi"/>
          <w:noProof/>
          <w:kern w:val="2"/>
          <w:sz w:val="24"/>
          <w:szCs w:val="24"/>
          <w14:ligatures w14:val="standardContextual"/>
        </w:rPr>
        <w:tab/>
      </w:r>
      <w:r>
        <w:rPr>
          <w:noProof/>
        </w:rPr>
        <w:t>Average wholesale electricity prices 2019-2021 — ACT</w:t>
      </w:r>
      <w:r>
        <w:rPr>
          <w:noProof/>
        </w:rPr>
        <w:tab/>
      </w:r>
      <w:r>
        <w:rPr>
          <w:noProof/>
        </w:rPr>
        <w:fldChar w:fldCharType="begin"/>
      </w:r>
      <w:r>
        <w:rPr>
          <w:noProof/>
        </w:rPr>
        <w:instrText xml:space="preserve"> PAGEREF _Toc178292650 \h </w:instrText>
      </w:r>
      <w:r>
        <w:rPr>
          <w:noProof/>
        </w:rPr>
      </w:r>
      <w:r>
        <w:rPr>
          <w:noProof/>
        </w:rPr>
        <w:fldChar w:fldCharType="separate"/>
      </w:r>
      <w:r>
        <w:rPr>
          <w:noProof/>
        </w:rPr>
        <w:t>163</w:t>
      </w:r>
      <w:r>
        <w:rPr>
          <w:noProof/>
        </w:rPr>
        <w:fldChar w:fldCharType="end"/>
      </w:r>
    </w:p>
    <w:p w14:paraId="3A362114" w14:textId="50A11640" w:rsidR="006E00A7" w:rsidRDefault="006E00A7">
      <w:pPr>
        <w:pStyle w:val="TableofFigures"/>
        <w:rPr>
          <w:rFonts w:eastAsiaTheme="minorEastAsia" w:cstheme="minorBidi"/>
          <w:noProof/>
          <w:kern w:val="2"/>
          <w:sz w:val="24"/>
          <w:szCs w:val="24"/>
          <w14:ligatures w14:val="standardContextual"/>
        </w:rPr>
      </w:pPr>
      <w:r>
        <w:rPr>
          <w:noProof/>
        </w:rPr>
        <w:t>B.9</w:t>
      </w:r>
      <w:r>
        <w:rPr>
          <w:rFonts w:eastAsiaTheme="minorEastAsia" w:cstheme="minorBidi"/>
          <w:noProof/>
          <w:kern w:val="2"/>
          <w:sz w:val="24"/>
          <w:szCs w:val="24"/>
          <w14:ligatures w14:val="standardContextual"/>
        </w:rPr>
        <w:tab/>
      </w:r>
      <w:r>
        <w:rPr>
          <w:noProof/>
        </w:rPr>
        <w:t>Average wholesale electricity prices 2019-2021 — Northern Territory</w:t>
      </w:r>
      <w:r>
        <w:rPr>
          <w:noProof/>
        </w:rPr>
        <w:tab/>
      </w:r>
      <w:r>
        <w:rPr>
          <w:noProof/>
        </w:rPr>
        <w:fldChar w:fldCharType="begin"/>
      </w:r>
      <w:r>
        <w:rPr>
          <w:noProof/>
        </w:rPr>
        <w:instrText xml:space="preserve"> PAGEREF _Toc178292651 \h </w:instrText>
      </w:r>
      <w:r>
        <w:rPr>
          <w:noProof/>
        </w:rPr>
      </w:r>
      <w:r>
        <w:rPr>
          <w:noProof/>
        </w:rPr>
        <w:fldChar w:fldCharType="separate"/>
      </w:r>
      <w:r>
        <w:rPr>
          <w:noProof/>
        </w:rPr>
        <w:t>164</w:t>
      </w:r>
      <w:r>
        <w:rPr>
          <w:noProof/>
        </w:rPr>
        <w:fldChar w:fldCharType="end"/>
      </w:r>
    </w:p>
    <w:p w14:paraId="499FCE9D" w14:textId="09258461" w:rsidR="006E00A7" w:rsidRDefault="006E00A7">
      <w:pPr>
        <w:pStyle w:val="TableofFigures"/>
        <w:rPr>
          <w:rFonts w:eastAsiaTheme="minorEastAsia" w:cstheme="minorBidi"/>
          <w:noProof/>
          <w:kern w:val="2"/>
          <w:sz w:val="24"/>
          <w:szCs w:val="24"/>
          <w14:ligatures w14:val="standardContextual"/>
        </w:rPr>
      </w:pPr>
      <w:r>
        <w:rPr>
          <w:noProof/>
        </w:rPr>
        <w:t>B.10</w:t>
      </w:r>
      <w:r>
        <w:rPr>
          <w:rFonts w:eastAsiaTheme="minorEastAsia" w:cstheme="minorBidi"/>
          <w:noProof/>
          <w:kern w:val="2"/>
          <w:sz w:val="24"/>
          <w:szCs w:val="24"/>
          <w14:ligatures w14:val="standardContextual"/>
        </w:rPr>
        <w:tab/>
      </w:r>
      <w:r>
        <w:rPr>
          <w:noProof/>
        </w:rPr>
        <w:t>Network capacity charges</w:t>
      </w:r>
      <w:r>
        <w:rPr>
          <w:noProof/>
        </w:rPr>
        <w:tab/>
      </w:r>
      <w:r>
        <w:rPr>
          <w:noProof/>
        </w:rPr>
        <w:fldChar w:fldCharType="begin"/>
      </w:r>
      <w:r>
        <w:rPr>
          <w:noProof/>
        </w:rPr>
        <w:instrText xml:space="preserve"> PAGEREF _Toc178292652 \h </w:instrText>
      </w:r>
      <w:r>
        <w:rPr>
          <w:noProof/>
        </w:rPr>
      </w:r>
      <w:r>
        <w:rPr>
          <w:noProof/>
        </w:rPr>
        <w:fldChar w:fldCharType="separate"/>
      </w:r>
      <w:r>
        <w:rPr>
          <w:noProof/>
        </w:rPr>
        <w:t>166</w:t>
      </w:r>
      <w:r>
        <w:rPr>
          <w:noProof/>
        </w:rPr>
        <w:fldChar w:fldCharType="end"/>
      </w:r>
    </w:p>
    <w:p w14:paraId="12C6286B" w14:textId="69CC3D99" w:rsidR="006E00A7" w:rsidRDefault="006E00A7">
      <w:pPr>
        <w:pStyle w:val="TableofFigures"/>
        <w:rPr>
          <w:rFonts w:eastAsiaTheme="minorEastAsia" w:cstheme="minorBidi"/>
          <w:noProof/>
          <w:kern w:val="2"/>
          <w:sz w:val="24"/>
          <w:szCs w:val="24"/>
          <w14:ligatures w14:val="standardContextual"/>
        </w:rPr>
      </w:pPr>
      <w:r>
        <w:rPr>
          <w:noProof/>
        </w:rPr>
        <w:t>B.11</w:t>
      </w:r>
      <w:r>
        <w:rPr>
          <w:rFonts w:eastAsiaTheme="minorEastAsia" w:cstheme="minorBidi"/>
          <w:noProof/>
          <w:kern w:val="2"/>
          <w:sz w:val="24"/>
          <w:szCs w:val="24"/>
          <w14:ligatures w14:val="standardContextual"/>
        </w:rPr>
        <w:tab/>
      </w:r>
      <w:r>
        <w:rPr>
          <w:noProof/>
        </w:rPr>
        <w:t>Hourly network usage charges across an average week — NSW</w:t>
      </w:r>
      <w:r>
        <w:rPr>
          <w:noProof/>
        </w:rPr>
        <w:tab/>
      </w:r>
      <w:r>
        <w:rPr>
          <w:noProof/>
        </w:rPr>
        <w:fldChar w:fldCharType="begin"/>
      </w:r>
      <w:r>
        <w:rPr>
          <w:noProof/>
        </w:rPr>
        <w:instrText xml:space="preserve"> PAGEREF _Toc178292653 \h </w:instrText>
      </w:r>
      <w:r>
        <w:rPr>
          <w:noProof/>
        </w:rPr>
      </w:r>
      <w:r>
        <w:rPr>
          <w:noProof/>
        </w:rPr>
        <w:fldChar w:fldCharType="separate"/>
      </w:r>
      <w:r>
        <w:rPr>
          <w:noProof/>
        </w:rPr>
        <w:t>167</w:t>
      </w:r>
      <w:r>
        <w:rPr>
          <w:noProof/>
        </w:rPr>
        <w:fldChar w:fldCharType="end"/>
      </w:r>
    </w:p>
    <w:p w14:paraId="57093A01" w14:textId="22E90ECA" w:rsidR="006E00A7" w:rsidRDefault="006E00A7">
      <w:pPr>
        <w:pStyle w:val="TableofFigures"/>
        <w:rPr>
          <w:rFonts w:eastAsiaTheme="minorEastAsia" w:cstheme="minorBidi"/>
          <w:noProof/>
          <w:kern w:val="2"/>
          <w:sz w:val="24"/>
          <w:szCs w:val="24"/>
          <w14:ligatures w14:val="standardContextual"/>
        </w:rPr>
      </w:pPr>
      <w:r>
        <w:rPr>
          <w:noProof/>
        </w:rPr>
        <w:t>B.12</w:t>
      </w:r>
      <w:r>
        <w:rPr>
          <w:rFonts w:eastAsiaTheme="minorEastAsia" w:cstheme="minorBidi"/>
          <w:noProof/>
          <w:kern w:val="2"/>
          <w:sz w:val="24"/>
          <w:szCs w:val="24"/>
          <w14:ligatures w14:val="standardContextual"/>
        </w:rPr>
        <w:tab/>
      </w:r>
      <w:r>
        <w:rPr>
          <w:noProof/>
        </w:rPr>
        <w:t>Hourly network usage charges across an average week — Victoria</w:t>
      </w:r>
      <w:r>
        <w:rPr>
          <w:noProof/>
        </w:rPr>
        <w:tab/>
      </w:r>
      <w:r>
        <w:rPr>
          <w:noProof/>
        </w:rPr>
        <w:fldChar w:fldCharType="begin"/>
      </w:r>
      <w:r>
        <w:rPr>
          <w:noProof/>
        </w:rPr>
        <w:instrText xml:space="preserve"> PAGEREF _Toc178292654 \h </w:instrText>
      </w:r>
      <w:r>
        <w:rPr>
          <w:noProof/>
        </w:rPr>
      </w:r>
      <w:r>
        <w:rPr>
          <w:noProof/>
        </w:rPr>
        <w:fldChar w:fldCharType="separate"/>
      </w:r>
      <w:r>
        <w:rPr>
          <w:noProof/>
        </w:rPr>
        <w:t>168</w:t>
      </w:r>
      <w:r>
        <w:rPr>
          <w:noProof/>
        </w:rPr>
        <w:fldChar w:fldCharType="end"/>
      </w:r>
    </w:p>
    <w:p w14:paraId="18032DDB" w14:textId="3724C41F" w:rsidR="006E00A7" w:rsidRDefault="006E00A7">
      <w:pPr>
        <w:pStyle w:val="TableofFigures"/>
        <w:rPr>
          <w:rFonts w:eastAsiaTheme="minorEastAsia" w:cstheme="minorBidi"/>
          <w:noProof/>
          <w:kern w:val="2"/>
          <w:sz w:val="24"/>
          <w:szCs w:val="24"/>
          <w14:ligatures w14:val="standardContextual"/>
        </w:rPr>
      </w:pPr>
      <w:r>
        <w:rPr>
          <w:noProof/>
        </w:rPr>
        <w:t>B.13</w:t>
      </w:r>
      <w:r>
        <w:rPr>
          <w:rFonts w:eastAsiaTheme="minorEastAsia" w:cstheme="minorBidi"/>
          <w:noProof/>
          <w:kern w:val="2"/>
          <w:sz w:val="24"/>
          <w:szCs w:val="24"/>
          <w14:ligatures w14:val="standardContextual"/>
        </w:rPr>
        <w:tab/>
      </w:r>
      <w:r>
        <w:rPr>
          <w:noProof/>
        </w:rPr>
        <w:t>Hourly network charges across an average week — other states and territories</w:t>
      </w:r>
      <w:r>
        <w:rPr>
          <w:noProof/>
        </w:rPr>
        <w:tab/>
      </w:r>
      <w:r>
        <w:rPr>
          <w:noProof/>
        </w:rPr>
        <w:fldChar w:fldCharType="begin"/>
      </w:r>
      <w:r>
        <w:rPr>
          <w:noProof/>
        </w:rPr>
        <w:instrText xml:space="preserve"> PAGEREF _Toc178292655 \h </w:instrText>
      </w:r>
      <w:r>
        <w:rPr>
          <w:noProof/>
        </w:rPr>
      </w:r>
      <w:r>
        <w:rPr>
          <w:noProof/>
        </w:rPr>
        <w:fldChar w:fldCharType="separate"/>
      </w:r>
      <w:r>
        <w:rPr>
          <w:noProof/>
        </w:rPr>
        <w:t>168</w:t>
      </w:r>
      <w:r>
        <w:rPr>
          <w:noProof/>
        </w:rPr>
        <w:fldChar w:fldCharType="end"/>
      </w:r>
    </w:p>
    <w:p w14:paraId="4D02D6D7" w14:textId="119B8BBC" w:rsidR="006E00A7" w:rsidRDefault="006E00A7">
      <w:pPr>
        <w:pStyle w:val="TableofFigures"/>
        <w:rPr>
          <w:rFonts w:eastAsiaTheme="minorEastAsia" w:cstheme="minorBidi"/>
          <w:noProof/>
          <w:kern w:val="2"/>
          <w:sz w:val="24"/>
          <w:szCs w:val="24"/>
          <w14:ligatures w14:val="standardContextual"/>
        </w:rPr>
      </w:pPr>
      <w:r>
        <w:rPr>
          <w:noProof/>
        </w:rPr>
        <w:t>B.14</w:t>
      </w:r>
      <w:r>
        <w:rPr>
          <w:rFonts w:eastAsiaTheme="minorEastAsia" w:cstheme="minorBidi"/>
          <w:noProof/>
          <w:kern w:val="2"/>
          <w:sz w:val="24"/>
          <w:szCs w:val="24"/>
          <w14:ligatures w14:val="standardContextual"/>
        </w:rPr>
        <w:tab/>
      </w:r>
      <w:r>
        <w:rPr>
          <w:noProof/>
        </w:rPr>
        <w:t>The Large-scale Renewable Energy Target</w:t>
      </w:r>
      <w:r>
        <w:rPr>
          <w:noProof/>
        </w:rPr>
        <w:tab/>
      </w:r>
      <w:r>
        <w:rPr>
          <w:noProof/>
        </w:rPr>
        <w:fldChar w:fldCharType="begin"/>
      </w:r>
      <w:r>
        <w:rPr>
          <w:noProof/>
        </w:rPr>
        <w:instrText xml:space="preserve"> PAGEREF _Toc178292656 \h </w:instrText>
      </w:r>
      <w:r>
        <w:rPr>
          <w:noProof/>
        </w:rPr>
      </w:r>
      <w:r>
        <w:rPr>
          <w:noProof/>
        </w:rPr>
        <w:fldChar w:fldCharType="separate"/>
      </w:r>
      <w:r>
        <w:rPr>
          <w:noProof/>
        </w:rPr>
        <w:t>169</w:t>
      </w:r>
      <w:r>
        <w:rPr>
          <w:noProof/>
        </w:rPr>
        <w:fldChar w:fldCharType="end"/>
      </w:r>
    </w:p>
    <w:p w14:paraId="00F8DD5C" w14:textId="5D25428F" w:rsidR="006E00A7" w:rsidRDefault="006E00A7">
      <w:pPr>
        <w:pStyle w:val="TableofFigures"/>
        <w:rPr>
          <w:rFonts w:eastAsiaTheme="minorEastAsia" w:cstheme="minorBidi"/>
          <w:noProof/>
          <w:kern w:val="2"/>
          <w:sz w:val="24"/>
          <w:szCs w:val="24"/>
          <w14:ligatures w14:val="standardContextual"/>
        </w:rPr>
      </w:pPr>
      <w:r>
        <w:rPr>
          <w:noProof/>
        </w:rPr>
        <w:t>B.15</w:t>
      </w:r>
      <w:r>
        <w:rPr>
          <w:rFonts w:eastAsiaTheme="minorEastAsia" w:cstheme="minorBidi"/>
          <w:noProof/>
          <w:kern w:val="2"/>
          <w:sz w:val="24"/>
          <w:szCs w:val="24"/>
          <w14:ligatures w14:val="standardContextual"/>
        </w:rPr>
        <w:tab/>
      </w:r>
      <w:r>
        <w:rPr>
          <w:noProof/>
        </w:rPr>
        <w:t>Hourly feed-in tariffs across an average day by state and territory</w:t>
      </w:r>
      <w:r>
        <w:rPr>
          <w:noProof/>
        </w:rPr>
        <w:tab/>
      </w:r>
      <w:r>
        <w:rPr>
          <w:noProof/>
        </w:rPr>
        <w:fldChar w:fldCharType="begin"/>
      </w:r>
      <w:r>
        <w:rPr>
          <w:noProof/>
        </w:rPr>
        <w:instrText xml:space="preserve"> PAGEREF _Toc178292657 \h </w:instrText>
      </w:r>
      <w:r>
        <w:rPr>
          <w:noProof/>
        </w:rPr>
      </w:r>
      <w:r>
        <w:rPr>
          <w:noProof/>
        </w:rPr>
        <w:fldChar w:fldCharType="separate"/>
      </w:r>
      <w:r>
        <w:rPr>
          <w:noProof/>
        </w:rPr>
        <w:t>171</w:t>
      </w:r>
      <w:r>
        <w:rPr>
          <w:noProof/>
        </w:rPr>
        <w:fldChar w:fldCharType="end"/>
      </w:r>
    </w:p>
    <w:p w14:paraId="6650D16F" w14:textId="57920898" w:rsidR="006E00A7" w:rsidRDefault="006E00A7">
      <w:pPr>
        <w:pStyle w:val="TableofFigures"/>
        <w:rPr>
          <w:rFonts w:eastAsiaTheme="minorEastAsia" w:cstheme="minorBidi"/>
          <w:noProof/>
          <w:kern w:val="2"/>
          <w:sz w:val="24"/>
          <w:szCs w:val="24"/>
          <w14:ligatures w14:val="standardContextual"/>
        </w:rPr>
      </w:pPr>
      <w:r>
        <w:rPr>
          <w:noProof/>
        </w:rPr>
        <w:t>B.16</w:t>
      </w:r>
      <w:r>
        <w:rPr>
          <w:rFonts w:eastAsiaTheme="minorEastAsia" w:cstheme="minorBidi"/>
          <w:noProof/>
          <w:kern w:val="2"/>
          <w:sz w:val="24"/>
          <w:szCs w:val="24"/>
          <w14:ligatures w14:val="standardContextual"/>
        </w:rPr>
        <w:tab/>
      </w:r>
      <w:r>
        <w:rPr>
          <w:noProof/>
        </w:rPr>
        <w:t>Electricity price index for commercial customers under Step Change scenario</w:t>
      </w:r>
      <w:r>
        <w:rPr>
          <w:noProof/>
        </w:rPr>
        <w:tab/>
      </w:r>
      <w:r>
        <w:rPr>
          <w:noProof/>
        </w:rPr>
        <w:fldChar w:fldCharType="begin"/>
      </w:r>
      <w:r>
        <w:rPr>
          <w:noProof/>
        </w:rPr>
        <w:instrText xml:space="preserve"> PAGEREF _Toc178292658 \h </w:instrText>
      </w:r>
      <w:r>
        <w:rPr>
          <w:noProof/>
        </w:rPr>
      </w:r>
      <w:r>
        <w:rPr>
          <w:noProof/>
        </w:rPr>
        <w:fldChar w:fldCharType="separate"/>
      </w:r>
      <w:r>
        <w:rPr>
          <w:noProof/>
        </w:rPr>
        <w:t>173</w:t>
      </w:r>
      <w:r>
        <w:rPr>
          <w:noProof/>
        </w:rPr>
        <w:fldChar w:fldCharType="end"/>
      </w:r>
    </w:p>
    <w:p w14:paraId="457F8650" w14:textId="612B4391" w:rsidR="006E00A7" w:rsidRDefault="006E00A7">
      <w:pPr>
        <w:pStyle w:val="TableofFigures"/>
        <w:rPr>
          <w:rFonts w:eastAsiaTheme="minorEastAsia" w:cstheme="minorBidi"/>
          <w:noProof/>
          <w:kern w:val="2"/>
          <w:sz w:val="24"/>
          <w:szCs w:val="24"/>
          <w14:ligatures w14:val="standardContextual"/>
        </w:rPr>
      </w:pPr>
      <w:r>
        <w:rPr>
          <w:noProof/>
        </w:rPr>
        <w:t>B.17</w:t>
      </w:r>
      <w:r>
        <w:rPr>
          <w:rFonts w:eastAsiaTheme="minorEastAsia" w:cstheme="minorBidi"/>
          <w:noProof/>
          <w:kern w:val="2"/>
          <w:sz w:val="24"/>
          <w:szCs w:val="24"/>
          <w14:ligatures w14:val="standardContextual"/>
        </w:rPr>
        <w:tab/>
      </w:r>
      <w:r>
        <w:rPr>
          <w:noProof/>
        </w:rPr>
        <w:t>Gas delivered price for residential and commercial customers under Step Change scenario</w:t>
      </w:r>
      <w:r>
        <w:rPr>
          <w:noProof/>
        </w:rPr>
        <w:tab/>
      </w:r>
      <w:r>
        <w:rPr>
          <w:noProof/>
        </w:rPr>
        <w:fldChar w:fldCharType="begin"/>
      </w:r>
      <w:r>
        <w:rPr>
          <w:noProof/>
        </w:rPr>
        <w:instrText xml:space="preserve"> PAGEREF _Toc178292659 \h </w:instrText>
      </w:r>
      <w:r>
        <w:rPr>
          <w:noProof/>
        </w:rPr>
      </w:r>
      <w:r>
        <w:rPr>
          <w:noProof/>
        </w:rPr>
        <w:fldChar w:fldCharType="separate"/>
      </w:r>
      <w:r>
        <w:rPr>
          <w:noProof/>
        </w:rPr>
        <w:t>173</w:t>
      </w:r>
      <w:r>
        <w:rPr>
          <w:noProof/>
        </w:rPr>
        <w:fldChar w:fldCharType="end"/>
      </w:r>
    </w:p>
    <w:p w14:paraId="48507B16" w14:textId="04D56102" w:rsidR="006E00A7" w:rsidRDefault="006E00A7">
      <w:pPr>
        <w:pStyle w:val="TableofFigures"/>
        <w:rPr>
          <w:rFonts w:eastAsiaTheme="minorEastAsia" w:cstheme="minorBidi"/>
          <w:noProof/>
          <w:kern w:val="2"/>
          <w:sz w:val="24"/>
          <w:szCs w:val="24"/>
          <w14:ligatures w14:val="standardContextual"/>
        </w:rPr>
      </w:pPr>
      <w:r>
        <w:rPr>
          <w:noProof/>
        </w:rPr>
        <w:t>B.18</w:t>
      </w:r>
      <w:r>
        <w:rPr>
          <w:rFonts w:eastAsiaTheme="minorEastAsia" w:cstheme="minorBidi"/>
          <w:noProof/>
          <w:kern w:val="2"/>
          <w:sz w:val="24"/>
          <w:szCs w:val="24"/>
          <w14:ligatures w14:val="standardContextual"/>
        </w:rPr>
        <w:tab/>
      </w:r>
      <w:r>
        <w:rPr>
          <w:noProof/>
        </w:rPr>
        <w:t>Electricity consumption tariff forecast</w:t>
      </w:r>
      <w:r>
        <w:rPr>
          <w:noProof/>
        </w:rPr>
        <w:tab/>
      </w:r>
      <w:r>
        <w:rPr>
          <w:noProof/>
        </w:rPr>
        <w:fldChar w:fldCharType="begin"/>
      </w:r>
      <w:r>
        <w:rPr>
          <w:noProof/>
        </w:rPr>
        <w:instrText xml:space="preserve"> PAGEREF _Toc178292660 \h </w:instrText>
      </w:r>
      <w:r>
        <w:rPr>
          <w:noProof/>
        </w:rPr>
      </w:r>
      <w:r>
        <w:rPr>
          <w:noProof/>
        </w:rPr>
        <w:fldChar w:fldCharType="separate"/>
      </w:r>
      <w:r>
        <w:rPr>
          <w:noProof/>
        </w:rPr>
        <w:t>174</w:t>
      </w:r>
      <w:r>
        <w:rPr>
          <w:noProof/>
        </w:rPr>
        <w:fldChar w:fldCharType="end"/>
      </w:r>
    </w:p>
    <w:p w14:paraId="528ED488" w14:textId="7E236514" w:rsidR="006E00A7" w:rsidRDefault="006E00A7">
      <w:pPr>
        <w:pStyle w:val="TableofFigures"/>
        <w:rPr>
          <w:rFonts w:eastAsiaTheme="minorEastAsia" w:cstheme="minorBidi"/>
          <w:noProof/>
          <w:kern w:val="2"/>
          <w:sz w:val="24"/>
          <w:szCs w:val="24"/>
          <w14:ligatures w14:val="standardContextual"/>
        </w:rPr>
      </w:pPr>
      <w:r>
        <w:rPr>
          <w:noProof/>
        </w:rPr>
        <w:t>B.19</w:t>
      </w:r>
      <w:r>
        <w:rPr>
          <w:rFonts w:eastAsiaTheme="minorEastAsia" w:cstheme="minorBidi"/>
          <w:noProof/>
          <w:kern w:val="2"/>
          <w:sz w:val="24"/>
          <w:szCs w:val="24"/>
          <w14:ligatures w14:val="standardContextual"/>
        </w:rPr>
        <w:tab/>
      </w:r>
      <w:r>
        <w:rPr>
          <w:noProof/>
        </w:rPr>
        <w:t>Electricity demand/capacity charge forecast</w:t>
      </w:r>
      <w:r>
        <w:rPr>
          <w:noProof/>
        </w:rPr>
        <w:tab/>
      </w:r>
      <w:r>
        <w:rPr>
          <w:noProof/>
        </w:rPr>
        <w:fldChar w:fldCharType="begin"/>
      </w:r>
      <w:r>
        <w:rPr>
          <w:noProof/>
        </w:rPr>
        <w:instrText xml:space="preserve"> PAGEREF _Toc178292661 \h </w:instrText>
      </w:r>
      <w:r>
        <w:rPr>
          <w:noProof/>
        </w:rPr>
      </w:r>
      <w:r>
        <w:rPr>
          <w:noProof/>
        </w:rPr>
        <w:fldChar w:fldCharType="separate"/>
      </w:r>
      <w:r>
        <w:rPr>
          <w:noProof/>
        </w:rPr>
        <w:t>174</w:t>
      </w:r>
      <w:r>
        <w:rPr>
          <w:noProof/>
        </w:rPr>
        <w:fldChar w:fldCharType="end"/>
      </w:r>
    </w:p>
    <w:p w14:paraId="4C7C4191" w14:textId="6BB0CDE9" w:rsidR="006E00A7" w:rsidRDefault="006E00A7">
      <w:pPr>
        <w:pStyle w:val="TableofFigures"/>
        <w:rPr>
          <w:rFonts w:eastAsiaTheme="minorEastAsia" w:cstheme="minorBidi"/>
          <w:noProof/>
          <w:kern w:val="2"/>
          <w:sz w:val="24"/>
          <w:szCs w:val="24"/>
          <w14:ligatures w14:val="standardContextual"/>
        </w:rPr>
      </w:pPr>
      <w:r>
        <w:rPr>
          <w:noProof/>
        </w:rPr>
        <w:t>B.20</w:t>
      </w:r>
      <w:r>
        <w:rPr>
          <w:rFonts w:eastAsiaTheme="minorEastAsia" w:cstheme="minorBidi"/>
          <w:noProof/>
          <w:kern w:val="2"/>
          <w:sz w:val="24"/>
          <w:szCs w:val="24"/>
          <w14:ligatures w14:val="standardContextual"/>
        </w:rPr>
        <w:tab/>
      </w:r>
      <w:r>
        <w:rPr>
          <w:noProof/>
        </w:rPr>
        <w:t>Gas price forecast</w:t>
      </w:r>
      <w:r>
        <w:rPr>
          <w:noProof/>
        </w:rPr>
        <w:tab/>
      </w:r>
      <w:r>
        <w:rPr>
          <w:noProof/>
        </w:rPr>
        <w:fldChar w:fldCharType="begin"/>
      </w:r>
      <w:r>
        <w:rPr>
          <w:noProof/>
        </w:rPr>
        <w:instrText xml:space="preserve"> PAGEREF _Toc178292662 \h </w:instrText>
      </w:r>
      <w:r>
        <w:rPr>
          <w:noProof/>
        </w:rPr>
      </w:r>
      <w:r>
        <w:rPr>
          <w:noProof/>
        </w:rPr>
        <w:fldChar w:fldCharType="separate"/>
      </w:r>
      <w:r>
        <w:rPr>
          <w:noProof/>
        </w:rPr>
        <w:t>175</w:t>
      </w:r>
      <w:r>
        <w:rPr>
          <w:noProof/>
        </w:rPr>
        <w:fldChar w:fldCharType="end"/>
      </w:r>
    </w:p>
    <w:p w14:paraId="55EC418C" w14:textId="20320049" w:rsidR="006E00A7" w:rsidRDefault="006E00A7">
      <w:pPr>
        <w:pStyle w:val="TableofFigures"/>
        <w:rPr>
          <w:rFonts w:eastAsiaTheme="minorEastAsia" w:cstheme="minorBidi"/>
          <w:noProof/>
          <w:kern w:val="2"/>
          <w:sz w:val="24"/>
          <w:szCs w:val="24"/>
          <w14:ligatures w14:val="standardContextual"/>
        </w:rPr>
      </w:pPr>
      <w:r>
        <w:rPr>
          <w:noProof/>
        </w:rPr>
        <w:t>C.1</w:t>
      </w:r>
      <w:r>
        <w:rPr>
          <w:rFonts w:eastAsiaTheme="minorEastAsia" w:cstheme="minorBidi"/>
          <w:noProof/>
          <w:kern w:val="2"/>
          <w:sz w:val="24"/>
          <w:szCs w:val="24"/>
          <w14:ligatures w14:val="standardContextual"/>
        </w:rPr>
        <w:tab/>
      </w:r>
      <w:r>
        <w:rPr>
          <w:noProof/>
        </w:rPr>
        <w:t>Relationship between predicted and actual GHG emissions (from 2018 RIS)</w:t>
      </w:r>
      <w:r>
        <w:rPr>
          <w:noProof/>
        </w:rPr>
        <w:tab/>
      </w:r>
      <w:r>
        <w:rPr>
          <w:noProof/>
        </w:rPr>
        <w:fldChar w:fldCharType="begin"/>
      </w:r>
      <w:r>
        <w:rPr>
          <w:noProof/>
        </w:rPr>
        <w:instrText xml:space="preserve"> PAGEREF _Toc178292663 \h </w:instrText>
      </w:r>
      <w:r>
        <w:rPr>
          <w:noProof/>
        </w:rPr>
      </w:r>
      <w:r>
        <w:rPr>
          <w:noProof/>
        </w:rPr>
        <w:fldChar w:fldCharType="separate"/>
      </w:r>
      <w:r>
        <w:rPr>
          <w:noProof/>
        </w:rPr>
        <w:t>177</w:t>
      </w:r>
      <w:r>
        <w:rPr>
          <w:noProof/>
        </w:rPr>
        <w:fldChar w:fldCharType="end"/>
      </w:r>
    </w:p>
    <w:p w14:paraId="639B8AF3" w14:textId="6D2D635B" w:rsidR="006E00A7" w:rsidRDefault="006E00A7">
      <w:pPr>
        <w:pStyle w:val="TableofFigures"/>
        <w:rPr>
          <w:rFonts w:eastAsiaTheme="minorEastAsia" w:cstheme="minorBidi"/>
          <w:noProof/>
          <w:kern w:val="2"/>
          <w:sz w:val="24"/>
          <w:szCs w:val="24"/>
          <w14:ligatures w14:val="standardContextual"/>
        </w:rPr>
      </w:pPr>
      <w:r>
        <w:rPr>
          <w:noProof/>
        </w:rPr>
        <w:t>C.2</w:t>
      </w:r>
      <w:r>
        <w:rPr>
          <w:rFonts w:eastAsiaTheme="minorEastAsia" w:cstheme="minorBidi"/>
          <w:noProof/>
          <w:kern w:val="2"/>
          <w:sz w:val="24"/>
          <w:szCs w:val="24"/>
          <w14:ligatures w14:val="standardContextual"/>
        </w:rPr>
        <w:tab/>
      </w:r>
      <w:r>
        <w:rPr>
          <w:noProof/>
        </w:rPr>
        <w:t>Comparison of actual and modelled NABERS rating</w:t>
      </w:r>
      <w:r>
        <w:rPr>
          <w:noProof/>
        </w:rPr>
        <w:tab/>
      </w:r>
      <w:r>
        <w:rPr>
          <w:noProof/>
        </w:rPr>
        <w:fldChar w:fldCharType="begin"/>
      </w:r>
      <w:r>
        <w:rPr>
          <w:noProof/>
        </w:rPr>
        <w:instrText xml:space="preserve"> PAGEREF _Toc178292664 \h </w:instrText>
      </w:r>
      <w:r>
        <w:rPr>
          <w:noProof/>
        </w:rPr>
      </w:r>
      <w:r>
        <w:rPr>
          <w:noProof/>
        </w:rPr>
        <w:fldChar w:fldCharType="separate"/>
      </w:r>
      <w:r>
        <w:rPr>
          <w:noProof/>
        </w:rPr>
        <w:t>180</w:t>
      </w:r>
      <w:r>
        <w:rPr>
          <w:noProof/>
        </w:rPr>
        <w:fldChar w:fldCharType="end"/>
      </w:r>
    </w:p>
    <w:p w14:paraId="612E661D" w14:textId="75722E9F" w:rsidR="006E00A7" w:rsidRDefault="006E00A7">
      <w:pPr>
        <w:pStyle w:val="TableofFigures"/>
        <w:rPr>
          <w:rFonts w:eastAsiaTheme="minorEastAsia" w:cstheme="minorBidi"/>
          <w:noProof/>
          <w:kern w:val="2"/>
          <w:sz w:val="24"/>
          <w:szCs w:val="24"/>
          <w14:ligatures w14:val="standardContextual"/>
        </w:rPr>
      </w:pPr>
      <w:r>
        <w:rPr>
          <w:noProof/>
        </w:rPr>
        <w:t>C.3</w:t>
      </w:r>
      <w:r>
        <w:rPr>
          <w:rFonts w:eastAsiaTheme="minorEastAsia" w:cstheme="minorBidi"/>
          <w:noProof/>
          <w:kern w:val="2"/>
          <w:sz w:val="24"/>
          <w:szCs w:val="24"/>
          <w14:ligatures w14:val="standardContextual"/>
        </w:rPr>
        <w:tab/>
      </w:r>
      <w:r>
        <w:rPr>
          <w:noProof/>
        </w:rPr>
        <w:t>Comparison of actual and modelled NABERS rating — frequency distribution</w:t>
      </w:r>
      <w:r>
        <w:rPr>
          <w:noProof/>
        </w:rPr>
        <w:tab/>
      </w:r>
      <w:r>
        <w:rPr>
          <w:noProof/>
        </w:rPr>
        <w:fldChar w:fldCharType="begin"/>
      </w:r>
      <w:r>
        <w:rPr>
          <w:noProof/>
        </w:rPr>
        <w:instrText xml:space="preserve"> PAGEREF _Toc178292665 \h </w:instrText>
      </w:r>
      <w:r>
        <w:rPr>
          <w:noProof/>
        </w:rPr>
      </w:r>
      <w:r>
        <w:rPr>
          <w:noProof/>
        </w:rPr>
        <w:fldChar w:fldCharType="separate"/>
      </w:r>
      <w:r>
        <w:rPr>
          <w:noProof/>
        </w:rPr>
        <w:t>181</w:t>
      </w:r>
      <w:r>
        <w:rPr>
          <w:noProof/>
        </w:rPr>
        <w:fldChar w:fldCharType="end"/>
      </w:r>
    </w:p>
    <w:p w14:paraId="4C105E92" w14:textId="0CA45E35" w:rsidR="006E00A7" w:rsidRDefault="006E00A7">
      <w:pPr>
        <w:pStyle w:val="TableofFigures"/>
        <w:rPr>
          <w:rFonts w:eastAsiaTheme="minorEastAsia" w:cstheme="minorBidi"/>
          <w:noProof/>
          <w:kern w:val="2"/>
          <w:sz w:val="24"/>
          <w:szCs w:val="24"/>
          <w14:ligatures w14:val="standardContextual"/>
        </w:rPr>
      </w:pPr>
      <w:r>
        <w:rPr>
          <w:noProof/>
        </w:rPr>
        <w:t>C.4</w:t>
      </w:r>
      <w:r>
        <w:rPr>
          <w:rFonts w:eastAsiaTheme="minorEastAsia" w:cstheme="minorBidi"/>
          <w:noProof/>
          <w:kern w:val="2"/>
          <w:sz w:val="24"/>
          <w:szCs w:val="24"/>
          <w14:ligatures w14:val="standardContextual"/>
        </w:rPr>
        <w:tab/>
      </w:r>
      <w:r>
        <w:rPr>
          <w:noProof/>
        </w:rPr>
        <w:t>Comparison of modelled and actual NABERS star rating by modelled star rating</w:t>
      </w:r>
      <w:r>
        <w:rPr>
          <w:noProof/>
        </w:rPr>
        <w:tab/>
      </w:r>
      <w:r>
        <w:rPr>
          <w:noProof/>
        </w:rPr>
        <w:fldChar w:fldCharType="begin"/>
      </w:r>
      <w:r>
        <w:rPr>
          <w:noProof/>
        </w:rPr>
        <w:instrText xml:space="preserve"> PAGEREF _Toc178292666 \h </w:instrText>
      </w:r>
      <w:r>
        <w:rPr>
          <w:noProof/>
        </w:rPr>
      </w:r>
      <w:r>
        <w:rPr>
          <w:noProof/>
        </w:rPr>
        <w:fldChar w:fldCharType="separate"/>
      </w:r>
      <w:r>
        <w:rPr>
          <w:noProof/>
        </w:rPr>
        <w:t>181</w:t>
      </w:r>
      <w:r>
        <w:rPr>
          <w:noProof/>
        </w:rPr>
        <w:fldChar w:fldCharType="end"/>
      </w:r>
    </w:p>
    <w:p w14:paraId="2B08E06E" w14:textId="546DCD53" w:rsidR="006E00A7" w:rsidRDefault="006E00A7">
      <w:pPr>
        <w:pStyle w:val="TableofFigures"/>
        <w:rPr>
          <w:rFonts w:eastAsiaTheme="minorEastAsia" w:cstheme="minorBidi"/>
          <w:noProof/>
          <w:kern w:val="2"/>
          <w:sz w:val="24"/>
          <w:szCs w:val="24"/>
          <w14:ligatures w14:val="standardContextual"/>
        </w:rPr>
      </w:pPr>
      <w:r>
        <w:rPr>
          <w:noProof/>
        </w:rPr>
        <w:t>D.1</w:t>
      </w:r>
      <w:r>
        <w:rPr>
          <w:rFonts w:eastAsiaTheme="minorEastAsia" w:cstheme="minorBidi"/>
          <w:noProof/>
          <w:kern w:val="2"/>
          <w:sz w:val="24"/>
          <w:szCs w:val="24"/>
          <w14:ligatures w14:val="standardContextual"/>
        </w:rPr>
        <w:tab/>
      </w:r>
      <w:r>
        <w:rPr>
          <w:noProof/>
        </w:rPr>
        <w:t>Health cost of coal power stations in 2023 dollar</w:t>
      </w:r>
      <w:r>
        <w:rPr>
          <w:noProof/>
        </w:rPr>
        <w:tab/>
      </w:r>
      <w:r>
        <w:rPr>
          <w:noProof/>
        </w:rPr>
        <w:fldChar w:fldCharType="begin"/>
      </w:r>
      <w:r>
        <w:rPr>
          <w:noProof/>
        </w:rPr>
        <w:instrText xml:space="preserve"> PAGEREF _Toc178292667 \h </w:instrText>
      </w:r>
      <w:r>
        <w:rPr>
          <w:noProof/>
        </w:rPr>
      </w:r>
      <w:r>
        <w:rPr>
          <w:noProof/>
        </w:rPr>
        <w:fldChar w:fldCharType="separate"/>
      </w:r>
      <w:r>
        <w:rPr>
          <w:noProof/>
        </w:rPr>
        <w:t>185</w:t>
      </w:r>
      <w:r>
        <w:rPr>
          <w:noProof/>
        </w:rPr>
        <w:fldChar w:fldCharType="end"/>
      </w:r>
    </w:p>
    <w:p w14:paraId="0E96AA30" w14:textId="00CA904A" w:rsidR="006E00A7" w:rsidRDefault="006E00A7">
      <w:pPr>
        <w:pStyle w:val="TableofFigures"/>
        <w:rPr>
          <w:rFonts w:eastAsiaTheme="minorEastAsia" w:cstheme="minorBidi"/>
          <w:noProof/>
          <w:kern w:val="2"/>
          <w:sz w:val="24"/>
          <w:szCs w:val="24"/>
          <w14:ligatures w14:val="standardContextual"/>
        </w:rPr>
      </w:pPr>
      <w:r>
        <w:rPr>
          <w:noProof/>
        </w:rPr>
        <w:t>D.2</w:t>
      </w:r>
      <w:r>
        <w:rPr>
          <w:rFonts w:eastAsiaTheme="minorEastAsia" w:cstheme="minorBidi"/>
          <w:noProof/>
          <w:kern w:val="2"/>
          <w:sz w:val="24"/>
          <w:szCs w:val="24"/>
          <w14:ligatures w14:val="standardContextual"/>
        </w:rPr>
        <w:tab/>
      </w:r>
      <w:r>
        <w:rPr>
          <w:noProof/>
        </w:rPr>
        <w:t>Health cost per unit of generation for Victorian power stations in 2023 dollar</w:t>
      </w:r>
      <w:r>
        <w:rPr>
          <w:noProof/>
        </w:rPr>
        <w:tab/>
      </w:r>
      <w:r>
        <w:rPr>
          <w:noProof/>
        </w:rPr>
        <w:fldChar w:fldCharType="begin"/>
      </w:r>
      <w:r>
        <w:rPr>
          <w:noProof/>
        </w:rPr>
        <w:instrText xml:space="preserve"> PAGEREF _Toc178292668 \h </w:instrText>
      </w:r>
      <w:r>
        <w:rPr>
          <w:noProof/>
        </w:rPr>
      </w:r>
      <w:r>
        <w:rPr>
          <w:noProof/>
        </w:rPr>
        <w:fldChar w:fldCharType="separate"/>
      </w:r>
      <w:r>
        <w:rPr>
          <w:noProof/>
        </w:rPr>
        <w:t>186</w:t>
      </w:r>
      <w:r>
        <w:rPr>
          <w:noProof/>
        </w:rPr>
        <w:fldChar w:fldCharType="end"/>
      </w:r>
    </w:p>
    <w:p w14:paraId="450BBF31" w14:textId="473CB586" w:rsidR="006E00A7" w:rsidRDefault="006E00A7">
      <w:pPr>
        <w:pStyle w:val="TableofFigures"/>
        <w:rPr>
          <w:rFonts w:eastAsiaTheme="minorEastAsia" w:cstheme="minorBidi"/>
          <w:noProof/>
          <w:kern w:val="2"/>
          <w:sz w:val="24"/>
          <w:szCs w:val="24"/>
          <w14:ligatures w14:val="standardContextual"/>
        </w:rPr>
      </w:pPr>
      <w:r>
        <w:rPr>
          <w:noProof/>
        </w:rPr>
        <w:t>D.3</w:t>
      </w:r>
      <w:r>
        <w:rPr>
          <w:rFonts w:eastAsiaTheme="minorEastAsia" w:cstheme="minorBidi"/>
          <w:noProof/>
          <w:kern w:val="2"/>
          <w:sz w:val="24"/>
          <w:szCs w:val="24"/>
          <w14:ligatures w14:val="standardContextual"/>
        </w:rPr>
        <w:tab/>
      </w:r>
      <w:r>
        <w:rPr>
          <w:noProof/>
        </w:rPr>
        <w:t>Health cost by facility in 2023 dollars</w:t>
      </w:r>
      <w:r>
        <w:rPr>
          <w:noProof/>
        </w:rPr>
        <w:tab/>
      </w:r>
      <w:r>
        <w:rPr>
          <w:noProof/>
        </w:rPr>
        <w:fldChar w:fldCharType="begin"/>
      </w:r>
      <w:r>
        <w:rPr>
          <w:noProof/>
        </w:rPr>
        <w:instrText xml:space="preserve"> PAGEREF _Toc178292669 \h </w:instrText>
      </w:r>
      <w:r>
        <w:rPr>
          <w:noProof/>
        </w:rPr>
      </w:r>
      <w:r>
        <w:rPr>
          <w:noProof/>
        </w:rPr>
        <w:fldChar w:fldCharType="separate"/>
      </w:r>
      <w:r>
        <w:rPr>
          <w:noProof/>
        </w:rPr>
        <w:t>187</w:t>
      </w:r>
      <w:r>
        <w:rPr>
          <w:noProof/>
        </w:rPr>
        <w:fldChar w:fldCharType="end"/>
      </w:r>
    </w:p>
    <w:p w14:paraId="6EB286C7" w14:textId="1908CFAE" w:rsidR="006E00A7" w:rsidRDefault="006E00A7">
      <w:pPr>
        <w:pStyle w:val="TableofFigures"/>
        <w:rPr>
          <w:rFonts w:eastAsiaTheme="minorEastAsia" w:cstheme="minorBidi"/>
          <w:noProof/>
          <w:kern w:val="2"/>
          <w:sz w:val="24"/>
          <w:szCs w:val="24"/>
          <w14:ligatures w14:val="standardContextual"/>
        </w:rPr>
      </w:pPr>
      <w:r>
        <w:rPr>
          <w:noProof/>
        </w:rPr>
        <w:t>D.4</w:t>
      </w:r>
      <w:r>
        <w:rPr>
          <w:rFonts w:eastAsiaTheme="minorEastAsia" w:cstheme="minorBidi"/>
          <w:noProof/>
          <w:kern w:val="2"/>
          <w:sz w:val="24"/>
          <w:szCs w:val="24"/>
          <w14:ligatures w14:val="standardContextual"/>
        </w:rPr>
        <w:tab/>
      </w:r>
      <w:r>
        <w:rPr>
          <w:noProof/>
        </w:rPr>
        <w:t>Literature on the impacts of energy efficiency on health and productivity</w:t>
      </w:r>
      <w:r>
        <w:rPr>
          <w:noProof/>
        </w:rPr>
        <w:tab/>
      </w:r>
      <w:r>
        <w:rPr>
          <w:noProof/>
        </w:rPr>
        <w:fldChar w:fldCharType="begin"/>
      </w:r>
      <w:r>
        <w:rPr>
          <w:noProof/>
        </w:rPr>
        <w:instrText xml:space="preserve"> PAGEREF _Toc178292670 \h </w:instrText>
      </w:r>
      <w:r>
        <w:rPr>
          <w:noProof/>
        </w:rPr>
      </w:r>
      <w:r>
        <w:rPr>
          <w:noProof/>
        </w:rPr>
        <w:fldChar w:fldCharType="separate"/>
      </w:r>
      <w:r>
        <w:rPr>
          <w:noProof/>
        </w:rPr>
        <w:t>188</w:t>
      </w:r>
      <w:r>
        <w:rPr>
          <w:noProof/>
        </w:rPr>
        <w:fldChar w:fldCharType="end"/>
      </w:r>
    </w:p>
    <w:p w14:paraId="51E9612D" w14:textId="24706654" w:rsidR="006E00A7" w:rsidRDefault="006E00A7">
      <w:pPr>
        <w:pStyle w:val="TableofFigures"/>
        <w:rPr>
          <w:rFonts w:eastAsiaTheme="minorEastAsia" w:cstheme="minorBidi"/>
          <w:noProof/>
          <w:kern w:val="2"/>
          <w:sz w:val="24"/>
          <w:szCs w:val="24"/>
          <w14:ligatures w14:val="standardContextual"/>
        </w:rPr>
      </w:pPr>
      <w:r>
        <w:rPr>
          <w:noProof/>
        </w:rPr>
        <w:t>D.5</w:t>
      </w:r>
      <w:r>
        <w:rPr>
          <w:rFonts w:eastAsiaTheme="minorEastAsia" w:cstheme="minorBidi"/>
          <w:noProof/>
          <w:kern w:val="2"/>
          <w:sz w:val="24"/>
          <w:szCs w:val="24"/>
          <w14:ligatures w14:val="standardContextual"/>
        </w:rPr>
        <w:tab/>
      </w:r>
      <w:r>
        <w:rPr>
          <w:noProof/>
        </w:rPr>
        <w:t>Relationship between NABERS energy rating and thermal comfort score</w:t>
      </w:r>
      <w:r>
        <w:rPr>
          <w:noProof/>
        </w:rPr>
        <w:tab/>
      </w:r>
      <w:r>
        <w:rPr>
          <w:noProof/>
        </w:rPr>
        <w:fldChar w:fldCharType="begin"/>
      </w:r>
      <w:r>
        <w:rPr>
          <w:noProof/>
        </w:rPr>
        <w:instrText xml:space="preserve"> PAGEREF _Toc178292671 \h </w:instrText>
      </w:r>
      <w:r>
        <w:rPr>
          <w:noProof/>
        </w:rPr>
      </w:r>
      <w:r>
        <w:rPr>
          <w:noProof/>
        </w:rPr>
        <w:fldChar w:fldCharType="separate"/>
      </w:r>
      <w:r>
        <w:rPr>
          <w:noProof/>
        </w:rPr>
        <w:t>190</w:t>
      </w:r>
      <w:r>
        <w:rPr>
          <w:noProof/>
        </w:rPr>
        <w:fldChar w:fldCharType="end"/>
      </w:r>
    </w:p>
    <w:p w14:paraId="0141CFF2" w14:textId="11B42807" w:rsidR="006E00A7" w:rsidRDefault="006E00A7">
      <w:pPr>
        <w:pStyle w:val="TableofFigures"/>
        <w:rPr>
          <w:rFonts w:eastAsiaTheme="minorEastAsia" w:cstheme="minorBidi"/>
          <w:noProof/>
          <w:kern w:val="2"/>
          <w:sz w:val="24"/>
          <w:szCs w:val="24"/>
          <w14:ligatures w14:val="standardContextual"/>
        </w:rPr>
      </w:pPr>
      <w:r>
        <w:rPr>
          <w:noProof/>
        </w:rPr>
        <w:t>E.1</w:t>
      </w:r>
      <w:r>
        <w:rPr>
          <w:rFonts w:eastAsiaTheme="minorEastAsia" w:cstheme="minorBidi"/>
          <w:noProof/>
          <w:kern w:val="2"/>
          <w:sz w:val="24"/>
          <w:szCs w:val="24"/>
          <w14:ligatures w14:val="standardContextual"/>
        </w:rPr>
        <w:tab/>
      </w:r>
      <w:r>
        <w:rPr>
          <w:noProof/>
        </w:rPr>
        <w:t>Market for electric vehicles</w:t>
      </w:r>
      <w:r>
        <w:rPr>
          <w:noProof/>
        </w:rPr>
        <w:tab/>
      </w:r>
      <w:r>
        <w:rPr>
          <w:noProof/>
        </w:rPr>
        <w:fldChar w:fldCharType="begin"/>
      </w:r>
      <w:r>
        <w:rPr>
          <w:noProof/>
        </w:rPr>
        <w:instrText xml:space="preserve"> PAGEREF _Toc178292672 \h </w:instrText>
      </w:r>
      <w:r>
        <w:rPr>
          <w:noProof/>
        </w:rPr>
      </w:r>
      <w:r>
        <w:rPr>
          <w:noProof/>
        </w:rPr>
        <w:fldChar w:fldCharType="separate"/>
      </w:r>
      <w:r>
        <w:rPr>
          <w:noProof/>
        </w:rPr>
        <w:t>192</w:t>
      </w:r>
      <w:r>
        <w:rPr>
          <w:noProof/>
        </w:rPr>
        <w:fldChar w:fldCharType="end"/>
      </w:r>
    </w:p>
    <w:p w14:paraId="54D32D29" w14:textId="2E7F5A0E" w:rsidR="006E00A7" w:rsidRDefault="006E00A7">
      <w:pPr>
        <w:pStyle w:val="TableofFigures"/>
        <w:rPr>
          <w:rFonts w:eastAsiaTheme="minorEastAsia" w:cstheme="minorBidi"/>
          <w:noProof/>
          <w:kern w:val="2"/>
          <w:sz w:val="24"/>
          <w:szCs w:val="24"/>
          <w14:ligatures w14:val="standardContextual"/>
        </w:rPr>
      </w:pPr>
      <w:r>
        <w:rPr>
          <w:noProof/>
        </w:rPr>
        <w:t>E.2</w:t>
      </w:r>
      <w:r>
        <w:rPr>
          <w:rFonts w:eastAsiaTheme="minorEastAsia" w:cstheme="minorBidi"/>
          <w:noProof/>
          <w:kern w:val="2"/>
          <w:sz w:val="24"/>
          <w:szCs w:val="24"/>
          <w14:ligatures w14:val="standardContextual"/>
        </w:rPr>
        <w:tab/>
      </w:r>
      <w:r>
        <w:rPr>
          <w:noProof/>
        </w:rPr>
        <w:t>Average willingness to pay for a marginal change in vehicle/charging attributes</w:t>
      </w:r>
      <w:r>
        <w:rPr>
          <w:noProof/>
        </w:rPr>
        <w:tab/>
      </w:r>
      <w:r>
        <w:rPr>
          <w:noProof/>
        </w:rPr>
        <w:fldChar w:fldCharType="begin"/>
      </w:r>
      <w:r>
        <w:rPr>
          <w:noProof/>
        </w:rPr>
        <w:instrText xml:space="preserve"> PAGEREF _Toc178292673 \h </w:instrText>
      </w:r>
      <w:r>
        <w:rPr>
          <w:noProof/>
        </w:rPr>
      </w:r>
      <w:r>
        <w:rPr>
          <w:noProof/>
        </w:rPr>
        <w:fldChar w:fldCharType="separate"/>
      </w:r>
      <w:r>
        <w:rPr>
          <w:noProof/>
        </w:rPr>
        <w:t>193</w:t>
      </w:r>
      <w:r>
        <w:rPr>
          <w:noProof/>
        </w:rPr>
        <w:fldChar w:fldCharType="end"/>
      </w:r>
    </w:p>
    <w:p w14:paraId="44786B37" w14:textId="671DF029" w:rsidR="006E00A7" w:rsidRDefault="006E00A7">
      <w:pPr>
        <w:pStyle w:val="TableofFigures"/>
        <w:rPr>
          <w:rFonts w:eastAsiaTheme="minorEastAsia" w:cstheme="minorBidi"/>
          <w:noProof/>
          <w:kern w:val="2"/>
          <w:sz w:val="24"/>
          <w:szCs w:val="24"/>
          <w14:ligatures w14:val="standardContextual"/>
        </w:rPr>
      </w:pPr>
      <w:r>
        <w:rPr>
          <w:noProof/>
        </w:rPr>
        <w:t>E.3</w:t>
      </w:r>
      <w:r>
        <w:rPr>
          <w:rFonts w:eastAsiaTheme="minorEastAsia" w:cstheme="minorBidi"/>
          <w:noProof/>
          <w:kern w:val="2"/>
          <w:sz w:val="24"/>
          <w:szCs w:val="24"/>
          <w14:ligatures w14:val="standardContextual"/>
        </w:rPr>
        <w:tab/>
      </w:r>
      <w:r>
        <w:rPr>
          <w:noProof/>
        </w:rPr>
        <w:t>Average willingness to pay for improvements in availability of charging (2019$)</w:t>
      </w:r>
      <w:r>
        <w:rPr>
          <w:noProof/>
        </w:rPr>
        <w:tab/>
      </w:r>
      <w:r>
        <w:rPr>
          <w:noProof/>
        </w:rPr>
        <w:fldChar w:fldCharType="begin"/>
      </w:r>
      <w:r>
        <w:rPr>
          <w:noProof/>
        </w:rPr>
        <w:instrText xml:space="preserve"> PAGEREF _Toc178292674 \h </w:instrText>
      </w:r>
      <w:r>
        <w:rPr>
          <w:noProof/>
        </w:rPr>
      </w:r>
      <w:r>
        <w:rPr>
          <w:noProof/>
        </w:rPr>
        <w:fldChar w:fldCharType="separate"/>
      </w:r>
      <w:r>
        <w:rPr>
          <w:noProof/>
        </w:rPr>
        <w:t>193</w:t>
      </w:r>
      <w:r>
        <w:rPr>
          <w:noProof/>
        </w:rPr>
        <w:fldChar w:fldCharType="end"/>
      </w:r>
    </w:p>
    <w:p w14:paraId="5AB602CF" w14:textId="716A8A75" w:rsidR="006E00A7" w:rsidRDefault="006E00A7">
      <w:pPr>
        <w:pStyle w:val="TableofFigures"/>
        <w:rPr>
          <w:rFonts w:eastAsiaTheme="minorEastAsia" w:cstheme="minorBidi"/>
          <w:noProof/>
          <w:kern w:val="2"/>
          <w:sz w:val="24"/>
          <w:szCs w:val="24"/>
          <w14:ligatures w14:val="standardContextual"/>
        </w:rPr>
      </w:pPr>
      <w:r>
        <w:rPr>
          <w:noProof/>
        </w:rPr>
        <w:t>E.4</w:t>
      </w:r>
      <w:r>
        <w:rPr>
          <w:rFonts w:eastAsiaTheme="minorEastAsia" w:cstheme="minorBidi"/>
          <w:noProof/>
          <w:kern w:val="2"/>
          <w:sz w:val="24"/>
          <w:szCs w:val="24"/>
          <w14:ligatures w14:val="standardContextual"/>
        </w:rPr>
        <w:tab/>
      </w:r>
      <w:r>
        <w:rPr>
          <w:noProof/>
        </w:rPr>
        <w:t>CSIRO maximum market share prior to internal combustion engine vehicle collapse</w:t>
      </w:r>
      <w:r>
        <w:rPr>
          <w:noProof/>
        </w:rPr>
        <w:tab/>
      </w:r>
      <w:r>
        <w:rPr>
          <w:noProof/>
        </w:rPr>
        <w:fldChar w:fldCharType="begin"/>
      </w:r>
      <w:r>
        <w:rPr>
          <w:noProof/>
        </w:rPr>
        <w:instrText xml:space="preserve"> PAGEREF _Toc178292675 \h </w:instrText>
      </w:r>
      <w:r>
        <w:rPr>
          <w:noProof/>
        </w:rPr>
      </w:r>
      <w:r>
        <w:rPr>
          <w:noProof/>
        </w:rPr>
        <w:fldChar w:fldCharType="separate"/>
      </w:r>
      <w:r>
        <w:rPr>
          <w:noProof/>
        </w:rPr>
        <w:t>194</w:t>
      </w:r>
      <w:r>
        <w:rPr>
          <w:noProof/>
        </w:rPr>
        <w:fldChar w:fldCharType="end"/>
      </w:r>
    </w:p>
    <w:p w14:paraId="13969346" w14:textId="301CE511" w:rsidR="006E00A7" w:rsidRDefault="006E00A7">
      <w:pPr>
        <w:pStyle w:val="TableofFigures"/>
        <w:rPr>
          <w:rFonts w:eastAsiaTheme="minorEastAsia" w:cstheme="minorBidi"/>
          <w:noProof/>
          <w:kern w:val="2"/>
          <w:sz w:val="24"/>
          <w:szCs w:val="24"/>
          <w14:ligatures w14:val="standardContextual"/>
        </w:rPr>
      </w:pPr>
      <w:r>
        <w:rPr>
          <w:noProof/>
        </w:rPr>
        <w:t>F.1</w:t>
      </w:r>
      <w:r>
        <w:rPr>
          <w:rFonts w:eastAsiaTheme="minorEastAsia" w:cstheme="minorBidi"/>
          <w:noProof/>
          <w:kern w:val="2"/>
          <w:sz w:val="24"/>
          <w:szCs w:val="24"/>
          <w14:ligatures w14:val="standardContextual"/>
        </w:rPr>
        <w:tab/>
      </w:r>
      <w:r>
        <w:rPr>
          <w:noProof/>
        </w:rPr>
        <w:t>Accommodation rooms by type</w:t>
      </w:r>
      <w:r>
        <w:rPr>
          <w:noProof/>
        </w:rPr>
        <w:tab/>
      </w:r>
      <w:r>
        <w:rPr>
          <w:noProof/>
        </w:rPr>
        <w:fldChar w:fldCharType="begin"/>
      </w:r>
      <w:r>
        <w:rPr>
          <w:noProof/>
        </w:rPr>
        <w:instrText xml:space="preserve"> PAGEREF _Toc178292676 \h </w:instrText>
      </w:r>
      <w:r>
        <w:rPr>
          <w:noProof/>
        </w:rPr>
      </w:r>
      <w:r>
        <w:rPr>
          <w:noProof/>
        </w:rPr>
        <w:fldChar w:fldCharType="separate"/>
      </w:r>
      <w:r>
        <w:rPr>
          <w:noProof/>
        </w:rPr>
        <w:t>198</w:t>
      </w:r>
      <w:r>
        <w:rPr>
          <w:noProof/>
        </w:rPr>
        <w:fldChar w:fldCharType="end"/>
      </w:r>
    </w:p>
    <w:p w14:paraId="129C9044" w14:textId="10939A12" w:rsidR="006E00A7" w:rsidRDefault="006E00A7">
      <w:pPr>
        <w:pStyle w:val="TableofFigures"/>
        <w:rPr>
          <w:rFonts w:eastAsiaTheme="minorEastAsia" w:cstheme="minorBidi"/>
          <w:noProof/>
          <w:kern w:val="2"/>
          <w:sz w:val="24"/>
          <w:szCs w:val="24"/>
          <w14:ligatures w14:val="standardContextual"/>
        </w:rPr>
      </w:pPr>
      <w:r>
        <w:rPr>
          <w:noProof/>
        </w:rPr>
        <w:t>F.2</w:t>
      </w:r>
      <w:r>
        <w:rPr>
          <w:rFonts w:eastAsiaTheme="minorEastAsia" w:cstheme="minorBidi"/>
          <w:noProof/>
          <w:kern w:val="2"/>
          <w:sz w:val="24"/>
          <w:szCs w:val="24"/>
          <w14:ligatures w14:val="standardContextual"/>
        </w:rPr>
        <w:tab/>
      </w:r>
      <w:r>
        <w:rPr>
          <w:noProof/>
        </w:rPr>
        <w:t>New accommodation by archetype</w:t>
      </w:r>
      <w:r>
        <w:rPr>
          <w:noProof/>
        </w:rPr>
        <w:tab/>
      </w:r>
      <w:r>
        <w:rPr>
          <w:noProof/>
        </w:rPr>
        <w:fldChar w:fldCharType="begin"/>
      </w:r>
      <w:r>
        <w:rPr>
          <w:noProof/>
        </w:rPr>
        <w:instrText xml:space="preserve"> PAGEREF _Toc178292677 \h </w:instrText>
      </w:r>
      <w:r>
        <w:rPr>
          <w:noProof/>
        </w:rPr>
      </w:r>
      <w:r>
        <w:rPr>
          <w:noProof/>
        </w:rPr>
        <w:fldChar w:fldCharType="separate"/>
      </w:r>
      <w:r>
        <w:rPr>
          <w:noProof/>
        </w:rPr>
        <w:t>198</w:t>
      </w:r>
      <w:r>
        <w:rPr>
          <w:noProof/>
        </w:rPr>
        <w:fldChar w:fldCharType="end"/>
      </w:r>
    </w:p>
    <w:p w14:paraId="1B573E26" w14:textId="68B07A47" w:rsidR="006E00A7" w:rsidRDefault="006E00A7">
      <w:pPr>
        <w:pStyle w:val="TableofFigures"/>
        <w:rPr>
          <w:rFonts w:eastAsiaTheme="minorEastAsia" w:cstheme="minorBidi"/>
          <w:noProof/>
          <w:kern w:val="2"/>
          <w:sz w:val="24"/>
          <w:szCs w:val="24"/>
          <w14:ligatures w14:val="standardContextual"/>
        </w:rPr>
      </w:pPr>
      <w:r>
        <w:rPr>
          <w:noProof/>
        </w:rPr>
        <w:t>F.3</w:t>
      </w:r>
      <w:r>
        <w:rPr>
          <w:rFonts w:eastAsiaTheme="minorEastAsia" w:cstheme="minorBidi"/>
          <w:noProof/>
          <w:kern w:val="2"/>
          <w:sz w:val="24"/>
          <w:szCs w:val="24"/>
          <w14:ligatures w14:val="standardContextual"/>
        </w:rPr>
        <w:tab/>
      </w:r>
      <w:r>
        <w:rPr>
          <w:noProof/>
        </w:rPr>
        <w:t>Office buildings by floor space</w:t>
      </w:r>
      <w:r>
        <w:rPr>
          <w:noProof/>
        </w:rPr>
        <w:tab/>
      </w:r>
      <w:r>
        <w:rPr>
          <w:noProof/>
        </w:rPr>
        <w:fldChar w:fldCharType="begin"/>
      </w:r>
      <w:r>
        <w:rPr>
          <w:noProof/>
        </w:rPr>
        <w:instrText xml:space="preserve"> PAGEREF _Toc178292678 \h </w:instrText>
      </w:r>
      <w:r>
        <w:rPr>
          <w:noProof/>
        </w:rPr>
      </w:r>
      <w:r>
        <w:rPr>
          <w:noProof/>
        </w:rPr>
        <w:fldChar w:fldCharType="separate"/>
      </w:r>
      <w:r>
        <w:rPr>
          <w:noProof/>
        </w:rPr>
        <w:t>199</w:t>
      </w:r>
      <w:r>
        <w:rPr>
          <w:noProof/>
        </w:rPr>
        <w:fldChar w:fldCharType="end"/>
      </w:r>
    </w:p>
    <w:p w14:paraId="7CF7E92E" w14:textId="1A362F5C" w:rsidR="006E00A7" w:rsidRDefault="006E00A7">
      <w:pPr>
        <w:pStyle w:val="TableofFigures"/>
        <w:rPr>
          <w:rFonts w:eastAsiaTheme="minorEastAsia" w:cstheme="minorBidi"/>
          <w:noProof/>
          <w:kern w:val="2"/>
          <w:sz w:val="24"/>
          <w:szCs w:val="24"/>
          <w14:ligatures w14:val="standardContextual"/>
        </w:rPr>
      </w:pPr>
      <w:r>
        <w:rPr>
          <w:noProof/>
        </w:rPr>
        <w:t>F.4</w:t>
      </w:r>
      <w:r>
        <w:rPr>
          <w:rFonts w:eastAsiaTheme="minorEastAsia" w:cstheme="minorBidi"/>
          <w:noProof/>
          <w:kern w:val="2"/>
          <w:sz w:val="24"/>
          <w:szCs w:val="24"/>
          <w14:ligatures w14:val="standardContextual"/>
        </w:rPr>
        <w:tab/>
      </w:r>
      <w:r>
        <w:rPr>
          <w:noProof/>
        </w:rPr>
        <w:t>Retail floor space</w:t>
      </w:r>
      <w:r>
        <w:rPr>
          <w:noProof/>
        </w:rPr>
        <w:tab/>
      </w:r>
      <w:r>
        <w:rPr>
          <w:noProof/>
        </w:rPr>
        <w:fldChar w:fldCharType="begin"/>
      </w:r>
      <w:r>
        <w:rPr>
          <w:noProof/>
        </w:rPr>
        <w:instrText xml:space="preserve"> PAGEREF _Toc178292679 \h </w:instrText>
      </w:r>
      <w:r>
        <w:rPr>
          <w:noProof/>
        </w:rPr>
      </w:r>
      <w:r>
        <w:rPr>
          <w:noProof/>
        </w:rPr>
        <w:fldChar w:fldCharType="separate"/>
      </w:r>
      <w:r>
        <w:rPr>
          <w:noProof/>
        </w:rPr>
        <w:t>200</w:t>
      </w:r>
      <w:r>
        <w:rPr>
          <w:noProof/>
        </w:rPr>
        <w:fldChar w:fldCharType="end"/>
      </w:r>
    </w:p>
    <w:p w14:paraId="4DB97E73" w14:textId="75D2E6B6" w:rsidR="006E00A7" w:rsidRDefault="006E00A7">
      <w:pPr>
        <w:pStyle w:val="TableofFigures"/>
        <w:rPr>
          <w:rFonts w:eastAsiaTheme="minorEastAsia" w:cstheme="minorBidi"/>
          <w:noProof/>
          <w:kern w:val="2"/>
          <w:sz w:val="24"/>
          <w:szCs w:val="24"/>
          <w14:ligatures w14:val="standardContextual"/>
        </w:rPr>
      </w:pPr>
      <w:r>
        <w:rPr>
          <w:noProof/>
        </w:rPr>
        <w:t>F.5</w:t>
      </w:r>
      <w:r>
        <w:rPr>
          <w:rFonts w:eastAsiaTheme="minorEastAsia" w:cstheme="minorBidi"/>
          <w:noProof/>
          <w:kern w:val="2"/>
          <w:sz w:val="24"/>
          <w:szCs w:val="24"/>
          <w14:ligatures w14:val="standardContextual"/>
        </w:rPr>
        <w:tab/>
      </w:r>
      <w:r>
        <w:rPr>
          <w:noProof/>
        </w:rPr>
        <w:t>NCC climate zones</w:t>
      </w:r>
      <w:r>
        <w:rPr>
          <w:noProof/>
        </w:rPr>
        <w:tab/>
      </w:r>
      <w:r>
        <w:rPr>
          <w:noProof/>
        </w:rPr>
        <w:fldChar w:fldCharType="begin"/>
      </w:r>
      <w:r>
        <w:rPr>
          <w:noProof/>
        </w:rPr>
        <w:instrText xml:space="preserve"> PAGEREF _Toc178292680 \h </w:instrText>
      </w:r>
      <w:r>
        <w:rPr>
          <w:noProof/>
        </w:rPr>
      </w:r>
      <w:r>
        <w:rPr>
          <w:noProof/>
        </w:rPr>
        <w:fldChar w:fldCharType="separate"/>
      </w:r>
      <w:r>
        <w:rPr>
          <w:noProof/>
        </w:rPr>
        <w:t>202</w:t>
      </w:r>
      <w:r>
        <w:rPr>
          <w:noProof/>
        </w:rPr>
        <w:fldChar w:fldCharType="end"/>
      </w:r>
    </w:p>
    <w:p w14:paraId="6034DB9D" w14:textId="6CEEB776" w:rsidR="006E00A7" w:rsidRDefault="006E00A7">
      <w:pPr>
        <w:pStyle w:val="TableofFigures"/>
        <w:rPr>
          <w:rFonts w:eastAsiaTheme="minorEastAsia" w:cstheme="minorBidi"/>
          <w:noProof/>
          <w:kern w:val="2"/>
          <w:sz w:val="24"/>
          <w:szCs w:val="24"/>
          <w14:ligatures w14:val="standardContextual"/>
        </w:rPr>
      </w:pPr>
      <w:r>
        <w:rPr>
          <w:noProof/>
        </w:rPr>
        <w:t>G.1</w:t>
      </w:r>
      <w:r>
        <w:rPr>
          <w:rFonts w:eastAsiaTheme="minorEastAsia" w:cstheme="minorBidi"/>
          <w:noProof/>
          <w:kern w:val="2"/>
          <w:sz w:val="24"/>
          <w:szCs w:val="24"/>
          <w14:ligatures w14:val="standardContextual"/>
        </w:rPr>
        <w:tab/>
      </w:r>
      <w:r>
        <w:rPr>
          <w:noProof/>
        </w:rPr>
        <w:t>Energy savings by time of day — Stringency Level 1, large office in CZ2</w:t>
      </w:r>
      <w:r>
        <w:rPr>
          <w:noProof/>
        </w:rPr>
        <w:tab/>
      </w:r>
      <w:r>
        <w:rPr>
          <w:noProof/>
        </w:rPr>
        <w:fldChar w:fldCharType="begin"/>
      </w:r>
      <w:r>
        <w:rPr>
          <w:noProof/>
        </w:rPr>
        <w:instrText xml:space="preserve"> PAGEREF _Toc178292681 \h </w:instrText>
      </w:r>
      <w:r>
        <w:rPr>
          <w:noProof/>
        </w:rPr>
      </w:r>
      <w:r>
        <w:rPr>
          <w:noProof/>
        </w:rPr>
        <w:fldChar w:fldCharType="separate"/>
      </w:r>
      <w:r>
        <w:rPr>
          <w:noProof/>
        </w:rPr>
        <w:t>204</w:t>
      </w:r>
      <w:r>
        <w:rPr>
          <w:noProof/>
        </w:rPr>
        <w:fldChar w:fldCharType="end"/>
      </w:r>
    </w:p>
    <w:p w14:paraId="66DA0E11" w14:textId="0AAC76D6" w:rsidR="006E00A7" w:rsidRDefault="006E00A7">
      <w:pPr>
        <w:pStyle w:val="TableofFigures"/>
        <w:rPr>
          <w:rFonts w:eastAsiaTheme="minorEastAsia" w:cstheme="minorBidi"/>
          <w:noProof/>
          <w:kern w:val="2"/>
          <w:sz w:val="24"/>
          <w:szCs w:val="24"/>
          <w14:ligatures w14:val="standardContextual"/>
        </w:rPr>
      </w:pPr>
      <w:r>
        <w:rPr>
          <w:noProof/>
        </w:rPr>
        <w:t>G.2</w:t>
      </w:r>
      <w:r>
        <w:rPr>
          <w:rFonts w:eastAsiaTheme="minorEastAsia" w:cstheme="minorBidi"/>
          <w:noProof/>
          <w:kern w:val="2"/>
          <w:sz w:val="24"/>
          <w:szCs w:val="24"/>
          <w14:ligatures w14:val="standardContextual"/>
        </w:rPr>
        <w:tab/>
      </w:r>
      <w:r>
        <w:rPr>
          <w:noProof/>
        </w:rPr>
        <w:t>Energy savings by time of day — Stringency Level 2, large office in CZ2</w:t>
      </w:r>
      <w:r>
        <w:rPr>
          <w:noProof/>
        </w:rPr>
        <w:tab/>
      </w:r>
      <w:r>
        <w:rPr>
          <w:noProof/>
        </w:rPr>
        <w:fldChar w:fldCharType="begin"/>
      </w:r>
      <w:r>
        <w:rPr>
          <w:noProof/>
        </w:rPr>
        <w:instrText xml:space="preserve"> PAGEREF _Toc178292682 \h </w:instrText>
      </w:r>
      <w:r>
        <w:rPr>
          <w:noProof/>
        </w:rPr>
      </w:r>
      <w:r>
        <w:rPr>
          <w:noProof/>
        </w:rPr>
        <w:fldChar w:fldCharType="separate"/>
      </w:r>
      <w:r>
        <w:rPr>
          <w:noProof/>
        </w:rPr>
        <w:t>204</w:t>
      </w:r>
      <w:r>
        <w:rPr>
          <w:noProof/>
        </w:rPr>
        <w:fldChar w:fldCharType="end"/>
      </w:r>
    </w:p>
    <w:p w14:paraId="565AA1ED" w14:textId="129CE6A7" w:rsidR="006E00A7" w:rsidRDefault="006E00A7">
      <w:pPr>
        <w:pStyle w:val="TableofFigures"/>
        <w:rPr>
          <w:rFonts w:eastAsiaTheme="minorEastAsia" w:cstheme="minorBidi"/>
          <w:noProof/>
          <w:kern w:val="2"/>
          <w:sz w:val="24"/>
          <w:szCs w:val="24"/>
          <w14:ligatures w14:val="standardContextual"/>
        </w:rPr>
      </w:pPr>
      <w:r>
        <w:rPr>
          <w:noProof/>
        </w:rPr>
        <w:t>G.3</w:t>
      </w:r>
      <w:r>
        <w:rPr>
          <w:rFonts w:eastAsiaTheme="minorEastAsia" w:cstheme="minorBidi"/>
          <w:noProof/>
          <w:kern w:val="2"/>
          <w:sz w:val="24"/>
          <w:szCs w:val="24"/>
          <w14:ligatures w14:val="standardContextual"/>
        </w:rPr>
        <w:tab/>
      </w:r>
      <w:r>
        <w:rPr>
          <w:noProof/>
        </w:rPr>
        <w:t>Energy savings by time of day — Stringency Level 1, large office in CZ5</w:t>
      </w:r>
      <w:r>
        <w:rPr>
          <w:noProof/>
        </w:rPr>
        <w:tab/>
      </w:r>
      <w:r>
        <w:rPr>
          <w:noProof/>
        </w:rPr>
        <w:fldChar w:fldCharType="begin"/>
      </w:r>
      <w:r>
        <w:rPr>
          <w:noProof/>
        </w:rPr>
        <w:instrText xml:space="preserve"> PAGEREF _Toc178292683 \h </w:instrText>
      </w:r>
      <w:r>
        <w:rPr>
          <w:noProof/>
        </w:rPr>
      </w:r>
      <w:r>
        <w:rPr>
          <w:noProof/>
        </w:rPr>
        <w:fldChar w:fldCharType="separate"/>
      </w:r>
      <w:r>
        <w:rPr>
          <w:noProof/>
        </w:rPr>
        <w:t>205</w:t>
      </w:r>
      <w:r>
        <w:rPr>
          <w:noProof/>
        </w:rPr>
        <w:fldChar w:fldCharType="end"/>
      </w:r>
    </w:p>
    <w:p w14:paraId="6E02F5AF" w14:textId="7EB63BF0" w:rsidR="006E00A7" w:rsidRDefault="006E00A7">
      <w:pPr>
        <w:pStyle w:val="TableofFigures"/>
        <w:rPr>
          <w:rFonts w:eastAsiaTheme="minorEastAsia" w:cstheme="minorBidi"/>
          <w:noProof/>
          <w:kern w:val="2"/>
          <w:sz w:val="24"/>
          <w:szCs w:val="24"/>
          <w14:ligatures w14:val="standardContextual"/>
        </w:rPr>
      </w:pPr>
      <w:r>
        <w:rPr>
          <w:noProof/>
        </w:rPr>
        <w:t>G.4</w:t>
      </w:r>
      <w:r>
        <w:rPr>
          <w:rFonts w:eastAsiaTheme="minorEastAsia" w:cstheme="minorBidi"/>
          <w:noProof/>
          <w:kern w:val="2"/>
          <w:sz w:val="24"/>
          <w:szCs w:val="24"/>
          <w14:ligatures w14:val="standardContextual"/>
        </w:rPr>
        <w:tab/>
      </w:r>
      <w:r>
        <w:rPr>
          <w:noProof/>
        </w:rPr>
        <w:t>Energy savings by time of day — Stringency Level 2, large office in CZ5</w:t>
      </w:r>
      <w:r>
        <w:rPr>
          <w:noProof/>
        </w:rPr>
        <w:tab/>
      </w:r>
      <w:r>
        <w:rPr>
          <w:noProof/>
        </w:rPr>
        <w:fldChar w:fldCharType="begin"/>
      </w:r>
      <w:r>
        <w:rPr>
          <w:noProof/>
        </w:rPr>
        <w:instrText xml:space="preserve"> PAGEREF _Toc178292684 \h </w:instrText>
      </w:r>
      <w:r>
        <w:rPr>
          <w:noProof/>
        </w:rPr>
      </w:r>
      <w:r>
        <w:rPr>
          <w:noProof/>
        </w:rPr>
        <w:fldChar w:fldCharType="separate"/>
      </w:r>
      <w:r>
        <w:rPr>
          <w:noProof/>
        </w:rPr>
        <w:t>205</w:t>
      </w:r>
      <w:r>
        <w:rPr>
          <w:noProof/>
        </w:rPr>
        <w:fldChar w:fldCharType="end"/>
      </w:r>
    </w:p>
    <w:p w14:paraId="02982CB2" w14:textId="73F02549" w:rsidR="006E00A7" w:rsidRDefault="006E00A7">
      <w:pPr>
        <w:pStyle w:val="TableofFigures"/>
        <w:rPr>
          <w:rFonts w:eastAsiaTheme="minorEastAsia" w:cstheme="minorBidi"/>
          <w:noProof/>
          <w:kern w:val="2"/>
          <w:sz w:val="24"/>
          <w:szCs w:val="24"/>
          <w14:ligatures w14:val="standardContextual"/>
        </w:rPr>
      </w:pPr>
      <w:r>
        <w:rPr>
          <w:noProof/>
        </w:rPr>
        <w:t>G.5</w:t>
      </w:r>
      <w:r>
        <w:rPr>
          <w:rFonts w:eastAsiaTheme="minorEastAsia" w:cstheme="minorBidi"/>
          <w:noProof/>
          <w:kern w:val="2"/>
          <w:sz w:val="24"/>
          <w:szCs w:val="24"/>
          <w14:ligatures w14:val="standardContextual"/>
        </w:rPr>
        <w:tab/>
      </w:r>
      <w:r>
        <w:rPr>
          <w:noProof/>
        </w:rPr>
        <w:t>Energy savings by time of day — Stringency Level 1, large office in CZ6</w:t>
      </w:r>
      <w:r>
        <w:rPr>
          <w:noProof/>
        </w:rPr>
        <w:tab/>
      </w:r>
      <w:r>
        <w:rPr>
          <w:noProof/>
        </w:rPr>
        <w:fldChar w:fldCharType="begin"/>
      </w:r>
      <w:r>
        <w:rPr>
          <w:noProof/>
        </w:rPr>
        <w:instrText xml:space="preserve"> PAGEREF _Toc178292685 \h </w:instrText>
      </w:r>
      <w:r>
        <w:rPr>
          <w:noProof/>
        </w:rPr>
      </w:r>
      <w:r>
        <w:rPr>
          <w:noProof/>
        </w:rPr>
        <w:fldChar w:fldCharType="separate"/>
      </w:r>
      <w:r>
        <w:rPr>
          <w:noProof/>
        </w:rPr>
        <w:t>206</w:t>
      </w:r>
      <w:r>
        <w:rPr>
          <w:noProof/>
        </w:rPr>
        <w:fldChar w:fldCharType="end"/>
      </w:r>
    </w:p>
    <w:p w14:paraId="22F74E5B" w14:textId="0AC5271E" w:rsidR="006E00A7" w:rsidRDefault="006E00A7">
      <w:pPr>
        <w:pStyle w:val="TableofFigures"/>
        <w:rPr>
          <w:rFonts w:eastAsiaTheme="minorEastAsia" w:cstheme="minorBidi"/>
          <w:noProof/>
          <w:kern w:val="2"/>
          <w:sz w:val="24"/>
          <w:szCs w:val="24"/>
          <w14:ligatures w14:val="standardContextual"/>
        </w:rPr>
      </w:pPr>
      <w:r>
        <w:rPr>
          <w:noProof/>
        </w:rPr>
        <w:t>G.6</w:t>
      </w:r>
      <w:r>
        <w:rPr>
          <w:rFonts w:eastAsiaTheme="minorEastAsia" w:cstheme="minorBidi"/>
          <w:noProof/>
          <w:kern w:val="2"/>
          <w:sz w:val="24"/>
          <w:szCs w:val="24"/>
          <w14:ligatures w14:val="standardContextual"/>
        </w:rPr>
        <w:tab/>
      </w:r>
      <w:r>
        <w:rPr>
          <w:noProof/>
        </w:rPr>
        <w:t>Energy savings by time of day — Stringency Level 2, large office in CZ6</w:t>
      </w:r>
      <w:r>
        <w:rPr>
          <w:noProof/>
        </w:rPr>
        <w:tab/>
      </w:r>
      <w:r>
        <w:rPr>
          <w:noProof/>
        </w:rPr>
        <w:fldChar w:fldCharType="begin"/>
      </w:r>
      <w:r>
        <w:rPr>
          <w:noProof/>
        </w:rPr>
        <w:instrText xml:space="preserve"> PAGEREF _Toc178292686 \h </w:instrText>
      </w:r>
      <w:r>
        <w:rPr>
          <w:noProof/>
        </w:rPr>
      </w:r>
      <w:r>
        <w:rPr>
          <w:noProof/>
        </w:rPr>
        <w:fldChar w:fldCharType="separate"/>
      </w:r>
      <w:r>
        <w:rPr>
          <w:noProof/>
        </w:rPr>
        <w:t>206</w:t>
      </w:r>
      <w:r>
        <w:rPr>
          <w:noProof/>
        </w:rPr>
        <w:fldChar w:fldCharType="end"/>
      </w:r>
    </w:p>
    <w:p w14:paraId="0485BA8D" w14:textId="07AC23A2" w:rsidR="006E00A7" w:rsidRDefault="006E00A7">
      <w:pPr>
        <w:pStyle w:val="TableofFigures"/>
        <w:rPr>
          <w:rFonts w:eastAsiaTheme="minorEastAsia" w:cstheme="minorBidi"/>
          <w:noProof/>
          <w:kern w:val="2"/>
          <w:sz w:val="24"/>
          <w:szCs w:val="24"/>
          <w14:ligatures w14:val="standardContextual"/>
        </w:rPr>
      </w:pPr>
      <w:r>
        <w:rPr>
          <w:noProof/>
        </w:rPr>
        <w:t>G.7</w:t>
      </w:r>
      <w:r>
        <w:rPr>
          <w:rFonts w:eastAsiaTheme="minorEastAsia" w:cstheme="minorBidi"/>
          <w:noProof/>
          <w:kern w:val="2"/>
          <w:sz w:val="24"/>
          <w:szCs w:val="24"/>
          <w14:ligatures w14:val="standardContextual"/>
        </w:rPr>
        <w:tab/>
      </w:r>
      <w:r>
        <w:rPr>
          <w:noProof/>
        </w:rPr>
        <w:t>Energy savings by time of day — Stringency Level 1, large hospital ward in CZ2</w:t>
      </w:r>
      <w:r>
        <w:rPr>
          <w:noProof/>
        </w:rPr>
        <w:tab/>
      </w:r>
      <w:r>
        <w:rPr>
          <w:noProof/>
        </w:rPr>
        <w:fldChar w:fldCharType="begin"/>
      </w:r>
      <w:r>
        <w:rPr>
          <w:noProof/>
        </w:rPr>
        <w:instrText xml:space="preserve"> PAGEREF _Toc178292687 \h </w:instrText>
      </w:r>
      <w:r>
        <w:rPr>
          <w:noProof/>
        </w:rPr>
      </w:r>
      <w:r>
        <w:rPr>
          <w:noProof/>
        </w:rPr>
        <w:fldChar w:fldCharType="separate"/>
      </w:r>
      <w:r>
        <w:rPr>
          <w:noProof/>
        </w:rPr>
        <w:t>207</w:t>
      </w:r>
      <w:r>
        <w:rPr>
          <w:noProof/>
        </w:rPr>
        <w:fldChar w:fldCharType="end"/>
      </w:r>
    </w:p>
    <w:p w14:paraId="19527443" w14:textId="0D9DE6BA" w:rsidR="006E00A7" w:rsidRDefault="006E00A7">
      <w:pPr>
        <w:pStyle w:val="TableofFigures"/>
        <w:rPr>
          <w:rFonts w:eastAsiaTheme="minorEastAsia" w:cstheme="minorBidi"/>
          <w:noProof/>
          <w:kern w:val="2"/>
          <w:sz w:val="24"/>
          <w:szCs w:val="24"/>
          <w14:ligatures w14:val="standardContextual"/>
        </w:rPr>
      </w:pPr>
      <w:r>
        <w:rPr>
          <w:noProof/>
        </w:rPr>
        <w:t>G.8</w:t>
      </w:r>
      <w:r>
        <w:rPr>
          <w:rFonts w:eastAsiaTheme="minorEastAsia" w:cstheme="minorBidi"/>
          <w:noProof/>
          <w:kern w:val="2"/>
          <w:sz w:val="24"/>
          <w:szCs w:val="24"/>
          <w14:ligatures w14:val="standardContextual"/>
        </w:rPr>
        <w:tab/>
      </w:r>
      <w:r>
        <w:rPr>
          <w:noProof/>
        </w:rPr>
        <w:t>Energy savings by time of day — Stringency Level 2, large hospital ward in CZ2</w:t>
      </w:r>
      <w:r>
        <w:rPr>
          <w:noProof/>
        </w:rPr>
        <w:tab/>
      </w:r>
      <w:r>
        <w:rPr>
          <w:noProof/>
        </w:rPr>
        <w:fldChar w:fldCharType="begin"/>
      </w:r>
      <w:r>
        <w:rPr>
          <w:noProof/>
        </w:rPr>
        <w:instrText xml:space="preserve"> PAGEREF _Toc178292688 \h </w:instrText>
      </w:r>
      <w:r>
        <w:rPr>
          <w:noProof/>
        </w:rPr>
      </w:r>
      <w:r>
        <w:rPr>
          <w:noProof/>
        </w:rPr>
        <w:fldChar w:fldCharType="separate"/>
      </w:r>
      <w:r>
        <w:rPr>
          <w:noProof/>
        </w:rPr>
        <w:t>207</w:t>
      </w:r>
      <w:r>
        <w:rPr>
          <w:noProof/>
        </w:rPr>
        <w:fldChar w:fldCharType="end"/>
      </w:r>
    </w:p>
    <w:p w14:paraId="0B42FB4B" w14:textId="3B63CC49" w:rsidR="006E00A7" w:rsidRDefault="006E00A7">
      <w:pPr>
        <w:pStyle w:val="TableofFigures"/>
        <w:rPr>
          <w:rFonts w:eastAsiaTheme="minorEastAsia" w:cstheme="minorBidi"/>
          <w:noProof/>
          <w:kern w:val="2"/>
          <w:sz w:val="24"/>
          <w:szCs w:val="24"/>
          <w14:ligatures w14:val="standardContextual"/>
        </w:rPr>
      </w:pPr>
      <w:r>
        <w:rPr>
          <w:noProof/>
        </w:rPr>
        <w:t>G.9</w:t>
      </w:r>
      <w:r>
        <w:rPr>
          <w:rFonts w:eastAsiaTheme="minorEastAsia" w:cstheme="minorBidi"/>
          <w:noProof/>
          <w:kern w:val="2"/>
          <w:sz w:val="24"/>
          <w:szCs w:val="24"/>
          <w14:ligatures w14:val="standardContextual"/>
        </w:rPr>
        <w:tab/>
      </w:r>
      <w:r>
        <w:rPr>
          <w:noProof/>
        </w:rPr>
        <w:t>Energy savings by time of day — Stringency Level 1, large hospital ward in CZ5</w:t>
      </w:r>
      <w:r>
        <w:rPr>
          <w:noProof/>
        </w:rPr>
        <w:tab/>
      </w:r>
      <w:r>
        <w:rPr>
          <w:noProof/>
        </w:rPr>
        <w:fldChar w:fldCharType="begin"/>
      </w:r>
      <w:r>
        <w:rPr>
          <w:noProof/>
        </w:rPr>
        <w:instrText xml:space="preserve"> PAGEREF _Toc178292689 \h </w:instrText>
      </w:r>
      <w:r>
        <w:rPr>
          <w:noProof/>
        </w:rPr>
      </w:r>
      <w:r>
        <w:rPr>
          <w:noProof/>
        </w:rPr>
        <w:fldChar w:fldCharType="separate"/>
      </w:r>
      <w:r>
        <w:rPr>
          <w:noProof/>
        </w:rPr>
        <w:t>208</w:t>
      </w:r>
      <w:r>
        <w:rPr>
          <w:noProof/>
        </w:rPr>
        <w:fldChar w:fldCharType="end"/>
      </w:r>
    </w:p>
    <w:p w14:paraId="23AF34A1" w14:textId="7F8D7693" w:rsidR="006E00A7" w:rsidRDefault="006E00A7">
      <w:pPr>
        <w:pStyle w:val="TableofFigures"/>
        <w:rPr>
          <w:rFonts w:eastAsiaTheme="minorEastAsia" w:cstheme="minorBidi"/>
          <w:noProof/>
          <w:kern w:val="2"/>
          <w:sz w:val="24"/>
          <w:szCs w:val="24"/>
          <w14:ligatures w14:val="standardContextual"/>
        </w:rPr>
      </w:pPr>
      <w:r>
        <w:rPr>
          <w:noProof/>
        </w:rPr>
        <w:t>G.10</w:t>
      </w:r>
      <w:r>
        <w:rPr>
          <w:rFonts w:eastAsiaTheme="minorEastAsia" w:cstheme="minorBidi"/>
          <w:noProof/>
          <w:kern w:val="2"/>
          <w:sz w:val="24"/>
          <w:szCs w:val="24"/>
          <w14:ligatures w14:val="standardContextual"/>
        </w:rPr>
        <w:tab/>
      </w:r>
      <w:r>
        <w:rPr>
          <w:noProof/>
        </w:rPr>
        <w:t>Energy savings by time of day — Stringency Level 2, large hospital ward in CZ5</w:t>
      </w:r>
      <w:r>
        <w:rPr>
          <w:noProof/>
        </w:rPr>
        <w:tab/>
      </w:r>
      <w:r>
        <w:rPr>
          <w:noProof/>
        </w:rPr>
        <w:fldChar w:fldCharType="begin"/>
      </w:r>
      <w:r>
        <w:rPr>
          <w:noProof/>
        </w:rPr>
        <w:instrText xml:space="preserve"> PAGEREF _Toc178292690 \h </w:instrText>
      </w:r>
      <w:r>
        <w:rPr>
          <w:noProof/>
        </w:rPr>
      </w:r>
      <w:r>
        <w:rPr>
          <w:noProof/>
        </w:rPr>
        <w:fldChar w:fldCharType="separate"/>
      </w:r>
      <w:r>
        <w:rPr>
          <w:noProof/>
        </w:rPr>
        <w:t>208</w:t>
      </w:r>
      <w:r>
        <w:rPr>
          <w:noProof/>
        </w:rPr>
        <w:fldChar w:fldCharType="end"/>
      </w:r>
    </w:p>
    <w:p w14:paraId="1382C9CD" w14:textId="1059BC25" w:rsidR="006E00A7" w:rsidRDefault="006E00A7">
      <w:pPr>
        <w:pStyle w:val="TableofFigures"/>
        <w:rPr>
          <w:rFonts w:eastAsiaTheme="minorEastAsia" w:cstheme="minorBidi"/>
          <w:noProof/>
          <w:kern w:val="2"/>
          <w:sz w:val="24"/>
          <w:szCs w:val="24"/>
          <w14:ligatures w14:val="standardContextual"/>
        </w:rPr>
      </w:pPr>
      <w:r>
        <w:rPr>
          <w:noProof/>
        </w:rPr>
        <w:t>G.11</w:t>
      </w:r>
      <w:r>
        <w:rPr>
          <w:rFonts w:eastAsiaTheme="minorEastAsia" w:cstheme="minorBidi"/>
          <w:noProof/>
          <w:kern w:val="2"/>
          <w:sz w:val="24"/>
          <w:szCs w:val="24"/>
          <w14:ligatures w14:val="standardContextual"/>
        </w:rPr>
        <w:tab/>
      </w:r>
      <w:r>
        <w:rPr>
          <w:noProof/>
        </w:rPr>
        <w:t>Energy savings by time of day — Stringency Level 1, large hospital ward in CZ6</w:t>
      </w:r>
      <w:r>
        <w:rPr>
          <w:noProof/>
        </w:rPr>
        <w:tab/>
      </w:r>
      <w:r>
        <w:rPr>
          <w:noProof/>
        </w:rPr>
        <w:fldChar w:fldCharType="begin"/>
      </w:r>
      <w:r>
        <w:rPr>
          <w:noProof/>
        </w:rPr>
        <w:instrText xml:space="preserve"> PAGEREF _Toc178292691 \h </w:instrText>
      </w:r>
      <w:r>
        <w:rPr>
          <w:noProof/>
        </w:rPr>
      </w:r>
      <w:r>
        <w:rPr>
          <w:noProof/>
        </w:rPr>
        <w:fldChar w:fldCharType="separate"/>
      </w:r>
      <w:r>
        <w:rPr>
          <w:noProof/>
        </w:rPr>
        <w:t>209</w:t>
      </w:r>
      <w:r>
        <w:rPr>
          <w:noProof/>
        </w:rPr>
        <w:fldChar w:fldCharType="end"/>
      </w:r>
    </w:p>
    <w:p w14:paraId="1B8471A0" w14:textId="1630814F" w:rsidR="006E00A7" w:rsidRDefault="006E00A7">
      <w:pPr>
        <w:pStyle w:val="TableofFigures"/>
        <w:rPr>
          <w:rFonts w:eastAsiaTheme="minorEastAsia" w:cstheme="minorBidi"/>
          <w:noProof/>
          <w:kern w:val="2"/>
          <w:sz w:val="24"/>
          <w:szCs w:val="24"/>
          <w14:ligatures w14:val="standardContextual"/>
        </w:rPr>
      </w:pPr>
      <w:r>
        <w:rPr>
          <w:noProof/>
        </w:rPr>
        <w:t>G.12</w:t>
      </w:r>
      <w:r>
        <w:rPr>
          <w:rFonts w:eastAsiaTheme="minorEastAsia" w:cstheme="minorBidi"/>
          <w:noProof/>
          <w:kern w:val="2"/>
          <w:sz w:val="24"/>
          <w:szCs w:val="24"/>
          <w14:ligatures w14:val="standardContextual"/>
        </w:rPr>
        <w:tab/>
      </w:r>
      <w:r>
        <w:rPr>
          <w:noProof/>
        </w:rPr>
        <w:t>Energy savings by time of day — Stringency Level 2, large hospital ward in CZ6</w:t>
      </w:r>
      <w:r>
        <w:rPr>
          <w:noProof/>
        </w:rPr>
        <w:tab/>
      </w:r>
      <w:r>
        <w:rPr>
          <w:noProof/>
        </w:rPr>
        <w:fldChar w:fldCharType="begin"/>
      </w:r>
      <w:r>
        <w:rPr>
          <w:noProof/>
        </w:rPr>
        <w:instrText xml:space="preserve"> PAGEREF _Toc178292692 \h </w:instrText>
      </w:r>
      <w:r>
        <w:rPr>
          <w:noProof/>
        </w:rPr>
      </w:r>
      <w:r>
        <w:rPr>
          <w:noProof/>
        </w:rPr>
        <w:fldChar w:fldCharType="separate"/>
      </w:r>
      <w:r>
        <w:rPr>
          <w:noProof/>
        </w:rPr>
        <w:t>209</w:t>
      </w:r>
      <w:r>
        <w:rPr>
          <w:noProof/>
        </w:rPr>
        <w:fldChar w:fldCharType="end"/>
      </w:r>
    </w:p>
    <w:p w14:paraId="4307CAC9" w14:textId="35B861C6" w:rsidR="006E00A7" w:rsidRDefault="006E00A7">
      <w:pPr>
        <w:pStyle w:val="TableofFigures"/>
        <w:rPr>
          <w:rFonts w:eastAsiaTheme="minorEastAsia" w:cstheme="minorBidi"/>
          <w:noProof/>
          <w:kern w:val="2"/>
          <w:sz w:val="24"/>
          <w:szCs w:val="24"/>
          <w14:ligatures w14:val="standardContextual"/>
        </w:rPr>
      </w:pPr>
      <w:r>
        <w:rPr>
          <w:noProof/>
        </w:rPr>
        <w:t>H.1</w:t>
      </w:r>
      <w:r>
        <w:rPr>
          <w:rFonts w:eastAsiaTheme="minorEastAsia" w:cstheme="minorBidi"/>
          <w:noProof/>
          <w:kern w:val="2"/>
          <w:sz w:val="24"/>
          <w:szCs w:val="24"/>
          <w14:ligatures w14:val="standardContextual"/>
        </w:rPr>
        <w:tab/>
      </w:r>
      <w:r>
        <w:rPr>
          <w:noProof/>
        </w:rPr>
        <w:t>Stringency Level 1 estimated costs and benefits — C3HS</w:t>
      </w:r>
      <w:r>
        <w:rPr>
          <w:noProof/>
        </w:rPr>
        <w:tab/>
      </w:r>
      <w:r>
        <w:rPr>
          <w:noProof/>
        </w:rPr>
        <w:fldChar w:fldCharType="begin"/>
      </w:r>
      <w:r>
        <w:rPr>
          <w:noProof/>
        </w:rPr>
        <w:instrText xml:space="preserve"> PAGEREF _Toc178292693 \h </w:instrText>
      </w:r>
      <w:r>
        <w:rPr>
          <w:noProof/>
        </w:rPr>
      </w:r>
      <w:r>
        <w:rPr>
          <w:noProof/>
        </w:rPr>
        <w:fldChar w:fldCharType="separate"/>
      </w:r>
      <w:r>
        <w:rPr>
          <w:noProof/>
        </w:rPr>
        <w:t>210</w:t>
      </w:r>
      <w:r>
        <w:rPr>
          <w:noProof/>
        </w:rPr>
        <w:fldChar w:fldCharType="end"/>
      </w:r>
    </w:p>
    <w:p w14:paraId="1CFB5BAF" w14:textId="3D6A0564" w:rsidR="006E00A7" w:rsidRDefault="006E00A7">
      <w:pPr>
        <w:pStyle w:val="TableofFigures"/>
        <w:rPr>
          <w:rFonts w:eastAsiaTheme="minorEastAsia" w:cstheme="minorBidi"/>
          <w:noProof/>
          <w:kern w:val="2"/>
          <w:sz w:val="24"/>
          <w:szCs w:val="24"/>
          <w14:ligatures w14:val="standardContextual"/>
        </w:rPr>
      </w:pPr>
      <w:r>
        <w:rPr>
          <w:noProof/>
        </w:rPr>
        <w:t>H.2</w:t>
      </w:r>
      <w:r>
        <w:rPr>
          <w:rFonts w:eastAsiaTheme="minorEastAsia" w:cstheme="minorBidi"/>
          <w:noProof/>
          <w:kern w:val="2"/>
          <w:sz w:val="24"/>
          <w:szCs w:val="24"/>
          <w14:ligatures w14:val="standardContextual"/>
        </w:rPr>
        <w:tab/>
      </w:r>
      <w:r>
        <w:rPr>
          <w:noProof/>
        </w:rPr>
        <w:t>Stringency Level 1 estimated costs and benefits — C3HL</w:t>
      </w:r>
      <w:r>
        <w:rPr>
          <w:noProof/>
        </w:rPr>
        <w:tab/>
      </w:r>
      <w:r>
        <w:rPr>
          <w:noProof/>
        </w:rPr>
        <w:fldChar w:fldCharType="begin"/>
      </w:r>
      <w:r>
        <w:rPr>
          <w:noProof/>
        </w:rPr>
        <w:instrText xml:space="preserve"> PAGEREF _Toc178292694 \h </w:instrText>
      </w:r>
      <w:r>
        <w:rPr>
          <w:noProof/>
        </w:rPr>
      </w:r>
      <w:r>
        <w:rPr>
          <w:noProof/>
        </w:rPr>
        <w:fldChar w:fldCharType="separate"/>
      </w:r>
      <w:r>
        <w:rPr>
          <w:noProof/>
        </w:rPr>
        <w:t>210</w:t>
      </w:r>
      <w:r>
        <w:rPr>
          <w:noProof/>
        </w:rPr>
        <w:fldChar w:fldCharType="end"/>
      </w:r>
    </w:p>
    <w:p w14:paraId="71F91A2B" w14:textId="1874D722" w:rsidR="006E00A7" w:rsidRDefault="006E00A7">
      <w:pPr>
        <w:pStyle w:val="TableofFigures"/>
        <w:rPr>
          <w:rFonts w:eastAsiaTheme="minorEastAsia" w:cstheme="minorBidi"/>
          <w:noProof/>
          <w:kern w:val="2"/>
          <w:sz w:val="24"/>
          <w:szCs w:val="24"/>
          <w14:ligatures w14:val="standardContextual"/>
        </w:rPr>
      </w:pPr>
      <w:r>
        <w:rPr>
          <w:noProof/>
        </w:rPr>
        <w:t>H.3</w:t>
      </w:r>
      <w:r>
        <w:rPr>
          <w:rFonts w:eastAsiaTheme="minorEastAsia" w:cstheme="minorBidi"/>
          <w:noProof/>
          <w:kern w:val="2"/>
          <w:sz w:val="24"/>
          <w:szCs w:val="24"/>
          <w14:ligatures w14:val="standardContextual"/>
        </w:rPr>
        <w:tab/>
      </w:r>
      <w:r>
        <w:rPr>
          <w:noProof/>
        </w:rPr>
        <w:t>Stringency Level 1 estimated costs and benefits — C5OS</w:t>
      </w:r>
      <w:r>
        <w:rPr>
          <w:noProof/>
        </w:rPr>
        <w:tab/>
      </w:r>
      <w:r>
        <w:rPr>
          <w:noProof/>
        </w:rPr>
        <w:fldChar w:fldCharType="begin"/>
      </w:r>
      <w:r>
        <w:rPr>
          <w:noProof/>
        </w:rPr>
        <w:instrText xml:space="preserve"> PAGEREF _Toc178292695 \h </w:instrText>
      </w:r>
      <w:r>
        <w:rPr>
          <w:noProof/>
        </w:rPr>
      </w:r>
      <w:r>
        <w:rPr>
          <w:noProof/>
        </w:rPr>
        <w:fldChar w:fldCharType="separate"/>
      </w:r>
      <w:r>
        <w:rPr>
          <w:noProof/>
        </w:rPr>
        <w:t>211</w:t>
      </w:r>
      <w:r>
        <w:rPr>
          <w:noProof/>
        </w:rPr>
        <w:fldChar w:fldCharType="end"/>
      </w:r>
    </w:p>
    <w:p w14:paraId="7C6DDC67" w14:textId="79B434CB" w:rsidR="006E00A7" w:rsidRDefault="006E00A7">
      <w:pPr>
        <w:pStyle w:val="TableofFigures"/>
        <w:rPr>
          <w:rFonts w:eastAsiaTheme="minorEastAsia" w:cstheme="minorBidi"/>
          <w:noProof/>
          <w:kern w:val="2"/>
          <w:sz w:val="24"/>
          <w:szCs w:val="24"/>
          <w14:ligatures w14:val="standardContextual"/>
        </w:rPr>
      </w:pPr>
      <w:r>
        <w:rPr>
          <w:noProof/>
        </w:rPr>
        <w:t>H.4</w:t>
      </w:r>
      <w:r>
        <w:rPr>
          <w:rFonts w:eastAsiaTheme="minorEastAsia" w:cstheme="minorBidi"/>
          <w:noProof/>
          <w:kern w:val="2"/>
          <w:sz w:val="24"/>
          <w:szCs w:val="24"/>
          <w14:ligatures w14:val="standardContextual"/>
        </w:rPr>
        <w:tab/>
      </w:r>
      <w:r>
        <w:rPr>
          <w:noProof/>
        </w:rPr>
        <w:t>Stringency Level 1 estimated costs and benefits — C5OM</w:t>
      </w:r>
      <w:r>
        <w:rPr>
          <w:noProof/>
        </w:rPr>
        <w:tab/>
      </w:r>
      <w:r>
        <w:rPr>
          <w:noProof/>
        </w:rPr>
        <w:fldChar w:fldCharType="begin"/>
      </w:r>
      <w:r>
        <w:rPr>
          <w:noProof/>
        </w:rPr>
        <w:instrText xml:space="preserve"> PAGEREF _Toc178292696 \h </w:instrText>
      </w:r>
      <w:r>
        <w:rPr>
          <w:noProof/>
        </w:rPr>
      </w:r>
      <w:r>
        <w:rPr>
          <w:noProof/>
        </w:rPr>
        <w:fldChar w:fldCharType="separate"/>
      </w:r>
      <w:r>
        <w:rPr>
          <w:noProof/>
        </w:rPr>
        <w:t>211</w:t>
      </w:r>
      <w:r>
        <w:rPr>
          <w:noProof/>
        </w:rPr>
        <w:fldChar w:fldCharType="end"/>
      </w:r>
    </w:p>
    <w:p w14:paraId="1DAD5421" w14:textId="41A9B587" w:rsidR="006E00A7" w:rsidRDefault="006E00A7">
      <w:pPr>
        <w:pStyle w:val="TableofFigures"/>
        <w:rPr>
          <w:rFonts w:eastAsiaTheme="minorEastAsia" w:cstheme="minorBidi"/>
          <w:noProof/>
          <w:kern w:val="2"/>
          <w:sz w:val="24"/>
          <w:szCs w:val="24"/>
          <w14:ligatures w14:val="standardContextual"/>
        </w:rPr>
      </w:pPr>
      <w:r>
        <w:rPr>
          <w:noProof/>
        </w:rPr>
        <w:t>H.5</w:t>
      </w:r>
      <w:r>
        <w:rPr>
          <w:rFonts w:eastAsiaTheme="minorEastAsia" w:cstheme="minorBidi"/>
          <w:noProof/>
          <w:kern w:val="2"/>
          <w:sz w:val="24"/>
          <w:szCs w:val="24"/>
          <w14:ligatures w14:val="standardContextual"/>
        </w:rPr>
        <w:tab/>
      </w:r>
      <w:r>
        <w:rPr>
          <w:noProof/>
        </w:rPr>
        <w:t>Stringency Level 1 estimated costs and benefits — C6RS</w:t>
      </w:r>
      <w:r>
        <w:rPr>
          <w:noProof/>
        </w:rPr>
        <w:tab/>
      </w:r>
      <w:r>
        <w:rPr>
          <w:noProof/>
        </w:rPr>
        <w:fldChar w:fldCharType="begin"/>
      </w:r>
      <w:r>
        <w:rPr>
          <w:noProof/>
        </w:rPr>
        <w:instrText xml:space="preserve"> PAGEREF _Toc178292697 \h </w:instrText>
      </w:r>
      <w:r>
        <w:rPr>
          <w:noProof/>
        </w:rPr>
      </w:r>
      <w:r>
        <w:rPr>
          <w:noProof/>
        </w:rPr>
        <w:fldChar w:fldCharType="separate"/>
      </w:r>
      <w:r>
        <w:rPr>
          <w:noProof/>
        </w:rPr>
        <w:t>212</w:t>
      </w:r>
      <w:r>
        <w:rPr>
          <w:noProof/>
        </w:rPr>
        <w:fldChar w:fldCharType="end"/>
      </w:r>
    </w:p>
    <w:p w14:paraId="1D814172" w14:textId="6B365C4A" w:rsidR="006E00A7" w:rsidRDefault="006E00A7">
      <w:pPr>
        <w:pStyle w:val="TableofFigures"/>
        <w:rPr>
          <w:rFonts w:eastAsiaTheme="minorEastAsia" w:cstheme="minorBidi"/>
          <w:noProof/>
          <w:kern w:val="2"/>
          <w:sz w:val="24"/>
          <w:szCs w:val="24"/>
          <w14:ligatures w14:val="standardContextual"/>
        </w:rPr>
      </w:pPr>
      <w:r>
        <w:rPr>
          <w:noProof/>
        </w:rPr>
        <w:t>H.6</w:t>
      </w:r>
      <w:r>
        <w:rPr>
          <w:rFonts w:eastAsiaTheme="minorEastAsia" w:cstheme="minorBidi"/>
          <w:noProof/>
          <w:kern w:val="2"/>
          <w:sz w:val="24"/>
          <w:szCs w:val="24"/>
          <w14:ligatures w14:val="standardContextual"/>
        </w:rPr>
        <w:tab/>
      </w:r>
      <w:r>
        <w:rPr>
          <w:noProof/>
        </w:rPr>
        <w:t>Stringency Level 1 estimated costs and benefits — C6RL</w:t>
      </w:r>
      <w:r>
        <w:rPr>
          <w:noProof/>
        </w:rPr>
        <w:tab/>
      </w:r>
      <w:r>
        <w:rPr>
          <w:noProof/>
        </w:rPr>
        <w:fldChar w:fldCharType="begin"/>
      </w:r>
      <w:r>
        <w:rPr>
          <w:noProof/>
        </w:rPr>
        <w:instrText xml:space="preserve"> PAGEREF _Toc178292698 \h </w:instrText>
      </w:r>
      <w:r>
        <w:rPr>
          <w:noProof/>
        </w:rPr>
      </w:r>
      <w:r>
        <w:rPr>
          <w:noProof/>
        </w:rPr>
        <w:fldChar w:fldCharType="separate"/>
      </w:r>
      <w:r>
        <w:rPr>
          <w:noProof/>
        </w:rPr>
        <w:t>213</w:t>
      </w:r>
      <w:r>
        <w:rPr>
          <w:noProof/>
        </w:rPr>
        <w:fldChar w:fldCharType="end"/>
      </w:r>
    </w:p>
    <w:p w14:paraId="02B86286" w14:textId="31F6B4AC" w:rsidR="006E00A7" w:rsidRDefault="006E00A7">
      <w:pPr>
        <w:pStyle w:val="TableofFigures"/>
        <w:rPr>
          <w:rFonts w:eastAsiaTheme="minorEastAsia" w:cstheme="minorBidi"/>
          <w:noProof/>
          <w:kern w:val="2"/>
          <w:sz w:val="24"/>
          <w:szCs w:val="24"/>
          <w14:ligatures w14:val="standardContextual"/>
        </w:rPr>
      </w:pPr>
      <w:r>
        <w:rPr>
          <w:noProof/>
        </w:rPr>
        <w:t>H.7</w:t>
      </w:r>
      <w:r>
        <w:rPr>
          <w:rFonts w:eastAsiaTheme="minorEastAsia" w:cstheme="minorBidi"/>
          <w:noProof/>
          <w:kern w:val="2"/>
          <w:sz w:val="24"/>
          <w:szCs w:val="24"/>
          <w14:ligatures w14:val="standardContextual"/>
        </w:rPr>
        <w:tab/>
      </w:r>
      <w:r>
        <w:rPr>
          <w:noProof/>
        </w:rPr>
        <w:t>Stringency Level 1 estimated costs and benefits — C9A</w:t>
      </w:r>
      <w:r>
        <w:rPr>
          <w:noProof/>
        </w:rPr>
        <w:tab/>
      </w:r>
      <w:r>
        <w:rPr>
          <w:noProof/>
        </w:rPr>
        <w:fldChar w:fldCharType="begin"/>
      </w:r>
      <w:r>
        <w:rPr>
          <w:noProof/>
        </w:rPr>
        <w:instrText xml:space="preserve"> PAGEREF _Toc178292699 \h </w:instrText>
      </w:r>
      <w:r>
        <w:rPr>
          <w:noProof/>
        </w:rPr>
      </w:r>
      <w:r>
        <w:rPr>
          <w:noProof/>
        </w:rPr>
        <w:fldChar w:fldCharType="separate"/>
      </w:r>
      <w:r>
        <w:rPr>
          <w:noProof/>
        </w:rPr>
        <w:t>213</w:t>
      </w:r>
      <w:r>
        <w:rPr>
          <w:noProof/>
        </w:rPr>
        <w:fldChar w:fldCharType="end"/>
      </w:r>
    </w:p>
    <w:p w14:paraId="76A85351" w14:textId="2CDEC4C7" w:rsidR="006E00A7" w:rsidRDefault="006E00A7">
      <w:pPr>
        <w:pStyle w:val="TableofFigures"/>
        <w:rPr>
          <w:rFonts w:eastAsiaTheme="minorEastAsia" w:cstheme="minorBidi"/>
          <w:noProof/>
          <w:kern w:val="2"/>
          <w:sz w:val="24"/>
          <w:szCs w:val="24"/>
          <w14:ligatures w14:val="standardContextual"/>
        </w:rPr>
      </w:pPr>
      <w:r>
        <w:rPr>
          <w:noProof/>
        </w:rPr>
        <w:t>H.8</w:t>
      </w:r>
      <w:r>
        <w:rPr>
          <w:rFonts w:eastAsiaTheme="minorEastAsia" w:cstheme="minorBidi"/>
          <w:noProof/>
          <w:kern w:val="2"/>
          <w:sz w:val="24"/>
          <w:szCs w:val="24"/>
          <w14:ligatures w14:val="standardContextual"/>
        </w:rPr>
        <w:tab/>
      </w:r>
      <w:r>
        <w:rPr>
          <w:noProof/>
        </w:rPr>
        <w:t>Stringency Level 1 estimated costs and benefits — C9B</w:t>
      </w:r>
      <w:r>
        <w:rPr>
          <w:noProof/>
        </w:rPr>
        <w:tab/>
      </w:r>
      <w:r>
        <w:rPr>
          <w:noProof/>
        </w:rPr>
        <w:fldChar w:fldCharType="begin"/>
      </w:r>
      <w:r>
        <w:rPr>
          <w:noProof/>
        </w:rPr>
        <w:instrText xml:space="preserve"> PAGEREF _Toc178292700 \h </w:instrText>
      </w:r>
      <w:r>
        <w:rPr>
          <w:noProof/>
        </w:rPr>
      </w:r>
      <w:r>
        <w:rPr>
          <w:noProof/>
        </w:rPr>
        <w:fldChar w:fldCharType="separate"/>
      </w:r>
      <w:r>
        <w:rPr>
          <w:noProof/>
        </w:rPr>
        <w:t>214</w:t>
      </w:r>
      <w:r>
        <w:rPr>
          <w:noProof/>
        </w:rPr>
        <w:fldChar w:fldCharType="end"/>
      </w:r>
    </w:p>
    <w:p w14:paraId="329143D0" w14:textId="20D45F58" w:rsidR="006E00A7" w:rsidRDefault="006E00A7">
      <w:pPr>
        <w:pStyle w:val="TableofFigures"/>
        <w:rPr>
          <w:rFonts w:eastAsiaTheme="minorEastAsia" w:cstheme="minorBidi"/>
          <w:noProof/>
          <w:kern w:val="2"/>
          <w:sz w:val="24"/>
          <w:szCs w:val="24"/>
          <w14:ligatures w14:val="standardContextual"/>
        </w:rPr>
      </w:pPr>
      <w:r>
        <w:rPr>
          <w:noProof/>
        </w:rPr>
        <w:t>H.9</w:t>
      </w:r>
      <w:r>
        <w:rPr>
          <w:rFonts w:eastAsiaTheme="minorEastAsia" w:cstheme="minorBidi"/>
          <w:noProof/>
          <w:kern w:val="2"/>
          <w:sz w:val="24"/>
          <w:szCs w:val="24"/>
          <w14:ligatures w14:val="standardContextual"/>
        </w:rPr>
        <w:tab/>
      </w:r>
      <w:r>
        <w:rPr>
          <w:noProof/>
        </w:rPr>
        <w:t>Stringency Level 1 estimated costs and benefits — C9C</w:t>
      </w:r>
      <w:r>
        <w:rPr>
          <w:noProof/>
        </w:rPr>
        <w:tab/>
      </w:r>
      <w:r>
        <w:rPr>
          <w:noProof/>
        </w:rPr>
        <w:fldChar w:fldCharType="begin"/>
      </w:r>
      <w:r>
        <w:rPr>
          <w:noProof/>
        </w:rPr>
        <w:instrText xml:space="preserve"> PAGEREF _Toc178292701 \h </w:instrText>
      </w:r>
      <w:r>
        <w:rPr>
          <w:noProof/>
        </w:rPr>
      </w:r>
      <w:r>
        <w:rPr>
          <w:noProof/>
        </w:rPr>
        <w:fldChar w:fldCharType="separate"/>
      </w:r>
      <w:r>
        <w:rPr>
          <w:noProof/>
        </w:rPr>
        <w:t>214</w:t>
      </w:r>
      <w:r>
        <w:rPr>
          <w:noProof/>
        </w:rPr>
        <w:fldChar w:fldCharType="end"/>
      </w:r>
    </w:p>
    <w:p w14:paraId="09E35703" w14:textId="70F1C5B1" w:rsidR="006E00A7" w:rsidRDefault="006E00A7">
      <w:pPr>
        <w:pStyle w:val="TableofFigures"/>
        <w:rPr>
          <w:rFonts w:eastAsiaTheme="minorEastAsia" w:cstheme="minorBidi"/>
          <w:noProof/>
          <w:kern w:val="2"/>
          <w:sz w:val="24"/>
          <w:szCs w:val="24"/>
          <w14:ligatures w14:val="standardContextual"/>
        </w:rPr>
      </w:pPr>
      <w:r>
        <w:rPr>
          <w:noProof/>
        </w:rPr>
        <w:t>H.10</w:t>
      </w:r>
      <w:r>
        <w:rPr>
          <w:rFonts w:eastAsiaTheme="minorEastAsia" w:cstheme="minorBidi"/>
          <w:noProof/>
          <w:kern w:val="2"/>
          <w:sz w:val="24"/>
          <w:szCs w:val="24"/>
          <w14:ligatures w14:val="standardContextual"/>
        </w:rPr>
        <w:tab/>
      </w:r>
      <w:r>
        <w:rPr>
          <w:noProof/>
        </w:rPr>
        <w:t>Stringency Level 2 estimated costs and benefits — C3HS</w:t>
      </w:r>
      <w:r>
        <w:rPr>
          <w:noProof/>
        </w:rPr>
        <w:tab/>
      </w:r>
      <w:r>
        <w:rPr>
          <w:noProof/>
        </w:rPr>
        <w:fldChar w:fldCharType="begin"/>
      </w:r>
      <w:r>
        <w:rPr>
          <w:noProof/>
        </w:rPr>
        <w:instrText xml:space="preserve"> PAGEREF _Toc178292702 \h </w:instrText>
      </w:r>
      <w:r>
        <w:rPr>
          <w:noProof/>
        </w:rPr>
      </w:r>
      <w:r>
        <w:rPr>
          <w:noProof/>
        </w:rPr>
        <w:fldChar w:fldCharType="separate"/>
      </w:r>
      <w:r>
        <w:rPr>
          <w:noProof/>
        </w:rPr>
        <w:t>215</w:t>
      </w:r>
      <w:r>
        <w:rPr>
          <w:noProof/>
        </w:rPr>
        <w:fldChar w:fldCharType="end"/>
      </w:r>
    </w:p>
    <w:p w14:paraId="718DB666" w14:textId="6058FD77" w:rsidR="006E00A7" w:rsidRDefault="006E00A7">
      <w:pPr>
        <w:pStyle w:val="TableofFigures"/>
        <w:rPr>
          <w:rFonts w:eastAsiaTheme="minorEastAsia" w:cstheme="minorBidi"/>
          <w:noProof/>
          <w:kern w:val="2"/>
          <w:sz w:val="24"/>
          <w:szCs w:val="24"/>
          <w14:ligatures w14:val="standardContextual"/>
        </w:rPr>
      </w:pPr>
      <w:r>
        <w:rPr>
          <w:noProof/>
        </w:rPr>
        <w:t>H.11</w:t>
      </w:r>
      <w:r>
        <w:rPr>
          <w:rFonts w:eastAsiaTheme="minorEastAsia" w:cstheme="minorBidi"/>
          <w:noProof/>
          <w:kern w:val="2"/>
          <w:sz w:val="24"/>
          <w:szCs w:val="24"/>
          <w14:ligatures w14:val="standardContextual"/>
        </w:rPr>
        <w:tab/>
      </w:r>
      <w:r>
        <w:rPr>
          <w:noProof/>
        </w:rPr>
        <w:t>Stringency Level 2 estimated costs and benefits — C3HL</w:t>
      </w:r>
      <w:r>
        <w:rPr>
          <w:noProof/>
        </w:rPr>
        <w:tab/>
      </w:r>
      <w:r>
        <w:rPr>
          <w:noProof/>
        </w:rPr>
        <w:fldChar w:fldCharType="begin"/>
      </w:r>
      <w:r>
        <w:rPr>
          <w:noProof/>
        </w:rPr>
        <w:instrText xml:space="preserve"> PAGEREF _Toc178292703 \h </w:instrText>
      </w:r>
      <w:r>
        <w:rPr>
          <w:noProof/>
        </w:rPr>
      </w:r>
      <w:r>
        <w:rPr>
          <w:noProof/>
        </w:rPr>
        <w:fldChar w:fldCharType="separate"/>
      </w:r>
      <w:r>
        <w:rPr>
          <w:noProof/>
        </w:rPr>
        <w:t>215</w:t>
      </w:r>
      <w:r>
        <w:rPr>
          <w:noProof/>
        </w:rPr>
        <w:fldChar w:fldCharType="end"/>
      </w:r>
    </w:p>
    <w:p w14:paraId="649B5C9E" w14:textId="2D1858F2" w:rsidR="006E00A7" w:rsidRDefault="006E00A7">
      <w:pPr>
        <w:pStyle w:val="TableofFigures"/>
        <w:rPr>
          <w:rFonts w:eastAsiaTheme="minorEastAsia" w:cstheme="minorBidi"/>
          <w:noProof/>
          <w:kern w:val="2"/>
          <w:sz w:val="24"/>
          <w:szCs w:val="24"/>
          <w14:ligatures w14:val="standardContextual"/>
        </w:rPr>
      </w:pPr>
      <w:r>
        <w:rPr>
          <w:noProof/>
        </w:rPr>
        <w:t>H.12</w:t>
      </w:r>
      <w:r>
        <w:rPr>
          <w:rFonts w:eastAsiaTheme="minorEastAsia" w:cstheme="minorBidi"/>
          <w:noProof/>
          <w:kern w:val="2"/>
          <w:sz w:val="24"/>
          <w:szCs w:val="24"/>
          <w14:ligatures w14:val="standardContextual"/>
        </w:rPr>
        <w:tab/>
      </w:r>
      <w:r>
        <w:rPr>
          <w:noProof/>
        </w:rPr>
        <w:t>Stringency Level 2 estimated costs and benefits — C5OS</w:t>
      </w:r>
      <w:r>
        <w:rPr>
          <w:noProof/>
        </w:rPr>
        <w:tab/>
      </w:r>
      <w:r>
        <w:rPr>
          <w:noProof/>
        </w:rPr>
        <w:fldChar w:fldCharType="begin"/>
      </w:r>
      <w:r>
        <w:rPr>
          <w:noProof/>
        </w:rPr>
        <w:instrText xml:space="preserve"> PAGEREF _Toc178292704 \h </w:instrText>
      </w:r>
      <w:r>
        <w:rPr>
          <w:noProof/>
        </w:rPr>
      </w:r>
      <w:r>
        <w:rPr>
          <w:noProof/>
        </w:rPr>
        <w:fldChar w:fldCharType="separate"/>
      </w:r>
      <w:r>
        <w:rPr>
          <w:noProof/>
        </w:rPr>
        <w:t>216</w:t>
      </w:r>
      <w:r>
        <w:rPr>
          <w:noProof/>
        </w:rPr>
        <w:fldChar w:fldCharType="end"/>
      </w:r>
    </w:p>
    <w:p w14:paraId="373CF317" w14:textId="0A708D0A" w:rsidR="006E00A7" w:rsidRDefault="006E00A7">
      <w:pPr>
        <w:pStyle w:val="TableofFigures"/>
        <w:rPr>
          <w:rFonts w:eastAsiaTheme="minorEastAsia" w:cstheme="minorBidi"/>
          <w:noProof/>
          <w:kern w:val="2"/>
          <w:sz w:val="24"/>
          <w:szCs w:val="24"/>
          <w14:ligatures w14:val="standardContextual"/>
        </w:rPr>
      </w:pPr>
      <w:r>
        <w:rPr>
          <w:noProof/>
        </w:rPr>
        <w:t>H.13</w:t>
      </w:r>
      <w:r>
        <w:rPr>
          <w:rFonts w:eastAsiaTheme="minorEastAsia" w:cstheme="minorBidi"/>
          <w:noProof/>
          <w:kern w:val="2"/>
          <w:sz w:val="24"/>
          <w:szCs w:val="24"/>
          <w14:ligatures w14:val="standardContextual"/>
        </w:rPr>
        <w:tab/>
      </w:r>
      <w:r>
        <w:rPr>
          <w:noProof/>
        </w:rPr>
        <w:t>Stringency Level 2 estimated costs and benefits — C5OM</w:t>
      </w:r>
      <w:r>
        <w:rPr>
          <w:noProof/>
        </w:rPr>
        <w:tab/>
      </w:r>
      <w:r>
        <w:rPr>
          <w:noProof/>
        </w:rPr>
        <w:fldChar w:fldCharType="begin"/>
      </w:r>
      <w:r>
        <w:rPr>
          <w:noProof/>
        </w:rPr>
        <w:instrText xml:space="preserve"> PAGEREF _Toc178292705 \h </w:instrText>
      </w:r>
      <w:r>
        <w:rPr>
          <w:noProof/>
        </w:rPr>
      </w:r>
      <w:r>
        <w:rPr>
          <w:noProof/>
        </w:rPr>
        <w:fldChar w:fldCharType="separate"/>
      </w:r>
      <w:r>
        <w:rPr>
          <w:noProof/>
        </w:rPr>
        <w:t>216</w:t>
      </w:r>
      <w:r>
        <w:rPr>
          <w:noProof/>
        </w:rPr>
        <w:fldChar w:fldCharType="end"/>
      </w:r>
    </w:p>
    <w:p w14:paraId="38467D17" w14:textId="7EEB4705" w:rsidR="006E00A7" w:rsidRDefault="006E00A7">
      <w:pPr>
        <w:pStyle w:val="TableofFigures"/>
        <w:rPr>
          <w:rFonts w:eastAsiaTheme="minorEastAsia" w:cstheme="minorBidi"/>
          <w:noProof/>
          <w:kern w:val="2"/>
          <w:sz w:val="24"/>
          <w:szCs w:val="24"/>
          <w14:ligatures w14:val="standardContextual"/>
        </w:rPr>
      </w:pPr>
      <w:r>
        <w:rPr>
          <w:noProof/>
        </w:rPr>
        <w:t>H.14</w:t>
      </w:r>
      <w:r>
        <w:rPr>
          <w:rFonts w:eastAsiaTheme="minorEastAsia" w:cstheme="minorBidi"/>
          <w:noProof/>
          <w:kern w:val="2"/>
          <w:sz w:val="24"/>
          <w:szCs w:val="24"/>
          <w14:ligatures w14:val="standardContextual"/>
        </w:rPr>
        <w:tab/>
      </w:r>
      <w:r>
        <w:rPr>
          <w:noProof/>
        </w:rPr>
        <w:t>Stringency Level 2 estimated costs and benefits — C6RS</w:t>
      </w:r>
      <w:r>
        <w:rPr>
          <w:noProof/>
        </w:rPr>
        <w:tab/>
      </w:r>
      <w:r>
        <w:rPr>
          <w:noProof/>
        </w:rPr>
        <w:fldChar w:fldCharType="begin"/>
      </w:r>
      <w:r>
        <w:rPr>
          <w:noProof/>
        </w:rPr>
        <w:instrText xml:space="preserve"> PAGEREF _Toc178292706 \h </w:instrText>
      </w:r>
      <w:r>
        <w:rPr>
          <w:noProof/>
        </w:rPr>
      </w:r>
      <w:r>
        <w:rPr>
          <w:noProof/>
        </w:rPr>
        <w:fldChar w:fldCharType="separate"/>
      </w:r>
      <w:r>
        <w:rPr>
          <w:noProof/>
        </w:rPr>
        <w:t>217</w:t>
      </w:r>
      <w:r>
        <w:rPr>
          <w:noProof/>
        </w:rPr>
        <w:fldChar w:fldCharType="end"/>
      </w:r>
    </w:p>
    <w:p w14:paraId="0339BCFE" w14:textId="0FBA5446" w:rsidR="006E00A7" w:rsidRDefault="006E00A7">
      <w:pPr>
        <w:pStyle w:val="TableofFigures"/>
        <w:rPr>
          <w:rFonts w:eastAsiaTheme="minorEastAsia" w:cstheme="minorBidi"/>
          <w:noProof/>
          <w:kern w:val="2"/>
          <w:sz w:val="24"/>
          <w:szCs w:val="24"/>
          <w14:ligatures w14:val="standardContextual"/>
        </w:rPr>
      </w:pPr>
      <w:r>
        <w:rPr>
          <w:noProof/>
        </w:rPr>
        <w:t>H.15</w:t>
      </w:r>
      <w:r>
        <w:rPr>
          <w:rFonts w:eastAsiaTheme="minorEastAsia" w:cstheme="minorBidi"/>
          <w:noProof/>
          <w:kern w:val="2"/>
          <w:sz w:val="24"/>
          <w:szCs w:val="24"/>
          <w14:ligatures w14:val="standardContextual"/>
        </w:rPr>
        <w:tab/>
      </w:r>
      <w:r>
        <w:rPr>
          <w:noProof/>
        </w:rPr>
        <w:t>Stringency Level 2 estimated costs and benefits — C6RL</w:t>
      </w:r>
      <w:r>
        <w:rPr>
          <w:noProof/>
        </w:rPr>
        <w:tab/>
      </w:r>
      <w:r>
        <w:rPr>
          <w:noProof/>
        </w:rPr>
        <w:fldChar w:fldCharType="begin"/>
      </w:r>
      <w:r>
        <w:rPr>
          <w:noProof/>
        </w:rPr>
        <w:instrText xml:space="preserve"> PAGEREF _Toc178292707 \h </w:instrText>
      </w:r>
      <w:r>
        <w:rPr>
          <w:noProof/>
        </w:rPr>
      </w:r>
      <w:r>
        <w:rPr>
          <w:noProof/>
        </w:rPr>
        <w:fldChar w:fldCharType="separate"/>
      </w:r>
      <w:r>
        <w:rPr>
          <w:noProof/>
        </w:rPr>
        <w:t>217</w:t>
      </w:r>
      <w:r>
        <w:rPr>
          <w:noProof/>
        </w:rPr>
        <w:fldChar w:fldCharType="end"/>
      </w:r>
    </w:p>
    <w:p w14:paraId="59140363" w14:textId="1DDEC0B3" w:rsidR="006E00A7" w:rsidRDefault="006E00A7">
      <w:pPr>
        <w:pStyle w:val="TableofFigures"/>
        <w:rPr>
          <w:rFonts w:eastAsiaTheme="minorEastAsia" w:cstheme="minorBidi"/>
          <w:noProof/>
          <w:kern w:val="2"/>
          <w:sz w:val="24"/>
          <w:szCs w:val="24"/>
          <w14:ligatures w14:val="standardContextual"/>
        </w:rPr>
      </w:pPr>
      <w:r>
        <w:rPr>
          <w:noProof/>
        </w:rPr>
        <w:t>H.16</w:t>
      </w:r>
      <w:r>
        <w:rPr>
          <w:rFonts w:eastAsiaTheme="minorEastAsia" w:cstheme="minorBidi"/>
          <w:noProof/>
          <w:kern w:val="2"/>
          <w:sz w:val="24"/>
          <w:szCs w:val="24"/>
          <w14:ligatures w14:val="standardContextual"/>
        </w:rPr>
        <w:tab/>
      </w:r>
      <w:r>
        <w:rPr>
          <w:noProof/>
        </w:rPr>
        <w:t>Stringency Level 2 estimated costs and benefits — C9A</w:t>
      </w:r>
      <w:r>
        <w:rPr>
          <w:noProof/>
        </w:rPr>
        <w:tab/>
      </w:r>
      <w:r>
        <w:rPr>
          <w:noProof/>
        </w:rPr>
        <w:fldChar w:fldCharType="begin"/>
      </w:r>
      <w:r>
        <w:rPr>
          <w:noProof/>
        </w:rPr>
        <w:instrText xml:space="preserve"> PAGEREF _Toc178292708 \h </w:instrText>
      </w:r>
      <w:r>
        <w:rPr>
          <w:noProof/>
        </w:rPr>
      </w:r>
      <w:r>
        <w:rPr>
          <w:noProof/>
        </w:rPr>
        <w:fldChar w:fldCharType="separate"/>
      </w:r>
      <w:r>
        <w:rPr>
          <w:noProof/>
        </w:rPr>
        <w:t>218</w:t>
      </w:r>
      <w:r>
        <w:rPr>
          <w:noProof/>
        </w:rPr>
        <w:fldChar w:fldCharType="end"/>
      </w:r>
    </w:p>
    <w:p w14:paraId="6FD2BFC3" w14:textId="6C954A4C" w:rsidR="006E00A7" w:rsidRDefault="006E00A7">
      <w:pPr>
        <w:pStyle w:val="TableofFigures"/>
        <w:rPr>
          <w:rFonts w:eastAsiaTheme="minorEastAsia" w:cstheme="minorBidi"/>
          <w:noProof/>
          <w:kern w:val="2"/>
          <w:sz w:val="24"/>
          <w:szCs w:val="24"/>
          <w14:ligatures w14:val="standardContextual"/>
        </w:rPr>
      </w:pPr>
      <w:r>
        <w:rPr>
          <w:noProof/>
        </w:rPr>
        <w:t>H.17</w:t>
      </w:r>
      <w:r>
        <w:rPr>
          <w:rFonts w:eastAsiaTheme="minorEastAsia" w:cstheme="minorBidi"/>
          <w:noProof/>
          <w:kern w:val="2"/>
          <w:sz w:val="24"/>
          <w:szCs w:val="24"/>
          <w14:ligatures w14:val="standardContextual"/>
        </w:rPr>
        <w:tab/>
      </w:r>
      <w:r>
        <w:rPr>
          <w:noProof/>
        </w:rPr>
        <w:t>Stringency Level 2 estimated costs and benefits — C9B</w:t>
      </w:r>
      <w:r>
        <w:rPr>
          <w:noProof/>
        </w:rPr>
        <w:tab/>
      </w:r>
      <w:r>
        <w:rPr>
          <w:noProof/>
        </w:rPr>
        <w:fldChar w:fldCharType="begin"/>
      </w:r>
      <w:r>
        <w:rPr>
          <w:noProof/>
        </w:rPr>
        <w:instrText xml:space="preserve"> PAGEREF _Toc178292709 \h </w:instrText>
      </w:r>
      <w:r>
        <w:rPr>
          <w:noProof/>
        </w:rPr>
      </w:r>
      <w:r>
        <w:rPr>
          <w:noProof/>
        </w:rPr>
        <w:fldChar w:fldCharType="separate"/>
      </w:r>
      <w:r>
        <w:rPr>
          <w:noProof/>
        </w:rPr>
        <w:t>219</w:t>
      </w:r>
      <w:r>
        <w:rPr>
          <w:noProof/>
        </w:rPr>
        <w:fldChar w:fldCharType="end"/>
      </w:r>
    </w:p>
    <w:p w14:paraId="031381AC" w14:textId="3B34C1EC" w:rsidR="006E00A7" w:rsidRDefault="006E00A7">
      <w:pPr>
        <w:pStyle w:val="TableofFigures"/>
        <w:rPr>
          <w:rFonts w:eastAsiaTheme="minorEastAsia" w:cstheme="minorBidi"/>
          <w:noProof/>
          <w:kern w:val="2"/>
          <w:sz w:val="24"/>
          <w:szCs w:val="24"/>
          <w14:ligatures w14:val="standardContextual"/>
        </w:rPr>
      </w:pPr>
      <w:r>
        <w:rPr>
          <w:noProof/>
        </w:rPr>
        <w:t>H.18</w:t>
      </w:r>
      <w:r>
        <w:rPr>
          <w:rFonts w:eastAsiaTheme="minorEastAsia" w:cstheme="minorBidi"/>
          <w:noProof/>
          <w:kern w:val="2"/>
          <w:sz w:val="24"/>
          <w:szCs w:val="24"/>
          <w14:ligatures w14:val="standardContextual"/>
        </w:rPr>
        <w:tab/>
      </w:r>
      <w:r>
        <w:rPr>
          <w:noProof/>
        </w:rPr>
        <w:t>Stringency Level 2 estimated costs and benefits — C9C</w:t>
      </w:r>
      <w:r>
        <w:rPr>
          <w:noProof/>
        </w:rPr>
        <w:tab/>
      </w:r>
      <w:r>
        <w:rPr>
          <w:noProof/>
        </w:rPr>
        <w:fldChar w:fldCharType="begin"/>
      </w:r>
      <w:r>
        <w:rPr>
          <w:noProof/>
        </w:rPr>
        <w:instrText xml:space="preserve"> PAGEREF _Toc178292710 \h </w:instrText>
      </w:r>
      <w:r>
        <w:rPr>
          <w:noProof/>
        </w:rPr>
      </w:r>
      <w:r>
        <w:rPr>
          <w:noProof/>
        </w:rPr>
        <w:fldChar w:fldCharType="separate"/>
      </w:r>
      <w:r>
        <w:rPr>
          <w:noProof/>
        </w:rPr>
        <w:t>219</w:t>
      </w:r>
      <w:r>
        <w:rPr>
          <w:noProof/>
        </w:rPr>
        <w:fldChar w:fldCharType="end"/>
      </w:r>
    </w:p>
    <w:p w14:paraId="1E625145" w14:textId="1CC2F1F5" w:rsidR="006E00A7" w:rsidRDefault="006E00A7">
      <w:pPr>
        <w:pStyle w:val="TableofFigures"/>
        <w:rPr>
          <w:rFonts w:eastAsiaTheme="minorEastAsia" w:cstheme="minorBidi"/>
          <w:noProof/>
          <w:kern w:val="2"/>
          <w:sz w:val="24"/>
          <w:szCs w:val="24"/>
          <w14:ligatures w14:val="standardContextual"/>
        </w:rPr>
      </w:pPr>
      <w:r>
        <w:rPr>
          <w:noProof/>
        </w:rPr>
        <w:t>H.19</w:t>
      </w:r>
      <w:r>
        <w:rPr>
          <w:rFonts w:eastAsiaTheme="minorEastAsia" w:cstheme="minorBidi"/>
          <w:noProof/>
          <w:kern w:val="2"/>
          <w:sz w:val="24"/>
          <w:szCs w:val="24"/>
          <w14:ligatures w14:val="standardContextual"/>
        </w:rPr>
        <w:tab/>
      </w:r>
      <w:r>
        <w:rPr>
          <w:noProof/>
        </w:rPr>
        <w:t>Stringency Level 3 estimated costs and benefits — C3HL</w:t>
      </w:r>
      <w:r>
        <w:rPr>
          <w:noProof/>
        </w:rPr>
        <w:tab/>
      </w:r>
      <w:r>
        <w:rPr>
          <w:noProof/>
        </w:rPr>
        <w:fldChar w:fldCharType="begin"/>
      </w:r>
      <w:r>
        <w:rPr>
          <w:noProof/>
        </w:rPr>
        <w:instrText xml:space="preserve"> PAGEREF _Toc178292711 \h </w:instrText>
      </w:r>
      <w:r>
        <w:rPr>
          <w:noProof/>
        </w:rPr>
      </w:r>
      <w:r>
        <w:rPr>
          <w:noProof/>
        </w:rPr>
        <w:fldChar w:fldCharType="separate"/>
      </w:r>
      <w:r>
        <w:rPr>
          <w:noProof/>
        </w:rPr>
        <w:t>220</w:t>
      </w:r>
      <w:r>
        <w:rPr>
          <w:noProof/>
        </w:rPr>
        <w:fldChar w:fldCharType="end"/>
      </w:r>
    </w:p>
    <w:p w14:paraId="3CD476DF" w14:textId="756C17C1" w:rsidR="006E00A7" w:rsidRDefault="006E00A7">
      <w:pPr>
        <w:pStyle w:val="TableofFigures"/>
        <w:rPr>
          <w:rFonts w:eastAsiaTheme="minorEastAsia" w:cstheme="minorBidi"/>
          <w:noProof/>
          <w:kern w:val="2"/>
          <w:sz w:val="24"/>
          <w:szCs w:val="24"/>
          <w14:ligatures w14:val="standardContextual"/>
        </w:rPr>
      </w:pPr>
      <w:r>
        <w:rPr>
          <w:noProof/>
        </w:rPr>
        <w:t>H.20</w:t>
      </w:r>
      <w:r>
        <w:rPr>
          <w:rFonts w:eastAsiaTheme="minorEastAsia" w:cstheme="minorBidi"/>
          <w:noProof/>
          <w:kern w:val="2"/>
          <w:sz w:val="24"/>
          <w:szCs w:val="24"/>
          <w14:ligatures w14:val="standardContextual"/>
        </w:rPr>
        <w:tab/>
      </w:r>
      <w:r>
        <w:rPr>
          <w:noProof/>
        </w:rPr>
        <w:t>Stringency Level 3 estimated costs and benefits — C9A</w:t>
      </w:r>
      <w:r>
        <w:rPr>
          <w:noProof/>
        </w:rPr>
        <w:tab/>
      </w:r>
      <w:r>
        <w:rPr>
          <w:noProof/>
        </w:rPr>
        <w:fldChar w:fldCharType="begin"/>
      </w:r>
      <w:r>
        <w:rPr>
          <w:noProof/>
        </w:rPr>
        <w:instrText xml:space="preserve"> PAGEREF _Toc178292712 \h </w:instrText>
      </w:r>
      <w:r>
        <w:rPr>
          <w:noProof/>
        </w:rPr>
      </w:r>
      <w:r>
        <w:rPr>
          <w:noProof/>
        </w:rPr>
        <w:fldChar w:fldCharType="separate"/>
      </w:r>
      <w:r>
        <w:rPr>
          <w:noProof/>
        </w:rPr>
        <w:t>220</w:t>
      </w:r>
      <w:r>
        <w:rPr>
          <w:noProof/>
        </w:rPr>
        <w:fldChar w:fldCharType="end"/>
      </w:r>
    </w:p>
    <w:p w14:paraId="3DE11956" w14:textId="3B48D069" w:rsidR="006E00A7" w:rsidRDefault="006E00A7">
      <w:pPr>
        <w:pStyle w:val="TableofFigures"/>
        <w:rPr>
          <w:rFonts w:eastAsiaTheme="minorEastAsia" w:cstheme="minorBidi"/>
          <w:noProof/>
          <w:kern w:val="2"/>
          <w:sz w:val="24"/>
          <w:szCs w:val="24"/>
          <w14:ligatures w14:val="standardContextual"/>
        </w:rPr>
      </w:pPr>
      <w:r>
        <w:rPr>
          <w:noProof/>
        </w:rPr>
        <w:t>I.1</w:t>
      </w:r>
      <w:r>
        <w:rPr>
          <w:rFonts w:eastAsiaTheme="minorEastAsia" w:cstheme="minorBidi"/>
          <w:noProof/>
          <w:kern w:val="2"/>
          <w:sz w:val="24"/>
          <w:szCs w:val="24"/>
          <w14:ligatures w14:val="standardContextual"/>
        </w:rPr>
        <w:tab/>
      </w:r>
      <w:r>
        <w:rPr>
          <w:noProof/>
        </w:rPr>
        <w:t>Aggregate impact on demand for electricity from the grid by TOU — Stringency 1</w:t>
      </w:r>
      <w:r>
        <w:rPr>
          <w:noProof/>
        </w:rPr>
        <w:tab/>
      </w:r>
      <w:r>
        <w:rPr>
          <w:noProof/>
        </w:rPr>
        <w:fldChar w:fldCharType="begin"/>
      </w:r>
      <w:r>
        <w:rPr>
          <w:noProof/>
        </w:rPr>
        <w:instrText xml:space="preserve"> PAGEREF _Toc178292713 \h </w:instrText>
      </w:r>
      <w:r>
        <w:rPr>
          <w:noProof/>
        </w:rPr>
      </w:r>
      <w:r>
        <w:rPr>
          <w:noProof/>
        </w:rPr>
        <w:fldChar w:fldCharType="separate"/>
      </w:r>
      <w:r>
        <w:rPr>
          <w:noProof/>
        </w:rPr>
        <w:t>223</w:t>
      </w:r>
      <w:r>
        <w:rPr>
          <w:noProof/>
        </w:rPr>
        <w:fldChar w:fldCharType="end"/>
      </w:r>
    </w:p>
    <w:p w14:paraId="7F95C74A" w14:textId="1766C676" w:rsidR="006E00A7" w:rsidRDefault="006E00A7">
      <w:pPr>
        <w:pStyle w:val="TableofFigures"/>
        <w:rPr>
          <w:rFonts w:eastAsiaTheme="minorEastAsia" w:cstheme="minorBidi"/>
          <w:noProof/>
          <w:kern w:val="2"/>
          <w:sz w:val="24"/>
          <w:szCs w:val="24"/>
          <w14:ligatures w14:val="standardContextual"/>
        </w:rPr>
      </w:pPr>
      <w:r>
        <w:rPr>
          <w:noProof/>
        </w:rPr>
        <w:t>I.2</w:t>
      </w:r>
      <w:r>
        <w:rPr>
          <w:rFonts w:eastAsiaTheme="minorEastAsia" w:cstheme="minorBidi"/>
          <w:noProof/>
          <w:kern w:val="2"/>
          <w:sz w:val="24"/>
          <w:szCs w:val="24"/>
          <w14:ligatures w14:val="standardContextual"/>
        </w:rPr>
        <w:tab/>
      </w:r>
      <w:r>
        <w:rPr>
          <w:noProof/>
        </w:rPr>
        <w:t>Aggregate impact on demand for electricity from the grid by TOU — Stringency 2</w:t>
      </w:r>
      <w:r>
        <w:rPr>
          <w:noProof/>
        </w:rPr>
        <w:tab/>
      </w:r>
      <w:r>
        <w:rPr>
          <w:noProof/>
        </w:rPr>
        <w:fldChar w:fldCharType="begin"/>
      </w:r>
      <w:r>
        <w:rPr>
          <w:noProof/>
        </w:rPr>
        <w:instrText xml:space="preserve"> PAGEREF _Toc178292714 \h </w:instrText>
      </w:r>
      <w:r>
        <w:rPr>
          <w:noProof/>
        </w:rPr>
      </w:r>
      <w:r>
        <w:rPr>
          <w:noProof/>
        </w:rPr>
        <w:fldChar w:fldCharType="separate"/>
      </w:r>
      <w:r>
        <w:rPr>
          <w:noProof/>
        </w:rPr>
        <w:t>223</w:t>
      </w:r>
      <w:r>
        <w:rPr>
          <w:noProof/>
        </w:rPr>
        <w:fldChar w:fldCharType="end"/>
      </w:r>
    </w:p>
    <w:p w14:paraId="300B53ED" w14:textId="14797A86" w:rsidR="006E00A7" w:rsidRDefault="006E00A7">
      <w:pPr>
        <w:pStyle w:val="TableofFigures"/>
        <w:rPr>
          <w:rFonts w:eastAsiaTheme="minorEastAsia" w:cstheme="minorBidi"/>
          <w:noProof/>
          <w:kern w:val="2"/>
          <w:sz w:val="24"/>
          <w:szCs w:val="24"/>
          <w14:ligatures w14:val="standardContextual"/>
        </w:rPr>
      </w:pPr>
      <w:r>
        <w:rPr>
          <w:noProof/>
        </w:rPr>
        <w:t>I.3</w:t>
      </w:r>
      <w:r>
        <w:rPr>
          <w:rFonts w:eastAsiaTheme="minorEastAsia" w:cstheme="minorBidi"/>
          <w:noProof/>
          <w:kern w:val="2"/>
          <w:sz w:val="24"/>
          <w:szCs w:val="24"/>
          <w14:ligatures w14:val="standardContextual"/>
        </w:rPr>
        <w:tab/>
      </w:r>
      <w:r>
        <w:rPr>
          <w:noProof/>
        </w:rPr>
        <w:t>Aggregate impact on demand for electricity from the grid by TOU — Stringency 1</w:t>
      </w:r>
      <w:r>
        <w:rPr>
          <w:noProof/>
        </w:rPr>
        <w:tab/>
      </w:r>
      <w:r>
        <w:rPr>
          <w:noProof/>
        </w:rPr>
        <w:fldChar w:fldCharType="begin"/>
      </w:r>
      <w:r>
        <w:rPr>
          <w:noProof/>
        </w:rPr>
        <w:instrText xml:space="preserve"> PAGEREF _Toc178292715 \h </w:instrText>
      </w:r>
      <w:r>
        <w:rPr>
          <w:noProof/>
        </w:rPr>
      </w:r>
      <w:r>
        <w:rPr>
          <w:noProof/>
        </w:rPr>
        <w:fldChar w:fldCharType="separate"/>
      </w:r>
      <w:r>
        <w:rPr>
          <w:noProof/>
        </w:rPr>
        <w:t>224</w:t>
      </w:r>
      <w:r>
        <w:rPr>
          <w:noProof/>
        </w:rPr>
        <w:fldChar w:fldCharType="end"/>
      </w:r>
    </w:p>
    <w:p w14:paraId="3D9F7042" w14:textId="69911BF7" w:rsidR="006E00A7" w:rsidRDefault="006E00A7">
      <w:pPr>
        <w:pStyle w:val="TableofFigures"/>
        <w:rPr>
          <w:rFonts w:eastAsiaTheme="minorEastAsia" w:cstheme="minorBidi"/>
          <w:noProof/>
          <w:kern w:val="2"/>
          <w:sz w:val="24"/>
          <w:szCs w:val="24"/>
          <w14:ligatures w14:val="standardContextual"/>
        </w:rPr>
      </w:pPr>
      <w:r>
        <w:rPr>
          <w:noProof/>
        </w:rPr>
        <w:t>I.4</w:t>
      </w:r>
      <w:r>
        <w:rPr>
          <w:rFonts w:eastAsiaTheme="minorEastAsia" w:cstheme="minorBidi"/>
          <w:noProof/>
          <w:kern w:val="2"/>
          <w:sz w:val="24"/>
          <w:szCs w:val="24"/>
          <w14:ligatures w14:val="standardContextual"/>
        </w:rPr>
        <w:tab/>
      </w:r>
      <w:r>
        <w:rPr>
          <w:noProof/>
        </w:rPr>
        <w:t>Aggregate impact on demand for electricity from the grid by TOU— Stringency 2</w:t>
      </w:r>
      <w:r>
        <w:rPr>
          <w:noProof/>
        </w:rPr>
        <w:tab/>
      </w:r>
      <w:r>
        <w:rPr>
          <w:noProof/>
        </w:rPr>
        <w:fldChar w:fldCharType="begin"/>
      </w:r>
      <w:r>
        <w:rPr>
          <w:noProof/>
        </w:rPr>
        <w:instrText xml:space="preserve"> PAGEREF _Toc178292716 \h </w:instrText>
      </w:r>
      <w:r>
        <w:rPr>
          <w:noProof/>
        </w:rPr>
      </w:r>
      <w:r>
        <w:rPr>
          <w:noProof/>
        </w:rPr>
        <w:fldChar w:fldCharType="separate"/>
      </w:r>
      <w:r>
        <w:rPr>
          <w:noProof/>
        </w:rPr>
        <w:t>224</w:t>
      </w:r>
      <w:r>
        <w:rPr>
          <w:noProof/>
        </w:rPr>
        <w:fldChar w:fldCharType="end"/>
      </w:r>
    </w:p>
    <w:p w14:paraId="28A2608E" w14:textId="2119F4FA" w:rsidR="006E00A7" w:rsidRDefault="006E00A7">
      <w:pPr>
        <w:pStyle w:val="TableofFigures"/>
        <w:rPr>
          <w:rFonts w:eastAsiaTheme="minorEastAsia" w:cstheme="minorBidi"/>
          <w:noProof/>
          <w:kern w:val="2"/>
          <w:sz w:val="24"/>
          <w:szCs w:val="24"/>
          <w14:ligatures w14:val="standardContextual"/>
        </w:rPr>
      </w:pPr>
      <w:r>
        <w:rPr>
          <w:noProof/>
        </w:rPr>
        <w:t>I.5</w:t>
      </w:r>
      <w:r>
        <w:rPr>
          <w:rFonts w:eastAsiaTheme="minorEastAsia" w:cstheme="minorBidi"/>
          <w:noProof/>
          <w:kern w:val="2"/>
          <w:sz w:val="24"/>
          <w:szCs w:val="24"/>
          <w14:ligatures w14:val="standardContextual"/>
        </w:rPr>
        <w:tab/>
      </w:r>
      <w:r>
        <w:rPr>
          <w:noProof/>
        </w:rPr>
        <w:t>Aggregate impact on demand for electricity from the grid by TOU — Stringency 1</w:t>
      </w:r>
      <w:r>
        <w:rPr>
          <w:noProof/>
        </w:rPr>
        <w:tab/>
      </w:r>
      <w:r>
        <w:rPr>
          <w:noProof/>
        </w:rPr>
        <w:fldChar w:fldCharType="begin"/>
      </w:r>
      <w:r>
        <w:rPr>
          <w:noProof/>
        </w:rPr>
        <w:instrText xml:space="preserve"> PAGEREF _Toc178292717 \h </w:instrText>
      </w:r>
      <w:r>
        <w:rPr>
          <w:noProof/>
        </w:rPr>
      </w:r>
      <w:r>
        <w:rPr>
          <w:noProof/>
        </w:rPr>
        <w:fldChar w:fldCharType="separate"/>
      </w:r>
      <w:r>
        <w:rPr>
          <w:noProof/>
        </w:rPr>
        <w:t>225</w:t>
      </w:r>
      <w:r>
        <w:rPr>
          <w:noProof/>
        </w:rPr>
        <w:fldChar w:fldCharType="end"/>
      </w:r>
    </w:p>
    <w:p w14:paraId="785EF37C" w14:textId="02A09A60" w:rsidR="006E00A7" w:rsidRDefault="006E00A7">
      <w:pPr>
        <w:pStyle w:val="TableofFigures"/>
        <w:rPr>
          <w:rFonts w:eastAsiaTheme="minorEastAsia" w:cstheme="minorBidi"/>
          <w:noProof/>
          <w:kern w:val="2"/>
          <w:sz w:val="24"/>
          <w:szCs w:val="24"/>
          <w14:ligatures w14:val="standardContextual"/>
        </w:rPr>
      </w:pPr>
      <w:r>
        <w:rPr>
          <w:noProof/>
        </w:rPr>
        <w:t>I.6</w:t>
      </w:r>
      <w:r>
        <w:rPr>
          <w:rFonts w:eastAsiaTheme="minorEastAsia" w:cstheme="minorBidi"/>
          <w:noProof/>
          <w:kern w:val="2"/>
          <w:sz w:val="24"/>
          <w:szCs w:val="24"/>
          <w14:ligatures w14:val="standardContextual"/>
        </w:rPr>
        <w:tab/>
      </w:r>
      <w:r>
        <w:rPr>
          <w:noProof/>
        </w:rPr>
        <w:t>Aggregate impact on demand for electricity from the grid by TOU — Stringency 2</w:t>
      </w:r>
      <w:r>
        <w:rPr>
          <w:noProof/>
        </w:rPr>
        <w:tab/>
      </w:r>
      <w:r>
        <w:rPr>
          <w:noProof/>
        </w:rPr>
        <w:fldChar w:fldCharType="begin"/>
      </w:r>
      <w:r>
        <w:rPr>
          <w:noProof/>
        </w:rPr>
        <w:instrText xml:space="preserve"> PAGEREF _Toc178292718 \h </w:instrText>
      </w:r>
      <w:r>
        <w:rPr>
          <w:noProof/>
        </w:rPr>
      </w:r>
      <w:r>
        <w:rPr>
          <w:noProof/>
        </w:rPr>
        <w:fldChar w:fldCharType="separate"/>
      </w:r>
      <w:r>
        <w:rPr>
          <w:noProof/>
        </w:rPr>
        <w:t>225</w:t>
      </w:r>
      <w:r>
        <w:rPr>
          <w:noProof/>
        </w:rPr>
        <w:fldChar w:fldCharType="end"/>
      </w:r>
    </w:p>
    <w:p w14:paraId="6DAFDC52" w14:textId="2792B5FF" w:rsidR="006E00A7" w:rsidRDefault="006E00A7">
      <w:pPr>
        <w:pStyle w:val="TableofFigures"/>
        <w:rPr>
          <w:rFonts w:eastAsiaTheme="minorEastAsia" w:cstheme="minorBidi"/>
          <w:noProof/>
          <w:kern w:val="2"/>
          <w:sz w:val="24"/>
          <w:szCs w:val="24"/>
          <w14:ligatures w14:val="standardContextual"/>
        </w:rPr>
      </w:pPr>
      <w:r>
        <w:rPr>
          <w:noProof/>
        </w:rPr>
        <w:t>I.7</w:t>
      </w:r>
      <w:r>
        <w:rPr>
          <w:rFonts w:eastAsiaTheme="minorEastAsia" w:cstheme="minorBidi"/>
          <w:noProof/>
          <w:kern w:val="2"/>
          <w:sz w:val="24"/>
          <w:szCs w:val="24"/>
          <w14:ligatures w14:val="standardContextual"/>
        </w:rPr>
        <w:tab/>
      </w:r>
      <w:r>
        <w:rPr>
          <w:noProof/>
        </w:rPr>
        <w:t>Aggregate impact on demand for electricity from the grid by TOU — Stringency 1</w:t>
      </w:r>
      <w:r>
        <w:rPr>
          <w:noProof/>
        </w:rPr>
        <w:tab/>
      </w:r>
      <w:r>
        <w:rPr>
          <w:noProof/>
        </w:rPr>
        <w:fldChar w:fldCharType="begin"/>
      </w:r>
      <w:r>
        <w:rPr>
          <w:noProof/>
        </w:rPr>
        <w:instrText xml:space="preserve"> PAGEREF _Toc178292719 \h </w:instrText>
      </w:r>
      <w:r>
        <w:rPr>
          <w:noProof/>
        </w:rPr>
      </w:r>
      <w:r>
        <w:rPr>
          <w:noProof/>
        </w:rPr>
        <w:fldChar w:fldCharType="separate"/>
      </w:r>
      <w:r>
        <w:rPr>
          <w:noProof/>
        </w:rPr>
        <w:t>226</w:t>
      </w:r>
      <w:r>
        <w:rPr>
          <w:noProof/>
        </w:rPr>
        <w:fldChar w:fldCharType="end"/>
      </w:r>
    </w:p>
    <w:p w14:paraId="0EA434CC" w14:textId="0611814C" w:rsidR="006E00A7" w:rsidRDefault="006E00A7">
      <w:pPr>
        <w:pStyle w:val="TableofFigures"/>
        <w:rPr>
          <w:rFonts w:eastAsiaTheme="minorEastAsia" w:cstheme="minorBidi"/>
          <w:noProof/>
          <w:kern w:val="2"/>
          <w:sz w:val="24"/>
          <w:szCs w:val="24"/>
          <w14:ligatures w14:val="standardContextual"/>
        </w:rPr>
      </w:pPr>
      <w:r>
        <w:rPr>
          <w:noProof/>
        </w:rPr>
        <w:t>I.8</w:t>
      </w:r>
      <w:r>
        <w:rPr>
          <w:rFonts w:eastAsiaTheme="minorEastAsia" w:cstheme="minorBidi"/>
          <w:noProof/>
          <w:kern w:val="2"/>
          <w:sz w:val="24"/>
          <w:szCs w:val="24"/>
          <w14:ligatures w14:val="standardContextual"/>
        </w:rPr>
        <w:tab/>
      </w:r>
      <w:r>
        <w:rPr>
          <w:noProof/>
        </w:rPr>
        <w:t>Aggregate impact on demand for electricity from the grid by TOU — Stringency 2</w:t>
      </w:r>
      <w:r>
        <w:rPr>
          <w:noProof/>
        </w:rPr>
        <w:tab/>
      </w:r>
      <w:r>
        <w:rPr>
          <w:noProof/>
        </w:rPr>
        <w:fldChar w:fldCharType="begin"/>
      </w:r>
      <w:r>
        <w:rPr>
          <w:noProof/>
        </w:rPr>
        <w:instrText xml:space="preserve"> PAGEREF _Toc178292720 \h </w:instrText>
      </w:r>
      <w:r>
        <w:rPr>
          <w:noProof/>
        </w:rPr>
      </w:r>
      <w:r>
        <w:rPr>
          <w:noProof/>
        </w:rPr>
        <w:fldChar w:fldCharType="separate"/>
      </w:r>
      <w:r>
        <w:rPr>
          <w:noProof/>
        </w:rPr>
        <w:t>226</w:t>
      </w:r>
      <w:r>
        <w:rPr>
          <w:noProof/>
        </w:rPr>
        <w:fldChar w:fldCharType="end"/>
      </w:r>
    </w:p>
    <w:p w14:paraId="4C8A2517" w14:textId="6D6C0074" w:rsidR="006E00A7" w:rsidRDefault="006E00A7">
      <w:pPr>
        <w:pStyle w:val="TableofFigures"/>
        <w:rPr>
          <w:rFonts w:eastAsiaTheme="minorEastAsia" w:cstheme="minorBidi"/>
          <w:noProof/>
          <w:kern w:val="2"/>
          <w:sz w:val="24"/>
          <w:szCs w:val="24"/>
          <w14:ligatures w14:val="standardContextual"/>
        </w:rPr>
      </w:pPr>
      <w:r>
        <w:rPr>
          <w:noProof/>
        </w:rPr>
        <w:t>I.9</w:t>
      </w:r>
      <w:r>
        <w:rPr>
          <w:rFonts w:eastAsiaTheme="minorEastAsia" w:cstheme="minorBidi"/>
          <w:noProof/>
          <w:kern w:val="2"/>
          <w:sz w:val="24"/>
          <w:szCs w:val="24"/>
          <w14:ligatures w14:val="standardContextual"/>
        </w:rPr>
        <w:tab/>
      </w:r>
      <w:r>
        <w:rPr>
          <w:noProof/>
        </w:rPr>
        <w:t>Aggregate impact on demand for electricity from the grid by TOU — Stringency 1</w:t>
      </w:r>
      <w:r>
        <w:rPr>
          <w:noProof/>
        </w:rPr>
        <w:tab/>
      </w:r>
      <w:r>
        <w:rPr>
          <w:noProof/>
        </w:rPr>
        <w:fldChar w:fldCharType="begin"/>
      </w:r>
      <w:r>
        <w:rPr>
          <w:noProof/>
        </w:rPr>
        <w:instrText xml:space="preserve"> PAGEREF _Toc178292721 \h </w:instrText>
      </w:r>
      <w:r>
        <w:rPr>
          <w:noProof/>
        </w:rPr>
      </w:r>
      <w:r>
        <w:rPr>
          <w:noProof/>
        </w:rPr>
        <w:fldChar w:fldCharType="separate"/>
      </w:r>
      <w:r>
        <w:rPr>
          <w:noProof/>
        </w:rPr>
        <w:t>227</w:t>
      </w:r>
      <w:r>
        <w:rPr>
          <w:noProof/>
        </w:rPr>
        <w:fldChar w:fldCharType="end"/>
      </w:r>
    </w:p>
    <w:p w14:paraId="6ABDB8EC" w14:textId="3004823F" w:rsidR="006E00A7" w:rsidRDefault="006E00A7">
      <w:pPr>
        <w:pStyle w:val="TableofFigures"/>
        <w:rPr>
          <w:rFonts w:eastAsiaTheme="minorEastAsia" w:cstheme="minorBidi"/>
          <w:noProof/>
          <w:kern w:val="2"/>
          <w:sz w:val="24"/>
          <w:szCs w:val="24"/>
          <w14:ligatures w14:val="standardContextual"/>
        </w:rPr>
      </w:pPr>
      <w:r>
        <w:rPr>
          <w:noProof/>
        </w:rPr>
        <w:t>I.10</w:t>
      </w:r>
      <w:r>
        <w:rPr>
          <w:rFonts w:eastAsiaTheme="minorEastAsia" w:cstheme="minorBidi"/>
          <w:noProof/>
          <w:kern w:val="2"/>
          <w:sz w:val="24"/>
          <w:szCs w:val="24"/>
          <w14:ligatures w14:val="standardContextual"/>
        </w:rPr>
        <w:tab/>
      </w:r>
      <w:r>
        <w:rPr>
          <w:noProof/>
        </w:rPr>
        <w:t>Aggregate impact on demand for electricity from the grid by TOU — Stringency 2</w:t>
      </w:r>
      <w:r>
        <w:rPr>
          <w:noProof/>
        </w:rPr>
        <w:tab/>
      </w:r>
      <w:r>
        <w:rPr>
          <w:noProof/>
        </w:rPr>
        <w:fldChar w:fldCharType="begin"/>
      </w:r>
      <w:r>
        <w:rPr>
          <w:noProof/>
        </w:rPr>
        <w:instrText xml:space="preserve"> PAGEREF _Toc178292722 \h </w:instrText>
      </w:r>
      <w:r>
        <w:rPr>
          <w:noProof/>
        </w:rPr>
      </w:r>
      <w:r>
        <w:rPr>
          <w:noProof/>
        </w:rPr>
        <w:fldChar w:fldCharType="separate"/>
      </w:r>
      <w:r>
        <w:rPr>
          <w:noProof/>
        </w:rPr>
        <w:t>227</w:t>
      </w:r>
      <w:r>
        <w:rPr>
          <w:noProof/>
        </w:rPr>
        <w:fldChar w:fldCharType="end"/>
      </w:r>
    </w:p>
    <w:p w14:paraId="1888E008" w14:textId="0B6C2036" w:rsidR="00650F3E" w:rsidRDefault="00C27E60" w:rsidP="004E7620">
      <w:pPr>
        <w:pStyle w:val="TableofFigures"/>
        <w:rPr>
          <w:b/>
          <w:bCs/>
          <w:noProof/>
          <w:lang w:val="en-US"/>
        </w:rPr>
      </w:pPr>
      <w:r>
        <w:rPr>
          <w:b/>
          <w:bCs/>
          <w:noProof/>
          <w:lang w:val="en-US"/>
        </w:rPr>
        <w:fldChar w:fldCharType="end"/>
      </w:r>
    </w:p>
    <w:p w14:paraId="56074568" w14:textId="77777777" w:rsidR="00650F3E" w:rsidRPr="00650F3E" w:rsidRDefault="00650F3E" w:rsidP="00650F3E">
      <w:pPr>
        <w:spacing w:before="140"/>
        <w:rPr>
          <w:rFonts w:asciiTheme="minorHAnsi" w:eastAsia="Times New Roman" w:hAnsiTheme="minorHAnsi"/>
          <w:lang w:val="en-US"/>
        </w:rPr>
      </w:pPr>
    </w:p>
    <w:p w14:paraId="6FFE90F4" w14:textId="77777777" w:rsidR="00650F3E" w:rsidRPr="00650F3E" w:rsidRDefault="00650F3E" w:rsidP="00650F3E">
      <w:pPr>
        <w:pStyle w:val="BodyText"/>
        <w:rPr>
          <w:lang w:val="en-US"/>
        </w:rPr>
      </w:pPr>
    </w:p>
    <w:p w14:paraId="140BC93E" w14:textId="77777777" w:rsidR="00650F3E" w:rsidRDefault="00650F3E" w:rsidP="004E7620">
      <w:pPr>
        <w:pStyle w:val="Heading1"/>
        <w:numPr>
          <w:ilvl w:val="0"/>
          <w:numId w:val="0"/>
        </w:numPr>
        <w:sectPr w:rsidR="00650F3E" w:rsidSect="004E7620">
          <w:headerReference w:type="even" r:id="rId18"/>
          <w:headerReference w:type="default" r:id="rId19"/>
          <w:footerReference w:type="even" r:id="rId20"/>
          <w:footerReference w:type="default" r:id="rId21"/>
          <w:pgSz w:w="11906" w:h="16838" w:code="9"/>
          <w:pgMar w:top="2268" w:right="1701" w:bottom="1418" w:left="2268" w:header="680" w:footer="680" w:gutter="0"/>
          <w:pgNumType w:fmt="lowerRoman"/>
          <w:cols w:space="708"/>
          <w:docGrid w:linePitch="360"/>
        </w:sectPr>
      </w:pPr>
    </w:p>
    <w:p w14:paraId="7DA6F366" w14:textId="77777777" w:rsidR="00767FC0" w:rsidRDefault="00767FC0" w:rsidP="00767FC0">
      <w:pPr>
        <w:pStyle w:val="Heading1NotNumbered"/>
      </w:pPr>
      <w:bookmarkStart w:id="2" w:name="_Toc177719439"/>
      <w:bookmarkStart w:id="3" w:name="_Toc178292510"/>
      <w:bookmarkEnd w:id="1"/>
      <w:r>
        <w:t>Abbreviations</w:t>
      </w:r>
      <w:bookmarkEnd w:id="2"/>
      <w:bookmarkEnd w:id="3"/>
    </w:p>
    <w:p w14:paraId="08D47B5B" w14:textId="77777777" w:rsidR="00767FC0" w:rsidRPr="00844A6E" w:rsidRDefault="00767FC0" w:rsidP="00767FC0">
      <w:pPr>
        <w:pStyle w:val="BodyText"/>
        <w:ind w:left="1276" w:hanging="1276"/>
        <w:rPr>
          <w:szCs w:val="22"/>
        </w:rPr>
      </w:pPr>
      <w:r w:rsidRPr="00844A6E">
        <w:rPr>
          <w:szCs w:val="22"/>
        </w:rPr>
        <w:t>AAA</w:t>
      </w:r>
      <w:r w:rsidRPr="00844A6E">
        <w:rPr>
          <w:szCs w:val="22"/>
        </w:rPr>
        <w:tab/>
        <w:t>Australian Automobile Association</w:t>
      </w:r>
    </w:p>
    <w:p w14:paraId="5A8D09BB" w14:textId="77777777" w:rsidR="00767FC0" w:rsidRPr="00844A6E" w:rsidRDefault="00767FC0" w:rsidP="00767FC0">
      <w:pPr>
        <w:pStyle w:val="BodyText"/>
        <w:ind w:left="1276" w:hanging="1276"/>
        <w:rPr>
          <w:szCs w:val="22"/>
        </w:rPr>
      </w:pPr>
      <w:r w:rsidRPr="00844A6E">
        <w:rPr>
          <w:szCs w:val="22"/>
        </w:rPr>
        <w:t>ABCB</w:t>
      </w:r>
      <w:r w:rsidRPr="00844A6E">
        <w:rPr>
          <w:szCs w:val="22"/>
        </w:rPr>
        <w:tab/>
        <w:t>Australian Building Codes Board</w:t>
      </w:r>
    </w:p>
    <w:p w14:paraId="6FBB2332" w14:textId="77777777" w:rsidR="00767FC0" w:rsidRPr="00844A6E" w:rsidRDefault="00767FC0" w:rsidP="00767FC0">
      <w:pPr>
        <w:pStyle w:val="BodyText"/>
        <w:ind w:left="1276" w:hanging="1276"/>
        <w:rPr>
          <w:szCs w:val="22"/>
        </w:rPr>
      </w:pPr>
      <w:r w:rsidRPr="00844A6E">
        <w:rPr>
          <w:szCs w:val="22"/>
        </w:rPr>
        <w:t>ACCC</w:t>
      </w:r>
      <w:r w:rsidRPr="00844A6E">
        <w:rPr>
          <w:szCs w:val="22"/>
        </w:rPr>
        <w:tab/>
        <w:t>Australian Competition and Consumer Commission</w:t>
      </w:r>
    </w:p>
    <w:p w14:paraId="79423450" w14:textId="77777777" w:rsidR="00767FC0" w:rsidRPr="00844A6E" w:rsidRDefault="00767FC0" w:rsidP="00767FC0">
      <w:pPr>
        <w:pStyle w:val="BodyText"/>
        <w:ind w:left="1276" w:hanging="1276"/>
        <w:rPr>
          <w:szCs w:val="22"/>
        </w:rPr>
      </w:pPr>
      <w:r w:rsidRPr="00844A6E">
        <w:rPr>
          <w:szCs w:val="22"/>
        </w:rPr>
        <w:t>ACCU</w:t>
      </w:r>
      <w:r w:rsidRPr="00844A6E">
        <w:rPr>
          <w:szCs w:val="22"/>
        </w:rPr>
        <w:tab/>
        <w:t>Australian carbon credit unit</w:t>
      </w:r>
    </w:p>
    <w:p w14:paraId="7BDDEAB4" w14:textId="77777777" w:rsidR="00767FC0" w:rsidRPr="00844A6E" w:rsidRDefault="00767FC0" w:rsidP="00767FC0">
      <w:pPr>
        <w:pStyle w:val="BodyText"/>
        <w:ind w:left="1276" w:hanging="1276"/>
        <w:rPr>
          <w:szCs w:val="22"/>
        </w:rPr>
      </w:pPr>
      <w:r w:rsidRPr="00844A6E">
        <w:rPr>
          <w:szCs w:val="22"/>
        </w:rPr>
        <w:t>AEMO</w:t>
      </w:r>
      <w:r w:rsidRPr="00844A6E">
        <w:rPr>
          <w:szCs w:val="22"/>
        </w:rPr>
        <w:tab/>
        <w:t>Australian Energy Market Operator</w:t>
      </w:r>
    </w:p>
    <w:p w14:paraId="0B81EF29" w14:textId="77777777" w:rsidR="00767FC0" w:rsidRPr="00844A6E" w:rsidRDefault="00767FC0" w:rsidP="00767FC0">
      <w:pPr>
        <w:pStyle w:val="BodyText"/>
        <w:ind w:left="1276" w:hanging="1276"/>
        <w:rPr>
          <w:szCs w:val="22"/>
        </w:rPr>
      </w:pPr>
      <w:r w:rsidRPr="00844A6E">
        <w:rPr>
          <w:szCs w:val="22"/>
        </w:rPr>
        <w:t>AER</w:t>
      </w:r>
      <w:r w:rsidRPr="00844A6E">
        <w:rPr>
          <w:szCs w:val="22"/>
        </w:rPr>
        <w:tab/>
        <w:t>Australian Energy Regulator</w:t>
      </w:r>
    </w:p>
    <w:p w14:paraId="12C09D70" w14:textId="77777777" w:rsidR="00767FC0" w:rsidRPr="00844A6E" w:rsidRDefault="00767FC0" w:rsidP="00767FC0">
      <w:pPr>
        <w:pStyle w:val="BodyText"/>
        <w:ind w:left="1276" w:hanging="1276"/>
        <w:rPr>
          <w:szCs w:val="22"/>
        </w:rPr>
      </w:pPr>
      <w:r w:rsidRPr="00844A6E">
        <w:rPr>
          <w:szCs w:val="22"/>
        </w:rPr>
        <w:t>ASBEC</w:t>
      </w:r>
      <w:r w:rsidRPr="00844A6E">
        <w:rPr>
          <w:szCs w:val="22"/>
        </w:rPr>
        <w:tab/>
        <w:t>Australian Sustainable Built Environment Council</w:t>
      </w:r>
    </w:p>
    <w:p w14:paraId="0264853E" w14:textId="77777777" w:rsidR="00767FC0" w:rsidRPr="00844A6E" w:rsidRDefault="00767FC0" w:rsidP="00767FC0">
      <w:pPr>
        <w:pStyle w:val="BodyText"/>
        <w:ind w:left="1276" w:hanging="1276"/>
        <w:rPr>
          <w:szCs w:val="22"/>
        </w:rPr>
      </w:pPr>
      <w:r w:rsidRPr="00844A6E">
        <w:rPr>
          <w:szCs w:val="22"/>
        </w:rPr>
        <w:t>BCA</w:t>
      </w:r>
      <w:r w:rsidRPr="00844A6E">
        <w:rPr>
          <w:szCs w:val="22"/>
        </w:rPr>
        <w:tab/>
        <w:t>Building Code of Australia. BCA includes the National Construction Code (NCC) Volume One (primarily applies to Class 2 to 9 buildings and structures) and Volume Two (primarily apples to Class 1 buildings and Class 10 structures)</w:t>
      </w:r>
    </w:p>
    <w:p w14:paraId="65584DCC" w14:textId="77777777" w:rsidR="00767FC0" w:rsidRPr="00844A6E" w:rsidRDefault="00767FC0" w:rsidP="00767FC0">
      <w:pPr>
        <w:pStyle w:val="BodyText"/>
        <w:ind w:left="1276" w:hanging="1276"/>
        <w:rPr>
          <w:szCs w:val="22"/>
        </w:rPr>
      </w:pPr>
      <w:r w:rsidRPr="00844A6E">
        <w:rPr>
          <w:szCs w:val="22"/>
        </w:rPr>
        <w:t>BCR</w:t>
      </w:r>
      <w:r w:rsidRPr="00844A6E">
        <w:rPr>
          <w:szCs w:val="22"/>
        </w:rPr>
        <w:tab/>
        <w:t>Benefit-cost ratio</w:t>
      </w:r>
    </w:p>
    <w:p w14:paraId="07AD86BF" w14:textId="77777777" w:rsidR="00767FC0" w:rsidRPr="00844A6E" w:rsidRDefault="00767FC0" w:rsidP="00767FC0">
      <w:pPr>
        <w:pStyle w:val="BodyText"/>
        <w:ind w:left="1276" w:hanging="1276"/>
        <w:rPr>
          <w:szCs w:val="22"/>
        </w:rPr>
      </w:pPr>
      <w:r w:rsidRPr="00844A6E">
        <w:rPr>
          <w:szCs w:val="22"/>
        </w:rPr>
        <w:t>BEEC</w:t>
      </w:r>
      <w:r w:rsidRPr="00844A6E">
        <w:rPr>
          <w:szCs w:val="22"/>
        </w:rPr>
        <w:tab/>
        <w:t>Building Energy Efficiency Certificate</w:t>
      </w:r>
    </w:p>
    <w:p w14:paraId="27170CA1" w14:textId="77777777" w:rsidR="00767FC0" w:rsidRPr="00844A6E" w:rsidRDefault="00767FC0" w:rsidP="00767FC0">
      <w:pPr>
        <w:pStyle w:val="BodyText"/>
        <w:ind w:left="1276" w:hanging="1276"/>
        <w:rPr>
          <w:szCs w:val="22"/>
        </w:rPr>
      </w:pPr>
      <w:r w:rsidRPr="00844A6E">
        <w:rPr>
          <w:szCs w:val="22"/>
        </w:rPr>
        <w:t>BEET</w:t>
      </w:r>
      <w:r w:rsidRPr="00844A6E">
        <w:rPr>
          <w:szCs w:val="22"/>
        </w:rPr>
        <w:tab/>
        <w:t>Building Energy Efficiency Taskgroup</w:t>
      </w:r>
    </w:p>
    <w:p w14:paraId="3A4C3BA7" w14:textId="77777777" w:rsidR="00767FC0" w:rsidRPr="00844A6E" w:rsidRDefault="00767FC0" w:rsidP="00767FC0">
      <w:pPr>
        <w:pStyle w:val="BodyText"/>
        <w:ind w:left="1276" w:hanging="1276"/>
        <w:rPr>
          <w:szCs w:val="22"/>
        </w:rPr>
      </w:pPr>
      <w:r w:rsidRPr="00844A6E">
        <w:rPr>
          <w:szCs w:val="22"/>
        </w:rPr>
        <w:t>CBA</w:t>
      </w:r>
      <w:r w:rsidRPr="00844A6E">
        <w:rPr>
          <w:szCs w:val="22"/>
        </w:rPr>
        <w:tab/>
        <w:t>Cost-benefit analysis</w:t>
      </w:r>
    </w:p>
    <w:p w14:paraId="1999543B" w14:textId="77777777" w:rsidR="00767FC0" w:rsidRPr="00844A6E" w:rsidRDefault="00767FC0" w:rsidP="00767FC0">
      <w:pPr>
        <w:pStyle w:val="BodyText"/>
        <w:ind w:left="1276" w:hanging="1276"/>
        <w:rPr>
          <w:szCs w:val="22"/>
        </w:rPr>
      </w:pPr>
      <w:r w:rsidRPr="00844A6E">
        <w:rPr>
          <w:szCs w:val="22"/>
        </w:rPr>
        <w:t>CBD</w:t>
      </w:r>
      <w:r w:rsidRPr="00844A6E">
        <w:rPr>
          <w:szCs w:val="22"/>
        </w:rPr>
        <w:tab/>
        <w:t>Commercial Building Disclosure Program</w:t>
      </w:r>
    </w:p>
    <w:p w14:paraId="2A4117C1" w14:textId="77777777" w:rsidR="00767FC0" w:rsidRPr="00844A6E" w:rsidRDefault="00767FC0" w:rsidP="00767FC0">
      <w:pPr>
        <w:pStyle w:val="BodyText"/>
        <w:ind w:left="1276" w:hanging="1276"/>
        <w:rPr>
          <w:szCs w:val="22"/>
        </w:rPr>
      </w:pPr>
      <w:r w:rsidRPr="00844A6E">
        <w:rPr>
          <w:szCs w:val="22"/>
        </w:rPr>
        <w:t>CIE</w:t>
      </w:r>
      <w:r w:rsidRPr="00844A6E">
        <w:rPr>
          <w:szCs w:val="22"/>
        </w:rPr>
        <w:tab/>
        <w:t>The Centre for International Economics</w:t>
      </w:r>
    </w:p>
    <w:p w14:paraId="1E39030F" w14:textId="77777777" w:rsidR="00767FC0" w:rsidRPr="00844A6E" w:rsidRDefault="00767FC0" w:rsidP="00767FC0">
      <w:pPr>
        <w:pStyle w:val="BodyText"/>
        <w:ind w:left="1276" w:hanging="1276"/>
        <w:rPr>
          <w:szCs w:val="22"/>
        </w:rPr>
      </w:pPr>
      <w:r w:rsidRPr="00844A6E">
        <w:rPr>
          <w:szCs w:val="22"/>
        </w:rPr>
        <w:t>CO</w:t>
      </w:r>
      <w:r w:rsidRPr="00844A6E">
        <w:rPr>
          <w:szCs w:val="22"/>
          <w:vertAlign w:val="subscript"/>
        </w:rPr>
        <w:t>2</w:t>
      </w:r>
      <w:r w:rsidRPr="00844A6E">
        <w:rPr>
          <w:szCs w:val="22"/>
        </w:rPr>
        <w:t>-e</w:t>
      </w:r>
      <w:r w:rsidRPr="00844A6E">
        <w:rPr>
          <w:szCs w:val="22"/>
        </w:rPr>
        <w:tab/>
        <w:t>Carbon dioxide equivalent</w:t>
      </w:r>
    </w:p>
    <w:p w14:paraId="0C3715EB" w14:textId="77777777" w:rsidR="00767FC0" w:rsidRPr="00844A6E" w:rsidRDefault="00767FC0" w:rsidP="00767FC0">
      <w:pPr>
        <w:pStyle w:val="BodyText"/>
        <w:ind w:left="1276" w:hanging="1276"/>
        <w:rPr>
          <w:szCs w:val="22"/>
        </w:rPr>
      </w:pPr>
      <w:r w:rsidRPr="00844A6E">
        <w:rPr>
          <w:szCs w:val="22"/>
        </w:rPr>
        <w:t>COAG</w:t>
      </w:r>
      <w:r w:rsidRPr="00844A6E">
        <w:rPr>
          <w:szCs w:val="22"/>
        </w:rPr>
        <w:tab/>
        <w:t>The Council of Australian Governments</w:t>
      </w:r>
    </w:p>
    <w:p w14:paraId="38508614" w14:textId="77777777" w:rsidR="00767FC0" w:rsidRPr="00844A6E" w:rsidRDefault="00767FC0" w:rsidP="00767FC0">
      <w:pPr>
        <w:pStyle w:val="BodyText"/>
        <w:ind w:left="1276" w:hanging="1276"/>
        <w:rPr>
          <w:szCs w:val="22"/>
        </w:rPr>
      </w:pPr>
      <w:r w:rsidRPr="00844A6E">
        <w:rPr>
          <w:szCs w:val="22"/>
        </w:rPr>
        <w:t>COP</w:t>
      </w:r>
      <w:r w:rsidRPr="00844A6E">
        <w:rPr>
          <w:szCs w:val="22"/>
        </w:rPr>
        <w:tab/>
        <w:t>Coefficient of performance</w:t>
      </w:r>
    </w:p>
    <w:p w14:paraId="04347F77" w14:textId="1A21E1D1" w:rsidR="00767FC0" w:rsidRPr="00844A6E" w:rsidRDefault="00767FC0" w:rsidP="00767FC0">
      <w:pPr>
        <w:pStyle w:val="BodyText"/>
        <w:ind w:left="1276" w:hanging="1276"/>
        <w:rPr>
          <w:szCs w:val="22"/>
        </w:rPr>
      </w:pPr>
      <w:r w:rsidRPr="00844A6E">
        <w:rPr>
          <w:szCs w:val="22"/>
        </w:rPr>
        <w:t>CRIS</w:t>
      </w:r>
      <w:r w:rsidRPr="00844A6E">
        <w:rPr>
          <w:szCs w:val="22"/>
        </w:rPr>
        <w:tab/>
        <w:t xml:space="preserve">Consultation </w:t>
      </w:r>
      <w:r w:rsidR="0070713C">
        <w:rPr>
          <w:szCs w:val="22"/>
        </w:rPr>
        <w:t>R</w:t>
      </w:r>
      <w:r w:rsidRPr="00844A6E">
        <w:rPr>
          <w:szCs w:val="22"/>
        </w:rPr>
        <w:t xml:space="preserve">egulation </w:t>
      </w:r>
      <w:r w:rsidR="0070713C">
        <w:rPr>
          <w:szCs w:val="22"/>
        </w:rPr>
        <w:t>I</w:t>
      </w:r>
      <w:r w:rsidRPr="00844A6E">
        <w:rPr>
          <w:szCs w:val="22"/>
        </w:rPr>
        <w:t xml:space="preserve">mpact </w:t>
      </w:r>
      <w:r w:rsidR="00C25A4E">
        <w:rPr>
          <w:szCs w:val="22"/>
        </w:rPr>
        <w:t>S</w:t>
      </w:r>
      <w:r w:rsidRPr="00844A6E">
        <w:rPr>
          <w:szCs w:val="22"/>
        </w:rPr>
        <w:t>tatement</w:t>
      </w:r>
    </w:p>
    <w:p w14:paraId="6D0AB5AB" w14:textId="77777777" w:rsidR="00767FC0" w:rsidRPr="00844A6E" w:rsidRDefault="00767FC0" w:rsidP="00767FC0">
      <w:pPr>
        <w:pStyle w:val="BodyText"/>
        <w:ind w:left="1276" w:hanging="1276"/>
        <w:rPr>
          <w:szCs w:val="22"/>
        </w:rPr>
      </w:pPr>
      <w:r w:rsidRPr="00844A6E">
        <w:rPr>
          <w:szCs w:val="22"/>
        </w:rPr>
        <w:t>CZ</w:t>
      </w:r>
      <w:r w:rsidRPr="00844A6E">
        <w:rPr>
          <w:szCs w:val="22"/>
        </w:rPr>
        <w:tab/>
        <w:t>Climate Zone</w:t>
      </w:r>
    </w:p>
    <w:p w14:paraId="4EE85F3A" w14:textId="77777777" w:rsidR="00767FC0" w:rsidRDefault="00767FC0" w:rsidP="00767FC0">
      <w:pPr>
        <w:pStyle w:val="BodyText"/>
        <w:ind w:left="1276" w:hanging="1276"/>
        <w:rPr>
          <w:szCs w:val="22"/>
        </w:rPr>
      </w:pPr>
      <w:r w:rsidRPr="00844A6E">
        <w:rPr>
          <w:szCs w:val="22"/>
        </w:rPr>
        <w:t>DCCEEW</w:t>
      </w:r>
      <w:r w:rsidRPr="00844A6E">
        <w:rPr>
          <w:szCs w:val="22"/>
        </w:rPr>
        <w:tab/>
        <w:t>Department of Climate Change, Energy, the Environment and Water</w:t>
      </w:r>
    </w:p>
    <w:p w14:paraId="3552EB54" w14:textId="77777777" w:rsidR="004001C3" w:rsidRDefault="00C1510A" w:rsidP="00767FC0">
      <w:pPr>
        <w:pStyle w:val="BodyText"/>
        <w:ind w:left="1276" w:hanging="1276"/>
        <w:rPr>
          <w:szCs w:val="22"/>
        </w:rPr>
      </w:pPr>
      <w:r>
        <w:rPr>
          <w:szCs w:val="22"/>
        </w:rPr>
        <w:t>DRIS</w:t>
      </w:r>
      <w:r>
        <w:rPr>
          <w:szCs w:val="22"/>
        </w:rPr>
        <w:tab/>
        <w:t>Decision Regulation Impact Statement</w:t>
      </w:r>
    </w:p>
    <w:p w14:paraId="439A0285" w14:textId="09A5B665" w:rsidR="00767FC0" w:rsidRPr="00844A6E" w:rsidRDefault="00767FC0" w:rsidP="00767FC0">
      <w:pPr>
        <w:pStyle w:val="BodyText"/>
        <w:ind w:left="1276" w:hanging="1276"/>
        <w:rPr>
          <w:szCs w:val="22"/>
        </w:rPr>
      </w:pPr>
      <w:r w:rsidRPr="00844A6E">
        <w:rPr>
          <w:szCs w:val="22"/>
        </w:rPr>
        <w:t>DTS</w:t>
      </w:r>
      <w:r w:rsidRPr="00844A6E">
        <w:rPr>
          <w:szCs w:val="22"/>
        </w:rPr>
        <w:tab/>
        <w:t>Deemed-to-satisfy</w:t>
      </w:r>
    </w:p>
    <w:p w14:paraId="065F88FA" w14:textId="77777777" w:rsidR="00767FC0" w:rsidRPr="00844A6E" w:rsidRDefault="00767FC0" w:rsidP="00767FC0">
      <w:pPr>
        <w:pStyle w:val="BodyText"/>
        <w:ind w:left="1276" w:hanging="1276"/>
        <w:rPr>
          <w:szCs w:val="22"/>
        </w:rPr>
      </w:pPr>
      <w:r w:rsidRPr="00844A6E">
        <w:rPr>
          <w:szCs w:val="22"/>
        </w:rPr>
        <w:t>DUOS</w:t>
      </w:r>
      <w:r w:rsidRPr="00844A6E">
        <w:rPr>
          <w:szCs w:val="22"/>
        </w:rPr>
        <w:tab/>
        <w:t>distribution use of system</w:t>
      </w:r>
    </w:p>
    <w:p w14:paraId="1A169E70" w14:textId="77777777" w:rsidR="00767FC0" w:rsidRPr="00844A6E" w:rsidRDefault="00767FC0" w:rsidP="00767FC0">
      <w:pPr>
        <w:pStyle w:val="BodyText"/>
        <w:ind w:left="1276" w:hanging="1276"/>
        <w:rPr>
          <w:szCs w:val="22"/>
        </w:rPr>
      </w:pPr>
      <w:r w:rsidRPr="00844A6E">
        <w:rPr>
          <w:szCs w:val="22"/>
        </w:rPr>
        <w:t>ESG</w:t>
      </w:r>
      <w:r w:rsidRPr="00844A6E">
        <w:rPr>
          <w:szCs w:val="22"/>
        </w:rPr>
        <w:tab/>
        <w:t>Environmental, Social and Governance</w:t>
      </w:r>
    </w:p>
    <w:p w14:paraId="70C8EA54" w14:textId="77777777" w:rsidR="00767FC0" w:rsidRPr="00844A6E" w:rsidRDefault="00767FC0" w:rsidP="00767FC0">
      <w:pPr>
        <w:pStyle w:val="BodyText"/>
        <w:ind w:left="1276" w:hanging="1276"/>
        <w:rPr>
          <w:szCs w:val="22"/>
        </w:rPr>
      </w:pPr>
      <w:r w:rsidRPr="00844A6E">
        <w:rPr>
          <w:szCs w:val="22"/>
        </w:rPr>
        <w:t>EV</w:t>
      </w:r>
      <w:r w:rsidRPr="00844A6E">
        <w:rPr>
          <w:szCs w:val="22"/>
        </w:rPr>
        <w:tab/>
        <w:t>electric vehicle</w:t>
      </w:r>
    </w:p>
    <w:p w14:paraId="299D2D2E" w14:textId="77777777" w:rsidR="00767FC0" w:rsidRPr="00844A6E" w:rsidRDefault="00767FC0" w:rsidP="00767FC0">
      <w:pPr>
        <w:pStyle w:val="BodyText"/>
        <w:ind w:left="1276" w:hanging="1276"/>
        <w:rPr>
          <w:szCs w:val="22"/>
        </w:rPr>
      </w:pPr>
      <w:r w:rsidRPr="00844A6E">
        <w:rPr>
          <w:szCs w:val="22"/>
        </w:rPr>
        <w:t>FCAI</w:t>
      </w:r>
      <w:r w:rsidRPr="00844A6E">
        <w:rPr>
          <w:szCs w:val="22"/>
        </w:rPr>
        <w:tab/>
        <w:t>Federal Chamber of Automotive Industries</w:t>
      </w:r>
    </w:p>
    <w:p w14:paraId="0DDB0FFC" w14:textId="77777777" w:rsidR="00767FC0" w:rsidRPr="00844A6E" w:rsidRDefault="00767FC0" w:rsidP="00767FC0">
      <w:pPr>
        <w:pStyle w:val="BodyText"/>
        <w:ind w:left="1276" w:hanging="1276"/>
        <w:rPr>
          <w:szCs w:val="22"/>
        </w:rPr>
      </w:pPr>
      <w:r w:rsidRPr="00844A6E">
        <w:rPr>
          <w:szCs w:val="22"/>
        </w:rPr>
        <w:t>FY</w:t>
      </w:r>
      <w:r w:rsidRPr="00844A6E">
        <w:rPr>
          <w:szCs w:val="22"/>
        </w:rPr>
        <w:tab/>
        <w:t>financial year (July to June)</w:t>
      </w:r>
    </w:p>
    <w:p w14:paraId="2800FAF5" w14:textId="77777777" w:rsidR="00767FC0" w:rsidRPr="00844A6E" w:rsidRDefault="00767FC0" w:rsidP="00767FC0">
      <w:pPr>
        <w:pStyle w:val="BodyText"/>
        <w:ind w:left="1276" w:hanging="1276"/>
        <w:rPr>
          <w:szCs w:val="22"/>
        </w:rPr>
      </w:pPr>
      <w:r w:rsidRPr="00844A6E">
        <w:rPr>
          <w:szCs w:val="22"/>
        </w:rPr>
        <w:t>GBCA</w:t>
      </w:r>
      <w:r w:rsidRPr="00844A6E">
        <w:rPr>
          <w:szCs w:val="22"/>
        </w:rPr>
        <w:tab/>
        <w:t>Green Building Council of Australia</w:t>
      </w:r>
    </w:p>
    <w:p w14:paraId="48A85CA0" w14:textId="77777777" w:rsidR="00767FC0" w:rsidRPr="00844A6E" w:rsidRDefault="00767FC0" w:rsidP="00767FC0">
      <w:pPr>
        <w:pStyle w:val="BodyText"/>
        <w:ind w:left="1276" w:hanging="1276"/>
        <w:rPr>
          <w:szCs w:val="22"/>
        </w:rPr>
      </w:pPr>
      <w:r w:rsidRPr="00844A6E">
        <w:rPr>
          <w:szCs w:val="22"/>
        </w:rPr>
        <w:t>GFA</w:t>
      </w:r>
      <w:r w:rsidRPr="00844A6E">
        <w:rPr>
          <w:szCs w:val="22"/>
        </w:rPr>
        <w:tab/>
        <w:t>Gross Floor Area</w:t>
      </w:r>
    </w:p>
    <w:p w14:paraId="7DF634DF" w14:textId="77777777" w:rsidR="00767FC0" w:rsidRPr="00844A6E" w:rsidRDefault="00767FC0" w:rsidP="00767FC0">
      <w:pPr>
        <w:pStyle w:val="BodyText"/>
        <w:ind w:left="1276" w:hanging="1276"/>
        <w:rPr>
          <w:szCs w:val="22"/>
        </w:rPr>
      </w:pPr>
      <w:r w:rsidRPr="00844A6E">
        <w:rPr>
          <w:szCs w:val="22"/>
        </w:rPr>
        <w:t>GHG</w:t>
      </w:r>
      <w:r w:rsidRPr="00844A6E">
        <w:rPr>
          <w:szCs w:val="22"/>
        </w:rPr>
        <w:tab/>
        <w:t>Greenhouse gas</w:t>
      </w:r>
    </w:p>
    <w:p w14:paraId="69574B8A" w14:textId="77777777" w:rsidR="00767FC0" w:rsidRPr="00844A6E" w:rsidRDefault="00767FC0" w:rsidP="00767FC0">
      <w:pPr>
        <w:pStyle w:val="BodyText"/>
        <w:ind w:left="1276" w:hanging="1276"/>
        <w:rPr>
          <w:szCs w:val="22"/>
        </w:rPr>
      </w:pPr>
      <w:r w:rsidRPr="00844A6E">
        <w:rPr>
          <w:szCs w:val="22"/>
        </w:rPr>
        <w:t>GSP</w:t>
      </w:r>
      <w:r w:rsidRPr="00844A6E">
        <w:rPr>
          <w:szCs w:val="22"/>
        </w:rPr>
        <w:tab/>
        <w:t>Gross state product</w:t>
      </w:r>
    </w:p>
    <w:p w14:paraId="54F9E923" w14:textId="77777777" w:rsidR="00767FC0" w:rsidRPr="00844A6E" w:rsidRDefault="00767FC0" w:rsidP="00767FC0">
      <w:pPr>
        <w:pStyle w:val="BodyText"/>
        <w:ind w:left="1276" w:hanging="1276"/>
        <w:rPr>
          <w:szCs w:val="22"/>
        </w:rPr>
      </w:pPr>
      <w:r w:rsidRPr="00844A6E">
        <w:rPr>
          <w:szCs w:val="22"/>
        </w:rPr>
        <w:t>GST</w:t>
      </w:r>
      <w:r w:rsidRPr="00844A6E">
        <w:rPr>
          <w:szCs w:val="22"/>
        </w:rPr>
        <w:tab/>
        <w:t>Goods and services tax</w:t>
      </w:r>
    </w:p>
    <w:p w14:paraId="1271D529" w14:textId="77777777" w:rsidR="00767FC0" w:rsidRPr="00844A6E" w:rsidRDefault="00767FC0" w:rsidP="00767FC0">
      <w:pPr>
        <w:pStyle w:val="BodyText"/>
        <w:ind w:left="1276" w:hanging="1276"/>
        <w:rPr>
          <w:szCs w:val="22"/>
        </w:rPr>
      </w:pPr>
      <w:r w:rsidRPr="00844A6E">
        <w:rPr>
          <w:szCs w:val="22"/>
        </w:rPr>
        <w:t>GVA</w:t>
      </w:r>
      <w:r w:rsidRPr="00844A6E">
        <w:rPr>
          <w:szCs w:val="22"/>
        </w:rPr>
        <w:tab/>
        <w:t>Gross value added</w:t>
      </w:r>
    </w:p>
    <w:p w14:paraId="340B3985" w14:textId="77777777" w:rsidR="00767FC0" w:rsidRPr="00844A6E" w:rsidRDefault="00767FC0" w:rsidP="00767FC0">
      <w:pPr>
        <w:pStyle w:val="BodyText"/>
        <w:ind w:left="1276" w:hanging="1276"/>
        <w:rPr>
          <w:szCs w:val="22"/>
        </w:rPr>
      </w:pPr>
      <w:r w:rsidRPr="00844A6E">
        <w:rPr>
          <w:szCs w:val="22"/>
        </w:rPr>
        <w:t>HVAC</w:t>
      </w:r>
      <w:r w:rsidRPr="00844A6E">
        <w:rPr>
          <w:szCs w:val="22"/>
        </w:rPr>
        <w:tab/>
        <w:t>Heating, ventilation, and air conditioning</w:t>
      </w:r>
    </w:p>
    <w:p w14:paraId="2DAA82ED" w14:textId="77777777" w:rsidR="00767FC0" w:rsidRPr="00844A6E" w:rsidRDefault="00767FC0" w:rsidP="00767FC0">
      <w:pPr>
        <w:pStyle w:val="BodyText"/>
        <w:ind w:left="1276" w:hanging="1276"/>
        <w:rPr>
          <w:szCs w:val="22"/>
        </w:rPr>
      </w:pPr>
      <w:r w:rsidRPr="00844A6E">
        <w:rPr>
          <w:szCs w:val="22"/>
        </w:rPr>
        <w:t>ICE</w:t>
      </w:r>
      <w:r w:rsidRPr="00844A6E">
        <w:rPr>
          <w:szCs w:val="22"/>
        </w:rPr>
        <w:tab/>
        <w:t>internal combustion engine</w:t>
      </w:r>
    </w:p>
    <w:p w14:paraId="016D8F40" w14:textId="77777777" w:rsidR="00767FC0" w:rsidRPr="00844A6E" w:rsidRDefault="00767FC0" w:rsidP="00767FC0">
      <w:pPr>
        <w:pStyle w:val="BodyText"/>
        <w:ind w:left="1276" w:hanging="1276"/>
        <w:rPr>
          <w:szCs w:val="22"/>
        </w:rPr>
      </w:pPr>
      <w:r w:rsidRPr="00844A6E">
        <w:rPr>
          <w:szCs w:val="22"/>
        </w:rPr>
        <w:t>IEA</w:t>
      </w:r>
      <w:r w:rsidRPr="00844A6E">
        <w:rPr>
          <w:szCs w:val="22"/>
        </w:rPr>
        <w:tab/>
        <w:t>International Energy Agency</w:t>
      </w:r>
    </w:p>
    <w:p w14:paraId="631D32DC" w14:textId="77777777" w:rsidR="00767FC0" w:rsidRPr="00844A6E" w:rsidRDefault="00767FC0" w:rsidP="00767FC0">
      <w:pPr>
        <w:pStyle w:val="BodyText"/>
        <w:ind w:left="1276" w:hanging="1276"/>
        <w:rPr>
          <w:szCs w:val="22"/>
        </w:rPr>
      </w:pPr>
      <w:r w:rsidRPr="00844A6E">
        <w:rPr>
          <w:szCs w:val="22"/>
        </w:rPr>
        <w:t>IEQ</w:t>
      </w:r>
      <w:r w:rsidRPr="00844A6E">
        <w:rPr>
          <w:szCs w:val="22"/>
        </w:rPr>
        <w:tab/>
        <w:t>indoor environmental quality</w:t>
      </w:r>
    </w:p>
    <w:p w14:paraId="72350CFE" w14:textId="77777777" w:rsidR="00767FC0" w:rsidRPr="00844A6E" w:rsidRDefault="00767FC0" w:rsidP="00767FC0">
      <w:pPr>
        <w:pStyle w:val="BodyText"/>
        <w:ind w:left="1276" w:hanging="1276"/>
        <w:rPr>
          <w:szCs w:val="22"/>
        </w:rPr>
      </w:pPr>
      <w:r w:rsidRPr="00844A6E">
        <w:rPr>
          <w:szCs w:val="22"/>
        </w:rPr>
        <w:t>IPEEC</w:t>
      </w:r>
      <w:r w:rsidRPr="00844A6E">
        <w:rPr>
          <w:szCs w:val="22"/>
        </w:rPr>
        <w:tab/>
        <w:t>International Partnership for Energy Efficiency Cooperation</w:t>
      </w:r>
    </w:p>
    <w:p w14:paraId="7840673A" w14:textId="77777777" w:rsidR="00767FC0" w:rsidRPr="00844A6E" w:rsidRDefault="00767FC0" w:rsidP="00767FC0">
      <w:pPr>
        <w:pStyle w:val="BodyText"/>
        <w:ind w:left="1276" w:hanging="1276"/>
        <w:rPr>
          <w:szCs w:val="22"/>
        </w:rPr>
      </w:pPr>
      <w:r w:rsidRPr="00844A6E">
        <w:rPr>
          <w:szCs w:val="22"/>
        </w:rPr>
        <w:t>ISP</w:t>
      </w:r>
      <w:r w:rsidRPr="00844A6E">
        <w:rPr>
          <w:szCs w:val="22"/>
        </w:rPr>
        <w:tab/>
        <w:t>Integrated System Plan</w:t>
      </w:r>
    </w:p>
    <w:p w14:paraId="59C51F1E" w14:textId="77777777" w:rsidR="00767FC0" w:rsidRPr="00844A6E" w:rsidRDefault="00767FC0" w:rsidP="00767FC0">
      <w:pPr>
        <w:pStyle w:val="BodyText"/>
        <w:ind w:left="1276" w:hanging="1276"/>
        <w:rPr>
          <w:szCs w:val="22"/>
        </w:rPr>
      </w:pPr>
      <w:r w:rsidRPr="00844A6E">
        <w:rPr>
          <w:szCs w:val="22"/>
        </w:rPr>
        <w:t>JSA</w:t>
      </w:r>
      <w:r w:rsidRPr="00844A6E">
        <w:rPr>
          <w:szCs w:val="22"/>
        </w:rPr>
        <w:tab/>
        <w:t>jurisdictional scheme amounts</w:t>
      </w:r>
    </w:p>
    <w:p w14:paraId="7A47B642" w14:textId="77777777" w:rsidR="00767FC0" w:rsidRPr="00844A6E" w:rsidRDefault="00767FC0" w:rsidP="00767FC0">
      <w:pPr>
        <w:pStyle w:val="BodyText"/>
        <w:ind w:left="1276" w:hanging="1276"/>
        <w:rPr>
          <w:szCs w:val="22"/>
        </w:rPr>
      </w:pPr>
      <w:r w:rsidRPr="00844A6E">
        <w:rPr>
          <w:szCs w:val="22"/>
        </w:rPr>
        <w:t>kWh</w:t>
      </w:r>
      <w:r w:rsidRPr="00844A6E">
        <w:rPr>
          <w:szCs w:val="22"/>
        </w:rPr>
        <w:tab/>
        <w:t>kilowatt hour</w:t>
      </w:r>
    </w:p>
    <w:p w14:paraId="2C28058D" w14:textId="77777777" w:rsidR="00767FC0" w:rsidRPr="00844A6E" w:rsidRDefault="00767FC0" w:rsidP="00767FC0">
      <w:pPr>
        <w:pStyle w:val="BodyText"/>
        <w:ind w:left="1276" w:hanging="1276"/>
        <w:rPr>
          <w:szCs w:val="22"/>
        </w:rPr>
      </w:pPr>
      <w:r w:rsidRPr="00844A6E">
        <w:rPr>
          <w:szCs w:val="22"/>
        </w:rPr>
        <w:t>kWr</w:t>
      </w:r>
      <w:r w:rsidRPr="00844A6E">
        <w:rPr>
          <w:szCs w:val="22"/>
        </w:rPr>
        <w:tab/>
        <w:t>kilowatts of refrigeration capacity where kW relates to kilowatts of electrical power</w:t>
      </w:r>
    </w:p>
    <w:p w14:paraId="1669CA91" w14:textId="77777777" w:rsidR="00767FC0" w:rsidRPr="00844A6E" w:rsidRDefault="00767FC0" w:rsidP="00767FC0">
      <w:pPr>
        <w:pStyle w:val="BodyText"/>
        <w:ind w:left="1276" w:hanging="1276"/>
        <w:rPr>
          <w:szCs w:val="22"/>
        </w:rPr>
      </w:pPr>
      <w:r w:rsidRPr="00844A6E">
        <w:rPr>
          <w:szCs w:val="22"/>
        </w:rPr>
        <w:t>LED</w:t>
      </w:r>
      <w:r w:rsidRPr="00844A6E">
        <w:rPr>
          <w:szCs w:val="22"/>
        </w:rPr>
        <w:tab/>
        <w:t>Light emitting diode, a semiconductor device that converts electricity into light</w:t>
      </w:r>
    </w:p>
    <w:p w14:paraId="738CD611" w14:textId="77777777" w:rsidR="00767FC0" w:rsidRPr="00844A6E" w:rsidRDefault="00767FC0" w:rsidP="00767FC0">
      <w:pPr>
        <w:pStyle w:val="BodyText"/>
        <w:ind w:left="1276" w:hanging="1276"/>
        <w:rPr>
          <w:szCs w:val="22"/>
        </w:rPr>
      </w:pPr>
      <w:r w:rsidRPr="00844A6E">
        <w:rPr>
          <w:szCs w:val="22"/>
        </w:rPr>
        <w:t>LGC</w:t>
      </w:r>
      <w:r w:rsidRPr="00844A6E">
        <w:rPr>
          <w:szCs w:val="22"/>
        </w:rPr>
        <w:tab/>
        <w:t>Large-scale generation certificates</w:t>
      </w:r>
    </w:p>
    <w:p w14:paraId="7CFD4F9F" w14:textId="77777777" w:rsidR="00767FC0" w:rsidRPr="00844A6E" w:rsidRDefault="00767FC0" w:rsidP="00767FC0">
      <w:pPr>
        <w:pStyle w:val="BodyText"/>
        <w:ind w:left="1276" w:hanging="1276"/>
        <w:rPr>
          <w:szCs w:val="22"/>
        </w:rPr>
      </w:pPr>
      <w:r w:rsidRPr="00844A6E">
        <w:rPr>
          <w:szCs w:val="22"/>
        </w:rPr>
        <w:t>LRET</w:t>
      </w:r>
      <w:r w:rsidRPr="00844A6E">
        <w:rPr>
          <w:szCs w:val="22"/>
        </w:rPr>
        <w:tab/>
        <w:t>Large-scale Renewable Energy Target</w:t>
      </w:r>
    </w:p>
    <w:p w14:paraId="1CE473EF" w14:textId="77777777" w:rsidR="00767FC0" w:rsidRPr="00844A6E" w:rsidRDefault="00767FC0" w:rsidP="00767FC0">
      <w:pPr>
        <w:pStyle w:val="BodyText"/>
        <w:ind w:left="1276" w:hanging="1276"/>
        <w:rPr>
          <w:szCs w:val="22"/>
        </w:rPr>
      </w:pPr>
      <w:r w:rsidRPr="00844A6E">
        <w:rPr>
          <w:szCs w:val="22"/>
        </w:rPr>
        <w:t>LRMC</w:t>
      </w:r>
      <w:r w:rsidRPr="00844A6E">
        <w:rPr>
          <w:szCs w:val="22"/>
        </w:rPr>
        <w:tab/>
        <w:t>Long run marginal cost</w:t>
      </w:r>
    </w:p>
    <w:p w14:paraId="03406454" w14:textId="77777777" w:rsidR="00767FC0" w:rsidRPr="00844A6E" w:rsidRDefault="00767FC0" w:rsidP="00767FC0">
      <w:pPr>
        <w:pStyle w:val="BodyText"/>
        <w:ind w:left="1276" w:hanging="1276"/>
        <w:rPr>
          <w:szCs w:val="22"/>
        </w:rPr>
      </w:pPr>
      <w:r w:rsidRPr="00844A6E">
        <w:rPr>
          <w:szCs w:val="22"/>
        </w:rPr>
        <w:t>MEPS</w:t>
      </w:r>
      <w:r w:rsidRPr="00844A6E">
        <w:rPr>
          <w:szCs w:val="22"/>
        </w:rPr>
        <w:tab/>
        <w:t>Minimum Energy Performance Standards</w:t>
      </w:r>
    </w:p>
    <w:p w14:paraId="5855AF73" w14:textId="77777777" w:rsidR="00767FC0" w:rsidRPr="00844A6E" w:rsidRDefault="00767FC0" w:rsidP="00767FC0">
      <w:pPr>
        <w:pStyle w:val="BodyText"/>
        <w:ind w:left="1276" w:hanging="1276"/>
        <w:rPr>
          <w:szCs w:val="22"/>
        </w:rPr>
      </w:pPr>
      <w:r w:rsidRPr="00844A6E">
        <w:rPr>
          <w:szCs w:val="22"/>
        </w:rPr>
        <w:t>NABERS</w:t>
      </w:r>
      <w:r w:rsidRPr="00844A6E">
        <w:rPr>
          <w:szCs w:val="22"/>
        </w:rPr>
        <w:tab/>
        <w:t>National Australian Built Environment Rating System</w:t>
      </w:r>
    </w:p>
    <w:p w14:paraId="6A38ACD0" w14:textId="77777777" w:rsidR="00767FC0" w:rsidRPr="00844A6E" w:rsidRDefault="00767FC0" w:rsidP="00767FC0">
      <w:pPr>
        <w:pStyle w:val="BodyText"/>
        <w:ind w:left="1276" w:hanging="1276"/>
        <w:rPr>
          <w:szCs w:val="22"/>
        </w:rPr>
      </w:pPr>
      <w:r w:rsidRPr="00844A6E">
        <w:rPr>
          <w:szCs w:val="22"/>
        </w:rPr>
        <w:t>NCC</w:t>
      </w:r>
      <w:r w:rsidRPr="00844A6E">
        <w:rPr>
          <w:szCs w:val="22"/>
        </w:rPr>
        <w:tab/>
        <w:t>National Construction Code. The NCC is comprised of the Building Code of Australia (BCA), Volume One and Two; and the Plumbing Code of Australia (PCA), Volume Three.</w:t>
      </w:r>
    </w:p>
    <w:p w14:paraId="1B4A96D5" w14:textId="77777777" w:rsidR="00767FC0" w:rsidRPr="00844A6E" w:rsidRDefault="00767FC0" w:rsidP="00767FC0">
      <w:pPr>
        <w:pStyle w:val="BodyText"/>
        <w:ind w:left="1276" w:hanging="1276"/>
        <w:rPr>
          <w:szCs w:val="22"/>
        </w:rPr>
      </w:pPr>
      <w:r w:rsidRPr="00844A6E">
        <w:rPr>
          <w:szCs w:val="22"/>
        </w:rPr>
        <w:t>NEM</w:t>
      </w:r>
      <w:r w:rsidRPr="00844A6E">
        <w:rPr>
          <w:szCs w:val="22"/>
        </w:rPr>
        <w:tab/>
        <w:t>National Electricity Market</w:t>
      </w:r>
    </w:p>
    <w:p w14:paraId="1789391B" w14:textId="77777777" w:rsidR="00767FC0" w:rsidRPr="00844A6E" w:rsidRDefault="00767FC0" w:rsidP="00767FC0">
      <w:pPr>
        <w:pStyle w:val="BodyText"/>
        <w:ind w:left="1276" w:hanging="1276"/>
        <w:rPr>
          <w:szCs w:val="22"/>
        </w:rPr>
      </w:pPr>
      <w:r w:rsidRPr="00844A6E">
        <w:rPr>
          <w:szCs w:val="22"/>
        </w:rPr>
        <w:t>NEPS</w:t>
      </w:r>
      <w:r w:rsidRPr="00844A6E">
        <w:rPr>
          <w:szCs w:val="22"/>
        </w:rPr>
        <w:tab/>
        <w:t>National Energy Performance Strategy</w:t>
      </w:r>
    </w:p>
    <w:p w14:paraId="06607E7A" w14:textId="77777777" w:rsidR="00767FC0" w:rsidRPr="00844A6E" w:rsidRDefault="00767FC0" w:rsidP="00767FC0">
      <w:pPr>
        <w:pStyle w:val="BodyText"/>
        <w:ind w:left="1276" w:hanging="1276"/>
        <w:rPr>
          <w:szCs w:val="22"/>
        </w:rPr>
      </w:pPr>
      <w:r w:rsidRPr="00844A6E">
        <w:rPr>
          <w:szCs w:val="22"/>
        </w:rPr>
        <w:t>NLA</w:t>
      </w:r>
      <w:r w:rsidRPr="00844A6E">
        <w:rPr>
          <w:szCs w:val="22"/>
        </w:rPr>
        <w:tab/>
        <w:t>Net lettable area</w:t>
      </w:r>
    </w:p>
    <w:p w14:paraId="3EE0D49A" w14:textId="77777777" w:rsidR="00767FC0" w:rsidRPr="00844A6E" w:rsidRDefault="00767FC0" w:rsidP="00767FC0">
      <w:pPr>
        <w:pStyle w:val="BodyText"/>
        <w:ind w:left="1276" w:hanging="1276"/>
        <w:rPr>
          <w:szCs w:val="22"/>
        </w:rPr>
      </w:pPr>
      <w:r w:rsidRPr="00844A6E">
        <w:rPr>
          <w:szCs w:val="22"/>
        </w:rPr>
        <w:t>NPV</w:t>
      </w:r>
      <w:r w:rsidRPr="00844A6E">
        <w:rPr>
          <w:szCs w:val="22"/>
        </w:rPr>
        <w:tab/>
        <w:t>Net present value</w:t>
      </w:r>
    </w:p>
    <w:p w14:paraId="52490052" w14:textId="77777777" w:rsidR="00767FC0" w:rsidRPr="00844A6E" w:rsidRDefault="00767FC0" w:rsidP="00767FC0">
      <w:pPr>
        <w:pStyle w:val="BodyText"/>
        <w:ind w:left="1276" w:hanging="1276"/>
        <w:rPr>
          <w:szCs w:val="22"/>
        </w:rPr>
      </w:pPr>
      <w:r w:rsidRPr="00844A6E">
        <w:rPr>
          <w:szCs w:val="22"/>
        </w:rPr>
        <w:t>NUOS</w:t>
      </w:r>
      <w:r w:rsidRPr="00844A6E">
        <w:rPr>
          <w:szCs w:val="22"/>
        </w:rPr>
        <w:tab/>
        <w:t>network use of system</w:t>
      </w:r>
    </w:p>
    <w:p w14:paraId="559E249A" w14:textId="77777777" w:rsidR="00767FC0" w:rsidRPr="00844A6E" w:rsidRDefault="00767FC0" w:rsidP="00767FC0">
      <w:pPr>
        <w:pStyle w:val="BodyText"/>
        <w:ind w:left="1276" w:hanging="1276"/>
        <w:rPr>
          <w:szCs w:val="22"/>
        </w:rPr>
      </w:pPr>
      <w:r w:rsidRPr="00844A6E">
        <w:rPr>
          <w:szCs w:val="22"/>
        </w:rPr>
        <w:t>OIA</w:t>
      </w:r>
      <w:r w:rsidRPr="00844A6E">
        <w:rPr>
          <w:szCs w:val="22"/>
        </w:rPr>
        <w:tab/>
        <w:t>Office of Impact Analysis</w:t>
      </w:r>
    </w:p>
    <w:p w14:paraId="2EEF077B" w14:textId="77777777" w:rsidR="00767FC0" w:rsidRPr="00844A6E" w:rsidRDefault="00767FC0" w:rsidP="00767FC0">
      <w:pPr>
        <w:pStyle w:val="BodyText"/>
        <w:ind w:left="1276" w:hanging="1276"/>
        <w:rPr>
          <w:szCs w:val="22"/>
        </w:rPr>
      </w:pPr>
      <w:r w:rsidRPr="00844A6E">
        <w:rPr>
          <w:szCs w:val="22"/>
        </w:rPr>
        <w:t>OCC</w:t>
      </w:r>
      <w:r w:rsidRPr="00844A6E">
        <w:rPr>
          <w:szCs w:val="22"/>
        </w:rPr>
        <w:tab/>
        <w:t>Opportunity cost of capital</w:t>
      </w:r>
    </w:p>
    <w:p w14:paraId="22FEC3DD" w14:textId="77777777" w:rsidR="00767FC0" w:rsidRPr="00844A6E" w:rsidRDefault="00767FC0" w:rsidP="00767FC0">
      <w:pPr>
        <w:pStyle w:val="BodyText"/>
        <w:ind w:left="1276" w:hanging="1276"/>
        <w:rPr>
          <w:szCs w:val="22"/>
        </w:rPr>
      </w:pPr>
      <w:r w:rsidRPr="00844A6E">
        <w:rPr>
          <w:szCs w:val="22"/>
        </w:rPr>
        <w:t>PACS</w:t>
      </w:r>
      <w:r w:rsidRPr="00844A6E">
        <w:rPr>
          <w:szCs w:val="22"/>
        </w:rPr>
        <w:tab/>
        <w:t>packaged air-conditioning systems</w:t>
      </w:r>
    </w:p>
    <w:p w14:paraId="22ACC862" w14:textId="77777777" w:rsidR="00767FC0" w:rsidRPr="00844A6E" w:rsidRDefault="00767FC0" w:rsidP="00767FC0">
      <w:pPr>
        <w:pStyle w:val="BodyText"/>
        <w:ind w:left="1276" w:hanging="1276"/>
        <w:rPr>
          <w:szCs w:val="22"/>
        </w:rPr>
      </w:pPr>
      <w:r w:rsidRPr="00844A6E">
        <w:rPr>
          <w:szCs w:val="22"/>
        </w:rPr>
        <w:t>PC</w:t>
      </w:r>
      <w:r w:rsidRPr="00844A6E">
        <w:rPr>
          <w:szCs w:val="22"/>
        </w:rPr>
        <w:tab/>
        <w:t>Productivity Commission</w:t>
      </w:r>
    </w:p>
    <w:p w14:paraId="59901BEF" w14:textId="77777777" w:rsidR="00767FC0" w:rsidRPr="00844A6E" w:rsidRDefault="00767FC0" w:rsidP="00767FC0">
      <w:pPr>
        <w:pStyle w:val="BodyText"/>
        <w:ind w:left="1276" w:hanging="1276"/>
        <w:rPr>
          <w:szCs w:val="22"/>
        </w:rPr>
      </w:pPr>
      <w:r w:rsidRPr="00844A6E">
        <w:rPr>
          <w:szCs w:val="22"/>
        </w:rPr>
        <w:t>PCD</w:t>
      </w:r>
      <w:r w:rsidRPr="00844A6E">
        <w:rPr>
          <w:szCs w:val="22"/>
        </w:rPr>
        <w:tab/>
        <w:t>Public Comment Draft (of NCC 2025)</w:t>
      </w:r>
    </w:p>
    <w:p w14:paraId="088C92D8" w14:textId="77777777" w:rsidR="00767FC0" w:rsidRPr="00844A6E" w:rsidRDefault="00767FC0" w:rsidP="00767FC0">
      <w:pPr>
        <w:pStyle w:val="BodyText"/>
        <w:ind w:left="1276" w:hanging="1276"/>
        <w:rPr>
          <w:szCs w:val="22"/>
        </w:rPr>
      </w:pPr>
      <w:r w:rsidRPr="00844A6E">
        <w:rPr>
          <w:szCs w:val="22"/>
        </w:rPr>
        <w:t>PJ</w:t>
      </w:r>
      <w:r w:rsidRPr="00844A6E">
        <w:rPr>
          <w:szCs w:val="22"/>
        </w:rPr>
        <w:tab/>
        <w:t>petajoule</w:t>
      </w:r>
    </w:p>
    <w:p w14:paraId="13EA14FB" w14:textId="77777777" w:rsidR="00767FC0" w:rsidRPr="00844A6E" w:rsidRDefault="00767FC0" w:rsidP="00767FC0">
      <w:pPr>
        <w:pStyle w:val="BodyText"/>
        <w:ind w:left="1276" w:hanging="1276"/>
        <w:rPr>
          <w:szCs w:val="22"/>
        </w:rPr>
      </w:pPr>
      <w:r w:rsidRPr="00844A6E">
        <w:rPr>
          <w:szCs w:val="22"/>
        </w:rPr>
        <w:t>PV</w:t>
      </w:r>
      <w:r w:rsidRPr="00844A6E">
        <w:rPr>
          <w:szCs w:val="22"/>
        </w:rPr>
        <w:tab/>
        <w:t>photovoltaics</w:t>
      </w:r>
    </w:p>
    <w:p w14:paraId="1633909E" w14:textId="77777777" w:rsidR="00767FC0" w:rsidRPr="00844A6E" w:rsidRDefault="00767FC0" w:rsidP="00767FC0">
      <w:pPr>
        <w:pStyle w:val="BodyText"/>
        <w:ind w:left="1276" w:hanging="1276"/>
        <w:rPr>
          <w:szCs w:val="22"/>
        </w:rPr>
      </w:pPr>
      <w:r w:rsidRPr="00844A6E">
        <w:rPr>
          <w:szCs w:val="22"/>
        </w:rPr>
        <w:t>RCP</w:t>
      </w:r>
      <w:r w:rsidRPr="00844A6E">
        <w:rPr>
          <w:szCs w:val="22"/>
        </w:rPr>
        <w:tab/>
        <w:t>Representative Concentration Pathway</w:t>
      </w:r>
    </w:p>
    <w:p w14:paraId="533FB00D" w14:textId="77777777" w:rsidR="00767FC0" w:rsidRPr="00844A6E" w:rsidRDefault="00767FC0" w:rsidP="00767FC0">
      <w:pPr>
        <w:pStyle w:val="BodyText"/>
        <w:ind w:left="1276" w:hanging="1276"/>
        <w:rPr>
          <w:szCs w:val="22"/>
        </w:rPr>
      </w:pPr>
      <w:r w:rsidRPr="00844A6E">
        <w:rPr>
          <w:szCs w:val="22"/>
        </w:rPr>
        <w:t>RET</w:t>
      </w:r>
      <w:r w:rsidRPr="00844A6E">
        <w:rPr>
          <w:szCs w:val="22"/>
        </w:rPr>
        <w:tab/>
        <w:t>Renewable Energy Target</w:t>
      </w:r>
    </w:p>
    <w:p w14:paraId="4D51B478" w14:textId="18581F66" w:rsidR="00767FC0" w:rsidRPr="00844A6E" w:rsidRDefault="00767FC0" w:rsidP="00767FC0">
      <w:pPr>
        <w:pStyle w:val="BodyText"/>
        <w:ind w:left="1276" w:hanging="1276"/>
        <w:rPr>
          <w:szCs w:val="22"/>
        </w:rPr>
      </w:pPr>
      <w:r w:rsidRPr="00844A6E">
        <w:rPr>
          <w:szCs w:val="22"/>
        </w:rPr>
        <w:t>RIS</w:t>
      </w:r>
      <w:r w:rsidRPr="00844A6E">
        <w:rPr>
          <w:szCs w:val="22"/>
        </w:rPr>
        <w:tab/>
        <w:t xml:space="preserve">Regulation </w:t>
      </w:r>
      <w:r w:rsidR="00510635">
        <w:rPr>
          <w:szCs w:val="22"/>
        </w:rPr>
        <w:t>I</w:t>
      </w:r>
      <w:r w:rsidRPr="00844A6E">
        <w:rPr>
          <w:szCs w:val="22"/>
        </w:rPr>
        <w:t xml:space="preserve">mpact </w:t>
      </w:r>
      <w:r w:rsidR="00510635">
        <w:rPr>
          <w:szCs w:val="22"/>
        </w:rPr>
        <w:t>S</w:t>
      </w:r>
      <w:r w:rsidRPr="00844A6E">
        <w:rPr>
          <w:szCs w:val="22"/>
        </w:rPr>
        <w:t>tatement</w:t>
      </w:r>
    </w:p>
    <w:p w14:paraId="52853FF3" w14:textId="77777777" w:rsidR="00767FC0" w:rsidRPr="00844A6E" w:rsidRDefault="00767FC0" w:rsidP="00767FC0">
      <w:pPr>
        <w:pStyle w:val="BodyText"/>
        <w:ind w:left="1276" w:hanging="1276"/>
        <w:rPr>
          <w:szCs w:val="22"/>
        </w:rPr>
      </w:pPr>
      <w:r w:rsidRPr="00844A6E">
        <w:rPr>
          <w:szCs w:val="22"/>
        </w:rPr>
        <w:t>R-Value</w:t>
      </w:r>
      <w:r w:rsidRPr="00844A6E">
        <w:rPr>
          <w:szCs w:val="22"/>
        </w:rPr>
        <w:tab/>
        <w:t>The R-Value is a measure of thermal resistance, or ability of heat to transfer from hot to cold, through materials (such as insulation) and assemblies of materials (such as walls and floors). The higher the R-Value, the more a material prevents heat transfer.</w:t>
      </w:r>
    </w:p>
    <w:p w14:paraId="5CF33DBE" w14:textId="77777777" w:rsidR="00767FC0" w:rsidRPr="00844A6E" w:rsidRDefault="00767FC0" w:rsidP="00767FC0">
      <w:pPr>
        <w:pStyle w:val="BodyText"/>
        <w:ind w:left="1276" w:hanging="1276"/>
        <w:rPr>
          <w:szCs w:val="22"/>
        </w:rPr>
      </w:pPr>
      <w:r w:rsidRPr="00844A6E">
        <w:rPr>
          <w:szCs w:val="22"/>
        </w:rPr>
        <w:t>SA</w:t>
      </w:r>
      <w:r w:rsidRPr="00844A6E">
        <w:rPr>
          <w:szCs w:val="22"/>
        </w:rPr>
        <w:tab/>
        <w:t>Sensitivity analysis</w:t>
      </w:r>
    </w:p>
    <w:p w14:paraId="7A949483" w14:textId="77777777" w:rsidR="00767FC0" w:rsidRPr="00844A6E" w:rsidRDefault="00767FC0" w:rsidP="00767FC0">
      <w:pPr>
        <w:pStyle w:val="BodyText"/>
        <w:ind w:left="1276" w:hanging="1276"/>
        <w:rPr>
          <w:szCs w:val="22"/>
        </w:rPr>
      </w:pPr>
      <w:r w:rsidRPr="00844A6E">
        <w:rPr>
          <w:szCs w:val="22"/>
        </w:rPr>
        <w:t>SCC</w:t>
      </w:r>
      <w:r w:rsidRPr="00844A6E">
        <w:rPr>
          <w:szCs w:val="22"/>
        </w:rPr>
        <w:tab/>
        <w:t>Social cost of carbon</w:t>
      </w:r>
    </w:p>
    <w:p w14:paraId="31125469" w14:textId="77777777" w:rsidR="00767FC0" w:rsidRPr="00844A6E" w:rsidRDefault="00767FC0" w:rsidP="00767FC0">
      <w:pPr>
        <w:pStyle w:val="BodyText"/>
        <w:ind w:left="1276" w:hanging="1276"/>
        <w:rPr>
          <w:szCs w:val="22"/>
        </w:rPr>
      </w:pPr>
      <w:r w:rsidRPr="00844A6E">
        <w:rPr>
          <w:szCs w:val="22"/>
        </w:rPr>
        <w:t>sDA</w:t>
      </w:r>
      <w:r w:rsidRPr="00844A6E">
        <w:rPr>
          <w:szCs w:val="22"/>
        </w:rPr>
        <w:tab/>
        <w:t>Spatial Daylight Autonomy – a yearly metric that describes the percentage of space that receives sufficient daylight.</w:t>
      </w:r>
    </w:p>
    <w:p w14:paraId="273D0C80" w14:textId="77777777" w:rsidR="00767FC0" w:rsidRPr="00844A6E" w:rsidRDefault="00767FC0" w:rsidP="00767FC0">
      <w:pPr>
        <w:pStyle w:val="BodyText"/>
        <w:ind w:left="1276" w:hanging="1276"/>
        <w:rPr>
          <w:szCs w:val="22"/>
        </w:rPr>
      </w:pPr>
      <w:r w:rsidRPr="00844A6E">
        <w:rPr>
          <w:szCs w:val="22"/>
        </w:rPr>
        <w:t>SEPP</w:t>
      </w:r>
      <w:r w:rsidRPr="00844A6E">
        <w:rPr>
          <w:szCs w:val="22"/>
        </w:rPr>
        <w:tab/>
        <w:t>NSW Sustainable Buildings State Environmental Planning Policy</w:t>
      </w:r>
    </w:p>
    <w:p w14:paraId="6C15417F" w14:textId="77777777" w:rsidR="00767FC0" w:rsidRPr="00844A6E" w:rsidRDefault="00767FC0" w:rsidP="00767FC0">
      <w:pPr>
        <w:pStyle w:val="BodyText"/>
        <w:ind w:left="1276" w:hanging="1276"/>
        <w:rPr>
          <w:szCs w:val="22"/>
        </w:rPr>
      </w:pPr>
      <w:r w:rsidRPr="00844A6E">
        <w:rPr>
          <w:szCs w:val="22"/>
        </w:rPr>
        <w:t>SHGC</w:t>
      </w:r>
      <w:r w:rsidRPr="00844A6E">
        <w:rPr>
          <w:szCs w:val="22"/>
        </w:rPr>
        <w:tab/>
        <w:t>Solar Heat Gain Coefficient – how readily heat from direct sunlight (solar radiation) flows through a window system. Value between 0 and 1. The lower a window’s SHGC, the less solar heat it transmits.</w:t>
      </w:r>
    </w:p>
    <w:p w14:paraId="067E8B6B" w14:textId="77777777" w:rsidR="00767FC0" w:rsidRPr="00844A6E" w:rsidRDefault="00767FC0" w:rsidP="00767FC0">
      <w:pPr>
        <w:pStyle w:val="BodyText"/>
        <w:ind w:left="1276" w:hanging="1276"/>
        <w:rPr>
          <w:szCs w:val="22"/>
        </w:rPr>
      </w:pPr>
      <w:r w:rsidRPr="00844A6E">
        <w:rPr>
          <w:szCs w:val="22"/>
        </w:rPr>
        <w:t>SRI</w:t>
      </w:r>
      <w:r w:rsidRPr="00844A6E">
        <w:rPr>
          <w:szCs w:val="22"/>
        </w:rPr>
        <w:tab/>
        <w:t>Solar Reflectance Index</w:t>
      </w:r>
    </w:p>
    <w:p w14:paraId="3FB73919" w14:textId="77777777" w:rsidR="00767FC0" w:rsidRPr="00844A6E" w:rsidRDefault="00767FC0" w:rsidP="00767FC0">
      <w:pPr>
        <w:pStyle w:val="BodyText"/>
        <w:ind w:left="1276" w:hanging="1276"/>
        <w:rPr>
          <w:szCs w:val="22"/>
        </w:rPr>
      </w:pPr>
      <w:r w:rsidRPr="00844A6E">
        <w:rPr>
          <w:szCs w:val="22"/>
        </w:rPr>
        <w:t>SPR</w:t>
      </w:r>
      <w:r w:rsidRPr="00844A6E">
        <w:rPr>
          <w:szCs w:val="22"/>
        </w:rPr>
        <w:tab/>
        <w:t>Strategy.Policy.Research</w:t>
      </w:r>
    </w:p>
    <w:p w14:paraId="73165AE1" w14:textId="77777777" w:rsidR="00767FC0" w:rsidRPr="00844A6E" w:rsidRDefault="00767FC0" w:rsidP="00767FC0">
      <w:pPr>
        <w:pStyle w:val="BodyText"/>
        <w:ind w:left="1276" w:hanging="1276"/>
        <w:rPr>
          <w:szCs w:val="22"/>
        </w:rPr>
      </w:pPr>
      <w:r w:rsidRPr="00844A6E">
        <w:rPr>
          <w:szCs w:val="22"/>
        </w:rPr>
        <w:t>SRET</w:t>
      </w:r>
      <w:r w:rsidRPr="00844A6E">
        <w:rPr>
          <w:szCs w:val="22"/>
        </w:rPr>
        <w:tab/>
        <w:t>Small-scale Renewable Energy Target</w:t>
      </w:r>
    </w:p>
    <w:p w14:paraId="3BA97209" w14:textId="77777777" w:rsidR="00767FC0" w:rsidRPr="00844A6E" w:rsidRDefault="00767FC0" w:rsidP="00767FC0">
      <w:pPr>
        <w:pStyle w:val="BodyText"/>
        <w:ind w:left="1276" w:hanging="1276"/>
        <w:rPr>
          <w:szCs w:val="22"/>
        </w:rPr>
      </w:pPr>
      <w:r w:rsidRPr="00844A6E">
        <w:rPr>
          <w:szCs w:val="22"/>
        </w:rPr>
        <w:t>SRMC</w:t>
      </w:r>
      <w:r w:rsidRPr="00844A6E">
        <w:rPr>
          <w:szCs w:val="22"/>
        </w:rPr>
        <w:tab/>
        <w:t>Short run marginal cost</w:t>
      </w:r>
    </w:p>
    <w:p w14:paraId="6E888654" w14:textId="77777777" w:rsidR="00767FC0" w:rsidRPr="00844A6E" w:rsidRDefault="00767FC0" w:rsidP="00767FC0">
      <w:pPr>
        <w:pStyle w:val="BodyText"/>
        <w:ind w:left="1276" w:hanging="1276"/>
        <w:rPr>
          <w:szCs w:val="22"/>
        </w:rPr>
      </w:pPr>
      <w:r w:rsidRPr="00844A6E">
        <w:rPr>
          <w:szCs w:val="22"/>
        </w:rPr>
        <w:t>STC</w:t>
      </w:r>
      <w:r w:rsidRPr="00844A6E">
        <w:rPr>
          <w:szCs w:val="22"/>
        </w:rPr>
        <w:tab/>
        <w:t>small-scale technology certificate</w:t>
      </w:r>
    </w:p>
    <w:p w14:paraId="0696342A" w14:textId="77777777" w:rsidR="00767FC0" w:rsidRPr="00844A6E" w:rsidRDefault="00767FC0" w:rsidP="00767FC0">
      <w:pPr>
        <w:pStyle w:val="BodyText"/>
        <w:ind w:left="1276" w:hanging="1276"/>
        <w:rPr>
          <w:szCs w:val="22"/>
        </w:rPr>
      </w:pPr>
      <w:r w:rsidRPr="00844A6E">
        <w:rPr>
          <w:szCs w:val="22"/>
        </w:rPr>
        <w:t>TLA</w:t>
      </w:r>
      <w:r w:rsidRPr="00844A6E">
        <w:rPr>
          <w:szCs w:val="22"/>
        </w:rPr>
        <w:tab/>
        <w:t>Tenancy Lighting Assessment</w:t>
      </w:r>
    </w:p>
    <w:p w14:paraId="4B5BD53F" w14:textId="77777777" w:rsidR="00767FC0" w:rsidRPr="00844A6E" w:rsidRDefault="00767FC0" w:rsidP="00767FC0">
      <w:pPr>
        <w:pStyle w:val="BodyText"/>
        <w:ind w:left="1276" w:hanging="1276"/>
        <w:rPr>
          <w:szCs w:val="22"/>
        </w:rPr>
      </w:pPr>
      <w:r w:rsidRPr="00844A6E">
        <w:rPr>
          <w:szCs w:val="22"/>
        </w:rPr>
        <w:t>ToU</w:t>
      </w:r>
      <w:r w:rsidRPr="00844A6E">
        <w:rPr>
          <w:szCs w:val="22"/>
        </w:rPr>
        <w:tab/>
        <w:t>time of use</w:t>
      </w:r>
    </w:p>
    <w:p w14:paraId="1D10AF40" w14:textId="77777777" w:rsidR="00767FC0" w:rsidRPr="00844A6E" w:rsidRDefault="00767FC0" w:rsidP="00767FC0">
      <w:pPr>
        <w:pStyle w:val="BodyText"/>
        <w:ind w:left="1276" w:hanging="1276"/>
        <w:rPr>
          <w:szCs w:val="22"/>
        </w:rPr>
      </w:pPr>
      <w:r w:rsidRPr="00844A6E">
        <w:rPr>
          <w:szCs w:val="22"/>
        </w:rPr>
        <w:t>TRG</w:t>
      </w:r>
      <w:r w:rsidRPr="00844A6E">
        <w:rPr>
          <w:szCs w:val="22"/>
        </w:rPr>
        <w:tab/>
        <w:t>Technical Reference Group</w:t>
      </w:r>
    </w:p>
    <w:p w14:paraId="241FEA2A" w14:textId="77777777" w:rsidR="00767FC0" w:rsidRPr="00844A6E" w:rsidRDefault="00767FC0" w:rsidP="00767FC0">
      <w:pPr>
        <w:pStyle w:val="BodyText"/>
        <w:ind w:left="1276" w:hanging="1276"/>
        <w:rPr>
          <w:szCs w:val="22"/>
        </w:rPr>
      </w:pPr>
      <w:r w:rsidRPr="00844A6E">
        <w:rPr>
          <w:rFonts w:hint="eastAsia"/>
          <w:szCs w:val="22"/>
        </w:rPr>
        <w:t>TUOS</w:t>
      </w:r>
      <w:r w:rsidRPr="00844A6E">
        <w:rPr>
          <w:szCs w:val="22"/>
        </w:rPr>
        <w:tab/>
      </w:r>
      <w:r w:rsidRPr="00844A6E">
        <w:rPr>
          <w:rFonts w:hint="eastAsia"/>
          <w:szCs w:val="22"/>
        </w:rPr>
        <w:t>transmission use of system</w:t>
      </w:r>
    </w:p>
    <w:p w14:paraId="776724C5" w14:textId="77777777" w:rsidR="00767FC0" w:rsidRPr="00844A6E" w:rsidRDefault="00767FC0" w:rsidP="00767FC0">
      <w:pPr>
        <w:pStyle w:val="BodyText"/>
        <w:ind w:left="1276" w:hanging="1276"/>
        <w:rPr>
          <w:szCs w:val="22"/>
        </w:rPr>
      </w:pPr>
      <w:r w:rsidRPr="00844A6E">
        <w:rPr>
          <w:szCs w:val="22"/>
        </w:rPr>
        <w:t>UNFCCC</w:t>
      </w:r>
      <w:r w:rsidRPr="00844A6E">
        <w:rPr>
          <w:szCs w:val="22"/>
        </w:rPr>
        <w:tab/>
        <w:t>United Nations Framework Convention on Climate Change</w:t>
      </w:r>
    </w:p>
    <w:p w14:paraId="4AFA9FC3" w14:textId="77777777" w:rsidR="00767FC0" w:rsidRPr="00844A6E" w:rsidRDefault="00767FC0" w:rsidP="00767FC0">
      <w:pPr>
        <w:pStyle w:val="BodyText"/>
        <w:ind w:left="1276" w:hanging="1276"/>
        <w:rPr>
          <w:szCs w:val="22"/>
        </w:rPr>
      </w:pPr>
      <w:r w:rsidRPr="00844A6E">
        <w:rPr>
          <w:szCs w:val="22"/>
        </w:rPr>
        <w:t>USEPA</w:t>
      </w:r>
      <w:r w:rsidRPr="00844A6E">
        <w:rPr>
          <w:szCs w:val="22"/>
        </w:rPr>
        <w:tab/>
        <w:t>United States Environmental Protection Agency</w:t>
      </w:r>
    </w:p>
    <w:p w14:paraId="0BCFE1F8" w14:textId="77777777" w:rsidR="00767FC0" w:rsidRPr="00844A6E" w:rsidRDefault="00767FC0" w:rsidP="00767FC0">
      <w:pPr>
        <w:pStyle w:val="BodyText"/>
        <w:ind w:left="1276" w:hanging="1276"/>
        <w:rPr>
          <w:szCs w:val="22"/>
        </w:rPr>
      </w:pPr>
      <w:r w:rsidRPr="00844A6E">
        <w:rPr>
          <w:szCs w:val="22"/>
        </w:rPr>
        <w:t>U-Value</w:t>
      </w:r>
      <w:r w:rsidRPr="00844A6E">
        <w:rPr>
          <w:szCs w:val="22"/>
        </w:rPr>
        <w:tab/>
        <w:t>The U-Value is the overall heat transfer coefficient that describes how well a building element conducts heat or the rate of transfer of heat (in watts) through one square metre of a structure divided by the difference in temperature across the structure.</w:t>
      </w:r>
    </w:p>
    <w:p w14:paraId="411CB0AC" w14:textId="77777777" w:rsidR="00767FC0" w:rsidRPr="00844A6E" w:rsidRDefault="00767FC0" w:rsidP="00767FC0">
      <w:pPr>
        <w:pStyle w:val="BodyText"/>
        <w:ind w:left="1276"/>
        <w:rPr>
          <w:szCs w:val="22"/>
        </w:rPr>
      </w:pPr>
      <w:r w:rsidRPr="00844A6E">
        <w:rPr>
          <w:szCs w:val="22"/>
        </w:rPr>
        <w:t>It measures how readily a window system conducts heat. It is a measure of the rate of non-solar heat loss or gain through it. The lower a U-Value, the better. U-Value is the reciprocal of R-Value.</w:t>
      </w:r>
    </w:p>
    <w:p w14:paraId="04B29E90" w14:textId="77777777" w:rsidR="00767FC0" w:rsidRPr="00844A6E" w:rsidRDefault="00767FC0" w:rsidP="00767FC0">
      <w:pPr>
        <w:pStyle w:val="BodyText"/>
        <w:ind w:left="1276" w:hanging="1276"/>
        <w:rPr>
          <w:szCs w:val="22"/>
        </w:rPr>
      </w:pPr>
      <w:r w:rsidRPr="00844A6E">
        <w:rPr>
          <w:szCs w:val="22"/>
        </w:rPr>
        <w:t>VM</w:t>
      </w:r>
      <w:r w:rsidRPr="00844A6E">
        <w:rPr>
          <w:szCs w:val="22"/>
        </w:rPr>
        <w:tab/>
        <w:t>Verification Method</w:t>
      </w:r>
    </w:p>
    <w:p w14:paraId="5379B940" w14:textId="77777777" w:rsidR="00767FC0" w:rsidRPr="00844A6E" w:rsidRDefault="00767FC0" w:rsidP="00767FC0">
      <w:pPr>
        <w:pStyle w:val="BodyText"/>
        <w:ind w:left="1276" w:hanging="1276"/>
        <w:rPr>
          <w:szCs w:val="22"/>
        </w:rPr>
      </w:pPr>
      <w:r w:rsidRPr="00844A6E">
        <w:rPr>
          <w:szCs w:val="22"/>
        </w:rPr>
        <w:t>VRF</w:t>
      </w:r>
      <w:r w:rsidRPr="00844A6E">
        <w:rPr>
          <w:szCs w:val="22"/>
        </w:rPr>
        <w:tab/>
        <w:t>variable refrigerant flow system</w:t>
      </w:r>
    </w:p>
    <w:p w14:paraId="7FC4BC44" w14:textId="77777777" w:rsidR="00767FC0" w:rsidRPr="00844A6E" w:rsidRDefault="00767FC0" w:rsidP="00767FC0">
      <w:pPr>
        <w:pStyle w:val="BodyText"/>
        <w:ind w:left="1276" w:hanging="1276"/>
        <w:rPr>
          <w:szCs w:val="22"/>
        </w:rPr>
      </w:pPr>
      <w:r w:rsidRPr="00844A6E">
        <w:rPr>
          <w:szCs w:val="22"/>
        </w:rPr>
        <w:t>WACC</w:t>
      </w:r>
      <w:r w:rsidRPr="00844A6E">
        <w:rPr>
          <w:szCs w:val="22"/>
        </w:rPr>
        <w:tab/>
        <w:t>Weighted average cost of capital</w:t>
      </w:r>
    </w:p>
    <w:p w14:paraId="39776BBF" w14:textId="77777777" w:rsidR="00767FC0" w:rsidRPr="00844A6E" w:rsidRDefault="00767FC0" w:rsidP="00767FC0">
      <w:pPr>
        <w:pStyle w:val="BodyText"/>
        <w:ind w:left="1276" w:hanging="1276"/>
        <w:rPr>
          <w:szCs w:val="22"/>
        </w:rPr>
      </w:pPr>
      <w:r w:rsidRPr="00844A6E">
        <w:rPr>
          <w:szCs w:val="22"/>
        </w:rPr>
        <w:t>WWR</w:t>
      </w:r>
      <w:r w:rsidRPr="00844A6E">
        <w:rPr>
          <w:szCs w:val="22"/>
        </w:rPr>
        <w:tab/>
        <w:t>Window to wall ratio – calculated based on the window area divided by the total façade area exposed to conditioned air, which includes the plenum space in the same orientation.</w:t>
      </w:r>
    </w:p>
    <w:p w14:paraId="20AB42E9" w14:textId="051F4206" w:rsidR="003822C2" w:rsidRDefault="00767FC0" w:rsidP="00767FC0">
      <w:pPr>
        <w:pStyle w:val="Heading1NotNumbered"/>
      </w:pPr>
      <w:bookmarkStart w:id="4" w:name="_Toc178292511"/>
      <w:r>
        <w:t>Executive summary</w:t>
      </w:r>
      <w:bookmarkEnd w:id="4"/>
    </w:p>
    <w:p w14:paraId="3F2EACA4" w14:textId="77777777" w:rsidR="00767FC0" w:rsidRPr="00844A6E" w:rsidRDefault="00767FC0" w:rsidP="00767FC0">
      <w:pPr>
        <w:pStyle w:val="BodyText"/>
        <w:rPr>
          <w:szCs w:val="22"/>
        </w:rPr>
      </w:pPr>
      <w:r w:rsidRPr="00844A6E">
        <w:rPr>
          <w:szCs w:val="22"/>
        </w:rPr>
        <w:t>Energy efficiency is an important focus of the Australian and state and territory governments’ strategies to improve energy productivity and reduce greenhouse gas (GHG) emissions.</w:t>
      </w:r>
    </w:p>
    <w:p w14:paraId="7CA1F062" w14:textId="77777777" w:rsidR="00767FC0" w:rsidRDefault="00767FC0" w:rsidP="00767FC0">
      <w:pPr>
        <w:pStyle w:val="BodyText"/>
        <w:rPr>
          <w:szCs w:val="22"/>
        </w:rPr>
      </w:pPr>
      <w:r w:rsidRPr="00844A6E">
        <w:rPr>
          <w:szCs w:val="22"/>
        </w:rPr>
        <w:t xml:space="preserve">The Australian Building Codes Board (ABCB) is leading work to scope potential changes for commercial buildings in the 2025 edition of the National Construction Code (NCC). As part of the NCC 2025 development process, the ABCB engaged the Centre for International Economics (CIE) to prepare a </w:t>
      </w:r>
      <w:r>
        <w:rPr>
          <w:szCs w:val="22"/>
        </w:rPr>
        <w:t>Decision</w:t>
      </w:r>
      <w:r w:rsidRPr="00844A6E">
        <w:rPr>
          <w:szCs w:val="22"/>
        </w:rPr>
        <w:t xml:space="preserve"> Regulation Impact Statement (</w:t>
      </w:r>
      <w:r>
        <w:rPr>
          <w:szCs w:val="22"/>
        </w:rPr>
        <w:t>D</w:t>
      </w:r>
      <w:r w:rsidRPr="00844A6E">
        <w:rPr>
          <w:szCs w:val="22"/>
        </w:rPr>
        <w:t>RIS)</w:t>
      </w:r>
      <w:r>
        <w:rPr>
          <w:szCs w:val="22"/>
        </w:rPr>
        <w:t xml:space="preserve">, which will </w:t>
      </w:r>
      <w:r w:rsidRPr="00844A6E">
        <w:rPr>
          <w:szCs w:val="22"/>
        </w:rPr>
        <w:t>support decision making on the NCC 2025 changes</w:t>
      </w:r>
      <w:r>
        <w:rPr>
          <w:szCs w:val="22"/>
        </w:rPr>
        <w:t>.</w:t>
      </w:r>
    </w:p>
    <w:p w14:paraId="6B8FD383" w14:textId="77777777" w:rsidR="00767FC0" w:rsidRPr="00844A6E" w:rsidRDefault="00767FC0" w:rsidP="00767FC0">
      <w:pPr>
        <w:pStyle w:val="BodyText"/>
        <w:rPr>
          <w:szCs w:val="22"/>
        </w:rPr>
      </w:pPr>
      <w:r>
        <w:rPr>
          <w:szCs w:val="22"/>
        </w:rPr>
        <w:t>This followed the preparation of a Consultation Regulatory Impact Statement (CRIS), which was released for public comment in May 2025. The DRIS incorporates feedback received from a range of stakeholders.</w:t>
      </w:r>
    </w:p>
    <w:p w14:paraId="07B248CC" w14:textId="77777777" w:rsidR="00767FC0" w:rsidRPr="00844A6E" w:rsidRDefault="00767FC0" w:rsidP="00767FC0">
      <w:pPr>
        <w:pStyle w:val="BodyText"/>
        <w:rPr>
          <w:szCs w:val="22"/>
        </w:rPr>
      </w:pPr>
      <w:r w:rsidRPr="00844A6E">
        <w:rPr>
          <w:szCs w:val="22"/>
        </w:rPr>
        <w:t>The commercial buildings covered in this CRIS are defined as common areas of Class 2 (apartments), Class 3 buildings (hotels and other commercial accommodation facilities), Class 5 buildings (offices), Class 6 (retail buildings, such as shops, restaurants and cafes), Class 7 buildings (carparks and warehouses), Class 8 buildings (factories) and Class 9 buildings (health care, education, sporting and aged care buildings).</w:t>
      </w:r>
    </w:p>
    <w:p w14:paraId="5D9F657E" w14:textId="77777777" w:rsidR="00767FC0" w:rsidRPr="00184190" w:rsidRDefault="00767FC0" w:rsidP="00767FC0">
      <w:pPr>
        <w:pStyle w:val="Heading2"/>
        <w:spacing w:before="480"/>
      </w:pPr>
      <w:bookmarkStart w:id="5" w:name="_Toc177719441"/>
      <w:bookmarkStart w:id="6" w:name="_Toc178292512"/>
      <w:r>
        <w:t>Statement of the problem</w:t>
      </w:r>
      <w:bookmarkEnd w:id="5"/>
      <w:bookmarkEnd w:id="6"/>
    </w:p>
    <w:p w14:paraId="47057322" w14:textId="77777777" w:rsidR="00767FC0" w:rsidRPr="00844A6E" w:rsidRDefault="00767FC0" w:rsidP="00767FC0">
      <w:pPr>
        <w:pStyle w:val="BodyText"/>
        <w:rPr>
          <w:szCs w:val="22"/>
        </w:rPr>
      </w:pPr>
      <w:r>
        <w:t xml:space="preserve">The rationale for minimum energy efficiency standards is based on the proposition that </w:t>
      </w:r>
      <w:r w:rsidRPr="00844A6E">
        <w:rPr>
          <w:szCs w:val="22"/>
        </w:rPr>
        <w:t>industry would not make socially optimal energy efficiency decisions in commercial buildings without regulation, due to market failures and behavioural anomalies. These include the following:</w:t>
      </w:r>
    </w:p>
    <w:p w14:paraId="371EA975" w14:textId="77777777" w:rsidR="00767FC0" w:rsidRPr="00387EAC" w:rsidRDefault="00767FC0" w:rsidP="00767FC0">
      <w:pPr>
        <w:pStyle w:val="ListBullet"/>
        <w:tabs>
          <w:tab w:val="num" w:pos="709"/>
        </w:tabs>
        <w:rPr>
          <w:lang w:bidi="fa-IR"/>
        </w:rPr>
      </w:pPr>
      <w:r w:rsidRPr="00387EAC">
        <w:rPr>
          <w:lang w:bidi="fa-IR"/>
        </w:rPr>
        <w:t xml:space="preserve">Negative externalities associated with energy consumption — energy consumption can impose costs on the community that are not fully reflected in energy prices. This includes costs associated with GHG emissions. As many energy users may not take into account these ‘negative externalities’ in their decisions, they may under-invest in energy efficiency. </w:t>
      </w:r>
    </w:p>
    <w:p w14:paraId="2E57B9A2" w14:textId="77777777" w:rsidR="00767FC0" w:rsidRPr="00844A6E" w:rsidRDefault="00767FC0" w:rsidP="00767FC0">
      <w:pPr>
        <w:pStyle w:val="ListBullet"/>
        <w:tabs>
          <w:tab w:val="num" w:pos="709"/>
        </w:tabs>
        <w:rPr>
          <w:szCs w:val="22"/>
        </w:rPr>
      </w:pPr>
      <w:r w:rsidRPr="00387EAC">
        <w:rPr>
          <w:lang w:bidi="fa-IR"/>
        </w:rPr>
        <w:t>Other market failures and behavioural anomalies — policy measures to improve energy efficiency can arguably deliver net private benefits through bill savings that outweigh the associated capital costs. This implies there are energy efficiency opportunities that are privately cost effective that industry</w:t>
      </w:r>
      <w:r w:rsidRPr="00844A6E">
        <w:rPr>
          <w:szCs w:val="22"/>
        </w:rPr>
        <w:t xml:space="preserve"> nevertheless fails to adopt. This is often referred as the ‘energy efficiency paradox’.</w:t>
      </w:r>
      <w:r>
        <w:rPr>
          <w:rStyle w:val="FootnoteReference"/>
        </w:rPr>
        <w:footnoteReference w:id="2"/>
      </w:r>
      <w:r w:rsidRPr="00844A6E">
        <w:rPr>
          <w:szCs w:val="22"/>
        </w:rPr>
        <w:t xml:space="preserve"> </w:t>
      </w:r>
    </w:p>
    <w:p w14:paraId="7679444E" w14:textId="77777777" w:rsidR="00767FC0" w:rsidRPr="00844A6E" w:rsidRDefault="00767FC0" w:rsidP="00767FC0">
      <w:pPr>
        <w:pStyle w:val="ListBullet"/>
        <w:numPr>
          <w:ilvl w:val="0"/>
          <w:numId w:val="0"/>
        </w:numPr>
        <w:rPr>
          <w:szCs w:val="22"/>
          <w:lang w:eastAsia="en-US"/>
        </w:rPr>
      </w:pPr>
      <w:r w:rsidRPr="00844A6E">
        <w:rPr>
          <w:szCs w:val="22"/>
        </w:rPr>
        <w:t>A suite of policies has been introduced by government to address these market failures and behavioural anomalies.</w:t>
      </w:r>
      <w:r w:rsidRPr="00844A6E">
        <w:rPr>
          <w:szCs w:val="22"/>
          <w:lang w:eastAsia="en-US"/>
        </w:rPr>
        <w:t xml:space="preserve"> With aligned objectives in improving energy performance, there is a scope for an increase in the energy efficiency requirements in the NCC for commercial buildings on the basis that:</w:t>
      </w:r>
    </w:p>
    <w:p w14:paraId="253E56FA" w14:textId="77777777" w:rsidR="00767FC0" w:rsidRPr="002F6223" w:rsidRDefault="00767FC0" w:rsidP="00767FC0">
      <w:pPr>
        <w:pStyle w:val="ListBullet"/>
        <w:tabs>
          <w:tab w:val="num" w:pos="709"/>
        </w:tabs>
        <w:rPr>
          <w:lang w:bidi="fa-IR"/>
        </w:rPr>
      </w:pPr>
      <w:r w:rsidRPr="002F6223">
        <w:rPr>
          <w:lang w:bidi="fa-IR"/>
        </w:rPr>
        <w:t>The national emission targets have been legislated. The Australian Government is committed to net zero emissions by 2050. Consistent with the net-zero emission agendas, the Australian Government is developing sectoral decarbonisation plans. In particular, the sectors of electricity and energy, the built environment, and transport are of high relevance to the NCC.</w:t>
      </w:r>
    </w:p>
    <w:p w14:paraId="639B8B5C" w14:textId="77777777" w:rsidR="00767FC0" w:rsidRPr="002F6223" w:rsidRDefault="00767FC0" w:rsidP="00767FC0">
      <w:pPr>
        <w:pStyle w:val="ListBullet"/>
        <w:tabs>
          <w:tab w:val="num" w:pos="709"/>
        </w:tabs>
        <w:rPr>
          <w:lang w:bidi="fa-IR"/>
        </w:rPr>
      </w:pPr>
      <w:r w:rsidRPr="002F6223">
        <w:rPr>
          <w:lang w:bidi="fa-IR"/>
        </w:rPr>
        <w:t>High-level strategies set out roadmaps for achieving the net zero target and other related objectives. They include:</w:t>
      </w:r>
    </w:p>
    <w:p w14:paraId="613E40C1" w14:textId="77777777" w:rsidR="00767FC0" w:rsidRPr="00844A6E" w:rsidRDefault="00767FC0" w:rsidP="00767FC0">
      <w:pPr>
        <w:pStyle w:val="ListBullet"/>
        <w:numPr>
          <w:ilvl w:val="1"/>
          <w:numId w:val="34"/>
        </w:numPr>
        <w:rPr>
          <w:szCs w:val="22"/>
        </w:rPr>
      </w:pPr>
      <w:r w:rsidRPr="00844A6E">
        <w:rPr>
          <w:szCs w:val="22"/>
        </w:rPr>
        <w:t xml:space="preserve">National Energy Performance Strategy – provides a long-term framework for demand-side action and encapsulates management of energy demand. </w:t>
      </w:r>
    </w:p>
    <w:p w14:paraId="2C472161" w14:textId="77777777" w:rsidR="00767FC0" w:rsidRPr="00844A6E" w:rsidRDefault="00767FC0" w:rsidP="00767FC0">
      <w:pPr>
        <w:pStyle w:val="ListBullet"/>
        <w:numPr>
          <w:ilvl w:val="1"/>
          <w:numId w:val="34"/>
        </w:numPr>
        <w:rPr>
          <w:szCs w:val="22"/>
          <w:lang w:eastAsia="en-US"/>
        </w:rPr>
      </w:pPr>
      <w:r w:rsidRPr="00844A6E">
        <w:rPr>
          <w:szCs w:val="22"/>
        </w:rPr>
        <w:t xml:space="preserve">Trajectory for Low Energy buildings – specifically proposes incremental changes to the NCC to reduce operational energy use and associated GHG emissions of residential and commercial buildings from 2022. </w:t>
      </w:r>
    </w:p>
    <w:p w14:paraId="3FD843FB" w14:textId="77777777" w:rsidR="00767FC0" w:rsidRPr="00844A6E" w:rsidRDefault="00767FC0" w:rsidP="00767FC0">
      <w:pPr>
        <w:pStyle w:val="ListBullet"/>
        <w:numPr>
          <w:ilvl w:val="1"/>
          <w:numId w:val="34"/>
        </w:numPr>
        <w:rPr>
          <w:szCs w:val="22"/>
          <w:lang w:eastAsia="en-US"/>
        </w:rPr>
      </w:pPr>
      <w:r w:rsidRPr="00844A6E">
        <w:rPr>
          <w:szCs w:val="22"/>
        </w:rPr>
        <w:t xml:space="preserve">National Electric Vehicle Strategy – of most relevance to the NCC is the intention to make it easy to charge an electric vehicle (EV) across Australia. This can be supported by the NCC where </w:t>
      </w:r>
      <w:r w:rsidRPr="00844A6E">
        <w:rPr>
          <w:szCs w:val="22"/>
          <w:lang w:eastAsia="en-US"/>
        </w:rPr>
        <w:t xml:space="preserve">charging capabilities in commercial buildings provide an additional charging option, including for households that do not have access to charging at home. </w:t>
      </w:r>
    </w:p>
    <w:p w14:paraId="66B4C16F" w14:textId="75B1E0FC" w:rsidR="00767FC0" w:rsidRPr="00652D97" w:rsidRDefault="00767FC0" w:rsidP="00767FC0">
      <w:pPr>
        <w:pStyle w:val="ListBullet"/>
        <w:tabs>
          <w:tab w:val="num" w:pos="709"/>
        </w:tabs>
        <w:rPr>
          <w:lang w:bidi="fa-IR"/>
        </w:rPr>
      </w:pPr>
      <w:r w:rsidRPr="00652D97">
        <w:rPr>
          <w:lang w:bidi="fa-IR"/>
        </w:rPr>
        <w:t>Specific policies aim to improve energy efficiency and electrification in commercial buildings as well as EV uptake. They include:</w:t>
      </w:r>
    </w:p>
    <w:p w14:paraId="3F6DA394" w14:textId="77777777" w:rsidR="00767FC0" w:rsidRPr="00844A6E" w:rsidRDefault="00767FC0" w:rsidP="00767FC0">
      <w:pPr>
        <w:pStyle w:val="ListBullet"/>
        <w:numPr>
          <w:ilvl w:val="1"/>
          <w:numId w:val="34"/>
        </w:numPr>
        <w:rPr>
          <w:szCs w:val="22"/>
          <w:lang w:eastAsia="en-US"/>
        </w:rPr>
      </w:pPr>
      <w:r w:rsidRPr="00844A6E">
        <w:rPr>
          <w:szCs w:val="22"/>
          <w:lang w:eastAsia="en-US"/>
        </w:rPr>
        <w:t xml:space="preserve">NABERS – referenced in the NCC as an energy efficiency Verification Method. </w:t>
      </w:r>
    </w:p>
    <w:p w14:paraId="6C293FF3" w14:textId="703DD659" w:rsidR="00767FC0" w:rsidRPr="00535952" w:rsidRDefault="00767FC0" w:rsidP="00767FC0">
      <w:pPr>
        <w:pStyle w:val="ListBullet"/>
        <w:numPr>
          <w:ilvl w:val="1"/>
          <w:numId w:val="34"/>
        </w:numPr>
        <w:rPr>
          <w:szCs w:val="22"/>
          <w:lang w:eastAsia="en-US"/>
        </w:rPr>
      </w:pPr>
      <w:r w:rsidRPr="00844A6E">
        <w:rPr>
          <w:szCs w:val="22"/>
          <w:lang w:eastAsia="en-US"/>
        </w:rPr>
        <w:t xml:space="preserve">ACT and Victoria electrification schemes and bans of gas </w:t>
      </w:r>
      <w:r w:rsidRPr="00535952">
        <w:rPr>
          <w:szCs w:val="22"/>
          <w:lang w:eastAsia="en-US"/>
        </w:rPr>
        <w:t>connection.</w:t>
      </w:r>
    </w:p>
    <w:p w14:paraId="05874FA8" w14:textId="77777777" w:rsidR="00767FC0" w:rsidRDefault="00767FC0" w:rsidP="00767FC0">
      <w:pPr>
        <w:pStyle w:val="ListBullet"/>
        <w:numPr>
          <w:ilvl w:val="1"/>
          <w:numId w:val="34"/>
        </w:numPr>
        <w:rPr>
          <w:szCs w:val="22"/>
        </w:rPr>
      </w:pPr>
      <w:r w:rsidRPr="00844A6E">
        <w:rPr>
          <w:szCs w:val="22"/>
          <w:lang w:eastAsia="en-US"/>
        </w:rPr>
        <w:t>An array of EV uptake incentives and fuel efficiency standards – these will be supported by the NCC’s EV charging provisions.</w:t>
      </w:r>
    </w:p>
    <w:p w14:paraId="3307959B" w14:textId="77777777" w:rsidR="00767FC0" w:rsidRDefault="00767FC0" w:rsidP="00767FC0">
      <w:pPr>
        <w:pStyle w:val="Heading2"/>
      </w:pPr>
      <w:bookmarkStart w:id="7" w:name="_Toc177719442"/>
      <w:bookmarkStart w:id="8" w:name="_Toc178292513"/>
      <w:r>
        <w:t>Energy efficiency requirements</w:t>
      </w:r>
      <w:bookmarkEnd w:id="7"/>
      <w:bookmarkEnd w:id="8"/>
    </w:p>
    <w:p w14:paraId="265FECE2" w14:textId="77777777" w:rsidR="00767FC0" w:rsidRDefault="00767FC0" w:rsidP="00767FC0">
      <w:pPr>
        <w:pStyle w:val="Heading3"/>
      </w:pPr>
      <w:r>
        <w:t>Objectives and options</w:t>
      </w:r>
    </w:p>
    <w:p w14:paraId="490F72D1" w14:textId="77777777" w:rsidR="00767FC0" w:rsidRPr="00844A6E" w:rsidRDefault="00767FC0" w:rsidP="00767FC0">
      <w:pPr>
        <w:pStyle w:val="BodyText"/>
        <w:spacing w:line="270" w:lineRule="atLeast"/>
        <w:rPr>
          <w:szCs w:val="22"/>
        </w:rPr>
      </w:pPr>
      <w:r w:rsidRPr="00844A6E">
        <w:rPr>
          <w:szCs w:val="22"/>
        </w:rPr>
        <w:t xml:space="preserve">The more recent energy efficiency changes to the NCC were initiated by the National Energy Productivity Plan in 2015, which was then followed by the </w:t>
      </w:r>
      <w:r w:rsidRPr="00844A6E">
        <w:rPr>
          <w:i/>
          <w:iCs/>
          <w:szCs w:val="22"/>
        </w:rPr>
        <w:t>Trajectory for Low Energy</w:t>
      </w:r>
      <w:r w:rsidRPr="00844A6E">
        <w:rPr>
          <w:szCs w:val="22"/>
        </w:rPr>
        <w:t xml:space="preserve"> </w:t>
      </w:r>
      <w:r w:rsidRPr="00844A6E">
        <w:rPr>
          <w:i/>
          <w:iCs/>
          <w:szCs w:val="22"/>
        </w:rPr>
        <w:t>Buildings</w:t>
      </w:r>
      <w:r w:rsidRPr="00844A6E">
        <w:rPr>
          <w:szCs w:val="22"/>
        </w:rPr>
        <w:t xml:space="preserve"> (the Trajectory)</w:t>
      </w:r>
      <w:r w:rsidRPr="00844A6E">
        <w:rPr>
          <w:i/>
          <w:iCs/>
          <w:szCs w:val="22"/>
        </w:rPr>
        <w:t xml:space="preserve"> </w:t>
      </w:r>
      <w:r w:rsidRPr="00844A6E">
        <w:rPr>
          <w:szCs w:val="22"/>
        </w:rPr>
        <w:t xml:space="preserve">in 2019. The Trajectory aims to set a trajectory towards zero energy (and carbon) ready buildings. With GHG emission reduction targets legislated in 2022, Energy Ministers agreed to support the changes (shown as Stringency Level 3 below) that achieve a low energy, net zero carbon building sector by 2050. </w:t>
      </w:r>
    </w:p>
    <w:p w14:paraId="70B49829" w14:textId="77777777" w:rsidR="00767FC0" w:rsidRPr="00844A6E" w:rsidRDefault="00767FC0" w:rsidP="00767FC0">
      <w:pPr>
        <w:pStyle w:val="BodyText"/>
        <w:spacing w:line="270" w:lineRule="atLeast"/>
        <w:rPr>
          <w:szCs w:val="22"/>
        </w:rPr>
      </w:pPr>
      <w:r w:rsidRPr="00844A6E">
        <w:rPr>
          <w:szCs w:val="22"/>
        </w:rPr>
        <w:t>The objective of the NCC 2025 energy efficiency project is to support the Trajectory. Specifically, the changes are to:</w:t>
      </w:r>
      <w:r w:rsidRPr="00844A6E">
        <w:rPr>
          <w:rStyle w:val="FootnoteReference"/>
          <w:sz w:val="22"/>
          <w:szCs w:val="22"/>
        </w:rPr>
        <w:footnoteReference w:id="3"/>
      </w:r>
    </w:p>
    <w:p w14:paraId="5B3E4DBC" w14:textId="77777777" w:rsidR="00767FC0" w:rsidRPr="00BF074F" w:rsidRDefault="00767FC0" w:rsidP="00767FC0">
      <w:pPr>
        <w:pStyle w:val="ListBullet"/>
        <w:tabs>
          <w:tab w:val="num" w:pos="709"/>
        </w:tabs>
        <w:rPr>
          <w:lang w:bidi="fa-IR"/>
        </w:rPr>
      </w:pPr>
      <w:r w:rsidRPr="00BF074F">
        <w:rPr>
          <w:lang w:bidi="fa-IR"/>
        </w:rPr>
        <w:t>reduce GHG emissions,</w:t>
      </w:r>
    </w:p>
    <w:p w14:paraId="0039146B" w14:textId="77777777" w:rsidR="00767FC0" w:rsidRPr="00BF074F" w:rsidRDefault="00767FC0" w:rsidP="00767FC0">
      <w:pPr>
        <w:pStyle w:val="ListBullet"/>
        <w:tabs>
          <w:tab w:val="num" w:pos="709"/>
        </w:tabs>
        <w:rPr>
          <w:lang w:bidi="fa-IR"/>
        </w:rPr>
      </w:pPr>
      <w:r w:rsidRPr="00BF074F">
        <w:rPr>
          <w:lang w:bidi="fa-IR"/>
        </w:rPr>
        <w:t xml:space="preserve">reduce commercial building running costs, </w:t>
      </w:r>
    </w:p>
    <w:p w14:paraId="28D10EA9" w14:textId="77777777" w:rsidR="00767FC0" w:rsidRPr="00BF074F" w:rsidRDefault="00767FC0" w:rsidP="00767FC0">
      <w:pPr>
        <w:pStyle w:val="ListBullet"/>
        <w:tabs>
          <w:tab w:val="num" w:pos="709"/>
        </w:tabs>
        <w:rPr>
          <w:lang w:bidi="fa-IR"/>
        </w:rPr>
      </w:pPr>
      <w:r w:rsidRPr="00BF074F">
        <w:rPr>
          <w:lang w:bidi="fa-IR"/>
        </w:rPr>
        <w:t>make commercial buildings more resilient to heatwaves, and</w:t>
      </w:r>
    </w:p>
    <w:p w14:paraId="772C2F4D" w14:textId="77777777" w:rsidR="00767FC0" w:rsidRPr="00BF074F" w:rsidRDefault="00767FC0" w:rsidP="00767FC0">
      <w:pPr>
        <w:pStyle w:val="ListBullet"/>
        <w:tabs>
          <w:tab w:val="num" w:pos="709"/>
        </w:tabs>
        <w:rPr>
          <w:lang w:bidi="fa-IR"/>
        </w:rPr>
      </w:pPr>
      <w:r w:rsidRPr="00BF074F">
        <w:rPr>
          <w:lang w:bidi="fa-IR"/>
        </w:rPr>
        <w:t>assist with the decarbonisation of the electricity grid.</w:t>
      </w:r>
    </w:p>
    <w:p w14:paraId="751F9741" w14:textId="3ACB24E5" w:rsidR="00767FC0" w:rsidRPr="00844A6E" w:rsidRDefault="00767FC0" w:rsidP="001361B3">
      <w:pPr>
        <w:pStyle w:val="BodyText"/>
      </w:pPr>
      <w:r w:rsidRPr="00844A6E">
        <w:rPr>
          <w:szCs w:val="22"/>
        </w:rPr>
        <w:t xml:space="preserve">To achieve these objectives, </w:t>
      </w:r>
      <w:r w:rsidR="001361B3">
        <w:rPr>
          <w:szCs w:val="22"/>
        </w:rPr>
        <w:t>t</w:t>
      </w:r>
      <w:r w:rsidR="00CF7933">
        <w:t>hree options have been developed</w:t>
      </w:r>
      <w:r w:rsidRPr="00844A6E">
        <w:t xml:space="preserve"> in relation to </w:t>
      </w:r>
      <w:r w:rsidR="00E272E3">
        <w:t xml:space="preserve">the minimum energy efficiency standards </w:t>
      </w:r>
      <w:r w:rsidR="00E85E0B">
        <w:t>and on-site solar</w:t>
      </w:r>
      <w:r w:rsidR="00D54F5D">
        <w:t xml:space="preserve"> </w:t>
      </w:r>
      <w:r w:rsidR="00E272E3">
        <w:t>for commercial building</w:t>
      </w:r>
      <w:r w:rsidR="00D54F5D">
        <w:t>s</w:t>
      </w:r>
      <w:r w:rsidRPr="00844A6E">
        <w:t>:</w:t>
      </w:r>
    </w:p>
    <w:p w14:paraId="57FA833C" w14:textId="792EA63E" w:rsidR="00767FC0" w:rsidRPr="00844A6E" w:rsidRDefault="00767FC0" w:rsidP="001361B3">
      <w:pPr>
        <w:pStyle w:val="ListBullet"/>
      </w:pPr>
      <w:r w:rsidRPr="00FD2748">
        <w:rPr>
          <w:i/>
          <w:iCs/>
        </w:rPr>
        <w:t>Stringency Level 1: Cost-effective energy efficiency</w:t>
      </w:r>
      <w:r w:rsidR="00BE2934">
        <w:t xml:space="preserve"> </w:t>
      </w:r>
      <w:r w:rsidR="00F00B0D">
        <w:t xml:space="preserve">— </w:t>
      </w:r>
      <w:r w:rsidR="00BE2934">
        <w:t xml:space="preserve">this includes tightening the minimum energy efficiency standards for commercial buildings (including </w:t>
      </w:r>
      <w:r w:rsidR="00FD2748">
        <w:t xml:space="preserve">building envelope and equipment), but does not include mandating </w:t>
      </w:r>
      <w:r w:rsidR="004D31A9">
        <w:t>on-site photovoltaic (PV) energy</w:t>
      </w:r>
      <w:r w:rsidR="00A16CA7">
        <w:t xml:space="preserve"> generation.</w:t>
      </w:r>
    </w:p>
    <w:p w14:paraId="4E24AF2D" w14:textId="508B25A2" w:rsidR="00767FC0" w:rsidRPr="00844A6E" w:rsidRDefault="00767FC0" w:rsidP="001361B3">
      <w:pPr>
        <w:pStyle w:val="ListBullet"/>
      </w:pPr>
      <w:r w:rsidRPr="00C569DF">
        <w:rPr>
          <w:i/>
          <w:iCs/>
        </w:rPr>
        <w:t>Stringency Level 2: Cost-effective energy efficiency with mandated on-site PV</w:t>
      </w:r>
      <w:r w:rsidR="00A16CA7">
        <w:t xml:space="preserve"> — this includes the tightening </w:t>
      </w:r>
      <w:r w:rsidR="00534894">
        <w:t>the minimum energy efficiency standards for commercial buildings (</w:t>
      </w:r>
      <w:r w:rsidR="00C569DF">
        <w:t>as for Stringency Level 1), with mandatory</w:t>
      </w:r>
      <w:r w:rsidRPr="00844A6E">
        <w:t xml:space="preserve"> on-site PV requirements. </w:t>
      </w:r>
    </w:p>
    <w:p w14:paraId="5B3B5CAD" w14:textId="45B4BE73" w:rsidR="00767FC0" w:rsidRDefault="00767FC0" w:rsidP="001361B3">
      <w:pPr>
        <w:pStyle w:val="ListBullet"/>
      </w:pPr>
      <w:r w:rsidRPr="00AE7998">
        <w:rPr>
          <w:i/>
          <w:iCs/>
        </w:rPr>
        <w:t>Stringency Level 3: Least cost zero carbon ready buildings</w:t>
      </w:r>
      <w:r w:rsidRPr="00844A6E">
        <w:t xml:space="preserve"> </w:t>
      </w:r>
      <w:r w:rsidR="00C569DF">
        <w:t xml:space="preserve">— this </w:t>
      </w:r>
      <w:r w:rsidRPr="00844A6E">
        <w:t>covers least cost zero carbon provisions that achieve net zero GHG emission ready buildings (for when the grid decarbonises) with respect to regulated energy (i.e. the energy use of equipment regulated through the NCC). This option extends Stringency Level 2 to provide full electrification readiness and to require additional PV to offset emissions from gas appliances compared with an all-electric equivalent. This means that under Stringency Level 3, a building’s operational carbon emissions will be no higher than an equivalent all-electric building.</w:t>
      </w:r>
    </w:p>
    <w:p w14:paraId="6B2B49EB" w14:textId="77777777" w:rsidR="00767FC0" w:rsidRDefault="00767FC0" w:rsidP="00767FC0">
      <w:pPr>
        <w:pStyle w:val="BodyText"/>
        <w:rPr>
          <w:szCs w:val="22"/>
        </w:rPr>
      </w:pPr>
      <w:r w:rsidRPr="00844A6E">
        <w:rPr>
          <w:szCs w:val="22"/>
        </w:rPr>
        <w:t>The proposed provisions will also be fuel and technology neutral under all options. This means the proposed NCC changes, at each stringency level, will allow the use of suitable electric- and gas-powered equipment, provided the required overall level of efficiency and emissions is achieved.</w:t>
      </w:r>
    </w:p>
    <w:p w14:paraId="0401E30B" w14:textId="68C7DB69" w:rsidR="00777C04" w:rsidRDefault="00D96BCF" w:rsidP="00767FC0">
      <w:pPr>
        <w:pStyle w:val="BodyText"/>
        <w:rPr>
          <w:szCs w:val="22"/>
        </w:rPr>
      </w:pPr>
      <w:r>
        <w:rPr>
          <w:szCs w:val="22"/>
        </w:rPr>
        <w:t>In the CRIS, m</w:t>
      </w:r>
      <w:r w:rsidR="00777C04">
        <w:rPr>
          <w:szCs w:val="22"/>
        </w:rPr>
        <w:t xml:space="preserve">andatory EV charging requirements </w:t>
      </w:r>
      <w:r>
        <w:rPr>
          <w:szCs w:val="22"/>
        </w:rPr>
        <w:t>were bundled</w:t>
      </w:r>
      <w:r w:rsidR="00992837">
        <w:rPr>
          <w:szCs w:val="22"/>
        </w:rPr>
        <w:t xml:space="preserve"> </w:t>
      </w:r>
      <w:r>
        <w:rPr>
          <w:szCs w:val="22"/>
        </w:rPr>
        <w:t xml:space="preserve">in with the above options. </w:t>
      </w:r>
      <w:r w:rsidR="00F5656A">
        <w:rPr>
          <w:szCs w:val="22"/>
        </w:rPr>
        <w:t xml:space="preserve">This is now </w:t>
      </w:r>
      <w:r w:rsidR="00992837">
        <w:rPr>
          <w:szCs w:val="22"/>
        </w:rPr>
        <w:t>considered as a separate option (see below).</w:t>
      </w:r>
    </w:p>
    <w:p w14:paraId="608B3E39" w14:textId="6D9E519E" w:rsidR="00325140" w:rsidRDefault="00325140" w:rsidP="00325140">
      <w:pPr>
        <w:pStyle w:val="Heading3"/>
      </w:pPr>
      <w:r>
        <w:t>Approach to the cost-benefit analysis</w:t>
      </w:r>
    </w:p>
    <w:p w14:paraId="1C92511C" w14:textId="77777777" w:rsidR="00274AB3" w:rsidRDefault="00274AB3" w:rsidP="00274AB3">
      <w:pPr>
        <w:pStyle w:val="BodyText"/>
        <w:rPr>
          <w:szCs w:val="22"/>
        </w:rPr>
      </w:pPr>
      <w:r>
        <w:rPr>
          <w:szCs w:val="22"/>
        </w:rPr>
        <w:t>The CBA approach for the DRIS is generally consistent with the approach used in the CRIS as follows.</w:t>
      </w:r>
    </w:p>
    <w:p w14:paraId="343E6515" w14:textId="77777777" w:rsidR="00274AB3" w:rsidRPr="00844A6E" w:rsidRDefault="00274AB3" w:rsidP="00274AB3">
      <w:pPr>
        <w:pStyle w:val="BodyText"/>
        <w:rPr>
          <w:szCs w:val="22"/>
        </w:rPr>
      </w:pPr>
      <w:r>
        <w:rPr>
          <w:szCs w:val="22"/>
        </w:rPr>
        <w:t>T</w:t>
      </w:r>
      <w:r w:rsidRPr="00844A6E">
        <w:rPr>
          <w:szCs w:val="22"/>
        </w:rPr>
        <w:t xml:space="preserve">he </w:t>
      </w:r>
      <w:r>
        <w:rPr>
          <w:szCs w:val="22"/>
        </w:rPr>
        <w:t>D</w:t>
      </w:r>
      <w:r w:rsidRPr="00844A6E">
        <w:rPr>
          <w:szCs w:val="22"/>
        </w:rPr>
        <w:t xml:space="preserve">RIS model covers the 10-year period between 2025 to 2034 (a standard approach to assess regulatory impacts). However, it is worth noting that there might be a transitional period considered when implementing the NCC. Also, given the time required for building approval and construction, it is unlikely any NCC 2025-compliant buildings will be operational from 2025. </w:t>
      </w:r>
    </w:p>
    <w:p w14:paraId="58B89C29" w14:textId="77777777" w:rsidR="00274AB3" w:rsidRPr="00844A6E" w:rsidRDefault="00274AB3" w:rsidP="00274AB3">
      <w:pPr>
        <w:pStyle w:val="BodyText"/>
      </w:pPr>
      <w:r w:rsidRPr="00844A6E">
        <w:t xml:space="preserve">The </w:t>
      </w:r>
      <w:r>
        <w:t>D</w:t>
      </w:r>
      <w:r w:rsidRPr="00844A6E">
        <w:t xml:space="preserve">RIS </w:t>
      </w:r>
      <w:r>
        <w:t xml:space="preserve">also </w:t>
      </w:r>
      <w:r w:rsidRPr="00844A6E">
        <w:t>uses AEMO’s Step Change scenario for energy price forecasts, aligning with the recommendations in the paper “</w:t>
      </w:r>
      <w:r w:rsidRPr="00844A6E">
        <w:rPr>
          <w:i/>
          <w:iCs/>
          <w:lang w:val="en-US"/>
        </w:rPr>
        <w:t>Economic parameters for technical work (NCC)”</w:t>
      </w:r>
      <w:r w:rsidRPr="00602138">
        <w:rPr>
          <w:rStyle w:val="FootnoteReference"/>
          <w:sz w:val="22"/>
          <w:szCs w:val="22"/>
          <w:lang w:val="en-US"/>
        </w:rPr>
        <w:footnoteReference w:id="4"/>
      </w:r>
      <w:r w:rsidRPr="00844A6E">
        <w:t>. It is important to note, however, that future energy prices are anticipated to exhibit volatility, with a potential upward trajectory in near term. This implies that the estimated energy cost savings may be conservative due to the dynamic nature of future pricing trends.</w:t>
      </w:r>
    </w:p>
    <w:p w14:paraId="3D4BC050" w14:textId="77777777" w:rsidR="00274AB3" w:rsidRDefault="00274AB3" w:rsidP="00274AB3">
      <w:pPr>
        <w:pStyle w:val="BodyText"/>
      </w:pPr>
      <w:r w:rsidRPr="00844A6E">
        <w:t>Similarly, the assumed GHG emissions factors for future electricity consumption might deviate from the pace of grid decarbonisation. This potential discrepancy yields mixed effects.</w:t>
      </w:r>
      <w:r w:rsidRPr="00844A6E">
        <w:rPr>
          <w:lang w:eastAsia="en-US"/>
        </w:rPr>
        <w:t xml:space="preserve"> </w:t>
      </w:r>
      <w:r w:rsidRPr="00844A6E">
        <w:t>If decarbonisation of electricity supply from the grid were to happen more slowly than assumed, the reduction in GHG emissions attributed to the proposed changes to the NCC would be greater than estimated. Alternatively, if the electricity grid were to decarbonise faster than assumed, there would be a smaller reduction in GHG emissions attributed to the regulatory change. On the other hand, the accelerated decarbonisation may enhance the appeal of electrification as a more favourable option.</w:t>
      </w:r>
    </w:p>
    <w:p w14:paraId="2440AF15" w14:textId="77777777" w:rsidR="00767FC0" w:rsidRDefault="00767FC0" w:rsidP="00767FC0">
      <w:pPr>
        <w:pStyle w:val="Heading3"/>
        <w:numPr>
          <w:ilvl w:val="2"/>
          <w:numId w:val="0"/>
        </w:numPr>
      </w:pPr>
      <w:r>
        <w:t>Key findings</w:t>
      </w:r>
    </w:p>
    <w:p w14:paraId="60896CDA" w14:textId="5ADAA9BB" w:rsidR="00767FC0" w:rsidRPr="00844A6E" w:rsidRDefault="00767FC0" w:rsidP="00767FC0">
      <w:pPr>
        <w:pStyle w:val="BodyText"/>
        <w:rPr>
          <w:szCs w:val="22"/>
        </w:rPr>
      </w:pPr>
      <w:r>
        <w:t>A</w:t>
      </w:r>
      <w:r w:rsidRPr="00844A6E">
        <w:rPr>
          <w:szCs w:val="22"/>
        </w:rPr>
        <w:t xml:space="preserve">ll three </w:t>
      </w:r>
      <w:r w:rsidR="0059368B">
        <w:rPr>
          <w:szCs w:val="22"/>
        </w:rPr>
        <w:t xml:space="preserve">building energy </w:t>
      </w:r>
      <w:r w:rsidRPr="00844A6E">
        <w:rPr>
          <w:szCs w:val="22"/>
        </w:rPr>
        <w:t>options under consideration are estimated to deliver significant net benefits (relative to current NCC 2022 requirements).</w:t>
      </w:r>
    </w:p>
    <w:p w14:paraId="1321D831" w14:textId="35E8B7E7" w:rsidR="00767FC0" w:rsidRDefault="00767FC0" w:rsidP="00767FC0">
      <w:pPr>
        <w:pStyle w:val="BodyText"/>
        <w:rPr>
          <w:szCs w:val="22"/>
        </w:rPr>
      </w:pPr>
      <w:r w:rsidRPr="00844A6E">
        <w:rPr>
          <w:szCs w:val="22"/>
        </w:rPr>
        <w:t>Table </w:t>
      </w:r>
      <w:r>
        <w:rPr>
          <w:szCs w:val="22"/>
        </w:rPr>
        <w:fldChar w:fldCharType="begin"/>
      </w:r>
      <w:r>
        <w:rPr>
          <w:szCs w:val="22"/>
        </w:rPr>
        <w:instrText xml:space="preserve"> REF _Caption7992 </w:instrText>
      </w:r>
      <w:r>
        <w:rPr>
          <w:szCs w:val="22"/>
        </w:rPr>
        <w:fldChar w:fldCharType="separate"/>
      </w:r>
      <w:r w:rsidR="006E00A7">
        <w:rPr>
          <w:noProof/>
        </w:rPr>
        <w:t>1</w:t>
      </w:r>
      <w:r>
        <w:rPr>
          <w:szCs w:val="22"/>
        </w:rPr>
        <w:fldChar w:fldCharType="end"/>
      </w:r>
      <w:r w:rsidRPr="00844A6E">
        <w:rPr>
          <w:szCs w:val="22"/>
        </w:rPr>
        <w:t xml:space="preserve"> summarises the cost-benefit analysis (CBA) results for each of the three options (compared to current practice under the current NCC 2022 provisions). All costs and benefits are expressed in net present value terms (using a discount rate of 5 per cent) over the life (assumed to be 50 years) of all commercial buildings to be constructed over the 10</w:t>
      </w:r>
      <w:r w:rsidRPr="00844A6E">
        <w:rPr>
          <w:szCs w:val="22"/>
        </w:rPr>
        <w:noBreakHyphen/>
        <w:t>year period from 2025 to 2034 (please refer to chapter 4 for detailed CBA parameters). Benefit-cost ratios are not reported in the table because there are capital cost savings under Stringency Level 1.</w:t>
      </w:r>
    </w:p>
    <w:p w14:paraId="34FFD8B0" w14:textId="77777777" w:rsidR="00DF1E98" w:rsidRPr="00844A6E" w:rsidRDefault="00DF1E98" w:rsidP="00DF1E98">
      <w:pPr>
        <w:pStyle w:val="BodyText"/>
        <w:rPr>
          <w:szCs w:val="22"/>
        </w:rPr>
      </w:pPr>
      <w:r w:rsidRPr="00844A6E">
        <w:rPr>
          <w:szCs w:val="22"/>
        </w:rPr>
        <w:t>Key findings are as follows:</w:t>
      </w:r>
    </w:p>
    <w:p w14:paraId="5628AF3A" w14:textId="5FA80A3B" w:rsidR="00DF1E98" w:rsidRPr="00027AA7" w:rsidRDefault="00B53B82" w:rsidP="00DF1E98">
      <w:pPr>
        <w:pStyle w:val="ListBullet"/>
        <w:tabs>
          <w:tab w:val="num" w:pos="709"/>
        </w:tabs>
        <w:rPr>
          <w:lang w:bidi="fa-IR"/>
        </w:rPr>
      </w:pPr>
      <w:r>
        <w:rPr>
          <w:lang w:bidi="fa-IR"/>
        </w:rPr>
        <w:t xml:space="preserve">Stringency Level </w:t>
      </w:r>
      <w:r w:rsidR="00DF1E98" w:rsidRPr="00027AA7">
        <w:rPr>
          <w:lang w:bidi="fa-IR"/>
        </w:rPr>
        <w:t xml:space="preserve">1 is estimated to deliver net benefits of around </w:t>
      </w:r>
      <w:r w:rsidR="00DF1E98" w:rsidRPr="00027AA7">
        <w:rPr>
          <w:b/>
          <w:lang w:bidi="fa-IR"/>
        </w:rPr>
        <w:t>$</w:t>
      </w:r>
      <w:r w:rsidR="00F465E9">
        <w:rPr>
          <w:b/>
          <w:lang w:bidi="fa-IR"/>
        </w:rPr>
        <w:t>6.8</w:t>
      </w:r>
      <w:r w:rsidR="00DF1E98" w:rsidRPr="00027AA7">
        <w:rPr>
          <w:b/>
          <w:lang w:bidi="fa-IR"/>
        </w:rPr>
        <w:t> billion</w:t>
      </w:r>
      <w:r w:rsidR="00DF1E98" w:rsidRPr="00027AA7">
        <w:rPr>
          <w:lang w:bidi="fa-IR"/>
        </w:rPr>
        <w:t xml:space="preserve"> in net present value terms:</w:t>
      </w:r>
    </w:p>
    <w:p w14:paraId="3ABE85AB" w14:textId="4C9D65EE" w:rsidR="00DF1E98" w:rsidRPr="00027AA7" w:rsidRDefault="00E15F34" w:rsidP="00DF1E98">
      <w:pPr>
        <w:pStyle w:val="ListBullet"/>
        <w:tabs>
          <w:tab w:val="num" w:pos="709"/>
        </w:tabs>
        <w:rPr>
          <w:lang w:bidi="fa-IR"/>
        </w:rPr>
      </w:pPr>
      <w:r>
        <w:rPr>
          <w:lang w:bidi="fa-IR"/>
        </w:rPr>
        <w:t>Stringency Level</w:t>
      </w:r>
      <w:r w:rsidR="00DF1E98" w:rsidRPr="00027AA7">
        <w:rPr>
          <w:lang w:bidi="fa-IR"/>
        </w:rPr>
        <w:t xml:space="preserve"> 2 is estimated to deliver the highest net benefits of all the options — around </w:t>
      </w:r>
      <w:r w:rsidR="00DF1E98" w:rsidRPr="00290133">
        <w:rPr>
          <w:b/>
          <w:lang w:bidi="fa-IR"/>
        </w:rPr>
        <w:t>$</w:t>
      </w:r>
      <w:r w:rsidR="00F465E9">
        <w:rPr>
          <w:b/>
          <w:lang w:bidi="fa-IR"/>
        </w:rPr>
        <w:t>10.0</w:t>
      </w:r>
      <w:r w:rsidR="00DF1E98" w:rsidRPr="00290133">
        <w:rPr>
          <w:b/>
          <w:lang w:bidi="fa-IR"/>
        </w:rPr>
        <w:t> billion</w:t>
      </w:r>
      <w:r w:rsidR="00DF1E98" w:rsidRPr="00027AA7">
        <w:rPr>
          <w:lang w:bidi="fa-IR"/>
        </w:rPr>
        <w:t xml:space="preserve"> in net present value terms.</w:t>
      </w:r>
    </w:p>
    <w:p w14:paraId="3A1AC87D" w14:textId="658C9B9C" w:rsidR="00DF1E98" w:rsidRPr="00027AA7" w:rsidRDefault="00DF1E98" w:rsidP="00DF1E98">
      <w:pPr>
        <w:pStyle w:val="ListBullet"/>
        <w:tabs>
          <w:tab w:val="num" w:pos="709"/>
        </w:tabs>
        <w:rPr>
          <w:lang w:bidi="fa-IR"/>
        </w:rPr>
      </w:pPr>
      <w:r w:rsidRPr="00027AA7">
        <w:rPr>
          <w:lang w:bidi="fa-IR"/>
        </w:rPr>
        <w:t xml:space="preserve">The estimated impacts of </w:t>
      </w:r>
      <w:r w:rsidR="00E15F34">
        <w:rPr>
          <w:lang w:bidi="fa-IR"/>
        </w:rPr>
        <w:t>Stringency Level</w:t>
      </w:r>
      <w:r w:rsidR="00E15F34" w:rsidRPr="00027AA7">
        <w:rPr>
          <w:lang w:bidi="fa-IR"/>
        </w:rPr>
        <w:t xml:space="preserve"> </w:t>
      </w:r>
      <w:r w:rsidRPr="00027AA7">
        <w:rPr>
          <w:lang w:bidi="fa-IR"/>
        </w:rPr>
        <w:t xml:space="preserve">3 are slightly lower than </w:t>
      </w:r>
      <w:r w:rsidR="0080128D" w:rsidRPr="0080128D">
        <w:rPr>
          <w:lang w:bidi="fa-IR"/>
        </w:rPr>
        <w:t>Stringency Level</w:t>
      </w:r>
      <w:r w:rsidRPr="00027AA7">
        <w:rPr>
          <w:lang w:bidi="fa-IR"/>
        </w:rPr>
        <w:t xml:space="preserve"> 2 at around </w:t>
      </w:r>
      <w:r w:rsidRPr="00290133">
        <w:rPr>
          <w:b/>
          <w:lang w:bidi="fa-IR"/>
        </w:rPr>
        <w:t>$</w:t>
      </w:r>
      <w:r w:rsidR="00F465E9">
        <w:rPr>
          <w:b/>
          <w:lang w:bidi="fa-IR"/>
        </w:rPr>
        <w:t>9</w:t>
      </w:r>
      <w:r w:rsidRPr="00290133">
        <w:rPr>
          <w:b/>
          <w:lang w:bidi="fa-IR"/>
        </w:rPr>
        <w:t>.</w:t>
      </w:r>
      <w:r w:rsidR="00E9113A">
        <w:rPr>
          <w:b/>
          <w:lang w:bidi="fa-IR"/>
        </w:rPr>
        <w:t>4</w:t>
      </w:r>
      <w:r w:rsidRPr="00290133">
        <w:rPr>
          <w:b/>
          <w:lang w:bidi="fa-IR"/>
        </w:rPr>
        <w:t> billion</w:t>
      </w:r>
      <w:r w:rsidRPr="00027AA7">
        <w:rPr>
          <w:lang w:bidi="fa-IR"/>
        </w:rPr>
        <w:t>.</w:t>
      </w:r>
    </w:p>
    <w:p w14:paraId="5202E737" w14:textId="5E27641C" w:rsidR="00767FC0" w:rsidRPr="00695C93" w:rsidRDefault="00767FC0">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6E00A7">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6E00A7">
          <w:rPr>
            <w:noProof/>
          </w:rPr>
          <w:instrText>0</w:instrText>
        </w:r>
      </w:fldSimple>
      <w:r w:rsidRPr="00695C93">
        <w:instrText xml:space="preserve"> = 0 ""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w:instrText>
      </w:r>
      <w:r w:rsidRPr="00695C93">
        <w:fldChar w:fldCharType="end"/>
      </w:r>
      <w:r w:rsidRPr="00695C93">
        <w:instrText>" "</w:instrText>
      </w:r>
      <w:fldSimple w:instr=" STYLEREF &quot;Heading 6&quot; \l \n ">
        <w:r>
          <w:rPr>
            <w:noProof/>
          </w:rPr>
          <w:instrText>A</w:instrText>
        </w:r>
      </w:fldSimple>
      <w:r w:rsidRPr="00695C93">
        <w:instrText xml:space="preserve">." </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6E00A7">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6E00A7">
          <w:rPr>
            <w:noProof/>
          </w:rPr>
          <w:instrText>0</w:instrText>
        </w:r>
      </w:fldSimple>
      <w:r w:rsidRPr="00695C93">
        <w:instrText xml:space="preserve"> = 0 "" "1" </w:instrText>
      </w:r>
      <w:r w:rsidRPr="00695C93">
        <w:fldChar w:fldCharType="end"/>
      </w:r>
      <w:r w:rsidRPr="00695C93">
        <w:instrText xml:space="preserve">" "6" </w:instrText>
      </w:r>
      <w:r w:rsidRPr="00695C93">
        <w:fldChar w:fldCharType="end"/>
      </w:r>
      <w:r w:rsidRPr="00695C93">
        <w:instrText xml:space="preserve"> </w:instrText>
      </w:r>
      <w:r w:rsidRPr="00695C93">
        <w:fldChar w:fldCharType="separate"/>
      </w:r>
      <w:r w:rsidR="008C60A3">
        <w:rPr>
          <w:noProof/>
        </w:rPr>
        <w:instrText>1</w:instrText>
      </w:r>
      <w:r w:rsidRPr="00695C93">
        <w:fldChar w:fldCharType="end"/>
      </w:r>
      <w:r w:rsidRPr="00695C93">
        <w:instrText xml:space="preserve">" "" </w:instrText>
      </w:r>
      <w:r w:rsidRPr="00695C93">
        <w:fldChar w:fldCharType="separate"/>
      </w:r>
      <w:bookmarkStart w:id="9" w:name="_Caption2090"/>
      <w:bookmarkStart w:id="10" w:name="_Caption3626"/>
      <w:bookmarkStart w:id="11" w:name="_Caption2628"/>
      <w:bookmarkStart w:id="12" w:name="_Caption4405"/>
      <w:bookmarkStart w:id="13" w:name="_Caption8946"/>
      <w:bookmarkStart w:id="14" w:name="_Caption1801"/>
      <w:bookmarkStart w:id="15" w:name="_Caption9635"/>
      <w:bookmarkStart w:id="16" w:name="_Caption3018"/>
      <w:bookmarkStart w:id="17" w:name="_Caption9815"/>
      <w:bookmarkStart w:id="18" w:name="_Caption4144"/>
      <w:bookmarkStart w:id="19" w:name="_Caption2715"/>
      <w:bookmarkStart w:id="20" w:name="_Caption7996"/>
      <w:bookmarkStart w:id="21" w:name="_Caption8391"/>
      <w:bookmarkStart w:id="22" w:name="_Caption1338"/>
      <w:bookmarkStart w:id="23" w:name="_Caption8274"/>
      <w:bookmarkStart w:id="24" w:name="_Caption0957"/>
      <w:bookmarkStart w:id="25" w:name="_Caption5496"/>
      <w:bookmarkStart w:id="26" w:name="_Caption6694"/>
      <w:bookmarkStart w:id="27" w:name="_Caption8183"/>
      <w:bookmarkStart w:id="28" w:name="_Caption7549"/>
      <w:bookmarkStart w:id="29" w:name="_Caption3970"/>
      <w:bookmarkStart w:id="30" w:name="_Caption3125"/>
      <w:bookmarkStart w:id="31" w:name="_Caption2229"/>
      <w:bookmarkStart w:id="32" w:name="_Caption2706"/>
      <w:bookmarkStart w:id="33" w:name="_Caption6410"/>
      <w:bookmarkStart w:id="34" w:name="_Caption7101"/>
      <w:bookmarkStart w:id="35" w:name="_Caption9759"/>
      <w:bookmarkStart w:id="36" w:name="_Caption7291"/>
      <w:bookmarkStart w:id="37" w:name="_Caption9920"/>
      <w:bookmarkStart w:id="38" w:name="_Caption1076"/>
      <w:bookmarkStart w:id="39" w:name="_Caption5954"/>
      <w:bookmarkStart w:id="40" w:name="_Caption7642"/>
      <w:bookmarkStart w:id="41" w:name="_Caption8792"/>
      <w:bookmarkStart w:id="42" w:name="_Caption9935"/>
      <w:bookmarkStart w:id="43" w:name="_Caption1357"/>
      <w:bookmarkStart w:id="44" w:name="_Caption3873"/>
      <w:bookmarkStart w:id="45" w:name="_Caption2752"/>
      <w:bookmarkStart w:id="46" w:name="_Caption2046"/>
      <w:bookmarkStart w:id="47" w:name="_Caption2503"/>
      <w:bookmarkStart w:id="48" w:name="_Caption3822"/>
      <w:bookmarkStart w:id="49" w:name="_Caption8287"/>
      <w:bookmarkStart w:id="50" w:name="_Caption9969"/>
      <w:bookmarkStart w:id="51" w:name="_Caption0697"/>
      <w:bookmarkStart w:id="52" w:name="_Caption2770"/>
      <w:bookmarkStart w:id="53" w:name="_Caption7244"/>
      <w:bookmarkStart w:id="54" w:name="_Caption0854"/>
      <w:bookmarkStart w:id="55" w:name="_Caption1587"/>
      <w:bookmarkStart w:id="56" w:name="_Caption7571"/>
      <w:bookmarkStart w:id="57" w:name="_Caption1926"/>
      <w:bookmarkStart w:id="58" w:name="_Caption2931"/>
      <w:bookmarkStart w:id="59" w:name="_Caption0947"/>
      <w:bookmarkStart w:id="60" w:name="_Caption4596"/>
      <w:bookmarkStart w:id="61" w:name="_Caption2988"/>
      <w:bookmarkStart w:id="62" w:name="_Caption9076"/>
      <w:bookmarkStart w:id="63" w:name="_Caption3727"/>
      <w:bookmarkStart w:id="64" w:name="_Caption7992"/>
      <w:bookmarkStart w:id="65" w:name="_Caption2942"/>
      <w:bookmarkStart w:id="66" w:name="_Caption3600"/>
      <w:bookmarkStart w:id="67" w:name="_Caption2151"/>
      <w:bookmarkStart w:id="68" w:name="_Caption5674"/>
      <w:bookmarkStart w:id="69" w:name="_Caption4958"/>
      <w:bookmarkStart w:id="70" w:name="_Caption9375"/>
      <w:bookmarkStart w:id="71" w:name="_Caption9696"/>
      <w:bookmarkStart w:id="72" w:name="_Caption2873"/>
      <w:bookmarkStart w:id="73" w:name="_Caption8640"/>
      <w:bookmarkStart w:id="74" w:name="_Caption2631"/>
      <w:bookmarkStart w:id="75" w:name="_Caption8796"/>
      <w:bookmarkStart w:id="76" w:name="_Caption5312"/>
      <w:bookmarkStart w:id="77" w:name="_Caption6944"/>
      <w:bookmarkStart w:id="78" w:name="_Caption5266"/>
      <w:bookmarkStart w:id="79" w:name="_Caption1735"/>
      <w:bookmarkStart w:id="80" w:name="_Caption8960"/>
      <w:bookmarkStart w:id="81" w:name="_Caption6766"/>
      <w:bookmarkStart w:id="82" w:name="_Caption8466"/>
      <w:bookmarkStart w:id="83" w:name="_Caption5687"/>
      <w:bookmarkStart w:id="84" w:name="_Caption5517"/>
      <w:bookmarkStart w:id="85" w:name="_Caption6732"/>
      <w:bookmarkStart w:id="86" w:name="_Caption6595"/>
      <w:bookmarkStart w:id="87" w:name="_Caption3976"/>
      <w:bookmarkStart w:id="88" w:name="_Caption2078"/>
      <w:bookmarkStart w:id="89" w:name="_Caption9978"/>
      <w:bookmarkStart w:id="90" w:name="_Caption3434"/>
      <w:bookmarkStart w:id="91" w:name="_Toc178292565"/>
      <w:r w:rsidR="008C60A3">
        <w:rPr>
          <w:noProof/>
        </w:rPr>
        <w:t>1</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sidRPr="00695C93">
        <w:fldChar w:fldCharType="end"/>
      </w:r>
      <w:r w:rsidRPr="00695C93">
        <w:tab/>
      </w:r>
      <w:r>
        <w:t>Estimated impacts of proposed options</w:t>
      </w:r>
      <w:bookmarkEnd w:id="91"/>
    </w:p>
    <w:tbl>
      <w:tblPr>
        <w:tblW w:w="0" w:type="auto"/>
        <w:tblLayout w:type="fixed"/>
        <w:tblLook w:val="0000" w:firstRow="0" w:lastRow="0" w:firstColumn="0" w:lastColumn="0" w:noHBand="0" w:noVBand="0"/>
        <w:tblCaption w:val="Table 2"/>
        <w:tblDescription w:val="Estimated impacts of proposed options"/>
      </w:tblPr>
      <w:tblGrid>
        <w:gridCol w:w="4175"/>
        <w:gridCol w:w="1253"/>
        <w:gridCol w:w="1254"/>
        <w:gridCol w:w="1254"/>
      </w:tblGrid>
      <w:tr w:rsidR="00767FC0" w14:paraId="312908FA" w14:textId="77777777">
        <w:trPr>
          <w:trHeight w:val="245"/>
          <w:tblHeader/>
        </w:trPr>
        <w:tc>
          <w:tcPr>
            <w:tcW w:w="4175" w:type="dxa"/>
            <w:shd w:val="clear" w:color="auto" w:fill="6F6652"/>
            <w:tcMar>
              <w:left w:w="57" w:type="dxa"/>
              <w:right w:w="57" w:type="dxa"/>
            </w:tcMar>
          </w:tcPr>
          <w:p w14:paraId="0EAC4DC7" w14:textId="77777777" w:rsidR="00767FC0" w:rsidRDefault="00767FC0">
            <w:pPr>
              <w:pStyle w:val="TableDataColumnHeading"/>
              <w:jc w:val="left"/>
            </w:pPr>
            <w:r>
              <w:t>Impacts</w:t>
            </w:r>
          </w:p>
        </w:tc>
        <w:tc>
          <w:tcPr>
            <w:tcW w:w="1253" w:type="dxa"/>
            <w:shd w:val="clear" w:color="auto" w:fill="6F6652"/>
            <w:tcMar>
              <w:left w:w="57" w:type="dxa"/>
              <w:right w:w="57" w:type="dxa"/>
            </w:tcMar>
          </w:tcPr>
          <w:p w14:paraId="03307A94" w14:textId="70C697BD" w:rsidR="00767FC0" w:rsidRDefault="00E15F34">
            <w:pPr>
              <w:pStyle w:val="TableDataColumnHeading"/>
            </w:pPr>
            <w:r>
              <w:t xml:space="preserve">Stringency Level </w:t>
            </w:r>
            <w:r w:rsidR="00767FC0">
              <w:t>1</w:t>
            </w:r>
          </w:p>
          <w:p w14:paraId="75DB247A" w14:textId="77777777" w:rsidR="00767FC0" w:rsidRDefault="00767FC0">
            <w:pPr>
              <w:pStyle w:val="TableDataColumnHeading"/>
            </w:pPr>
            <w:r>
              <w:t>($ million)</w:t>
            </w:r>
          </w:p>
        </w:tc>
        <w:tc>
          <w:tcPr>
            <w:tcW w:w="1254" w:type="dxa"/>
            <w:shd w:val="clear" w:color="auto" w:fill="6F6652"/>
            <w:tcMar>
              <w:left w:w="57" w:type="dxa"/>
              <w:right w:w="57" w:type="dxa"/>
            </w:tcMar>
          </w:tcPr>
          <w:p w14:paraId="73135CAC" w14:textId="0DB81E5B" w:rsidR="00767FC0" w:rsidRDefault="00E15F34">
            <w:pPr>
              <w:pStyle w:val="TableDataColumnHeading"/>
            </w:pPr>
            <w:r>
              <w:rPr>
                <w:lang w:bidi="fa-IR"/>
              </w:rPr>
              <w:t>Stringency Level</w:t>
            </w:r>
            <w:r w:rsidR="00767FC0">
              <w:t xml:space="preserve"> 2</w:t>
            </w:r>
          </w:p>
          <w:p w14:paraId="48D72918" w14:textId="77777777" w:rsidR="00767FC0" w:rsidRDefault="00767FC0">
            <w:pPr>
              <w:pStyle w:val="TableDataColumnHeading"/>
            </w:pPr>
            <w:r>
              <w:t>($ million)</w:t>
            </w:r>
          </w:p>
        </w:tc>
        <w:tc>
          <w:tcPr>
            <w:tcW w:w="1254" w:type="dxa"/>
            <w:shd w:val="clear" w:color="auto" w:fill="6F6652"/>
            <w:tcMar>
              <w:left w:w="57" w:type="dxa"/>
              <w:right w:w="57" w:type="dxa"/>
            </w:tcMar>
          </w:tcPr>
          <w:p w14:paraId="01506C3E" w14:textId="6B7143BA" w:rsidR="00767FC0" w:rsidRDefault="00E15F34">
            <w:pPr>
              <w:pStyle w:val="TableDataColumnHeading"/>
            </w:pPr>
            <w:r>
              <w:rPr>
                <w:lang w:bidi="fa-IR"/>
              </w:rPr>
              <w:t xml:space="preserve">Stringency Level </w:t>
            </w:r>
            <w:r w:rsidR="00767FC0">
              <w:t>3</w:t>
            </w:r>
          </w:p>
          <w:p w14:paraId="055536EE" w14:textId="77777777" w:rsidR="00767FC0" w:rsidRDefault="00767FC0">
            <w:pPr>
              <w:pStyle w:val="TableDataColumnHeading"/>
            </w:pPr>
            <w:r>
              <w:t>($ million)</w:t>
            </w:r>
          </w:p>
        </w:tc>
      </w:tr>
      <w:tr w:rsidR="00767FC0" w:rsidRPr="00492AD6" w14:paraId="6C5A429E" w14:textId="77777777">
        <w:trPr>
          <w:trHeight w:val="245"/>
        </w:trPr>
        <w:tc>
          <w:tcPr>
            <w:tcW w:w="4175"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0E4A2CDB" w14:textId="77777777" w:rsidR="00767FC0" w:rsidRPr="00492AD6" w:rsidRDefault="00767FC0">
            <w:pPr>
              <w:pStyle w:val="TableHeading1"/>
              <w:spacing w:before="100"/>
              <w:rPr>
                <w:color w:val="000000" w:themeColor="text1"/>
              </w:rPr>
            </w:pPr>
            <w:r w:rsidRPr="00492AD6">
              <w:rPr>
                <w:color w:val="000000" w:themeColor="text1"/>
              </w:rPr>
              <w:t>Building energy impacts</w:t>
            </w:r>
          </w:p>
        </w:tc>
        <w:tc>
          <w:tcPr>
            <w:tcW w:w="1253"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vAlign w:val="center"/>
          </w:tcPr>
          <w:p w14:paraId="4EA7936E" w14:textId="77777777" w:rsidR="00767FC0" w:rsidRPr="00492AD6" w:rsidRDefault="00767FC0">
            <w:pPr>
              <w:pStyle w:val="TableHeading1"/>
              <w:spacing w:before="100"/>
              <w:jc w:val="right"/>
              <w:rPr>
                <w:color w:val="000000" w:themeColor="text1"/>
              </w:rPr>
            </w:pPr>
          </w:p>
        </w:tc>
        <w:tc>
          <w:tcPr>
            <w:tcW w:w="1254"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vAlign w:val="center"/>
          </w:tcPr>
          <w:p w14:paraId="0DCFB832" w14:textId="77777777" w:rsidR="00767FC0" w:rsidRPr="00492AD6" w:rsidRDefault="00767FC0">
            <w:pPr>
              <w:pStyle w:val="TableHeading1"/>
              <w:spacing w:before="100"/>
              <w:jc w:val="right"/>
              <w:rPr>
                <w:color w:val="000000" w:themeColor="text1"/>
              </w:rPr>
            </w:pPr>
          </w:p>
        </w:tc>
        <w:tc>
          <w:tcPr>
            <w:tcW w:w="1254"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vAlign w:val="center"/>
          </w:tcPr>
          <w:p w14:paraId="74DA0E0F" w14:textId="77777777" w:rsidR="00767FC0" w:rsidRPr="00492AD6" w:rsidRDefault="00767FC0">
            <w:pPr>
              <w:pStyle w:val="TableHeading1"/>
              <w:spacing w:before="100"/>
              <w:jc w:val="right"/>
              <w:rPr>
                <w:color w:val="000000" w:themeColor="text1"/>
              </w:rPr>
            </w:pPr>
          </w:p>
        </w:tc>
      </w:tr>
      <w:tr w:rsidR="005747DB" w:rsidRPr="00492AD6" w14:paraId="56DCA9F2"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BA9A43" w14:textId="77777777" w:rsidR="005747DB" w:rsidRPr="00492AD6" w:rsidRDefault="005747DB" w:rsidP="005747DB">
            <w:pPr>
              <w:pStyle w:val="TableDataEntries"/>
              <w:spacing w:before="30" w:after="30"/>
              <w:jc w:val="left"/>
              <w:rPr>
                <w:color w:val="000000" w:themeColor="text1"/>
              </w:rPr>
            </w:pPr>
            <w:r w:rsidRPr="00492AD6">
              <w:rPr>
                <w:color w:val="000000" w:themeColor="text1"/>
              </w:rPr>
              <w:t>Avoided electricity network capacity costs</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ABCE7B6" w14:textId="279E962E" w:rsidR="005747DB" w:rsidRPr="00492AD6" w:rsidRDefault="005747DB" w:rsidP="005747DB">
            <w:pPr>
              <w:pStyle w:val="TableDataEntries"/>
              <w:rPr>
                <w:color w:val="000000" w:themeColor="text1"/>
              </w:rPr>
            </w:pPr>
            <w:r>
              <w:rPr>
                <w:szCs w:val="16"/>
              </w:rPr>
              <w:t xml:space="preserve"> 938.92</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C12161F" w14:textId="74F2965F" w:rsidR="005747DB" w:rsidRPr="00492AD6" w:rsidRDefault="005747DB" w:rsidP="005747DB">
            <w:pPr>
              <w:pStyle w:val="TableDataEntries"/>
              <w:rPr>
                <w:color w:val="000000" w:themeColor="text1"/>
              </w:rPr>
            </w:pPr>
            <w:r>
              <w:rPr>
                <w:szCs w:val="16"/>
              </w:rPr>
              <w:t>1 568.49</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CE77767" w14:textId="54952B5E" w:rsidR="005747DB" w:rsidRPr="00492AD6" w:rsidRDefault="005747DB" w:rsidP="005747DB">
            <w:pPr>
              <w:pStyle w:val="TableDataEntries"/>
              <w:rPr>
                <w:color w:val="000000" w:themeColor="text1"/>
              </w:rPr>
            </w:pPr>
            <w:r>
              <w:rPr>
                <w:szCs w:val="16"/>
              </w:rPr>
              <w:t>1 440.25</w:t>
            </w:r>
          </w:p>
        </w:tc>
      </w:tr>
      <w:tr w:rsidR="005747DB" w:rsidRPr="00492AD6" w14:paraId="2DB0E2A8"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7088BF" w14:textId="77777777" w:rsidR="005747DB" w:rsidRPr="00492AD6" w:rsidRDefault="005747DB" w:rsidP="005747DB">
            <w:pPr>
              <w:pStyle w:val="TableDataEntries"/>
              <w:spacing w:before="30" w:after="30"/>
              <w:jc w:val="left"/>
              <w:rPr>
                <w:color w:val="000000" w:themeColor="text1"/>
              </w:rPr>
            </w:pPr>
            <w:r w:rsidRPr="00492AD6">
              <w:rPr>
                <w:color w:val="000000" w:themeColor="text1"/>
              </w:rPr>
              <w:t>Avoided electricity wholesale costs</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A3AED70" w14:textId="126770AE" w:rsidR="005747DB" w:rsidRPr="00492AD6" w:rsidRDefault="005747DB" w:rsidP="005747DB">
            <w:pPr>
              <w:pStyle w:val="TableDataEntries"/>
              <w:rPr>
                <w:color w:val="000000" w:themeColor="text1"/>
              </w:rPr>
            </w:pPr>
            <w:r>
              <w:rPr>
                <w:szCs w:val="16"/>
              </w:rPr>
              <w:t>1 838.74</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1B3CAAA" w14:textId="1BE6BFD6" w:rsidR="005747DB" w:rsidRPr="00492AD6" w:rsidRDefault="005747DB" w:rsidP="005747DB">
            <w:pPr>
              <w:pStyle w:val="TableDataEntries"/>
              <w:rPr>
                <w:color w:val="000000" w:themeColor="text1"/>
              </w:rPr>
            </w:pPr>
            <w:r>
              <w:rPr>
                <w:szCs w:val="16"/>
              </w:rPr>
              <w:t>3 272.75</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972A1AB" w14:textId="631945C6" w:rsidR="005747DB" w:rsidRPr="00492AD6" w:rsidRDefault="005747DB" w:rsidP="005747DB">
            <w:pPr>
              <w:pStyle w:val="TableDataEntries"/>
              <w:rPr>
                <w:color w:val="000000" w:themeColor="text1"/>
              </w:rPr>
            </w:pPr>
            <w:r>
              <w:rPr>
                <w:szCs w:val="16"/>
              </w:rPr>
              <w:t>2 917.15</w:t>
            </w:r>
          </w:p>
        </w:tc>
      </w:tr>
      <w:tr w:rsidR="005747DB" w:rsidRPr="00492AD6" w14:paraId="290D3EE2"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5F41015" w14:textId="77777777" w:rsidR="005747DB" w:rsidRPr="00492AD6" w:rsidRDefault="005747DB" w:rsidP="005747DB">
            <w:pPr>
              <w:pStyle w:val="TableDataEntries"/>
              <w:spacing w:before="30" w:after="30"/>
              <w:jc w:val="left"/>
              <w:rPr>
                <w:color w:val="000000" w:themeColor="text1"/>
              </w:rPr>
            </w:pPr>
            <w:r w:rsidRPr="00492AD6">
              <w:rPr>
                <w:color w:val="000000" w:themeColor="text1"/>
              </w:rPr>
              <w:t>Avoided electricity network usage costs</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F19F9A7" w14:textId="3DA6B845" w:rsidR="005747DB" w:rsidRPr="00492AD6" w:rsidRDefault="005747DB" w:rsidP="005747DB">
            <w:pPr>
              <w:pStyle w:val="TableDataEntries"/>
              <w:rPr>
                <w:color w:val="000000" w:themeColor="text1"/>
              </w:rPr>
            </w:pPr>
            <w:r>
              <w:rPr>
                <w:szCs w:val="16"/>
              </w:rPr>
              <w:t>1 768.84</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28B579C" w14:textId="290D42DF" w:rsidR="005747DB" w:rsidRPr="00492AD6" w:rsidRDefault="005747DB" w:rsidP="005747DB">
            <w:pPr>
              <w:pStyle w:val="TableDataEntries"/>
              <w:rPr>
                <w:color w:val="000000" w:themeColor="text1"/>
              </w:rPr>
            </w:pPr>
            <w:r>
              <w:rPr>
                <w:szCs w:val="16"/>
              </w:rPr>
              <w:t>3 596.60</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6ACAA48" w14:textId="16DEC06E" w:rsidR="005747DB" w:rsidRPr="00492AD6" w:rsidRDefault="005747DB" w:rsidP="005747DB">
            <w:pPr>
              <w:pStyle w:val="TableDataEntries"/>
              <w:rPr>
                <w:color w:val="000000" w:themeColor="text1"/>
              </w:rPr>
            </w:pPr>
            <w:r>
              <w:rPr>
                <w:szCs w:val="16"/>
              </w:rPr>
              <w:t>3 341.81</w:t>
            </w:r>
          </w:p>
        </w:tc>
      </w:tr>
      <w:tr w:rsidR="005747DB" w:rsidRPr="00492AD6" w14:paraId="15BEA2CF"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C323CD0" w14:textId="77777777" w:rsidR="005747DB" w:rsidRPr="00492AD6" w:rsidRDefault="005747DB" w:rsidP="005747DB">
            <w:pPr>
              <w:pStyle w:val="TableDataEntries"/>
              <w:spacing w:before="30" w:after="30"/>
              <w:jc w:val="left"/>
              <w:rPr>
                <w:color w:val="000000" w:themeColor="text1"/>
              </w:rPr>
            </w:pPr>
            <w:r w:rsidRPr="00492AD6">
              <w:rPr>
                <w:color w:val="000000" w:themeColor="text1"/>
              </w:rPr>
              <w:t>Avoided electricity retail costs</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E53FA2A" w14:textId="730E6514" w:rsidR="005747DB" w:rsidRPr="00492AD6" w:rsidRDefault="005747DB" w:rsidP="005747DB">
            <w:pPr>
              <w:pStyle w:val="TableDataEntries"/>
              <w:rPr>
                <w:color w:val="000000" w:themeColor="text1"/>
              </w:rPr>
            </w:pPr>
            <w:r>
              <w:rPr>
                <w:szCs w:val="16"/>
              </w:rPr>
              <w:t xml:space="preserve"> 681.97</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6B0E7CF" w14:textId="22533595" w:rsidR="005747DB" w:rsidRPr="00492AD6" w:rsidRDefault="005747DB" w:rsidP="005747DB">
            <w:pPr>
              <w:pStyle w:val="TableDataEntries"/>
              <w:rPr>
                <w:color w:val="000000" w:themeColor="text1"/>
              </w:rPr>
            </w:pPr>
            <w:r>
              <w:rPr>
                <w:szCs w:val="16"/>
              </w:rPr>
              <w:t>1 265.68</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BB9E623" w14:textId="1A87A401" w:rsidR="005747DB" w:rsidRPr="00492AD6" w:rsidRDefault="005747DB" w:rsidP="005747DB">
            <w:pPr>
              <w:pStyle w:val="TableDataEntries"/>
              <w:rPr>
                <w:color w:val="000000" w:themeColor="text1"/>
              </w:rPr>
            </w:pPr>
            <w:r>
              <w:rPr>
                <w:szCs w:val="16"/>
              </w:rPr>
              <w:t>1 154.88</w:t>
            </w:r>
          </w:p>
        </w:tc>
      </w:tr>
      <w:tr w:rsidR="005747DB" w:rsidRPr="00492AD6" w14:paraId="1FB75D39"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78ADB9" w14:textId="77777777" w:rsidR="005747DB" w:rsidRPr="00492AD6" w:rsidRDefault="005747DB" w:rsidP="005747DB">
            <w:pPr>
              <w:pStyle w:val="TableDataEntries"/>
              <w:spacing w:before="30" w:after="30"/>
              <w:jc w:val="left"/>
              <w:rPr>
                <w:color w:val="000000" w:themeColor="text1"/>
              </w:rPr>
            </w:pPr>
            <w:r w:rsidRPr="00492AD6">
              <w:rPr>
                <w:color w:val="000000" w:themeColor="text1"/>
              </w:rPr>
              <w:t>Electricity exported to grid</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9AD79D6" w14:textId="2C6AD9BA" w:rsidR="005747DB" w:rsidRPr="00492AD6" w:rsidRDefault="005747DB" w:rsidP="005747DB">
            <w:pPr>
              <w:pStyle w:val="TableDataEntries"/>
              <w:rPr>
                <w:color w:val="000000" w:themeColor="text1"/>
              </w:rPr>
            </w:pPr>
            <w:r>
              <w:rPr>
                <w:szCs w:val="16"/>
              </w:rPr>
              <w:t xml:space="preserve"> 44.96</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F27C23B" w14:textId="2A6946FF" w:rsidR="005747DB" w:rsidRPr="00492AD6" w:rsidRDefault="005747DB" w:rsidP="005747DB">
            <w:pPr>
              <w:pStyle w:val="TableDataEntries"/>
              <w:rPr>
                <w:color w:val="000000" w:themeColor="text1"/>
              </w:rPr>
            </w:pPr>
            <w:r>
              <w:rPr>
                <w:szCs w:val="16"/>
              </w:rPr>
              <w:t xml:space="preserve"> 291.44</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3535A2E" w14:textId="4BD2D480" w:rsidR="005747DB" w:rsidRPr="00492AD6" w:rsidRDefault="005747DB" w:rsidP="005747DB">
            <w:pPr>
              <w:pStyle w:val="TableDataEntries"/>
              <w:rPr>
                <w:color w:val="000000" w:themeColor="text1"/>
              </w:rPr>
            </w:pPr>
            <w:r>
              <w:rPr>
                <w:szCs w:val="16"/>
              </w:rPr>
              <w:t xml:space="preserve"> 291.48</w:t>
            </w:r>
          </w:p>
        </w:tc>
      </w:tr>
      <w:tr w:rsidR="005747DB" w:rsidRPr="00492AD6" w14:paraId="469D45AE"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8800442" w14:textId="77777777" w:rsidR="005747DB" w:rsidRPr="00492AD6" w:rsidRDefault="005747DB" w:rsidP="005747DB">
            <w:pPr>
              <w:pStyle w:val="TableDataEntries"/>
              <w:spacing w:before="30" w:after="30"/>
              <w:jc w:val="left"/>
              <w:rPr>
                <w:color w:val="000000" w:themeColor="text1"/>
              </w:rPr>
            </w:pPr>
            <w:r>
              <w:rPr>
                <w:color w:val="000000" w:themeColor="text1"/>
              </w:rPr>
              <w:t>Electricity exports — network costs</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2304CCA" w14:textId="0FAED1AA" w:rsidR="005747DB" w:rsidRPr="00492AD6" w:rsidRDefault="005747DB" w:rsidP="005747DB">
            <w:pPr>
              <w:pStyle w:val="TableDataEntries"/>
              <w:rPr>
                <w:color w:val="000000" w:themeColor="text1"/>
              </w:rPr>
            </w:pPr>
            <w:r>
              <w:rPr>
                <w:szCs w:val="16"/>
              </w:rPr>
              <w:t>- 10.66</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1FEC20A" w14:textId="71A747AC" w:rsidR="005747DB" w:rsidRPr="00492AD6" w:rsidRDefault="005747DB" w:rsidP="005747DB">
            <w:pPr>
              <w:pStyle w:val="TableDataEntries"/>
              <w:rPr>
                <w:color w:val="000000" w:themeColor="text1"/>
              </w:rPr>
            </w:pPr>
            <w:r>
              <w:rPr>
                <w:szCs w:val="16"/>
              </w:rPr>
              <w:t>- 45.74</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566DF9C" w14:textId="6F37951D" w:rsidR="005747DB" w:rsidRPr="00492AD6" w:rsidRDefault="005747DB" w:rsidP="005747DB">
            <w:pPr>
              <w:pStyle w:val="TableDataEntries"/>
              <w:rPr>
                <w:color w:val="000000" w:themeColor="text1"/>
              </w:rPr>
            </w:pPr>
            <w:r>
              <w:rPr>
                <w:szCs w:val="16"/>
              </w:rPr>
              <w:t>- 45.76</w:t>
            </w:r>
          </w:p>
        </w:tc>
      </w:tr>
      <w:tr w:rsidR="005747DB" w:rsidRPr="00492AD6" w14:paraId="1BAE9816"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86EE2B" w14:textId="77777777" w:rsidR="005747DB" w:rsidRPr="00492AD6" w:rsidRDefault="005747DB" w:rsidP="005747DB">
            <w:pPr>
              <w:pStyle w:val="TableDataEntries"/>
              <w:spacing w:before="30" w:after="30"/>
              <w:jc w:val="left"/>
              <w:rPr>
                <w:color w:val="000000" w:themeColor="text1"/>
              </w:rPr>
            </w:pPr>
            <w:r w:rsidRPr="00492AD6">
              <w:rPr>
                <w:color w:val="000000" w:themeColor="text1"/>
              </w:rPr>
              <w:t>Avoided gas costs</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56BA5D0" w14:textId="05B02CF0" w:rsidR="005747DB" w:rsidRPr="00492AD6" w:rsidRDefault="005747DB" w:rsidP="005747DB">
            <w:pPr>
              <w:pStyle w:val="TableDataEntries"/>
              <w:rPr>
                <w:color w:val="000000" w:themeColor="text1"/>
              </w:rPr>
            </w:pPr>
            <w:r>
              <w:rPr>
                <w:szCs w:val="16"/>
              </w:rPr>
              <w:t>- 28.66</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DC4ED42" w14:textId="10014364" w:rsidR="005747DB" w:rsidRPr="00492AD6" w:rsidRDefault="005747DB" w:rsidP="005747DB">
            <w:pPr>
              <w:pStyle w:val="TableDataEntries"/>
              <w:rPr>
                <w:color w:val="000000" w:themeColor="text1"/>
              </w:rPr>
            </w:pPr>
            <w:r>
              <w:rPr>
                <w:szCs w:val="16"/>
              </w:rPr>
              <w:t>- 28.66</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6CEEEDF" w14:textId="0E272D50" w:rsidR="005747DB" w:rsidRPr="00492AD6" w:rsidRDefault="005747DB" w:rsidP="005747DB">
            <w:pPr>
              <w:pStyle w:val="TableDataEntries"/>
              <w:rPr>
                <w:color w:val="000000" w:themeColor="text1"/>
              </w:rPr>
            </w:pPr>
            <w:r>
              <w:rPr>
                <w:szCs w:val="16"/>
              </w:rPr>
              <w:t xml:space="preserve"> 432.08</w:t>
            </w:r>
          </w:p>
        </w:tc>
      </w:tr>
      <w:tr w:rsidR="005747DB" w:rsidRPr="00492AD6" w14:paraId="7029C43C"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40D4AE1" w14:textId="77777777" w:rsidR="005747DB" w:rsidRPr="00492AD6" w:rsidRDefault="005747DB" w:rsidP="005747DB">
            <w:pPr>
              <w:pStyle w:val="TableDataEntries"/>
              <w:spacing w:before="30" w:after="30"/>
              <w:jc w:val="left"/>
              <w:rPr>
                <w:color w:val="000000" w:themeColor="text1"/>
              </w:rPr>
            </w:pPr>
            <w:r w:rsidRPr="00492AD6">
              <w:rPr>
                <w:color w:val="000000" w:themeColor="text1"/>
              </w:rPr>
              <w:t>Avoided GHG emissions - electricity</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CFE46C5" w14:textId="377CF898" w:rsidR="005747DB" w:rsidRPr="00492AD6" w:rsidRDefault="005747DB" w:rsidP="005747DB">
            <w:pPr>
              <w:pStyle w:val="TableDataEntries"/>
              <w:rPr>
                <w:color w:val="000000" w:themeColor="text1"/>
              </w:rPr>
            </w:pPr>
            <w:r>
              <w:rPr>
                <w:szCs w:val="16"/>
              </w:rPr>
              <w:t>1 249.57</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1EDD3C7" w14:textId="19CD4C46" w:rsidR="005747DB" w:rsidRPr="00492AD6" w:rsidRDefault="005747DB" w:rsidP="005747DB">
            <w:pPr>
              <w:pStyle w:val="TableDataEntries"/>
              <w:rPr>
                <w:color w:val="000000" w:themeColor="text1"/>
              </w:rPr>
            </w:pPr>
            <w:r>
              <w:rPr>
                <w:szCs w:val="16"/>
              </w:rPr>
              <w:t>2 366.95</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BE23576" w14:textId="6EEE2513" w:rsidR="005747DB" w:rsidRPr="00492AD6" w:rsidRDefault="005747DB" w:rsidP="005747DB">
            <w:pPr>
              <w:pStyle w:val="TableDataEntries"/>
              <w:rPr>
                <w:color w:val="000000" w:themeColor="text1"/>
              </w:rPr>
            </w:pPr>
            <w:r>
              <w:rPr>
                <w:szCs w:val="16"/>
              </w:rPr>
              <w:t>2 221.08</w:t>
            </w:r>
          </w:p>
        </w:tc>
      </w:tr>
      <w:tr w:rsidR="005747DB" w:rsidRPr="00492AD6" w14:paraId="5055D9AE"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5A1FDF" w14:textId="77777777" w:rsidR="005747DB" w:rsidRPr="00492AD6" w:rsidRDefault="005747DB" w:rsidP="005747DB">
            <w:pPr>
              <w:pStyle w:val="TableDataEntries"/>
              <w:spacing w:before="30" w:after="30"/>
              <w:jc w:val="left"/>
              <w:rPr>
                <w:color w:val="000000" w:themeColor="text1"/>
              </w:rPr>
            </w:pPr>
            <w:r w:rsidRPr="00492AD6">
              <w:rPr>
                <w:color w:val="000000" w:themeColor="text1"/>
              </w:rPr>
              <w:t>Avoided GHG emission — exported electricity</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5855B0B" w14:textId="4DB11270" w:rsidR="005747DB" w:rsidRPr="00492AD6" w:rsidRDefault="005747DB" w:rsidP="005747DB">
            <w:pPr>
              <w:pStyle w:val="TableDataEntries"/>
              <w:rPr>
                <w:color w:val="000000" w:themeColor="text1"/>
              </w:rPr>
            </w:pPr>
            <w:r>
              <w:rPr>
                <w:szCs w:val="16"/>
              </w:rPr>
              <w:t xml:space="preserve"> 70.50</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8029533" w14:textId="026A726B" w:rsidR="005747DB" w:rsidRPr="00492AD6" w:rsidRDefault="005747DB" w:rsidP="005747DB">
            <w:pPr>
              <w:pStyle w:val="TableDataEntries"/>
              <w:rPr>
                <w:color w:val="000000" w:themeColor="text1"/>
              </w:rPr>
            </w:pPr>
            <w:r>
              <w:rPr>
                <w:szCs w:val="16"/>
              </w:rPr>
              <w:t xml:space="preserve"> 440.17</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622CE6D" w14:textId="42721308" w:rsidR="005747DB" w:rsidRPr="00492AD6" w:rsidRDefault="005747DB" w:rsidP="005747DB">
            <w:pPr>
              <w:pStyle w:val="TableDataEntries"/>
              <w:rPr>
                <w:color w:val="000000" w:themeColor="text1"/>
              </w:rPr>
            </w:pPr>
            <w:r>
              <w:rPr>
                <w:szCs w:val="16"/>
              </w:rPr>
              <w:t xml:space="preserve"> 440.26</w:t>
            </w:r>
          </w:p>
        </w:tc>
      </w:tr>
      <w:tr w:rsidR="005747DB" w:rsidRPr="00492AD6" w14:paraId="61D49C54"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8CB6E4" w14:textId="77777777" w:rsidR="005747DB" w:rsidRPr="00492AD6" w:rsidRDefault="005747DB" w:rsidP="005747DB">
            <w:pPr>
              <w:pStyle w:val="TableDataEntries"/>
              <w:spacing w:before="30" w:after="30"/>
              <w:jc w:val="left"/>
              <w:rPr>
                <w:color w:val="000000" w:themeColor="text1"/>
              </w:rPr>
            </w:pPr>
            <w:r w:rsidRPr="00492AD6">
              <w:rPr>
                <w:color w:val="000000" w:themeColor="text1"/>
              </w:rPr>
              <w:t>Avoided GHG emissions - gas</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950F1AB" w14:textId="1650304D" w:rsidR="005747DB" w:rsidRPr="00492AD6" w:rsidRDefault="005747DB" w:rsidP="005747DB">
            <w:pPr>
              <w:pStyle w:val="TableDataEntries"/>
              <w:rPr>
                <w:color w:val="000000" w:themeColor="text1"/>
              </w:rPr>
            </w:pPr>
            <w:r>
              <w:rPr>
                <w:szCs w:val="16"/>
              </w:rPr>
              <w:t>- 56.11</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153E05F" w14:textId="177F0280" w:rsidR="005747DB" w:rsidRPr="00492AD6" w:rsidRDefault="005747DB" w:rsidP="005747DB">
            <w:pPr>
              <w:pStyle w:val="TableDataEntries"/>
              <w:rPr>
                <w:color w:val="000000" w:themeColor="text1"/>
              </w:rPr>
            </w:pPr>
            <w:r>
              <w:rPr>
                <w:szCs w:val="16"/>
              </w:rPr>
              <w:t>- 56.11</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9D37FA5" w14:textId="67178F37" w:rsidR="005747DB" w:rsidRPr="00492AD6" w:rsidRDefault="005747DB" w:rsidP="005747DB">
            <w:pPr>
              <w:pStyle w:val="TableDataEntries"/>
              <w:rPr>
                <w:color w:val="000000" w:themeColor="text1"/>
              </w:rPr>
            </w:pPr>
            <w:r>
              <w:rPr>
                <w:szCs w:val="16"/>
              </w:rPr>
              <w:t xml:space="preserve"> 865.82</w:t>
            </w:r>
          </w:p>
        </w:tc>
      </w:tr>
      <w:tr w:rsidR="005747DB" w:rsidRPr="00492AD6" w14:paraId="5471CA30"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7E35FB" w14:textId="77777777" w:rsidR="005747DB" w:rsidRPr="00492AD6" w:rsidRDefault="005747DB" w:rsidP="005747DB">
            <w:pPr>
              <w:pStyle w:val="TableDataEntries"/>
              <w:spacing w:before="30" w:after="30"/>
              <w:jc w:val="left"/>
              <w:rPr>
                <w:color w:val="000000" w:themeColor="text1"/>
              </w:rPr>
            </w:pPr>
            <w:r w:rsidRPr="00492AD6">
              <w:rPr>
                <w:color w:val="000000" w:themeColor="text1"/>
              </w:rPr>
              <w:t>Capital costs</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8E9B480" w14:textId="1AFE6434" w:rsidR="005747DB" w:rsidRPr="00492AD6" w:rsidRDefault="005747DB" w:rsidP="005747DB">
            <w:pPr>
              <w:pStyle w:val="TableDataEntries"/>
              <w:rPr>
                <w:color w:val="000000" w:themeColor="text1"/>
              </w:rPr>
            </w:pPr>
            <w:r>
              <w:rPr>
                <w:szCs w:val="16"/>
              </w:rPr>
              <w:t xml:space="preserve"> 341.68</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8BE75ED" w14:textId="1CF04DDF" w:rsidR="005747DB" w:rsidRPr="00492AD6" w:rsidRDefault="005747DB" w:rsidP="005747DB">
            <w:pPr>
              <w:pStyle w:val="TableDataEntries"/>
              <w:rPr>
                <w:color w:val="000000" w:themeColor="text1"/>
              </w:rPr>
            </w:pPr>
            <w:r>
              <w:rPr>
                <w:szCs w:val="16"/>
              </w:rPr>
              <w:t>-2 610.88</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DBF06B9" w14:textId="6891DFCE" w:rsidR="005747DB" w:rsidRPr="00492AD6" w:rsidRDefault="005747DB" w:rsidP="005747DB">
            <w:pPr>
              <w:pStyle w:val="TableDataEntries"/>
              <w:rPr>
                <w:color w:val="000000" w:themeColor="text1"/>
              </w:rPr>
            </w:pPr>
            <w:r>
              <w:rPr>
                <w:szCs w:val="16"/>
              </w:rPr>
              <w:t>-3 670.75</w:t>
            </w:r>
          </w:p>
        </w:tc>
      </w:tr>
      <w:tr w:rsidR="005747DB" w:rsidRPr="005747DB" w14:paraId="5DF816F0"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C666B54" w14:textId="77777777" w:rsidR="005747DB" w:rsidRPr="005747DB" w:rsidRDefault="005747DB" w:rsidP="005747DB">
            <w:pPr>
              <w:pStyle w:val="TableDataEntries"/>
              <w:spacing w:before="30" w:after="30"/>
              <w:jc w:val="left"/>
              <w:rPr>
                <w:rFonts w:ascii="Franklin Gothic Demi" w:hAnsi="Franklin Gothic Demi"/>
              </w:rPr>
            </w:pPr>
            <w:r w:rsidRPr="005747DB">
              <w:rPr>
                <w:rFonts w:ascii="Franklin Gothic Demi" w:hAnsi="Franklin Gothic Demi"/>
              </w:rPr>
              <w:t>Total building energy impacts</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03051D3" w14:textId="252A6605" w:rsidR="005747DB" w:rsidRPr="005747DB" w:rsidRDefault="005747DB" w:rsidP="005747DB">
            <w:pPr>
              <w:pStyle w:val="TableDataEntries"/>
              <w:rPr>
                <w:rFonts w:ascii="Franklin Gothic Demi" w:hAnsi="Franklin Gothic Demi"/>
              </w:rPr>
            </w:pPr>
            <w:r w:rsidRPr="005747DB">
              <w:rPr>
                <w:rFonts w:ascii="Franklin Gothic Demi" w:hAnsi="Franklin Gothic Demi"/>
                <w:szCs w:val="16"/>
              </w:rPr>
              <w:t>6 839.75</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8C00377" w14:textId="080039BE" w:rsidR="005747DB" w:rsidRPr="005747DB" w:rsidRDefault="005747DB" w:rsidP="005747DB">
            <w:pPr>
              <w:pStyle w:val="TableDataEntries"/>
              <w:rPr>
                <w:rFonts w:ascii="Franklin Gothic Demi" w:hAnsi="Franklin Gothic Demi"/>
              </w:rPr>
            </w:pPr>
            <w:r w:rsidRPr="005747DB">
              <w:rPr>
                <w:rFonts w:ascii="Franklin Gothic Demi" w:hAnsi="Franklin Gothic Demi"/>
                <w:szCs w:val="16"/>
              </w:rPr>
              <w:t>10 060.67</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951B0CA" w14:textId="10A4E8BE" w:rsidR="005747DB" w:rsidRPr="005747DB" w:rsidRDefault="005747DB" w:rsidP="005747DB">
            <w:pPr>
              <w:pStyle w:val="TableDataEntries"/>
              <w:rPr>
                <w:rFonts w:ascii="Franklin Gothic Demi" w:hAnsi="Franklin Gothic Demi"/>
              </w:rPr>
            </w:pPr>
            <w:r w:rsidRPr="005747DB">
              <w:rPr>
                <w:rFonts w:ascii="Franklin Gothic Demi" w:hAnsi="Franklin Gothic Demi"/>
                <w:szCs w:val="16"/>
              </w:rPr>
              <w:t>9 388.30</w:t>
            </w:r>
          </w:p>
        </w:tc>
      </w:tr>
      <w:tr w:rsidR="005747DB" w:rsidRPr="00353192" w14:paraId="7A12D422" w14:textId="77777777">
        <w:trPr>
          <w:trHeight w:val="245"/>
        </w:trPr>
        <w:tc>
          <w:tcPr>
            <w:tcW w:w="4175"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1194E210" w14:textId="77777777" w:rsidR="005747DB" w:rsidRPr="00492AD6" w:rsidRDefault="005747DB" w:rsidP="005747DB">
            <w:pPr>
              <w:pStyle w:val="TableHeading1"/>
              <w:spacing w:before="100"/>
              <w:rPr>
                <w:color w:val="000000" w:themeColor="text1"/>
              </w:rPr>
            </w:pPr>
            <w:r>
              <w:rPr>
                <w:color w:val="000000" w:themeColor="text1"/>
              </w:rPr>
              <w:t>Other costs</w:t>
            </w:r>
          </w:p>
        </w:tc>
        <w:tc>
          <w:tcPr>
            <w:tcW w:w="1253"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vAlign w:val="bottom"/>
          </w:tcPr>
          <w:p w14:paraId="17B1305E" w14:textId="77777777" w:rsidR="005747DB" w:rsidRPr="00492AD6" w:rsidRDefault="005747DB" w:rsidP="005747DB">
            <w:pPr>
              <w:pStyle w:val="TableDataEntries"/>
              <w:rPr>
                <w:color w:val="000000" w:themeColor="text1"/>
              </w:rPr>
            </w:pPr>
          </w:p>
        </w:tc>
        <w:tc>
          <w:tcPr>
            <w:tcW w:w="1254"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vAlign w:val="bottom"/>
          </w:tcPr>
          <w:p w14:paraId="0399549A" w14:textId="77777777" w:rsidR="005747DB" w:rsidRPr="00492AD6" w:rsidRDefault="005747DB" w:rsidP="005747DB">
            <w:pPr>
              <w:pStyle w:val="TableDataEntries"/>
              <w:rPr>
                <w:color w:val="000000" w:themeColor="text1"/>
              </w:rPr>
            </w:pPr>
          </w:p>
        </w:tc>
        <w:tc>
          <w:tcPr>
            <w:tcW w:w="1254"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vAlign w:val="bottom"/>
          </w:tcPr>
          <w:p w14:paraId="2C4F523E" w14:textId="77777777" w:rsidR="005747DB" w:rsidRPr="00492AD6" w:rsidRDefault="005747DB" w:rsidP="005747DB">
            <w:pPr>
              <w:pStyle w:val="TableDataEntries"/>
              <w:rPr>
                <w:color w:val="000000" w:themeColor="text1"/>
              </w:rPr>
            </w:pPr>
          </w:p>
        </w:tc>
      </w:tr>
      <w:tr w:rsidR="005747DB" w:rsidRPr="00492AD6" w14:paraId="6C5573D8"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6124B9" w14:textId="77777777" w:rsidR="005747DB" w:rsidRPr="00492AD6" w:rsidRDefault="005747DB" w:rsidP="005747DB">
            <w:pPr>
              <w:pStyle w:val="TableDataEntries"/>
              <w:spacing w:before="30" w:after="30"/>
              <w:jc w:val="left"/>
              <w:rPr>
                <w:color w:val="000000" w:themeColor="text1"/>
              </w:rPr>
            </w:pPr>
            <w:r>
              <w:rPr>
                <w:color w:val="000000" w:themeColor="text1"/>
              </w:rPr>
              <w:t>Costs to government to support change</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CCA972A" w14:textId="7E762322" w:rsidR="005747DB" w:rsidRPr="00BD5141" w:rsidRDefault="005747DB" w:rsidP="005747DB">
            <w:pPr>
              <w:pStyle w:val="TableDataEntries"/>
            </w:pPr>
            <w:r>
              <w:rPr>
                <w:szCs w:val="16"/>
              </w:rPr>
              <w:t>- 0.65</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315E473" w14:textId="409B03CC" w:rsidR="005747DB" w:rsidRPr="00BD5141" w:rsidRDefault="005747DB" w:rsidP="005747DB">
            <w:pPr>
              <w:pStyle w:val="TableDataEntries"/>
            </w:pPr>
            <w:r>
              <w:rPr>
                <w:szCs w:val="16"/>
              </w:rPr>
              <w:t>- 0.65</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9E9E07B" w14:textId="543B50A5" w:rsidR="005747DB" w:rsidRPr="00BD5141" w:rsidRDefault="005747DB" w:rsidP="005747DB">
            <w:pPr>
              <w:pStyle w:val="TableDataEntries"/>
            </w:pPr>
            <w:r>
              <w:rPr>
                <w:szCs w:val="16"/>
              </w:rPr>
              <w:t>- 0.65</w:t>
            </w:r>
          </w:p>
        </w:tc>
      </w:tr>
      <w:tr w:rsidR="005747DB" w14:paraId="53F9F61C"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54A2945" w14:textId="77777777" w:rsidR="005747DB" w:rsidRDefault="005747DB" w:rsidP="005747DB">
            <w:pPr>
              <w:pStyle w:val="TableDataEntries"/>
              <w:spacing w:before="30" w:after="30"/>
              <w:jc w:val="left"/>
            </w:pPr>
            <w:r>
              <w:t>Industry training costs</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91E0306" w14:textId="2BA07AA9" w:rsidR="005747DB" w:rsidRPr="00BD5141" w:rsidRDefault="005747DB" w:rsidP="005747DB">
            <w:pPr>
              <w:pStyle w:val="TableDataEntries"/>
            </w:pPr>
            <w:r>
              <w:rPr>
                <w:szCs w:val="16"/>
              </w:rPr>
              <w:t>- 15.65</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F66D78A" w14:textId="62F37222" w:rsidR="005747DB" w:rsidRPr="00BD5141" w:rsidRDefault="005747DB" w:rsidP="005747DB">
            <w:pPr>
              <w:pStyle w:val="TableDataEntries"/>
            </w:pPr>
            <w:r>
              <w:rPr>
                <w:szCs w:val="16"/>
              </w:rPr>
              <w:t>- 15.65</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767CB96" w14:textId="1A48969F" w:rsidR="005747DB" w:rsidRPr="00BD5141" w:rsidRDefault="005747DB" w:rsidP="005747DB">
            <w:pPr>
              <w:pStyle w:val="TableDataEntries"/>
            </w:pPr>
            <w:r>
              <w:rPr>
                <w:szCs w:val="16"/>
              </w:rPr>
              <w:t>- 15.65</w:t>
            </w:r>
          </w:p>
        </w:tc>
      </w:tr>
      <w:tr w:rsidR="005747DB" w:rsidRPr="005747DB" w14:paraId="2F1418ED"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76367FD" w14:textId="77777777" w:rsidR="005747DB" w:rsidRPr="005747DB" w:rsidRDefault="005747DB" w:rsidP="005747DB">
            <w:pPr>
              <w:pStyle w:val="TableDataEntries"/>
              <w:spacing w:before="30" w:after="30"/>
              <w:jc w:val="left"/>
              <w:rPr>
                <w:rFonts w:ascii="Franklin Gothic Demi" w:hAnsi="Franklin Gothic Demi"/>
              </w:rPr>
            </w:pPr>
            <w:r w:rsidRPr="005747DB">
              <w:rPr>
                <w:rFonts w:ascii="Franklin Gothic Demi" w:hAnsi="Franklin Gothic Demi"/>
              </w:rPr>
              <w:t>Total other costs</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B992A40" w14:textId="0B9E931B" w:rsidR="005747DB" w:rsidRPr="005747DB" w:rsidRDefault="005747DB" w:rsidP="005747DB">
            <w:pPr>
              <w:pStyle w:val="TableDataEntries"/>
              <w:rPr>
                <w:rFonts w:ascii="Franklin Gothic Demi" w:hAnsi="Franklin Gothic Demi"/>
              </w:rPr>
            </w:pPr>
            <w:r w:rsidRPr="005747DB">
              <w:rPr>
                <w:rFonts w:ascii="Franklin Gothic Demi" w:hAnsi="Franklin Gothic Demi"/>
                <w:szCs w:val="16"/>
              </w:rPr>
              <w:t>- 16.31</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DF6D52F" w14:textId="4BB20EA4" w:rsidR="005747DB" w:rsidRPr="005747DB" w:rsidRDefault="005747DB" w:rsidP="005747DB">
            <w:pPr>
              <w:pStyle w:val="TableDataEntries"/>
              <w:rPr>
                <w:rFonts w:ascii="Franklin Gothic Demi" w:hAnsi="Franklin Gothic Demi"/>
              </w:rPr>
            </w:pPr>
            <w:r w:rsidRPr="005747DB">
              <w:rPr>
                <w:rFonts w:ascii="Franklin Gothic Demi" w:hAnsi="Franklin Gothic Demi"/>
                <w:szCs w:val="16"/>
              </w:rPr>
              <w:t>- 16.31</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15D3056" w14:textId="594BC575" w:rsidR="005747DB" w:rsidRPr="005747DB" w:rsidRDefault="005747DB" w:rsidP="005747DB">
            <w:pPr>
              <w:pStyle w:val="TableDataEntries"/>
              <w:rPr>
                <w:rFonts w:ascii="Franklin Gothic Demi" w:hAnsi="Franklin Gothic Demi"/>
              </w:rPr>
            </w:pPr>
            <w:r w:rsidRPr="005747DB">
              <w:rPr>
                <w:rFonts w:ascii="Franklin Gothic Demi" w:hAnsi="Franklin Gothic Demi"/>
                <w:szCs w:val="16"/>
              </w:rPr>
              <w:t>- 16.31</w:t>
            </w:r>
          </w:p>
        </w:tc>
      </w:tr>
      <w:tr w:rsidR="005747DB" w:rsidRPr="005747DB" w14:paraId="29F6CF9D" w14:textId="77777777">
        <w:trPr>
          <w:trHeight w:val="245"/>
        </w:trPr>
        <w:tc>
          <w:tcPr>
            <w:tcW w:w="4175"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10D1317" w14:textId="77777777" w:rsidR="005747DB" w:rsidRPr="005747DB" w:rsidRDefault="005747DB" w:rsidP="005747DB">
            <w:pPr>
              <w:pStyle w:val="TableDataEntries"/>
              <w:jc w:val="left"/>
              <w:rPr>
                <w:rFonts w:ascii="Franklin Gothic Demi" w:hAnsi="Franklin Gothic Demi"/>
              </w:rPr>
            </w:pPr>
            <w:r w:rsidRPr="005747DB">
              <w:rPr>
                <w:rFonts w:ascii="Franklin Gothic Demi" w:hAnsi="Franklin Gothic Demi"/>
              </w:rPr>
              <w:t>Total</w:t>
            </w:r>
          </w:p>
        </w:tc>
        <w:tc>
          <w:tcPr>
            <w:tcW w:w="1253"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5DA22EC6" w14:textId="02AC2578" w:rsidR="005747DB" w:rsidRPr="005747DB" w:rsidRDefault="005747DB" w:rsidP="005747DB">
            <w:pPr>
              <w:pStyle w:val="TableDataEntries"/>
              <w:rPr>
                <w:rFonts w:ascii="Franklin Gothic Demi" w:hAnsi="Franklin Gothic Demi"/>
              </w:rPr>
            </w:pPr>
            <w:r w:rsidRPr="005747DB">
              <w:rPr>
                <w:rFonts w:ascii="Franklin Gothic Demi" w:hAnsi="Franklin Gothic Demi"/>
                <w:szCs w:val="16"/>
              </w:rPr>
              <w:t>6 823.45</w:t>
            </w:r>
          </w:p>
        </w:tc>
        <w:tc>
          <w:tcPr>
            <w:tcW w:w="1254"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31E93E78" w14:textId="4D55F379" w:rsidR="005747DB" w:rsidRPr="005747DB" w:rsidRDefault="005747DB" w:rsidP="005747DB">
            <w:pPr>
              <w:pStyle w:val="TableDataEntries"/>
              <w:rPr>
                <w:rFonts w:ascii="Franklin Gothic Demi" w:hAnsi="Franklin Gothic Demi"/>
              </w:rPr>
            </w:pPr>
            <w:r w:rsidRPr="005747DB">
              <w:rPr>
                <w:rFonts w:ascii="Franklin Gothic Demi" w:hAnsi="Franklin Gothic Demi"/>
                <w:szCs w:val="16"/>
              </w:rPr>
              <w:t>10 044.36</w:t>
            </w:r>
          </w:p>
        </w:tc>
        <w:tc>
          <w:tcPr>
            <w:tcW w:w="1254"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5C0E4195" w14:textId="0A156C53" w:rsidR="005747DB" w:rsidRPr="005747DB" w:rsidRDefault="005747DB" w:rsidP="005747DB">
            <w:pPr>
              <w:pStyle w:val="TableDataEntries"/>
              <w:rPr>
                <w:rFonts w:ascii="Franklin Gothic Demi" w:hAnsi="Franklin Gothic Demi"/>
              </w:rPr>
            </w:pPr>
            <w:r w:rsidRPr="005747DB">
              <w:rPr>
                <w:rFonts w:ascii="Franklin Gothic Demi" w:hAnsi="Franklin Gothic Demi"/>
                <w:szCs w:val="16"/>
              </w:rPr>
              <w:t>9 371.99</w:t>
            </w:r>
          </w:p>
        </w:tc>
      </w:tr>
    </w:tbl>
    <w:p w14:paraId="7C8795BE" w14:textId="77777777" w:rsidR="00767FC0" w:rsidRDefault="00767FC0" w:rsidP="00767FC0">
      <w:pPr>
        <w:pStyle w:val="Note"/>
      </w:pPr>
      <w:r w:rsidRPr="007D1B4F">
        <w:rPr>
          <w:i/>
        </w:rPr>
        <w:t>Note:</w:t>
      </w:r>
      <w:r w:rsidRPr="00E879B8">
        <w:t xml:space="preserve"> </w:t>
      </w:r>
      <w:r>
        <w:t>Estimates presented in net present value terms over an assumed 50-year life of all buildings constructed over the 10-year period from 2025 to 2034, using a discount rate of 5 per cent.</w:t>
      </w:r>
    </w:p>
    <w:p w14:paraId="7888A6D0" w14:textId="77777777" w:rsidR="00767FC0" w:rsidRDefault="00767FC0" w:rsidP="00767FC0">
      <w:pPr>
        <w:pStyle w:val="Source"/>
      </w:pPr>
      <w:r>
        <w:rPr>
          <w:i/>
        </w:rPr>
        <w:t>Source</w:t>
      </w:r>
      <w:r w:rsidRPr="00E4232C">
        <w:rPr>
          <w:i/>
        </w:rPr>
        <w:t>:</w:t>
      </w:r>
      <w:r>
        <w:t xml:space="preserve"> CIE based on DeltaQ modelling.</w:t>
      </w:r>
    </w:p>
    <w:p w14:paraId="749378C7" w14:textId="216820E1" w:rsidR="002A1210" w:rsidRPr="00844A6E" w:rsidRDefault="002A1210" w:rsidP="002A1210">
      <w:pPr>
        <w:pStyle w:val="BodyText"/>
        <w:rPr>
          <w:szCs w:val="22"/>
          <w:lang w:bidi="fa-IR"/>
        </w:rPr>
      </w:pPr>
      <w:r>
        <w:rPr>
          <w:szCs w:val="22"/>
          <w:lang w:bidi="fa-IR"/>
        </w:rPr>
        <w:t xml:space="preserve">We estimate that </w:t>
      </w:r>
      <w:r w:rsidR="00C066A9">
        <w:rPr>
          <w:szCs w:val="22"/>
          <w:lang w:bidi="fa-IR"/>
        </w:rPr>
        <w:t xml:space="preserve">the </w:t>
      </w:r>
      <w:r w:rsidRPr="00844A6E">
        <w:rPr>
          <w:szCs w:val="22"/>
          <w:lang w:bidi="fa-IR"/>
        </w:rPr>
        <w:t xml:space="preserve">avoided GHG emissions </w:t>
      </w:r>
      <w:r w:rsidR="00C066A9">
        <w:rPr>
          <w:szCs w:val="22"/>
          <w:lang w:bidi="fa-IR"/>
        </w:rPr>
        <w:t xml:space="preserve">over the life of all commercial buildings </w:t>
      </w:r>
      <w:r w:rsidR="00AA5EE3">
        <w:rPr>
          <w:szCs w:val="22"/>
          <w:lang w:bidi="fa-IR"/>
        </w:rPr>
        <w:t xml:space="preserve">to be </w:t>
      </w:r>
      <w:r w:rsidR="00C066A9">
        <w:rPr>
          <w:szCs w:val="22"/>
          <w:lang w:bidi="fa-IR"/>
        </w:rPr>
        <w:t>built over the 10-year regulatory period from 2025-2034</w:t>
      </w:r>
      <w:r w:rsidR="00E403FB">
        <w:rPr>
          <w:szCs w:val="22"/>
          <w:lang w:bidi="fa-IR"/>
        </w:rPr>
        <w:t xml:space="preserve"> would be </w:t>
      </w:r>
      <w:r w:rsidRPr="00844A6E">
        <w:rPr>
          <w:szCs w:val="22"/>
          <w:lang w:bidi="fa-IR"/>
        </w:rPr>
        <w:t>around:</w:t>
      </w:r>
    </w:p>
    <w:p w14:paraId="588D4E2C" w14:textId="77777777" w:rsidR="002A1210" w:rsidRPr="00F241DE" w:rsidRDefault="002A1210" w:rsidP="002A1210">
      <w:pPr>
        <w:pStyle w:val="ListBullet"/>
        <w:tabs>
          <w:tab w:val="num" w:pos="709"/>
        </w:tabs>
      </w:pPr>
      <w:r>
        <w:t>6.2</w:t>
      </w:r>
      <w:r w:rsidRPr="00F241DE">
        <w:t> Mt CO2</w:t>
      </w:r>
      <w:r w:rsidRPr="00F241DE">
        <w:noBreakHyphen/>
        <w:t>e for Stringency Level 1</w:t>
      </w:r>
    </w:p>
    <w:p w14:paraId="3FFCCCC5" w14:textId="3E2BF0DA" w:rsidR="002A1210" w:rsidRPr="00F241DE" w:rsidRDefault="002A1210" w:rsidP="002A1210">
      <w:pPr>
        <w:pStyle w:val="ListBullet"/>
        <w:tabs>
          <w:tab w:val="num" w:pos="709"/>
        </w:tabs>
      </w:pPr>
      <w:r>
        <w:t>13.6</w:t>
      </w:r>
      <w:r w:rsidRPr="00F241DE">
        <w:t> Mt CO2</w:t>
      </w:r>
      <w:r w:rsidRPr="00F241DE">
        <w:noBreakHyphen/>
        <w:t>e for Stringency Level 2</w:t>
      </w:r>
    </w:p>
    <w:p w14:paraId="604872C9" w14:textId="77777777" w:rsidR="002A1210" w:rsidRPr="00F241DE" w:rsidRDefault="002A1210" w:rsidP="002A1210">
      <w:pPr>
        <w:pStyle w:val="ListBullet"/>
        <w:tabs>
          <w:tab w:val="num" w:pos="709"/>
        </w:tabs>
      </w:pPr>
      <w:r>
        <w:t>19.6</w:t>
      </w:r>
      <w:r w:rsidRPr="00F241DE">
        <w:t xml:space="preserve"> Mt CO2</w:t>
      </w:r>
      <w:r w:rsidRPr="00F241DE">
        <w:noBreakHyphen/>
        <w:t>e for Stringency Level 3.</w:t>
      </w:r>
    </w:p>
    <w:p w14:paraId="56688553" w14:textId="48AAE46B" w:rsidR="002A1210" w:rsidRPr="001D6EF0" w:rsidRDefault="002A1210" w:rsidP="002A1210">
      <w:pPr>
        <w:pStyle w:val="BodyText"/>
        <w:rPr>
          <w:rFonts w:eastAsia="SimSun"/>
          <w:szCs w:val="22"/>
          <w:lang w:eastAsia="zh-CN" w:bidi="fa-IR"/>
        </w:rPr>
      </w:pPr>
      <w:r w:rsidRPr="00844A6E">
        <w:rPr>
          <w:szCs w:val="22"/>
          <w:lang w:bidi="fa-IR"/>
        </w:rPr>
        <w:t xml:space="preserve">The cumulative difference between Stringency Levels 2 and 3 across the whole period is therefore </w:t>
      </w:r>
      <w:r>
        <w:rPr>
          <w:szCs w:val="22"/>
          <w:lang w:bidi="fa-IR"/>
        </w:rPr>
        <w:t>around</w:t>
      </w:r>
      <w:r w:rsidRPr="00844A6E">
        <w:rPr>
          <w:szCs w:val="22"/>
          <w:lang w:bidi="fa-IR"/>
        </w:rPr>
        <w:t xml:space="preserve"> </w:t>
      </w:r>
      <w:r>
        <w:rPr>
          <w:szCs w:val="22"/>
          <w:lang w:bidi="fa-IR"/>
        </w:rPr>
        <w:t>6</w:t>
      </w:r>
      <w:r w:rsidRPr="00844A6E">
        <w:rPr>
          <w:szCs w:val="22"/>
          <w:lang w:bidi="fa-IR"/>
        </w:rPr>
        <w:t xml:space="preserve"> Mt </w:t>
      </w:r>
      <w:r w:rsidR="001D6EF0">
        <w:rPr>
          <w:rFonts w:eastAsia="SimSun" w:hint="eastAsia"/>
          <w:lang w:eastAsia="zh-CN"/>
        </w:rPr>
        <w:t>CO</w:t>
      </w:r>
      <w:r w:rsidR="001D6EF0" w:rsidRPr="001D6EF0">
        <w:rPr>
          <w:rFonts w:eastAsia="SimSun" w:hint="eastAsia"/>
          <w:vertAlign w:val="subscript"/>
          <w:lang w:eastAsia="zh-CN"/>
        </w:rPr>
        <w:t>2</w:t>
      </w:r>
      <w:r w:rsidR="001D6EF0">
        <w:rPr>
          <w:rFonts w:eastAsia="SimSun" w:hint="eastAsia"/>
          <w:lang w:eastAsia="zh-CN"/>
        </w:rPr>
        <w:t>-e</w:t>
      </w:r>
      <w:r w:rsidR="001D6EF0">
        <w:rPr>
          <w:rFonts w:eastAsia="SimSun"/>
          <w:lang w:eastAsia="zh-CN"/>
        </w:rPr>
        <w:t>.</w:t>
      </w:r>
    </w:p>
    <w:p w14:paraId="6AD35230" w14:textId="449EFE45" w:rsidR="003F6CBD" w:rsidRPr="00695C93" w:rsidRDefault="003F6CBD" w:rsidP="00400EFB">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6E00A7">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6E00A7">
          <w:rPr>
            <w:noProof/>
          </w:rPr>
          <w:instrText>0</w:instrText>
        </w:r>
      </w:fldSimple>
      <w:r w:rsidRPr="00695C93">
        <w:instrText xml:space="preserve"> = 0 ""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w:instrText>
      </w:r>
      <w:r w:rsidRPr="00695C93">
        <w:fldChar w:fldCharType="end"/>
      </w:r>
      <w:r w:rsidRPr="00695C93">
        <w:instrText>" "</w:instrText>
      </w:r>
      <w:fldSimple w:instr=" STYLEREF &quot;Heading 6&quot; \l \n ">
        <w:r>
          <w:rPr>
            <w:noProof/>
          </w:rPr>
          <w:instrText>A</w:instrText>
        </w:r>
      </w:fldSimple>
      <w:r w:rsidRPr="00695C93">
        <w:instrText xml:space="preserve">." </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6E00A7">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6E00A7">
          <w:rPr>
            <w:noProof/>
          </w:rPr>
          <w:instrText>0</w:instrText>
        </w:r>
      </w:fldSimple>
      <w:r w:rsidRPr="00695C93">
        <w:instrText xml:space="preserve"> = 0 "" "1" </w:instrText>
      </w:r>
      <w:r w:rsidRPr="00695C93">
        <w:fldChar w:fldCharType="end"/>
      </w:r>
      <w:r w:rsidRPr="00695C93">
        <w:instrText xml:space="preserve">" "6" </w:instrText>
      </w:r>
      <w:r w:rsidRPr="00695C93">
        <w:fldChar w:fldCharType="end"/>
      </w:r>
      <w:r w:rsidRPr="00695C93">
        <w:instrText xml:space="preserve"> </w:instrText>
      </w:r>
      <w:r w:rsidRPr="00695C93">
        <w:fldChar w:fldCharType="separate"/>
      </w:r>
      <w:r w:rsidR="008C60A3">
        <w:rPr>
          <w:noProof/>
        </w:rPr>
        <w:instrText>2</w:instrText>
      </w:r>
      <w:r w:rsidRPr="00695C93">
        <w:fldChar w:fldCharType="end"/>
      </w:r>
      <w:r w:rsidRPr="00695C93">
        <w:instrText xml:space="preserve">" "" </w:instrText>
      </w:r>
      <w:r w:rsidRPr="00695C93">
        <w:fldChar w:fldCharType="separate"/>
      </w:r>
      <w:bookmarkStart w:id="92" w:name="_Toc320545098"/>
      <w:bookmarkStart w:id="93" w:name="_Toc178292566"/>
      <w:r w:rsidR="008C60A3">
        <w:rPr>
          <w:noProof/>
        </w:rPr>
        <w:t>2</w:t>
      </w:r>
      <w:r w:rsidRPr="00695C93">
        <w:fldChar w:fldCharType="end"/>
      </w:r>
      <w:r w:rsidRPr="00695C93">
        <w:tab/>
      </w:r>
      <w:bookmarkEnd w:id="92"/>
      <w:r>
        <w:t>Cumulative reduction in GHG emissions</w:t>
      </w:r>
      <w:bookmarkEnd w:id="93"/>
    </w:p>
    <w:tbl>
      <w:tblPr>
        <w:tblStyle w:val="TableGrid"/>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9E8E5" w:themeFill="background2"/>
        <w:tblLayout w:type="fixed"/>
        <w:tblCellMar>
          <w:left w:w="0" w:type="dxa"/>
          <w:right w:w="0" w:type="dxa"/>
        </w:tblCellMar>
        <w:tblLook w:val="04A0" w:firstRow="1" w:lastRow="0" w:firstColumn="1" w:lastColumn="0" w:noHBand="0" w:noVBand="1"/>
      </w:tblPr>
      <w:tblGrid>
        <w:gridCol w:w="7938"/>
      </w:tblGrid>
      <w:tr w:rsidR="003F6CBD" w14:paraId="7D3A4DBE" w14:textId="77777777" w:rsidTr="00400EFB">
        <w:trPr>
          <w:cantSplit/>
        </w:trPr>
        <w:tc>
          <w:tcPr>
            <w:tcW w:w="7938" w:type="dxa"/>
            <w:shd w:val="clear" w:color="auto" w:fill="E9E8E5" w:themeFill="background2"/>
          </w:tcPr>
          <w:p w14:paraId="4804DA5F" w14:textId="4FD99BA9" w:rsidR="003F6CBD" w:rsidRDefault="003F6CBD" w:rsidP="00400EFB">
            <w:pPr>
              <w:pStyle w:val="Chart"/>
            </w:pPr>
            <w:r w:rsidRPr="003F6CBD">
              <w:rPr>
                <w:noProof/>
              </w:rPr>
              <w:drawing>
                <wp:inline distT="0" distB="0" distL="0" distR="0" wp14:anchorId="57327022" wp14:editId="0F74D907">
                  <wp:extent cx="5035550" cy="2432050"/>
                  <wp:effectExtent l="0" t="0" r="0" b="0"/>
                  <wp:docPr id="757091842" name="Picture 3" descr="This chart shows accumulative reduction in GHG emissions from 2025 to 2080 for the three stringency options, with the Stringency 3 having the highest reduction and Stringency 1 the low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091842" name="Picture 3" descr="This chart shows accumulative reduction in GHG emissions from 2025 to 2080 for the three stringency options, with the Stringency 3 having the highest reduction and Stringency 1 the low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035550" cy="2432050"/>
                          </a:xfrm>
                          <a:prstGeom prst="rect">
                            <a:avLst/>
                          </a:prstGeom>
                          <a:noFill/>
                          <a:ln>
                            <a:noFill/>
                          </a:ln>
                        </pic:spPr>
                      </pic:pic>
                    </a:graphicData>
                  </a:graphic>
                </wp:inline>
              </w:drawing>
            </w:r>
          </w:p>
        </w:tc>
      </w:tr>
    </w:tbl>
    <w:p w14:paraId="188143B4" w14:textId="2DF5227D" w:rsidR="003F6CBD" w:rsidRDefault="003F6CBD" w:rsidP="00400EFB">
      <w:pPr>
        <w:pStyle w:val="Source"/>
      </w:pPr>
      <w:r>
        <w:rPr>
          <w:i/>
        </w:rPr>
        <w:t>Data source</w:t>
      </w:r>
      <w:r w:rsidRPr="00A67576">
        <w:rPr>
          <w:i/>
        </w:rPr>
        <w:t>:</w:t>
      </w:r>
      <w:r>
        <w:t xml:space="preserve"> </w:t>
      </w:r>
      <w:r w:rsidR="005A37B6">
        <w:t>CIE estimates based on DeltaQ modelling.</w:t>
      </w:r>
    </w:p>
    <w:p w14:paraId="78A06501" w14:textId="6B1AAF7F" w:rsidR="00F60571" w:rsidRDefault="00F60571" w:rsidP="00F60571">
      <w:pPr>
        <w:pStyle w:val="BodyText"/>
        <w:rPr>
          <w:lang w:eastAsia="en-US"/>
        </w:rPr>
      </w:pPr>
      <w:r>
        <w:rPr>
          <w:lang w:eastAsia="en-US"/>
        </w:rPr>
        <w:t>The</w:t>
      </w:r>
      <w:r w:rsidR="00E55A35">
        <w:rPr>
          <w:lang w:eastAsia="en-US"/>
        </w:rPr>
        <w:t xml:space="preserve"> CBA </w:t>
      </w:r>
      <w:r>
        <w:rPr>
          <w:lang w:eastAsia="en-US"/>
        </w:rPr>
        <w:t>estimates are generally lower than those presented in the CRIS. Key changes from the CRIS include the following:</w:t>
      </w:r>
    </w:p>
    <w:p w14:paraId="3C4FD53E" w14:textId="77777777" w:rsidR="00F60571" w:rsidRDefault="00F60571" w:rsidP="00F60571">
      <w:pPr>
        <w:pStyle w:val="ListBullet"/>
        <w:rPr>
          <w:lang w:eastAsia="en-US"/>
        </w:rPr>
      </w:pPr>
      <w:r>
        <w:rPr>
          <w:lang w:eastAsia="en-US"/>
        </w:rPr>
        <w:t>The DRIS estimates reflect revised DeltaQ modelling for some archetypes.</w:t>
      </w:r>
    </w:p>
    <w:p w14:paraId="5DB48B5B" w14:textId="77777777" w:rsidR="00F60571" w:rsidRDefault="00F60571" w:rsidP="00F60571">
      <w:pPr>
        <w:pStyle w:val="ListBullet"/>
        <w:rPr>
          <w:lang w:eastAsia="en-US"/>
        </w:rPr>
      </w:pPr>
      <w:r>
        <w:rPr>
          <w:lang w:eastAsia="en-US"/>
        </w:rPr>
        <w:t>Various inputs including prices and projections for the future GHG intensity of electricity were updated to reflect more recent information.</w:t>
      </w:r>
    </w:p>
    <w:p w14:paraId="7253081C" w14:textId="466960A3" w:rsidR="00F60571" w:rsidRDefault="00F60571" w:rsidP="00F60571">
      <w:pPr>
        <w:pStyle w:val="ListBullet"/>
        <w:rPr>
          <w:lang w:eastAsia="en-US"/>
        </w:rPr>
      </w:pPr>
      <w:r>
        <w:rPr>
          <w:lang w:eastAsia="en-US"/>
        </w:rPr>
        <w:t xml:space="preserve">Estimates of the network costs associated with additional exports of electricity to the grid </w:t>
      </w:r>
      <w:r w:rsidR="002F2262">
        <w:rPr>
          <w:lang w:eastAsia="en-US"/>
        </w:rPr>
        <w:t>have been</w:t>
      </w:r>
      <w:r>
        <w:rPr>
          <w:lang w:eastAsia="en-US"/>
        </w:rPr>
        <w:t xml:space="preserve"> included.</w:t>
      </w:r>
    </w:p>
    <w:p w14:paraId="766B0325" w14:textId="77777777" w:rsidR="00F60571" w:rsidRDefault="00F60571" w:rsidP="00F60571">
      <w:pPr>
        <w:pStyle w:val="ListBullet"/>
        <w:rPr>
          <w:lang w:eastAsia="en-US"/>
        </w:rPr>
      </w:pPr>
      <w:r>
        <w:rPr>
          <w:lang w:eastAsia="en-US"/>
        </w:rPr>
        <w:t>Some building types that were not explicitly modelled (including warehouses, factories and laboratories) were included in the aggregate results.</w:t>
      </w:r>
    </w:p>
    <w:p w14:paraId="02648EB8" w14:textId="77777777" w:rsidR="00F60571" w:rsidRDefault="00F60571" w:rsidP="00F60571">
      <w:pPr>
        <w:pStyle w:val="ListBullet"/>
        <w:rPr>
          <w:lang w:eastAsia="en-US"/>
        </w:rPr>
      </w:pPr>
      <w:r>
        <w:rPr>
          <w:lang w:eastAsia="en-US"/>
        </w:rPr>
        <w:t>For building types where multiple archetypes were modelled (i.e. hotels, offices and retail buildings), the shares were updated based on further research.</w:t>
      </w:r>
    </w:p>
    <w:p w14:paraId="66C3C816" w14:textId="77777777" w:rsidR="00F60571" w:rsidRDefault="00F60571" w:rsidP="00F60571">
      <w:pPr>
        <w:pStyle w:val="ListBullet"/>
        <w:rPr>
          <w:lang w:eastAsia="en-US"/>
        </w:rPr>
      </w:pPr>
      <w:r>
        <w:rPr>
          <w:lang w:eastAsia="en-US"/>
        </w:rPr>
        <w:t>For Stringency Level 3 — where owners of dual fuel buildings under the base case are able to choose to either: ‘electrify now’; or to offset gas consumption by installing additional solar panels (mostly ground mounted) — the modelling for the DRIS assumes that 90 per cent would choose to ‘electrify now’ and 10 per cent would choose the ‘dual fuel offset’ (this compares to a 50:50 split assumed in the CRIS). This change largely reflected stakeholder feedback; some stakeholders questioned the practicality of ground-mounted solar panels. This is likely to particularly be an issue in CBD areas where shading may limit the feasibility of this option.</w:t>
      </w:r>
    </w:p>
    <w:p w14:paraId="48B072A0" w14:textId="7C9E1938" w:rsidR="00767FC0" w:rsidRPr="00844A6E" w:rsidRDefault="00697F93" w:rsidP="00767FC0">
      <w:pPr>
        <w:pStyle w:val="BodyText"/>
        <w:rPr>
          <w:szCs w:val="22"/>
        </w:rPr>
      </w:pPr>
      <w:r>
        <w:rPr>
          <w:szCs w:val="22"/>
        </w:rPr>
        <w:t>Extensive s</w:t>
      </w:r>
      <w:r w:rsidR="00767FC0" w:rsidRPr="00844A6E">
        <w:rPr>
          <w:szCs w:val="22"/>
        </w:rPr>
        <w:t>ensitivity analys</w:t>
      </w:r>
      <w:r w:rsidR="00767FC0">
        <w:rPr>
          <w:szCs w:val="22"/>
        </w:rPr>
        <w:t>i</w:t>
      </w:r>
      <w:r w:rsidR="00767FC0" w:rsidRPr="00844A6E">
        <w:rPr>
          <w:szCs w:val="22"/>
        </w:rPr>
        <w:t>s was conducted to test key assumptions. The key findings from the sensitivity analysis are as follows:</w:t>
      </w:r>
    </w:p>
    <w:p w14:paraId="342A3EF0" w14:textId="3D95AA47" w:rsidR="00767FC0" w:rsidRPr="0073416E" w:rsidRDefault="00767FC0" w:rsidP="00767FC0">
      <w:pPr>
        <w:pStyle w:val="ListBullet"/>
        <w:tabs>
          <w:tab w:val="num" w:pos="709"/>
        </w:tabs>
        <w:rPr>
          <w:lang w:bidi="fa-IR"/>
        </w:rPr>
      </w:pPr>
      <w:r w:rsidRPr="0073416E">
        <w:rPr>
          <w:lang w:bidi="fa-IR"/>
        </w:rPr>
        <w:t xml:space="preserve">Under all alternative assumptions, all three stringency levels are estimated to deliver a net benefit relative to NCC 2022. This suggests </w:t>
      </w:r>
      <w:r w:rsidR="002A5E32">
        <w:rPr>
          <w:lang w:bidi="fa-IR"/>
        </w:rPr>
        <w:t>there is a strong</w:t>
      </w:r>
      <w:r w:rsidRPr="0073416E">
        <w:rPr>
          <w:lang w:bidi="fa-IR"/>
        </w:rPr>
        <w:t xml:space="preserve"> case for change.</w:t>
      </w:r>
    </w:p>
    <w:p w14:paraId="6A0031F8" w14:textId="77777777" w:rsidR="0040316C" w:rsidRDefault="00767FC0" w:rsidP="00767FC0">
      <w:pPr>
        <w:pStyle w:val="ListBullet"/>
        <w:tabs>
          <w:tab w:val="num" w:pos="709"/>
        </w:tabs>
        <w:rPr>
          <w:lang w:bidi="fa-IR"/>
        </w:rPr>
      </w:pPr>
      <w:r w:rsidRPr="0073416E">
        <w:rPr>
          <w:lang w:bidi="fa-IR"/>
        </w:rPr>
        <w:t>Under most alternative assumptions, Stringency Level 2 is estimated to deliver the highest net benefits, consistent with the central case.</w:t>
      </w:r>
    </w:p>
    <w:p w14:paraId="03C7902E" w14:textId="13D8E2D3" w:rsidR="00364E3E" w:rsidRDefault="005E3FE6" w:rsidP="00767FC0">
      <w:pPr>
        <w:pStyle w:val="ListBullet"/>
        <w:tabs>
          <w:tab w:val="num" w:pos="709"/>
        </w:tabs>
        <w:rPr>
          <w:lang w:bidi="fa-IR"/>
        </w:rPr>
      </w:pPr>
      <w:r>
        <w:rPr>
          <w:lang w:bidi="fa-IR"/>
        </w:rPr>
        <w:t xml:space="preserve">However, the </w:t>
      </w:r>
      <w:r w:rsidR="003A29F4">
        <w:rPr>
          <w:lang w:bidi="fa-IR"/>
        </w:rPr>
        <w:t xml:space="preserve">relative merits of Stringency </w:t>
      </w:r>
      <w:r w:rsidR="008F59A0">
        <w:rPr>
          <w:lang w:bidi="fa-IR"/>
        </w:rPr>
        <w:t xml:space="preserve">Level 3 compared with Stringency Level 2 depends critically on </w:t>
      </w:r>
      <w:r w:rsidR="005E06C3">
        <w:rPr>
          <w:lang w:bidi="fa-IR"/>
        </w:rPr>
        <w:t xml:space="preserve">whether dual fuel buildings will be </w:t>
      </w:r>
      <w:r w:rsidR="00F27F36">
        <w:rPr>
          <w:lang w:bidi="fa-IR"/>
        </w:rPr>
        <w:t xml:space="preserve">allowed to continue to operate as dual fuel buildings </w:t>
      </w:r>
      <w:r w:rsidR="00444FC8">
        <w:rPr>
          <w:lang w:bidi="fa-IR"/>
        </w:rPr>
        <w:t>or will be required to convert to fully electric</w:t>
      </w:r>
      <w:r w:rsidR="00C93C11">
        <w:rPr>
          <w:lang w:bidi="fa-IR"/>
        </w:rPr>
        <w:t xml:space="preserve"> at some point</w:t>
      </w:r>
      <w:r w:rsidR="00444FC8">
        <w:rPr>
          <w:lang w:bidi="fa-IR"/>
        </w:rPr>
        <w:t xml:space="preserve"> in the future (</w:t>
      </w:r>
      <w:r w:rsidR="00364E3E">
        <w:rPr>
          <w:lang w:bidi="fa-IR"/>
        </w:rPr>
        <w:t>which will be necessary to meet net zero targets).</w:t>
      </w:r>
    </w:p>
    <w:p w14:paraId="283C242C" w14:textId="4BEEE42A" w:rsidR="00364E3E" w:rsidRDefault="00BA7B61" w:rsidP="00364E3E">
      <w:pPr>
        <w:pStyle w:val="ListBullet2"/>
        <w:rPr>
          <w:lang w:bidi="fa-IR"/>
        </w:rPr>
      </w:pPr>
      <w:r>
        <w:rPr>
          <w:lang w:bidi="fa-IR"/>
        </w:rPr>
        <w:t>As</w:t>
      </w:r>
      <w:r w:rsidR="002153C9">
        <w:rPr>
          <w:lang w:bidi="fa-IR"/>
        </w:rPr>
        <w:t xml:space="preserve"> no states or territories have yet announced a formal policy to mandate electrification of dual fuel buildings</w:t>
      </w:r>
      <w:r w:rsidR="00EE7EE7">
        <w:rPr>
          <w:lang w:bidi="fa-IR"/>
        </w:rPr>
        <w:t xml:space="preserve"> (although the Victorian and ACT Governments</w:t>
      </w:r>
      <w:r w:rsidR="00C23BED">
        <w:rPr>
          <w:lang w:bidi="fa-IR"/>
        </w:rPr>
        <w:t xml:space="preserve"> have released plans/roadmaps that move in this direction)</w:t>
      </w:r>
      <w:r w:rsidR="00EE7EE7">
        <w:rPr>
          <w:lang w:bidi="fa-IR"/>
        </w:rPr>
        <w:t xml:space="preserve">, the central case assumes </w:t>
      </w:r>
      <w:r w:rsidR="00525C81">
        <w:rPr>
          <w:lang w:bidi="fa-IR"/>
        </w:rPr>
        <w:t xml:space="preserve">dual fuel </w:t>
      </w:r>
      <w:r w:rsidR="007F0A04">
        <w:rPr>
          <w:lang w:bidi="fa-IR"/>
        </w:rPr>
        <w:t xml:space="preserve">buildings will be able to operate using </w:t>
      </w:r>
      <w:r w:rsidR="00525C81">
        <w:rPr>
          <w:lang w:bidi="fa-IR"/>
        </w:rPr>
        <w:t>both electricity and gas over their full life.</w:t>
      </w:r>
    </w:p>
    <w:p w14:paraId="53BD5CB8" w14:textId="03B836C9" w:rsidR="00767FC0" w:rsidRPr="0073416E" w:rsidRDefault="00D14BBD" w:rsidP="00364E3E">
      <w:pPr>
        <w:pStyle w:val="ListBullet2"/>
        <w:rPr>
          <w:lang w:bidi="fa-IR"/>
        </w:rPr>
      </w:pPr>
      <w:r>
        <w:rPr>
          <w:lang w:bidi="fa-IR"/>
        </w:rPr>
        <w:t>U</w:t>
      </w:r>
      <w:r w:rsidR="00525C81">
        <w:rPr>
          <w:lang w:bidi="fa-IR"/>
        </w:rPr>
        <w:t xml:space="preserve">nder most scenarios where </w:t>
      </w:r>
      <w:r>
        <w:rPr>
          <w:lang w:bidi="fa-IR"/>
        </w:rPr>
        <w:t xml:space="preserve">dual fuel buildings are required to convert to fully electric in the future, </w:t>
      </w:r>
      <w:r w:rsidR="008E61FD">
        <w:rPr>
          <w:lang w:bidi="fa-IR"/>
        </w:rPr>
        <w:t>the net benefits of Stringency Level 3 exceed Stringency Level</w:t>
      </w:r>
      <w:r w:rsidR="00532B79">
        <w:rPr>
          <w:lang w:bidi="fa-IR"/>
        </w:rPr>
        <w:t> </w:t>
      </w:r>
      <w:r w:rsidR="008E61FD">
        <w:rPr>
          <w:lang w:bidi="fa-IR"/>
        </w:rPr>
        <w:t>2 (implying Stringency Level 3 is the preferred option).</w:t>
      </w:r>
    </w:p>
    <w:p w14:paraId="229AEF63" w14:textId="22DA7834" w:rsidR="00767FC0" w:rsidRDefault="00C5058B" w:rsidP="00C5575E">
      <w:pPr>
        <w:pStyle w:val="ListBullet2"/>
        <w:rPr>
          <w:lang w:bidi="fa-IR"/>
        </w:rPr>
      </w:pPr>
      <w:r>
        <w:rPr>
          <w:lang w:bidi="fa-IR"/>
        </w:rPr>
        <w:t xml:space="preserve">Where </w:t>
      </w:r>
      <w:r w:rsidR="00C37298">
        <w:rPr>
          <w:lang w:bidi="fa-IR"/>
        </w:rPr>
        <w:t xml:space="preserve">the outcome of the current policy choice </w:t>
      </w:r>
      <w:r w:rsidR="0079232A">
        <w:rPr>
          <w:lang w:bidi="fa-IR"/>
        </w:rPr>
        <w:t xml:space="preserve">being considered </w:t>
      </w:r>
      <w:r w:rsidR="00C37298">
        <w:rPr>
          <w:lang w:bidi="fa-IR"/>
        </w:rPr>
        <w:t>(i.e. the options for changing the NCC)</w:t>
      </w:r>
      <w:r w:rsidR="0079232A">
        <w:rPr>
          <w:lang w:bidi="fa-IR"/>
        </w:rPr>
        <w:t xml:space="preserve"> depends on </w:t>
      </w:r>
      <w:r w:rsidR="004053EA">
        <w:rPr>
          <w:lang w:bidi="fa-IR"/>
        </w:rPr>
        <w:t>future</w:t>
      </w:r>
      <w:r w:rsidR="0079232A">
        <w:rPr>
          <w:lang w:bidi="fa-IR"/>
        </w:rPr>
        <w:t xml:space="preserve"> </w:t>
      </w:r>
      <w:r w:rsidR="004053EA">
        <w:rPr>
          <w:lang w:bidi="fa-IR"/>
        </w:rPr>
        <w:t xml:space="preserve">policy choices </w:t>
      </w:r>
      <w:r w:rsidR="0079232A">
        <w:rPr>
          <w:lang w:bidi="fa-IR"/>
        </w:rPr>
        <w:t xml:space="preserve">that </w:t>
      </w:r>
      <w:r w:rsidR="004053EA">
        <w:rPr>
          <w:lang w:bidi="fa-IR"/>
        </w:rPr>
        <w:t xml:space="preserve">are uncertain, </w:t>
      </w:r>
      <w:r w:rsidR="00493CB0">
        <w:rPr>
          <w:lang w:bidi="fa-IR"/>
        </w:rPr>
        <w:t xml:space="preserve">it can be helpful to think about </w:t>
      </w:r>
      <w:r w:rsidR="003E7BA3">
        <w:rPr>
          <w:lang w:bidi="fa-IR"/>
        </w:rPr>
        <w:t>th</w:t>
      </w:r>
      <w:r w:rsidR="001A1B1F">
        <w:rPr>
          <w:lang w:bidi="fa-IR"/>
        </w:rPr>
        <w:t xml:space="preserve">ese uncertain outcomes </w:t>
      </w:r>
      <w:r w:rsidR="00485F22">
        <w:rPr>
          <w:lang w:bidi="fa-IR"/>
        </w:rPr>
        <w:t>probabilistically.</w:t>
      </w:r>
    </w:p>
    <w:p w14:paraId="17E80845" w14:textId="408F9DD1" w:rsidR="002824E2" w:rsidRDefault="002824E2" w:rsidP="00962D6F">
      <w:pPr>
        <w:pStyle w:val="ListBullet3"/>
        <w:rPr>
          <w:lang w:bidi="fa-IR"/>
        </w:rPr>
      </w:pPr>
      <w:r>
        <w:rPr>
          <w:lang w:bidi="fa-IR"/>
        </w:rPr>
        <w:t xml:space="preserve">If the probability </w:t>
      </w:r>
      <w:r w:rsidR="00493CB0">
        <w:rPr>
          <w:lang w:bidi="fa-IR"/>
        </w:rPr>
        <w:t xml:space="preserve">that </w:t>
      </w:r>
      <w:r w:rsidR="00FB0470">
        <w:rPr>
          <w:lang w:bidi="fa-IR"/>
        </w:rPr>
        <w:t>any dual fuel buildings built over the</w:t>
      </w:r>
      <w:r w:rsidR="00F5791A">
        <w:rPr>
          <w:lang w:bidi="fa-IR"/>
        </w:rPr>
        <w:t xml:space="preserve"> next 10 years will be required to ‘electrify’ in the future </w:t>
      </w:r>
      <w:r w:rsidR="00113FCB">
        <w:rPr>
          <w:lang w:bidi="fa-IR"/>
        </w:rPr>
        <w:t xml:space="preserve">is considered greater than </w:t>
      </w:r>
      <w:r w:rsidR="00AA5EE3">
        <w:rPr>
          <w:lang w:bidi="fa-IR"/>
        </w:rPr>
        <w:t>63</w:t>
      </w:r>
      <w:r w:rsidR="00113FCB">
        <w:rPr>
          <w:lang w:bidi="fa-IR"/>
        </w:rPr>
        <w:t> per cent</w:t>
      </w:r>
      <w:r w:rsidR="00962D6F">
        <w:rPr>
          <w:lang w:bidi="fa-IR"/>
        </w:rPr>
        <w:t>, then Stringency Level 3 is likely to be the option that delivers the highest net benefits.</w:t>
      </w:r>
    </w:p>
    <w:p w14:paraId="4B6B1891" w14:textId="0D951442" w:rsidR="00962D6F" w:rsidRPr="0073416E" w:rsidRDefault="00962D6F" w:rsidP="00962D6F">
      <w:pPr>
        <w:pStyle w:val="ListBullet3"/>
        <w:rPr>
          <w:lang w:bidi="fa-IR"/>
        </w:rPr>
      </w:pPr>
      <w:r>
        <w:rPr>
          <w:lang w:bidi="fa-IR"/>
        </w:rPr>
        <w:t xml:space="preserve">On the other hand, if the probability that any dual fuel buildings built over the next 10 years will be required to ‘electrify’ in the future is considered less than </w:t>
      </w:r>
      <w:r w:rsidR="00AA5EE3">
        <w:rPr>
          <w:lang w:bidi="fa-IR"/>
        </w:rPr>
        <w:t>63</w:t>
      </w:r>
      <w:r>
        <w:rPr>
          <w:lang w:bidi="fa-IR"/>
        </w:rPr>
        <w:t> per cent, then Stringency Level 2 is likely to be the option that delivers the highest net benefits.</w:t>
      </w:r>
    </w:p>
    <w:p w14:paraId="2CDE7C10" w14:textId="358555AE" w:rsidR="00767FC0" w:rsidRPr="0073416E" w:rsidRDefault="00767FC0" w:rsidP="00AE53BD">
      <w:pPr>
        <w:pStyle w:val="ListBullet"/>
        <w:rPr>
          <w:lang w:bidi="fa-IR"/>
        </w:rPr>
      </w:pPr>
      <w:r w:rsidRPr="0073416E">
        <w:rPr>
          <w:lang w:bidi="fa-IR"/>
        </w:rPr>
        <w:t>Under the scenario where all buildings choose the ‘dual fuel offset’ option</w:t>
      </w:r>
      <w:r w:rsidRPr="009B7067">
        <w:rPr>
          <w:rStyle w:val="FootnoteReference"/>
          <w:lang w:bidi="fa-IR"/>
        </w:rPr>
        <w:footnoteReference w:id="5"/>
      </w:r>
      <w:r w:rsidRPr="009B7067">
        <w:rPr>
          <w:rStyle w:val="FootnoteReference"/>
          <w:lang w:bidi="fa-IR"/>
        </w:rPr>
        <w:t>,</w:t>
      </w:r>
      <w:r w:rsidRPr="0073416E">
        <w:rPr>
          <w:lang w:bidi="fa-IR"/>
        </w:rPr>
        <w:t xml:space="preserve"> the net benefits are higher for Stringency Level 3</w:t>
      </w:r>
      <w:r w:rsidRPr="0073416E">
        <w:rPr>
          <w:rStyle w:val="FootnoteReference"/>
          <w:lang w:bidi="fa-IR"/>
        </w:rPr>
        <w:footnoteReference w:id="6"/>
      </w:r>
      <w:r w:rsidRPr="0073416E">
        <w:rPr>
          <w:lang w:bidi="fa-IR"/>
        </w:rPr>
        <w:t>.</w:t>
      </w:r>
      <w:r w:rsidR="000421AA">
        <w:rPr>
          <w:lang w:bidi="fa-IR"/>
        </w:rPr>
        <w:t xml:space="preserve"> However, this option involves </w:t>
      </w:r>
      <w:r w:rsidR="003E627A">
        <w:rPr>
          <w:lang w:bidi="fa-IR"/>
        </w:rPr>
        <w:t xml:space="preserve">installing additional ground-mounted solar panel and may not be feasible </w:t>
      </w:r>
      <w:r w:rsidR="000838DC">
        <w:rPr>
          <w:lang w:bidi="fa-IR"/>
        </w:rPr>
        <w:t>in many circumstances.</w:t>
      </w:r>
    </w:p>
    <w:p w14:paraId="6E4A3625" w14:textId="77777777" w:rsidR="00767FC0" w:rsidRPr="00FF6704" w:rsidRDefault="00767FC0" w:rsidP="00767FC0">
      <w:pPr>
        <w:pStyle w:val="ListBullet"/>
        <w:tabs>
          <w:tab w:val="num" w:pos="709"/>
        </w:tabs>
        <w:rPr>
          <w:lang w:bidi="fa-IR"/>
        </w:rPr>
      </w:pPr>
      <w:r w:rsidRPr="00FF6704">
        <w:rPr>
          <w:lang w:bidi="fa-IR"/>
        </w:rPr>
        <w:t>The magnitude of the CBA results is most sensitive to:</w:t>
      </w:r>
    </w:p>
    <w:p w14:paraId="300C1C75" w14:textId="77777777" w:rsidR="00767FC0" w:rsidRPr="00844A6E" w:rsidRDefault="00767FC0" w:rsidP="00767FC0">
      <w:pPr>
        <w:pStyle w:val="ListBullet"/>
        <w:numPr>
          <w:ilvl w:val="1"/>
          <w:numId w:val="34"/>
        </w:numPr>
        <w:rPr>
          <w:szCs w:val="22"/>
          <w:lang w:bidi="fa-IR"/>
        </w:rPr>
      </w:pPr>
      <w:r w:rsidRPr="00844A6E">
        <w:rPr>
          <w:szCs w:val="22"/>
          <w:lang w:bidi="fa-IR"/>
        </w:rPr>
        <w:t>The choice of discount rate.</w:t>
      </w:r>
    </w:p>
    <w:p w14:paraId="5BAC8773" w14:textId="77777777" w:rsidR="00767FC0" w:rsidRPr="00844A6E" w:rsidRDefault="00767FC0" w:rsidP="00767FC0">
      <w:pPr>
        <w:pStyle w:val="ListBullet"/>
        <w:numPr>
          <w:ilvl w:val="1"/>
          <w:numId w:val="34"/>
        </w:numPr>
        <w:rPr>
          <w:szCs w:val="22"/>
          <w:lang w:bidi="fa-IR"/>
        </w:rPr>
      </w:pPr>
      <w:r w:rsidRPr="00844A6E">
        <w:rPr>
          <w:szCs w:val="22"/>
          <w:lang w:bidi="fa-IR"/>
        </w:rPr>
        <w:t>The realisation rate — there is some evidence that modelled energy efficiency benefits are not (on average) fully realised, although there is no reliable evidence on the extent to which actual energy savings fall short of modelled outcomes. This suggests that the true net benefits may be somewhat lower than has been estimated. That said, all stringencies are estimated to deliver a net benefit even under a pessimistic scenario where only 50 per cent of the benefits are realised.</w:t>
      </w:r>
    </w:p>
    <w:p w14:paraId="07B45116" w14:textId="77777777" w:rsidR="00767FC0" w:rsidRDefault="00767FC0" w:rsidP="00767FC0">
      <w:pPr>
        <w:pStyle w:val="Heading2"/>
      </w:pPr>
      <w:bookmarkStart w:id="94" w:name="_Toc177719443"/>
      <w:bookmarkStart w:id="95" w:name="_Toc178292514"/>
      <w:r>
        <w:t>Mandatory electric vehicle charging</w:t>
      </w:r>
      <w:bookmarkEnd w:id="94"/>
      <w:bookmarkEnd w:id="95"/>
    </w:p>
    <w:p w14:paraId="250219EF" w14:textId="77777777" w:rsidR="00A171FE" w:rsidRDefault="0001217A" w:rsidP="0001217A">
      <w:pPr>
        <w:pStyle w:val="BodyText"/>
      </w:pPr>
      <w:r>
        <w:t>A</w:t>
      </w:r>
      <w:r w:rsidR="001361B3">
        <w:t>n option to mandate EV charging facilities at some commercial buildings is also considered as a separate option (this was bundled with the building energy efficiency options in the CRIS).</w:t>
      </w:r>
    </w:p>
    <w:p w14:paraId="129DECA3" w14:textId="49EE2DF5" w:rsidR="001361B3" w:rsidRDefault="001361B3" w:rsidP="0001217A">
      <w:pPr>
        <w:pStyle w:val="BodyText"/>
        <w:rPr>
          <w:szCs w:val="22"/>
        </w:rPr>
      </w:pPr>
      <w:r w:rsidRPr="00844A6E">
        <w:rPr>
          <w:szCs w:val="22"/>
        </w:rPr>
        <w:t>The</w:t>
      </w:r>
      <w:r w:rsidR="0001217A">
        <w:rPr>
          <w:szCs w:val="22"/>
        </w:rPr>
        <w:t>se</w:t>
      </w:r>
      <w:r w:rsidRPr="00844A6E">
        <w:rPr>
          <w:szCs w:val="22"/>
        </w:rPr>
        <w:t xml:space="preserve"> requirements </w:t>
      </w:r>
      <w:r w:rsidR="00A171FE">
        <w:rPr>
          <w:szCs w:val="22"/>
        </w:rPr>
        <w:t>have been</w:t>
      </w:r>
      <w:r w:rsidRPr="00844A6E">
        <w:rPr>
          <w:szCs w:val="22"/>
        </w:rPr>
        <w:t xml:space="preserve"> proposed to accommodate the increasing uptake of EV in the future, </w:t>
      </w:r>
      <w:r w:rsidR="00A171FE">
        <w:rPr>
          <w:szCs w:val="22"/>
        </w:rPr>
        <w:t>as</w:t>
      </w:r>
      <w:r w:rsidRPr="00844A6E">
        <w:rPr>
          <w:szCs w:val="22"/>
        </w:rPr>
        <w:t xml:space="preserve"> the grid</w:t>
      </w:r>
      <w:r w:rsidR="00A171FE">
        <w:rPr>
          <w:szCs w:val="22"/>
        </w:rPr>
        <w:t xml:space="preserve"> decarbonises, </w:t>
      </w:r>
      <w:r w:rsidR="00A171FE" w:rsidRPr="00844A6E">
        <w:rPr>
          <w:szCs w:val="22"/>
        </w:rPr>
        <w:t>will reduce GHG emissions</w:t>
      </w:r>
      <w:r w:rsidRPr="00844A6E">
        <w:rPr>
          <w:szCs w:val="22"/>
        </w:rPr>
        <w:t xml:space="preserve">. The </w:t>
      </w:r>
      <w:r w:rsidR="00A171FE">
        <w:rPr>
          <w:szCs w:val="22"/>
        </w:rPr>
        <w:t xml:space="preserve">proposed </w:t>
      </w:r>
      <w:r w:rsidRPr="00844A6E">
        <w:rPr>
          <w:szCs w:val="22"/>
        </w:rPr>
        <w:t>requirements will also provide convenience for EV owners.</w:t>
      </w:r>
    </w:p>
    <w:p w14:paraId="01C251E1" w14:textId="765C6150" w:rsidR="009E0A7E" w:rsidRPr="00844A6E" w:rsidRDefault="009E0A7E" w:rsidP="0001217A">
      <w:pPr>
        <w:pStyle w:val="BodyText"/>
      </w:pPr>
      <w:r>
        <w:rPr>
          <w:szCs w:val="22"/>
        </w:rPr>
        <w:t xml:space="preserve">The cost of these proposed requirements </w:t>
      </w:r>
      <w:r w:rsidR="008E3B71">
        <w:rPr>
          <w:szCs w:val="22"/>
        </w:rPr>
        <w:t>is</w:t>
      </w:r>
      <w:r>
        <w:rPr>
          <w:szCs w:val="22"/>
        </w:rPr>
        <w:t xml:space="preserve"> likely to outweigh the benefits</w:t>
      </w:r>
      <w:r w:rsidR="008F488A">
        <w:rPr>
          <w:szCs w:val="22"/>
        </w:rPr>
        <w:t xml:space="preserve"> (table </w:t>
      </w:r>
      <w:r w:rsidR="008F488A">
        <w:rPr>
          <w:szCs w:val="22"/>
        </w:rPr>
        <w:fldChar w:fldCharType="begin"/>
      </w:r>
      <w:r w:rsidR="008F488A">
        <w:rPr>
          <w:szCs w:val="22"/>
        </w:rPr>
        <w:instrText xml:space="preserve"> REF _Caption4440 </w:instrText>
      </w:r>
      <w:r w:rsidR="008F488A">
        <w:rPr>
          <w:szCs w:val="22"/>
        </w:rPr>
        <w:fldChar w:fldCharType="separate"/>
      </w:r>
      <w:r w:rsidR="006E00A7">
        <w:rPr>
          <w:noProof/>
        </w:rPr>
        <w:t>2</w:t>
      </w:r>
      <w:r w:rsidR="008F488A">
        <w:rPr>
          <w:szCs w:val="22"/>
        </w:rPr>
        <w:fldChar w:fldCharType="end"/>
      </w:r>
      <w:r w:rsidR="008F488A">
        <w:rPr>
          <w:szCs w:val="22"/>
        </w:rPr>
        <w:t>)</w:t>
      </w:r>
      <w:r w:rsidR="00B40697">
        <w:rPr>
          <w:szCs w:val="22"/>
        </w:rPr>
        <w:t xml:space="preserve">. This result largely reflects evidence (from a </w:t>
      </w:r>
      <w:r w:rsidR="00825CBB">
        <w:rPr>
          <w:szCs w:val="22"/>
        </w:rPr>
        <w:t xml:space="preserve">previous CIE stated preference survey) that consumers do not place a high value on </w:t>
      </w:r>
      <w:r w:rsidR="00724207">
        <w:rPr>
          <w:szCs w:val="22"/>
        </w:rPr>
        <w:t>destination charging, which implies that these changes are unlikely to stimulate uptake of EVs to any significant extent.</w:t>
      </w:r>
    </w:p>
    <w:p w14:paraId="2AA218A0" w14:textId="364A6776" w:rsidR="00767FC0" w:rsidRPr="00695C93" w:rsidRDefault="00767FC0" w:rsidP="004C1B54">
      <w:pPr>
        <w:pStyle w:val="Caption"/>
        <w:keepLines/>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6E00A7">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6E00A7">
          <w:rPr>
            <w:noProof/>
          </w:rPr>
          <w:instrText>0</w:instrText>
        </w:r>
      </w:fldSimple>
      <w:r w:rsidRPr="00695C93">
        <w:instrText xml:space="preserve"> = 0 ""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w:instrText>
      </w:r>
      <w:r w:rsidRPr="00695C93">
        <w:fldChar w:fldCharType="end"/>
      </w:r>
      <w:r w:rsidRPr="00695C93">
        <w:instrText>" "</w:instrText>
      </w:r>
      <w:fldSimple w:instr=" STYLEREF &quot;Heading 6&quot; \l \n ">
        <w:r>
          <w:rPr>
            <w:noProof/>
          </w:rPr>
          <w:instrText>A</w:instrText>
        </w:r>
      </w:fldSimple>
      <w:r w:rsidRPr="00695C93">
        <w:instrText xml:space="preserve">." </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6E00A7">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6E00A7">
          <w:rPr>
            <w:noProof/>
          </w:rPr>
          <w:instrText>0</w:instrText>
        </w:r>
      </w:fldSimple>
      <w:r w:rsidRPr="00695C93">
        <w:instrText xml:space="preserve"> = 0 "" "1" </w:instrText>
      </w:r>
      <w:r w:rsidRPr="00695C93">
        <w:fldChar w:fldCharType="end"/>
      </w:r>
      <w:r w:rsidRPr="00695C93">
        <w:instrText xml:space="preserve">" "6" </w:instrText>
      </w:r>
      <w:r w:rsidRPr="00695C93">
        <w:fldChar w:fldCharType="end"/>
      </w:r>
      <w:r w:rsidRPr="00695C93">
        <w:instrText xml:space="preserve"> </w:instrText>
      </w:r>
      <w:r w:rsidRPr="00695C93">
        <w:fldChar w:fldCharType="separate"/>
      </w:r>
      <w:r w:rsidR="008C60A3">
        <w:rPr>
          <w:noProof/>
        </w:rPr>
        <w:instrText>3</w:instrText>
      </w:r>
      <w:r w:rsidRPr="00695C93">
        <w:fldChar w:fldCharType="end"/>
      </w:r>
      <w:r w:rsidRPr="00695C93">
        <w:instrText xml:space="preserve">" "" </w:instrText>
      </w:r>
      <w:r w:rsidRPr="00695C93">
        <w:fldChar w:fldCharType="separate"/>
      </w:r>
      <w:bookmarkStart w:id="96" w:name="_Caption4440"/>
      <w:bookmarkStart w:id="97" w:name="_Caption4177"/>
      <w:bookmarkStart w:id="98" w:name="_Caption4888"/>
      <w:bookmarkStart w:id="99" w:name="_Caption3357"/>
      <w:bookmarkStart w:id="100" w:name="_Caption2482"/>
      <w:bookmarkStart w:id="101" w:name="_Caption6501"/>
      <w:bookmarkStart w:id="102" w:name="_Caption9627"/>
      <w:bookmarkStart w:id="103" w:name="_Caption7011"/>
      <w:bookmarkStart w:id="104" w:name="_Caption2736"/>
      <w:bookmarkStart w:id="105" w:name="_Caption6813"/>
      <w:bookmarkStart w:id="106" w:name="_Caption0996"/>
      <w:bookmarkStart w:id="107" w:name="_Caption3073"/>
      <w:bookmarkStart w:id="108" w:name="_Caption5656"/>
      <w:bookmarkStart w:id="109" w:name="_Caption5959"/>
      <w:bookmarkStart w:id="110" w:name="_Caption7267"/>
      <w:bookmarkStart w:id="111" w:name="_Caption1745"/>
      <w:bookmarkStart w:id="112" w:name="_Caption0704"/>
      <w:bookmarkStart w:id="113" w:name="_Caption7214"/>
      <w:bookmarkStart w:id="114" w:name="_Caption9826"/>
      <w:bookmarkStart w:id="115" w:name="_Caption5000"/>
      <w:bookmarkStart w:id="116" w:name="_Caption6043"/>
      <w:bookmarkStart w:id="117" w:name="_Caption2204"/>
      <w:bookmarkStart w:id="118" w:name="_Caption0307"/>
      <w:bookmarkStart w:id="119" w:name="_Caption5376"/>
      <w:bookmarkStart w:id="120" w:name="_Caption7972"/>
      <w:bookmarkStart w:id="121" w:name="_Caption8596"/>
      <w:bookmarkStart w:id="122" w:name="_Caption6381"/>
      <w:bookmarkStart w:id="123" w:name="_Caption5623"/>
      <w:bookmarkStart w:id="124" w:name="_Caption1389"/>
      <w:bookmarkStart w:id="125" w:name="_Caption3750"/>
      <w:bookmarkStart w:id="126" w:name="_Caption0175"/>
      <w:bookmarkStart w:id="127" w:name="_Caption7552"/>
      <w:bookmarkStart w:id="128" w:name="_Caption9753"/>
      <w:bookmarkStart w:id="129" w:name="_Caption8494"/>
      <w:bookmarkStart w:id="130" w:name="_Caption9235"/>
      <w:bookmarkStart w:id="131" w:name="_Caption9107"/>
      <w:bookmarkStart w:id="132" w:name="_Caption5596"/>
      <w:bookmarkStart w:id="133" w:name="_Caption4543"/>
      <w:bookmarkStart w:id="134" w:name="_Caption4492"/>
      <w:bookmarkStart w:id="135" w:name="_Caption4956"/>
      <w:bookmarkStart w:id="136" w:name="_Caption6743"/>
      <w:bookmarkStart w:id="137" w:name="_Caption7950"/>
      <w:bookmarkStart w:id="138" w:name="_Caption9949"/>
      <w:bookmarkStart w:id="139" w:name="_Caption4482"/>
      <w:bookmarkStart w:id="140" w:name="_Caption4419"/>
      <w:bookmarkStart w:id="141" w:name="_Caption4298"/>
      <w:bookmarkStart w:id="142" w:name="_Caption1602"/>
      <w:bookmarkStart w:id="143" w:name="_Caption7329"/>
      <w:bookmarkStart w:id="144" w:name="_Caption3661"/>
      <w:bookmarkStart w:id="145" w:name="_Caption4205"/>
      <w:bookmarkStart w:id="146" w:name="_Caption6296"/>
      <w:bookmarkStart w:id="147" w:name="_Caption7707"/>
      <w:bookmarkStart w:id="148" w:name="_Caption0553"/>
      <w:bookmarkStart w:id="149" w:name="_Caption9009"/>
      <w:bookmarkStart w:id="150" w:name="_Caption1952"/>
      <w:bookmarkStart w:id="151" w:name="_Caption5789"/>
      <w:bookmarkStart w:id="152" w:name="_Caption0739"/>
      <w:bookmarkStart w:id="153" w:name="_Caption6952"/>
      <w:bookmarkStart w:id="154" w:name="_Caption4995"/>
      <w:bookmarkStart w:id="155" w:name="_Caption6636"/>
      <w:bookmarkStart w:id="156" w:name="_Caption0446"/>
      <w:bookmarkStart w:id="157" w:name="_Caption8200"/>
      <w:bookmarkStart w:id="158" w:name="_Caption5946"/>
      <w:bookmarkStart w:id="159" w:name="_Caption9389"/>
      <w:bookmarkStart w:id="160" w:name="_Caption7465"/>
      <w:bookmarkStart w:id="161" w:name="_Caption8719"/>
      <w:bookmarkStart w:id="162" w:name="_Caption5485"/>
      <w:bookmarkStart w:id="163" w:name="_Caption9437"/>
      <w:bookmarkStart w:id="164" w:name="_Caption0134"/>
      <w:bookmarkStart w:id="165" w:name="_Caption0245"/>
      <w:bookmarkStart w:id="166" w:name="_Caption0792"/>
      <w:bookmarkStart w:id="167" w:name="_Caption3246"/>
      <w:bookmarkStart w:id="168" w:name="_Caption8328"/>
      <w:bookmarkStart w:id="169" w:name="_Caption6355"/>
      <w:bookmarkStart w:id="170" w:name="_Caption3805"/>
      <w:bookmarkStart w:id="171" w:name="_Caption4276"/>
      <w:bookmarkStart w:id="172" w:name="_Caption5557"/>
      <w:bookmarkStart w:id="173" w:name="_Caption9199"/>
      <w:bookmarkStart w:id="174" w:name="_Caption9715"/>
      <w:bookmarkStart w:id="175" w:name="_Caption1504"/>
      <w:bookmarkStart w:id="176" w:name="_Caption9230"/>
      <w:bookmarkStart w:id="177" w:name="_Caption8731"/>
      <w:bookmarkStart w:id="178" w:name="_Toc178292567"/>
      <w:r w:rsidR="008C60A3">
        <w:rPr>
          <w:noProof/>
        </w:rPr>
        <w:t>3</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sidRPr="00695C93">
        <w:fldChar w:fldCharType="end"/>
      </w:r>
      <w:r w:rsidRPr="00695C93">
        <w:tab/>
      </w:r>
      <w:r>
        <w:t>Mandatory electric vehicle charging — estimated impacts</w:t>
      </w:r>
      <w:bookmarkEnd w:id="178"/>
    </w:p>
    <w:tbl>
      <w:tblPr>
        <w:tblW w:w="0" w:type="auto"/>
        <w:tblLayout w:type="fixed"/>
        <w:tblLook w:val="0000" w:firstRow="0" w:lastRow="0" w:firstColumn="0" w:lastColumn="0" w:noHBand="0" w:noVBand="0"/>
      </w:tblPr>
      <w:tblGrid>
        <w:gridCol w:w="6300"/>
        <w:gridCol w:w="1637"/>
      </w:tblGrid>
      <w:tr w:rsidR="00767FC0" w14:paraId="66BA6132" w14:textId="77777777">
        <w:trPr>
          <w:trHeight w:val="245"/>
        </w:trPr>
        <w:tc>
          <w:tcPr>
            <w:tcW w:w="6300" w:type="dxa"/>
            <w:shd w:val="clear" w:color="auto" w:fill="6F6652"/>
            <w:tcMar>
              <w:left w:w="57" w:type="dxa"/>
              <w:right w:w="57" w:type="dxa"/>
            </w:tcMar>
          </w:tcPr>
          <w:p w14:paraId="72A2250A" w14:textId="77777777" w:rsidR="00767FC0" w:rsidRDefault="00767FC0" w:rsidP="0051060F">
            <w:pPr>
              <w:pStyle w:val="TableDataColumnHeading"/>
              <w:jc w:val="left"/>
            </w:pPr>
          </w:p>
        </w:tc>
        <w:tc>
          <w:tcPr>
            <w:tcW w:w="1637" w:type="dxa"/>
            <w:shd w:val="clear" w:color="auto" w:fill="6F6652"/>
            <w:tcMar>
              <w:left w:w="57" w:type="dxa"/>
              <w:right w:w="57" w:type="dxa"/>
            </w:tcMar>
          </w:tcPr>
          <w:p w14:paraId="5173E8E4" w14:textId="77777777" w:rsidR="00767FC0" w:rsidRDefault="00767FC0" w:rsidP="0051060F">
            <w:pPr>
              <w:pStyle w:val="TableDataColumnHeading"/>
              <w:rPr>
                <w:szCs w:val="16"/>
              </w:rPr>
            </w:pPr>
            <w:r>
              <w:rPr>
                <w:szCs w:val="16"/>
              </w:rPr>
              <w:t>Estimated impact</w:t>
            </w:r>
          </w:p>
        </w:tc>
      </w:tr>
      <w:tr w:rsidR="00767FC0" w14:paraId="20552A80" w14:textId="77777777">
        <w:trPr>
          <w:trHeight w:val="245"/>
        </w:trPr>
        <w:tc>
          <w:tcPr>
            <w:tcW w:w="6300" w:type="dxa"/>
            <w:tcBorders>
              <w:bottom w:val="single" w:sz="8" w:space="0" w:color="FFFFFF" w:themeColor="background1"/>
            </w:tcBorders>
            <w:tcMar>
              <w:left w:w="57" w:type="dxa"/>
              <w:right w:w="57" w:type="dxa"/>
            </w:tcMar>
          </w:tcPr>
          <w:p w14:paraId="172FAA5C" w14:textId="77777777" w:rsidR="00767FC0" w:rsidRDefault="00767FC0" w:rsidP="0051060F">
            <w:pPr>
              <w:pStyle w:val="TableUnit"/>
              <w:jc w:val="left"/>
            </w:pPr>
          </w:p>
        </w:tc>
        <w:tc>
          <w:tcPr>
            <w:tcW w:w="1637" w:type="dxa"/>
            <w:tcBorders>
              <w:bottom w:val="single" w:sz="8" w:space="0" w:color="FFFFFF" w:themeColor="background1"/>
            </w:tcBorders>
            <w:tcMar>
              <w:left w:w="57" w:type="dxa"/>
              <w:right w:w="57" w:type="dxa"/>
            </w:tcMar>
          </w:tcPr>
          <w:p w14:paraId="1AA7542E" w14:textId="77777777" w:rsidR="00767FC0" w:rsidRDefault="00767FC0" w:rsidP="0051060F">
            <w:pPr>
              <w:pStyle w:val="TableUnit"/>
              <w:rPr>
                <w:szCs w:val="16"/>
              </w:rPr>
            </w:pPr>
            <w:r>
              <w:rPr>
                <w:szCs w:val="16"/>
              </w:rPr>
              <w:t>$ million</w:t>
            </w:r>
          </w:p>
        </w:tc>
      </w:tr>
      <w:tr w:rsidR="00767FC0" w14:paraId="675C1F44" w14:textId="77777777">
        <w:trPr>
          <w:trHeight w:val="245"/>
        </w:trPr>
        <w:tc>
          <w:tcPr>
            <w:tcW w:w="630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E4C3668" w14:textId="77777777" w:rsidR="00767FC0" w:rsidRDefault="00767FC0" w:rsidP="00164EB8">
            <w:pPr>
              <w:pStyle w:val="TableDataEntries"/>
              <w:keepNext/>
              <w:jc w:val="left"/>
            </w:pPr>
            <w:r>
              <w:t>Improved access to destination charging</w:t>
            </w:r>
          </w:p>
        </w:tc>
        <w:tc>
          <w:tcPr>
            <w:tcW w:w="163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D01FAD" w14:textId="77777777" w:rsidR="00767FC0" w:rsidRDefault="00767FC0" w:rsidP="00164EB8">
            <w:pPr>
              <w:pStyle w:val="TableDataEntries"/>
              <w:keepNext/>
              <w:rPr>
                <w:szCs w:val="16"/>
              </w:rPr>
            </w:pPr>
            <w:r>
              <w:rPr>
                <w:szCs w:val="16"/>
              </w:rPr>
              <w:t>1 560.62</w:t>
            </w:r>
          </w:p>
        </w:tc>
      </w:tr>
      <w:tr w:rsidR="00767FC0" w14:paraId="3475266F" w14:textId="77777777">
        <w:trPr>
          <w:trHeight w:val="245"/>
        </w:trPr>
        <w:tc>
          <w:tcPr>
            <w:tcW w:w="630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428515D" w14:textId="77777777" w:rsidR="00767FC0" w:rsidRDefault="00767FC0" w:rsidP="00164EB8">
            <w:pPr>
              <w:pStyle w:val="TableDataEntries"/>
              <w:keepNext/>
              <w:jc w:val="left"/>
            </w:pPr>
            <w:r>
              <w:t>Mitigation of climate change</w:t>
            </w:r>
          </w:p>
        </w:tc>
        <w:tc>
          <w:tcPr>
            <w:tcW w:w="163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C63893" w14:textId="77777777" w:rsidR="00767FC0" w:rsidRDefault="00767FC0" w:rsidP="00164EB8">
            <w:pPr>
              <w:pStyle w:val="TableDataEntries"/>
              <w:keepNext/>
              <w:rPr>
                <w:szCs w:val="16"/>
              </w:rPr>
            </w:pPr>
            <w:r>
              <w:rPr>
                <w:szCs w:val="16"/>
              </w:rPr>
              <w:t xml:space="preserve"> 84.32</w:t>
            </w:r>
          </w:p>
        </w:tc>
      </w:tr>
      <w:tr w:rsidR="00767FC0" w14:paraId="4B7726EB" w14:textId="77777777">
        <w:trPr>
          <w:trHeight w:val="245"/>
        </w:trPr>
        <w:tc>
          <w:tcPr>
            <w:tcW w:w="630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5051A9" w14:textId="77777777" w:rsidR="00767FC0" w:rsidRDefault="00767FC0" w:rsidP="00164EB8">
            <w:pPr>
              <w:pStyle w:val="TableDataEntries"/>
              <w:keepNext/>
              <w:jc w:val="left"/>
            </w:pPr>
            <w:r>
              <w:t>Mitigation of air pollution</w:t>
            </w:r>
          </w:p>
        </w:tc>
        <w:tc>
          <w:tcPr>
            <w:tcW w:w="163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5971FF" w14:textId="77777777" w:rsidR="00767FC0" w:rsidRDefault="00767FC0" w:rsidP="00164EB8">
            <w:pPr>
              <w:pStyle w:val="TableDataEntries"/>
              <w:keepNext/>
              <w:rPr>
                <w:szCs w:val="16"/>
              </w:rPr>
            </w:pPr>
            <w:r>
              <w:rPr>
                <w:szCs w:val="16"/>
              </w:rPr>
              <w:t xml:space="preserve"> 12.14</w:t>
            </w:r>
          </w:p>
        </w:tc>
      </w:tr>
      <w:tr w:rsidR="00767FC0" w14:paraId="01A59889" w14:textId="77777777">
        <w:trPr>
          <w:trHeight w:val="245"/>
        </w:trPr>
        <w:tc>
          <w:tcPr>
            <w:tcW w:w="630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1CD2B3" w14:textId="77777777" w:rsidR="00767FC0" w:rsidRDefault="00767FC0" w:rsidP="00164EB8">
            <w:pPr>
              <w:pStyle w:val="TableDataEntries"/>
              <w:keepNext/>
              <w:jc w:val="left"/>
            </w:pPr>
            <w:r>
              <w:t>EV charging equipment installation and maintenance</w:t>
            </w:r>
          </w:p>
        </w:tc>
        <w:tc>
          <w:tcPr>
            <w:tcW w:w="163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DCBE1E3" w14:textId="77777777" w:rsidR="00767FC0" w:rsidRDefault="00767FC0" w:rsidP="00164EB8">
            <w:pPr>
              <w:pStyle w:val="TableDataEntries"/>
              <w:keepNext/>
              <w:rPr>
                <w:szCs w:val="16"/>
              </w:rPr>
            </w:pPr>
            <w:r>
              <w:rPr>
                <w:szCs w:val="16"/>
              </w:rPr>
              <w:t>-3 396.79</w:t>
            </w:r>
          </w:p>
        </w:tc>
      </w:tr>
      <w:tr w:rsidR="00767FC0" w:rsidRPr="005E5D0D" w14:paraId="6F00A815" w14:textId="77777777">
        <w:trPr>
          <w:trHeight w:val="245"/>
        </w:trPr>
        <w:tc>
          <w:tcPr>
            <w:tcW w:w="6300"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48D975CB" w14:textId="77777777" w:rsidR="00767FC0" w:rsidRPr="005E5D0D" w:rsidRDefault="00767FC0" w:rsidP="00164EB8">
            <w:pPr>
              <w:pStyle w:val="TableDataEntries"/>
              <w:keepNext/>
              <w:jc w:val="left"/>
              <w:rPr>
                <w:rFonts w:ascii="Franklin Gothic Demi" w:hAnsi="Franklin Gothic Demi"/>
              </w:rPr>
            </w:pPr>
            <w:r w:rsidRPr="005E5D0D">
              <w:rPr>
                <w:rFonts w:ascii="Franklin Gothic Demi" w:hAnsi="Franklin Gothic Demi"/>
              </w:rPr>
              <w:t>Total EV charging</w:t>
            </w:r>
          </w:p>
        </w:tc>
        <w:tc>
          <w:tcPr>
            <w:tcW w:w="1637"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988C529" w14:textId="77777777" w:rsidR="00767FC0" w:rsidRPr="005E5D0D" w:rsidRDefault="00767FC0" w:rsidP="00164EB8">
            <w:pPr>
              <w:pStyle w:val="TableDataEntries"/>
              <w:keepNext/>
              <w:rPr>
                <w:rFonts w:ascii="Franklin Gothic Demi" w:hAnsi="Franklin Gothic Demi"/>
                <w:szCs w:val="16"/>
              </w:rPr>
            </w:pPr>
            <w:r w:rsidRPr="005E5D0D">
              <w:rPr>
                <w:rFonts w:ascii="Franklin Gothic Demi" w:hAnsi="Franklin Gothic Demi"/>
                <w:szCs w:val="16"/>
              </w:rPr>
              <w:t>-1 739.71</w:t>
            </w:r>
          </w:p>
        </w:tc>
      </w:tr>
    </w:tbl>
    <w:p w14:paraId="073D26F1" w14:textId="77777777" w:rsidR="00767FC0" w:rsidRDefault="00767FC0" w:rsidP="00164EB8">
      <w:pPr>
        <w:pStyle w:val="Note"/>
        <w:keepNext/>
      </w:pPr>
      <w:r w:rsidRPr="007D1B4F">
        <w:rPr>
          <w:i/>
        </w:rPr>
        <w:t>Note:</w:t>
      </w:r>
      <w:r w:rsidRPr="00E879B8">
        <w:t xml:space="preserve"> </w:t>
      </w:r>
      <w:r>
        <w:t>Estimates presented in net present value terms over an assumed 50-year life of all buildings constructed over the 10-year period from 2025 to 2034, using a discount rate of 5 per cent.</w:t>
      </w:r>
    </w:p>
    <w:p w14:paraId="500BA206" w14:textId="77777777" w:rsidR="00767FC0" w:rsidRDefault="00767FC0" w:rsidP="00164EB8">
      <w:pPr>
        <w:pStyle w:val="Source"/>
        <w:keepNext/>
      </w:pPr>
      <w:r>
        <w:rPr>
          <w:i/>
        </w:rPr>
        <w:t>Source</w:t>
      </w:r>
      <w:r w:rsidRPr="00E4232C">
        <w:rPr>
          <w:i/>
        </w:rPr>
        <w:t>:</w:t>
      </w:r>
      <w:r>
        <w:t xml:space="preserve"> CIE estimates.</w:t>
      </w:r>
    </w:p>
    <w:p w14:paraId="69539C0A" w14:textId="77777777" w:rsidR="00767FC0" w:rsidRDefault="00767FC0" w:rsidP="00767FC0">
      <w:pPr>
        <w:pStyle w:val="Heading2"/>
      </w:pPr>
      <w:bookmarkStart w:id="179" w:name="_Toc177719444"/>
      <w:bookmarkStart w:id="180" w:name="_Toc178292515"/>
      <w:r>
        <w:t>Conclusions</w:t>
      </w:r>
      <w:bookmarkEnd w:id="179"/>
      <w:bookmarkEnd w:id="180"/>
    </w:p>
    <w:p w14:paraId="47961FFF" w14:textId="0A9E0824" w:rsidR="00767FC0" w:rsidRPr="00844A6E" w:rsidRDefault="00767FC0" w:rsidP="00767FC0">
      <w:pPr>
        <w:pStyle w:val="KeyPoint"/>
        <w:rPr>
          <w:szCs w:val="22"/>
        </w:rPr>
      </w:pPr>
      <w:r>
        <w:t xml:space="preserve">All three options under consideration are estimated to deliver significant net </w:t>
      </w:r>
      <w:r w:rsidRPr="00844A6E">
        <w:rPr>
          <w:szCs w:val="22"/>
        </w:rPr>
        <w:t>benefits compared with current NCC 2022 requirements.</w:t>
      </w:r>
      <w:r w:rsidR="0002453E">
        <w:rPr>
          <w:szCs w:val="22"/>
        </w:rPr>
        <w:t xml:space="preserve"> This suggests a strong case </w:t>
      </w:r>
      <w:r w:rsidR="00AD2015">
        <w:rPr>
          <w:szCs w:val="22"/>
        </w:rPr>
        <w:t>for change.</w:t>
      </w:r>
    </w:p>
    <w:p w14:paraId="655656D8" w14:textId="395B3CC9" w:rsidR="00767FC0" w:rsidRPr="00844A6E" w:rsidRDefault="00767FC0" w:rsidP="00767FC0">
      <w:pPr>
        <w:pStyle w:val="KeyPoint"/>
        <w:rPr>
          <w:szCs w:val="22"/>
        </w:rPr>
      </w:pPr>
      <w:r w:rsidRPr="00844A6E">
        <w:rPr>
          <w:szCs w:val="22"/>
        </w:rPr>
        <w:t xml:space="preserve">Based on the </w:t>
      </w:r>
      <w:r w:rsidR="0016638A">
        <w:rPr>
          <w:szCs w:val="22"/>
        </w:rPr>
        <w:t xml:space="preserve">central case </w:t>
      </w:r>
      <w:r w:rsidRPr="00844A6E">
        <w:rPr>
          <w:szCs w:val="22"/>
        </w:rPr>
        <w:t xml:space="preserve">CBA results, </w:t>
      </w:r>
      <w:r w:rsidR="00AD2015">
        <w:rPr>
          <w:szCs w:val="22"/>
        </w:rPr>
        <w:t>Stringency Level 2</w:t>
      </w:r>
      <w:r w:rsidRPr="00844A6E">
        <w:rPr>
          <w:szCs w:val="22"/>
        </w:rPr>
        <w:t xml:space="preserve"> (an increase in the minimum energy efficiency requirements and mandatory rooftop solar) delivers the highest net benefits. However, the net benefits are only slightly (3 per cent) greater than </w:t>
      </w:r>
      <w:r w:rsidR="0016638A">
        <w:rPr>
          <w:szCs w:val="22"/>
        </w:rPr>
        <w:t>Stringency Level</w:t>
      </w:r>
      <w:r w:rsidRPr="00844A6E">
        <w:rPr>
          <w:szCs w:val="22"/>
        </w:rPr>
        <w:t xml:space="preserve"> 3.</w:t>
      </w:r>
    </w:p>
    <w:p w14:paraId="38D26A09" w14:textId="15BA11C9" w:rsidR="0016638A" w:rsidRDefault="0016638A" w:rsidP="0016638A">
      <w:pPr>
        <w:pStyle w:val="KeyPoint"/>
        <w:rPr>
          <w:lang w:bidi="fa-IR"/>
        </w:rPr>
      </w:pPr>
      <w:r>
        <w:rPr>
          <w:lang w:bidi="fa-IR"/>
        </w:rPr>
        <w:t>The relative merits of Stringency Level 3 compared with Stringency Level 2 depends critically on whether dual fuel buildings will be allowed to continue to operate as dual fuel buildings or will be required to convert to fully electric in the future (which will be necessary to meet net zero targets).</w:t>
      </w:r>
    </w:p>
    <w:p w14:paraId="7B3ABDA6" w14:textId="12D10F04" w:rsidR="0016638A" w:rsidRDefault="003346F4" w:rsidP="0016638A">
      <w:pPr>
        <w:pStyle w:val="KeyPoint2"/>
        <w:rPr>
          <w:lang w:bidi="fa-IR"/>
        </w:rPr>
      </w:pPr>
      <w:r>
        <w:rPr>
          <w:lang w:bidi="fa-IR"/>
        </w:rPr>
        <w:t xml:space="preserve">If </w:t>
      </w:r>
      <w:r w:rsidR="0016638A">
        <w:rPr>
          <w:lang w:bidi="fa-IR"/>
        </w:rPr>
        <w:t xml:space="preserve">dual fuel buildings </w:t>
      </w:r>
      <w:r>
        <w:rPr>
          <w:lang w:bidi="fa-IR"/>
        </w:rPr>
        <w:t xml:space="preserve">built over the next 10 years </w:t>
      </w:r>
      <w:r w:rsidR="0016638A">
        <w:rPr>
          <w:lang w:bidi="fa-IR"/>
        </w:rPr>
        <w:t>will be able to operate using both electricity and gas over their full life</w:t>
      </w:r>
      <w:r>
        <w:rPr>
          <w:lang w:bidi="fa-IR"/>
        </w:rPr>
        <w:t xml:space="preserve"> (as assumed in the central case), </w:t>
      </w:r>
      <w:r w:rsidR="0022460B">
        <w:rPr>
          <w:lang w:bidi="fa-IR"/>
        </w:rPr>
        <w:t>the net benefits of Stringency Level 2 are higher than Stringency Level 3</w:t>
      </w:r>
      <w:r w:rsidR="0016638A">
        <w:rPr>
          <w:lang w:bidi="fa-IR"/>
        </w:rPr>
        <w:t>.</w:t>
      </w:r>
    </w:p>
    <w:p w14:paraId="178A761A" w14:textId="33E62A9C" w:rsidR="0016638A" w:rsidRPr="0073416E" w:rsidRDefault="0022460B" w:rsidP="0016638A">
      <w:pPr>
        <w:pStyle w:val="KeyPoint2"/>
        <w:rPr>
          <w:lang w:bidi="fa-IR"/>
        </w:rPr>
      </w:pPr>
      <w:r>
        <w:rPr>
          <w:lang w:bidi="fa-IR"/>
        </w:rPr>
        <w:t>However, u</w:t>
      </w:r>
      <w:r w:rsidR="0016638A">
        <w:rPr>
          <w:lang w:bidi="fa-IR"/>
        </w:rPr>
        <w:t>nder most scenarios where dual fuel buildings are required to convert to fully electric in the future, the net benefits of Stringency Level 3 exceed Stringency Level 2 (implying Stringency Level 3 is the preferred option).</w:t>
      </w:r>
    </w:p>
    <w:p w14:paraId="35E19365" w14:textId="77777777" w:rsidR="0016638A" w:rsidRDefault="0016638A" w:rsidP="0016638A">
      <w:pPr>
        <w:pStyle w:val="KeyPoint2"/>
        <w:rPr>
          <w:lang w:bidi="fa-IR"/>
        </w:rPr>
      </w:pPr>
      <w:r>
        <w:rPr>
          <w:lang w:bidi="fa-IR"/>
        </w:rPr>
        <w:t>Where the outcome of the current policy choice being considered (i.e. the options for changing the NCC) depends on future policy choices that are uncertain, it can be helpful to think about these uncertain outcomes probabilistically.</w:t>
      </w:r>
    </w:p>
    <w:p w14:paraId="29E05C44" w14:textId="6E68EA84" w:rsidR="0016638A" w:rsidRDefault="0016638A" w:rsidP="0016638A">
      <w:pPr>
        <w:pStyle w:val="KeyPoint3"/>
        <w:rPr>
          <w:lang w:bidi="fa-IR"/>
        </w:rPr>
      </w:pPr>
      <w:r>
        <w:rPr>
          <w:lang w:bidi="fa-IR"/>
        </w:rPr>
        <w:t xml:space="preserve">If the probability that any dual fuel buildings built over the next 10 years will be required to ‘electrify’ in the future is considered greater than </w:t>
      </w:r>
      <w:r w:rsidR="008200E4">
        <w:rPr>
          <w:lang w:bidi="fa-IR"/>
        </w:rPr>
        <w:t>63</w:t>
      </w:r>
      <w:r>
        <w:rPr>
          <w:lang w:bidi="fa-IR"/>
        </w:rPr>
        <w:t> per cent, then Stringency Level 3 is likely to be the option that delivers the highest net benefits.</w:t>
      </w:r>
    </w:p>
    <w:p w14:paraId="1F4056A0" w14:textId="03170C9B" w:rsidR="0016638A" w:rsidRPr="0073416E" w:rsidRDefault="0016638A" w:rsidP="0016638A">
      <w:pPr>
        <w:pStyle w:val="KeyPoint3"/>
        <w:rPr>
          <w:lang w:bidi="fa-IR"/>
        </w:rPr>
      </w:pPr>
      <w:r>
        <w:rPr>
          <w:lang w:bidi="fa-IR"/>
        </w:rPr>
        <w:t xml:space="preserve">On the other hand, if the probability that any dual fuel buildings built over the next 10 years will be required to ‘electrify’ in the future is considered less than </w:t>
      </w:r>
      <w:r w:rsidR="008200E4">
        <w:rPr>
          <w:lang w:bidi="fa-IR"/>
        </w:rPr>
        <w:t>63</w:t>
      </w:r>
      <w:r>
        <w:rPr>
          <w:lang w:bidi="fa-IR"/>
        </w:rPr>
        <w:t> per cent, then Stringency Level 2 is likely to be the option that delivers the highest net benefits.</w:t>
      </w:r>
    </w:p>
    <w:p w14:paraId="5C0C461B" w14:textId="6F466EBD" w:rsidR="00767FC0" w:rsidRPr="00844A6E" w:rsidRDefault="00AD1802" w:rsidP="00767FC0">
      <w:pPr>
        <w:pStyle w:val="KeyPoint"/>
        <w:rPr>
          <w:szCs w:val="22"/>
        </w:rPr>
      </w:pPr>
      <w:r>
        <w:rPr>
          <w:szCs w:val="22"/>
        </w:rPr>
        <w:t>The costs of</w:t>
      </w:r>
      <w:r w:rsidR="00767FC0" w:rsidRPr="00844A6E">
        <w:rPr>
          <w:szCs w:val="22"/>
        </w:rPr>
        <w:t xml:space="preserve"> mandatory EV charging faciliti</w:t>
      </w:r>
      <w:r>
        <w:rPr>
          <w:szCs w:val="22"/>
        </w:rPr>
        <w:t>es are estimated to outweigh the benefits</w:t>
      </w:r>
      <w:r w:rsidR="00767FC0" w:rsidRPr="00844A6E">
        <w:rPr>
          <w:szCs w:val="22"/>
        </w:rPr>
        <w:t xml:space="preserve">. </w:t>
      </w:r>
    </w:p>
    <w:p w14:paraId="78F6617E" w14:textId="6BAD7854" w:rsidR="00767FC0" w:rsidRDefault="00767FC0" w:rsidP="00767FC0">
      <w:pPr>
        <w:pStyle w:val="Heading1"/>
        <w:numPr>
          <w:ilvl w:val="0"/>
          <w:numId w:val="35"/>
        </w:numPr>
        <w:ind w:left="170" w:hanging="170"/>
        <w:rPr>
          <w:lang w:bidi="fa-IR"/>
        </w:rPr>
      </w:pPr>
      <w:bookmarkStart w:id="181" w:name="_Toc177719445"/>
      <w:r>
        <w:tab/>
      </w:r>
      <w:bookmarkStart w:id="182" w:name="_Toc178292516"/>
      <w:r w:rsidRPr="009D5271">
        <w:t>Introduction</w:t>
      </w:r>
      <w:bookmarkEnd w:id="181"/>
      <w:bookmarkEnd w:id="182"/>
    </w:p>
    <w:p w14:paraId="1F072A11" w14:textId="77777777" w:rsidR="00767FC0" w:rsidRPr="00844A6E" w:rsidRDefault="00767FC0" w:rsidP="00767FC0">
      <w:pPr>
        <w:pStyle w:val="BodyText"/>
        <w:rPr>
          <w:szCs w:val="22"/>
        </w:rPr>
      </w:pPr>
      <w:r w:rsidRPr="00844A6E">
        <w:rPr>
          <w:szCs w:val="22"/>
        </w:rPr>
        <w:t xml:space="preserve">Australia has committed to reduce greenhouse gas (GHG) emissions by 43 per cent below the 2005 level by 2030 and achieve net zero emissions by 2050. All Australian states and territories are committed to net zero emissions by 2050 or earlier, with varying interim targets for 2030. </w:t>
      </w:r>
    </w:p>
    <w:p w14:paraId="70E59B6D" w14:textId="77777777" w:rsidR="00767FC0" w:rsidRPr="00844A6E" w:rsidRDefault="00767FC0" w:rsidP="00767FC0">
      <w:pPr>
        <w:pStyle w:val="BodyText"/>
        <w:rPr>
          <w:szCs w:val="22"/>
        </w:rPr>
      </w:pPr>
      <w:r w:rsidRPr="00844A6E">
        <w:rPr>
          <w:szCs w:val="22"/>
        </w:rPr>
        <w:t>Commercial buildings are a significant energy user and GHG emitter. It is estimated that there were more than 1 million commercial buildings in Australia by the end of financial year of 2020, with a gross floor area (GFA) of 830 million square metres estimated on a primary purpose basis.</w:t>
      </w:r>
      <w:r w:rsidRPr="00844A6E">
        <w:rPr>
          <w:rStyle w:val="FootnoteReference"/>
          <w:sz w:val="22"/>
          <w:szCs w:val="22"/>
        </w:rPr>
        <w:footnoteReference w:id="7"/>
      </w:r>
      <w:r w:rsidRPr="00844A6E">
        <w:rPr>
          <w:szCs w:val="22"/>
        </w:rPr>
        <w:t xml:space="preserve"> These buildings consumed 267 petajoules (PJ) in FY2020, including 227 PJ of electricity and 40 PJ of gas, accounting for 23.8 per cent of Australia’s total electricity consumption. They emitted 46.9 Mt CO</w:t>
      </w:r>
      <w:r w:rsidRPr="00844A6E">
        <w:rPr>
          <w:szCs w:val="22"/>
          <w:vertAlign w:val="subscript"/>
        </w:rPr>
        <w:t>2</w:t>
      </w:r>
      <w:r w:rsidRPr="00844A6E">
        <w:rPr>
          <w:szCs w:val="22"/>
        </w:rPr>
        <w:t>-e of GHGs in the year, representing 9.4 per cent of Australia’s total emissions.</w:t>
      </w:r>
      <w:r w:rsidRPr="00844A6E">
        <w:rPr>
          <w:rStyle w:val="FootnoteReference"/>
          <w:sz w:val="22"/>
          <w:szCs w:val="22"/>
        </w:rPr>
        <w:footnoteReference w:id="8"/>
      </w:r>
    </w:p>
    <w:p w14:paraId="338888DA" w14:textId="77777777" w:rsidR="00767FC0" w:rsidRPr="00844A6E" w:rsidRDefault="00767FC0" w:rsidP="00767FC0">
      <w:pPr>
        <w:pStyle w:val="BodyText"/>
        <w:rPr>
          <w:szCs w:val="22"/>
        </w:rPr>
      </w:pPr>
      <w:r w:rsidRPr="00844A6E">
        <w:rPr>
          <w:szCs w:val="22"/>
        </w:rPr>
        <w:t>Improving the energy efficiency in commercial buildings is important to achieving emissions reduction targets.</w:t>
      </w:r>
    </w:p>
    <w:p w14:paraId="17F6EE89" w14:textId="77777777" w:rsidR="00767FC0" w:rsidRDefault="00767FC0" w:rsidP="00767FC0">
      <w:pPr>
        <w:pStyle w:val="Heading2"/>
      </w:pPr>
      <w:bookmarkStart w:id="183" w:name="_Toc149060055"/>
      <w:bookmarkStart w:id="184" w:name="_Toc177719446"/>
      <w:bookmarkStart w:id="185" w:name="_Toc178292517"/>
      <w:r>
        <w:t>Scope</w:t>
      </w:r>
      <w:bookmarkEnd w:id="183"/>
      <w:bookmarkEnd w:id="184"/>
      <w:bookmarkEnd w:id="185"/>
    </w:p>
    <w:p w14:paraId="7729C15A" w14:textId="3214A822" w:rsidR="00767FC0" w:rsidRPr="00844A6E" w:rsidRDefault="00767FC0" w:rsidP="00767FC0">
      <w:pPr>
        <w:pStyle w:val="BodyText"/>
        <w:rPr>
          <w:szCs w:val="22"/>
        </w:rPr>
      </w:pPr>
      <w:r w:rsidRPr="00844A6E">
        <w:rPr>
          <w:szCs w:val="22"/>
        </w:rPr>
        <w:t>For the purpose of this work, commercial buildings are defined as Class 2 common areas, Class 3 buildings and Class 5 to 9 buildings (table</w:t>
      </w:r>
      <w:r>
        <w:rPr>
          <w:szCs w:val="22"/>
        </w:rPr>
        <w:t xml:space="preserve"> </w:t>
      </w:r>
      <w:r>
        <w:rPr>
          <w:szCs w:val="22"/>
        </w:rPr>
        <w:fldChar w:fldCharType="begin"/>
      </w:r>
      <w:r>
        <w:rPr>
          <w:szCs w:val="22"/>
        </w:rPr>
        <w:instrText xml:space="preserve"> REF _Caption0394 </w:instrText>
      </w:r>
      <w:r>
        <w:rPr>
          <w:szCs w:val="22"/>
        </w:rPr>
        <w:fldChar w:fldCharType="separate"/>
      </w:r>
      <w:r w:rsidR="006E00A7">
        <w:rPr>
          <w:noProof/>
        </w:rPr>
        <w:t>1</w:t>
      </w:r>
      <w:r w:rsidR="006E00A7" w:rsidRPr="00695C93">
        <w:rPr>
          <w:noProof/>
        </w:rPr>
        <w:t>.</w:t>
      </w:r>
      <w:r w:rsidR="006E00A7">
        <w:rPr>
          <w:noProof/>
        </w:rPr>
        <w:t>1</w:t>
      </w:r>
      <w:r>
        <w:rPr>
          <w:szCs w:val="22"/>
        </w:rPr>
        <w:fldChar w:fldCharType="end"/>
      </w:r>
      <w:r w:rsidRPr="00844A6E">
        <w:rPr>
          <w:szCs w:val="22"/>
        </w:rPr>
        <w:t>). As common areas of Class 2 building have similar characteristics to other commercial building classifications, for example an entrance hall to the lobby area of a hotel, and gyms and swimming facilities to those in Class 9b, they are not separately reported in this RIS.</w:t>
      </w:r>
    </w:p>
    <w:p w14:paraId="580C3D67" w14:textId="26E58523" w:rsidR="00767FC0" w:rsidRPr="00695C93" w:rsidRDefault="00767FC0">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581346">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581346">
          <w:rPr>
            <w:noProof/>
          </w:rPr>
          <w:instrText>1</w:instrText>
        </w:r>
      </w:fldSimple>
      <w:r w:rsidRPr="00695C93">
        <w:instrText xml:space="preserve"> = 0 "" "</w:instrText>
      </w:r>
      <w:fldSimple w:instr=" STYLEREF &quot;Heading 1&quot; \l \n ">
        <w:r w:rsidR="00581346">
          <w:rPr>
            <w:noProof/>
          </w:rPr>
          <w:instrText>1</w:instrText>
        </w:r>
      </w:fldSimple>
      <w:r w:rsidRPr="00695C93">
        <w:instrText xml:space="preserve">." </w:instrText>
      </w:r>
      <w:r w:rsidRPr="00695C93">
        <w:fldChar w:fldCharType="separate"/>
      </w:r>
      <w:r w:rsidR="00581346">
        <w:rPr>
          <w:noProof/>
        </w:rPr>
        <w:instrText>1</w:instrText>
      </w:r>
      <w:r w:rsidR="00581346" w:rsidRPr="00695C93">
        <w:rPr>
          <w:noProof/>
        </w:rPr>
        <w:instrText>.</w:instrText>
      </w:r>
      <w:r w:rsidRPr="00695C93">
        <w:fldChar w:fldCharType="end"/>
      </w:r>
      <w:r w:rsidRPr="00695C93">
        <w:instrText>" "</w:instrText>
      </w:r>
      <w:fldSimple w:instr=" STYLEREF &quot;Heading 6&quot; \l \n ">
        <w:r>
          <w:rPr>
            <w:noProof/>
          </w:rPr>
          <w:instrText>A</w:instrText>
        </w:r>
      </w:fldSimple>
      <w:r w:rsidRPr="00695C93">
        <w:instrText xml:space="preserve">." </w:instrText>
      </w:r>
      <w:r w:rsidRPr="00695C93">
        <w:fldChar w:fldCharType="separate"/>
      </w:r>
      <w:r w:rsidR="008C60A3">
        <w:rPr>
          <w:noProof/>
        </w:rPr>
        <w:instrText>1</w:instrText>
      </w:r>
      <w:r w:rsidR="008C60A3"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581346">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581346">
          <w:rPr>
            <w:noProof/>
          </w:rPr>
          <w:instrText>1</w:instrText>
        </w:r>
      </w:fldSimple>
      <w:r w:rsidRPr="00695C93">
        <w:instrText xml:space="preserve"> = 0 "" "1" </w:instrText>
      </w:r>
      <w:r w:rsidRPr="00695C93">
        <w:fldChar w:fldCharType="separate"/>
      </w:r>
      <w:r w:rsidR="008C60A3" w:rsidRPr="00695C93">
        <w:rPr>
          <w:noProof/>
        </w:rPr>
        <w:instrText>1</w:instrText>
      </w:r>
      <w:r w:rsidRPr="00695C93">
        <w:fldChar w:fldCharType="end"/>
      </w:r>
      <w:r w:rsidRPr="00695C93">
        <w:instrText xml:space="preserve">" "6" </w:instrText>
      </w:r>
      <w:r w:rsidRPr="00695C93">
        <w:fldChar w:fldCharType="separate"/>
      </w:r>
      <w:r w:rsidR="008C60A3" w:rsidRPr="00695C93">
        <w:rPr>
          <w:noProof/>
        </w:rPr>
        <w:instrText>1</w:instrText>
      </w:r>
      <w:r w:rsidRPr="00695C93">
        <w:fldChar w:fldCharType="end"/>
      </w:r>
      <w:r w:rsidRPr="00695C93">
        <w:instrText xml:space="preserve"> </w:instrText>
      </w:r>
      <w:r w:rsidRPr="00695C93">
        <w:fldChar w:fldCharType="separate"/>
      </w:r>
      <w:r w:rsidR="00581346">
        <w:rPr>
          <w:noProof/>
        </w:rPr>
        <w:instrText>1</w:instrText>
      </w:r>
      <w:r w:rsidRPr="00695C93">
        <w:fldChar w:fldCharType="end"/>
      </w:r>
      <w:r w:rsidRPr="00695C93">
        <w:instrText xml:space="preserve">" "" </w:instrText>
      </w:r>
      <w:r w:rsidRPr="00695C93">
        <w:fldChar w:fldCharType="separate"/>
      </w:r>
      <w:bookmarkStart w:id="186" w:name="_Caption8553"/>
      <w:bookmarkStart w:id="187" w:name="_Caption2118"/>
      <w:bookmarkStart w:id="188" w:name="_Caption3404"/>
      <w:bookmarkStart w:id="189" w:name="_Caption6093"/>
      <w:bookmarkStart w:id="190" w:name="_Caption7809"/>
      <w:bookmarkStart w:id="191" w:name="_Caption8797"/>
      <w:bookmarkStart w:id="192" w:name="_Caption9667"/>
      <w:bookmarkStart w:id="193" w:name="_Caption5386"/>
      <w:bookmarkStart w:id="194" w:name="_Caption2122"/>
      <w:bookmarkStart w:id="195" w:name="_Caption9697"/>
      <w:bookmarkStart w:id="196" w:name="_Caption9928"/>
      <w:bookmarkStart w:id="197" w:name="_Caption7290"/>
      <w:bookmarkStart w:id="198" w:name="_Caption9395"/>
      <w:bookmarkStart w:id="199" w:name="_Caption5745"/>
      <w:bookmarkStart w:id="200" w:name="_Caption9069"/>
      <w:bookmarkStart w:id="201" w:name="_Caption3396"/>
      <w:bookmarkStart w:id="202" w:name="_Caption1209"/>
      <w:bookmarkStart w:id="203" w:name="_Caption9029"/>
      <w:bookmarkStart w:id="204" w:name="_Caption2242"/>
      <w:bookmarkStart w:id="205" w:name="_Caption4680"/>
      <w:bookmarkStart w:id="206" w:name="_Caption5550"/>
      <w:bookmarkStart w:id="207" w:name="_Caption2311"/>
      <w:bookmarkStart w:id="208" w:name="_Caption9975"/>
      <w:bookmarkStart w:id="209" w:name="_Caption7365"/>
      <w:bookmarkStart w:id="210" w:name="_Caption5943"/>
      <w:bookmarkStart w:id="211" w:name="_Caption4711"/>
      <w:bookmarkStart w:id="212" w:name="_Caption3925"/>
      <w:bookmarkStart w:id="213" w:name="_Caption8573"/>
      <w:bookmarkStart w:id="214" w:name="_Caption9013"/>
      <w:bookmarkStart w:id="215" w:name="_Caption9518"/>
      <w:bookmarkStart w:id="216" w:name="_Caption2591"/>
      <w:bookmarkStart w:id="217" w:name="_Caption5950"/>
      <w:bookmarkStart w:id="218" w:name="_Caption6869"/>
      <w:bookmarkStart w:id="219" w:name="_Caption5787"/>
      <w:bookmarkStart w:id="220" w:name="_Caption7633"/>
      <w:bookmarkStart w:id="221" w:name="_Caption0750"/>
      <w:bookmarkStart w:id="222" w:name="_Caption9721"/>
      <w:bookmarkStart w:id="223" w:name="_Caption4396"/>
      <w:bookmarkStart w:id="224" w:name="_Caption1181"/>
      <w:bookmarkStart w:id="225" w:name="_Caption4209"/>
      <w:bookmarkStart w:id="226" w:name="_Caption6850"/>
      <w:bookmarkStart w:id="227" w:name="_Caption7284"/>
      <w:bookmarkStart w:id="228" w:name="_Caption2192"/>
      <w:bookmarkStart w:id="229" w:name="_Caption2560"/>
      <w:bookmarkStart w:id="230" w:name="_Caption8371"/>
      <w:bookmarkStart w:id="231" w:name="_Caption9278"/>
      <w:bookmarkStart w:id="232" w:name="_Caption3591"/>
      <w:bookmarkStart w:id="233" w:name="_Caption7863"/>
      <w:bookmarkStart w:id="234" w:name="_Caption3767"/>
      <w:bookmarkStart w:id="235" w:name="_Caption3203"/>
      <w:bookmarkStart w:id="236" w:name="_Caption7430"/>
      <w:bookmarkStart w:id="237" w:name="_Caption5423"/>
      <w:bookmarkStart w:id="238" w:name="_Caption3304"/>
      <w:bookmarkStart w:id="239" w:name="_Caption6553"/>
      <w:bookmarkStart w:id="240" w:name="_Caption0394"/>
      <w:bookmarkStart w:id="241" w:name="_Caption4691"/>
      <w:bookmarkStart w:id="242" w:name="_Caption4241"/>
      <w:bookmarkStart w:id="243" w:name="_Caption9120"/>
      <w:bookmarkStart w:id="244" w:name="_Caption3752"/>
      <w:bookmarkStart w:id="245" w:name="_Caption4605"/>
      <w:bookmarkStart w:id="246" w:name="_Caption1725"/>
      <w:bookmarkStart w:id="247" w:name="_Caption3916"/>
      <w:bookmarkStart w:id="248" w:name="_Caption9842"/>
      <w:bookmarkStart w:id="249" w:name="_Caption0990"/>
      <w:bookmarkStart w:id="250" w:name="_Caption7798"/>
      <w:bookmarkStart w:id="251" w:name="_Caption5419"/>
      <w:bookmarkStart w:id="252" w:name="_Caption9717"/>
      <w:bookmarkStart w:id="253" w:name="_Caption8532"/>
      <w:bookmarkStart w:id="254" w:name="_Caption7962"/>
      <w:bookmarkStart w:id="255" w:name="_Caption1753"/>
      <w:bookmarkStart w:id="256" w:name="_Caption5087"/>
      <w:bookmarkStart w:id="257" w:name="_Caption6299"/>
      <w:bookmarkStart w:id="258" w:name="_Caption7998"/>
      <w:bookmarkStart w:id="259" w:name="_Caption5153"/>
      <w:bookmarkStart w:id="260" w:name="_Caption5303"/>
      <w:bookmarkStart w:id="261" w:name="_Caption8935"/>
      <w:bookmarkStart w:id="262" w:name="_Caption5914"/>
      <w:bookmarkStart w:id="263" w:name="_Caption3774"/>
      <w:bookmarkStart w:id="264" w:name="_Caption8019"/>
      <w:bookmarkStart w:id="265" w:name="_Caption5896"/>
      <w:bookmarkStart w:id="266" w:name="_Caption0937"/>
      <w:bookmarkStart w:id="267" w:name="_Toc178292568"/>
      <w:r w:rsidR="008C60A3">
        <w:rPr>
          <w:noProof/>
        </w:rPr>
        <w:t>1</w:t>
      </w:r>
      <w:r w:rsidR="008C60A3" w:rsidRPr="00695C93">
        <w:rPr>
          <w:noProof/>
        </w:rPr>
        <w:t>.</w:t>
      </w:r>
      <w:r w:rsidR="008C60A3">
        <w:rPr>
          <w:noProof/>
        </w:rPr>
        <w:t>1</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sidRPr="00695C93">
        <w:fldChar w:fldCharType="end"/>
      </w:r>
      <w:r w:rsidRPr="00695C93">
        <w:tab/>
      </w:r>
      <w:r>
        <w:t>Commercial buildings</w:t>
      </w:r>
      <w:bookmarkEnd w:id="267"/>
      <w:r>
        <w:tab/>
      </w:r>
    </w:p>
    <w:tbl>
      <w:tblPr>
        <w:tblW w:w="7994" w:type="dxa"/>
        <w:tblLayout w:type="fixed"/>
        <w:tblLook w:val="0000" w:firstRow="0" w:lastRow="0" w:firstColumn="0" w:lastColumn="0" w:noHBand="0" w:noVBand="0"/>
        <w:tblCaption w:val="Table 1.1"/>
        <w:tblDescription w:val="Commercial buildings"/>
      </w:tblPr>
      <w:tblGrid>
        <w:gridCol w:w="1276"/>
        <w:gridCol w:w="6718"/>
      </w:tblGrid>
      <w:tr w:rsidR="00767FC0" w14:paraId="363E7F28" w14:textId="77777777">
        <w:trPr>
          <w:tblHeader/>
        </w:trPr>
        <w:tc>
          <w:tcPr>
            <w:tcW w:w="1276" w:type="dxa"/>
            <w:tcBorders>
              <w:bottom w:val="single" w:sz="8" w:space="0" w:color="FFFFFF" w:themeColor="background1"/>
            </w:tcBorders>
            <w:shd w:val="clear" w:color="auto" w:fill="6F6652"/>
            <w:tcMar>
              <w:left w:w="57" w:type="dxa"/>
              <w:right w:w="57" w:type="dxa"/>
            </w:tcMar>
          </w:tcPr>
          <w:p w14:paraId="3A04618F" w14:textId="77777777" w:rsidR="00767FC0" w:rsidRDefault="00767FC0">
            <w:pPr>
              <w:pStyle w:val="TableTextColumnHeading"/>
            </w:pPr>
            <w:r>
              <w:t>Building class</w:t>
            </w:r>
          </w:p>
        </w:tc>
        <w:tc>
          <w:tcPr>
            <w:tcW w:w="6718" w:type="dxa"/>
            <w:tcBorders>
              <w:bottom w:val="single" w:sz="8" w:space="0" w:color="FFFFFF" w:themeColor="background1"/>
            </w:tcBorders>
            <w:shd w:val="clear" w:color="auto" w:fill="6F6652"/>
            <w:tcMar>
              <w:left w:w="57" w:type="dxa"/>
              <w:right w:w="57" w:type="dxa"/>
            </w:tcMar>
          </w:tcPr>
          <w:p w14:paraId="551F8BAE" w14:textId="77777777" w:rsidR="00767FC0" w:rsidRDefault="00767FC0">
            <w:pPr>
              <w:pStyle w:val="TableTextColumnHeading"/>
            </w:pPr>
            <w:r>
              <w:t>Description</w:t>
            </w:r>
          </w:p>
        </w:tc>
      </w:tr>
      <w:tr w:rsidR="00767FC0" w14:paraId="611A4767" w14:textId="77777777">
        <w:tc>
          <w:tcPr>
            <w:tcW w:w="127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A0FF6B" w14:textId="77777777" w:rsidR="00767FC0" w:rsidRDefault="00767FC0">
            <w:pPr>
              <w:pStyle w:val="TableTextEntries"/>
            </w:pPr>
            <w:r>
              <w:t>Class 2 common areas</w:t>
            </w:r>
          </w:p>
        </w:tc>
        <w:tc>
          <w:tcPr>
            <w:tcW w:w="671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9737633" w14:textId="77777777" w:rsidR="00767FC0" w:rsidRDefault="00767FC0">
            <w:pPr>
              <w:pStyle w:val="TableTextEntries"/>
            </w:pPr>
            <w:r>
              <w:t>Class 2 buildings are apartment buildings. They are typically multi-unit residential buildings where people live above and below each other. Class 2 buildings may also be single storey attached dwellings where there is a common space below. For example, two dwellings above a common basement or carpark.</w:t>
            </w:r>
          </w:p>
          <w:p w14:paraId="1D8A6390" w14:textId="77777777" w:rsidR="00767FC0" w:rsidRDefault="00767FC0">
            <w:pPr>
              <w:pStyle w:val="TableTextEntries"/>
            </w:pPr>
            <w:r>
              <w:t>Only common areas of Class 2 buildings are considered as commercial buildings.</w:t>
            </w:r>
          </w:p>
        </w:tc>
      </w:tr>
      <w:tr w:rsidR="00767FC0" w14:paraId="70844CDC" w14:textId="77777777">
        <w:tc>
          <w:tcPr>
            <w:tcW w:w="127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322E2F" w14:textId="77777777" w:rsidR="00767FC0" w:rsidRDefault="00767FC0">
            <w:pPr>
              <w:pStyle w:val="TableTextEntries"/>
            </w:pPr>
            <w:r>
              <w:t>Class 3</w:t>
            </w:r>
          </w:p>
        </w:tc>
        <w:tc>
          <w:tcPr>
            <w:tcW w:w="671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228CE7" w14:textId="77777777" w:rsidR="00767FC0" w:rsidRDefault="00767FC0">
            <w:pPr>
              <w:pStyle w:val="TableTextEntries"/>
            </w:pPr>
            <w:r>
              <w:t xml:space="preserve">Class 3 buildings are residential buildings other than a Class 1 or Class 2 building. They are a common place of long term or transient living for a number of unrelated people. Examples include a </w:t>
            </w:r>
            <w:r w:rsidRPr="00084812">
              <w:rPr>
                <w:b/>
              </w:rPr>
              <w:t>hotel</w:t>
            </w:r>
            <w:r>
              <w:t>, boarding house, guest house, hostel or backpackers (that are larger than the limits for a Class 1b building (a boarding house, guest house or hostel with a floor area less than 300m</w:t>
            </w:r>
            <w:r>
              <w:rPr>
                <w:vertAlign w:val="superscript"/>
              </w:rPr>
              <w:t>2</w:t>
            </w:r>
            <w:r>
              <w:t xml:space="preserve"> and ordinarily having less than 12 people living in it).</w:t>
            </w:r>
          </w:p>
        </w:tc>
      </w:tr>
      <w:tr w:rsidR="00767FC0" w14:paraId="5BB15B7A" w14:textId="77777777">
        <w:tc>
          <w:tcPr>
            <w:tcW w:w="127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E85970C" w14:textId="77777777" w:rsidR="00767FC0" w:rsidRDefault="00767FC0">
            <w:pPr>
              <w:pStyle w:val="TableTextEntries"/>
            </w:pPr>
            <w:r>
              <w:t>Class 5</w:t>
            </w:r>
          </w:p>
        </w:tc>
        <w:tc>
          <w:tcPr>
            <w:tcW w:w="671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007C68" w14:textId="77777777" w:rsidR="00767FC0" w:rsidRDefault="00767FC0">
            <w:pPr>
              <w:pStyle w:val="TableTextEntries"/>
            </w:pPr>
            <w:r>
              <w:t xml:space="preserve">Class 5 buildings are </w:t>
            </w:r>
            <w:r w:rsidRPr="00084812">
              <w:rPr>
                <w:b/>
              </w:rPr>
              <w:t>office</w:t>
            </w:r>
            <w:r>
              <w:t xml:space="preserve"> buildings that are used for professional or commercial purposes, excluding Class 6, 7, 8 or 9 buildings.</w:t>
            </w:r>
          </w:p>
        </w:tc>
      </w:tr>
      <w:tr w:rsidR="00767FC0" w14:paraId="1A6376B9" w14:textId="77777777">
        <w:tc>
          <w:tcPr>
            <w:tcW w:w="127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0F2BEA" w14:textId="77777777" w:rsidR="00767FC0" w:rsidRDefault="00767FC0">
            <w:pPr>
              <w:pStyle w:val="TableTextEntries"/>
            </w:pPr>
            <w:r>
              <w:t>Class 6</w:t>
            </w:r>
          </w:p>
        </w:tc>
        <w:tc>
          <w:tcPr>
            <w:tcW w:w="671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7148C9E" w14:textId="77777777" w:rsidR="00767FC0" w:rsidRDefault="00767FC0">
            <w:pPr>
              <w:pStyle w:val="TableTextEntries"/>
            </w:pPr>
            <w:r>
              <w:t xml:space="preserve">Class 6 buildings are typically </w:t>
            </w:r>
            <w:r w:rsidRPr="00084812">
              <w:rPr>
                <w:b/>
              </w:rPr>
              <w:t>retail</w:t>
            </w:r>
            <w:r>
              <w:t xml:space="preserve"> buildings such as </w:t>
            </w:r>
            <w:r w:rsidRPr="00633109">
              <w:t>shops</w:t>
            </w:r>
            <w:r>
              <w:t>, restaurants and cafés. They are a place for the sale of retail goods or the supply of services direct to the public.</w:t>
            </w:r>
          </w:p>
        </w:tc>
      </w:tr>
      <w:tr w:rsidR="00767FC0" w14:paraId="006E4897" w14:textId="77777777">
        <w:tc>
          <w:tcPr>
            <w:tcW w:w="127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4CE4B34" w14:textId="77777777" w:rsidR="00767FC0" w:rsidRDefault="00767FC0">
            <w:pPr>
              <w:pStyle w:val="TableTextEntries"/>
            </w:pPr>
            <w:r>
              <w:t>Class 7</w:t>
            </w:r>
          </w:p>
        </w:tc>
        <w:tc>
          <w:tcPr>
            <w:tcW w:w="671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280C58" w14:textId="77777777" w:rsidR="00767FC0" w:rsidRDefault="00767FC0">
            <w:pPr>
              <w:pStyle w:val="TableTextEntries"/>
            </w:pPr>
            <w:r>
              <w:t>Class 7 buildings include two subclassifications: Class 7a and Class 7b.</w:t>
            </w:r>
          </w:p>
        </w:tc>
      </w:tr>
      <w:tr w:rsidR="00767FC0" w14:paraId="2F39CD11" w14:textId="77777777">
        <w:tc>
          <w:tcPr>
            <w:tcW w:w="127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E37A4F" w14:textId="77777777" w:rsidR="00767FC0" w:rsidRDefault="00767FC0">
            <w:pPr>
              <w:pStyle w:val="TableTextEntries"/>
            </w:pPr>
            <w:r>
              <w:t xml:space="preserve">    Class 7a</w:t>
            </w:r>
          </w:p>
        </w:tc>
        <w:tc>
          <w:tcPr>
            <w:tcW w:w="671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D7FE0C" w14:textId="77777777" w:rsidR="00767FC0" w:rsidRDefault="00767FC0">
            <w:pPr>
              <w:pStyle w:val="TableTextEntries"/>
            </w:pPr>
            <w:r>
              <w:t xml:space="preserve">Class 7a buildings are </w:t>
            </w:r>
            <w:r w:rsidRPr="00084812">
              <w:rPr>
                <w:b/>
              </w:rPr>
              <w:t>carparks</w:t>
            </w:r>
            <w:r>
              <w:t>.</w:t>
            </w:r>
          </w:p>
        </w:tc>
      </w:tr>
      <w:tr w:rsidR="00767FC0" w14:paraId="7A83844E" w14:textId="77777777">
        <w:tc>
          <w:tcPr>
            <w:tcW w:w="127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7CD7EF" w14:textId="77777777" w:rsidR="00767FC0" w:rsidRDefault="00767FC0">
            <w:pPr>
              <w:pStyle w:val="TableTextEntries"/>
            </w:pPr>
            <w:r>
              <w:t xml:space="preserve">    Class 7b</w:t>
            </w:r>
          </w:p>
        </w:tc>
        <w:tc>
          <w:tcPr>
            <w:tcW w:w="671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B74CA58" w14:textId="77777777" w:rsidR="00767FC0" w:rsidRDefault="00767FC0">
            <w:pPr>
              <w:pStyle w:val="TableTextEntries"/>
            </w:pPr>
            <w:r>
              <w:t xml:space="preserve">Class 7b buildings are typically </w:t>
            </w:r>
            <w:r w:rsidRPr="00084812">
              <w:rPr>
                <w:b/>
              </w:rPr>
              <w:t>warehouses</w:t>
            </w:r>
            <w:r>
              <w:t>, storage buildings or buildings for the display of goods (or produce) that is for wholesale.</w:t>
            </w:r>
          </w:p>
        </w:tc>
      </w:tr>
      <w:tr w:rsidR="00767FC0" w14:paraId="099F349A" w14:textId="77777777">
        <w:tc>
          <w:tcPr>
            <w:tcW w:w="127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277ABBC" w14:textId="77777777" w:rsidR="00767FC0" w:rsidRDefault="00767FC0">
            <w:pPr>
              <w:pStyle w:val="TableTextEntries"/>
            </w:pPr>
            <w:r>
              <w:t>Class 8</w:t>
            </w:r>
          </w:p>
        </w:tc>
        <w:tc>
          <w:tcPr>
            <w:tcW w:w="671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4040776" w14:textId="77777777" w:rsidR="00767FC0" w:rsidRDefault="00767FC0">
            <w:pPr>
              <w:pStyle w:val="TableTextEntries"/>
            </w:pPr>
            <w:r>
              <w:t xml:space="preserve">A </w:t>
            </w:r>
            <w:r w:rsidRPr="00084812">
              <w:rPr>
                <w:b/>
              </w:rPr>
              <w:t>factory</w:t>
            </w:r>
            <w:r>
              <w:t xml:space="preserve"> is the most common way to describe a Class 8 building. It is a building in which a process (or handicraft) is carried out for trade, sale, or gain. The building can be used for production, assembling, altering, repairing, finishing, packing, or cleaning of goods or produce. It includes buildings such as a mechanic’s workshop. It may also be a building for food manufacture, such as an abattoir. A laboratory is also a Class 8 building.</w:t>
            </w:r>
          </w:p>
        </w:tc>
      </w:tr>
      <w:tr w:rsidR="00767FC0" w14:paraId="2FBA8F27" w14:textId="77777777">
        <w:tc>
          <w:tcPr>
            <w:tcW w:w="127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B1BFA7" w14:textId="77777777" w:rsidR="00767FC0" w:rsidRDefault="00767FC0">
            <w:pPr>
              <w:pStyle w:val="TableTextEntries"/>
            </w:pPr>
            <w:r>
              <w:t>Class 9</w:t>
            </w:r>
          </w:p>
        </w:tc>
        <w:tc>
          <w:tcPr>
            <w:tcW w:w="671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D123CFD" w14:textId="77777777" w:rsidR="00767FC0" w:rsidRDefault="00767FC0">
            <w:pPr>
              <w:pStyle w:val="TableTextEntries"/>
            </w:pPr>
            <w:r>
              <w:t>Class 9 buildings are buildings of a public nature, which include three subclassifications: Class 9a, Class 9b and Class 9c.</w:t>
            </w:r>
          </w:p>
        </w:tc>
      </w:tr>
      <w:tr w:rsidR="00767FC0" w14:paraId="65FD88BA" w14:textId="77777777">
        <w:tc>
          <w:tcPr>
            <w:tcW w:w="127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3128B75" w14:textId="77777777" w:rsidR="00767FC0" w:rsidRDefault="00767FC0">
            <w:pPr>
              <w:pStyle w:val="TableTextEntries"/>
            </w:pPr>
            <w:r>
              <w:t xml:space="preserve">    Class 9a</w:t>
            </w:r>
          </w:p>
        </w:tc>
        <w:tc>
          <w:tcPr>
            <w:tcW w:w="671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97CDB80" w14:textId="77777777" w:rsidR="00767FC0" w:rsidRDefault="00767FC0">
            <w:pPr>
              <w:pStyle w:val="TableTextEntries"/>
            </w:pPr>
            <w:r>
              <w:t xml:space="preserve">Class 9a buildings are generally </w:t>
            </w:r>
            <w:r w:rsidRPr="00084812">
              <w:rPr>
                <w:b/>
              </w:rPr>
              <w:t>hospitals</w:t>
            </w:r>
            <w:r>
              <w:t xml:space="preserve"> which are referred to in the NCC as health-care buildings.</w:t>
            </w:r>
          </w:p>
        </w:tc>
      </w:tr>
      <w:tr w:rsidR="00767FC0" w14:paraId="3FF110C3" w14:textId="77777777">
        <w:tc>
          <w:tcPr>
            <w:tcW w:w="127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A732F7F" w14:textId="77777777" w:rsidR="00767FC0" w:rsidRDefault="00767FC0">
            <w:pPr>
              <w:pStyle w:val="TableTextEntries"/>
            </w:pPr>
            <w:r>
              <w:t xml:space="preserve">    Class 9b</w:t>
            </w:r>
          </w:p>
        </w:tc>
        <w:tc>
          <w:tcPr>
            <w:tcW w:w="671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F1F281" w14:textId="77777777" w:rsidR="00767FC0" w:rsidRDefault="00767FC0">
            <w:pPr>
              <w:pStyle w:val="TableTextEntries"/>
            </w:pPr>
            <w:r>
              <w:t xml:space="preserve">Class 9b buildings are assembly buildings in which people may gather for social, theatrical, political, religious or civil purposes. They include </w:t>
            </w:r>
            <w:r w:rsidRPr="00084812">
              <w:rPr>
                <w:b/>
              </w:rPr>
              <w:t>schools</w:t>
            </w:r>
            <w:r>
              <w:t>, universities, childcare centres, pre-schools, sporting facilities, night clubs, or public transport buildings.</w:t>
            </w:r>
          </w:p>
        </w:tc>
      </w:tr>
      <w:tr w:rsidR="00767FC0" w14:paraId="5FF2219F" w14:textId="77777777">
        <w:tc>
          <w:tcPr>
            <w:tcW w:w="1276" w:type="dxa"/>
            <w:tcBorders>
              <w:top w:val="single" w:sz="8" w:space="0" w:color="FFFFFF" w:themeColor="background1"/>
              <w:bottom w:val="single" w:sz="6" w:space="0" w:color="6F6652"/>
            </w:tcBorders>
            <w:shd w:val="clear" w:color="auto" w:fill="E9E8E5" w:themeFill="background2"/>
            <w:tcMar>
              <w:left w:w="57" w:type="dxa"/>
              <w:right w:w="57" w:type="dxa"/>
            </w:tcMar>
          </w:tcPr>
          <w:p w14:paraId="1E1CD0C6" w14:textId="77777777" w:rsidR="00767FC0" w:rsidRDefault="00767FC0">
            <w:pPr>
              <w:pStyle w:val="TableTextEntries"/>
            </w:pPr>
            <w:r>
              <w:t xml:space="preserve">    Class 9c</w:t>
            </w:r>
          </w:p>
        </w:tc>
        <w:tc>
          <w:tcPr>
            <w:tcW w:w="6718" w:type="dxa"/>
            <w:tcBorders>
              <w:top w:val="single" w:sz="8" w:space="0" w:color="FFFFFF" w:themeColor="background1"/>
              <w:bottom w:val="single" w:sz="6" w:space="0" w:color="6F6652"/>
            </w:tcBorders>
            <w:shd w:val="clear" w:color="auto" w:fill="E9E8E5" w:themeFill="background2"/>
            <w:tcMar>
              <w:left w:w="57" w:type="dxa"/>
              <w:right w:w="57" w:type="dxa"/>
            </w:tcMar>
          </w:tcPr>
          <w:p w14:paraId="5281FDCA" w14:textId="77777777" w:rsidR="00767FC0" w:rsidRDefault="00767FC0">
            <w:pPr>
              <w:pStyle w:val="TableTextEntries"/>
            </w:pPr>
            <w:r>
              <w:t xml:space="preserve">Class 9c buildings are </w:t>
            </w:r>
            <w:r w:rsidRPr="00084812">
              <w:rPr>
                <w:b/>
              </w:rPr>
              <w:t>aged care</w:t>
            </w:r>
            <w:r>
              <w:t xml:space="preserve"> buildings. Aged care buildings are defined as residential accommodation for elderly people who, due to varying degrees of incapacity associated with the ageing process, are provided with personal care services and 24-hour staff assistance to evacuate the building in an emergency.</w:t>
            </w:r>
          </w:p>
        </w:tc>
      </w:tr>
    </w:tbl>
    <w:p w14:paraId="6700B889" w14:textId="77777777" w:rsidR="00767FC0" w:rsidRDefault="00767FC0" w:rsidP="00767FC0">
      <w:pPr>
        <w:pStyle w:val="Source"/>
      </w:pPr>
      <w:r>
        <w:rPr>
          <w:i/>
        </w:rPr>
        <w:t>Source</w:t>
      </w:r>
      <w:r w:rsidRPr="00E4232C">
        <w:rPr>
          <w:i/>
        </w:rPr>
        <w:t>:</w:t>
      </w:r>
      <w:r>
        <w:t xml:space="preserve"> excerpt from ABCB 2022, </w:t>
      </w:r>
      <w:r>
        <w:rPr>
          <w:i/>
        </w:rPr>
        <w:t>Understanding the NCC: Building Classifications</w:t>
      </w:r>
      <w:r>
        <w:t xml:space="preserve">. </w:t>
      </w:r>
    </w:p>
    <w:p w14:paraId="5DA0070E" w14:textId="77777777" w:rsidR="00767FC0" w:rsidRPr="00742DE2" w:rsidRDefault="00767FC0" w:rsidP="00767FC0">
      <w:pPr>
        <w:pStyle w:val="Heading2"/>
        <w:numPr>
          <w:ilvl w:val="0"/>
          <w:numId w:val="0"/>
        </w:numPr>
      </w:pPr>
      <w:bookmarkStart w:id="268" w:name="_Toc149060056"/>
      <w:bookmarkStart w:id="269" w:name="_Toc177719447"/>
      <w:bookmarkStart w:id="270" w:name="_Toc178292518"/>
      <w:bookmarkStart w:id="271" w:name="_Toc492549748"/>
      <w:r w:rsidRPr="00742DE2">
        <w:t>Energy efficiency in the NCC</w:t>
      </w:r>
      <w:bookmarkEnd w:id="268"/>
      <w:bookmarkEnd w:id="269"/>
      <w:bookmarkEnd w:id="270"/>
    </w:p>
    <w:p w14:paraId="5F3B9A2C" w14:textId="77777777" w:rsidR="00767FC0" w:rsidRPr="00844A6E" w:rsidRDefault="00767FC0" w:rsidP="00767FC0">
      <w:pPr>
        <w:pStyle w:val="BodyText"/>
        <w:rPr>
          <w:szCs w:val="22"/>
          <w:highlight w:val="yellow"/>
        </w:rPr>
      </w:pPr>
      <w:r w:rsidRPr="00844A6E">
        <w:rPr>
          <w:szCs w:val="22"/>
        </w:rPr>
        <w:t>Minimum energy efficiency standards for commercial buildings were first introduced into the Building Code of Australia (BCA), which now forms part of the National Construction Code (NCC), in 2006.</w:t>
      </w:r>
      <w:r w:rsidRPr="00844A6E">
        <w:rPr>
          <w:rStyle w:val="FootnoteReference"/>
          <w:sz w:val="22"/>
          <w:szCs w:val="22"/>
        </w:rPr>
        <w:footnoteReference w:id="9"/>
      </w:r>
      <w:r w:rsidRPr="00844A6E">
        <w:rPr>
          <w:szCs w:val="22"/>
        </w:rPr>
        <w:t xml:space="preserve"> The minimum energy efficiency standards were subsequently updated, including substantial increases in stringency, in 2010 and 2019.</w:t>
      </w:r>
    </w:p>
    <w:p w14:paraId="0C966E04" w14:textId="77777777" w:rsidR="00767FC0" w:rsidRPr="00844A6E" w:rsidRDefault="00767FC0" w:rsidP="00767FC0">
      <w:pPr>
        <w:pStyle w:val="Heading3"/>
        <w:numPr>
          <w:ilvl w:val="0"/>
          <w:numId w:val="0"/>
        </w:numPr>
        <w:rPr>
          <w:sz w:val="22"/>
        </w:rPr>
      </w:pPr>
      <w:bookmarkStart w:id="272" w:name="_Toc132979338"/>
      <w:bookmarkStart w:id="273" w:name="_Toc136527045"/>
      <w:r w:rsidRPr="00844A6E">
        <w:rPr>
          <w:sz w:val="22"/>
        </w:rPr>
        <w:t>Proposed changes to the NCC</w:t>
      </w:r>
      <w:bookmarkEnd w:id="271"/>
      <w:bookmarkEnd w:id="272"/>
      <w:bookmarkEnd w:id="273"/>
    </w:p>
    <w:p w14:paraId="020755BD" w14:textId="15ABC96F" w:rsidR="00767FC0" w:rsidRDefault="00767FC0" w:rsidP="00767FC0">
      <w:pPr>
        <w:pStyle w:val="BodyText"/>
        <w:rPr>
          <w:szCs w:val="22"/>
        </w:rPr>
      </w:pPr>
      <w:r w:rsidRPr="00844A6E">
        <w:rPr>
          <w:szCs w:val="22"/>
        </w:rPr>
        <w:t xml:space="preserve">The Australian Building Codes Board (ABCB) is developing detailed options for updating the minimum energy efficiency requirements for commercial buildings. This effort is in alignment with a set of policies and high-level strategies that focus on energy efficiency, net zero emissions, and the promotion of </w:t>
      </w:r>
      <w:r w:rsidR="005712E7">
        <w:rPr>
          <w:szCs w:val="22"/>
        </w:rPr>
        <w:t>EV</w:t>
      </w:r>
      <w:r w:rsidRPr="00844A6E">
        <w:rPr>
          <w:szCs w:val="22"/>
        </w:rPr>
        <w:t xml:space="preserve"> uptake. The overarching goal is to have energy efficiency improvement and make substantial contributions to achieving emission reduction targets at both Commonwealth and jurisdiction levels. </w:t>
      </w:r>
    </w:p>
    <w:p w14:paraId="67476222" w14:textId="77777777" w:rsidR="00813B3A" w:rsidRDefault="00923C9F" w:rsidP="00923C9F">
      <w:pPr>
        <w:pStyle w:val="BodyText"/>
        <w:rPr>
          <w:szCs w:val="22"/>
        </w:rPr>
      </w:pPr>
      <w:r w:rsidRPr="00844A6E">
        <w:rPr>
          <w:szCs w:val="22"/>
        </w:rPr>
        <w:t xml:space="preserve">To achieve these objectives, </w:t>
      </w:r>
      <w:r w:rsidR="00813B3A">
        <w:rPr>
          <w:szCs w:val="22"/>
        </w:rPr>
        <w:t>the following options have been developed.</w:t>
      </w:r>
    </w:p>
    <w:p w14:paraId="5CC8E640" w14:textId="2E4B8261" w:rsidR="00923C9F" w:rsidRPr="00844A6E" w:rsidRDefault="00761D46" w:rsidP="00761D46">
      <w:pPr>
        <w:pStyle w:val="ListBullet"/>
      </w:pPr>
      <w:r>
        <w:t>T</w:t>
      </w:r>
      <w:r w:rsidR="00923C9F">
        <w:t>hree options have been developed</w:t>
      </w:r>
      <w:r w:rsidR="00923C9F" w:rsidRPr="00844A6E">
        <w:t xml:space="preserve"> in relation to </w:t>
      </w:r>
      <w:r w:rsidR="00923C9F">
        <w:t>the minimum energy efficiency standards and on-site solar for commercial buildings</w:t>
      </w:r>
      <w:r w:rsidR="00923C9F" w:rsidRPr="00844A6E">
        <w:t>:</w:t>
      </w:r>
    </w:p>
    <w:p w14:paraId="22360A8E" w14:textId="77777777" w:rsidR="00923C9F" w:rsidRPr="00844A6E" w:rsidRDefault="00923C9F" w:rsidP="00761D46">
      <w:pPr>
        <w:pStyle w:val="ListBullet2"/>
      </w:pPr>
      <w:r w:rsidRPr="00FD2748">
        <w:rPr>
          <w:i/>
          <w:iCs/>
        </w:rPr>
        <w:t>Stringency Level 1: Cost-effective energy efficiency</w:t>
      </w:r>
      <w:r>
        <w:t xml:space="preserve"> — this includes tightening the minimum energy efficiency standards for commercial buildings (including building envelope and equipment), but does not include mandating on-site photovoltaic (PV) energy generation.</w:t>
      </w:r>
    </w:p>
    <w:p w14:paraId="0E3FB33E" w14:textId="77777777" w:rsidR="00923C9F" w:rsidRPr="00844A6E" w:rsidRDefault="00923C9F" w:rsidP="00761D46">
      <w:pPr>
        <w:pStyle w:val="ListBullet2"/>
      </w:pPr>
      <w:r w:rsidRPr="00C569DF">
        <w:rPr>
          <w:i/>
          <w:iCs/>
        </w:rPr>
        <w:t>Stringency Level 2: Cost-effective energy efficiency with mandated on-site PV</w:t>
      </w:r>
      <w:r>
        <w:t xml:space="preserve"> — this includes the tightening the minimum energy efficiency standards for commercial buildings (as for Stringency Level 1), with mandatory</w:t>
      </w:r>
      <w:r w:rsidRPr="00844A6E">
        <w:t xml:space="preserve"> on-site PV requirements. </w:t>
      </w:r>
    </w:p>
    <w:p w14:paraId="3CCC1A34" w14:textId="77777777" w:rsidR="00923C9F" w:rsidRDefault="00923C9F" w:rsidP="00761D46">
      <w:pPr>
        <w:pStyle w:val="ListBullet2"/>
      </w:pPr>
      <w:r w:rsidRPr="00AE7998">
        <w:rPr>
          <w:i/>
          <w:iCs/>
        </w:rPr>
        <w:t>Stringency Level 3: Least cost zero carbon ready buildings</w:t>
      </w:r>
      <w:r w:rsidRPr="00844A6E">
        <w:t xml:space="preserve"> </w:t>
      </w:r>
      <w:r>
        <w:t xml:space="preserve">— this </w:t>
      </w:r>
      <w:r w:rsidRPr="00844A6E">
        <w:t>covers least cost zero carbon provisions that achieve net zero GHG emission ready buildings (for when the grid decarbonises) with respect to regulated energy (i.e. the energy use of equipment regulated through the NCC). This option extends Stringency Level 2 to provide full electrification readiness and to require additional PV to offset emissions from gas appliances compared with an all-electric equivalent. This means that under Stringency Level 3, a building’s operational carbon emissions will be no higher than an equivalent all-electric building.</w:t>
      </w:r>
    </w:p>
    <w:p w14:paraId="49765B52" w14:textId="2749FAB7" w:rsidR="00923C9F" w:rsidRDefault="003B669D" w:rsidP="00761D46">
      <w:pPr>
        <w:pStyle w:val="ListBullet"/>
      </w:pPr>
      <w:r w:rsidRPr="00EF781D">
        <w:rPr>
          <w:i/>
          <w:iCs/>
        </w:rPr>
        <w:t>Mandatory EV charging facilities in some commercial buildings</w:t>
      </w:r>
      <w:r>
        <w:t xml:space="preserve"> — </w:t>
      </w:r>
      <w:r w:rsidR="007C6E9B">
        <w:t>this is being considered as a separate option (in the CRIS this option was bundled in with the building energy efficiency options).</w:t>
      </w:r>
    </w:p>
    <w:p w14:paraId="73D87245" w14:textId="77777777" w:rsidR="00767FC0" w:rsidRPr="00844A6E" w:rsidRDefault="00767FC0" w:rsidP="00767FC0">
      <w:pPr>
        <w:pStyle w:val="BodyText"/>
        <w:rPr>
          <w:szCs w:val="22"/>
        </w:rPr>
      </w:pPr>
      <w:r w:rsidRPr="00844A6E">
        <w:rPr>
          <w:szCs w:val="22"/>
        </w:rPr>
        <w:t>The proposed provisions will also be fuel and technology neutral under all options. This means the proposed NCC changes, at each stringency level, allow the use of suitable electric- and gas-powered equipment, provided the required overall level of efficiency and emissions is achieved.</w:t>
      </w:r>
    </w:p>
    <w:p w14:paraId="2F4D0ACF" w14:textId="77777777" w:rsidR="00767FC0" w:rsidRPr="00844A6E" w:rsidRDefault="00767FC0" w:rsidP="00767FC0">
      <w:pPr>
        <w:pStyle w:val="BodyText"/>
        <w:rPr>
          <w:szCs w:val="22"/>
        </w:rPr>
      </w:pPr>
      <w:r w:rsidRPr="00844A6E">
        <w:rPr>
          <w:szCs w:val="22"/>
        </w:rPr>
        <w:t>However, noting that energy types will transition at different times for different building and different geographic areas, it is important to understand the impacts of a move to commercial buildings that are fully electric. While the impacts may vary, it is estimated this would not substantially alter the outcome of the analysis, particularly in relation to Stringency Level 3. Being near net zero, Stringency Level 3 requires a level of efficiency and emissions which favours the use of electric-powered equipment. Stakeholder feedback indicated that building industry is already moving towards fully electrifying commercial buildings, particularly office buildings. It is reasonable to adopt the analysis for Stringency Level 3 as also being applicable to fully electric new buildings.</w:t>
      </w:r>
    </w:p>
    <w:p w14:paraId="722325E9" w14:textId="77777777" w:rsidR="00767FC0" w:rsidRDefault="00767FC0" w:rsidP="00767FC0">
      <w:pPr>
        <w:pStyle w:val="Heading2"/>
        <w:numPr>
          <w:ilvl w:val="0"/>
          <w:numId w:val="0"/>
        </w:numPr>
      </w:pPr>
      <w:bookmarkStart w:id="274" w:name="_Toc132979339"/>
      <w:bookmarkStart w:id="275" w:name="_Toc136527046"/>
      <w:bookmarkStart w:id="276" w:name="_Toc149060057"/>
      <w:bookmarkStart w:id="277" w:name="_Toc177719448"/>
      <w:bookmarkStart w:id="278" w:name="_Toc178292519"/>
      <w:r>
        <w:t>Regulation Impact Statement</w:t>
      </w:r>
      <w:bookmarkEnd w:id="274"/>
      <w:bookmarkEnd w:id="275"/>
      <w:bookmarkEnd w:id="276"/>
      <w:bookmarkEnd w:id="277"/>
      <w:bookmarkEnd w:id="278"/>
    </w:p>
    <w:p w14:paraId="497262BD" w14:textId="77777777" w:rsidR="00767FC0" w:rsidRPr="00844A6E" w:rsidRDefault="00767FC0" w:rsidP="00767FC0">
      <w:pPr>
        <w:pStyle w:val="BodyText"/>
        <w:rPr>
          <w:szCs w:val="22"/>
        </w:rPr>
      </w:pPr>
      <w:r w:rsidRPr="00844A6E">
        <w:rPr>
          <w:szCs w:val="22"/>
        </w:rPr>
        <w:t xml:space="preserve">The ABCB has engaged the Centre for International Economics (CIE) to prepare a </w:t>
      </w:r>
      <w:r>
        <w:rPr>
          <w:szCs w:val="22"/>
        </w:rPr>
        <w:t>Regulation Impact Statement (</w:t>
      </w:r>
      <w:r w:rsidRPr="00844A6E">
        <w:rPr>
          <w:szCs w:val="22"/>
        </w:rPr>
        <w:t>RIS) that meets the Commonwealth Office of Impact Analysis (OIA) requirements, which are to answer seven key questions:</w:t>
      </w:r>
      <w:r w:rsidRPr="00844A6E">
        <w:rPr>
          <w:rStyle w:val="FootnoteReference"/>
          <w:sz w:val="22"/>
          <w:szCs w:val="22"/>
        </w:rPr>
        <w:footnoteReference w:id="10"/>
      </w:r>
    </w:p>
    <w:p w14:paraId="4442D9AE" w14:textId="77777777" w:rsidR="00767FC0" w:rsidRPr="00E715DD" w:rsidRDefault="00767FC0" w:rsidP="00767FC0">
      <w:pPr>
        <w:pStyle w:val="ListBullet"/>
        <w:tabs>
          <w:tab w:val="num" w:pos="709"/>
        </w:tabs>
        <w:rPr>
          <w:lang w:bidi="fa-IR"/>
        </w:rPr>
      </w:pPr>
      <w:r w:rsidRPr="00E715DD">
        <w:rPr>
          <w:lang w:bidi="fa-IR"/>
        </w:rPr>
        <w:t>What is the policy problem?</w:t>
      </w:r>
    </w:p>
    <w:p w14:paraId="53A5CD10" w14:textId="77777777" w:rsidR="00767FC0" w:rsidRPr="00E715DD" w:rsidRDefault="00767FC0" w:rsidP="00767FC0">
      <w:pPr>
        <w:pStyle w:val="ListBullet"/>
        <w:tabs>
          <w:tab w:val="num" w:pos="709"/>
        </w:tabs>
        <w:rPr>
          <w:lang w:bidi="fa-IR"/>
        </w:rPr>
      </w:pPr>
      <w:r w:rsidRPr="00E715DD">
        <w:rPr>
          <w:lang w:bidi="fa-IR"/>
        </w:rPr>
        <w:t>Why is government action needed?</w:t>
      </w:r>
    </w:p>
    <w:p w14:paraId="1AB8CB63" w14:textId="77777777" w:rsidR="00767FC0" w:rsidRPr="00E715DD" w:rsidRDefault="00767FC0" w:rsidP="00767FC0">
      <w:pPr>
        <w:pStyle w:val="ListBullet"/>
        <w:tabs>
          <w:tab w:val="num" w:pos="709"/>
        </w:tabs>
        <w:rPr>
          <w:lang w:bidi="fa-IR"/>
        </w:rPr>
      </w:pPr>
      <w:r w:rsidRPr="00E715DD">
        <w:rPr>
          <w:lang w:bidi="fa-IR"/>
        </w:rPr>
        <w:t>What policy options are to be considered?</w:t>
      </w:r>
    </w:p>
    <w:p w14:paraId="3E5F5002" w14:textId="77777777" w:rsidR="00767FC0" w:rsidRPr="00E715DD" w:rsidRDefault="00767FC0" w:rsidP="00767FC0">
      <w:pPr>
        <w:pStyle w:val="ListBullet"/>
        <w:tabs>
          <w:tab w:val="num" w:pos="709"/>
        </w:tabs>
        <w:rPr>
          <w:lang w:bidi="fa-IR"/>
        </w:rPr>
      </w:pPr>
      <w:r w:rsidRPr="00E715DD">
        <w:rPr>
          <w:lang w:bidi="fa-IR"/>
        </w:rPr>
        <w:t>What is the likely net benefit of each option?</w:t>
      </w:r>
    </w:p>
    <w:p w14:paraId="698D3BA9" w14:textId="77777777" w:rsidR="00767FC0" w:rsidRPr="00E715DD" w:rsidRDefault="00767FC0" w:rsidP="00767FC0">
      <w:pPr>
        <w:pStyle w:val="ListBullet"/>
        <w:tabs>
          <w:tab w:val="num" w:pos="709"/>
        </w:tabs>
        <w:rPr>
          <w:lang w:bidi="fa-IR"/>
        </w:rPr>
      </w:pPr>
      <w:r w:rsidRPr="00E715DD">
        <w:rPr>
          <w:lang w:bidi="fa-IR"/>
        </w:rPr>
        <w:t>Who was consulted and how was their feedback incorporated?</w:t>
      </w:r>
    </w:p>
    <w:p w14:paraId="6A36A18D" w14:textId="77777777" w:rsidR="00767FC0" w:rsidRPr="00E715DD" w:rsidRDefault="00767FC0" w:rsidP="00767FC0">
      <w:pPr>
        <w:pStyle w:val="ListBullet"/>
        <w:tabs>
          <w:tab w:val="num" w:pos="709"/>
        </w:tabs>
        <w:rPr>
          <w:lang w:bidi="fa-IR"/>
        </w:rPr>
      </w:pPr>
      <w:r w:rsidRPr="00E715DD">
        <w:rPr>
          <w:lang w:bidi="fa-IR"/>
        </w:rPr>
        <w:t>What is the best option from those considered?</w:t>
      </w:r>
    </w:p>
    <w:p w14:paraId="4CE09249" w14:textId="77777777" w:rsidR="00767FC0" w:rsidRPr="00E715DD" w:rsidRDefault="00767FC0" w:rsidP="00767FC0">
      <w:pPr>
        <w:pStyle w:val="ListBullet"/>
        <w:tabs>
          <w:tab w:val="num" w:pos="709"/>
        </w:tabs>
        <w:rPr>
          <w:lang w:bidi="fa-IR"/>
        </w:rPr>
      </w:pPr>
      <w:r w:rsidRPr="00E715DD">
        <w:rPr>
          <w:lang w:bidi="fa-IR"/>
        </w:rPr>
        <w:t>How will the chosen option be implemented and evaluated?</w:t>
      </w:r>
    </w:p>
    <w:p w14:paraId="5E58E238" w14:textId="77777777" w:rsidR="00767FC0" w:rsidRDefault="00767FC0" w:rsidP="00767FC0">
      <w:pPr>
        <w:pStyle w:val="Heading3"/>
        <w:numPr>
          <w:ilvl w:val="0"/>
          <w:numId w:val="0"/>
        </w:numPr>
      </w:pPr>
      <w:r>
        <w:t>Consultation RIS and public consultation</w:t>
      </w:r>
    </w:p>
    <w:p w14:paraId="12EB672C" w14:textId="77777777" w:rsidR="00767FC0" w:rsidRPr="00D41D69" w:rsidRDefault="00767FC0" w:rsidP="00767FC0">
      <w:pPr>
        <w:pStyle w:val="BodyText"/>
      </w:pPr>
      <w:r>
        <w:t xml:space="preserve">The CIE has prepared a Consultation RIS (CRIS) in April 2024, which was released by ABCB for public consultation from 1 May to 1 July 2024. </w:t>
      </w:r>
      <w:r>
        <w:rPr>
          <w:lang w:bidi="fa-IR"/>
        </w:rPr>
        <w:t>14 submissions were received, with 72 specific comments being made during the public consultation period.</w:t>
      </w:r>
    </w:p>
    <w:p w14:paraId="6BE1BAE1" w14:textId="77777777" w:rsidR="00767FC0" w:rsidRDefault="00767FC0" w:rsidP="00767FC0">
      <w:pPr>
        <w:pStyle w:val="Heading3"/>
        <w:numPr>
          <w:ilvl w:val="0"/>
          <w:numId w:val="0"/>
        </w:numPr>
      </w:pPr>
      <w:r>
        <w:t>This report</w:t>
      </w:r>
    </w:p>
    <w:p w14:paraId="4DCB36E9" w14:textId="77777777" w:rsidR="00767FC0" w:rsidRPr="00135E5A" w:rsidRDefault="00767FC0" w:rsidP="00767FC0">
      <w:pPr>
        <w:pStyle w:val="BodyText"/>
      </w:pPr>
      <w:r w:rsidRPr="00844A6E">
        <w:rPr>
          <w:szCs w:val="22"/>
        </w:rPr>
        <w:t xml:space="preserve">This report is a draft </w:t>
      </w:r>
      <w:r>
        <w:rPr>
          <w:szCs w:val="22"/>
        </w:rPr>
        <w:t xml:space="preserve">Decision </w:t>
      </w:r>
      <w:r w:rsidRPr="00844A6E">
        <w:rPr>
          <w:szCs w:val="22"/>
        </w:rPr>
        <w:t>RIS</w:t>
      </w:r>
      <w:r>
        <w:rPr>
          <w:szCs w:val="22"/>
        </w:rPr>
        <w:t xml:space="preserve"> (DRIS), taking consideration of feedback on the CRIS, and new information which have emerged since the preparation of CRIS, and new energy modelling</w:t>
      </w:r>
      <w:r w:rsidRPr="00844A6E">
        <w:rPr>
          <w:szCs w:val="22"/>
        </w:rPr>
        <w:t xml:space="preserve">. </w:t>
      </w:r>
    </w:p>
    <w:p w14:paraId="08065526" w14:textId="77777777" w:rsidR="00767FC0" w:rsidRDefault="00767FC0" w:rsidP="00767FC0">
      <w:pPr>
        <w:pStyle w:val="Heading3"/>
        <w:keepNext w:val="0"/>
        <w:keepLines/>
        <w:widowControl w:val="0"/>
        <w:numPr>
          <w:ilvl w:val="0"/>
          <w:numId w:val="0"/>
        </w:numPr>
      </w:pPr>
      <w:r>
        <w:t>Report structure</w:t>
      </w:r>
    </w:p>
    <w:p w14:paraId="75FD57BC" w14:textId="77777777" w:rsidR="00767FC0" w:rsidRPr="00844A6E" w:rsidRDefault="00767FC0" w:rsidP="00767FC0">
      <w:pPr>
        <w:pStyle w:val="BodyText"/>
        <w:rPr>
          <w:szCs w:val="22"/>
        </w:rPr>
      </w:pPr>
      <w:r w:rsidRPr="00844A6E">
        <w:rPr>
          <w:szCs w:val="22"/>
        </w:rPr>
        <w:t>The remainder of this report is structured as follows:</w:t>
      </w:r>
    </w:p>
    <w:p w14:paraId="131BCBB3" w14:textId="77777777" w:rsidR="00767FC0" w:rsidRPr="00E715DD" w:rsidRDefault="00767FC0" w:rsidP="00767FC0">
      <w:pPr>
        <w:pStyle w:val="ListBullet"/>
        <w:tabs>
          <w:tab w:val="num" w:pos="709"/>
        </w:tabs>
        <w:rPr>
          <w:lang w:bidi="fa-IR"/>
        </w:rPr>
      </w:pPr>
      <w:r w:rsidRPr="00E715DD">
        <w:rPr>
          <w:lang w:bidi="fa-IR"/>
        </w:rPr>
        <w:t>Chapter 2 discusses the feedback on the Consultation RIS</w:t>
      </w:r>
    </w:p>
    <w:p w14:paraId="2C624402" w14:textId="77777777" w:rsidR="00767FC0" w:rsidRPr="00E715DD" w:rsidRDefault="00767FC0" w:rsidP="00767FC0">
      <w:pPr>
        <w:pStyle w:val="ListBullet"/>
        <w:tabs>
          <w:tab w:val="num" w:pos="709"/>
        </w:tabs>
        <w:rPr>
          <w:lang w:bidi="fa-IR"/>
        </w:rPr>
      </w:pPr>
      <w:r w:rsidRPr="00E715DD">
        <w:rPr>
          <w:lang w:bidi="fa-IR"/>
        </w:rPr>
        <w:t>Chapter 3 discusses the nature and extent of the problems that the proposed changes in the NCC are seeking to address;</w:t>
      </w:r>
    </w:p>
    <w:p w14:paraId="50D7BA1F" w14:textId="77777777" w:rsidR="00767FC0" w:rsidRPr="00E715DD" w:rsidRDefault="00767FC0" w:rsidP="00767FC0">
      <w:pPr>
        <w:pStyle w:val="ListBullet"/>
        <w:tabs>
          <w:tab w:val="num" w:pos="709"/>
        </w:tabs>
        <w:rPr>
          <w:lang w:bidi="fa-IR"/>
        </w:rPr>
      </w:pPr>
      <w:r w:rsidRPr="00E715DD">
        <w:rPr>
          <w:lang w:bidi="fa-IR"/>
        </w:rPr>
        <w:t>Chapter 4 specifies the objectives and the proposed options;</w:t>
      </w:r>
    </w:p>
    <w:p w14:paraId="7F0C1658" w14:textId="77777777" w:rsidR="00767FC0" w:rsidRPr="00E715DD" w:rsidRDefault="00767FC0" w:rsidP="00767FC0">
      <w:pPr>
        <w:pStyle w:val="ListBullet"/>
        <w:tabs>
          <w:tab w:val="num" w:pos="709"/>
        </w:tabs>
        <w:rPr>
          <w:lang w:bidi="fa-IR"/>
        </w:rPr>
      </w:pPr>
      <w:r w:rsidRPr="00E715DD">
        <w:rPr>
          <w:lang w:bidi="fa-IR"/>
        </w:rPr>
        <w:t>Chapter 5 discusses the impacts of the proposed options and approach to quantifying the impacts;</w:t>
      </w:r>
    </w:p>
    <w:p w14:paraId="0DC21B11" w14:textId="77777777" w:rsidR="00767FC0" w:rsidRPr="00E715DD" w:rsidRDefault="00767FC0" w:rsidP="00767FC0">
      <w:pPr>
        <w:pStyle w:val="ListBullet"/>
        <w:tabs>
          <w:tab w:val="num" w:pos="709"/>
        </w:tabs>
        <w:rPr>
          <w:lang w:bidi="fa-IR"/>
        </w:rPr>
      </w:pPr>
      <w:r w:rsidRPr="00E715DD">
        <w:rPr>
          <w:lang w:bidi="fa-IR"/>
        </w:rPr>
        <w:t xml:space="preserve">Chapter 6 discusses the impacts at building level of proposed options; </w:t>
      </w:r>
    </w:p>
    <w:p w14:paraId="6A9520A2" w14:textId="77777777" w:rsidR="00767FC0" w:rsidRDefault="00767FC0" w:rsidP="00767FC0">
      <w:pPr>
        <w:pStyle w:val="ListBullet"/>
        <w:tabs>
          <w:tab w:val="num" w:pos="709"/>
        </w:tabs>
        <w:rPr>
          <w:lang w:bidi="fa-IR"/>
        </w:rPr>
      </w:pPr>
      <w:r w:rsidRPr="00E715DD">
        <w:rPr>
          <w:lang w:bidi="fa-IR"/>
        </w:rPr>
        <w:t>Chapter 7 reports aggregate impacts and the cost-benefit analysis (CBA) results</w:t>
      </w:r>
      <w:r>
        <w:rPr>
          <w:lang w:bidi="fa-IR"/>
        </w:rPr>
        <w:t xml:space="preserve"> for energy efficiency measures</w:t>
      </w:r>
      <w:r w:rsidRPr="00E715DD">
        <w:rPr>
          <w:lang w:bidi="fa-IR"/>
        </w:rPr>
        <w:t>;</w:t>
      </w:r>
    </w:p>
    <w:p w14:paraId="7611CF4C" w14:textId="5B7B718A" w:rsidR="00767FC0" w:rsidRPr="00E715DD" w:rsidRDefault="00767FC0" w:rsidP="00767FC0">
      <w:pPr>
        <w:pStyle w:val="ListBullet"/>
        <w:tabs>
          <w:tab w:val="num" w:pos="709"/>
        </w:tabs>
        <w:rPr>
          <w:lang w:bidi="fa-IR"/>
        </w:rPr>
      </w:pPr>
      <w:r>
        <w:rPr>
          <w:lang w:bidi="fa-IR"/>
        </w:rPr>
        <w:t xml:space="preserve">Chapter 8 reports the </w:t>
      </w:r>
      <w:r w:rsidR="007203D0">
        <w:rPr>
          <w:lang w:bidi="fa-IR"/>
        </w:rPr>
        <w:t xml:space="preserve">CBA </w:t>
      </w:r>
      <w:r>
        <w:rPr>
          <w:lang w:bidi="fa-IR"/>
        </w:rPr>
        <w:t>results for mandatory EV charging;</w:t>
      </w:r>
      <w:r w:rsidRPr="00E715DD">
        <w:rPr>
          <w:lang w:bidi="fa-IR"/>
        </w:rPr>
        <w:t xml:space="preserve"> and</w:t>
      </w:r>
    </w:p>
    <w:p w14:paraId="244A9EC2" w14:textId="77777777" w:rsidR="00767FC0" w:rsidRPr="00E715DD" w:rsidRDefault="00767FC0" w:rsidP="00767FC0">
      <w:pPr>
        <w:pStyle w:val="ListBullet"/>
        <w:tabs>
          <w:tab w:val="num" w:pos="709"/>
        </w:tabs>
        <w:rPr>
          <w:lang w:bidi="fa-IR"/>
        </w:rPr>
      </w:pPr>
      <w:r w:rsidRPr="00E715DD">
        <w:rPr>
          <w:lang w:bidi="fa-IR"/>
        </w:rPr>
        <w:t xml:space="preserve">Chapter </w:t>
      </w:r>
      <w:r>
        <w:rPr>
          <w:lang w:bidi="fa-IR"/>
        </w:rPr>
        <w:t>9</w:t>
      </w:r>
      <w:r w:rsidRPr="00E715DD">
        <w:rPr>
          <w:lang w:bidi="fa-IR"/>
        </w:rPr>
        <w:t xml:space="preserve"> concludes.</w:t>
      </w:r>
    </w:p>
    <w:p w14:paraId="5DB92D99" w14:textId="77777777" w:rsidR="00767FC0" w:rsidRPr="00844A6E" w:rsidRDefault="00767FC0" w:rsidP="00767FC0">
      <w:pPr>
        <w:pStyle w:val="BodyText"/>
        <w:rPr>
          <w:szCs w:val="22"/>
        </w:rPr>
      </w:pPr>
      <w:r w:rsidRPr="00844A6E">
        <w:rPr>
          <w:szCs w:val="22"/>
        </w:rPr>
        <w:t>More detailed discussions of specific issues are provided in appendixes.</w:t>
      </w:r>
    </w:p>
    <w:p w14:paraId="2F592204" w14:textId="748429AF" w:rsidR="00767FC0" w:rsidRDefault="00767FC0" w:rsidP="00767FC0">
      <w:pPr>
        <w:pStyle w:val="Heading1"/>
        <w:ind w:left="170" w:hanging="170"/>
        <w:rPr>
          <w:lang w:bidi="fa-IR"/>
        </w:rPr>
      </w:pPr>
      <w:bookmarkStart w:id="279" w:name="_Ref175556956"/>
      <w:bookmarkStart w:id="280" w:name="_Toc177719449"/>
      <w:r>
        <w:rPr>
          <w:lang w:bidi="fa-IR"/>
        </w:rPr>
        <w:tab/>
      </w:r>
      <w:bookmarkStart w:id="281" w:name="_Toc178292520"/>
      <w:r>
        <w:rPr>
          <w:lang w:bidi="fa-IR"/>
        </w:rPr>
        <w:t>Feedback on the Consultation RIS</w:t>
      </w:r>
      <w:bookmarkEnd w:id="279"/>
      <w:bookmarkEnd w:id="280"/>
      <w:bookmarkEnd w:id="281"/>
    </w:p>
    <w:p w14:paraId="097AB026" w14:textId="77777777" w:rsidR="00767FC0" w:rsidRDefault="00767FC0" w:rsidP="00767FC0">
      <w:pPr>
        <w:pStyle w:val="BodyText"/>
        <w:rPr>
          <w:lang w:bidi="fa-IR"/>
        </w:rPr>
      </w:pPr>
      <w:r>
        <w:rPr>
          <w:lang w:bidi="fa-IR"/>
        </w:rPr>
        <w:t>As a key step in preparing the DRIS for the proposal to improve the energy efficiency provisions for commercial buildings in the National Construction Code (NCC), the CIE prepared a CRIS.</w:t>
      </w:r>
    </w:p>
    <w:p w14:paraId="42C45A3A" w14:textId="77777777" w:rsidR="00767FC0" w:rsidRDefault="00767FC0" w:rsidP="00767FC0">
      <w:pPr>
        <w:pStyle w:val="BodyText"/>
        <w:rPr>
          <w:lang w:bidi="fa-IR"/>
        </w:rPr>
      </w:pPr>
      <w:r>
        <w:rPr>
          <w:lang w:bidi="fa-IR"/>
        </w:rPr>
        <w:t>Public consultation on the CRIS was open from 1 May to 1 July 2024 and conducted through the ABCB’s Consultation Hub platform. Consultation particularly focussed around 22 structured questions (in addition to 7 administrative questions) to assist the public to provide feedback on the Consultation RIS.</w:t>
      </w:r>
    </w:p>
    <w:p w14:paraId="01C6344C" w14:textId="77777777" w:rsidR="00767FC0" w:rsidRDefault="00767FC0" w:rsidP="00767FC0">
      <w:pPr>
        <w:pStyle w:val="BodyText"/>
        <w:rPr>
          <w:lang w:bidi="fa-IR"/>
        </w:rPr>
      </w:pPr>
      <w:r>
        <w:rPr>
          <w:lang w:bidi="fa-IR"/>
        </w:rPr>
        <w:t>During the consultation period, there were 128 visits to the Consultation Hub by 100 users, of which 63 per cent were new users. The supporting documents have been downloaded 279 times. Finally, 14 submissions were received, with 72 specific comments made.</w:t>
      </w:r>
    </w:p>
    <w:p w14:paraId="135C7B78" w14:textId="629D2BB6" w:rsidR="00B16FDD" w:rsidRDefault="00B16FDD" w:rsidP="00767FC0">
      <w:pPr>
        <w:pStyle w:val="BodyText"/>
        <w:rPr>
          <w:lang w:bidi="fa-IR"/>
        </w:rPr>
      </w:pPr>
      <w:r>
        <w:rPr>
          <w:lang w:bidi="fa-IR"/>
        </w:rPr>
        <w:t>Most submissions support</w:t>
      </w:r>
      <w:r w:rsidR="00CD0890">
        <w:rPr>
          <w:lang w:bidi="fa-IR"/>
        </w:rPr>
        <w:t xml:space="preserve"> the change</w:t>
      </w:r>
      <w:r w:rsidR="00335F60">
        <w:rPr>
          <w:lang w:bidi="fa-IR"/>
        </w:rPr>
        <w:t>s</w:t>
      </w:r>
      <w:r w:rsidR="00CD0890">
        <w:rPr>
          <w:lang w:bidi="fa-IR"/>
        </w:rPr>
        <w:t xml:space="preserve"> to</w:t>
      </w:r>
      <w:r w:rsidR="00F667AB">
        <w:rPr>
          <w:lang w:bidi="fa-IR"/>
        </w:rPr>
        <w:t xml:space="preserve"> </w:t>
      </w:r>
      <w:r w:rsidR="006B0EBC">
        <w:rPr>
          <w:lang w:bidi="fa-IR"/>
        </w:rPr>
        <w:t xml:space="preserve">energy efficiency provisions. For example, </w:t>
      </w:r>
      <w:r w:rsidR="00B05C8A">
        <w:rPr>
          <w:lang w:bidi="fa-IR"/>
        </w:rPr>
        <w:t xml:space="preserve">most </w:t>
      </w:r>
      <w:r w:rsidR="006C7B5E">
        <w:rPr>
          <w:lang w:bidi="fa-IR"/>
        </w:rPr>
        <w:t>submissions consider</w:t>
      </w:r>
      <w:r w:rsidR="00335F60">
        <w:rPr>
          <w:lang w:bidi="fa-IR"/>
        </w:rPr>
        <w:t xml:space="preserve"> the case for changes to the </w:t>
      </w:r>
      <w:r w:rsidR="000D5276">
        <w:rPr>
          <w:lang w:bidi="fa-IR"/>
        </w:rPr>
        <w:t>commercial energy efficiency</w:t>
      </w:r>
      <w:r w:rsidR="00885963">
        <w:rPr>
          <w:lang w:bidi="fa-IR"/>
        </w:rPr>
        <w:t xml:space="preserve"> provisions in the NCC </w:t>
      </w:r>
      <w:r w:rsidR="00CC0550">
        <w:rPr>
          <w:lang w:bidi="fa-IR"/>
        </w:rPr>
        <w:t>has been adequately established in the CRIS.</w:t>
      </w:r>
    </w:p>
    <w:p w14:paraId="2BD0F731" w14:textId="7CF02949" w:rsidR="00767FC0" w:rsidRPr="00B80339" w:rsidRDefault="00767FC0" w:rsidP="00767FC0">
      <w:pPr>
        <w:pStyle w:val="BodyText"/>
        <w:rPr>
          <w:lang w:bidi="fa-IR"/>
        </w:rPr>
      </w:pPr>
      <w:r>
        <w:rPr>
          <w:lang w:bidi="fa-IR"/>
        </w:rPr>
        <w:t>While some submissions</w:t>
      </w:r>
      <w:r w:rsidRPr="003F5534">
        <w:rPr>
          <w:lang w:bidi="fa-IR"/>
        </w:rPr>
        <w:t xml:space="preserve"> commend the analysis provided in the CRIS which overall, was found to be sound with substantial improvements made to past assumptions and analyses</w:t>
      </w:r>
      <w:r>
        <w:rPr>
          <w:lang w:bidi="fa-IR"/>
        </w:rPr>
        <w:t xml:space="preserve">, others have raised </w:t>
      </w:r>
      <w:r w:rsidR="00AD2E86">
        <w:rPr>
          <w:lang w:bidi="fa-IR"/>
        </w:rPr>
        <w:t xml:space="preserve">various </w:t>
      </w:r>
      <w:r>
        <w:rPr>
          <w:lang w:bidi="fa-IR"/>
        </w:rPr>
        <w:t>issues about the CRIS and associated energy modelling</w:t>
      </w:r>
      <w:r w:rsidRPr="003F5534">
        <w:rPr>
          <w:lang w:bidi="fa-IR"/>
        </w:rPr>
        <w:t>.</w:t>
      </w:r>
    </w:p>
    <w:p w14:paraId="0AA7D365" w14:textId="77777777" w:rsidR="00767FC0" w:rsidRDefault="00767FC0" w:rsidP="00767FC0">
      <w:pPr>
        <w:pStyle w:val="BodyText"/>
        <w:rPr>
          <w:lang w:bidi="fa-IR"/>
        </w:rPr>
      </w:pPr>
      <w:r>
        <w:rPr>
          <w:lang w:bidi="fa-IR"/>
        </w:rPr>
        <w:t>This chapter summarises the key issues raised in the submissions and the approach to address these issues.</w:t>
      </w:r>
    </w:p>
    <w:p w14:paraId="636583D5" w14:textId="77777777" w:rsidR="00767FC0" w:rsidRDefault="00767FC0" w:rsidP="00767FC0">
      <w:pPr>
        <w:pStyle w:val="Heading2"/>
        <w:numPr>
          <w:ilvl w:val="0"/>
          <w:numId w:val="0"/>
        </w:numPr>
        <w:rPr>
          <w:lang w:bidi="fa-IR"/>
        </w:rPr>
      </w:pPr>
      <w:bookmarkStart w:id="282" w:name="_Toc177719450"/>
      <w:bookmarkStart w:id="283" w:name="_Toc178292521"/>
      <w:r>
        <w:rPr>
          <w:lang w:bidi="fa-IR"/>
        </w:rPr>
        <w:t>Key issues raised in consultation</w:t>
      </w:r>
      <w:bookmarkEnd w:id="282"/>
      <w:bookmarkEnd w:id="283"/>
    </w:p>
    <w:p w14:paraId="487F80C8" w14:textId="77777777" w:rsidR="00767FC0" w:rsidRPr="00155542" w:rsidRDefault="00767FC0" w:rsidP="00767FC0">
      <w:pPr>
        <w:pStyle w:val="BodyText"/>
        <w:rPr>
          <w:lang w:bidi="fa-IR"/>
        </w:rPr>
      </w:pPr>
      <w:r>
        <w:rPr>
          <w:lang w:bidi="fa-IR"/>
        </w:rPr>
        <w:t xml:space="preserve">In considering feedback received during consultation, the CIE identified the following key issues raised by stakeholders: </w:t>
      </w:r>
    </w:p>
    <w:p w14:paraId="5E7C62E7" w14:textId="17A5CC9E" w:rsidR="00767FC0" w:rsidRDefault="00767FC0" w:rsidP="00767FC0">
      <w:pPr>
        <w:pStyle w:val="ListBullet"/>
        <w:rPr>
          <w:lang w:bidi="fa-IR"/>
        </w:rPr>
      </w:pPr>
      <w:r>
        <w:rPr>
          <w:lang w:bidi="fa-IR"/>
        </w:rPr>
        <w:t>glazing selection and external shading</w:t>
      </w:r>
      <w:r w:rsidR="001A5040">
        <w:rPr>
          <w:lang w:bidi="fa-IR"/>
        </w:rPr>
        <w:t>,</w:t>
      </w:r>
    </w:p>
    <w:p w14:paraId="64EB277C" w14:textId="582F5082" w:rsidR="00767FC0" w:rsidRDefault="00767FC0" w:rsidP="00767FC0">
      <w:pPr>
        <w:pStyle w:val="ListBullet"/>
        <w:rPr>
          <w:lang w:bidi="fa-IR"/>
        </w:rPr>
      </w:pPr>
      <w:r>
        <w:rPr>
          <w:lang w:bidi="fa-IR"/>
        </w:rPr>
        <w:t>internal wall insulation requirement and costing</w:t>
      </w:r>
      <w:r w:rsidR="001A5040">
        <w:rPr>
          <w:lang w:bidi="fa-IR"/>
        </w:rPr>
        <w:t>,</w:t>
      </w:r>
    </w:p>
    <w:p w14:paraId="2C56ABA5" w14:textId="5C36A737" w:rsidR="00767FC0" w:rsidRDefault="00767FC0" w:rsidP="00767FC0">
      <w:pPr>
        <w:pStyle w:val="ListBullet"/>
        <w:rPr>
          <w:lang w:bidi="fa-IR"/>
        </w:rPr>
      </w:pPr>
      <w:r>
        <w:rPr>
          <w:lang w:bidi="fa-IR"/>
        </w:rPr>
        <w:t>solar PV requirements</w:t>
      </w:r>
      <w:r w:rsidR="001A5040">
        <w:rPr>
          <w:lang w:bidi="fa-IR"/>
        </w:rPr>
        <w:t>,</w:t>
      </w:r>
    </w:p>
    <w:p w14:paraId="1403AC7D" w14:textId="3F65F87E" w:rsidR="00767FC0" w:rsidRDefault="00767FC0" w:rsidP="00767FC0">
      <w:pPr>
        <w:pStyle w:val="ListBullet"/>
        <w:rPr>
          <w:lang w:bidi="fa-IR"/>
        </w:rPr>
      </w:pPr>
      <w:r>
        <w:rPr>
          <w:lang w:bidi="fa-IR"/>
        </w:rPr>
        <w:t>electrification response</w:t>
      </w:r>
      <w:r w:rsidR="001A5040">
        <w:rPr>
          <w:lang w:bidi="fa-IR"/>
        </w:rPr>
        <w:t>,</w:t>
      </w:r>
    </w:p>
    <w:p w14:paraId="6BFCFF30" w14:textId="67E810E9" w:rsidR="00767FC0" w:rsidRDefault="00767FC0" w:rsidP="00767FC0">
      <w:pPr>
        <w:pStyle w:val="ListBullet"/>
        <w:rPr>
          <w:lang w:bidi="fa-IR"/>
        </w:rPr>
      </w:pPr>
      <w:r>
        <w:rPr>
          <w:lang w:bidi="fa-IR"/>
        </w:rPr>
        <w:t>EV charging provisions based on too optimistic projections of EV sales</w:t>
      </w:r>
      <w:r w:rsidR="001A5040">
        <w:rPr>
          <w:lang w:bidi="fa-IR"/>
        </w:rPr>
        <w:t>,</w:t>
      </w:r>
    </w:p>
    <w:p w14:paraId="63D6D516" w14:textId="57BC46F2" w:rsidR="00767FC0" w:rsidRDefault="00767FC0" w:rsidP="00767FC0">
      <w:pPr>
        <w:pStyle w:val="ListBullet"/>
        <w:rPr>
          <w:lang w:bidi="fa-IR"/>
        </w:rPr>
      </w:pPr>
      <w:r>
        <w:rPr>
          <w:lang w:bidi="fa-IR"/>
        </w:rPr>
        <w:t>cost-benefit analysis parameters</w:t>
      </w:r>
      <w:r w:rsidR="001A5040">
        <w:rPr>
          <w:lang w:bidi="fa-IR"/>
        </w:rPr>
        <w:t>,</w:t>
      </w:r>
    </w:p>
    <w:p w14:paraId="43B9A88D" w14:textId="62FC512C" w:rsidR="00767FC0" w:rsidRDefault="00767FC0" w:rsidP="00767FC0">
      <w:pPr>
        <w:pStyle w:val="ListBullet"/>
        <w:rPr>
          <w:lang w:bidi="fa-IR"/>
        </w:rPr>
      </w:pPr>
      <w:r>
        <w:rPr>
          <w:lang w:bidi="fa-IR"/>
        </w:rPr>
        <w:t>training and transition costs required to implement the changes</w:t>
      </w:r>
      <w:r w:rsidR="001A5040">
        <w:rPr>
          <w:lang w:bidi="fa-IR"/>
        </w:rPr>
        <w:t>,</w:t>
      </w:r>
    </w:p>
    <w:p w14:paraId="4483F0DB" w14:textId="3055D787" w:rsidR="00767FC0" w:rsidRDefault="00767FC0" w:rsidP="00767FC0">
      <w:pPr>
        <w:pStyle w:val="ListBullet"/>
        <w:rPr>
          <w:lang w:bidi="fa-IR"/>
        </w:rPr>
      </w:pPr>
      <w:r>
        <w:rPr>
          <w:lang w:bidi="fa-IR"/>
        </w:rPr>
        <w:t>space impacts</w:t>
      </w:r>
      <w:r w:rsidR="001A5040">
        <w:rPr>
          <w:lang w:bidi="fa-IR"/>
        </w:rPr>
        <w:t>,</w:t>
      </w:r>
    </w:p>
    <w:p w14:paraId="14BBCDEA" w14:textId="446244F8" w:rsidR="00767FC0" w:rsidRDefault="00767FC0" w:rsidP="00767FC0">
      <w:pPr>
        <w:pStyle w:val="ListBullet"/>
        <w:rPr>
          <w:lang w:bidi="fa-IR"/>
        </w:rPr>
      </w:pPr>
      <w:r>
        <w:rPr>
          <w:lang w:bidi="fa-IR"/>
        </w:rPr>
        <w:t>building archetypes being modelled</w:t>
      </w:r>
      <w:r w:rsidR="00751B8E">
        <w:rPr>
          <w:lang w:bidi="fa-IR"/>
        </w:rPr>
        <w:t>,</w:t>
      </w:r>
    </w:p>
    <w:p w14:paraId="03D74102" w14:textId="11EBF8B8" w:rsidR="00767FC0" w:rsidRDefault="00767FC0" w:rsidP="00767FC0">
      <w:pPr>
        <w:pStyle w:val="ListBullet"/>
        <w:rPr>
          <w:lang w:bidi="fa-IR"/>
        </w:rPr>
      </w:pPr>
      <w:r>
        <w:rPr>
          <w:lang w:bidi="fa-IR"/>
        </w:rPr>
        <w:t>climate file used in energy modelling</w:t>
      </w:r>
      <w:r w:rsidR="00751B8E">
        <w:rPr>
          <w:lang w:bidi="fa-IR"/>
        </w:rPr>
        <w:t>,</w:t>
      </w:r>
    </w:p>
    <w:p w14:paraId="73E5A9A3" w14:textId="6ACE4EC3" w:rsidR="00767FC0" w:rsidRDefault="00767FC0" w:rsidP="00767FC0">
      <w:pPr>
        <w:pStyle w:val="ListBullet"/>
        <w:rPr>
          <w:lang w:bidi="fa-IR"/>
        </w:rPr>
      </w:pPr>
      <w:r>
        <w:rPr>
          <w:lang w:bidi="fa-IR"/>
        </w:rPr>
        <w:t>performance gap between modelled and realised energy savings</w:t>
      </w:r>
      <w:r w:rsidR="00751B8E">
        <w:rPr>
          <w:lang w:bidi="fa-IR"/>
        </w:rPr>
        <w:t>, and</w:t>
      </w:r>
      <w:r>
        <w:rPr>
          <w:lang w:bidi="fa-IR"/>
        </w:rPr>
        <w:t xml:space="preserve"> </w:t>
      </w:r>
    </w:p>
    <w:p w14:paraId="4CA9D018" w14:textId="77777777" w:rsidR="00767FC0" w:rsidRDefault="00767FC0" w:rsidP="00767FC0">
      <w:pPr>
        <w:pStyle w:val="ListBullet"/>
        <w:rPr>
          <w:lang w:bidi="fa-IR"/>
        </w:rPr>
      </w:pPr>
      <w:r>
        <w:rPr>
          <w:lang w:bidi="fa-IR"/>
        </w:rPr>
        <w:t>learning rate</w:t>
      </w:r>
    </w:p>
    <w:p w14:paraId="29A1088E" w14:textId="77777777" w:rsidR="00767FC0" w:rsidRDefault="00767FC0" w:rsidP="00767FC0">
      <w:pPr>
        <w:pStyle w:val="BodyText"/>
        <w:rPr>
          <w:lang w:bidi="fa-IR"/>
        </w:rPr>
      </w:pPr>
      <w:r>
        <w:rPr>
          <w:lang w:bidi="fa-IR"/>
        </w:rPr>
        <w:t>These issues are discussed in more detail as follows.</w:t>
      </w:r>
    </w:p>
    <w:p w14:paraId="21D1EF47" w14:textId="77777777" w:rsidR="00767FC0" w:rsidRDefault="00767FC0" w:rsidP="00767FC0">
      <w:pPr>
        <w:pStyle w:val="Heading3"/>
        <w:numPr>
          <w:ilvl w:val="0"/>
          <w:numId w:val="0"/>
        </w:numPr>
        <w:rPr>
          <w:rFonts w:eastAsia="SimSun"/>
          <w:lang w:eastAsia="zh-CN" w:bidi="fa-IR"/>
        </w:rPr>
      </w:pPr>
      <w:r>
        <w:rPr>
          <w:lang w:bidi="fa-IR"/>
        </w:rPr>
        <w:t>Glazing selection and external shading</w:t>
      </w:r>
    </w:p>
    <w:p w14:paraId="0DD53968" w14:textId="77777777" w:rsidR="00767FC0" w:rsidRDefault="00767FC0" w:rsidP="00767FC0">
      <w:pPr>
        <w:pStyle w:val="BodyText"/>
        <w:rPr>
          <w:rFonts w:eastAsia="SimSun"/>
          <w:lang w:eastAsia="zh-CN" w:bidi="fa-IR"/>
        </w:rPr>
      </w:pPr>
      <w:r>
        <w:rPr>
          <w:rFonts w:eastAsia="SimSun"/>
          <w:lang w:eastAsia="zh-CN" w:bidi="fa-IR"/>
        </w:rPr>
        <w:t>S</w:t>
      </w:r>
      <w:r>
        <w:rPr>
          <w:rFonts w:eastAsia="SimSun" w:hint="eastAsia"/>
          <w:lang w:eastAsia="zh-CN" w:bidi="fa-IR"/>
        </w:rPr>
        <w:t xml:space="preserve">ome submissions argued that the glazing design in the energy modelling for CRIS did not reflect other response options to meet the </w:t>
      </w:r>
      <w:r>
        <w:rPr>
          <w:rFonts w:eastAsia="SimSun"/>
          <w:lang w:eastAsia="zh-CN" w:bidi="fa-IR"/>
        </w:rPr>
        <w:t>proposed</w:t>
      </w:r>
      <w:r>
        <w:rPr>
          <w:rFonts w:eastAsia="SimSun" w:hint="eastAsia"/>
          <w:lang w:eastAsia="zh-CN" w:bidi="fa-IR"/>
        </w:rPr>
        <w:t xml:space="preserve"> requirements, for example, external shading without </w:t>
      </w:r>
      <w:r>
        <w:rPr>
          <w:rFonts w:eastAsia="SimSun"/>
          <w:lang w:eastAsia="zh-CN" w:bidi="fa-IR"/>
        </w:rPr>
        <w:t>changing the clearness (</w:t>
      </w:r>
      <w:r>
        <w:rPr>
          <w:rFonts w:eastAsia="SimSun" w:hint="eastAsia"/>
          <w:lang w:eastAsia="zh-CN" w:bidi="fa-IR"/>
        </w:rPr>
        <w:t>dark</w:t>
      </w:r>
      <w:r>
        <w:rPr>
          <w:rFonts w:eastAsia="SimSun"/>
          <w:lang w:eastAsia="zh-CN" w:bidi="fa-IR"/>
        </w:rPr>
        <w:t>ness) of</w:t>
      </w:r>
      <w:r>
        <w:rPr>
          <w:rFonts w:eastAsia="SimSun" w:hint="eastAsia"/>
          <w:lang w:eastAsia="zh-CN" w:bidi="fa-IR"/>
        </w:rPr>
        <w:t xml:space="preserve"> windows and/or </w:t>
      </w:r>
      <w:r>
        <w:rPr>
          <w:rFonts w:eastAsia="SimSun"/>
          <w:lang w:eastAsia="zh-CN" w:bidi="fa-IR"/>
        </w:rPr>
        <w:t>window-to-wall ratio (</w:t>
      </w:r>
      <w:r>
        <w:rPr>
          <w:rFonts w:eastAsia="SimSun" w:hint="eastAsia"/>
          <w:lang w:eastAsia="zh-CN" w:bidi="fa-IR"/>
        </w:rPr>
        <w:t>WWR</w:t>
      </w:r>
      <w:r>
        <w:rPr>
          <w:rFonts w:eastAsia="SimSun"/>
          <w:lang w:eastAsia="zh-CN" w:bidi="fa-IR"/>
        </w:rPr>
        <w:t>)</w:t>
      </w:r>
      <w:r>
        <w:rPr>
          <w:rFonts w:eastAsia="SimSun" w:hint="eastAsia"/>
          <w:lang w:eastAsia="zh-CN" w:bidi="fa-IR"/>
        </w:rPr>
        <w:t xml:space="preserve"> was not considered. </w:t>
      </w:r>
      <w:r>
        <w:rPr>
          <w:rFonts w:eastAsia="SimSun"/>
          <w:lang w:eastAsia="zh-CN" w:bidi="fa-IR"/>
        </w:rPr>
        <w:t>A</w:t>
      </w:r>
      <w:r>
        <w:rPr>
          <w:rFonts w:eastAsia="SimSun" w:hint="eastAsia"/>
          <w:lang w:eastAsia="zh-CN" w:bidi="fa-IR"/>
        </w:rPr>
        <w:t>s a result, the actual cost of compliance may be understated.</w:t>
      </w:r>
      <w:r>
        <w:rPr>
          <w:rFonts w:eastAsia="SimSun"/>
          <w:lang w:eastAsia="zh-CN" w:bidi="fa-IR"/>
        </w:rPr>
        <w:t xml:space="preserve"> In particular, cost of shading, or amenity loss associated with dark visual light transmittance (VLT) and/or smaller windows were not considered in the CRIS.</w:t>
      </w:r>
    </w:p>
    <w:p w14:paraId="4808109D" w14:textId="69CE1DC4" w:rsidR="00767FC0" w:rsidRDefault="00767FC0" w:rsidP="00767FC0">
      <w:pPr>
        <w:pStyle w:val="BodyText"/>
        <w:rPr>
          <w:rFonts w:eastAsia="SimSun"/>
          <w:lang w:eastAsia="zh-CN" w:bidi="fa-IR"/>
        </w:rPr>
      </w:pPr>
      <w:r>
        <w:rPr>
          <w:rFonts w:eastAsia="SimSun" w:hint="eastAsia"/>
          <w:lang w:eastAsia="zh-CN" w:bidi="fa-IR"/>
        </w:rPr>
        <w:t xml:space="preserve">Some submissions </w:t>
      </w:r>
      <w:r>
        <w:rPr>
          <w:rFonts w:eastAsia="SimSun"/>
          <w:lang w:eastAsia="zh-CN" w:bidi="fa-IR"/>
        </w:rPr>
        <w:t xml:space="preserve">questioned that the energy modelling used products supplied by a limited number of companies, and </w:t>
      </w:r>
      <w:r w:rsidRPr="006C61FC">
        <w:rPr>
          <w:rFonts w:eastAsia="SimSun"/>
          <w:lang w:eastAsia="zh-CN" w:bidi="fa-IR"/>
        </w:rPr>
        <w:t xml:space="preserve">only a very small percentage of the glass types in the current market </w:t>
      </w:r>
      <w:r w:rsidR="00E67539">
        <w:rPr>
          <w:rFonts w:eastAsia="SimSun"/>
          <w:lang w:eastAsia="zh-CN" w:bidi="fa-IR"/>
        </w:rPr>
        <w:t xml:space="preserve">have a low enough </w:t>
      </w:r>
      <w:r>
        <w:rPr>
          <w:rFonts w:eastAsia="SimSun"/>
          <w:lang w:eastAsia="zh-CN" w:bidi="fa-IR"/>
        </w:rPr>
        <w:t>solar heat gain coefficient</w:t>
      </w:r>
      <w:r w:rsidRPr="006C61FC">
        <w:rPr>
          <w:rFonts w:eastAsia="SimSun"/>
          <w:lang w:eastAsia="zh-CN" w:bidi="fa-IR"/>
        </w:rPr>
        <w:t xml:space="preserve"> </w:t>
      </w:r>
      <w:r>
        <w:rPr>
          <w:rFonts w:eastAsia="SimSun"/>
          <w:lang w:eastAsia="zh-CN" w:bidi="fa-IR"/>
        </w:rPr>
        <w:t>(</w:t>
      </w:r>
      <w:r w:rsidRPr="006C61FC">
        <w:rPr>
          <w:rFonts w:eastAsia="SimSun"/>
          <w:lang w:eastAsia="zh-CN" w:bidi="fa-IR"/>
        </w:rPr>
        <w:t>SHGC</w:t>
      </w:r>
      <w:r>
        <w:rPr>
          <w:rFonts w:eastAsia="SimSun"/>
          <w:lang w:eastAsia="zh-CN" w:bidi="fa-IR"/>
        </w:rPr>
        <w:t xml:space="preserve">) </w:t>
      </w:r>
      <w:r w:rsidR="00E67539">
        <w:rPr>
          <w:rFonts w:eastAsia="SimSun"/>
          <w:lang w:eastAsia="zh-CN" w:bidi="fa-IR"/>
        </w:rPr>
        <w:t xml:space="preserve">to meet the proposed </w:t>
      </w:r>
      <w:r w:rsidR="00991D91">
        <w:rPr>
          <w:rFonts w:eastAsia="SimSun"/>
          <w:lang w:eastAsia="zh-CN" w:bidi="fa-IR"/>
        </w:rPr>
        <w:t>solar admittance</w:t>
      </w:r>
      <w:r w:rsidR="00E67539">
        <w:rPr>
          <w:rFonts w:eastAsia="SimSun"/>
          <w:lang w:eastAsia="zh-CN" w:bidi="fa-IR"/>
        </w:rPr>
        <w:t xml:space="preserve"> at typical WWR levels</w:t>
      </w:r>
      <w:r>
        <w:rPr>
          <w:rFonts w:eastAsia="SimSun"/>
          <w:lang w:eastAsia="zh-CN" w:bidi="fa-IR"/>
        </w:rPr>
        <w:t>.</w:t>
      </w:r>
      <w:r>
        <w:rPr>
          <w:rFonts w:eastAsia="SimSun" w:hint="eastAsia"/>
          <w:lang w:eastAsia="zh-CN" w:bidi="fa-IR"/>
        </w:rPr>
        <w:t xml:space="preserve"> </w:t>
      </w:r>
    </w:p>
    <w:p w14:paraId="78723BF6" w14:textId="77777777" w:rsidR="00767FC0" w:rsidRDefault="00767FC0" w:rsidP="00767FC0">
      <w:pPr>
        <w:pStyle w:val="Heading3"/>
        <w:numPr>
          <w:ilvl w:val="0"/>
          <w:numId w:val="0"/>
        </w:numPr>
        <w:rPr>
          <w:lang w:bidi="fa-IR"/>
        </w:rPr>
      </w:pPr>
      <w:r>
        <w:rPr>
          <w:lang w:bidi="fa-IR"/>
        </w:rPr>
        <w:t>Internal wall insulation</w:t>
      </w:r>
    </w:p>
    <w:p w14:paraId="51733FE8" w14:textId="77777777" w:rsidR="00767FC0" w:rsidRDefault="00767FC0" w:rsidP="00767FC0">
      <w:pPr>
        <w:pStyle w:val="BodyText"/>
        <w:rPr>
          <w:lang w:bidi="fa-IR"/>
        </w:rPr>
      </w:pPr>
      <w:r>
        <w:rPr>
          <w:lang w:bidi="fa-IR"/>
        </w:rPr>
        <w:t>One submission questioned the rationale of removing requirements for internal wall insulations. It argues that there is no supporting evidence provided to show that the removal of the requirement does not affect the energy efficiency of the building, and that the core of the building is at the same temperature as the occupied area.</w:t>
      </w:r>
    </w:p>
    <w:p w14:paraId="4D6784B7" w14:textId="77777777" w:rsidR="00767FC0" w:rsidRDefault="00767FC0" w:rsidP="00767FC0">
      <w:pPr>
        <w:pStyle w:val="BodyText"/>
        <w:rPr>
          <w:lang w:bidi="fa-IR"/>
        </w:rPr>
      </w:pPr>
      <w:r>
        <w:rPr>
          <w:lang w:bidi="fa-IR"/>
        </w:rPr>
        <w:t>Further, this submission suggested that internal insulation has a much lower cost than external insulation. Internal insulation is usually batts and is more relevant to the ceiling insulation. It suggests that internal wall insulation should be $12.00 per square metre, compared to an average cost of $48.43 based on prices for metal cladding and Kingspan insulation.</w:t>
      </w:r>
    </w:p>
    <w:p w14:paraId="175B4DBB" w14:textId="77777777" w:rsidR="00767FC0" w:rsidRDefault="00767FC0" w:rsidP="00767FC0">
      <w:pPr>
        <w:pStyle w:val="Heading3"/>
        <w:numPr>
          <w:ilvl w:val="0"/>
          <w:numId w:val="0"/>
        </w:numPr>
        <w:rPr>
          <w:rFonts w:eastAsia="SimSun"/>
          <w:lang w:eastAsia="zh-CN" w:bidi="fa-IR"/>
        </w:rPr>
      </w:pPr>
      <w:r>
        <w:rPr>
          <w:rFonts w:eastAsia="SimSun"/>
          <w:lang w:eastAsia="zh-CN" w:bidi="fa-IR"/>
        </w:rPr>
        <w:t>Solar PV requirements</w:t>
      </w:r>
    </w:p>
    <w:p w14:paraId="24C1ABF8" w14:textId="77777777" w:rsidR="00767FC0" w:rsidRDefault="00767FC0" w:rsidP="00767FC0">
      <w:pPr>
        <w:pStyle w:val="BodyText"/>
        <w:rPr>
          <w:rFonts w:eastAsia="SimSun"/>
          <w:lang w:eastAsia="zh-CN" w:bidi="fa-IR"/>
        </w:rPr>
      </w:pPr>
      <w:r>
        <w:rPr>
          <w:rFonts w:eastAsia="SimSun"/>
          <w:lang w:eastAsia="zh-CN" w:bidi="fa-IR"/>
        </w:rPr>
        <w:t>The comments about the solar PV requirements focus on three main issues:</w:t>
      </w:r>
    </w:p>
    <w:p w14:paraId="34EF02F0" w14:textId="77777777" w:rsidR="00767FC0" w:rsidRDefault="00767FC0" w:rsidP="00767FC0">
      <w:pPr>
        <w:pStyle w:val="ListBullet"/>
        <w:rPr>
          <w:rFonts w:eastAsia="SimSun"/>
          <w:lang w:eastAsia="zh-CN" w:bidi="fa-IR"/>
        </w:rPr>
      </w:pPr>
      <w:r>
        <w:rPr>
          <w:rFonts w:eastAsia="SimSun"/>
          <w:lang w:eastAsia="zh-CN" w:bidi="fa-IR"/>
        </w:rPr>
        <w:t>the practicality of installing solar systems on roof tops and on ground;</w:t>
      </w:r>
    </w:p>
    <w:p w14:paraId="505093B8" w14:textId="77777777" w:rsidR="00767FC0" w:rsidRDefault="00767FC0" w:rsidP="00767FC0">
      <w:pPr>
        <w:pStyle w:val="ListBullet"/>
        <w:rPr>
          <w:rFonts w:eastAsia="SimSun"/>
          <w:lang w:eastAsia="zh-CN" w:bidi="fa-IR"/>
        </w:rPr>
      </w:pPr>
      <w:r>
        <w:rPr>
          <w:rFonts w:eastAsia="SimSun"/>
          <w:lang w:eastAsia="zh-CN" w:bidi="fa-IR"/>
        </w:rPr>
        <w:t>the uptake of roof-top solar in the baseline; and</w:t>
      </w:r>
    </w:p>
    <w:p w14:paraId="3E3FCE37" w14:textId="77777777" w:rsidR="00767FC0" w:rsidRPr="000E4CB3" w:rsidRDefault="00767FC0" w:rsidP="00767FC0">
      <w:pPr>
        <w:pStyle w:val="ListBullet"/>
        <w:rPr>
          <w:rFonts w:eastAsia="SimSun"/>
          <w:lang w:eastAsia="zh-CN" w:bidi="fa-IR"/>
        </w:rPr>
      </w:pPr>
      <w:r>
        <w:rPr>
          <w:rFonts w:eastAsia="SimSun"/>
          <w:lang w:eastAsia="zh-CN" w:bidi="fa-IR"/>
        </w:rPr>
        <w:t xml:space="preserve">the network impact of exported solar electricity. </w:t>
      </w:r>
    </w:p>
    <w:p w14:paraId="30D6DBB0" w14:textId="7BB562CE" w:rsidR="00767FC0" w:rsidRDefault="006A43A1" w:rsidP="00767FC0">
      <w:pPr>
        <w:pStyle w:val="BodyText"/>
        <w:rPr>
          <w:rFonts w:eastAsia="SimSun"/>
          <w:lang w:eastAsia="zh-CN" w:bidi="fa-IR"/>
        </w:rPr>
      </w:pPr>
      <w:r>
        <w:rPr>
          <w:rFonts w:eastAsia="SimSun"/>
          <w:lang w:eastAsia="zh-CN" w:bidi="fa-IR"/>
        </w:rPr>
        <w:t xml:space="preserve">The submission from the </w:t>
      </w:r>
      <w:r w:rsidR="008B5592" w:rsidRPr="008B5592">
        <w:rPr>
          <w:rFonts w:eastAsia="SimSun"/>
          <w:lang w:eastAsia="zh-CN" w:bidi="fa-IR"/>
        </w:rPr>
        <w:t xml:space="preserve">Housing Industry Association </w:t>
      </w:r>
      <w:r w:rsidR="009A5A18">
        <w:rPr>
          <w:rFonts w:eastAsia="SimSun"/>
          <w:lang w:eastAsia="zh-CN" w:bidi="fa-IR"/>
        </w:rPr>
        <w:t>(</w:t>
      </w:r>
      <w:r w:rsidR="00767FC0" w:rsidRPr="00627950">
        <w:rPr>
          <w:rFonts w:eastAsia="SimSun"/>
          <w:lang w:eastAsia="zh-CN" w:bidi="fa-IR"/>
        </w:rPr>
        <w:t>HIA</w:t>
      </w:r>
      <w:r w:rsidR="009A5A18">
        <w:rPr>
          <w:rFonts w:eastAsia="SimSun"/>
          <w:lang w:eastAsia="zh-CN" w:bidi="fa-IR"/>
        </w:rPr>
        <w:t>)</w:t>
      </w:r>
      <w:r w:rsidR="00767FC0" w:rsidRPr="00627950">
        <w:rPr>
          <w:rFonts w:eastAsia="SimSun"/>
          <w:lang w:eastAsia="zh-CN" w:bidi="fa-IR"/>
        </w:rPr>
        <w:t xml:space="preserve"> noticed some discrepancies between DeltaQ's modelling and proposed changes (J9D5) and questioned </w:t>
      </w:r>
      <w:r w:rsidR="00767FC0">
        <w:rPr>
          <w:rFonts w:eastAsia="SimSun"/>
          <w:lang w:eastAsia="zh-CN" w:bidi="fa-IR"/>
        </w:rPr>
        <w:t xml:space="preserve">the </w:t>
      </w:r>
      <w:r w:rsidR="00767FC0" w:rsidRPr="00627950">
        <w:rPr>
          <w:rFonts w:eastAsia="SimSun"/>
          <w:lang w:eastAsia="zh-CN" w:bidi="fa-IR"/>
        </w:rPr>
        <w:t xml:space="preserve">practicality of the sizes required for PV to not only cover </w:t>
      </w:r>
      <w:r w:rsidR="00767FC0">
        <w:rPr>
          <w:rFonts w:eastAsia="SimSun"/>
          <w:lang w:eastAsia="zh-CN" w:bidi="fa-IR"/>
        </w:rPr>
        <w:t>the</w:t>
      </w:r>
      <w:r w:rsidR="00767FC0" w:rsidRPr="00627950">
        <w:rPr>
          <w:rFonts w:eastAsia="SimSun"/>
          <w:lang w:eastAsia="zh-CN" w:bidi="fa-IR"/>
        </w:rPr>
        <w:t xml:space="preserve"> operational use of a </w:t>
      </w:r>
      <w:r w:rsidR="00767FC0">
        <w:rPr>
          <w:rFonts w:eastAsia="SimSun"/>
          <w:lang w:eastAsia="zh-CN" w:bidi="fa-IR"/>
        </w:rPr>
        <w:t>building</w:t>
      </w:r>
      <w:r w:rsidR="00767FC0" w:rsidRPr="00627950">
        <w:rPr>
          <w:rFonts w:eastAsia="SimSun"/>
          <w:lang w:eastAsia="zh-CN" w:bidi="fa-IR"/>
        </w:rPr>
        <w:t xml:space="preserve">, but also </w:t>
      </w:r>
      <w:r w:rsidR="00767FC0">
        <w:rPr>
          <w:rFonts w:eastAsia="SimSun"/>
          <w:lang w:eastAsia="zh-CN" w:bidi="fa-IR"/>
        </w:rPr>
        <w:t xml:space="preserve">to </w:t>
      </w:r>
      <w:r w:rsidR="00767FC0" w:rsidRPr="00627950">
        <w:rPr>
          <w:rFonts w:eastAsia="SimSun"/>
          <w:lang w:eastAsia="zh-CN" w:bidi="fa-IR"/>
        </w:rPr>
        <w:t>have approximately 50 per cent exported to grid.</w:t>
      </w:r>
      <w:r w:rsidR="00767FC0">
        <w:rPr>
          <w:rFonts w:eastAsia="SimSun"/>
          <w:lang w:eastAsia="zh-CN" w:bidi="fa-IR"/>
        </w:rPr>
        <w:t xml:space="preserve"> </w:t>
      </w:r>
      <w:r w:rsidR="00767FC0" w:rsidRPr="00627950">
        <w:rPr>
          <w:rFonts w:eastAsia="SimSun"/>
          <w:lang w:eastAsia="zh-CN" w:bidi="fa-IR"/>
        </w:rPr>
        <w:t>HIA also questioned the practicality of ground-mount solar PV.</w:t>
      </w:r>
    </w:p>
    <w:p w14:paraId="3DB6C242" w14:textId="77777777" w:rsidR="00767FC0" w:rsidRDefault="00767FC0" w:rsidP="00767FC0">
      <w:pPr>
        <w:pStyle w:val="BodyText"/>
        <w:rPr>
          <w:rFonts w:eastAsia="SimSun"/>
          <w:lang w:eastAsia="zh-CN" w:bidi="fa-IR"/>
        </w:rPr>
      </w:pPr>
      <w:r>
        <w:rPr>
          <w:lang w:bidi="fa-IR"/>
        </w:rPr>
        <w:t>HIA questioned the energy savings assumptions, particularly the difference between Stringency 1 and 2 which were significant at $4.2 billion only because of mandating PV. The results seem to be overoptimistic. HIA asked whether voluntary PV uptake has been considered.</w:t>
      </w:r>
    </w:p>
    <w:p w14:paraId="27473738" w14:textId="77777777" w:rsidR="00767FC0" w:rsidRDefault="00767FC0" w:rsidP="00767FC0">
      <w:pPr>
        <w:pStyle w:val="BodyText"/>
        <w:rPr>
          <w:lang w:bidi="fa-IR"/>
        </w:rPr>
      </w:pPr>
      <w:r>
        <w:rPr>
          <w:lang w:bidi="fa-IR"/>
        </w:rPr>
        <w:t>HIA</w:t>
      </w:r>
      <w:r w:rsidRPr="00D35081">
        <w:rPr>
          <w:lang w:bidi="fa-IR"/>
        </w:rPr>
        <w:t xml:space="preserve"> </w:t>
      </w:r>
      <w:r>
        <w:rPr>
          <w:lang w:bidi="fa-IR"/>
        </w:rPr>
        <w:t>raised</w:t>
      </w:r>
      <w:r w:rsidRPr="00D35081">
        <w:rPr>
          <w:lang w:bidi="fa-IR"/>
        </w:rPr>
        <w:t xml:space="preserve"> questions related to network impact included in P</w:t>
      </w:r>
      <w:r>
        <w:rPr>
          <w:lang w:bidi="fa-IR"/>
        </w:rPr>
        <w:t xml:space="preserve">ublic </w:t>
      </w:r>
      <w:r w:rsidRPr="00D35081">
        <w:rPr>
          <w:lang w:bidi="fa-IR"/>
        </w:rPr>
        <w:t>C</w:t>
      </w:r>
      <w:r>
        <w:rPr>
          <w:lang w:bidi="fa-IR"/>
        </w:rPr>
        <w:t xml:space="preserve">omment </w:t>
      </w:r>
      <w:r w:rsidRPr="00D35081">
        <w:rPr>
          <w:lang w:bidi="fa-IR"/>
        </w:rPr>
        <w:t>D</w:t>
      </w:r>
      <w:r>
        <w:rPr>
          <w:lang w:bidi="fa-IR"/>
        </w:rPr>
        <w:t>raft (</w:t>
      </w:r>
      <w:r w:rsidRPr="00D35081">
        <w:rPr>
          <w:lang w:bidi="fa-IR"/>
        </w:rPr>
        <w:t>PCD</w:t>
      </w:r>
      <w:r>
        <w:rPr>
          <w:lang w:bidi="fa-IR"/>
        </w:rPr>
        <w:t>)</w:t>
      </w:r>
      <w:r w:rsidRPr="00D35081">
        <w:rPr>
          <w:lang w:bidi="fa-IR"/>
        </w:rPr>
        <w:t xml:space="preserve"> form and question</w:t>
      </w:r>
      <w:r>
        <w:rPr>
          <w:lang w:bidi="fa-IR"/>
        </w:rPr>
        <w:t>ed</w:t>
      </w:r>
      <w:r w:rsidRPr="00D35081">
        <w:rPr>
          <w:lang w:bidi="fa-IR"/>
        </w:rPr>
        <w:t xml:space="preserve"> the method of calculating avoided network costs. </w:t>
      </w:r>
      <w:r>
        <w:rPr>
          <w:lang w:bidi="fa-IR"/>
        </w:rPr>
        <w:t>It</w:t>
      </w:r>
      <w:r w:rsidRPr="00D35081">
        <w:rPr>
          <w:lang w:bidi="fa-IR"/>
        </w:rPr>
        <w:t xml:space="preserve"> use</w:t>
      </w:r>
      <w:r>
        <w:rPr>
          <w:lang w:bidi="fa-IR"/>
        </w:rPr>
        <w:t>d</w:t>
      </w:r>
      <w:r w:rsidRPr="00D35081">
        <w:rPr>
          <w:lang w:bidi="fa-IR"/>
        </w:rPr>
        <w:t xml:space="preserve"> NCC 2022 RIS as an example to demonstrate </w:t>
      </w:r>
      <w:r>
        <w:rPr>
          <w:lang w:bidi="fa-IR"/>
        </w:rPr>
        <w:t xml:space="preserve">that </w:t>
      </w:r>
      <w:r w:rsidRPr="00D35081">
        <w:rPr>
          <w:lang w:bidi="fa-IR"/>
        </w:rPr>
        <w:t>requiring PV exported to grid may lead to additional network infrastructure costs rather than avoided network costs. HIA ask</w:t>
      </w:r>
      <w:r>
        <w:rPr>
          <w:lang w:bidi="fa-IR"/>
        </w:rPr>
        <w:t xml:space="preserve">ed </w:t>
      </w:r>
      <w:r w:rsidRPr="00D35081">
        <w:rPr>
          <w:lang w:bidi="fa-IR"/>
        </w:rPr>
        <w:t>to consider those issues and model lower or negative export tariffs, particularly recent changes to feed-in tariffs in NSW and ACT.</w:t>
      </w:r>
    </w:p>
    <w:p w14:paraId="721E1FA1" w14:textId="77777777" w:rsidR="00767FC0" w:rsidRDefault="00767FC0" w:rsidP="00767FC0">
      <w:pPr>
        <w:pStyle w:val="Heading3"/>
        <w:numPr>
          <w:ilvl w:val="0"/>
          <w:numId w:val="0"/>
        </w:numPr>
        <w:rPr>
          <w:rFonts w:eastAsia="SimSun"/>
          <w:lang w:eastAsia="zh-CN" w:bidi="fa-IR"/>
        </w:rPr>
      </w:pPr>
      <w:r>
        <w:rPr>
          <w:rFonts w:eastAsia="SimSun"/>
          <w:lang w:eastAsia="zh-CN" w:bidi="fa-IR"/>
        </w:rPr>
        <w:t>Electrification response</w:t>
      </w:r>
    </w:p>
    <w:p w14:paraId="08B05DDA" w14:textId="77777777" w:rsidR="00767FC0" w:rsidRDefault="00767FC0" w:rsidP="00767FC0">
      <w:pPr>
        <w:pStyle w:val="BodyText"/>
        <w:rPr>
          <w:lang w:bidi="fa-IR"/>
        </w:rPr>
      </w:pPr>
      <w:r>
        <w:rPr>
          <w:lang w:bidi="fa-IR"/>
        </w:rPr>
        <w:t>In response to the proposed net zero carbon ready buildings option, CRIS assumes that: half of the buildings that would have been dual-fuel under current NCC provisions will choose the dual-fuel option (with expanded PV systems to offset emissions from gas consumption); and the other half will choose the fully-electric option.</w:t>
      </w:r>
    </w:p>
    <w:p w14:paraId="710D1922" w14:textId="77777777" w:rsidR="00767FC0" w:rsidRDefault="00767FC0" w:rsidP="00767FC0">
      <w:pPr>
        <w:pStyle w:val="BodyText"/>
        <w:rPr>
          <w:lang w:bidi="fa-IR"/>
        </w:rPr>
      </w:pPr>
      <w:r>
        <w:rPr>
          <w:lang w:bidi="fa-IR"/>
        </w:rPr>
        <w:t>Anderson Energy Efficiency suggested a lower percentage of dual-fuel buildings at 0-25 per cent, because building owners will ‘see the writing on the wall’ and avoid gas at the outset.</w:t>
      </w:r>
    </w:p>
    <w:p w14:paraId="1E8A1C3F" w14:textId="77777777" w:rsidR="00767FC0" w:rsidRDefault="00767FC0" w:rsidP="00767FC0">
      <w:pPr>
        <w:pStyle w:val="Heading3"/>
        <w:numPr>
          <w:ilvl w:val="0"/>
          <w:numId w:val="0"/>
        </w:numPr>
        <w:rPr>
          <w:lang w:bidi="fa-IR"/>
        </w:rPr>
      </w:pPr>
      <w:r>
        <w:rPr>
          <w:lang w:bidi="fa-IR"/>
        </w:rPr>
        <w:t>EV charging provisions</w:t>
      </w:r>
    </w:p>
    <w:p w14:paraId="336A7022" w14:textId="77777777" w:rsidR="00767FC0" w:rsidRDefault="00767FC0" w:rsidP="00767FC0">
      <w:pPr>
        <w:pStyle w:val="BodyText"/>
        <w:rPr>
          <w:lang w:bidi="fa-IR"/>
        </w:rPr>
      </w:pPr>
      <w:r>
        <w:rPr>
          <w:lang w:bidi="fa-IR"/>
        </w:rPr>
        <w:t>HIA questioned the approach to use Commonwealth Scientific and Industrial Research Organisation’s (CSIRO’s) EV sales projection to force commercial buildings to install EV charging facilities and argued the projection is too optimistic.</w:t>
      </w:r>
    </w:p>
    <w:p w14:paraId="155C9AA0" w14:textId="77777777" w:rsidR="00767FC0" w:rsidRDefault="00767FC0" w:rsidP="00767FC0">
      <w:pPr>
        <w:pStyle w:val="BodyText"/>
        <w:rPr>
          <w:lang w:bidi="fa-IR"/>
        </w:rPr>
      </w:pPr>
      <w:r w:rsidRPr="00B34110">
        <w:rPr>
          <w:lang w:bidi="fa-IR"/>
        </w:rPr>
        <w:t xml:space="preserve">HIA </w:t>
      </w:r>
      <w:r>
        <w:rPr>
          <w:lang w:bidi="fa-IR"/>
        </w:rPr>
        <w:t>wa</w:t>
      </w:r>
      <w:r w:rsidRPr="00B34110">
        <w:rPr>
          <w:lang w:bidi="fa-IR"/>
        </w:rPr>
        <w:t>s concerned about monitoring, allocating, and controlling usage of EV charging facilities for multifunction mixed-use buildings. Also further clarity is needed on how to define 'carparking area'. Safety issues to maintain the facilities and against any damages were also raised.</w:t>
      </w:r>
    </w:p>
    <w:p w14:paraId="1CA4B089" w14:textId="77777777" w:rsidR="00767FC0" w:rsidRDefault="00767FC0" w:rsidP="00767FC0">
      <w:pPr>
        <w:pStyle w:val="Heading3"/>
        <w:numPr>
          <w:ilvl w:val="0"/>
          <w:numId w:val="0"/>
        </w:numPr>
        <w:rPr>
          <w:rFonts w:eastAsia="SimSun"/>
          <w:lang w:eastAsia="zh-CN" w:bidi="fa-IR"/>
        </w:rPr>
      </w:pPr>
      <w:r>
        <w:rPr>
          <w:rFonts w:eastAsia="SimSun"/>
          <w:lang w:eastAsia="zh-CN" w:bidi="fa-IR"/>
        </w:rPr>
        <w:t>Cost-benefit analysis parameters</w:t>
      </w:r>
    </w:p>
    <w:p w14:paraId="75154B63" w14:textId="77777777" w:rsidR="00767FC0" w:rsidRDefault="00767FC0" w:rsidP="00767FC0">
      <w:pPr>
        <w:pStyle w:val="Heading4"/>
        <w:numPr>
          <w:ilvl w:val="0"/>
          <w:numId w:val="0"/>
        </w:numPr>
        <w:rPr>
          <w:rFonts w:eastAsia="SimSun"/>
          <w:lang w:eastAsia="zh-CN" w:bidi="fa-IR"/>
        </w:rPr>
      </w:pPr>
      <w:r>
        <w:rPr>
          <w:rFonts w:eastAsia="SimSun"/>
          <w:lang w:eastAsia="zh-CN" w:bidi="fa-IR"/>
        </w:rPr>
        <w:t>Discount rate</w:t>
      </w:r>
    </w:p>
    <w:p w14:paraId="4CFA0A14" w14:textId="77777777" w:rsidR="00767FC0" w:rsidRDefault="00767FC0" w:rsidP="00767FC0">
      <w:pPr>
        <w:pStyle w:val="BodyText"/>
        <w:rPr>
          <w:lang w:bidi="fa-IR"/>
        </w:rPr>
      </w:pPr>
      <w:r>
        <w:rPr>
          <w:lang w:bidi="fa-IR"/>
        </w:rPr>
        <w:t>The CRIS used 5 per cent as the central case discount rate with 2 per cent and 7 per cent being used in the sensitivity analysis. HIA pointed out that the discount rates are low compared to the rates used in previous similar RISs. It further argued that higher discount rates should be used because private investments are required to improve energy efficiency and require much higher discount rates than have been used in private investment decisions.</w:t>
      </w:r>
    </w:p>
    <w:p w14:paraId="2F617782" w14:textId="77777777" w:rsidR="00767FC0" w:rsidRDefault="00767FC0" w:rsidP="00767FC0">
      <w:pPr>
        <w:pStyle w:val="Heading4"/>
        <w:numPr>
          <w:ilvl w:val="0"/>
          <w:numId w:val="0"/>
        </w:numPr>
        <w:rPr>
          <w:rFonts w:eastAsia="SimSun"/>
          <w:lang w:eastAsia="zh-CN" w:bidi="fa-IR"/>
        </w:rPr>
      </w:pPr>
      <w:r>
        <w:rPr>
          <w:rFonts w:eastAsia="SimSun"/>
          <w:lang w:eastAsia="zh-CN" w:bidi="fa-IR"/>
        </w:rPr>
        <w:t>Energy pricing</w:t>
      </w:r>
    </w:p>
    <w:p w14:paraId="493292B0" w14:textId="77777777" w:rsidR="00767FC0" w:rsidRDefault="00767FC0" w:rsidP="00767FC0">
      <w:pPr>
        <w:pStyle w:val="BodyText"/>
        <w:rPr>
          <w:lang w:bidi="fa-IR"/>
        </w:rPr>
      </w:pPr>
      <w:r>
        <w:rPr>
          <w:lang w:bidi="fa-IR"/>
        </w:rPr>
        <w:t>HIA argued that t</w:t>
      </w:r>
      <w:r w:rsidRPr="00515C79">
        <w:rPr>
          <w:lang w:bidi="fa-IR"/>
        </w:rPr>
        <w:t>here is undoubtably an over-estimation from retail savings which needs to be corrected by appropriate price selection</w:t>
      </w:r>
      <w:r>
        <w:rPr>
          <w:lang w:bidi="fa-IR"/>
        </w:rPr>
        <w:t>.</w:t>
      </w:r>
    </w:p>
    <w:p w14:paraId="34324952" w14:textId="77777777" w:rsidR="00767FC0" w:rsidRDefault="00767FC0" w:rsidP="00767FC0">
      <w:pPr>
        <w:pStyle w:val="Heading4"/>
        <w:numPr>
          <w:ilvl w:val="0"/>
          <w:numId w:val="0"/>
        </w:numPr>
        <w:rPr>
          <w:rFonts w:eastAsia="SimSun"/>
          <w:lang w:eastAsia="zh-CN" w:bidi="fa-IR"/>
        </w:rPr>
      </w:pPr>
      <w:r>
        <w:rPr>
          <w:rFonts w:eastAsia="SimSun"/>
          <w:lang w:eastAsia="zh-CN" w:bidi="fa-IR"/>
        </w:rPr>
        <w:t>Carbon valuation</w:t>
      </w:r>
    </w:p>
    <w:p w14:paraId="0833B166" w14:textId="7432E874" w:rsidR="00767FC0" w:rsidRDefault="00767FC0" w:rsidP="00767FC0">
      <w:pPr>
        <w:pStyle w:val="BodyText"/>
        <w:rPr>
          <w:lang w:bidi="fa-IR"/>
        </w:rPr>
      </w:pPr>
      <w:r>
        <w:rPr>
          <w:rFonts w:eastAsia="SimSun"/>
          <w:lang w:eastAsia="zh-CN" w:bidi="fa-IR"/>
        </w:rPr>
        <w:t xml:space="preserve">The CRIS used Social Cost of Carbon developed by the US Environmental Protection Agency to value the benefits of reducing </w:t>
      </w:r>
      <w:r w:rsidR="009C1C23">
        <w:rPr>
          <w:rFonts w:eastAsia="SimSun"/>
          <w:lang w:eastAsia="zh-CN" w:bidi="fa-IR"/>
        </w:rPr>
        <w:t>GHG</w:t>
      </w:r>
      <w:r>
        <w:rPr>
          <w:rFonts w:eastAsia="SimSun"/>
          <w:lang w:eastAsia="zh-CN" w:bidi="fa-IR"/>
        </w:rPr>
        <w:t xml:space="preserve"> emissions</w:t>
      </w:r>
      <w:r w:rsidRPr="00F83E17">
        <w:rPr>
          <w:rFonts w:eastAsia="SimSun"/>
          <w:lang w:eastAsia="zh-CN" w:bidi="fa-IR"/>
        </w:rPr>
        <w:t xml:space="preserve">. </w:t>
      </w:r>
      <w:r w:rsidRPr="00F83E17">
        <w:rPr>
          <w:lang w:bidi="fa-IR"/>
        </w:rPr>
        <w:t>A couple of submissions thought the SCC are overstated.</w:t>
      </w:r>
    </w:p>
    <w:p w14:paraId="42294B07" w14:textId="77777777" w:rsidR="00767FC0" w:rsidRPr="00AD785A" w:rsidRDefault="00767FC0" w:rsidP="00767FC0">
      <w:pPr>
        <w:pStyle w:val="BodyText"/>
        <w:rPr>
          <w:lang w:bidi="fa-IR"/>
        </w:rPr>
      </w:pPr>
      <w:r>
        <w:rPr>
          <w:lang w:bidi="fa-IR"/>
        </w:rPr>
        <w:t xml:space="preserve">On the other hand, Anderson Energy Efficiency questioned whether the cost of pollution, such as deaths from poor air quality and cost of sea level rise, due to increased global Greenhouse Gas (GHG) had been considered. </w:t>
      </w:r>
    </w:p>
    <w:p w14:paraId="4530357E" w14:textId="77777777" w:rsidR="00767FC0" w:rsidRDefault="00767FC0" w:rsidP="00767FC0">
      <w:pPr>
        <w:pStyle w:val="Heading3"/>
        <w:numPr>
          <w:ilvl w:val="0"/>
          <w:numId w:val="0"/>
        </w:numPr>
        <w:rPr>
          <w:lang w:bidi="fa-IR"/>
        </w:rPr>
      </w:pPr>
      <w:r>
        <w:rPr>
          <w:lang w:bidi="fa-IR"/>
        </w:rPr>
        <w:t>Training and transition costs</w:t>
      </w:r>
    </w:p>
    <w:p w14:paraId="6580F677" w14:textId="77777777" w:rsidR="00767FC0" w:rsidRDefault="00767FC0" w:rsidP="00767FC0">
      <w:pPr>
        <w:pStyle w:val="BodyText"/>
        <w:rPr>
          <w:lang w:bidi="fa-IR"/>
        </w:rPr>
      </w:pPr>
      <w:r>
        <w:rPr>
          <w:lang w:bidi="fa-IR"/>
        </w:rPr>
        <w:t>HIA highlighted that training and transition costs are required to implement the proposed changes. However, there are no data provided.</w:t>
      </w:r>
    </w:p>
    <w:p w14:paraId="1F7C2F50" w14:textId="77777777" w:rsidR="00767FC0" w:rsidRDefault="00767FC0" w:rsidP="00767FC0">
      <w:pPr>
        <w:pStyle w:val="Heading3"/>
        <w:numPr>
          <w:ilvl w:val="0"/>
          <w:numId w:val="0"/>
        </w:numPr>
        <w:rPr>
          <w:lang w:bidi="fa-IR"/>
        </w:rPr>
      </w:pPr>
      <w:r>
        <w:rPr>
          <w:lang w:bidi="fa-IR"/>
        </w:rPr>
        <w:t>Space impact</w:t>
      </w:r>
    </w:p>
    <w:p w14:paraId="7A2FE21B" w14:textId="01D910B2" w:rsidR="00767FC0" w:rsidRPr="008D7EE2" w:rsidRDefault="00767FC0" w:rsidP="00767FC0">
      <w:pPr>
        <w:pStyle w:val="BodyText"/>
        <w:rPr>
          <w:lang w:bidi="fa-IR"/>
        </w:rPr>
      </w:pPr>
      <w:r w:rsidRPr="008D7EE2">
        <w:rPr>
          <w:lang w:bidi="fa-IR"/>
        </w:rPr>
        <w:t xml:space="preserve">HIA suggested the </w:t>
      </w:r>
      <w:r w:rsidR="00285873">
        <w:rPr>
          <w:lang w:bidi="fa-IR"/>
        </w:rPr>
        <w:t xml:space="preserve">proposed </w:t>
      </w:r>
      <w:r w:rsidR="0058369F">
        <w:rPr>
          <w:lang w:bidi="fa-IR"/>
        </w:rPr>
        <w:t>space requirement in J</w:t>
      </w:r>
      <w:r w:rsidR="002B1283">
        <w:rPr>
          <w:lang w:bidi="fa-IR"/>
        </w:rPr>
        <w:t xml:space="preserve">8D3 </w:t>
      </w:r>
      <w:r w:rsidRPr="008D7EE2">
        <w:rPr>
          <w:lang w:bidi="fa-IR"/>
        </w:rPr>
        <w:t>was too costly and longsighted to be practical and should provide a concession like the J9D5 exemption where space or supply capacity is constrained. Alternatively, additional space and reinforcement to accommodate space for alternative heating technology in J8D3 and opportunity cost of the space and electrical capacity must be valued.</w:t>
      </w:r>
    </w:p>
    <w:p w14:paraId="1A02220B" w14:textId="77777777" w:rsidR="00767FC0" w:rsidRDefault="00767FC0" w:rsidP="00767FC0">
      <w:pPr>
        <w:pStyle w:val="BodyText"/>
        <w:rPr>
          <w:lang w:bidi="fa-IR"/>
        </w:rPr>
      </w:pPr>
      <w:r>
        <w:rPr>
          <w:lang w:bidi="fa-IR"/>
        </w:rPr>
        <w:t>JHA Consulting Engineers also suggested that consideration should be made of space impact and constructability. For example, factors such as the potential loss of floor area to accommodate thicker walls, the need for a secondary frame to support additional wall insulation, and the impacts of reduced ceiling space have not been taken into account.</w:t>
      </w:r>
    </w:p>
    <w:p w14:paraId="5EE0B9C4" w14:textId="77777777" w:rsidR="00767FC0" w:rsidRDefault="00767FC0" w:rsidP="00767FC0">
      <w:pPr>
        <w:pStyle w:val="Heading3"/>
        <w:numPr>
          <w:ilvl w:val="0"/>
          <w:numId w:val="0"/>
        </w:numPr>
        <w:rPr>
          <w:lang w:bidi="fa-IR"/>
        </w:rPr>
      </w:pPr>
      <w:r>
        <w:rPr>
          <w:lang w:bidi="fa-IR"/>
        </w:rPr>
        <w:t>Building archetypes in energy modelling</w:t>
      </w:r>
    </w:p>
    <w:p w14:paraId="6E436FC3" w14:textId="77777777" w:rsidR="00767FC0" w:rsidRPr="00A441D6" w:rsidRDefault="00767FC0" w:rsidP="00767FC0">
      <w:pPr>
        <w:pStyle w:val="BodyText"/>
        <w:rPr>
          <w:lang w:bidi="fa-IR"/>
        </w:rPr>
      </w:pPr>
      <w:r>
        <w:rPr>
          <w:lang w:bidi="fa-IR"/>
        </w:rPr>
        <w:t xml:space="preserve">HIA called for more transparency for building level modelling, for example, why only 3 archetypes were considered for dual fuel buildings and why Class 2 common areas were excluded. </w:t>
      </w:r>
    </w:p>
    <w:p w14:paraId="2C238AB2" w14:textId="77777777" w:rsidR="00767FC0" w:rsidRDefault="00767FC0" w:rsidP="00767FC0">
      <w:pPr>
        <w:pStyle w:val="Heading3"/>
        <w:numPr>
          <w:ilvl w:val="0"/>
          <w:numId w:val="0"/>
        </w:numPr>
        <w:rPr>
          <w:lang w:bidi="fa-IR"/>
        </w:rPr>
      </w:pPr>
      <w:r>
        <w:rPr>
          <w:lang w:bidi="fa-IR"/>
        </w:rPr>
        <w:t>Climate file</w:t>
      </w:r>
    </w:p>
    <w:p w14:paraId="6A8C9612" w14:textId="77777777" w:rsidR="00767FC0" w:rsidRDefault="00767FC0" w:rsidP="00767FC0">
      <w:pPr>
        <w:pStyle w:val="BodyText"/>
        <w:rPr>
          <w:lang w:bidi="fa-IR"/>
        </w:rPr>
      </w:pPr>
      <w:r>
        <w:rPr>
          <w:lang w:bidi="fa-IR"/>
        </w:rPr>
        <w:t xml:space="preserve">The energy modelling for the CRIS used a climate file under the </w:t>
      </w:r>
      <w:r w:rsidRPr="00434EDD">
        <w:rPr>
          <w:lang w:bidi="fa-IR"/>
        </w:rPr>
        <w:t>Representative Concentration Pathway with 8.5W/m² increase in radiative forcin</w:t>
      </w:r>
      <w:r>
        <w:rPr>
          <w:lang w:bidi="fa-IR"/>
        </w:rPr>
        <w:t>g – RCP 8.5. It represents a pathway where greenhouse gas emissions continue to grow unmitigated.  Some stakeholders (HIA, Anderson Energy Efficiency) therefore questioned why the worst scenario was used for modelling. The modelling was requiring a projected climate which may never happen, resulting in over-designed buildings.</w:t>
      </w:r>
    </w:p>
    <w:p w14:paraId="2E660E5A" w14:textId="15F3A991" w:rsidR="00767FC0" w:rsidRDefault="00767FC0" w:rsidP="00767FC0">
      <w:pPr>
        <w:pStyle w:val="BodyText"/>
        <w:rPr>
          <w:lang w:bidi="fa-IR"/>
        </w:rPr>
      </w:pPr>
      <w:r w:rsidRPr="00F4682C">
        <w:rPr>
          <w:lang w:bidi="fa-IR"/>
        </w:rPr>
        <w:t>Exemplary Energy</w:t>
      </w:r>
      <w:r>
        <w:rPr>
          <w:lang w:bidi="fa-IR"/>
        </w:rPr>
        <w:t xml:space="preserve">’s overriding concern was that all of the simulations done to validate the proposed changes to Section J are unreliable because the CSIRO's </w:t>
      </w:r>
      <w:r w:rsidR="0071302F">
        <w:rPr>
          <w:lang w:bidi="fa-IR"/>
        </w:rPr>
        <w:t>solar radiation files were offset by 1 hour</w:t>
      </w:r>
      <w:r>
        <w:rPr>
          <w:lang w:bidi="fa-IR"/>
        </w:rPr>
        <w:t xml:space="preserve">. The simulation results are out by 1 hour every day; so the peak demand predicted by the simulations will always also be out by 1 hour. It suggested that, at the very least, a sensitivity analysis is required to establish the size and direction of the error that these simulations incurred. </w:t>
      </w:r>
    </w:p>
    <w:p w14:paraId="1C41560F" w14:textId="77777777" w:rsidR="00767FC0" w:rsidRDefault="00767FC0" w:rsidP="00767FC0">
      <w:pPr>
        <w:pStyle w:val="Heading3"/>
        <w:numPr>
          <w:ilvl w:val="0"/>
          <w:numId w:val="0"/>
        </w:numPr>
        <w:rPr>
          <w:rFonts w:eastAsia="SimSun"/>
          <w:lang w:bidi="fa-IR"/>
        </w:rPr>
      </w:pPr>
      <w:r>
        <w:rPr>
          <w:rFonts w:eastAsia="SimSun"/>
          <w:lang w:bidi="fa-IR"/>
        </w:rPr>
        <w:t>Performance gap</w:t>
      </w:r>
    </w:p>
    <w:p w14:paraId="118F3C3E" w14:textId="77777777" w:rsidR="00767FC0" w:rsidRDefault="00767FC0" w:rsidP="00767FC0">
      <w:pPr>
        <w:pStyle w:val="BodyText"/>
        <w:rPr>
          <w:lang w:bidi="fa-IR"/>
        </w:rPr>
      </w:pPr>
      <w:r>
        <w:rPr>
          <w:lang w:bidi="fa-IR"/>
        </w:rPr>
        <w:t>HIA asked that the performance gap between modelled and actual energy savings be considered, although no specific data or evidence have been provided on this matter.</w:t>
      </w:r>
    </w:p>
    <w:p w14:paraId="3F06D23E" w14:textId="77777777" w:rsidR="00767FC0" w:rsidRDefault="00767FC0" w:rsidP="00767FC0">
      <w:pPr>
        <w:pStyle w:val="Heading3"/>
        <w:numPr>
          <w:ilvl w:val="0"/>
          <w:numId w:val="0"/>
        </w:numPr>
        <w:rPr>
          <w:lang w:bidi="fa-IR"/>
        </w:rPr>
      </w:pPr>
      <w:r>
        <w:rPr>
          <w:lang w:bidi="fa-IR"/>
        </w:rPr>
        <w:t>Learning rate</w:t>
      </w:r>
    </w:p>
    <w:p w14:paraId="03BC6573" w14:textId="77777777" w:rsidR="00767FC0" w:rsidRDefault="00767FC0" w:rsidP="00767FC0">
      <w:pPr>
        <w:pStyle w:val="BodyText"/>
        <w:rPr>
          <w:rFonts w:eastAsia="SimSun"/>
          <w:lang w:eastAsia="zh-CN" w:bidi="fa-IR"/>
        </w:rPr>
      </w:pPr>
      <w:r w:rsidRPr="001E3C5C">
        <w:rPr>
          <w:lang w:bidi="fa-IR"/>
        </w:rPr>
        <w:t>Technoform ANZ</w:t>
      </w:r>
      <w:r>
        <w:rPr>
          <w:lang w:bidi="fa-IR"/>
        </w:rPr>
        <w:t xml:space="preserve"> </w:t>
      </w:r>
      <w:r w:rsidRPr="002D4F1D">
        <w:rPr>
          <w:lang w:bidi="fa-IR"/>
        </w:rPr>
        <w:t>recommend the RIS should include costing for rudimentary external shading options, including projected learning rates.</w:t>
      </w:r>
    </w:p>
    <w:p w14:paraId="6D8CA6D8" w14:textId="77777777" w:rsidR="00767FC0" w:rsidRDefault="00767FC0" w:rsidP="00767FC0">
      <w:pPr>
        <w:pStyle w:val="Heading2"/>
        <w:numPr>
          <w:ilvl w:val="0"/>
          <w:numId w:val="0"/>
        </w:numPr>
        <w:rPr>
          <w:lang w:bidi="fa-IR"/>
        </w:rPr>
      </w:pPr>
      <w:bookmarkStart w:id="284" w:name="_Toc177719451"/>
      <w:bookmarkStart w:id="285" w:name="_Toc178292522"/>
      <w:r>
        <w:rPr>
          <w:lang w:bidi="fa-IR"/>
        </w:rPr>
        <w:t>Approach to address the feedback</w:t>
      </w:r>
      <w:bookmarkEnd w:id="284"/>
      <w:bookmarkEnd w:id="285"/>
    </w:p>
    <w:p w14:paraId="47E9A3E8" w14:textId="77777777" w:rsidR="00767FC0" w:rsidRPr="00045361" w:rsidRDefault="00767FC0" w:rsidP="00767FC0">
      <w:pPr>
        <w:pStyle w:val="BodyText"/>
        <w:rPr>
          <w:lang w:bidi="fa-IR"/>
        </w:rPr>
      </w:pPr>
      <w:r>
        <w:rPr>
          <w:lang w:bidi="fa-IR"/>
        </w:rPr>
        <w:t>Below we provide a brief description of the approach to address the key issues discussed above. More details may be found in the relevant sections in the remaining part of the report.</w:t>
      </w:r>
    </w:p>
    <w:p w14:paraId="6941C36F" w14:textId="77777777" w:rsidR="00767FC0" w:rsidRDefault="00767FC0" w:rsidP="00767FC0">
      <w:pPr>
        <w:pStyle w:val="Heading3"/>
        <w:numPr>
          <w:ilvl w:val="0"/>
          <w:numId w:val="0"/>
        </w:numPr>
        <w:rPr>
          <w:rFonts w:eastAsia="SimSun"/>
          <w:lang w:bidi="fa-IR"/>
        </w:rPr>
      </w:pPr>
      <w:r>
        <w:rPr>
          <w:rFonts w:eastAsia="SimSun"/>
          <w:lang w:bidi="fa-IR"/>
        </w:rPr>
        <w:t>Glazing selection and external shading</w:t>
      </w:r>
    </w:p>
    <w:p w14:paraId="1AF37675" w14:textId="77777777" w:rsidR="00767FC0" w:rsidRDefault="00767FC0" w:rsidP="00767FC0">
      <w:pPr>
        <w:pStyle w:val="BodyText"/>
        <w:rPr>
          <w:rFonts w:eastAsia="SimSun"/>
          <w:lang w:bidi="fa-IR"/>
        </w:rPr>
      </w:pPr>
      <w:r>
        <w:rPr>
          <w:rFonts w:eastAsia="SimSun"/>
          <w:lang w:bidi="fa-IR"/>
        </w:rPr>
        <w:t>We use the new modelling results by DeltaQ to estimate the implied cost of using external shading. DeltaQ has modelled two sets of stringency levels — one is equivalent to the PCD stringency level (NCC2025-PCD), and the other is equivalent to the Stringency Level 3 of CRIS (NCC2025-CRIS3). These two sets of modelling differ in the following points:</w:t>
      </w:r>
    </w:p>
    <w:p w14:paraId="09142705" w14:textId="77777777" w:rsidR="00767FC0" w:rsidRPr="003742E2" w:rsidRDefault="00767FC0" w:rsidP="00767FC0">
      <w:pPr>
        <w:pStyle w:val="ListBullet"/>
        <w:tabs>
          <w:tab w:val="num" w:pos="709"/>
        </w:tabs>
        <w:rPr>
          <w:rFonts w:eastAsia="SimSun"/>
          <w:lang w:bidi="fa-IR"/>
        </w:rPr>
      </w:pPr>
      <w:r w:rsidRPr="003742E2">
        <w:rPr>
          <w:rFonts w:eastAsia="SimSun"/>
          <w:lang w:bidi="fa-IR"/>
        </w:rPr>
        <w:t>the stringency levels are different – the PCD is stricter;</w:t>
      </w:r>
    </w:p>
    <w:p w14:paraId="6529AD5A" w14:textId="77777777" w:rsidR="00767FC0" w:rsidRPr="003742E2" w:rsidRDefault="00767FC0" w:rsidP="00767FC0">
      <w:pPr>
        <w:pStyle w:val="ListBullet"/>
        <w:tabs>
          <w:tab w:val="num" w:pos="709"/>
        </w:tabs>
        <w:rPr>
          <w:rFonts w:eastAsia="SimSun"/>
          <w:lang w:bidi="fa-IR"/>
        </w:rPr>
      </w:pPr>
      <w:r w:rsidRPr="003742E2">
        <w:rPr>
          <w:rFonts w:eastAsia="SimSun"/>
          <w:lang w:bidi="fa-IR"/>
        </w:rPr>
        <w:t>the PCD modelling involves external shading while the CRIS3 excludes shading; and</w:t>
      </w:r>
    </w:p>
    <w:p w14:paraId="0AEC3AED" w14:textId="77777777" w:rsidR="00767FC0" w:rsidRPr="003742E2" w:rsidRDefault="00767FC0" w:rsidP="00767FC0">
      <w:pPr>
        <w:pStyle w:val="ListBullet"/>
        <w:tabs>
          <w:tab w:val="num" w:pos="709"/>
        </w:tabs>
        <w:rPr>
          <w:rFonts w:eastAsia="SimSun"/>
          <w:lang w:bidi="fa-IR"/>
        </w:rPr>
      </w:pPr>
      <w:r w:rsidRPr="003742E2">
        <w:rPr>
          <w:rFonts w:eastAsia="SimSun"/>
          <w:lang w:bidi="fa-IR"/>
        </w:rPr>
        <w:t>accordingly, the capital costs are different.</w:t>
      </w:r>
    </w:p>
    <w:p w14:paraId="239D58C9" w14:textId="3A87B118" w:rsidR="00767FC0" w:rsidRDefault="00767FC0" w:rsidP="00767FC0">
      <w:pPr>
        <w:pStyle w:val="BodyText"/>
        <w:rPr>
          <w:rFonts w:eastAsia="SimSun"/>
          <w:lang w:bidi="fa-IR"/>
        </w:rPr>
      </w:pPr>
      <w:r>
        <w:rPr>
          <w:rFonts w:eastAsia="SimSun"/>
          <w:lang w:bidi="fa-IR"/>
        </w:rPr>
        <w:t xml:space="preserve">Chart </w:t>
      </w:r>
      <w:r>
        <w:rPr>
          <w:rFonts w:eastAsia="SimSun"/>
          <w:lang w:bidi="fa-IR"/>
        </w:rPr>
        <w:fldChar w:fldCharType="begin"/>
      </w:r>
      <w:r>
        <w:rPr>
          <w:rFonts w:eastAsia="SimSun"/>
          <w:lang w:bidi="fa-IR"/>
        </w:rPr>
        <w:instrText xml:space="preserve"> REF _Caption6370 </w:instrText>
      </w:r>
      <w:r>
        <w:rPr>
          <w:rFonts w:eastAsia="SimSun"/>
          <w:lang w:bidi="fa-IR"/>
        </w:rPr>
        <w:fldChar w:fldCharType="separate"/>
      </w:r>
      <w:r w:rsidR="006E00A7">
        <w:rPr>
          <w:noProof/>
        </w:rPr>
        <w:t>2</w:t>
      </w:r>
      <w:r w:rsidR="006E00A7" w:rsidRPr="00695C93">
        <w:rPr>
          <w:noProof/>
        </w:rPr>
        <w:t>.</w:t>
      </w:r>
      <w:r w:rsidR="006E00A7">
        <w:rPr>
          <w:noProof/>
        </w:rPr>
        <w:t>1</w:t>
      </w:r>
      <w:r>
        <w:rPr>
          <w:rFonts w:eastAsia="SimSun"/>
          <w:lang w:bidi="fa-IR"/>
        </w:rPr>
        <w:fldChar w:fldCharType="end"/>
      </w:r>
      <w:r>
        <w:rPr>
          <w:rFonts w:eastAsia="SimSun"/>
          <w:lang w:bidi="fa-IR"/>
        </w:rPr>
        <w:t xml:space="preserve"> illustrates the approach to estimate the costs to meet the requirement with external shading. The horizontal axis denotes the total energy consumption (an indicator of the stringency) while the vertical axis represents total capital costs.</w:t>
      </w:r>
    </w:p>
    <w:p w14:paraId="6663E3D2" w14:textId="77777777" w:rsidR="00767FC0" w:rsidRDefault="00767FC0" w:rsidP="00767FC0">
      <w:pPr>
        <w:pStyle w:val="BodyText"/>
        <w:rPr>
          <w:rFonts w:eastAsia="SimSun"/>
          <w:lang w:bidi="fa-IR"/>
        </w:rPr>
      </w:pPr>
      <w:r>
        <w:rPr>
          <w:rFonts w:eastAsia="SimSun"/>
          <w:lang w:bidi="fa-IR"/>
        </w:rPr>
        <w:t xml:space="preserve">The line connecting the base NCC2022 (point O) to NCC2025 PCD (point B) represents a relationship between compliance costs and achieving energy efficiency requirement with external shading. Similarly the line connecting point O and point A (NCC 2025 CRIS Stringency Level 3) represents the relationship between costs and achieving energy efficiency requirement without shading. The line OB is above the line OA, illustrates that, for any given level of energy efficiency stringency, compliance cost with external shading is higher than the cost without shading. To meet the same stringency level of CRIS Stringency Level 3 with external shading, the implied cost would be point C on line OB corresponding to the CRIS 3 energy consumption. </w:t>
      </w:r>
    </w:p>
    <w:p w14:paraId="3D180018" w14:textId="6D51CC52" w:rsidR="00767FC0" w:rsidRPr="00695C93" w:rsidRDefault="00767FC0">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581346">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581346">
          <w:rPr>
            <w:noProof/>
          </w:rPr>
          <w:instrText>2</w:instrText>
        </w:r>
      </w:fldSimple>
      <w:r w:rsidRPr="00695C93">
        <w:instrText xml:space="preserve"> = 0 "" "</w:instrText>
      </w:r>
      <w:fldSimple w:instr=" STYLEREF &quot;Heading 1&quot; \l \n ">
        <w:r w:rsidR="00581346">
          <w:rPr>
            <w:noProof/>
          </w:rPr>
          <w:instrText>2</w:instrText>
        </w:r>
      </w:fldSimple>
      <w:r w:rsidRPr="00695C93">
        <w:instrText xml:space="preserve">." </w:instrText>
      </w:r>
      <w:r w:rsidRPr="00695C93">
        <w:fldChar w:fldCharType="separate"/>
      </w:r>
      <w:r w:rsidR="00581346">
        <w:rPr>
          <w:noProof/>
        </w:rPr>
        <w:instrText>2</w:instrText>
      </w:r>
      <w:r w:rsidR="00581346" w:rsidRPr="00695C93">
        <w:rPr>
          <w:noProof/>
        </w:rPr>
        <w:instrText>.</w:instrText>
      </w:r>
      <w:r w:rsidRPr="00695C93">
        <w:fldChar w:fldCharType="end"/>
      </w:r>
      <w:r w:rsidRPr="00695C93">
        <w:instrText>" "</w:instrText>
      </w:r>
      <w:fldSimple w:instr=" STYLEREF &quot;Heading 6&quot; \l \n ">
        <w:r>
          <w:rPr>
            <w:noProof/>
          </w:rPr>
          <w:instrText>A</w:instrText>
        </w:r>
      </w:fldSimple>
      <w:r w:rsidRPr="00695C93">
        <w:instrText xml:space="preserve">." </w:instrText>
      </w:r>
      <w:r w:rsidRPr="00695C93">
        <w:fldChar w:fldCharType="separate"/>
      </w:r>
      <w:r w:rsidR="008C60A3">
        <w:rPr>
          <w:noProof/>
        </w:rPr>
        <w:instrText>2</w:instrText>
      </w:r>
      <w:r w:rsidR="008C60A3"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581346">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581346">
          <w:rPr>
            <w:noProof/>
          </w:rPr>
          <w:instrText>2</w:instrText>
        </w:r>
      </w:fldSimple>
      <w:r w:rsidRPr="00695C93">
        <w:instrText xml:space="preserve"> = 0 "" "1" </w:instrText>
      </w:r>
      <w:r w:rsidRPr="00695C93">
        <w:fldChar w:fldCharType="separate"/>
      </w:r>
      <w:r w:rsidR="008C60A3" w:rsidRPr="00695C93">
        <w:rPr>
          <w:noProof/>
        </w:rPr>
        <w:instrText>1</w:instrText>
      </w:r>
      <w:r w:rsidRPr="00695C93">
        <w:fldChar w:fldCharType="end"/>
      </w:r>
      <w:r w:rsidRPr="00695C93">
        <w:instrText xml:space="preserve">" "6" </w:instrText>
      </w:r>
      <w:r w:rsidRPr="00695C93">
        <w:fldChar w:fldCharType="separate"/>
      </w:r>
      <w:r w:rsidR="008C60A3" w:rsidRPr="00695C93">
        <w:rPr>
          <w:noProof/>
        </w:rPr>
        <w:instrText>1</w:instrText>
      </w:r>
      <w:r w:rsidRPr="00695C93">
        <w:fldChar w:fldCharType="end"/>
      </w:r>
      <w:r w:rsidRPr="00695C93">
        <w:instrText xml:space="preserve"> </w:instrText>
      </w:r>
      <w:r w:rsidRPr="00695C93">
        <w:fldChar w:fldCharType="separate"/>
      </w:r>
      <w:r w:rsidR="00581346">
        <w:rPr>
          <w:noProof/>
        </w:rPr>
        <w:instrText>1</w:instrText>
      </w:r>
      <w:r w:rsidRPr="00695C93">
        <w:fldChar w:fldCharType="end"/>
      </w:r>
      <w:r w:rsidRPr="00695C93">
        <w:instrText xml:space="preserve">" "" </w:instrText>
      </w:r>
      <w:r w:rsidRPr="00695C93">
        <w:fldChar w:fldCharType="separate"/>
      </w:r>
      <w:bookmarkStart w:id="286" w:name="_Caption1116"/>
      <w:bookmarkStart w:id="287" w:name="_Caption2505"/>
      <w:bookmarkStart w:id="288" w:name="_Caption2483"/>
      <w:bookmarkStart w:id="289" w:name="_Caption6472"/>
      <w:bookmarkStart w:id="290" w:name="_Caption5399"/>
      <w:bookmarkStart w:id="291" w:name="_Caption3284"/>
      <w:bookmarkStart w:id="292" w:name="_Caption4060"/>
      <w:bookmarkStart w:id="293" w:name="_Caption7669"/>
      <w:bookmarkStart w:id="294" w:name="_Caption5247"/>
      <w:bookmarkStart w:id="295" w:name="_Caption3041"/>
      <w:bookmarkStart w:id="296" w:name="_Caption8049"/>
      <w:bookmarkStart w:id="297" w:name="_Caption7149"/>
      <w:bookmarkStart w:id="298" w:name="_Caption4802"/>
      <w:bookmarkStart w:id="299" w:name="_Caption3112"/>
      <w:bookmarkStart w:id="300" w:name="_Caption9909"/>
      <w:bookmarkStart w:id="301" w:name="_Caption9871"/>
      <w:bookmarkStart w:id="302" w:name="_Caption1246"/>
      <w:bookmarkStart w:id="303" w:name="_Caption6569"/>
      <w:bookmarkStart w:id="304" w:name="_Caption8059"/>
      <w:bookmarkStart w:id="305" w:name="_Caption2797"/>
      <w:bookmarkStart w:id="306" w:name="_Caption7900"/>
      <w:bookmarkStart w:id="307" w:name="_Caption3408"/>
      <w:bookmarkStart w:id="308" w:name="_Caption4542"/>
      <w:bookmarkStart w:id="309" w:name="_Caption0908"/>
      <w:bookmarkStart w:id="310" w:name="_Caption0487"/>
      <w:bookmarkStart w:id="311" w:name="_Caption8276"/>
      <w:bookmarkStart w:id="312" w:name="_Caption7577"/>
      <w:bookmarkStart w:id="313" w:name="_Caption6535"/>
      <w:bookmarkStart w:id="314" w:name="_Caption5382"/>
      <w:bookmarkStart w:id="315" w:name="_Caption9090"/>
      <w:bookmarkStart w:id="316" w:name="_Caption2418"/>
      <w:bookmarkStart w:id="317" w:name="_Caption3681"/>
      <w:bookmarkStart w:id="318" w:name="_Caption6910"/>
      <w:bookmarkStart w:id="319" w:name="_Caption8925"/>
      <w:bookmarkStart w:id="320" w:name="_Caption8020"/>
      <w:bookmarkStart w:id="321" w:name="_Caption1729"/>
      <w:bookmarkStart w:id="322" w:name="_Caption5288"/>
      <w:bookmarkStart w:id="323" w:name="_Caption8112"/>
      <w:bookmarkStart w:id="324" w:name="_Caption5375"/>
      <w:bookmarkStart w:id="325" w:name="_Caption7067"/>
      <w:bookmarkStart w:id="326" w:name="_Caption7491"/>
      <w:bookmarkStart w:id="327" w:name="_Caption3906"/>
      <w:bookmarkStart w:id="328" w:name="_Caption7654"/>
      <w:bookmarkStart w:id="329" w:name="_Caption6666"/>
      <w:bookmarkStart w:id="330" w:name="_Caption7409"/>
      <w:bookmarkStart w:id="331" w:name="_Caption5878"/>
      <w:bookmarkStart w:id="332" w:name="_Caption4517"/>
      <w:bookmarkStart w:id="333" w:name="_Caption3100"/>
      <w:bookmarkStart w:id="334" w:name="_Caption6441"/>
      <w:bookmarkStart w:id="335" w:name="_Caption1881"/>
      <w:bookmarkStart w:id="336" w:name="_Caption9444"/>
      <w:bookmarkStart w:id="337" w:name="_Caption2345"/>
      <w:bookmarkStart w:id="338" w:name="_Caption6370"/>
      <w:bookmarkStart w:id="339" w:name="_Caption6371"/>
      <w:bookmarkStart w:id="340" w:name="_Caption0009"/>
      <w:bookmarkStart w:id="341" w:name="_Caption1839"/>
      <w:bookmarkStart w:id="342" w:name="_Caption3792"/>
      <w:bookmarkStart w:id="343" w:name="_Caption9264"/>
      <w:bookmarkStart w:id="344" w:name="_Caption1167"/>
      <w:bookmarkStart w:id="345" w:name="_Caption1740"/>
      <w:bookmarkStart w:id="346" w:name="_Caption8659"/>
      <w:bookmarkStart w:id="347" w:name="_Caption1352"/>
      <w:bookmarkStart w:id="348" w:name="_Caption2273"/>
      <w:bookmarkStart w:id="349" w:name="_Caption9872"/>
      <w:bookmarkStart w:id="350" w:name="_Caption8118"/>
      <w:bookmarkStart w:id="351" w:name="_Caption8918"/>
      <w:bookmarkStart w:id="352" w:name="_Caption6293"/>
      <w:bookmarkStart w:id="353" w:name="_Caption7521"/>
      <w:bookmarkStart w:id="354" w:name="_Caption5728"/>
      <w:bookmarkStart w:id="355" w:name="_Caption9703"/>
      <w:bookmarkStart w:id="356" w:name="_Caption1133"/>
      <w:bookmarkStart w:id="357" w:name="_Caption1152"/>
      <w:bookmarkStart w:id="358" w:name="_Caption0514"/>
      <w:bookmarkStart w:id="359" w:name="_Caption7524"/>
      <w:bookmarkStart w:id="360" w:name="_Caption6440"/>
      <w:bookmarkStart w:id="361" w:name="_Caption6297"/>
      <w:bookmarkStart w:id="362" w:name="_Caption2870"/>
      <w:bookmarkStart w:id="363" w:name="_Caption0062"/>
      <w:bookmarkStart w:id="364" w:name="_Caption3361"/>
      <w:bookmarkStart w:id="365" w:name="_Toc178292569"/>
      <w:r w:rsidR="008C60A3">
        <w:rPr>
          <w:noProof/>
        </w:rPr>
        <w:t>2</w:t>
      </w:r>
      <w:r w:rsidR="008C60A3" w:rsidRPr="00695C93">
        <w:rPr>
          <w:noProof/>
        </w:rPr>
        <w:t>.</w:t>
      </w:r>
      <w:r w:rsidR="008C60A3">
        <w:rPr>
          <w:noProof/>
        </w:rPr>
        <w:t>1</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sidRPr="00695C93">
        <w:fldChar w:fldCharType="end"/>
      </w:r>
      <w:r w:rsidRPr="00695C93">
        <w:tab/>
      </w:r>
      <w:r>
        <w:t>Illustration of estimating the cost with external shading</w:t>
      </w:r>
      <w:bookmarkEnd w:id="365"/>
    </w:p>
    <w:tbl>
      <w:tblPr>
        <w:tblStyle w:val="TableGrid"/>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9E8E5" w:themeFill="background2"/>
        <w:tblLayout w:type="fixed"/>
        <w:tblCellMar>
          <w:left w:w="0" w:type="dxa"/>
          <w:right w:w="0" w:type="dxa"/>
        </w:tblCellMar>
        <w:tblLook w:val="04A0" w:firstRow="1" w:lastRow="0" w:firstColumn="1" w:lastColumn="0" w:noHBand="0" w:noVBand="1"/>
      </w:tblPr>
      <w:tblGrid>
        <w:gridCol w:w="7938"/>
      </w:tblGrid>
      <w:tr w:rsidR="00767FC0" w14:paraId="7836BAC5" w14:textId="77777777">
        <w:trPr>
          <w:cantSplit/>
        </w:trPr>
        <w:tc>
          <w:tcPr>
            <w:tcW w:w="7938" w:type="dxa"/>
            <w:shd w:val="clear" w:color="auto" w:fill="E9E8E5" w:themeFill="background2"/>
          </w:tcPr>
          <w:p w14:paraId="68E6C594" w14:textId="77777777" w:rsidR="00767FC0" w:rsidRDefault="00767FC0">
            <w:pPr>
              <w:pStyle w:val="Chart"/>
            </w:pPr>
            <w:r w:rsidRPr="0022618C">
              <w:rPr>
                <w:noProof/>
              </w:rPr>
              <w:drawing>
                <wp:inline distT="0" distB="0" distL="0" distR="0" wp14:anchorId="4D56B83B" wp14:editId="3B00501B">
                  <wp:extent cx="5029200" cy="2506980"/>
                  <wp:effectExtent l="0" t="0" r="0" b="7620"/>
                  <wp:docPr id="1762527059" name="Picture 1" descr="This diagram illustrates how the cost with external shading can be estimated based on existing energy modelling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527059" name="Picture 1" descr="This diagram illustrates how the cost with external shading can be estimated based on existing energy modelling results."/>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29200" cy="2506980"/>
                          </a:xfrm>
                          <a:prstGeom prst="rect">
                            <a:avLst/>
                          </a:prstGeom>
                          <a:noFill/>
                          <a:ln>
                            <a:noFill/>
                          </a:ln>
                        </pic:spPr>
                      </pic:pic>
                    </a:graphicData>
                  </a:graphic>
                </wp:inline>
              </w:drawing>
            </w:r>
          </w:p>
        </w:tc>
      </w:tr>
    </w:tbl>
    <w:p w14:paraId="66A80901" w14:textId="77777777" w:rsidR="00767FC0" w:rsidRDefault="00767FC0" w:rsidP="00767FC0">
      <w:pPr>
        <w:pStyle w:val="Source"/>
      </w:pPr>
      <w:r>
        <w:rPr>
          <w:i/>
        </w:rPr>
        <w:t>Data source</w:t>
      </w:r>
      <w:r w:rsidRPr="00A67576">
        <w:rPr>
          <w:i/>
        </w:rPr>
        <w:t>:</w:t>
      </w:r>
      <w:r>
        <w:t xml:space="preserve"> CIE</w:t>
      </w:r>
    </w:p>
    <w:p w14:paraId="576E6BDD" w14:textId="77777777" w:rsidR="00767FC0" w:rsidRPr="00A13B42" w:rsidRDefault="00767FC0" w:rsidP="00767FC0">
      <w:pPr>
        <w:pStyle w:val="BodyText"/>
        <w:rPr>
          <w:lang w:eastAsia="en-US"/>
        </w:rPr>
      </w:pPr>
      <w:r>
        <w:rPr>
          <w:rFonts w:eastAsia="SimSun"/>
          <w:lang w:bidi="fa-IR"/>
        </w:rPr>
        <w:t>More specifically, the compliance cost with external shading can be estimated with the following formula:</w:t>
      </w:r>
    </w:p>
    <w:p w14:paraId="422CEAD5" w14:textId="77777777" w:rsidR="00767FC0" w:rsidRPr="00CC351C" w:rsidRDefault="00767FC0" w:rsidP="00767FC0">
      <w:pPr>
        <w:pStyle w:val="BodyText"/>
        <w:rPr>
          <w:rFonts w:eastAsia="SimSun"/>
          <w:lang w:bidi="fa-IR"/>
        </w:rPr>
      </w:pPr>
      <m:oMathPara>
        <m:oMath>
          <m:r>
            <w:rPr>
              <w:rFonts w:ascii="Cambria Math" w:eastAsia="SimSun" w:hAnsi="Cambria Math"/>
              <w:lang w:bidi="fa-IR"/>
            </w:rPr>
            <m:t>Capex change with external shading</m:t>
          </m:r>
        </m:oMath>
      </m:oMathPara>
    </w:p>
    <w:p w14:paraId="5039B649" w14:textId="77777777" w:rsidR="00767FC0" w:rsidRDefault="00767FC0" w:rsidP="00767FC0">
      <w:pPr>
        <w:pStyle w:val="BodyText"/>
        <w:rPr>
          <w:rFonts w:eastAsia="SimSun"/>
          <w:lang w:bidi="fa-IR"/>
        </w:rPr>
      </w:pPr>
      <m:oMathPara>
        <m:oMath>
          <m:r>
            <w:rPr>
              <w:rFonts w:ascii="Cambria Math" w:eastAsia="SimSun" w:hAnsi="Cambria Math"/>
              <w:lang w:bidi="fa-IR"/>
            </w:rPr>
            <m:t>= Required energy consumption change×</m:t>
          </m:r>
          <m:f>
            <m:fPr>
              <m:ctrlPr>
                <w:rPr>
                  <w:rFonts w:ascii="Cambria Math" w:eastAsia="SimSun" w:hAnsi="Cambria Math"/>
                  <w:i/>
                  <w:lang w:bidi="fa-IR"/>
                </w:rPr>
              </m:ctrlPr>
            </m:fPr>
            <m:num>
              <m:r>
                <w:rPr>
                  <w:rFonts w:ascii="Cambria Math" w:eastAsia="SimSun" w:hAnsi="Cambria Math"/>
                  <w:lang w:bidi="fa-IR"/>
                </w:rPr>
                <m:t>Capex change in PCD with external shading</m:t>
              </m:r>
            </m:num>
            <m:den>
              <m:r>
                <w:rPr>
                  <w:rFonts w:ascii="Cambria Math" w:eastAsia="SimSun" w:hAnsi="Cambria Math"/>
                  <w:lang w:bidi="fa-IR"/>
                </w:rPr>
                <m:t>Energy consumption change in PCD</m:t>
              </m:r>
            </m:den>
          </m:f>
        </m:oMath>
      </m:oMathPara>
    </w:p>
    <w:p w14:paraId="5112DE3E" w14:textId="034B7D18" w:rsidR="00767FC0" w:rsidRPr="009D558D" w:rsidRDefault="00767FC0" w:rsidP="00767FC0">
      <w:pPr>
        <w:pStyle w:val="BodyText"/>
        <w:rPr>
          <w:rFonts w:eastAsia="SimSun"/>
          <w:lang w:bidi="fa-IR"/>
        </w:rPr>
      </w:pPr>
      <w:r>
        <w:rPr>
          <w:rFonts w:eastAsia="SimSun"/>
          <w:lang w:bidi="fa-IR"/>
        </w:rPr>
        <w:t>We then use the estimated external shading cost as a scenario of sensitivity analysis.</w:t>
      </w:r>
    </w:p>
    <w:p w14:paraId="5BE4D48D" w14:textId="77777777" w:rsidR="00767FC0" w:rsidRDefault="00767FC0" w:rsidP="00767FC0">
      <w:pPr>
        <w:pStyle w:val="Heading3"/>
        <w:numPr>
          <w:ilvl w:val="0"/>
          <w:numId w:val="0"/>
        </w:numPr>
        <w:rPr>
          <w:rFonts w:eastAsia="SimSun"/>
          <w:lang w:bidi="fa-IR"/>
        </w:rPr>
      </w:pPr>
      <w:r>
        <w:rPr>
          <w:rFonts w:eastAsia="SimSun"/>
          <w:lang w:bidi="fa-IR"/>
        </w:rPr>
        <w:t>Internal wall insulation</w:t>
      </w:r>
    </w:p>
    <w:p w14:paraId="74BB11DE" w14:textId="77777777" w:rsidR="00767FC0" w:rsidRPr="004B63A2" w:rsidRDefault="00767FC0" w:rsidP="00767FC0">
      <w:pPr>
        <w:pStyle w:val="BodyText"/>
        <w:rPr>
          <w:rFonts w:eastAsia="SimSun"/>
          <w:lang w:bidi="fa-IR"/>
        </w:rPr>
      </w:pPr>
      <w:r>
        <w:rPr>
          <w:rFonts w:eastAsia="SimSun"/>
          <w:lang w:bidi="fa-IR"/>
        </w:rPr>
        <w:t>It is difficult to determine the proportion of insulation materials used for internal wall insulation. It is therefore assumed that the average of previous $48/m</w:t>
      </w:r>
      <w:r w:rsidRPr="00D85860">
        <w:rPr>
          <w:rFonts w:eastAsia="SimSun"/>
          <w:vertAlign w:val="superscript"/>
          <w:lang w:bidi="fa-IR"/>
        </w:rPr>
        <w:t>2</w:t>
      </w:r>
      <w:r>
        <w:rPr>
          <w:rFonts w:eastAsia="SimSun"/>
          <w:lang w:bidi="fa-IR"/>
        </w:rPr>
        <w:t xml:space="preserve"> and the stakeholder suggested $12/m</w:t>
      </w:r>
      <w:r w:rsidRPr="00D85860">
        <w:rPr>
          <w:rFonts w:eastAsia="SimSun"/>
          <w:vertAlign w:val="superscript"/>
          <w:lang w:bidi="fa-IR"/>
        </w:rPr>
        <w:t>2</w:t>
      </w:r>
      <w:r>
        <w:rPr>
          <w:rFonts w:eastAsia="SimSun"/>
          <w:lang w:bidi="fa-IR"/>
        </w:rPr>
        <w:t xml:space="preserve"> is used in the modelling for DRIS.</w:t>
      </w:r>
    </w:p>
    <w:p w14:paraId="47A95A06" w14:textId="77777777" w:rsidR="00767FC0" w:rsidRDefault="00767FC0" w:rsidP="00767FC0">
      <w:pPr>
        <w:pStyle w:val="Heading3"/>
        <w:numPr>
          <w:ilvl w:val="0"/>
          <w:numId w:val="0"/>
        </w:numPr>
        <w:rPr>
          <w:rFonts w:eastAsia="SimSun"/>
          <w:lang w:bidi="fa-IR"/>
        </w:rPr>
      </w:pPr>
      <w:r>
        <w:rPr>
          <w:rFonts w:eastAsia="SimSun"/>
          <w:lang w:bidi="fa-IR"/>
        </w:rPr>
        <w:t>Solar PV requirements</w:t>
      </w:r>
    </w:p>
    <w:p w14:paraId="46EF7311" w14:textId="08541EDA" w:rsidR="00767FC0" w:rsidRDefault="00767FC0" w:rsidP="00767FC0">
      <w:pPr>
        <w:pStyle w:val="BodyText"/>
        <w:rPr>
          <w:rFonts w:eastAsia="SimSun"/>
          <w:lang w:bidi="fa-IR"/>
        </w:rPr>
      </w:pPr>
      <w:r>
        <w:rPr>
          <w:rFonts w:eastAsia="SimSun"/>
          <w:lang w:bidi="fa-IR"/>
        </w:rPr>
        <w:t>The building level modelling by DeltaQ had implicitly addressed the practicalit</w:t>
      </w:r>
      <w:r w:rsidR="001E79AA">
        <w:rPr>
          <w:rFonts w:eastAsia="SimSun"/>
          <w:lang w:bidi="fa-IR"/>
        </w:rPr>
        <w:t>ies</w:t>
      </w:r>
      <w:r>
        <w:rPr>
          <w:rFonts w:eastAsia="SimSun"/>
          <w:lang w:bidi="fa-IR"/>
        </w:rPr>
        <w:t xml:space="preserve"> of installing solar PV system. As </w:t>
      </w:r>
      <w:r w:rsidR="000D7484">
        <w:rPr>
          <w:rFonts w:eastAsia="SimSun"/>
          <w:lang w:bidi="fa-IR"/>
        </w:rPr>
        <w:t>such,</w:t>
      </w:r>
      <w:r>
        <w:rPr>
          <w:rFonts w:eastAsia="SimSun"/>
          <w:lang w:bidi="fa-IR"/>
        </w:rPr>
        <w:t xml:space="preserve"> the buildings are modelled as typical ones which represent the average level of roof top areas available for solar systems, consider</w:t>
      </w:r>
      <w:r w:rsidR="000734AC">
        <w:rPr>
          <w:rFonts w:eastAsia="SimSun"/>
          <w:lang w:bidi="fa-IR"/>
        </w:rPr>
        <w:t>ing</w:t>
      </w:r>
      <w:r>
        <w:rPr>
          <w:rFonts w:eastAsia="SimSun"/>
          <w:lang w:bidi="fa-IR"/>
        </w:rPr>
        <w:t xml:space="preserve"> practical limitations.</w:t>
      </w:r>
    </w:p>
    <w:p w14:paraId="6B1E39AD" w14:textId="5FC0E9F5" w:rsidR="00767FC0" w:rsidRDefault="00767FC0" w:rsidP="00767FC0">
      <w:pPr>
        <w:pStyle w:val="BodyText"/>
        <w:rPr>
          <w:rFonts w:eastAsia="SimSun"/>
          <w:lang w:bidi="fa-IR"/>
        </w:rPr>
      </w:pPr>
      <w:r>
        <w:rPr>
          <w:rFonts w:eastAsia="SimSun"/>
          <w:lang w:bidi="fa-IR"/>
        </w:rPr>
        <w:t>As for the baseline uptake of roof-top solar systems, the CRIS has already considered the voluntary uptake of solar systems based on findings by Strategy.Policy.Research.</w:t>
      </w:r>
      <w:r>
        <w:rPr>
          <w:rStyle w:val="FootnoteReference"/>
          <w:rFonts w:eastAsia="SimSun"/>
          <w:lang w:bidi="fa-IR"/>
        </w:rPr>
        <w:footnoteReference w:id="11"/>
      </w:r>
      <w:r>
        <w:rPr>
          <w:rFonts w:eastAsia="SimSun"/>
          <w:lang w:bidi="fa-IR"/>
        </w:rPr>
        <w:t xml:space="preserve"> The DRIS will use the same information to establish the baseline (for more details see table </w:t>
      </w:r>
      <w:r>
        <w:rPr>
          <w:szCs w:val="22"/>
        </w:rPr>
        <w:fldChar w:fldCharType="begin"/>
      </w:r>
      <w:r>
        <w:rPr>
          <w:szCs w:val="22"/>
        </w:rPr>
        <w:instrText xml:space="preserve"> REF _Caption7899 </w:instrText>
      </w:r>
      <w:r>
        <w:rPr>
          <w:szCs w:val="22"/>
        </w:rPr>
        <w:fldChar w:fldCharType="separate"/>
      </w:r>
      <w:r w:rsidR="006E00A7">
        <w:rPr>
          <w:noProof/>
        </w:rPr>
        <w:t>6</w:t>
      </w:r>
      <w:r w:rsidR="006E00A7" w:rsidRPr="006F0F88">
        <w:rPr>
          <w:noProof/>
        </w:rPr>
        <w:t>.</w:t>
      </w:r>
      <w:r w:rsidR="006E00A7">
        <w:rPr>
          <w:noProof/>
        </w:rPr>
        <w:t>7</w:t>
      </w:r>
      <w:r>
        <w:rPr>
          <w:szCs w:val="22"/>
        </w:rPr>
        <w:fldChar w:fldCharType="end"/>
      </w:r>
      <w:r>
        <w:rPr>
          <w:szCs w:val="22"/>
        </w:rPr>
        <w:t xml:space="preserve"> and the discussions around the table</w:t>
      </w:r>
      <w:r>
        <w:rPr>
          <w:rFonts w:eastAsia="SimSun"/>
          <w:lang w:bidi="fa-IR"/>
        </w:rPr>
        <w:t>).</w:t>
      </w:r>
    </w:p>
    <w:p w14:paraId="01978E46" w14:textId="77777777" w:rsidR="00767FC0" w:rsidRDefault="00767FC0" w:rsidP="00767FC0">
      <w:pPr>
        <w:pStyle w:val="BodyText"/>
        <w:rPr>
          <w:rFonts w:eastAsia="SimSun"/>
          <w:lang w:eastAsia="zh-CN" w:bidi="fa-IR"/>
        </w:rPr>
      </w:pPr>
      <w:r>
        <w:rPr>
          <w:rFonts w:eastAsia="SimSun"/>
          <w:lang w:eastAsia="zh-CN" w:bidi="fa-IR"/>
        </w:rPr>
        <w:t xml:space="preserve">To consider the network impact of exported solar electricity, a new set of feed-in-tariffs will be </w:t>
      </w:r>
      <w:r w:rsidRPr="00F83E17">
        <w:rPr>
          <w:rFonts w:eastAsia="SimSun"/>
          <w:lang w:eastAsia="zh-CN" w:bidi="fa-IR"/>
        </w:rPr>
        <w:t>considered such that there will be a charge of 1.2 cents per kilowatt-hour for exported solar during peak hours.</w:t>
      </w:r>
      <w:r>
        <w:rPr>
          <w:rStyle w:val="FootnoteReference"/>
          <w:rFonts w:eastAsia="SimSun"/>
          <w:lang w:eastAsia="zh-CN" w:bidi="fa-IR"/>
        </w:rPr>
        <w:footnoteReference w:id="12"/>
      </w:r>
    </w:p>
    <w:p w14:paraId="2E39C09D" w14:textId="77777777" w:rsidR="00767FC0" w:rsidRDefault="00767FC0" w:rsidP="00767FC0">
      <w:pPr>
        <w:pStyle w:val="Heading3"/>
        <w:numPr>
          <w:ilvl w:val="0"/>
          <w:numId w:val="0"/>
        </w:numPr>
        <w:rPr>
          <w:rFonts w:eastAsia="SimSun"/>
          <w:lang w:bidi="fa-IR"/>
        </w:rPr>
      </w:pPr>
      <w:r>
        <w:rPr>
          <w:rFonts w:eastAsia="SimSun"/>
          <w:lang w:bidi="fa-IR"/>
        </w:rPr>
        <w:t>Electrification response</w:t>
      </w:r>
    </w:p>
    <w:p w14:paraId="789F0ED1" w14:textId="254AF358" w:rsidR="00767FC0" w:rsidRDefault="00767FC0" w:rsidP="00767FC0">
      <w:pPr>
        <w:pStyle w:val="BodyText"/>
        <w:rPr>
          <w:rFonts w:eastAsia="SimSun"/>
          <w:lang w:bidi="fa-IR"/>
        </w:rPr>
      </w:pPr>
      <w:r>
        <w:rPr>
          <w:rFonts w:eastAsia="SimSun"/>
          <w:lang w:bidi="fa-IR"/>
        </w:rPr>
        <w:t xml:space="preserve">Following the suggestions in the submission, the DRIS considers a different scenario in the central case of CBA – assuming </w:t>
      </w:r>
      <w:r w:rsidRPr="00F83E17">
        <w:rPr>
          <w:rFonts w:eastAsia="SimSun"/>
          <w:lang w:bidi="fa-IR"/>
        </w:rPr>
        <w:t xml:space="preserve">10 per cent </w:t>
      </w:r>
      <w:r>
        <w:rPr>
          <w:rFonts w:eastAsia="SimSun"/>
          <w:lang w:bidi="fa-IR"/>
        </w:rPr>
        <w:t>of</w:t>
      </w:r>
      <w:r w:rsidRPr="00F83E17">
        <w:rPr>
          <w:rFonts w:eastAsia="SimSun"/>
          <w:lang w:bidi="fa-IR"/>
        </w:rPr>
        <w:t xml:space="preserve"> the </w:t>
      </w:r>
      <w:r w:rsidR="005861B8">
        <w:rPr>
          <w:rFonts w:eastAsia="SimSun"/>
          <w:lang w:bidi="fa-IR"/>
        </w:rPr>
        <w:t xml:space="preserve">large-hotel, office buildings and hospital </w:t>
      </w:r>
      <w:r w:rsidRPr="00F83E17">
        <w:rPr>
          <w:rFonts w:eastAsia="SimSun"/>
          <w:lang w:bidi="fa-IR"/>
        </w:rPr>
        <w:t>buildings</w:t>
      </w:r>
      <w:r w:rsidR="00B34203">
        <w:rPr>
          <w:rFonts w:eastAsia="SimSun"/>
          <w:lang w:bidi="fa-IR"/>
        </w:rPr>
        <w:t xml:space="preserve"> (these are duel-fuel building archetypes</w:t>
      </w:r>
      <w:r w:rsidR="004032FB">
        <w:rPr>
          <w:rFonts w:eastAsia="SimSun"/>
          <w:lang w:bidi="fa-IR"/>
        </w:rPr>
        <w:t xml:space="preserve"> and other archetypes are all-electric services buildings</w:t>
      </w:r>
      <w:r w:rsidR="00467A43">
        <w:rPr>
          <w:rFonts w:eastAsia="SimSun"/>
          <w:lang w:bidi="fa-IR"/>
        </w:rPr>
        <w:t>, see discussion in ‘Building archetypes in energy modelling’ below</w:t>
      </w:r>
      <w:r w:rsidR="00B34203">
        <w:rPr>
          <w:rFonts w:eastAsia="SimSun"/>
          <w:lang w:bidi="fa-IR"/>
        </w:rPr>
        <w:t>)</w:t>
      </w:r>
      <w:r w:rsidRPr="00F83E17">
        <w:rPr>
          <w:rFonts w:eastAsia="SimSun"/>
          <w:lang w:bidi="fa-IR"/>
        </w:rPr>
        <w:t xml:space="preserve"> </w:t>
      </w:r>
      <w:r w:rsidR="00A9527D" w:rsidRPr="00F83E17">
        <w:rPr>
          <w:rFonts w:eastAsia="SimSun"/>
          <w:lang w:bidi="fa-IR"/>
        </w:rPr>
        <w:t>choos</w:t>
      </w:r>
      <w:r w:rsidR="00A9527D">
        <w:rPr>
          <w:rFonts w:eastAsia="SimSun"/>
          <w:lang w:bidi="fa-IR"/>
        </w:rPr>
        <w:t>e</w:t>
      </w:r>
      <w:r w:rsidR="00A9527D" w:rsidRPr="00F83E17">
        <w:rPr>
          <w:rFonts w:eastAsia="SimSun"/>
          <w:lang w:bidi="fa-IR"/>
        </w:rPr>
        <w:t xml:space="preserve"> </w:t>
      </w:r>
      <w:r w:rsidRPr="00F83E17">
        <w:rPr>
          <w:rFonts w:eastAsia="SimSun"/>
          <w:lang w:bidi="fa-IR"/>
        </w:rPr>
        <w:t>to keep dual-fuel while using expanded PV systems to offset gas emissions</w:t>
      </w:r>
      <w:r>
        <w:rPr>
          <w:rFonts w:eastAsia="SimSun"/>
          <w:lang w:bidi="fa-IR"/>
        </w:rPr>
        <w:t xml:space="preserve">, and 90 per cent of </w:t>
      </w:r>
      <w:r w:rsidR="001E2035">
        <w:rPr>
          <w:rFonts w:eastAsia="SimSun"/>
          <w:lang w:bidi="fa-IR"/>
        </w:rPr>
        <w:t>these</w:t>
      </w:r>
      <w:r>
        <w:rPr>
          <w:rFonts w:eastAsia="SimSun"/>
          <w:lang w:bidi="fa-IR"/>
        </w:rPr>
        <w:t xml:space="preserve"> buildings choosing to electrify immediately.</w:t>
      </w:r>
    </w:p>
    <w:p w14:paraId="09084DB8" w14:textId="77777777" w:rsidR="00767FC0" w:rsidRDefault="00767FC0" w:rsidP="00767FC0">
      <w:pPr>
        <w:pStyle w:val="Heading3"/>
        <w:numPr>
          <w:ilvl w:val="0"/>
          <w:numId w:val="0"/>
        </w:numPr>
        <w:rPr>
          <w:rFonts w:eastAsia="SimSun"/>
          <w:lang w:bidi="fa-IR"/>
        </w:rPr>
      </w:pPr>
      <w:r>
        <w:rPr>
          <w:rFonts w:eastAsia="SimSun"/>
          <w:lang w:bidi="fa-IR"/>
        </w:rPr>
        <w:t>EV sales projections</w:t>
      </w:r>
    </w:p>
    <w:p w14:paraId="1E9A495D" w14:textId="6DF1EF94" w:rsidR="00767FC0" w:rsidRPr="00844A6E" w:rsidRDefault="00767FC0" w:rsidP="00767FC0">
      <w:pPr>
        <w:pStyle w:val="BodyText"/>
        <w:rPr>
          <w:szCs w:val="22"/>
        </w:rPr>
      </w:pPr>
      <w:r w:rsidRPr="00844A6E">
        <w:rPr>
          <w:szCs w:val="22"/>
        </w:rPr>
        <w:t xml:space="preserve">The CSIRO provided AEMO with </w:t>
      </w:r>
      <w:r w:rsidR="003C2A8C">
        <w:rPr>
          <w:szCs w:val="22"/>
        </w:rPr>
        <w:t>EV</w:t>
      </w:r>
      <w:r w:rsidRPr="00844A6E">
        <w:rPr>
          <w:szCs w:val="22"/>
        </w:rPr>
        <w:t xml:space="preserve"> sales and fleet share projections up to 2050, encompassing four scenarios.</w:t>
      </w:r>
      <w:r w:rsidRPr="00844A6E">
        <w:rPr>
          <w:rStyle w:val="FootnoteReference"/>
          <w:sz w:val="22"/>
          <w:szCs w:val="22"/>
        </w:rPr>
        <w:footnoteReference w:id="13"/>
      </w:r>
      <w:r w:rsidRPr="00844A6E">
        <w:rPr>
          <w:szCs w:val="22"/>
        </w:rPr>
        <w:t xml:space="preserve"> Among these scenarios, the Progressive Change scenario represents the slowest uptake, while the Hydrogen Export scenario exhibits the swiftest uptake</w:t>
      </w:r>
      <w:r>
        <w:rPr>
          <w:szCs w:val="22"/>
        </w:rPr>
        <w:t xml:space="preserve"> </w:t>
      </w:r>
      <w:r w:rsidRPr="00844A6E">
        <w:rPr>
          <w:szCs w:val="22"/>
        </w:rPr>
        <w:t>(</w:t>
      </w:r>
      <w:r>
        <w:rPr>
          <w:szCs w:val="22"/>
        </w:rPr>
        <w:t xml:space="preserve">for more details about these projections please see </w:t>
      </w:r>
      <w:r w:rsidRPr="00844A6E">
        <w:rPr>
          <w:szCs w:val="22"/>
        </w:rPr>
        <w:t>chart</w:t>
      </w:r>
      <w:r>
        <w:rPr>
          <w:szCs w:val="22"/>
        </w:rPr>
        <w:t>s</w:t>
      </w:r>
      <w:r w:rsidRPr="00844A6E">
        <w:rPr>
          <w:szCs w:val="22"/>
        </w:rPr>
        <w:t xml:space="preserve"> </w:t>
      </w:r>
      <w:r w:rsidRPr="00844A6E">
        <w:rPr>
          <w:szCs w:val="22"/>
        </w:rPr>
        <w:fldChar w:fldCharType="begin" w:fldLock="1"/>
      </w:r>
      <w:r w:rsidRPr="00844A6E">
        <w:rPr>
          <w:szCs w:val="22"/>
        </w:rPr>
        <w:instrText xml:space="preserve"> REF _Caption5546 </w:instrText>
      </w:r>
      <w:r>
        <w:rPr>
          <w:szCs w:val="22"/>
        </w:rPr>
        <w:instrText xml:space="preserve"> \* MERGEFORMAT </w:instrText>
      </w:r>
      <w:r w:rsidRPr="00844A6E">
        <w:rPr>
          <w:szCs w:val="22"/>
        </w:rPr>
        <w:fldChar w:fldCharType="separate"/>
      </w:r>
      <w:r w:rsidRPr="00844A6E">
        <w:rPr>
          <w:noProof/>
          <w:szCs w:val="22"/>
        </w:rPr>
        <w:t>4.11</w:t>
      </w:r>
      <w:r w:rsidRPr="00844A6E">
        <w:rPr>
          <w:noProof/>
          <w:szCs w:val="22"/>
        </w:rPr>
        <w:fldChar w:fldCharType="end"/>
      </w:r>
      <w:r>
        <w:rPr>
          <w:szCs w:val="22"/>
        </w:rPr>
        <w:t xml:space="preserve"> and </w:t>
      </w:r>
      <w:r w:rsidRPr="00844A6E">
        <w:rPr>
          <w:szCs w:val="22"/>
        </w:rPr>
        <w:t xml:space="preserve">chart </w:t>
      </w:r>
      <w:r w:rsidRPr="00844A6E">
        <w:rPr>
          <w:szCs w:val="22"/>
        </w:rPr>
        <w:fldChar w:fldCharType="begin" w:fldLock="1"/>
      </w:r>
      <w:r w:rsidRPr="00844A6E">
        <w:rPr>
          <w:szCs w:val="22"/>
        </w:rPr>
        <w:instrText xml:space="preserve"> REF _Caption0819 </w:instrText>
      </w:r>
      <w:r>
        <w:rPr>
          <w:szCs w:val="22"/>
        </w:rPr>
        <w:instrText xml:space="preserve"> \* MERGEFORMAT </w:instrText>
      </w:r>
      <w:r w:rsidRPr="00844A6E">
        <w:rPr>
          <w:szCs w:val="22"/>
        </w:rPr>
        <w:fldChar w:fldCharType="separate"/>
      </w:r>
      <w:r w:rsidRPr="00844A6E">
        <w:rPr>
          <w:noProof/>
          <w:szCs w:val="22"/>
        </w:rPr>
        <w:t>4.12</w:t>
      </w:r>
      <w:r w:rsidRPr="00844A6E">
        <w:rPr>
          <w:noProof/>
          <w:szCs w:val="22"/>
        </w:rPr>
        <w:fldChar w:fldCharType="end"/>
      </w:r>
      <w:r w:rsidRPr="00844A6E">
        <w:rPr>
          <w:szCs w:val="22"/>
        </w:rPr>
        <w:t>).</w:t>
      </w:r>
    </w:p>
    <w:p w14:paraId="1FFD2D22" w14:textId="6A28065C" w:rsidR="00767FC0" w:rsidRDefault="00767FC0" w:rsidP="00767FC0">
      <w:pPr>
        <w:pStyle w:val="BodyText"/>
        <w:rPr>
          <w:rFonts w:eastAsia="SimSun"/>
          <w:lang w:bidi="fa-IR"/>
        </w:rPr>
      </w:pPr>
      <w:r w:rsidRPr="00E03BCB">
        <w:rPr>
          <w:szCs w:val="22"/>
        </w:rPr>
        <w:t xml:space="preserve">For the CRIS, we </w:t>
      </w:r>
      <w:r w:rsidR="005E3DD2">
        <w:rPr>
          <w:szCs w:val="22"/>
        </w:rPr>
        <w:t>used</w:t>
      </w:r>
      <w:r w:rsidRPr="00E03BCB">
        <w:rPr>
          <w:szCs w:val="22"/>
        </w:rPr>
        <w:t xml:space="preserve"> the Step Change scenario as the central case</w:t>
      </w:r>
      <w:r w:rsidR="00B074A7" w:rsidRPr="00E03BCB">
        <w:rPr>
          <w:szCs w:val="22"/>
        </w:rPr>
        <w:t xml:space="preserve">, which has </w:t>
      </w:r>
      <w:r w:rsidR="00CB02BC" w:rsidRPr="00E03BCB">
        <w:rPr>
          <w:szCs w:val="22"/>
        </w:rPr>
        <w:t>shown a</w:t>
      </w:r>
      <w:r w:rsidR="00B074A7" w:rsidRPr="00E03BCB">
        <w:rPr>
          <w:szCs w:val="22"/>
        </w:rPr>
        <w:t xml:space="preserve"> net </w:t>
      </w:r>
      <w:r w:rsidR="00CB02BC" w:rsidRPr="00E03BCB">
        <w:rPr>
          <w:szCs w:val="22"/>
        </w:rPr>
        <w:t>negative impact</w:t>
      </w:r>
      <w:r w:rsidRPr="00E03BCB">
        <w:rPr>
          <w:szCs w:val="22"/>
        </w:rPr>
        <w:t xml:space="preserve">. </w:t>
      </w:r>
      <w:r w:rsidR="00673F6A" w:rsidRPr="00E03BCB">
        <w:rPr>
          <w:szCs w:val="22"/>
        </w:rPr>
        <w:t xml:space="preserve">Lower uptake would </w:t>
      </w:r>
      <w:r w:rsidR="0048080D">
        <w:rPr>
          <w:szCs w:val="22"/>
        </w:rPr>
        <w:t>tend to reduce the benefits even further</w:t>
      </w:r>
      <w:r w:rsidR="00CE1EFE" w:rsidRPr="00E03BCB">
        <w:rPr>
          <w:szCs w:val="22"/>
        </w:rPr>
        <w:t xml:space="preserve">. </w:t>
      </w:r>
      <w:r w:rsidR="00BE605D" w:rsidRPr="00E03BCB">
        <w:rPr>
          <w:szCs w:val="22"/>
        </w:rPr>
        <w:t>Therefore</w:t>
      </w:r>
      <w:r w:rsidR="00CE1EFE" w:rsidRPr="00E03BCB">
        <w:rPr>
          <w:szCs w:val="22"/>
        </w:rPr>
        <w:t xml:space="preserve">, </w:t>
      </w:r>
      <w:r w:rsidR="0001734C" w:rsidRPr="00E03BCB">
        <w:rPr>
          <w:szCs w:val="22"/>
        </w:rPr>
        <w:t xml:space="preserve">we </w:t>
      </w:r>
      <w:r w:rsidR="00BE605D" w:rsidRPr="00E03BCB">
        <w:rPr>
          <w:szCs w:val="22"/>
        </w:rPr>
        <w:t xml:space="preserve">use the same </w:t>
      </w:r>
      <w:r w:rsidR="00D25563" w:rsidRPr="00E03BCB">
        <w:rPr>
          <w:szCs w:val="22"/>
        </w:rPr>
        <w:t xml:space="preserve">Step Change scenario </w:t>
      </w:r>
      <w:r w:rsidR="00A51D56" w:rsidRPr="00E03BCB">
        <w:rPr>
          <w:szCs w:val="22"/>
        </w:rPr>
        <w:t xml:space="preserve">as the central case in DRIS and </w:t>
      </w:r>
      <w:r w:rsidR="003D345C" w:rsidRPr="00E03BCB">
        <w:rPr>
          <w:szCs w:val="22"/>
        </w:rPr>
        <w:t xml:space="preserve">do not </w:t>
      </w:r>
      <w:r w:rsidR="00E03BCB" w:rsidRPr="00E03BCB">
        <w:rPr>
          <w:szCs w:val="22"/>
        </w:rPr>
        <w:t xml:space="preserve">do any </w:t>
      </w:r>
      <w:r w:rsidRPr="00E03BCB">
        <w:rPr>
          <w:szCs w:val="22"/>
        </w:rPr>
        <w:t>sensitivity analys</w:t>
      </w:r>
      <w:r w:rsidR="00E03BCB" w:rsidRPr="00E03BCB">
        <w:rPr>
          <w:szCs w:val="22"/>
        </w:rPr>
        <w:t>e</w:t>
      </w:r>
      <w:r w:rsidRPr="00E03BCB">
        <w:rPr>
          <w:szCs w:val="22"/>
        </w:rPr>
        <w:t>s</w:t>
      </w:r>
      <w:r w:rsidR="00E03BCB" w:rsidRPr="00E03BCB">
        <w:rPr>
          <w:szCs w:val="22"/>
        </w:rPr>
        <w:t xml:space="preserve"> of slower uptake</w:t>
      </w:r>
      <w:r w:rsidRPr="00E03BCB">
        <w:rPr>
          <w:szCs w:val="22"/>
        </w:rPr>
        <w:t>.</w:t>
      </w:r>
    </w:p>
    <w:p w14:paraId="4EB93B9B" w14:textId="77777777" w:rsidR="00767FC0" w:rsidRDefault="00767FC0" w:rsidP="00767FC0">
      <w:pPr>
        <w:pStyle w:val="Heading3"/>
        <w:numPr>
          <w:ilvl w:val="0"/>
          <w:numId w:val="0"/>
        </w:numPr>
        <w:rPr>
          <w:rFonts w:eastAsia="SimSun"/>
          <w:lang w:bidi="fa-IR"/>
        </w:rPr>
      </w:pPr>
      <w:r>
        <w:rPr>
          <w:rFonts w:eastAsia="SimSun"/>
          <w:lang w:bidi="fa-IR"/>
        </w:rPr>
        <w:t>Cost-benefit analysis parameters</w:t>
      </w:r>
    </w:p>
    <w:p w14:paraId="33308360" w14:textId="77777777" w:rsidR="00767FC0" w:rsidRDefault="00767FC0" w:rsidP="00767FC0">
      <w:pPr>
        <w:pStyle w:val="Heading4"/>
        <w:numPr>
          <w:ilvl w:val="0"/>
          <w:numId w:val="0"/>
        </w:numPr>
        <w:rPr>
          <w:rFonts w:eastAsia="SimSun"/>
          <w:lang w:bidi="fa-IR"/>
        </w:rPr>
      </w:pPr>
      <w:r>
        <w:rPr>
          <w:rFonts w:eastAsia="SimSun"/>
          <w:lang w:bidi="fa-IR"/>
        </w:rPr>
        <w:t>Discount rate</w:t>
      </w:r>
    </w:p>
    <w:p w14:paraId="672CBA16" w14:textId="77777777" w:rsidR="00767FC0" w:rsidRDefault="00767FC0" w:rsidP="00767FC0">
      <w:pPr>
        <w:pStyle w:val="BodyText"/>
        <w:rPr>
          <w:rFonts w:eastAsia="SimSun"/>
          <w:lang w:bidi="fa-IR"/>
        </w:rPr>
      </w:pPr>
      <w:r>
        <w:rPr>
          <w:rFonts w:eastAsia="SimSun"/>
          <w:lang w:bidi="fa-IR"/>
        </w:rPr>
        <w:t>The choice of 5 per cent as the central case for the CBA was due to the following considerations:</w:t>
      </w:r>
    </w:p>
    <w:p w14:paraId="39EBD162" w14:textId="77777777" w:rsidR="00767FC0" w:rsidRDefault="00767FC0" w:rsidP="00767FC0">
      <w:pPr>
        <w:pStyle w:val="ListBullet"/>
        <w:tabs>
          <w:tab w:val="num" w:pos="426"/>
        </w:tabs>
        <w:ind w:left="426" w:hanging="426"/>
        <w:rPr>
          <w:rFonts w:eastAsia="SimSun"/>
          <w:lang w:bidi="fa-IR"/>
        </w:rPr>
      </w:pPr>
      <w:r>
        <w:rPr>
          <w:rFonts w:eastAsia="SimSun"/>
          <w:lang w:bidi="fa-IR"/>
        </w:rPr>
        <w:t>a social discount rate, which is usually lower than the private hurdle rate of return, must be used for the CBA assessing proposed changes with long-term social, economic and environmental implications; and</w:t>
      </w:r>
    </w:p>
    <w:p w14:paraId="26CC6BF4" w14:textId="77777777" w:rsidR="00767FC0" w:rsidRDefault="00767FC0" w:rsidP="00767FC0">
      <w:pPr>
        <w:pStyle w:val="ListBullet"/>
        <w:tabs>
          <w:tab w:val="num" w:pos="426"/>
        </w:tabs>
        <w:ind w:left="426" w:hanging="426"/>
        <w:rPr>
          <w:rFonts w:eastAsia="SimSun"/>
          <w:lang w:bidi="fa-IR"/>
        </w:rPr>
      </w:pPr>
      <w:r>
        <w:rPr>
          <w:rFonts w:eastAsia="SimSun"/>
          <w:lang w:bidi="fa-IR"/>
        </w:rPr>
        <w:t>it is in line with the mean position of jurisdictions’ individual guidelines on the choice of social discount rate,</w:t>
      </w:r>
      <w:r>
        <w:rPr>
          <w:rStyle w:val="FootnoteReference"/>
          <w:rFonts w:eastAsia="SimSun"/>
          <w:lang w:bidi="fa-IR"/>
        </w:rPr>
        <w:footnoteReference w:id="14"/>
      </w:r>
      <w:r>
        <w:rPr>
          <w:rFonts w:eastAsia="SimSun"/>
          <w:lang w:bidi="fa-IR"/>
        </w:rPr>
        <w:t xml:space="preserve"> as the NCC takes effect through state and territory building regulations, and the relevant analysis undertaken and/or oversight by ABCB is on behalf of individual jurisdictions.</w:t>
      </w:r>
    </w:p>
    <w:p w14:paraId="0B5630D5" w14:textId="77777777" w:rsidR="00767FC0" w:rsidRDefault="00767FC0" w:rsidP="00767FC0">
      <w:pPr>
        <w:pStyle w:val="BodyText"/>
        <w:rPr>
          <w:rFonts w:eastAsia="SimSun"/>
          <w:lang w:bidi="fa-IR"/>
        </w:rPr>
      </w:pPr>
      <w:r>
        <w:rPr>
          <w:rFonts w:eastAsia="SimSun"/>
          <w:lang w:bidi="fa-IR"/>
        </w:rPr>
        <w:t>To test how discount rate would affect the CBA results, a higher discount rate of 7 per cent has been considered as sensitivity analysis. As shown in the CBA results, the higher discount rate would not change the conclusion about the proposed changes.</w:t>
      </w:r>
    </w:p>
    <w:p w14:paraId="049C0FE8" w14:textId="77777777" w:rsidR="00767FC0" w:rsidRDefault="00767FC0" w:rsidP="00767FC0">
      <w:pPr>
        <w:pStyle w:val="Heading4"/>
        <w:numPr>
          <w:ilvl w:val="0"/>
          <w:numId w:val="0"/>
        </w:numPr>
        <w:rPr>
          <w:rFonts w:eastAsia="SimSun"/>
          <w:lang w:bidi="fa-IR"/>
        </w:rPr>
      </w:pPr>
      <w:r>
        <w:rPr>
          <w:rFonts w:eastAsia="SimSun"/>
          <w:lang w:bidi="fa-IR"/>
        </w:rPr>
        <w:t>Energy pricing</w:t>
      </w:r>
    </w:p>
    <w:p w14:paraId="721AF76B" w14:textId="347DCE11" w:rsidR="00767FC0" w:rsidRDefault="00767FC0" w:rsidP="00767FC0">
      <w:pPr>
        <w:pStyle w:val="BodyText"/>
        <w:rPr>
          <w:rFonts w:eastAsia="SimSun"/>
          <w:lang w:bidi="fa-IR"/>
        </w:rPr>
      </w:pPr>
      <w:r>
        <w:rPr>
          <w:rFonts w:eastAsia="SimSun"/>
          <w:lang w:bidi="fa-IR"/>
        </w:rPr>
        <w:t xml:space="preserve">As discussed in the CRIS, using the </w:t>
      </w:r>
      <w:r w:rsidR="008A6C83">
        <w:rPr>
          <w:rFonts w:eastAsia="SimSun"/>
          <w:lang w:bidi="fa-IR"/>
        </w:rPr>
        <w:t xml:space="preserve">various components of the </w:t>
      </w:r>
      <w:r>
        <w:rPr>
          <w:rFonts w:eastAsia="SimSun"/>
          <w:lang w:bidi="fa-IR"/>
        </w:rPr>
        <w:t>retail price (with the exclusion of certain fixed charges which do not change with</w:t>
      </w:r>
      <w:r w:rsidDel="00E33F58">
        <w:rPr>
          <w:rFonts w:eastAsia="SimSun"/>
          <w:lang w:bidi="fa-IR"/>
        </w:rPr>
        <w:t xml:space="preserve"> </w:t>
      </w:r>
      <w:r>
        <w:rPr>
          <w:rFonts w:eastAsia="SimSun"/>
          <w:lang w:bidi="fa-IR"/>
        </w:rPr>
        <w:t>any change in energy consumption) is an appropriate approach to evaluate the resource cost savings associated with reduced energy consumption.</w:t>
      </w:r>
    </w:p>
    <w:p w14:paraId="0F92B04C" w14:textId="77777777" w:rsidR="00767FC0" w:rsidRDefault="00767FC0" w:rsidP="00767FC0">
      <w:pPr>
        <w:pStyle w:val="BodyText"/>
        <w:rPr>
          <w:rFonts w:eastAsia="SimSun"/>
          <w:lang w:bidi="fa-IR"/>
        </w:rPr>
      </w:pPr>
      <w:r>
        <w:rPr>
          <w:rFonts w:eastAsia="SimSun"/>
          <w:lang w:bidi="fa-IR"/>
        </w:rPr>
        <w:t>The DRIS use the same approach with updated pricing information of:</w:t>
      </w:r>
    </w:p>
    <w:p w14:paraId="098200CB" w14:textId="77777777" w:rsidR="00767FC0" w:rsidRPr="004D30EE" w:rsidRDefault="00767FC0" w:rsidP="00767FC0">
      <w:pPr>
        <w:pStyle w:val="ListBullet"/>
        <w:tabs>
          <w:tab w:val="num" w:pos="709"/>
        </w:tabs>
        <w:rPr>
          <w:rFonts w:eastAsia="SimSun"/>
          <w:lang w:bidi="fa-IR"/>
        </w:rPr>
      </w:pPr>
      <w:r w:rsidRPr="004D30EE">
        <w:rPr>
          <w:rFonts w:eastAsia="SimSun"/>
          <w:lang w:bidi="fa-IR"/>
        </w:rPr>
        <w:t xml:space="preserve">energy wholesale prices provided by AEMO; and </w:t>
      </w:r>
    </w:p>
    <w:p w14:paraId="5B653387" w14:textId="77777777" w:rsidR="00767FC0" w:rsidRPr="004D30EE" w:rsidRDefault="00767FC0" w:rsidP="00767FC0">
      <w:pPr>
        <w:pStyle w:val="ListBullet"/>
        <w:tabs>
          <w:tab w:val="num" w:pos="709"/>
        </w:tabs>
        <w:rPr>
          <w:rFonts w:eastAsia="SimSun"/>
          <w:lang w:bidi="fa-IR"/>
        </w:rPr>
      </w:pPr>
      <w:r w:rsidRPr="004D30EE">
        <w:rPr>
          <w:rFonts w:eastAsia="SimSun"/>
          <w:lang w:bidi="fa-IR"/>
        </w:rPr>
        <w:t>electricity network price for 2024-25 provided by AER and energy suppliers.</w:t>
      </w:r>
    </w:p>
    <w:p w14:paraId="54769C55" w14:textId="77777777" w:rsidR="00767FC0" w:rsidRDefault="00767FC0" w:rsidP="00767FC0">
      <w:pPr>
        <w:pStyle w:val="Heading4"/>
        <w:numPr>
          <w:ilvl w:val="0"/>
          <w:numId w:val="0"/>
        </w:numPr>
        <w:rPr>
          <w:rFonts w:eastAsia="SimSun"/>
          <w:lang w:bidi="fa-IR"/>
        </w:rPr>
      </w:pPr>
      <w:r>
        <w:rPr>
          <w:rFonts w:eastAsia="SimSun"/>
          <w:lang w:bidi="fa-IR"/>
        </w:rPr>
        <w:t>Carbon valuation</w:t>
      </w:r>
    </w:p>
    <w:p w14:paraId="65583DFF" w14:textId="77777777" w:rsidR="00767FC0" w:rsidRDefault="00767FC0" w:rsidP="00767FC0">
      <w:pPr>
        <w:pStyle w:val="BodyText"/>
        <w:rPr>
          <w:lang w:bidi="fa-IR"/>
        </w:rPr>
      </w:pPr>
      <w:r>
        <w:rPr>
          <w:rFonts w:eastAsia="SimSun"/>
          <w:lang w:bidi="fa-IR"/>
        </w:rPr>
        <w:t>The social cost of carbon (SCC) t</w:t>
      </w:r>
      <w:r w:rsidRPr="00C65761">
        <w:rPr>
          <w:rFonts w:eastAsia="SimSun"/>
          <w:lang w:bidi="fa-IR"/>
        </w:rPr>
        <w:t>ypically considers a wide range of economic, environmental, and social impacts associated with the emission of one additional ton of carbon dioxide into the atmosphere. This includes both direct and indirect effects that result from climate change.</w:t>
      </w:r>
      <w:r>
        <w:rPr>
          <w:rFonts w:eastAsia="SimSun"/>
          <w:lang w:bidi="fa-IR"/>
        </w:rPr>
        <w:t xml:space="preserve"> The </w:t>
      </w:r>
      <w:r>
        <w:rPr>
          <w:lang w:bidi="fa-IR"/>
        </w:rPr>
        <w:t>cost of pollution such as deaths from poor air quality and cost of sea level rise due to global GHG increase, as raised by Anderson Energy Efficiency and Association of Building Sustainability Assessors, have been included in the SCC.</w:t>
      </w:r>
    </w:p>
    <w:p w14:paraId="054F46AB" w14:textId="5D8E2573" w:rsidR="00767FC0" w:rsidRDefault="00767FC0" w:rsidP="00767FC0">
      <w:pPr>
        <w:pStyle w:val="BodyText"/>
        <w:rPr>
          <w:rFonts w:eastAsia="SimSun"/>
          <w:lang w:bidi="fa-IR"/>
        </w:rPr>
      </w:pPr>
      <w:r>
        <w:rPr>
          <w:lang w:bidi="fa-IR"/>
        </w:rPr>
        <w:t>Since the CRIS, Infrastructure Australia (IA) has published a guidance note of valuing emissions for economic analysis using a Marginal Abatement Cost approach, including a set of carbon values up to 2050.</w:t>
      </w:r>
      <w:r>
        <w:rPr>
          <w:rStyle w:val="FootnoteReference"/>
          <w:lang w:bidi="fa-IR"/>
        </w:rPr>
        <w:footnoteReference w:id="15"/>
      </w:r>
      <w:r>
        <w:rPr>
          <w:lang w:bidi="fa-IR"/>
        </w:rPr>
        <w:t xml:space="preserve"> The central case IA carbon value is lower than the SCC value (</w:t>
      </w:r>
      <w:r w:rsidRPr="00392091">
        <w:rPr>
          <w:lang w:bidi="fa-IR"/>
        </w:rPr>
        <w:t xml:space="preserve">chart </w:t>
      </w:r>
      <w:r w:rsidR="00FD0D6D" w:rsidRPr="00392091">
        <w:rPr>
          <w:lang w:bidi="fa-IR"/>
        </w:rPr>
        <w:t>2.2</w:t>
      </w:r>
      <w:r>
        <w:rPr>
          <w:lang w:bidi="fa-IR"/>
        </w:rPr>
        <w:t>). The DRIS use the IA’s Central series of carbon values for sensitivity analysis.</w:t>
      </w:r>
    </w:p>
    <w:p w14:paraId="5F59C655" w14:textId="162B2C4A" w:rsidR="00767FC0" w:rsidRPr="00695C93" w:rsidRDefault="00767FC0">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581346">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581346">
          <w:rPr>
            <w:noProof/>
          </w:rPr>
          <w:instrText>2</w:instrText>
        </w:r>
      </w:fldSimple>
      <w:r w:rsidRPr="00695C93">
        <w:instrText xml:space="preserve"> = 0 "" "</w:instrText>
      </w:r>
      <w:fldSimple w:instr=" STYLEREF &quot;Heading 1&quot; \l \n ">
        <w:r w:rsidR="00581346">
          <w:rPr>
            <w:noProof/>
          </w:rPr>
          <w:instrText>2</w:instrText>
        </w:r>
      </w:fldSimple>
      <w:r w:rsidRPr="00695C93">
        <w:instrText xml:space="preserve">." </w:instrText>
      </w:r>
      <w:r w:rsidRPr="00695C93">
        <w:fldChar w:fldCharType="separate"/>
      </w:r>
      <w:r w:rsidR="00581346">
        <w:rPr>
          <w:noProof/>
        </w:rPr>
        <w:instrText>2</w:instrText>
      </w:r>
      <w:r w:rsidR="00581346" w:rsidRPr="00695C93">
        <w:rPr>
          <w:noProof/>
        </w:rPr>
        <w:instrText>.</w:instrText>
      </w:r>
      <w:r w:rsidRPr="00695C93">
        <w:fldChar w:fldCharType="end"/>
      </w:r>
      <w:r w:rsidRPr="00695C93">
        <w:instrText>" "</w:instrText>
      </w:r>
      <w:fldSimple w:instr=" STYLEREF &quot;Heading 6&quot; \l \n ">
        <w:r>
          <w:rPr>
            <w:noProof/>
          </w:rPr>
          <w:instrText>A</w:instrText>
        </w:r>
      </w:fldSimple>
      <w:r w:rsidRPr="00695C93">
        <w:instrText xml:space="preserve">." </w:instrText>
      </w:r>
      <w:r w:rsidRPr="00695C93">
        <w:fldChar w:fldCharType="separate"/>
      </w:r>
      <w:r w:rsidR="008C60A3">
        <w:rPr>
          <w:noProof/>
        </w:rPr>
        <w:instrText>2</w:instrText>
      </w:r>
      <w:r w:rsidR="008C60A3"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581346">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581346">
          <w:rPr>
            <w:noProof/>
          </w:rPr>
          <w:instrText>2</w:instrText>
        </w:r>
      </w:fldSimple>
      <w:r w:rsidRPr="00695C93">
        <w:instrText xml:space="preserve"> = 0 "" "1" </w:instrText>
      </w:r>
      <w:r w:rsidRPr="00695C93">
        <w:fldChar w:fldCharType="separate"/>
      </w:r>
      <w:r w:rsidR="008C60A3" w:rsidRPr="00695C93">
        <w:rPr>
          <w:noProof/>
        </w:rPr>
        <w:instrText>1</w:instrText>
      </w:r>
      <w:r w:rsidRPr="00695C93">
        <w:fldChar w:fldCharType="end"/>
      </w:r>
      <w:r w:rsidRPr="00695C93">
        <w:instrText xml:space="preserve">" "6" </w:instrText>
      </w:r>
      <w:r w:rsidRPr="00695C93">
        <w:fldChar w:fldCharType="separate"/>
      </w:r>
      <w:r w:rsidR="008C60A3" w:rsidRPr="00695C93">
        <w:rPr>
          <w:noProof/>
        </w:rPr>
        <w:instrText>1</w:instrText>
      </w:r>
      <w:r w:rsidRPr="00695C93">
        <w:fldChar w:fldCharType="end"/>
      </w:r>
      <w:r w:rsidRPr="00695C93">
        <w:instrText xml:space="preserve"> </w:instrText>
      </w:r>
      <w:r w:rsidRPr="00695C93">
        <w:fldChar w:fldCharType="separate"/>
      </w:r>
      <w:r w:rsidR="00581346">
        <w:rPr>
          <w:noProof/>
        </w:rPr>
        <w:instrText>2</w:instrText>
      </w:r>
      <w:r w:rsidRPr="00695C93">
        <w:fldChar w:fldCharType="end"/>
      </w:r>
      <w:r w:rsidRPr="00695C93">
        <w:instrText xml:space="preserve">" "" </w:instrText>
      </w:r>
      <w:r w:rsidRPr="00695C93">
        <w:fldChar w:fldCharType="separate"/>
      </w:r>
      <w:bookmarkStart w:id="366" w:name="_Caption8350"/>
      <w:bookmarkStart w:id="367" w:name="_Caption7739"/>
      <w:bookmarkStart w:id="368" w:name="_Caption3528"/>
      <w:bookmarkStart w:id="369" w:name="_Caption2347"/>
      <w:bookmarkStart w:id="370" w:name="_Caption0098"/>
      <w:bookmarkStart w:id="371" w:name="_Caption8082"/>
      <w:bookmarkStart w:id="372" w:name="_Caption7264"/>
      <w:bookmarkStart w:id="373" w:name="_Caption8203"/>
      <w:bookmarkStart w:id="374" w:name="_Caption4179"/>
      <w:bookmarkStart w:id="375" w:name="_Caption5844"/>
      <w:bookmarkStart w:id="376" w:name="_Caption6167"/>
      <w:bookmarkStart w:id="377" w:name="_Caption7256"/>
      <w:bookmarkStart w:id="378" w:name="_Caption1843"/>
      <w:bookmarkStart w:id="379" w:name="_Caption8418"/>
      <w:bookmarkStart w:id="380" w:name="_Caption0870"/>
      <w:bookmarkStart w:id="381" w:name="_Caption1967"/>
      <w:bookmarkStart w:id="382" w:name="_Caption3010"/>
      <w:bookmarkStart w:id="383" w:name="_Caption4046"/>
      <w:bookmarkStart w:id="384" w:name="_Caption2692"/>
      <w:bookmarkStart w:id="385" w:name="_Caption0664"/>
      <w:bookmarkStart w:id="386" w:name="_Caption7325"/>
      <w:bookmarkStart w:id="387" w:name="_Caption2141"/>
      <w:bookmarkStart w:id="388" w:name="_Caption3367"/>
      <w:bookmarkStart w:id="389" w:name="_Caption8278"/>
      <w:bookmarkStart w:id="390" w:name="_Caption0273"/>
      <w:bookmarkStart w:id="391" w:name="_Caption2205"/>
      <w:bookmarkStart w:id="392" w:name="_Caption9180"/>
      <w:bookmarkStart w:id="393" w:name="_Caption4933"/>
      <w:bookmarkStart w:id="394" w:name="_Caption2073"/>
      <w:bookmarkStart w:id="395" w:name="_Caption8516"/>
      <w:bookmarkStart w:id="396" w:name="_Caption5862"/>
      <w:bookmarkStart w:id="397" w:name="_Caption5711"/>
      <w:bookmarkStart w:id="398" w:name="_Caption2121"/>
      <w:bookmarkStart w:id="399" w:name="_Caption9032"/>
      <w:bookmarkStart w:id="400" w:name="_Caption5967"/>
      <w:bookmarkStart w:id="401" w:name="_Caption7736"/>
      <w:bookmarkStart w:id="402" w:name="_Caption9841"/>
      <w:bookmarkStart w:id="403" w:name="_Caption6509"/>
      <w:bookmarkStart w:id="404" w:name="_Caption8576"/>
      <w:bookmarkStart w:id="405" w:name="_Caption7254"/>
      <w:bookmarkStart w:id="406" w:name="_Caption4607"/>
      <w:bookmarkStart w:id="407" w:name="_Caption2830"/>
      <w:bookmarkStart w:id="408" w:name="_Caption1779"/>
      <w:bookmarkStart w:id="409" w:name="_Caption2500"/>
      <w:bookmarkStart w:id="410" w:name="_Caption9398"/>
      <w:bookmarkStart w:id="411" w:name="_Caption6735"/>
      <w:bookmarkStart w:id="412" w:name="_Caption2060"/>
      <w:bookmarkStart w:id="413" w:name="_Caption6024"/>
      <w:bookmarkStart w:id="414" w:name="_Caption3557"/>
      <w:bookmarkStart w:id="415" w:name="_Caption4864"/>
      <w:bookmarkStart w:id="416" w:name="_Caption0059"/>
      <w:bookmarkStart w:id="417" w:name="_Caption5870"/>
      <w:bookmarkStart w:id="418" w:name="_Caption9041"/>
      <w:bookmarkStart w:id="419" w:name="_Caption8349"/>
      <w:bookmarkStart w:id="420" w:name="_Caption6392"/>
      <w:bookmarkStart w:id="421" w:name="_Caption6971"/>
      <w:bookmarkStart w:id="422" w:name="_Caption3297"/>
      <w:bookmarkStart w:id="423" w:name="_Caption3964"/>
      <w:bookmarkStart w:id="424" w:name="_Caption1846"/>
      <w:bookmarkStart w:id="425" w:name="_Caption6883"/>
      <w:bookmarkStart w:id="426" w:name="_Caption8214"/>
      <w:bookmarkStart w:id="427" w:name="_Caption5890"/>
      <w:bookmarkStart w:id="428" w:name="_Caption5106"/>
      <w:bookmarkStart w:id="429" w:name="_Caption4460"/>
      <w:bookmarkStart w:id="430" w:name="_Caption4834"/>
      <w:bookmarkStart w:id="431" w:name="_Caption9818"/>
      <w:bookmarkStart w:id="432" w:name="_Caption8910"/>
      <w:bookmarkStart w:id="433" w:name="_Caption6516"/>
      <w:bookmarkStart w:id="434" w:name="_Caption9383"/>
      <w:bookmarkStart w:id="435" w:name="_Caption4912"/>
      <w:bookmarkStart w:id="436" w:name="_Caption1940"/>
      <w:bookmarkStart w:id="437" w:name="_Caption7030"/>
      <w:bookmarkStart w:id="438" w:name="_Caption4507"/>
      <w:bookmarkStart w:id="439" w:name="_Caption8720"/>
      <w:bookmarkStart w:id="440" w:name="_Caption0356"/>
      <w:bookmarkStart w:id="441" w:name="_Caption0840"/>
      <w:bookmarkStart w:id="442" w:name="_Caption1837"/>
      <w:bookmarkStart w:id="443" w:name="_Caption7163"/>
      <w:bookmarkStart w:id="444" w:name="_Toc178292570"/>
      <w:r w:rsidR="008C60A3">
        <w:rPr>
          <w:noProof/>
        </w:rPr>
        <w:t>2</w:t>
      </w:r>
      <w:r w:rsidR="008C60A3" w:rsidRPr="00695C93">
        <w:rPr>
          <w:noProof/>
        </w:rPr>
        <w:t>.</w:t>
      </w:r>
      <w:r w:rsidR="008C60A3">
        <w:rPr>
          <w:noProof/>
        </w:rPr>
        <w:t>2</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sidRPr="00695C93">
        <w:fldChar w:fldCharType="end"/>
      </w:r>
      <w:r w:rsidRPr="00695C93">
        <w:tab/>
      </w:r>
      <w:r>
        <w:t>Comparison of carbon value</w:t>
      </w:r>
      <w:bookmarkEnd w:id="444"/>
    </w:p>
    <w:tbl>
      <w:tblPr>
        <w:tblStyle w:val="TableGrid"/>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9E8E5" w:themeFill="background2"/>
        <w:tblLayout w:type="fixed"/>
        <w:tblCellMar>
          <w:left w:w="0" w:type="dxa"/>
          <w:right w:w="0" w:type="dxa"/>
        </w:tblCellMar>
        <w:tblLook w:val="04A0" w:firstRow="1" w:lastRow="0" w:firstColumn="1" w:lastColumn="0" w:noHBand="0" w:noVBand="1"/>
      </w:tblPr>
      <w:tblGrid>
        <w:gridCol w:w="7938"/>
      </w:tblGrid>
      <w:tr w:rsidR="00767FC0" w14:paraId="5B35DD70" w14:textId="77777777">
        <w:trPr>
          <w:cantSplit/>
        </w:trPr>
        <w:tc>
          <w:tcPr>
            <w:tcW w:w="7938" w:type="dxa"/>
            <w:shd w:val="clear" w:color="auto" w:fill="E9E8E5" w:themeFill="background2"/>
          </w:tcPr>
          <w:p w14:paraId="36CFC142" w14:textId="77777777" w:rsidR="00767FC0" w:rsidRDefault="00767FC0">
            <w:pPr>
              <w:pStyle w:val="Chart"/>
            </w:pPr>
            <w:r w:rsidRPr="00A03E46">
              <w:rPr>
                <w:noProof/>
              </w:rPr>
              <w:drawing>
                <wp:inline distT="0" distB="0" distL="0" distR="0" wp14:anchorId="00F19497" wp14:editId="3D47C454">
                  <wp:extent cx="5024120" cy="2504440"/>
                  <wp:effectExtent l="0" t="0" r="0" b="0"/>
                  <wp:docPr id="1765049563" name="Picture 1" descr="This chart compares the Central series of carbon values from Infrastructure Australia with the Social Cost of Carbon value series with a discount rate of 2 per cent from the USE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49563" name="Picture 1" descr="This chart compares the Central series of carbon values from Infrastructure Australia with the Social Cost of Carbon value series with a discount rate of 2 per cent from the USEP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24120" cy="2504440"/>
                          </a:xfrm>
                          <a:prstGeom prst="rect">
                            <a:avLst/>
                          </a:prstGeom>
                          <a:noFill/>
                          <a:ln>
                            <a:noFill/>
                          </a:ln>
                        </pic:spPr>
                      </pic:pic>
                    </a:graphicData>
                  </a:graphic>
                </wp:inline>
              </w:drawing>
            </w:r>
          </w:p>
        </w:tc>
      </w:tr>
    </w:tbl>
    <w:p w14:paraId="3C7CF112" w14:textId="77777777" w:rsidR="00767FC0" w:rsidRDefault="00767FC0" w:rsidP="00767FC0">
      <w:pPr>
        <w:pStyle w:val="Source"/>
      </w:pPr>
      <w:r>
        <w:rPr>
          <w:i/>
        </w:rPr>
        <w:t>Data source</w:t>
      </w:r>
      <w:r w:rsidRPr="00A67576">
        <w:rPr>
          <w:i/>
        </w:rPr>
        <w:t>:</w:t>
      </w:r>
      <w:r>
        <w:t xml:space="preserve"> IA (2024) and USEPA (2023)</w:t>
      </w:r>
    </w:p>
    <w:p w14:paraId="20392226" w14:textId="77777777" w:rsidR="00767FC0" w:rsidRDefault="00767FC0" w:rsidP="00767FC0">
      <w:pPr>
        <w:pStyle w:val="Heading3"/>
        <w:numPr>
          <w:ilvl w:val="0"/>
          <w:numId w:val="0"/>
        </w:numPr>
        <w:rPr>
          <w:lang w:bidi="fa-IR"/>
        </w:rPr>
      </w:pPr>
      <w:r>
        <w:rPr>
          <w:lang w:bidi="fa-IR"/>
        </w:rPr>
        <w:t>Training and transition costs</w:t>
      </w:r>
    </w:p>
    <w:p w14:paraId="4ADFC0C7" w14:textId="77777777" w:rsidR="00767FC0" w:rsidRPr="00CB71D9" w:rsidRDefault="00767FC0" w:rsidP="00767FC0">
      <w:pPr>
        <w:pStyle w:val="BodyText"/>
        <w:rPr>
          <w:lang w:eastAsia="en-US"/>
        </w:rPr>
      </w:pPr>
      <w:r>
        <w:rPr>
          <w:lang w:bidi="fa-IR"/>
        </w:rPr>
        <w:t>We will use a similar approach to estimate the cost of getting relevant stakeholders familiar with the changes in the NCC to that employed in the DRIS for the proposed changes in commercial energy efficiency in the NCC 2019,</w:t>
      </w:r>
      <w:r>
        <w:rPr>
          <w:rStyle w:val="FootnoteReference"/>
          <w:lang w:bidi="fa-IR"/>
        </w:rPr>
        <w:footnoteReference w:id="16"/>
      </w:r>
      <w:r>
        <w:rPr>
          <w:lang w:bidi="fa-IR"/>
        </w:rPr>
        <w:t xml:space="preserve"> with updated numbers for affected stakeholders and hourly labour costs.</w:t>
      </w:r>
    </w:p>
    <w:p w14:paraId="04F37C3F" w14:textId="77777777" w:rsidR="00767FC0" w:rsidRDefault="00767FC0" w:rsidP="00767FC0">
      <w:pPr>
        <w:pStyle w:val="Heading3"/>
        <w:numPr>
          <w:ilvl w:val="0"/>
          <w:numId w:val="0"/>
        </w:numPr>
        <w:rPr>
          <w:lang w:bidi="fa-IR"/>
        </w:rPr>
      </w:pPr>
      <w:r>
        <w:rPr>
          <w:lang w:bidi="fa-IR"/>
        </w:rPr>
        <w:t>Space impact</w:t>
      </w:r>
    </w:p>
    <w:p w14:paraId="0BF22A39" w14:textId="77777777" w:rsidR="00767FC0" w:rsidRDefault="00767FC0" w:rsidP="00767FC0">
      <w:pPr>
        <w:pStyle w:val="BodyText"/>
        <w:rPr>
          <w:lang w:bidi="fa-IR"/>
        </w:rPr>
      </w:pPr>
      <w:r>
        <w:rPr>
          <w:lang w:bidi="fa-IR"/>
        </w:rPr>
        <w:t>The proposed changes are unlikely to have significant impact on spaces, based on the following factors:</w:t>
      </w:r>
    </w:p>
    <w:p w14:paraId="644A7C0F" w14:textId="1C7D0E85" w:rsidR="00767FC0" w:rsidRDefault="00767FC0" w:rsidP="00767FC0">
      <w:pPr>
        <w:pStyle w:val="ListBullet"/>
        <w:rPr>
          <w:lang w:bidi="fa-IR"/>
        </w:rPr>
      </w:pPr>
      <w:r w:rsidRPr="000B7DAB">
        <w:rPr>
          <w:lang w:bidi="fa-IR"/>
        </w:rPr>
        <w:t>Low rise apartments are unlikely to have a centralised HVAC and water heating systems</w:t>
      </w:r>
      <w:r>
        <w:rPr>
          <w:lang w:bidi="fa-IR"/>
        </w:rPr>
        <w:t>; rather</w:t>
      </w:r>
      <w:r w:rsidRPr="000B7DAB" w:rsidDel="00E33F58">
        <w:rPr>
          <w:lang w:bidi="fa-IR"/>
        </w:rPr>
        <w:t>,</w:t>
      </w:r>
      <w:r w:rsidRPr="000B7DAB">
        <w:rPr>
          <w:lang w:bidi="fa-IR"/>
        </w:rPr>
        <w:t xml:space="preserve"> units will have dedicated systems. Space can also be left in plant rooms, and where buildings are smaller, </w:t>
      </w:r>
      <w:r>
        <w:rPr>
          <w:lang w:bidi="fa-IR"/>
        </w:rPr>
        <w:t>such as</w:t>
      </w:r>
      <w:r w:rsidRPr="000B7DAB">
        <w:rPr>
          <w:lang w:bidi="fa-IR"/>
        </w:rPr>
        <w:t xml:space="preserve"> low rise apartments, </w:t>
      </w:r>
      <w:r>
        <w:rPr>
          <w:lang w:bidi="fa-IR"/>
        </w:rPr>
        <w:t>there</w:t>
      </w:r>
      <w:r w:rsidRPr="000B7DAB">
        <w:rPr>
          <w:lang w:bidi="fa-IR"/>
        </w:rPr>
        <w:t xml:space="preserve"> will not be a requirement for a room much larger than </w:t>
      </w:r>
      <w:r>
        <w:rPr>
          <w:lang w:bidi="fa-IR"/>
        </w:rPr>
        <w:t xml:space="preserve">the </w:t>
      </w:r>
      <w:r w:rsidR="00625B0A">
        <w:rPr>
          <w:lang w:bidi="fa-IR"/>
        </w:rPr>
        <w:t>business as usual (</w:t>
      </w:r>
      <w:r w:rsidRPr="000B7DAB">
        <w:rPr>
          <w:lang w:bidi="fa-IR"/>
        </w:rPr>
        <w:t>BAU</w:t>
      </w:r>
      <w:r w:rsidR="00625B0A">
        <w:rPr>
          <w:lang w:bidi="fa-IR"/>
        </w:rPr>
        <w:t>) case</w:t>
      </w:r>
      <w:r w:rsidRPr="000B7DAB">
        <w:rPr>
          <w:lang w:bidi="fa-IR"/>
        </w:rPr>
        <w:t>.</w:t>
      </w:r>
      <w:r w:rsidR="000744CE">
        <w:rPr>
          <w:lang w:bidi="fa-IR"/>
        </w:rPr>
        <w:t xml:space="preserve"> </w:t>
      </w:r>
      <w:r w:rsidR="000744CE" w:rsidRPr="000744CE">
        <w:rPr>
          <w:lang w:bidi="fa-IR"/>
        </w:rPr>
        <w:t xml:space="preserve">While the proposed changes will facilitate a </w:t>
      </w:r>
      <w:r w:rsidR="00417CB3">
        <w:rPr>
          <w:lang w:bidi="fa-IR"/>
        </w:rPr>
        <w:t>deemed</w:t>
      </w:r>
      <w:r w:rsidR="00625B0A">
        <w:rPr>
          <w:lang w:bidi="fa-IR"/>
        </w:rPr>
        <w:t>-to-satisfy (</w:t>
      </w:r>
      <w:r w:rsidR="000744CE" w:rsidRPr="000744CE">
        <w:rPr>
          <w:lang w:bidi="fa-IR"/>
        </w:rPr>
        <w:t>DTS</w:t>
      </w:r>
      <w:r w:rsidR="00625B0A">
        <w:rPr>
          <w:lang w:bidi="fa-IR"/>
        </w:rPr>
        <w:t>)</w:t>
      </w:r>
      <w:r w:rsidR="000744CE" w:rsidRPr="000744CE">
        <w:rPr>
          <w:lang w:bidi="fa-IR"/>
        </w:rPr>
        <w:t xml:space="preserve"> pathway for centralised apartment hot water systems, there is no change to the provisions for sole occupancy units that would increase the space needed for services.</w:t>
      </w:r>
    </w:p>
    <w:p w14:paraId="188643DD" w14:textId="6FAC3E0B" w:rsidR="00767FC0" w:rsidRDefault="00153B88" w:rsidP="00767FC0">
      <w:pPr>
        <w:pStyle w:val="ListBullet"/>
        <w:rPr>
          <w:lang w:bidi="fa-IR"/>
        </w:rPr>
      </w:pPr>
      <w:r>
        <w:rPr>
          <w:lang w:bidi="fa-IR"/>
        </w:rPr>
        <w:t>There was a</w:t>
      </w:r>
      <w:r w:rsidR="00767FC0" w:rsidRPr="00BA4CCD">
        <w:rPr>
          <w:lang w:bidi="fa-IR"/>
        </w:rPr>
        <w:t xml:space="preserve"> misunderstand</w:t>
      </w:r>
      <w:r>
        <w:rPr>
          <w:lang w:bidi="fa-IR"/>
        </w:rPr>
        <w:t xml:space="preserve">ing of the solar PV </w:t>
      </w:r>
      <w:r w:rsidR="00767FC0" w:rsidRPr="00BA4CCD">
        <w:rPr>
          <w:lang w:bidi="fa-IR"/>
        </w:rPr>
        <w:t>requirement</w:t>
      </w:r>
      <w:r w:rsidR="00E85E0A">
        <w:rPr>
          <w:lang w:bidi="fa-IR"/>
        </w:rPr>
        <w:t xml:space="preserve"> reflected in the comment received.</w:t>
      </w:r>
      <w:r w:rsidR="00767FC0" w:rsidRPr="00BA4CCD">
        <w:rPr>
          <w:lang w:bidi="fa-IR"/>
        </w:rPr>
        <w:t xml:space="preserve"> </w:t>
      </w:r>
      <w:r w:rsidR="00E85E0A">
        <w:rPr>
          <w:lang w:bidi="fa-IR"/>
        </w:rPr>
        <w:t>E</w:t>
      </w:r>
      <w:r w:rsidR="00767FC0" w:rsidRPr="00BA4CCD">
        <w:rPr>
          <w:lang w:bidi="fa-IR"/>
        </w:rPr>
        <w:t>ssentially there is no minimum amount of solar that must be installed</w:t>
      </w:r>
      <w:r w:rsidR="002C4A39">
        <w:rPr>
          <w:lang w:bidi="fa-IR"/>
        </w:rPr>
        <w:t>:</w:t>
      </w:r>
      <w:r w:rsidR="00767FC0" w:rsidRPr="00BA4CCD">
        <w:rPr>
          <w:lang w:bidi="fa-IR"/>
        </w:rPr>
        <w:t xml:space="preserve"> the limiting factor is either av</w:t>
      </w:r>
      <w:r w:rsidR="00767FC0">
        <w:rPr>
          <w:lang w:bidi="fa-IR"/>
        </w:rPr>
        <w:t>a</w:t>
      </w:r>
      <w:r w:rsidR="00767FC0" w:rsidRPr="00BA4CCD">
        <w:rPr>
          <w:lang w:bidi="fa-IR"/>
        </w:rPr>
        <w:t xml:space="preserve">ilable roof space or square meters of </w:t>
      </w:r>
      <w:r w:rsidR="002C4A39">
        <w:rPr>
          <w:lang w:bidi="fa-IR"/>
        </w:rPr>
        <w:t>air-</w:t>
      </w:r>
      <w:r w:rsidR="00767FC0" w:rsidRPr="00BA4CCD">
        <w:rPr>
          <w:lang w:bidi="fa-IR"/>
        </w:rPr>
        <w:t>condition</w:t>
      </w:r>
      <w:r w:rsidR="002C4A39">
        <w:rPr>
          <w:lang w:bidi="fa-IR"/>
        </w:rPr>
        <w:t>ed</w:t>
      </w:r>
      <w:r w:rsidR="00767FC0" w:rsidRPr="00BA4CCD">
        <w:rPr>
          <w:lang w:bidi="fa-IR"/>
        </w:rPr>
        <w:t xml:space="preserve"> space</w:t>
      </w:r>
      <w:r w:rsidR="002C4A39">
        <w:rPr>
          <w:lang w:bidi="fa-IR"/>
        </w:rPr>
        <w:t xml:space="preserve"> (whichever is smaller)</w:t>
      </w:r>
      <w:r w:rsidR="00767FC0" w:rsidRPr="00BA4CCD">
        <w:rPr>
          <w:lang w:bidi="fa-IR"/>
        </w:rPr>
        <w:t>.</w:t>
      </w:r>
    </w:p>
    <w:p w14:paraId="48FEDF6F" w14:textId="6809C28E" w:rsidR="00507D55" w:rsidRDefault="00507D55" w:rsidP="00767FC0">
      <w:pPr>
        <w:pStyle w:val="ListBullet"/>
        <w:rPr>
          <w:lang w:bidi="fa-IR"/>
        </w:rPr>
      </w:pPr>
      <w:r>
        <w:rPr>
          <w:lang w:bidi="fa-IR"/>
        </w:rPr>
        <w:t>Structural requirements for provision of the reserved rooftop heating plant space were included in the CRIS</w:t>
      </w:r>
      <w:r w:rsidR="002C3806">
        <w:rPr>
          <w:lang w:bidi="fa-IR"/>
        </w:rPr>
        <w:t>.</w:t>
      </w:r>
    </w:p>
    <w:p w14:paraId="5AE472DD" w14:textId="36A8936D" w:rsidR="002C3806" w:rsidRDefault="002C3806" w:rsidP="00767FC0">
      <w:pPr>
        <w:pStyle w:val="ListBullet"/>
        <w:rPr>
          <w:lang w:bidi="fa-IR"/>
        </w:rPr>
      </w:pPr>
      <w:r>
        <w:rPr>
          <w:lang w:bidi="fa-IR"/>
        </w:rPr>
        <w:t xml:space="preserve">Concerns about thicker walls may reflect a misunderstanding </w:t>
      </w:r>
      <w:r w:rsidR="001B5C79">
        <w:rPr>
          <w:lang w:bidi="fa-IR"/>
        </w:rPr>
        <w:t>as in some cases insulation requirements will decrease (e.g. around core).</w:t>
      </w:r>
    </w:p>
    <w:p w14:paraId="251E395E" w14:textId="77777777" w:rsidR="00767FC0" w:rsidRDefault="00767FC0" w:rsidP="00767FC0">
      <w:pPr>
        <w:pStyle w:val="Heading3"/>
        <w:numPr>
          <w:ilvl w:val="0"/>
          <w:numId w:val="0"/>
        </w:numPr>
        <w:rPr>
          <w:rFonts w:eastAsia="SimSun"/>
          <w:lang w:bidi="fa-IR"/>
        </w:rPr>
      </w:pPr>
      <w:r>
        <w:rPr>
          <w:rFonts w:eastAsia="SimSun"/>
          <w:lang w:bidi="fa-IR"/>
        </w:rPr>
        <w:t>Building archetypes in energy modelling</w:t>
      </w:r>
    </w:p>
    <w:p w14:paraId="138B98DA" w14:textId="77777777" w:rsidR="00767FC0" w:rsidRDefault="00767FC0" w:rsidP="00767FC0">
      <w:pPr>
        <w:pStyle w:val="BodyText"/>
        <w:rPr>
          <w:rFonts w:eastAsia="SimSun"/>
          <w:lang w:bidi="fa-IR"/>
        </w:rPr>
      </w:pPr>
      <w:r>
        <w:rPr>
          <w:rFonts w:eastAsia="SimSun"/>
          <w:lang w:bidi="fa-IR"/>
        </w:rPr>
        <w:t>The three building archetypes with dual-fuel — hotels (C3HL), large office buildings (C5OL), and large hospital wards (C9A) — were identified by DeltaQ before commencing the energy modelling.</w:t>
      </w:r>
    </w:p>
    <w:p w14:paraId="6D73A488" w14:textId="77777777" w:rsidR="00767FC0" w:rsidRDefault="00767FC0" w:rsidP="00767FC0">
      <w:pPr>
        <w:pStyle w:val="BodyText"/>
        <w:rPr>
          <w:rFonts w:eastAsia="SimSun"/>
          <w:lang w:bidi="fa-IR"/>
        </w:rPr>
      </w:pPr>
      <w:r>
        <w:rPr>
          <w:rFonts w:eastAsia="SimSun"/>
          <w:lang w:bidi="fa-IR"/>
        </w:rPr>
        <w:t>A total of 10 building archetypes have been included in the energy modelling. For others that were not modelled, we apply the results of modelled archetypes according to their conditioned space. More specifically, we assume 15 per cent of floor areas in warehouses, laboratories and factories based on the commercial building baseline study.</w:t>
      </w:r>
      <w:r>
        <w:rPr>
          <w:rStyle w:val="FootnoteReference"/>
          <w:rFonts w:eastAsia="SimSun"/>
          <w:lang w:bidi="fa-IR"/>
        </w:rPr>
        <w:footnoteReference w:id="17"/>
      </w:r>
      <w:r>
        <w:rPr>
          <w:rFonts w:eastAsia="SimSun"/>
          <w:lang w:bidi="fa-IR"/>
        </w:rPr>
        <w:t xml:space="preserve"> Carparks are assumed to have no conditioned spaces and thus not affected by the proposed changes (except for the EV charging requirement which is dealt with separately).</w:t>
      </w:r>
    </w:p>
    <w:p w14:paraId="087BDE3C" w14:textId="731F474A" w:rsidR="00767FC0" w:rsidRPr="00E37E1D" w:rsidRDefault="00767FC0" w:rsidP="00767FC0">
      <w:pPr>
        <w:pStyle w:val="BodyText"/>
        <w:rPr>
          <w:rFonts w:eastAsia="SimSun"/>
          <w:lang w:bidi="fa-IR"/>
        </w:rPr>
      </w:pPr>
      <w:r>
        <w:rPr>
          <w:rFonts w:eastAsia="SimSun"/>
          <w:lang w:bidi="fa-IR"/>
        </w:rPr>
        <w:t xml:space="preserve">As mentioned earlier, </w:t>
      </w:r>
      <w:r w:rsidRPr="00844A6E">
        <w:rPr>
          <w:szCs w:val="22"/>
        </w:rPr>
        <w:t>common areas of Class 2 building have similar characteristics to other commercial building classifications, for example an entrance hall to the lobby area of a hotel, and gyms and swimming facilities</w:t>
      </w:r>
      <w:r>
        <w:rPr>
          <w:szCs w:val="22"/>
        </w:rPr>
        <w:t xml:space="preserve"> are similar</w:t>
      </w:r>
      <w:r w:rsidRPr="00844A6E">
        <w:rPr>
          <w:szCs w:val="22"/>
        </w:rPr>
        <w:t xml:space="preserve"> to those in Class</w:t>
      </w:r>
      <w:r>
        <w:rPr>
          <w:szCs w:val="22"/>
        </w:rPr>
        <w:t> </w:t>
      </w:r>
      <w:r w:rsidRPr="00844A6E">
        <w:rPr>
          <w:szCs w:val="22"/>
        </w:rPr>
        <w:t>9b</w:t>
      </w:r>
      <w:r>
        <w:rPr>
          <w:szCs w:val="22"/>
        </w:rPr>
        <w:t>.</w:t>
      </w:r>
      <w:r w:rsidRPr="00844A6E">
        <w:rPr>
          <w:szCs w:val="22"/>
        </w:rPr>
        <w:t xml:space="preserve"> </w:t>
      </w:r>
      <w:r>
        <w:rPr>
          <w:rFonts w:eastAsia="SimSun"/>
          <w:lang w:bidi="fa-IR"/>
        </w:rPr>
        <w:t xml:space="preserve">The baseline study did not separately identify Class 2 common areas because energy use was reported for whole apartment buildings and no floor area data is identified to estimate it confidently for common areas. Moreover, some proposed changes, for example PV requirements, </w:t>
      </w:r>
      <w:r w:rsidR="00E62922">
        <w:rPr>
          <w:rFonts w:eastAsia="SimSun"/>
          <w:lang w:bidi="fa-IR"/>
        </w:rPr>
        <w:t xml:space="preserve">are applicable to whole building, rather than </w:t>
      </w:r>
      <w:r>
        <w:rPr>
          <w:rFonts w:eastAsia="SimSun"/>
          <w:lang w:bidi="fa-IR"/>
        </w:rPr>
        <w:t xml:space="preserve">common areas </w:t>
      </w:r>
      <w:r w:rsidR="0067221D">
        <w:rPr>
          <w:rFonts w:eastAsia="SimSun"/>
          <w:lang w:bidi="fa-IR"/>
        </w:rPr>
        <w:t>alone</w:t>
      </w:r>
      <w:r>
        <w:rPr>
          <w:rFonts w:eastAsia="SimSun"/>
          <w:lang w:bidi="fa-IR"/>
        </w:rPr>
        <w:t>. As a result, Class 2 common areas are not separately reported in this report.</w:t>
      </w:r>
    </w:p>
    <w:p w14:paraId="13095BC5" w14:textId="77777777" w:rsidR="00767FC0" w:rsidRDefault="00767FC0" w:rsidP="00767FC0">
      <w:pPr>
        <w:pStyle w:val="Heading3"/>
        <w:numPr>
          <w:ilvl w:val="0"/>
          <w:numId w:val="0"/>
        </w:numPr>
        <w:rPr>
          <w:rFonts w:eastAsia="SimSun"/>
          <w:lang w:bidi="fa-IR"/>
        </w:rPr>
      </w:pPr>
      <w:r>
        <w:rPr>
          <w:rFonts w:eastAsia="SimSun"/>
          <w:lang w:bidi="fa-IR"/>
        </w:rPr>
        <w:t>Climate change file</w:t>
      </w:r>
    </w:p>
    <w:p w14:paraId="69126257" w14:textId="77777777" w:rsidR="00767FC0" w:rsidRDefault="00767FC0" w:rsidP="00767FC0">
      <w:pPr>
        <w:pStyle w:val="BodyText"/>
        <w:rPr>
          <w:rFonts w:eastAsia="SimSun"/>
          <w:lang w:bidi="fa-IR"/>
        </w:rPr>
      </w:pPr>
      <w:r>
        <w:rPr>
          <w:rFonts w:eastAsia="SimSun"/>
          <w:lang w:bidi="fa-IR"/>
        </w:rPr>
        <w:t>While countries like Australia have put enormous efforts to reduce greenhouse gas emissions, the emissions at the global level continue to increase.</w:t>
      </w:r>
      <w:r>
        <w:rPr>
          <w:rStyle w:val="FootnoteReference"/>
          <w:rFonts w:eastAsia="SimSun"/>
          <w:lang w:bidi="fa-IR"/>
        </w:rPr>
        <w:footnoteReference w:id="18"/>
      </w:r>
      <w:r>
        <w:rPr>
          <w:rFonts w:eastAsia="SimSun"/>
          <w:lang w:bidi="fa-IR"/>
        </w:rPr>
        <w:t xml:space="preserve"> As a result, the RCP 8.5 presents a plausible weather profile for energy modelling.</w:t>
      </w:r>
    </w:p>
    <w:p w14:paraId="01539247" w14:textId="60D3725D" w:rsidR="00767FC0" w:rsidRDefault="00767FC0" w:rsidP="00767FC0">
      <w:pPr>
        <w:pStyle w:val="BodyText"/>
        <w:rPr>
          <w:rFonts w:eastAsia="SimSun"/>
          <w:lang w:bidi="fa-IR"/>
        </w:rPr>
      </w:pPr>
      <w:r>
        <w:rPr>
          <w:rFonts w:eastAsia="SimSun"/>
          <w:lang w:bidi="fa-IR"/>
        </w:rPr>
        <w:t>Furthermore, t</w:t>
      </w:r>
      <w:r w:rsidRPr="00924CCF">
        <w:rPr>
          <w:rFonts w:eastAsia="SimSun"/>
          <w:lang w:bidi="fa-IR"/>
        </w:rPr>
        <w:t xml:space="preserve">he weather files </w:t>
      </w:r>
      <w:r>
        <w:rPr>
          <w:rFonts w:eastAsia="SimSun"/>
          <w:lang w:bidi="fa-IR"/>
        </w:rPr>
        <w:t xml:space="preserve">prepared by CSIRO </w:t>
      </w:r>
      <w:r w:rsidRPr="00924CCF">
        <w:rPr>
          <w:rFonts w:eastAsia="SimSun"/>
          <w:lang w:bidi="fa-IR"/>
        </w:rPr>
        <w:t>have</w:t>
      </w:r>
      <w:r>
        <w:rPr>
          <w:rFonts w:eastAsia="SimSun"/>
          <w:lang w:bidi="fa-IR"/>
        </w:rPr>
        <w:t xml:space="preserve"> since</w:t>
      </w:r>
      <w:r w:rsidRPr="00924CCF">
        <w:rPr>
          <w:rFonts w:eastAsia="SimSun"/>
          <w:lang w:bidi="fa-IR"/>
        </w:rPr>
        <w:t xml:space="preserve"> been aligned with the EnergyPlus standard (which has </w:t>
      </w:r>
      <w:r>
        <w:rPr>
          <w:rFonts w:eastAsia="SimSun"/>
          <w:lang w:bidi="fa-IR"/>
        </w:rPr>
        <w:t xml:space="preserve">a </w:t>
      </w:r>
      <w:r w:rsidRPr="00924CCF">
        <w:rPr>
          <w:rFonts w:eastAsia="SimSun"/>
          <w:lang w:bidi="fa-IR"/>
        </w:rPr>
        <w:t>different time convention to NatHERS), making the data more assessable and easier to interpret.</w:t>
      </w:r>
      <w:r w:rsidR="00F4303D">
        <w:rPr>
          <w:rFonts w:eastAsia="SimSun"/>
          <w:lang w:bidi="fa-IR"/>
        </w:rPr>
        <w:t xml:space="preserve"> There </w:t>
      </w:r>
      <w:r w:rsidR="00C746B5">
        <w:rPr>
          <w:rFonts w:eastAsia="SimSun"/>
          <w:lang w:bidi="fa-IR"/>
        </w:rPr>
        <w:t>was no material impact identified to this RIS.</w:t>
      </w:r>
    </w:p>
    <w:p w14:paraId="7E1F6C21" w14:textId="77777777" w:rsidR="00767FC0" w:rsidRDefault="00767FC0" w:rsidP="00767FC0">
      <w:pPr>
        <w:pStyle w:val="Heading3"/>
        <w:numPr>
          <w:ilvl w:val="0"/>
          <w:numId w:val="0"/>
        </w:numPr>
        <w:rPr>
          <w:rFonts w:eastAsia="SimSun"/>
          <w:lang w:bidi="fa-IR"/>
        </w:rPr>
      </w:pPr>
      <w:r>
        <w:rPr>
          <w:rFonts w:eastAsia="SimSun"/>
          <w:lang w:bidi="fa-IR"/>
        </w:rPr>
        <w:t>Performance gap</w:t>
      </w:r>
    </w:p>
    <w:p w14:paraId="168432FD" w14:textId="77777777" w:rsidR="00767FC0" w:rsidRDefault="00767FC0" w:rsidP="00767FC0">
      <w:pPr>
        <w:pStyle w:val="BodyText"/>
        <w:rPr>
          <w:lang w:bidi="fa-IR"/>
        </w:rPr>
      </w:pPr>
      <w:r>
        <w:rPr>
          <w:lang w:bidi="fa-IR"/>
        </w:rPr>
        <w:t>The performance gap has been considered in the sensitivity analysis. As it has shown, the conclusions about the proposed changes does not change with the inclusion of the performance gap in the CBA. Furthermore, there is no solid data about the magnitude of the performance gap. Therefore, the DRIS will follow the similar approach in dealing with this issue.</w:t>
      </w:r>
    </w:p>
    <w:p w14:paraId="68A4E2CF" w14:textId="77777777" w:rsidR="00767FC0" w:rsidRDefault="00767FC0" w:rsidP="00767FC0">
      <w:pPr>
        <w:pStyle w:val="Heading3"/>
        <w:numPr>
          <w:ilvl w:val="0"/>
          <w:numId w:val="0"/>
        </w:numPr>
        <w:rPr>
          <w:rFonts w:eastAsia="SimSun"/>
          <w:lang w:bidi="fa-IR"/>
        </w:rPr>
      </w:pPr>
      <w:r>
        <w:rPr>
          <w:rFonts w:eastAsia="SimSun"/>
          <w:lang w:bidi="fa-IR"/>
        </w:rPr>
        <w:t>Learning rate</w:t>
      </w:r>
    </w:p>
    <w:p w14:paraId="189E034E" w14:textId="04B4032D" w:rsidR="00767FC0" w:rsidRDefault="00767FC0" w:rsidP="00767FC0">
      <w:pPr>
        <w:pStyle w:val="BodyText"/>
        <w:rPr>
          <w:rFonts w:eastAsia="SimSun"/>
          <w:lang w:bidi="fa-IR"/>
        </w:rPr>
      </w:pPr>
      <w:r>
        <w:rPr>
          <w:rFonts w:eastAsia="SimSun"/>
          <w:lang w:bidi="fa-IR"/>
        </w:rPr>
        <w:t>Learning rates have been considered in the CRIS, and there have been no changes made to these assumptions in DRIS.</w:t>
      </w:r>
    </w:p>
    <w:p w14:paraId="5940FB93" w14:textId="1B545727" w:rsidR="008C22EE" w:rsidRPr="0057510C" w:rsidRDefault="008C22EE" w:rsidP="00767FC0">
      <w:pPr>
        <w:pStyle w:val="BodyText"/>
        <w:rPr>
          <w:rFonts w:eastAsia="SimSun"/>
          <w:lang w:bidi="fa-IR"/>
        </w:rPr>
      </w:pPr>
      <w:r>
        <w:rPr>
          <w:lang w:bidi="fa-IR"/>
        </w:rPr>
        <w:t xml:space="preserve">Learning rate for </w:t>
      </w:r>
      <w:r w:rsidRPr="002D4F1D">
        <w:rPr>
          <w:lang w:bidi="fa-IR"/>
        </w:rPr>
        <w:t xml:space="preserve">costing </w:t>
      </w:r>
      <w:r w:rsidR="00FB74D2">
        <w:rPr>
          <w:lang w:bidi="fa-IR"/>
        </w:rPr>
        <w:t xml:space="preserve">of </w:t>
      </w:r>
      <w:r w:rsidR="00FB74D2" w:rsidRPr="002D4F1D">
        <w:rPr>
          <w:lang w:bidi="fa-IR"/>
        </w:rPr>
        <w:t xml:space="preserve">rudimentary external shading options </w:t>
      </w:r>
      <w:r w:rsidR="00FB74D2">
        <w:rPr>
          <w:lang w:bidi="fa-IR"/>
        </w:rPr>
        <w:t xml:space="preserve">as suggested by </w:t>
      </w:r>
      <w:r w:rsidR="00FB74D2" w:rsidRPr="001E3C5C">
        <w:rPr>
          <w:lang w:bidi="fa-IR"/>
        </w:rPr>
        <w:t>Technoform ANZ</w:t>
      </w:r>
      <w:r w:rsidR="00E22C16">
        <w:rPr>
          <w:lang w:bidi="fa-IR"/>
        </w:rPr>
        <w:t xml:space="preserve"> is not considered because the shading option is considered as </w:t>
      </w:r>
      <w:r w:rsidR="00C960E0">
        <w:rPr>
          <w:lang w:bidi="fa-IR"/>
        </w:rPr>
        <w:t xml:space="preserve">an alternative option for the sensitivity analysis rather than </w:t>
      </w:r>
      <w:r w:rsidR="00190003">
        <w:rPr>
          <w:lang w:bidi="fa-IR"/>
        </w:rPr>
        <w:t>for the central case CBA.</w:t>
      </w:r>
    </w:p>
    <w:p w14:paraId="5E112F1F" w14:textId="3684A9CD" w:rsidR="00767FC0" w:rsidRPr="006C0D3F" w:rsidRDefault="00767FC0" w:rsidP="00767FC0">
      <w:pPr>
        <w:pStyle w:val="Heading1"/>
        <w:tabs>
          <w:tab w:val="num" w:pos="170"/>
        </w:tabs>
        <w:ind w:left="170" w:hanging="170"/>
      </w:pPr>
      <w:bookmarkStart w:id="445" w:name="_Toc177719452"/>
      <w:r>
        <w:tab/>
      </w:r>
      <w:bookmarkStart w:id="446" w:name="_Toc178292523"/>
      <w:r w:rsidRPr="006C0D3F">
        <w:t>Statement of the problem</w:t>
      </w:r>
      <w:bookmarkEnd w:id="445"/>
      <w:bookmarkEnd w:id="446"/>
    </w:p>
    <w:p w14:paraId="5449AA14" w14:textId="77777777" w:rsidR="00767FC0" w:rsidRPr="00844A6E" w:rsidRDefault="00767FC0" w:rsidP="00767FC0">
      <w:pPr>
        <w:pStyle w:val="BodyText"/>
        <w:rPr>
          <w:szCs w:val="22"/>
        </w:rPr>
      </w:pPr>
      <w:r w:rsidRPr="00844A6E">
        <w:rPr>
          <w:szCs w:val="22"/>
        </w:rPr>
        <w:t>A key element of a RIS is defining the problem that the Government is trying to address, including the nature and potential size of the problem.</w:t>
      </w:r>
    </w:p>
    <w:p w14:paraId="290E97BC" w14:textId="77777777" w:rsidR="00767FC0" w:rsidRDefault="00767FC0" w:rsidP="00767FC0">
      <w:pPr>
        <w:pStyle w:val="Heading2"/>
        <w:numPr>
          <w:ilvl w:val="0"/>
          <w:numId w:val="0"/>
        </w:numPr>
      </w:pPr>
      <w:bookmarkStart w:id="447" w:name="_Toc149060059"/>
      <w:bookmarkStart w:id="448" w:name="_Toc177719453"/>
      <w:bookmarkStart w:id="449" w:name="_Toc178292524"/>
      <w:r>
        <w:t>The rationale for regulation</w:t>
      </w:r>
      <w:bookmarkEnd w:id="447"/>
      <w:bookmarkEnd w:id="448"/>
      <w:bookmarkEnd w:id="449"/>
    </w:p>
    <w:p w14:paraId="2FDFD24D" w14:textId="77777777" w:rsidR="00767FC0" w:rsidRPr="00844A6E" w:rsidRDefault="00767FC0" w:rsidP="00767FC0">
      <w:pPr>
        <w:pStyle w:val="BodyText"/>
        <w:rPr>
          <w:szCs w:val="22"/>
        </w:rPr>
      </w:pPr>
      <w:r w:rsidRPr="00844A6E">
        <w:rPr>
          <w:szCs w:val="22"/>
        </w:rPr>
        <w:t>One way that government intervention in a market (including through regulation) can be</w:t>
      </w:r>
      <w:r>
        <w:t xml:space="preserve"> </w:t>
      </w:r>
      <w:r w:rsidRPr="00844A6E">
        <w:rPr>
          <w:szCs w:val="22"/>
        </w:rPr>
        <w:t>justified is through identifying market failures and other behavioural anomalies that lead to inefficient outcomes.</w:t>
      </w:r>
      <w:r w:rsidRPr="00844A6E">
        <w:rPr>
          <w:rStyle w:val="FootnoteReference"/>
          <w:sz w:val="22"/>
          <w:szCs w:val="22"/>
        </w:rPr>
        <w:footnoteReference w:id="19"/>
      </w:r>
      <w:r w:rsidRPr="00844A6E">
        <w:rPr>
          <w:szCs w:val="22"/>
        </w:rPr>
        <w:t xml:space="preserve"> Market failures and other behavioural anomalies in relation to the energy consumption associated with commercial buildings (including energy consumption associated with building operation and the transport emissions of building users) are discussed below.</w:t>
      </w:r>
    </w:p>
    <w:p w14:paraId="3893A6FE" w14:textId="4747ED5B" w:rsidR="00767FC0" w:rsidRPr="00844A6E" w:rsidRDefault="00767FC0" w:rsidP="00767FC0">
      <w:pPr>
        <w:pStyle w:val="BodyText"/>
        <w:spacing w:after="240"/>
        <w:rPr>
          <w:szCs w:val="22"/>
        </w:rPr>
      </w:pPr>
      <w:r w:rsidRPr="00844A6E">
        <w:rPr>
          <w:szCs w:val="22"/>
        </w:rPr>
        <w:t>A key market failure is that the full societal cost of consuming energy is currently not fully reflected in energy prices. In particular, the costs associated with GHG emissions that contribute to climate change are not directly reflected in energy prices. These costs are borne by the global community (see box</w:t>
      </w:r>
      <w:r>
        <w:rPr>
          <w:szCs w:val="22"/>
        </w:rPr>
        <w:t xml:space="preserve"> </w:t>
      </w:r>
      <w:r>
        <w:rPr>
          <w:szCs w:val="22"/>
        </w:rPr>
        <w:fldChar w:fldCharType="begin"/>
      </w:r>
      <w:r>
        <w:rPr>
          <w:szCs w:val="22"/>
        </w:rPr>
        <w:instrText xml:space="preserve"> REF _Caption5295 </w:instrText>
      </w:r>
      <w:r>
        <w:rPr>
          <w:szCs w:val="22"/>
        </w:rPr>
        <w:fldChar w:fldCharType="separate"/>
      </w:r>
      <w:r w:rsidR="006E00A7">
        <w:rPr>
          <w:noProof/>
        </w:rPr>
        <w:t>3</w:t>
      </w:r>
      <w:r w:rsidR="006E00A7" w:rsidRPr="00E05C8C">
        <w:rPr>
          <w:noProof/>
        </w:rPr>
        <w:t>.</w:t>
      </w:r>
      <w:r w:rsidR="006E00A7">
        <w:rPr>
          <w:noProof/>
        </w:rPr>
        <w:t>1</w:t>
      </w:r>
      <w:r>
        <w:rPr>
          <w:szCs w:val="22"/>
        </w:rPr>
        <w:fldChar w:fldCharType="end"/>
      </w:r>
      <w:r w:rsidRPr="00844A6E">
        <w:rPr>
          <w:szCs w:val="22"/>
        </w:rPr>
        <w:t> for a discussion on the global context).</w:t>
      </w:r>
    </w:p>
    <w:p w14:paraId="56DD2FE3" w14:textId="77777777" w:rsidR="00767FC0" w:rsidRDefault="00767FC0">
      <w:pPr>
        <w:pStyle w:val="Invisiblepara"/>
      </w:pPr>
    </w:p>
    <w:tbl>
      <w:tblPr>
        <w:tblW w:w="7938" w:type="dxa"/>
        <w:tblBorders>
          <w:top w:val="single" w:sz="2" w:space="0" w:color="auto"/>
          <w:left w:val="single" w:sz="2" w:space="0" w:color="auto"/>
          <w:bottom w:val="single" w:sz="2" w:space="0" w:color="auto"/>
          <w:right w:val="single" w:sz="2" w:space="0" w:color="auto"/>
        </w:tblBorders>
        <w:tblLayout w:type="fixed"/>
        <w:tblCellMar>
          <w:left w:w="142" w:type="dxa"/>
          <w:right w:w="142" w:type="dxa"/>
        </w:tblCellMar>
        <w:tblLook w:val="0000" w:firstRow="0" w:lastRow="0" w:firstColumn="0" w:lastColumn="0" w:noHBand="0" w:noVBand="0"/>
      </w:tblPr>
      <w:tblGrid>
        <w:gridCol w:w="7938"/>
      </w:tblGrid>
      <w:tr w:rsidR="00767FC0" w:rsidRPr="00E05C8C" w14:paraId="0255D928" w14:textId="77777777" w:rsidTr="003D5CF0">
        <w:trPr>
          <w:cantSplit/>
        </w:trPr>
        <w:tc>
          <w:tcPr>
            <w:tcW w:w="7938" w:type="dxa"/>
            <w:tcBorders>
              <w:top w:val="nil"/>
              <w:left w:val="nil"/>
              <w:bottom w:val="nil"/>
              <w:right w:val="nil"/>
            </w:tcBorders>
            <w:shd w:val="clear" w:color="auto" w:fill="C6BFAB" w:themeFill="accent3"/>
          </w:tcPr>
          <w:p w14:paraId="7E82FDF7" w14:textId="4E4CA493" w:rsidR="00767FC0" w:rsidRPr="00E05C8C" w:rsidRDefault="00767FC0">
            <w:pPr>
              <w:pStyle w:val="Caption"/>
              <w:numPr>
                <w:ilvl w:val="0"/>
                <w:numId w:val="19"/>
              </w:numPr>
              <w:spacing w:before="120" w:after="100"/>
            </w:pPr>
            <w:r w:rsidRPr="00E05C8C">
              <w:fldChar w:fldCharType="begin"/>
            </w:r>
            <w:r w:rsidRPr="00E05C8C">
              <w:instrText xml:space="preserve"> IF 1 = 1 "</w:instrText>
            </w:r>
            <w:r w:rsidRPr="00E05C8C">
              <w:fldChar w:fldCharType="begin"/>
            </w:r>
            <w:r w:rsidRPr="00E05C8C">
              <w:instrText xml:space="preserve"> IF </w:instrText>
            </w:r>
            <w:fldSimple w:instr=" STYLEREF &quot;Heading 6&quot; \l \n ">
              <w:r w:rsidR="00581346">
                <w:rPr>
                  <w:noProof/>
                </w:rPr>
                <w:instrText>0</w:instrText>
              </w:r>
            </w:fldSimple>
            <w:r w:rsidRPr="00E05C8C">
              <w:instrText xml:space="preserve"> = 0 "</w:instrText>
            </w:r>
            <w:r w:rsidRPr="00E05C8C">
              <w:fldChar w:fldCharType="begin"/>
            </w:r>
            <w:r w:rsidRPr="00E05C8C">
              <w:instrText xml:space="preserve"> IF </w:instrText>
            </w:r>
            <w:fldSimple w:instr=" STYLEREF &quot;Heading 1&quot; \l \n ">
              <w:r w:rsidR="00581346">
                <w:rPr>
                  <w:noProof/>
                </w:rPr>
                <w:instrText>3</w:instrText>
              </w:r>
            </w:fldSimple>
            <w:r w:rsidRPr="00E05C8C">
              <w:instrText xml:space="preserve"> = 0 "" "</w:instrText>
            </w:r>
            <w:fldSimple w:instr=" STYLEREF &quot;Heading 1&quot; \l \n ">
              <w:r w:rsidR="00581346">
                <w:rPr>
                  <w:noProof/>
                </w:rPr>
                <w:instrText>3</w:instrText>
              </w:r>
            </w:fldSimple>
            <w:r w:rsidRPr="00E05C8C">
              <w:instrText xml:space="preserve">." </w:instrText>
            </w:r>
            <w:r w:rsidRPr="00E05C8C">
              <w:fldChar w:fldCharType="separate"/>
            </w:r>
            <w:r w:rsidR="00581346">
              <w:rPr>
                <w:noProof/>
              </w:rPr>
              <w:instrText>3</w:instrText>
            </w:r>
            <w:r w:rsidR="00581346" w:rsidRPr="00E05C8C">
              <w:rPr>
                <w:noProof/>
              </w:rPr>
              <w:instrText>.</w:instrText>
            </w:r>
            <w:r w:rsidRPr="00E05C8C">
              <w:fldChar w:fldCharType="end"/>
            </w:r>
            <w:r w:rsidRPr="00E05C8C">
              <w:instrText>" "</w:instrText>
            </w:r>
            <w:fldSimple w:instr=" STYLEREF &quot;Heading 6&quot; \l \n ">
              <w:r w:rsidRPr="00E05C8C">
                <w:instrText>B</w:instrText>
              </w:r>
            </w:fldSimple>
            <w:r w:rsidRPr="00E05C8C">
              <w:instrText xml:space="preserve">." </w:instrText>
            </w:r>
            <w:r w:rsidRPr="00E05C8C">
              <w:fldChar w:fldCharType="separate"/>
            </w:r>
            <w:r w:rsidR="008C60A3">
              <w:rPr>
                <w:noProof/>
              </w:rPr>
              <w:instrText>3</w:instrText>
            </w:r>
            <w:r w:rsidR="008C60A3" w:rsidRPr="00E05C8C">
              <w:rPr>
                <w:noProof/>
              </w:rPr>
              <w:instrText>.</w:instrText>
            </w:r>
            <w:r w:rsidRPr="00E05C8C">
              <w:fldChar w:fldCharType="end"/>
            </w:r>
            <w:r w:rsidRPr="00E05C8C">
              <w:fldChar w:fldCharType="begin"/>
            </w:r>
            <w:r w:rsidRPr="00E05C8C">
              <w:instrText xml:space="preserve"> SEQ Item \* ARABIC \s </w:instrText>
            </w:r>
            <w:r w:rsidRPr="00E05C8C">
              <w:fldChar w:fldCharType="begin"/>
            </w:r>
            <w:r w:rsidRPr="00E05C8C">
              <w:instrText xml:space="preserve"> IF </w:instrText>
            </w:r>
            <w:fldSimple w:instr=" STYLEREF &quot;Heading 6&quot; \l \n ">
              <w:r w:rsidR="00581346">
                <w:rPr>
                  <w:noProof/>
                </w:rPr>
                <w:instrText>0</w:instrText>
              </w:r>
            </w:fldSimple>
            <w:r w:rsidRPr="00E05C8C">
              <w:instrText xml:space="preserve"> = 0 "</w:instrText>
            </w:r>
            <w:r w:rsidRPr="00E05C8C">
              <w:fldChar w:fldCharType="begin"/>
            </w:r>
            <w:r w:rsidRPr="00E05C8C">
              <w:instrText xml:space="preserve"> IF </w:instrText>
            </w:r>
            <w:fldSimple w:instr=" STYLEREF &quot;Heading 1&quot; \l \n ">
              <w:r w:rsidR="00581346">
                <w:rPr>
                  <w:noProof/>
                </w:rPr>
                <w:instrText>3</w:instrText>
              </w:r>
            </w:fldSimple>
            <w:r w:rsidRPr="00E05C8C">
              <w:instrText xml:space="preserve"> = 0 "" "1" </w:instrText>
            </w:r>
            <w:r w:rsidRPr="00E05C8C">
              <w:fldChar w:fldCharType="separate"/>
            </w:r>
            <w:r w:rsidR="008C60A3" w:rsidRPr="00E05C8C">
              <w:rPr>
                <w:noProof/>
              </w:rPr>
              <w:instrText>1</w:instrText>
            </w:r>
            <w:r w:rsidRPr="00E05C8C">
              <w:fldChar w:fldCharType="end"/>
            </w:r>
            <w:r w:rsidRPr="00E05C8C">
              <w:instrText xml:space="preserve">" "6" </w:instrText>
            </w:r>
            <w:r w:rsidRPr="00E05C8C">
              <w:fldChar w:fldCharType="separate"/>
            </w:r>
            <w:r w:rsidR="008C60A3" w:rsidRPr="00E05C8C">
              <w:rPr>
                <w:noProof/>
              </w:rPr>
              <w:instrText>1</w:instrText>
            </w:r>
            <w:r w:rsidRPr="00E05C8C">
              <w:fldChar w:fldCharType="end"/>
            </w:r>
            <w:r w:rsidRPr="00E05C8C">
              <w:instrText xml:space="preserve"> </w:instrText>
            </w:r>
            <w:r w:rsidRPr="00E05C8C">
              <w:fldChar w:fldCharType="separate"/>
            </w:r>
            <w:r w:rsidR="00581346">
              <w:rPr>
                <w:noProof/>
              </w:rPr>
              <w:instrText>1</w:instrText>
            </w:r>
            <w:r w:rsidRPr="00E05C8C">
              <w:fldChar w:fldCharType="end"/>
            </w:r>
            <w:r w:rsidRPr="00E05C8C">
              <w:instrText xml:space="preserve">" "" </w:instrText>
            </w:r>
            <w:r w:rsidRPr="00E05C8C">
              <w:fldChar w:fldCharType="separate"/>
            </w:r>
            <w:bookmarkStart w:id="450" w:name="_Caption1488"/>
            <w:bookmarkStart w:id="451" w:name="_Caption6645"/>
            <w:bookmarkStart w:id="452" w:name="_Caption9296"/>
            <w:bookmarkStart w:id="453" w:name="_Caption6469"/>
            <w:bookmarkStart w:id="454" w:name="_Caption2156"/>
            <w:bookmarkStart w:id="455" w:name="_Caption5717"/>
            <w:bookmarkStart w:id="456" w:name="_Caption4874"/>
            <w:bookmarkStart w:id="457" w:name="_Caption3353"/>
            <w:bookmarkStart w:id="458" w:name="_Caption6849"/>
            <w:bookmarkStart w:id="459" w:name="_Caption5096"/>
            <w:bookmarkStart w:id="460" w:name="_Caption0826"/>
            <w:bookmarkStart w:id="461" w:name="_Caption6936"/>
            <w:bookmarkStart w:id="462" w:name="_Caption3350"/>
            <w:bookmarkStart w:id="463" w:name="_Caption0702"/>
            <w:bookmarkStart w:id="464" w:name="_Caption0682"/>
            <w:bookmarkStart w:id="465" w:name="_Caption3864"/>
            <w:bookmarkStart w:id="466" w:name="_Caption9401"/>
            <w:bookmarkStart w:id="467" w:name="_Caption6650"/>
            <w:bookmarkStart w:id="468" w:name="_Caption6136"/>
            <w:bookmarkStart w:id="469" w:name="_Caption0358"/>
            <w:bookmarkStart w:id="470" w:name="_Caption1705"/>
            <w:bookmarkStart w:id="471" w:name="_Caption0473"/>
            <w:bookmarkStart w:id="472" w:name="_Caption1006"/>
            <w:bookmarkStart w:id="473" w:name="_Caption3512"/>
            <w:bookmarkStart w:id="474" w:name="_Caption8351"/>
            <w:bookmarkStart w:id="475" w:name="_Caption8548"/>
            <w:bookmarkStart w:id="476" w:name="_Caption9876"/>
            <w:bookmarkStart w:id="477" w:name="_Caption9740"/>
            <w:bookmarkStart w:id="478" w:name="_Caption6040"/>
            <w:bookmarkStart w:id="479" w:name="_Caption2243"/>
            <w:bookmarkStart w:id="480" w:name="_Caption5279"/>
            <w:bookmarkStart w:id="481" w:name="_Caption6164"/>
            <w:bookmarkStart w:id="482" w:name="_Caption6651"/>
            <w:bookmarkStart w:id="483" w:name="_Caption8711"/>
            <w:bookmarkStart w:id="484" w:name="_Caption2910"/>
            <w:bookmarkStart w:id="485" w:name="_Caption5814"/>
            <w:bookmarkStart w:id="486" w:name="_Caption8839"/>
            <w:bookmarkStart w:id="487" w:name="_Caption1316"/>
            <w:bookmarkStart w:id="488" w:name="_Caption2875"/>
            <w:bookmarkStart w:id="489" w:name="_Caption1380"/>
            <w:bookmarkStart w:id="490" w:name="_Caption5291"/>
            <w:bookmarkStart w:id="491" w:name="_Caption2855"/>
            <w:bookmarkStart w:id="492" w:name="_Caption9404"/>
            <w:bookmarkStart w:id="493" w:name="_Caption4997"/>
            <w:bookmarkStart w:id="494" w:name="_Caption4055"/>
            <w:bookmarkStart w:id="495" w:name="_Caption0260"/>
            <w:bookmarkStart w:id="496" w:name="_Caption9430"/>
            <w:bookmarkStart w:id="497" w:name="_Caption4595"/>
            <w:bookmarkStart w:id="498" w:name="_Caption2209"/>
            <w:bookmarkStart w:id="499" w:name="_Caption8735"/>
            <w:bookmarkStart w:id="500" w:name="_Caption2903"/>
            <w:bookmarkStart w:id="501" w:name="_Caption5295"/>
            <w:bookmarkStart w:id="502" w:name="_Caption1030"/>
            <w:bookmarkStart w:id="503" w:name="_Caption7855"/>
            <w:bookmarkStart w:id="504" w:name="_Caption5390"/>
            <w:bookmarkStart w:id="505" w:name="_Caption2747"/>
            <w:bookmarkStart w:id="506" w:name="_Caption5887"/>
            <w:bookmarkStart w:id="507" w:name="_Caption7168"/>
            <w:bookmarkStart w:id="508" w:name="_Caption1526"/>
            <w:bookmarkStart w:id="509" w:name="_Caption9554"/>
            <w:bookmarkStart w:id="510" w:name="_Caption0284"/>
            <w:bookmarkStart w:id="511" w:name="_Caption3006"/>
            <w:bookmarkStart w:id="512" w:name="_Caption6749"/>
            <w:bookmarkStart w:id="513" w:name="_Caption0122"/>
            <w:bookmarkStart w:id="514" w:name="_Caption5976"/>
            <w:bookmarkStart w:id="515" w:name="_Caption8620"/>
            <w:bookmarkStart w:id="516" w:name="_Caption4744"/>
            <w:bookmarkStart w:id="517" w:name="_Caption1496"/>
            <w:bookmarkStart w:id="518" w:name="_Caption4805"/>
            <w:bookmarkStart w:id="519" w:name="_Caption0919"/>
            <w:bookmarkStart w:id="520" w:name="_Caption6920"/>
            <w:bookmarkStart w:id="521" w:name="_Caption8886"/>
            <w:bookmarkStart w:id="522" w:name="_Caption9487"/>
            <w:bookmarkStart w:id="523" w:name="_Caption9936"/>
            <w:bookmarkStart w:id="524" w:name="_Caption5951"/>
            <w:bookmarkStart w:id="525" w:name="_Caption3083"/>
            <w:bookmarkStart w:id="526" w:name="_Caption0467"/>
            <w:bookmarkStart w:id="527" w:name="_Caption4307"/>
            <w:bookmarkStart w:id="528" w:name="_Toc178292571"/>
            <w:r w:rsidR="008C60A3">
              <w:rPr>
                <w:noProof/>
              </w:rPr>
              <w:t>3</w:t>
            </w:r>
            <w:r w:rsidR="008C60A3" w:rsidRPr="00E05C8C">
              <w:rPr>
                <w:noProof/>
              </w:rPr>
              <w:t>.</w:t>
            </w:r>
            <w:r w:rsidR="008C60A3">
              <w:rPr>
                <w:noProof/>
              </w:rPr>
              <w:t>1</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r w:rsidRPr="00E05C8C">
              <w:fldChar w:fldCharType="end"/>
            </w:r>
            <w:r w:rsidRPr="00E05C8C">
              <w:tab/>
            </w:r>
            <w:r>
              <w:t>Global context</w:t>
            </w:r>
            <w:bookmarkEnd w:id="528"/>
          </w:p>
        </w:tc>
      </w:tr>
      <w:tr w:rsidR="00767FC0" w14:paraId="53EEB443" w14:textId="77777777" w:rsidTr="00767FC0">
        <w:tblPrEx>
          <w:tblBorders>
            <w:top w:val="none" w:sz="0" w:space="0" w:color="auto"/>
            <w:left w:val="none" w:sz="0" w:space="0" w:color="auto"/>
            <w:bottom w:val="none" w:sz="0" w:space="0" w:color="auto"/>
            <w:right w:val="none" w:sz="0" w:space="0" w:color="auto"/>
          </w:tblBorders>
          <w:shd w:val="clear" w:color="6F6652" w:fill="F1EFEA"/>
        </w:tblPrEx>
        <w:tc>
          <w:tcPr>
            <w:tcW w:w="7938" w:type="dxa"/>
            <w:shd w:val="clear" w:color="auto" w:fill="E9E8E5" w:themeFill="background2"/>
          </w:tcPr>
          <w:p w14:paraId="06740AC1" w14:textId="77777777" w:rsidR="00767FC0" w:rsidRPr="00844A6E" w:rsidRDefault="00767FC0" w:rsidP="00767FC0">
            <w:pPr>
              <w:pStyle w:val="BodyText"/>
              <w:rPr>
                <w:szCs w:val="22"/>
              </w:rPr>
            </w:pPr>
            <w:r w:rsidRPr="00844A6E">
              <w:rPr>
                <w:szCs w:val="22"/>
              </w:rPr>
              <w:t>Climate change caused by human activity is a global problem, requiring a global solution. GHGs in the atmosphere contribute to warming across the globe, regardless of where the emissions occur. In that sense, GHG abatement has the characteristics of a global public good. Specifically, GHG abatement is:</w:t>
            </w:r>
          </w:p>
          <w:p w14:paraId="2CCD524D" w14:textId="77777777" w:rsidR="00767FC0" w:rsidRPr="00844A6E" w:rsidRDefault="00767FC0" w:rsidP="00767FC0">
            <w:pPr>
              <w:pStyle w:val="ListBullet"/>
              <w:tabs>
                <w:tab w:val="num" w:pos="849"/>
              </w:tabs>
              <w:ind w:left="282" w:hanging="282"/>
              <w:rPr>
                <w:szCs w:val="22"/>
              </w:rPr>
            </w:pPr>
            <w:r w:rsidRPr="00844A6E">
              <w:rPr>
                <w:szCs w:val="22"/>
              </w:rPr>
              <w:t>non</w:t>
            </w:r>
            <w:r w:rsidRPr="00844A6E">
              <w:rPr>
                <w:szCs w:val="22"/>
              </w:rPr>
              <w:noBreakHyphen/>
              <w:t>excludable — individual countries cannot be excluded from receiving the benefits of limiting climate change; and</w:t>
            </w:r>
          </w:p>
          <w:p w14:paraId="5BDB1E2F" w14:textId="77777777" w:rsidR="00767FC0" w:rsidRPr="00844A6E" w:rsidRDefault="00767FC0" w:rsidP="00767FC0">
            <w:pPr>
              <w:pStyle w:val="ListBullet"/>
              <w:tabs>
                <w:tab w:val="num" w:pos="849"/>
              </w:tabs>
              <w:ind w:left="282" w:hanging="282"/>
              <w:rPr>
                <w:szCs w:val="22"/>
              </w:rPr>
            </w:pPr>
            <w:r w:rsidRPr="00844A6E">
              <w:rPr>
                <w:szCs w:val="22"/>
              </w:rPr>
              <w:t>non</w:t>
            </w:r>
            <w:r w:rsidRPr="00844A6E">
              <w:rPr>
                <w:szCs w:val="22"/>
              </w:rPr>
              <w:noBreakHyphen/>
              <w:t>rival — one country receiving benefits from limiting climate change does not prevent other countries from receiving the same benefits.</w:t>
            </w:r>
          </w:p>
          <w:p w14:paraId="0021D332" w14:textId="77777777" w:rsidR="00767FC0" w:rsidRPr="00844A6E" w:rsidRDefault="00767FC0" w:rsidP="00767FC0">
            <w:pPr>
              <w:pStyle w:val="BodyText"/>
              <w:rPr>
                <w:szCs w:val="22"/>
              </w:rPr>
            </w:pPr>
            <w:r w:rsidRPr="00844A6E">
              <w:rPr>
                <w:szCs w:val="22"/>
              </w:rPr>
              <w:t>These characteristics mean that there is little incentive for each country individually to reduce GHG emissions to a level that will limit climate change. The costs associated with reducing GHG emissions are incurred domestically, while the benefits are spread across the globe. Each country therefore has an incentive to free</w:t>
            </w:r>
            <w:r w:rsidRPr="00844A6E">
              <w:rPr>
                <w:szCs w:val="22"/>
              </w:rPr>
              <w:noBreakHyphen/>
              <w:t>ride off the efforts of others.</w:t>
            </w:r>
          </w:p>
          <w:p w14:paraId="327880B7" w14:textId="2CAFE65A" w:rsidR="00767FC0" w:rsidRPr="00BF2F67" w:rsidRDefault="00767FC0" w:rsidP="00767FC0">
            <w:pPr>
              <w:pStyle w:val="BodyText"/>
            </w:pPr>
            <w:r w:rsidRPr="00844A6E">
              <w:rPr>
                <w:szCs w:val="22"/>
              </w:rPr>
              <w:t xml:space="preserve">Therefore, international </w:t>
            </w:r>
            <w:r>
              <w:rPr>
                <w:szCs w:val="22"/>
              </w:rPr>
              <w:t>a</w:t>
            </w:r>
            <w:r w:rsidRPr="00844A6E">
              <w:rPr>
                <w:szCs w:val="22"/>
              </w:rPr>
              <w:t>greements are a crucial mechanism for achieving global action. The Paris Climate Agreement has been ratified by 195 of 198 Parties to the United Nations Framework Convention on Climate Change (UNFCCC).</w:t>
            </w:r>
            <w:r w:rsidRPr="000C73E1">
              <w:rPr>
                <w:rStyle w:val="FootnoteReference"/>
              </w:rPr>
              <w:footnoteReference w:id="20"/>
            </w:r>
            <w:r w:rsidRPr="00844A6E">
              <w:rPr>
                <w:szCs w:val="22"/>
              </w:rPr>
              <w:t xml:space="preserve"> It aims to limit the increase of global average temperature to less than 2 degrees Celsius above pre-industrial levels and pursue efforts to limit the rise to 1.5 degrees Celsius. In recent years, the need for limiting global warming to 1.5 degrees Celsius by the end of the century has been emphasised. To this end, GHG emissions must peak before 2025 at the latest and decline 43 per cent by 2030.</w:t>
            </w:r>
            <w:r w:rsidRPr="000C73E1">
              <w:rPr>
                <w:rStyle w:val="FootnoteReference"/>
              </w:rPr>
              <w:footnoteReference w:id="21"/>
            </w:r>
          </w:p>
        </w:tc>
      </w:tr>
      <w:tr w:rsidR="00767FC0" w14:paraId="490F95E7" w14:textId="77777777" w:rsidTr="003D5CF0">
        <w:tblPrEx>
          <w:tblBorders>
            <w:top w:val="none" w:sz="0" w:space="0" w:color="auto"/>
            <w:left w:val="none" w:sz="0" w:space="0" w:color="auto"/>
            <w:bottom w:val="none" w:sz="0" w:space="0" w:color="auto"/>
            <w:right w:val="none" w:sz="0" w:space="0" w:color="auto"/>
          </w:tblBorders>
          <w:shd w:val="clear" w:color="6F6652" w:fill="F1EFEA"/>
        </w:tblPrEx>
        <w:trPr>
          <w:cantSplit/>
          <w:trHeight w:hRule="exact" w:val="142"/>
        </w:trPr>
        <w:tc>
          <w:tcPr>
            <w:tcW w:w="7938" w:type="dxa"/>
            <w:tcBorders>
              <w:bottom w:val="single" w:sz="6" w:space="0" w:color="9B917E" w:themeColor="accent4"/>
            </w:tcBorders>
            <w:shd w:val="clear" w:color="auto" w:fill="E9E8E5" w:themeFill="background2"/>
          </w:tcPr>
          <w:p w14:paraId="07865FA3" w14:textId="77777777" w:rsidR="00767FC0" w:rsidRDefault="00767FC0" w:rsidP="00767FC0"/>
        </w:tc>
      </w:tr>
    </w:tbl>
    <w:p w14:paraId="374C427C" w14:textId="77777777" w:rsidR="00767FC0" w:rsidRDefault="00767FC0" w:rsidP="00767FC0">
      <w:pPr>
        <w:pStyle w:val="Heading3"/>
        <w:numPr>
          <w:ilvl w:val="0"/>
          <w:numId w:val="0"/>
        </w:numPr>
      </w:pPr>
      <w:r>
        <w:t>Minimum energy efficiency standards for commercial buildings</w:t>
      </w:r>
    </w:p>
    <w:p w14:paraId="039F71E2" w14:textId="77777777" w:rsidR="00767FC0" w:rsidRPr="00844A6E" w:rsidRDefault="00767FC0" w:rsidP="00767FC0">
      <w:pPr>
        <w:pStyle w:val="BodyText"/>
        <w:rPr>
          <w:szCs w:val="22"/>
        </w:rPr>
      </w:pPr>
      <w:r w:rsidRPr="00844A6E">
        <w:rPr>
          <w:szCs w:val="22"/>
        </w:rPr>
        <w:t>The rationale for minimum energy efficiency standards is based on the proposition that industry would not make socially optimal energy efficiency decisions in commercial buildings without government intervention. That is, there are energy efficiency opportunities where the benefits to the community (including public benefits) outweigh the associated costs that would not be taken up in the absence of regulation. This is often referred to as the ‘energy efficiency gap’.</w:t>
      </w:r>
      <w:r w:rsidRPr="000C73E1">
        <w:rPr>
          <w:rStyle w:val="FootnoteReference"/>
        </w:rPr>
        <w:footnoteReference w:id="22"/>
      </w:r>
    </w:p>
    <w:p w14:paraId="16E08E9F" w14:textId="77777777" w:rsidR="00767FC0" w:rsidRPr="003015C9" w:rsidRDefault="00767FC0" w:rsidP="00767FC0">
      <w:pPr>
        <w:pStyle w:val="Heading4"/>
        <w:numPr>
          <w:ilvl w:val="0"/>
          <w:numId w:val="0"/>
        </w:numPr>
      </w:pPr>
      <w:r>
        <w:t>Market failures and behavioural anomalies relating to energy efficiency</w:t>
      </w:r>
    </w:p>
    <w:p w14:paraId="3FCC20FC" w14:textId="77777777" w:rsidR="00767FC0" w:rsidRPr="00844A6E" w:rsidRDefault="00767FC0" w:rsidP="00767FC0">
      <w:pPr>
        <w:pStyle w:val="BodyText"/>
        <w:rPr>
          <w:szCs w:val="22"/>
        </w:rPr>
      </w:pPr>
      <w:r w:rsidRPr="00844A6E">
        <w:rPr>
          <w:szCs w:val="22"/>
        </w:rPr>
        <w:t>Market failures and behavioural anomalies that could contribute to the energy efficiency gap include the following.</w:t>
      </w:r>
    </w:p>
    <w:p w14:paraId="151A385E" w14:textId="77777777" w:rsidR="00767FC0" w:rsidRPr="004D30EE" w:rsidRDefault="00767FC0" w:rsidP="00767FC0">
      <w:pPr>
        <w:pStyle w:val="ListBullet"/>
        <w:tabs>
          <w:tab w:val="num" w:pos="709"/>
        </w:tabs>
        <w:rPr>
          <w:lang w:bidi="fa-IR"/>
        </w:rPr>
      </w:pPr>
      <w:r w:rsidRPr="004D30EE">
        <w:rPr>
          <w:lang w:bidi="fa-IR"/>
        </w:rPr>
        <w:t>Negative externalities associated with energy consumption — unpriced negative externalities associated with energy consumption would normally mean that energy users do not take these costs into account in their decisions on whether to invest in energy efficiency. This creates an incentive for the commercial building industry to under</w:t>
      </w:r>
      <w:r w:rsidRPr="004D30EE">
        <w:rPr>
          <w:lang w:bidi="fa-IR"/>
        </w:rPr>
        <w:noBreakHyphen/>
        <w:t>invest in energy efficiency in the absence of government intervention. Minimum energy efficiency standards can therefore encourage more socially efficient energy efficiency decisions. Unpriced negative externalities that have been identified in the literature include:</w:t>
      </w:r>
    </w:p>
    <w:p w14:paraId="29F1394E" w14:textId="77777777" w:rsidR="00767FC0" w:rsidRPr="00844A6E" w:rsidRDefault="00767FC0" w:rsidP="00767FC0">
      <w:pPr>
        <w:pStyle w:val="ListBullet"/>
        <w:numPr>
          <w:ilvl w:val="1"/>
          <w:numId w:val="34"/>
        </w:numPr>
        <w:rPr>
          <w:szCs w:val="22"/>
        </w:rPr>
      </w:pPr>
      <w:r w:rsidRPr="00844A6E">
        <w:rPr>
          <w:szCs w:val="22"/>
        </w:rPr>
        <w:t>GHG emissions — see discussion above.</w:t>
      </w:r>
    </w:p>
    <w:p w14:paraId="26301FEF" w14:textId="77777777" w:rsidR="00767FC0" w:rsidRPr="00844A6E" w:rsidRDefault="00767FC0" w:rsidP="00767FC0">
      <w:pPr>
        <w:pStyle w:val="ListBullet"/>
        <w:numPr>
          <w:ilvl w:val="1"/>
          <w:numId w:val="34"/>
        </w:numPr>
        <w:rPr>
          <w:szCs w:val="22"/>
        </w:rPr>
      </w:pPr>
      <w:r w:rsidRPr="00844A6E">
        <w:rPr>
          <w:szCs w:val="22"/>
        </w:rPr>
        <w:t>Peak demand —various studies have also suggested that costs associated with peak demand are not fully reflected in electricity prices.</w:t>
      </w:r>
      <w:r w:rsidRPr="00F40C36">
        <w:rPr>
          <w:rStyle w:val="FootnoteReference"/>
        </w:rPr>
        <w:footnoteReference w:id="23"/>
      </w:r>
      <w:r w:rsidRPr="00F40C36">
        <w:rPr>
          <w:rStyle w:val="FootnoteReference"/>
        </w:rPr>
        <w:t xml:space="preserve"> </w:t>
      </w:r>
      <w:r w:rsidRPr="00844A6E">
        <w:rPr>
          <w:szCs w:val="22"/>
        </w:rPr>
        <w:t>Network capacity and</w:t>
      </w:r>
      <w:r>
        <w:t xml:space="preserve"> </w:t>
      </w:r>
      <w:r w:rsidRPr="00844A6E">
        <w:rPr>
          <w:szCs w:val="22"/>
        </w:rPr>
        <w:t>therefore infrastructure costs are driven by peak demand. Where the costs associated with peak demand are not reflected in electricity price, this would limit the incentive to invest in energy efficiency technologies that would reduce peak demand.</w:t>
      </w:r>
    </w:p>
    <w:p w14:paraId="1F45C8F3" w14:textId="77777777" w:rsidR="00767FC0" w:rsidRPr="000C73E1" w:rsidRDefault="00767FC0" w:rsidP="00767FC0">
      <w:pPr>
        <w:pStyle w:val="ListBullet"/>
        <w:rPr>
          <w:lang w:bidi="fa-IR"/>
        </w:rPr>
      </w:pPr>
      <w:r w:rsidRPr="000C73E1">
        <w:rPr>
          <w:lang w:bidi="fa-IR"/>
        </w:rPr>
        <w:t>Other market failures and behavioural anomalies — notwithstanding the market failures associated with energy pricing, it is often argued that policy measures to improve energy efficiency can deliver net private benefits through bill savings that outweigh the associated capital costs in addition to a reduction in GHG emissions (sometimes referred to as a ‘win</w:t>
      </w:r>
      <w:r w:rsidRPr="000C73E1">
        <w:rPr>
          <w:lang w:bidi="fa-IR"/>
        </w:rPr>
        <w:noBreakHyphen/>
        <w:t>win’ outcome).</w:t>
      </w:r>
      <w:r w:rsidRPr="00F40C36">
        <w:rPr>
          <w:rStyle w:val="FootnoteReference"/>
          <w:lang w:bidi="fa-IR"/>
        </w:rPr>
        <w:footnoteReference w:id="24"/>
      </w:r>
      <w:r w:rsidRPr="00F40C36">
        <w:rPr>
          <w:rStyle w:val="FootnoteReference"/>
          <w:lang w:bidi="fa-IR"/>
        </w:rPr>
        <w:t xml:space="preserve"> </w:t>
      </w:r>
      <w:r w:rsidRPr="000C73E1">
        <w:rPr>
          <w:lang w:bidi="fa-IR"/>
        </w:rPr>
        <w:t>This implies there are energy efficiency opportunities that are privately cost effective that industry nevertheless fails to adopt. This is often referred as the ‘energy efficiency paradox’.</w:t>
      </w:r>
      <w:r w:rsidRPr="00F40C36">
        <w:rPr>
          <w:rStyle w:val="FootnoteReference"/>
          <w:lang w:bidi="fa-IR"/>
        </w:rPr>
        <w:footnoteReference w:id="25"/>
      </w:r>
      <w:r w:rsidRPr="00F40C36">
        <w:rPr>
          <w:rStyle w:val="FootnoteReference"/>
          <w:lang w:bidi="fa-IR"/>
        </w:rPr>
        <w:t xml:space="preserve"> </w:t>
      </w:r>
      <w:r w:rsidRPr="000C73E1">
        <w:rPr>
          <w:lang w:bidi="fa-IR"/>
        </w:rPr>
        <w:t>Frequently cited market and behavioural failures that contribute to the energy efficiency paradox in relation to commercial buildings, include the following:</w:t>
      </w:r>
    </w:p>
    <w:p w14:paraId="533AE3CC" w14:textId="77777777" w:rsidR="00767FC0" w:rsidRPr="00844A6E" w:rsidRDefault="00767FC0" w:rsidP="00767FC0">
      <w:pPr>
        <w:pStyle w:val="ListBullet"/>
        <w:numPr>
          <w:ilvl w:val="1"/>
          <w:numId w:val="34"/>
        </w:numPr>
        <w:rPr>
          <w:szCs w:val="22"/>
        </w:rPr>
      </w:pPr>
      <w:r w:rsidRPr="00844A6E">
        <w:rPr>
          <w:szCs w:val="22"/>
        </w:rPr>
        <w:t>information failures (where the party making energy efficiency decisions does not have sufficient information to make rational decisions);</w:t>
      </w:r>
    </w:p>
    <w:p w14:paraId="1541FAEE" w14:textId="77777777" w:rsidR="00767FC0" w:rsidRPr="00844A6E" w:rsidRDefault="00767FC0" w:rsidP="00767FC0">
      <w:pPr>
        <w:pStyle w:val="ListBullet"/>
        <w:numPr>
          <w:ilvl w:val="1"/>
          <w:numId w:val="34"/>
        </w:numPr>
        <w:rPr>
          <w:szCs w:val="22"/>
        </w:rPr>
      </w:pPr>
      <w:r w:rsidRPr="00844A6E">
        <w:rPr>
          <w:szCs w:val="22"/>
        </w:rPr>
        <w:t>information asymmetries where the seller/landlord may have information on the energy efficiency of a building, but the buyer/tenant does not;</w:t>
      </w:r>
    </w:p>
    <w:p w14:paraId="1F442C91" w14:textId="77777777" w:rsidR="00767FC0" w:rsidRPr="00844A6E" w:rsidRDefault="00767FC0" w:rsidP="00767FC0">
      <w:pPr>
        <w:pStyle w:val="ListBullet"/>
        <w:numPr>
          <w:ilvl w:val="1"/>
          <w:numId w:val="34"/>
        </w:numPr>
        <w:rPr>
          <w:szCs w:val="22"/>
        </w:rPr>
      </w:pPr>
      <w:r w:rsidRPr="00844A6E">
        <w:rPr>
          <w:szCs w:val="22"/>
        </w:rPr>
        <w:t>systematic behavioural biases (i.e. due to heuristic decision making and/or bounded rationality in the face of the sheer complexity of understanding energy efficiency options).</w:t>
      </w:r>
    </w:p>
    <w:p w14:paraId="156E81AF" w14:textId="77777777" w:rsidR="00767FC0" w:rsidRPr="00844A6E" w:rsidRDefault="00767FC0" w:rsidP="00767FC0">
      <w:pPr>
        <w:pStyle w:val="ListBullet"/>
        <w:numPr>
          <w:ilvl w:val="1"/>
          <w:numId w:val="34"/>
        </w:numPr>
        <w:rPr>
          <w:szCs w:val="22"/>
        </w:rPr>
      </w:pPr>
      <w:r w:rsidRPr="00844A6E">
        <w:rPr>
          <w:szCs w:val="22"/>
        </w:rPr>
        <w:t>split incentives/principal-agent problem — this arises where the party making energy efficiency investment decisions is not responsible for paying the energy bills and can arise where the incentives affecting the builders making decisions that affect future buyers are not aligned to end-occupant/end-owner.</w:t>
      </w:r>
    </w:p>
    <w:p w14:paraId="4B71C33B" w14:textId="77777777" w:rsidR="00767FC0" w:rsidRPr="00844A6E" w:rsidRDefault="00767FC0" w:rsidP="00767FC0">
      <w:pPr>
        <w:pStyle w:val="ListBullet"/>
        <w:numPr>
          <w:ilvl w:val="2"/>
          <w:numId w:val="34"/>
        </w:numPr>
        <w:rPr>
          <w:szCs w:val="22"/>
        </w:rPr>
      </w:pPr>
      <w:r w:rsidRPr="00844A6E">
        <w:rPr>
          <w:szCs w:val="22"/>
        </w:rPr>
        <w:t>split incentives could occur between building owner or the landlord who bears the cost of any investment in energy efficiency and tenant who pays the energy bills;</w:t>
      </w:r>
    </w:p>
    <w:p w14:paraId="665B9229" w14:textId="77777777" w:rsidR="00767FC0" w:rsidRPr="00844A6E" w:rsidRDefault="00767FC0" w:rsidP="00767FC0">
      <w:pPr>
        <w:pStyle w:val="ListBullet"/>
        <w:numPr>
          <w:ilvl w:val="2"/>
          <w:numId w:val="34"/>
        </w:numPr>
        <w:rPr>
          <w:szCs w:val="22"/>
        </w:rPr>
      </w:pPr>
      <w:r w:rsidRPr="00844A6E">
        <w:rPr>
          <w:szCs w:val="22"/>
        </w:rPr>
        <w:t>split incentives may also occur between a building contractor and its owner and occupier. A building contractor makes many energy-related decisions. As energy efficient options usually increase the cost of construction, the contractor has incentives to choose less energy efficient alternatives, especially if the measures are not immediately obvious to the owner or prospective buyers;</w:t>
      </w:r>
    </w:p>
    <w:p w14:paraId="62032607" w14:textId="77777777" w:rsidR="00767FC0" w:rsidRPr="00844A6E" w:rsidRDefault="00767FC0" w:rsidP="00767FC0">
      <w:pPr>
        <w:pStyle w:val="ListBullet"/>
        <w:numPr>
          <w:ilvl w:val="2"/>
          <w:numId w:val="34"/>
        </w:numPr>
        <w:rPr>
          <w:szCs w:val="22"/>
        </w:rPr>
      </w:pPr>
      <w:r w:rsidRPr="00844A6E">
        <w:rPr>
          <w:szCs w:val="22"/>
        </w:rPr>
        <w:t>another type of split incentive could occur within large organisations, where separate parts of the organisation are responsible for capital budgets and paying energy bills.</w:t>
      </w:r>
    </w:p>
    <w:p w14:paraId="2DD6D367" w14:textId="77777777" w:rsidR="00767FC0" w:rsidRPr="00844A6E" w:rsidRDefault="00767FC0" w:rsidP="00767FC0">
      <w:pPr>
        <w:pStyle w:val="Heading4"/>
        <w:rPr>
          <w:sz w:val="22"/>
        </w:rPr>
      </w:pPr>
      <w:r w:rsidRPr="00844A6E">
        <w:rPr>
          <w:sz w:val="22"/>
        </w:rPr>
        <w:t>Review of direct evidence on market failures and behavioural anomalies</w:t>
      </w:r>
    </w:p>
    <w:p w14:paraId="2578EFBC" w14:textId="48D98030" w:rsidR="00767FC0" w:rsidRPr="00844A6E" w:rsidRDefault="00767FC0" w:rsidP="00767FC0">
      <w:pPr>
        <w:pStyle w:val="BodyText"/>
        <w:rPr>
          <w:szCs w:val="22"/>
        </w:rPr>
      </w:pPr>
      <w:r w:rsidRPr="00844A6E">
        <w:rPr>
          <w:szCs w:val="22"/>
        </w:rPr>
        <w:t>Direct evidence on each of the market failures and behavioural anomalies identified above is summarised in table </w:t>
      </w:r>
      <w:r>
        <w:rPr>
          <w:szCs w:val="22"/>
        </w:rPr>
        <w:fldChar w:fldCharType="begin"/>
      </w:r>
      <w:r>
        <w:rPr>
          <w:szCs w:val="22"/>
        </w:rPr>
        <w:instrText xml:space="preserve"> REF _Caption7028 </w:instrText>
      </w:r>
      <w:r>
        <w:rPr>
          <w:szCs w:val="22"/>
        </w:rPr>
        <w:fldChar w:fldCharType="separate"/>
      </w:r>
      <w:r w:rsidR="006E00A7">
        <w:rPr>
          <w:noProof/>
        </w:rPr>
        <w:t>3</w:t>
      </w:r>
      <w:r w:rsidR="006E00A7" w:rsidRPr="00695C93">
        <w:rPr>
          <w:noProof/>
        </w:rPr>
        <w:t>.</w:t>
      </w:r>
      <w:r w:rsidR="006E00A7">
        <w:rPr>
          <w:noProof/>
        </w:rPr>
        <w:t>2</w:t>
      </w:r>
      <w:r>
        <w:rPr>
          <w:szCs w:val="22"/>
        </w:rPr>
        <w:fldChar w:fldCharType="end"/>
      </w:r>
      <w:r w:rsidRPr="00844A6E">
        <w:rPr>
          <w:szCs w:val="22"/>
        </w:rPr>
        <w:t>, with further discussion provided in Appendix A. In general, there is a sound in</w:t>
      </w:r>
      <w:r>
        <w:rPr>
          <w:szCs w:val="22"/>
        </w:rPr>
        <w:t xml:space="preserve"> </w:t>
      </w:r>
      <w:r w:rsidRPr="00844A6E">
        <w:rPr>
          <w:szCs w:val="22"/>
        </w:rPr>
        <w:t>principle case for minimum energy efficiency standards for commercial buildings on the following grounds.</w:t>
      </w:r>
    </w:p>
    <w:p w14:paraId="2B91C68E" w14:textId="77777777" w:rsidR="00767FC0" w:rsidRPr="00F40C36" w:rsidRDefault="00767FC0" w:rsidP="00767FC0">
      <w:pPr>
        <w:pStyle w:val="ListBullet"/>
        <w:rPr>
          <w:lang w:bidi="fa-IR"/>
        </w:rPr>
      </w:pPr>
      <w:r w:rsidRPr="00F40C36">
        <w:rPr>
          <w:lang w:bidi="fa-IR"/>
        </w:rPr>
        <w:t xml:space="preserve">The primary justification for minimum energy efficiency standards in commercial buildings is that the external cost of GHG emissions is not reflected in energy prices under current policy settings. Although many commercial building owners have committed to net zero targets in their own operations, not all of these targets are being actioned, and not all owners and tenants have made such commitments. See appendix </w:t>
      </w:r>
      <w:r w:rsidRPr="00F40C36">
        <w:rPr>
          <w:lang w:bidi="fa-IR"/>
        </w:rPr>
        <w:fldChar w:fldCharType="begin" w:fldLock="1"/>
      </w:r>
      <w:r w:rsidRPr="00F40C36">
        <w:rPr>
          <w:lang w:bidi="fa-IR"/>
        </w:rPr>
        <w:instrText xml:space="preserve"> REF _Ref150175663 \n \h  \* MERGEFORMAT </w:instrText>
      </w:r>
      <w:r w:rsidRPr="00F40C36">
        <w:rPr>
          <w:lang w:bidi="fa-IR"/>
        </w:rPr>
      </w:r>
      <w:r w:rsidRPr="00F40C36">
        <w:rPr>
          <w:lang w:bidi="fa-IR"/>
        </w:rPr>
        <w:fldChar w:fldCharType="separate"/>
      </w:r>
      <w:r w:rsidRPr="00F40C36">
        <w:rPr>
          <w:lang w:bidi="fa-IR"/>
        </w:rPr>
        <w:t>A</w:t>
      </w:r>
      <w:r w:rsidRPr="00F40C36">
        <w:rPr>
          <w:lang w:bidi="fa-IR"/>
        </w:rPr>
        <w:fldChar w:fldCharType="end"/>
      </w:r>
      <w:r w:rsidRPr="00F40C36">
        <w:rPr>
          <w:lang w:bidi="fa-IR"/>
        </w:rPr>
        <w:t xml:space="preserve"> for more details.</w:t>
      </w:r>
    </w:p>
    <w:p w14:paraId="127B0576" w14:textId="77777777" w:rsidR="00767FC0" w:rsidRPr="00F40C36" w:rsidRDefault="00767FC0" w:rsidP="00767FC0">
      <w:pPr>
        <w:pStyle w:val="ListBullet"/>
        <w:rPr>
          <w:lang w:bidi="fa-IR"/>
        </w:rPr>
      </w:pPr>
      <w:r w:rsidRPr="00F40C36">
        <w:rPr>
          <w:lang w:bidi="fa-IR"/>
        </w:rPr>
        <w:t>In addition, although there is limited direct evidence, it is plausible that the following behavioural/organisational failures prevent privately cost</w:t>
      </w:r>
      <w:r w:rsidRPr="00F40C36">
        <w:rPr>
          <w:lang w:bidi="fa-IR"/>
        </w:rPr>
        <w:noBreakHyphen/>
        <w:t xml:space="preserve">effective energy efficiency opportunities (i.e. where energy bill savings outweigh the associated capital costs) from being adopted. </w:t>
      </w:r>
    </w:p>
    <w:p w14:paraId="148D4B79" w14:textId="77777777" w:rsidR="00767FC0" w:rsidRPr="00844A6E" w:rsidRDefault="00767FC0" w:rsidP="00767FC0">
      <w:pPr>
        <w:pStyle w:val="ListBullet"/>
        <w:numPr>
          <w:ilvl w:val="1"/>
          <w:numId w:val="34"/>
        </w:numPr>
        <w:rPr>
          <w:szCs w:val="22"/>
        </w:rPr>
      </w:pPr>
      <w:r w:rsidRPr="00844A6E">
        <w:rPr>
          <w:szCs w:val="22"/>
        </w:rPr>
        <w:t>Split incentives, including:</w:t>
      </w:r>
    </w:p>
    <w:p w14:paraId="0B951F00" w14:textId="77777777" w:rsidR="00767FC0" w:rsidRPr="00844A6E" w:rsidRDefault="00767FC0" w:rsidP="00767FC0">
      <w:pPr>
        <w:pStyle w:val="ListBullet"/>
        <w:numPr>
          <w:ilvl w:val="2"/>
          <w:numId w:val="34"/>
        </w:numPr>
        <w:rPr>
          <w:szCs w:val="22"/>
        </w:rPr>
      </w:pPr>
      <w:r w:rsidRPr="00844A6E">
        <w:rPr>
          <w:szCs w:val="22"/>
        </w:rPr>
        <w:t>Different parts of an organisation are responsible for capital costs and operating costs (energy bills)</w:t>
      </w:r>
    </w:p>
    <w:p w14:paraId="72D305C2" w14:textId="77777777" w:rsidR="00767FC0" w:rsidRPr="00844A6E" w:rsidRDefault="00767FC0" w:rsidP="00767FC0">
      <w:pPr>
        <w:pStyle w:val="ListBullet"/>
        <w:numPr>
          <w:ilvl w:val="2"/>
          <w:numId w:val="34"/>
        </w:numPr>
        <w:rPr>
          <w:szCs w:val="22"/>
        </w:rPr>
      </w:pPr>
      <w:r w:rsidRPr="00844A6E">
        <w:rPr>
          <w:szCs w:val="22"/>
        </w:rPr>
        <w:t>Different incentives across different parties in the building process</w:t>
      </w:r>
      <w:r>
        <w:rPr>
          <w:szCs w:val="22"/>
        </w:rPr>
        <w:t>.</w:t>
      </w:r>
    </w:p>
    <w:p w14:paraId="2490DD9D" w14:textId="77777777" w:rsidR="00767FC0" w:rsidRPr="00844A6E" w:rsidRDefault="00767FC0" w:rsidP="00767FC0">
      <w:pPr>
        <w:pStyle w:val="ListBullet"/>
        <w:numPr>
          <w:ilvl w:val="1"/>
          <w:numId w:val="34"/>
        </w:numPr>
        <w:rPr>
          <w:szCs w:val="22"/>
        </w:rPr>
      </w:pPr>
      <w:r w:rsidRPr="00844A6E">
        <w:rPr>
          <w:szCs w:val="22"/>
        </w:rPr>
        <w:t>Behavioural anomalies, such as bounded rationality and heuristic decision making (such as building to code, rather than seeking the optimal mix of capital and ongoing energy costs); and inattention to non</w:t>
      </w:r>
      <w:r w:rsidRPr="00844A6E">
        <w:rPr>
          <w:szCs w:val="22"/>
        </w:rPr>
        <w:noBreakHyphen/>
        <w:t xml:space="preserve">salient energy costs are plausible explanations for the energy efficiency paradox across all building types. </w:t>
      </w:r>
    </w:p>
    <w:p w14:paraId="222546C0" w14:textId="0CC7027D" w:rsidR="00767FC0" w:rsidRDefault="00767FC0" w:rsidP="00767FC0">
      <w:pPr>
        <w:pStyle w:val="BodyText"/>
        <w:rPr>
          <w:lang w:bidi="fa-IR"/>
        </w:rPr>
      </w:pPr>
      <w:r w:rsidRPr="000C4BC5">
        <w:rPr>
          <w:lang w:bidi="fa-IR"/>
        </w:rPr>
        <w:t>To the extent that behavioural anomalies mean that industry defers to the code, rather than seeking to optimise the balance between capital</w:t>
      </w:r>
      <w:r w:rsidRPr="000C4BC5">
        <w:rPr>
          <w:lang w:bidi="fa-IR"/>
        </w:rPr>
        <w:noBreakHyphen/>
        <w:t>related costs and ongoing operating costs, there may be a role for the code to drive industry towards best (or better) practice</w:t>
      </w:r>
      <w:r>
        <w:rPr>
          <w:lang w:bidi="fa-IR"/>
        </w:rPr>
        <w:t>.</w:t>
      </w:r>
    </w:p>
    <w:p w14:paraId="5A66B978" w14:textId="3B4F1D1B" w:rsidR="00767FC0" w:rsidRPr="00695C93" w:rsidRDefault="00767FC0">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581346">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581346">
          <w:rPr>
            <w:noProof/>
          </w:rPr>
          <w:instrText>3</w:instrText>
        </w:r>
      </w:fldSimple>
      <w:r w:rsidRPr="00695C93">
        <w:instrText xml:space="preserve"> = 0 "" "</w:instrText>
      </w:r>
      <w:fldSimple w:instr=" STYLEREF &quot;Heading 1&quot; \l \n ">
        <w:r w:rsidR="00581346">
          <w:rPr>
            <w:noProof/>
          </w:rPr>
          <w:instrText>3</w:instrText>
        </w:r>
      </w:fldSimple>
      <w:r w:rsidRPr="00695C93">
        <w:instrText xml:space="preserve">." </w:instrText>
      </w:r>
      <w:r w:rsidRPr="00695C93">
        <w:fldChar w:fldCharType="separate"/>
      </w:r>
      <w:r w:rsidR="00581346">
        <w:rPr>
          <w:noProof/>
        </w:rPr>
        <w:instrText>3</w:instrText>
      </w:r>
      <w:r w:rsidR="00581346" w:rsidRPr="00695C93">
        <w:rPr>
          <w:noProof/>
        </w:rPr>
        <w:instrText>.</w:instrText>
      </w:r>
      <w:r w:rsidRPr="00695C93">
        <w:fldChar w:fldCharType="end"/>
      </w:r>
      <w:r w:rsidRPr="00695C93">
        <w:instrText>" "</w:instrText>
      </w:r>
      <w:fldSimple w:instr=" STYLEREF &quot;Heading 6&quot; \l \n ">
        <w:r>
          <w:rPr>
            <w:noProof/>
          </w:rPr>
          <w:instrText>A</w:instrText>
        </w:r>
      </w:fldSimple>
      <w:r w:rsidRPr="00695C93">
        <w:instrText xml:space="preserve">." </w:instrText>
      </w:r>
      <w:r w:rsidRPr="00695C93">
        <w:fldChar w:fldCharType="separate"/>
      </w:r>
      <w:r w:rsidR="008C60A3">
        <w:rPr>
          <w:noProof/>
        </w:rPr>
        <w:instrText>3</w:instrText>
      </w:r>
      <w:r w:rsidR="008C60A3"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581346">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581346">
          <w:rPr>
            <w:noProof/>
          </w:rPr>
          <w:instrText>3</w:instrText>
        </w:r>
      </w:fldSimple>
      <w:r w:rsidRPr="00695C93">
        <w:instrText xml:space="preserve"> = 0 "" "1" </w:instrText>
      </w:r>
      <w:r w:rsidRPr="00695C93">
        <w:fldChar w:fldCharType="separate"/>
      </w:r>
      <w:r w:rsidR="008C60A3" w:rsidRPr="00695C93">
        <w:rPr>
          <w:noProof/>
        </w:rPr>
        <w:instrText>1</w:instrText>
      </w:r>
      <w:r w:rsidRPr="00695C93">
        <w:fldChar w:fldCharType="end"/>
      </w:r>
      <w:r w:rsidRPr="00695C93">
        <w:instrText xml:space="preserve">" "6" </w:instrText>
      </w:r>
      <w:r w:rsidRPr="00695C93">
        <w:fldChar w:fldCharType="separate"/>
      </w:r>
      <w:r w:rsidR="008C60A3" w:rsidRPr="00695C93">
        <w:rPr>
          <w:noProof/>
        </w:rPr>
        <w:instrText>1</w:instrText>
      </w:r>
      <w:r w:rsidRPr="00695C93">
        <w:fldChar w:fldCharType="end"/>
      </w:r>
      <w:r w:rsidRPr="00695C93">
        <w:instrText xml:space="preserve"> </w:instrText>
      </w:r>
      <w:r w:rsidRPr="00695C93">
        <w:fldChar w:fldCharType="separate"/>
      </w:r>
      <w:r w:rsidR="00581346">
        <w:rPr>
          <w:noProof/>
        </w:rPr>
        <w:instrText>2</w:instrText>
      </w:r>
      <w:r w:rsidRPr="00695C93">
        <w:fldChar w:fldCharType="end"/>
      </w:r>
      <w:r w:rsidRPr="00695C93">
        <w:instrText xml:space="preserve">" "" </w:instrText>
      </w:r>
      <w:r w:rsidRPr="00695C93">
        <w:fldChar w:fldCharType="separate"/>
      </w:r>
      <w:bookmarkStart w:id="529" w:name="_Caption6895"/>
      <w:bookmarkStart w:id="530" w:name="_Caption5345"/>
      <w:bookmarkStart w:id="531" w:name="_Caption9830"/>
      <w:bookmarkStart w:id="532" w:name="_Caption0905"/>
      <w:bookmarkStart w:id="533" w:name="_Caption8204"/>
      <w:bookmarkStart w:id="534" w:name="_Caption2940"/>
      <w:bookmarkStart w:id="535" w:name="_Caption7816"/>
      <w:bookmarkStart w:id="536" w:name="_Caption3033"/>
      <w:bookmarkStart w:id="537" w:name="_Caption8838"/>
      <w:bookmarkStart w:id="538" w:name="_Caption9729"/>
      <w:bookmarkStart w:id="539" w:name="_Caption6631"/>
      <w:bookmarkStart w:id="540" w:name="_Caption7709"/>
      <w:bookmarkStart w:id="541" w:name="_Caption8584"/>
      <w:bookmarkStart w:id="542" w:name="_Caption0982"/>
      <w:bookmarkStart w:id="543" w:name="_Caption0883"/>
      <w:bookmarkStart w:id="544" w:name="_Caption2862"/>
      <w:bookmarkStart w:id="545" w:name="_Caption8974"/>
      <w:bookmarkStart w:id="546" w:name="_Caption2444"/>
      <w:bookmarkStart w:id="547" w:name="_Caption8460"/>
      <w:bookmarkStart w:id="548" w:name="_Caption4697"/>
      <w:bookmarkStart w:id="549" w:name="_Caption0013"/>
      <w:bookmarkStart w:id="550" w:name="_Caption0325"/>
      <w:bookmarkStart w:id="551" w:name="_Caption4317"/>
      <w:bookmarkStart w:id="552" w:name="_Caption7810"/>
      <w:bookmarkStart w:id="553" w:name="_Caption9658"/>
      <w:bookmarkStart w:id="554" w:name="_Caption4570"/>
      <w:bookmarkStart w:id="555" w:name="_Caption7953"/>
      <w:bookmarkStart w:id="556" w:name="_Caption5320"/>
      <w:bookmarkStart w:id="557" w:name="_Caption2515"/>
      <w:bookmarkStart w:id="558" w:name="_Caption8519"/>
      <w:bookmarkStart w:id="559" w:name="_Caption2130"/>
      <w:bookmarkStart w:id="560" w:name="_Caption0116"/>
      <w:bookmarkStart w:id="561" w:name="_Caption6503"/>
      <w:bookmarkStart w:id="562" w:name="_Caption9673"/>
      <w:bookmarkStart w:id="563" w:name="_Caption7223"/>
      <w:bookmarkStart w:id="564" w:name="_Caption0793"/>
      <w:bookmarkStart w:id="565" w:name="_Caption4500"/>
      <w:bookmarkStart w:id="566" w:name="_Caption4240"/>
      <w:bookmarkStart w:id="567" w:name="_Caption4477"/>
      <w:bookmarkStart w:id="568" w:name="_Caption1660"/>
      <w:bookmarkStart w:id="569" w:name="_Caption9858"/>
      <w:bookmarkStart w:id="570" w:name="_Caption6057"/>
      <w:bookmarkStart w:id="571" w:name="_Caption1219"/>
      <w:bookmarkStart w:id="572" w:name="_Caption0161"/>
      <w:bookmarkStart w:id="573" w:name="_Caption2941"/>
      <w:bookmarkStart w:id="574" w:name="_Caption9686"/>
      <w:bookmarkStart w:id="575" w:name="_Caption4664"/>
      <w:bookmarkStart w:id="576" w:name="_Caption1538"/>
      <w:bookmarkStart w:id="577" w:name="_Caption3597"/>
      <w:bookmarkStart w:id="578" w:name="_Caption2433"/>
      <w:bookmarkStart w:id="579" w:name="_Caption7028"/>
      <w:bookmarkStart w:id="580" w:name="_Caption7719"/>
      <w:bookmarkStart w:id="581" w:name="_Caption6680"/>
      <w:bookmarkStart w:id="582" w:name="_Caption1051"/>
      <w:bookmarkStart w:id="583" w:name="_Caption2599"/>
      <w:bookmarkStart w:id="584" w:name="_Caption0774"/>
      <w:bookmarkStart w:id="585" w:name="_Caption3765"/>
      <w:bookmarkStart w:id="586" w:name="_Caption2487"/>
      <w:bookmarkStart w:id="587" w:name="_Caption8887"/>
      <w:bookmarkStart w:id="588" w:name="_Caption6107"/>
      <w:bookmarkStart w:id="589" w:name="_Caption4314"/>
      <w:bookmarkStart w:id="590" w:name="_Caption9165"/>
      <w:bookmarkStart w:id="591" w:name="_Caption3138"/>
      <w:bookmarkStart w:id="592" w:name="_Caption7803"/>
      <w:bookmarkStart w:id="593" w:name="_Caption0344"/>
      <w:bookmarkStart w:id="594" w:name="_Caption9111"/>
      <w:bookmarkStart w:id="595" w:name="_Caption6557"/>
      <w:bookmarkStart w:id="596" w:name="_Caption6112"/>
      <w:bookmarkStart w:id="597" w:name="_Caption5716"/>
      <w:bookmarkStart w:id="598" w:name="_Caption1230"/>
      <w:bookmarkStart w:id="599" w:name="_Caption6603"/>
      <w:bookmarkStart w:id="600" w:name="_Caption1583"/>
      <w:bookmarkStart w:id="601" w:name="_Caption6844"/>
      <w:bookmarkStart w:id="602" w:name="_Caption1012"/>
      <w:bookmarkStart w:id="603" w:name="_Caption6221"/>
      <w:bookmarkStart w:id="604" w:name="_Caption1789"/>
      <w:bookmarkStart w:id="605" w:name="_Caption6966"/>
      <w:bookmarkStart w:id="606" w:name="_Toc178292572"/>
      <w:r w:rsidR="008C60A3">
        <w:rPr>
          <w:noProof/>
        </w:rPr>
        <w:t>3</w:t>
      </w:r>
      <w:r w:rsidR="008C60A3" w:rsidRPr="00695C93">
        <w:rPr>
          <w:noProof/>
        </w:rPr>
        <w:t>.</w:t>
      </w:r>
      <w:r w:rsidR="008C60A3">
        <w:rPr>
          <w:noProof/>
        </w:rPr>
        <w:t>2</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r w:rsidRPr="00695C93">
        <w:fldChar w:fldCharType="end"/>
      </w:r>
      <w:r w:rsidRPr="00695C93">
        <w:tab/>
      </w:r>
      <w:r>
        <w:t>Summary of direct evidence of market failures and behavioural anomalies</w:t>
      </w:r>
      <w:bookmarkEnd w:id="606"/>
    </w:p>
    <w:tbl>
      <w:tblPr>
        <w:tblW w:w="0" w:type="auto"/>
        <w:tblLayout w:type="fixed"/>
        <w:tblLook w:val="0000" w:firstRow="0" w:lastRow="0" w:firstColumn="0" w:lastColumn="0" w:noHBand="0" w:noVBand="0"/>
        <w:tblCaption w:val="Table 2.2"/>
        <w:tblDescription w:val="Summary of direct evidence of market failures and behavioural anomalies"/>
      </w:tblPr>
      <w:tblGrid>
        <w:gridCol w:w="1984"/>
        <w:gridCol w:w="1984"/>
        <w:gridCol w:w="1984"/>
        <w:gridCol w:w="1985"/>
      </w:tblGrid>
      <w:tr w:rsidR="00767FC0" w14:paraId="17F2ACA9" w14:textId="77777777">
        <w:trPr>
          <w:tblHeader/>
        </w:trPr>
        <w:tc>
          <w:tcPr>
            <w:tcW w:w="1984" w:type="dxa"/>
            <w:tcBorders>
              <w:bottom w:val="single" w:sz="8" w:space="0" w:color="FFFFFF" w:themeColor="background1"/>
            </w:tcBorders>
            <w:shd w:val="clear" w:color="auto" w:fill="6F6652"/>
            <w:tcMar>
              <w:left w:w="57" w:type="dxa"/>
              <w:right w:w="57" w:type="dxa"/>
            </w:tcMar>
          </w:tcPr>
          <w:p w14:paraId="073986F4" w14:textId="77777777" w:rsidR="00767FC0" w:rsidRDefault="00767FC0">
            <w:pPr>
              <w:pStyle w:val="TableTextColumnHeading"/>
            </w:pPr>
            <w:r>
              <w:t>Market failure or behavioural anomaly</w:t>
            </w:r>
          </w:p>
        </w:tc>
        <w:tc>
          <w:tcPr>
            <w:tcW w:w="1984" w:type="dxa"/>
            <w:tcBorders>
              <w:bottom w:val="single" w:sz="8" w:space="0" w:color="FFFFFF" w:themeColor="background1"/>
            </w:tcBorders>
            <w:shd w:val="clear" w:color="auto" w:fill="6F6652"/>
            <w:tcMar>
              <w:left w:w="57" w:type="dxa"/>
              <w:right w:w="57" w:type="dxa"/>
            </w:tcMar>
          </w:tcPr>
          <w:p w14:paraId="44FAEE98" w14:textId="77777777" w:rsidR="00767FC0" w:rsidRDefault="00767FC0">
            <w:pPr>
              <w:pStyle w:val="TableTextColumnHeading"/>
            </w:pPr>
            <w:r>
              <w:t>Evidence</w:t>
            </w:r>
          </w:p>
        </w:tc>
        <w:tc>
          <w:tcPr>
            <w:tcW w:w="1984" w:type="dxa"/>
            <w:tcBorders>
              <w:bottom w:val="single" w:sz="8" w:space="0" w:color="FFFFFF" w:themeColor="background1"/>
            </w:tcBorders>
            <w:shd w:val="clear" w:color="auto" w:fill="6F6652"/>
            <w:tcMar>
              <w:left w:w="57" w:type="dxa"/>
              <w:right w:w="57" w:type="dxa"/>
            </w:tcMar>
          </w:tcPr>
          <w:p w14:paraId="69A020A5" w14:textId="77777777" w:rsidR="00767FC0" w:rsidRDefault="00767FC0">
            <w:pPr>
              <w:pStyle w:val="TableTextColumnHeading"/>
            </w:pPr>
            <w:r>
              <w:t>Existing measures to address</w:t>
            </w:r>
          </w:p>
        </w:tc>
        <w:tc>
          <w:tcPr>
            <w:tcW w:w="1985" w:type="dxa"/>
            <w:tcBorders>
              <w:bottom w:val="single" w:sz="8" w:space="0" w:color="FFFFFF" w:themeColor="background1"/>
            </w:tcBorders>
            <w:shd w:val="clear" w:color="auto" w:fill="6F6652"/>
            <w:tcMar>
              <w:left w:w="57" w:type="dxa"/>
              <w:right w:w="57" w:type="dxa"/>
            </w:tcMar>
          </w:tcPr>
          <w:p w14:paraId="3F115B91" w14:textId="77777777" w:rsidR="00767FC0" w:rsidRDefault="00767FC0">
            <w:pPr>
              <w:pStyle w:val="TableTextColumnHeading"/>
            </w:pPr>
            <w:r>
              <w:t>Unaddressed market failure or behavioural anomaly</w:t>
            </w:r>
          </w:p>
        </w:tc>
      </w:tr>
      <w:tr w:rsidR="00767FC0" w14:paraId="618628CB" w14:textId="77777777">
        <w:tc>
          <w:tcPr>
            <w:tcW w:w="1984"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53D680D9" w14:textId="77777777" w:rsidR="00767FC0" w:rsidRPr="00492AD6" w:rsidRDefault="00767FC0">
            <w:pPr>
              <w:pStyle w:val="TableHeading1"/>
              <w:rPr>
                <w:color w:val="000000" w:themeColor="text1"/>
              </w:rPr>
            </w:pPr>
            <w:r w:rsidRPr="00492AD6">
              <w:rPr>
                <w:color w:val="000000" w:themeColor="text1"/>
              </w:rPr>
              <w:t>Energy pricing</w:t>
            </w:r>
          </w:p>
        </w:tc>
        <w:tc>
          <w:tcPr>
            <w:tcW w:w="1984"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6719DA2C" w14:textId="77777777" w:rsidR="00767FC0" w:rsidRPr="00492AD6" w:rsidRDefault="00767FC0">
            <w:pPr>
              <w:pStyle w:val="TableHeading1"/>
              <w:rPr>
                <w:color w:val="000000" w:themeColor="text1"/>
              </w:rPr>
            </w:pPr>
          </w:p>
        </w:tc>
        <w:tc>
          <w:tcPr>
            <w:tcW w:w="1984"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65D3C5EA" w14:textId="77777777" w:rsidR="00767FC0" w:rsidRPr="00492AD6" w:rsidRDefault="00767FC0">
            <w:pPr>
              <w:pStyle w:val="TableHeading1"/>
              <w:rPr>
                <w:color w:val="000000" w:themeColor="text1"/>
              </w:rPr>
            </w:pPr>
          </w:p>
        </w:tc>
        <w:tc>
          <w:tcPr>
            <w:tcW w:w="1985"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085C8C7C" w14:textId="77777777" w:rsidR="00767FC0" w:rsidRPr="00492AD6" w:rsidRDefault="00767FC0">
            <w:pPr>
              <w:pStyle w:val="TableHeading1"/>
              <w:rPr>
                <w:color w:val="000000" w:themeColor="text1"/>
              </w:rPr>
            </w:pPr>
          </w:p>
        </w:tc>
      </w:tr>
      <w:tr w:rsidR="00767FC0" w14:paraId="7DC3E681" w14:textId="77777777">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D7D2FA" w14:textId="77777777" w:rsidR="00767FC0" w:rsidRPr="00492AD6" w:rsidRDefault="00767FC0">
            <w:pPr>
              <w:pStyle w:val="TableTextEntries"/>
              <w:rPr>
                <w:color w:val="000000" w:themeColor="text1"/>
              </w:rPr>
            </w:pPr>
            <w:r w:rsidRPr="00492AD6">
              <w:rPr>
                <w:color w:val="000000" w:themeColor="text1"/>
              </w:rPr>
              <w:t>External costs relating to GHG emissions</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C5BBDA" w14:textId="77777777" w:rsidR="00767FC0" w:rsidRPr="00492AD6" w:rsidRDefault="00767FC0">
            <w:pPr>
              <w:pStyle w:val="TableTextEntries"/>
              <w:rPr>
                <w:color w:val="000000" w:themeColor="text1"/>
              </w:rPr>
            </w:pPr>
            <w:r w:rsidRPr="00492AD6">
              <w:rPr>
                <w:color w:val="000000" w:themeColor="text1"/>
              </w:rPr>
              <w:t>The current externality (i.e. the SCC) is estimated to be around 23.5 c/kWh.</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C47DED" w14:textId="77777777" w:rsidR="00767FC0" w:rsidRPr="00492AD6" w:rsidRDefault="00767FC0">
            <w:pPr>
              <w:pStyle w:val="TableTextEntries"/>
              <w:rPr>
                <w:color w:val="000000" w:themeColor="text1"/>
              </w:rPr>
            </w:pPr>
            <w:r w:rsidRPr="00492AD6">
              <w:rPr>
                <w:color w:val="000000" w:themeColor="text1"/>
              </w:rPr>
              <w:t>Although there are no policies that directly internalise the social costs associated with GHG emissions, there is some evidence that some building owners and tenants do take GHG emissions into account in their decisions, largely reflecting Environmental, Social and Governance (ESG) commitments.</w:t>
            </w:r>
          </w:p>
        </w:tc>
        <w:tc>
          <w:tcPr>
            <w:tcW w:w="198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1FBDE0" w14:textId="77777777" w:rsidR="00767FC0" w:rsidRPr="00492AD6" w:rsidRDefault="00767FC0">
            <w:pPr>
              <w:pStyle w:val="TableTextEntries"/>
              <w:rPr>
                <w:color w:val="000000" w:themeColor="text1"/>
              </w:rPr>
            </w:pPr>
            <w:r w:rsidRPr="00492AD6">
              <w:rPr>
                <w:color w:val="000000" w:themeColor="text1"/>
              </w:rPr>
              <w:t>Not all building owners/tenants take into account GHG emissions in their decisions.</w:t>
            </w:r>
          </w:p>
        </w:tc>
      </w:tr>
      <w:tr w:rsidR="00767FC0" w14:paraId="7B71A2FE" w14:textId="77777777">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F6EE28A" w14:textId="77777777" w:rsidR="00767FC0" w:rsidRPr="00492AD6" w:rsidRDefault="00767FC0">
            <w:pPr>
              <w:pStyle w:val="TableTextEntries"/>
              <w:rPr>
                <w:color w:val="000000" w:themeColor="text1"/>
              </w:rPr>
            </w:pPr>
            <w:r w:rsidRPr="00492AD6">
              <w:rPr>
                <w:color w:val="000000" w:themeColor="text1"/>
              </w:rPr>
              <w:t>Externalities associated with peak demand</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F5B5C1" w14:textId="77777777" w:rsidR="00767FC0" w:rsidRPr="00492AD6" w:rsidRDefault="00767FC0">
            <w:pPr>
              <w:pStyle w:val="TableTextEntries"/>
              <w:rPr>
                <w:color w:val="000000" w:themeColor="text1"/>
              </w:rPr>
            </w:pPr>
            <w:r w:rsidRPr="00492AD6">
              <w:rPr>
                <w:color w:val="000000" w:themeColor="text1"/>
              </w:rPr>
              <w:t>Consistent with AER pricing principles, costs associated with peak demand should be reflected in network pricing (albeit imperfectly).</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4A7CFC" w14:textId="77777777" w:rsidR="00767FC0" w:rsidRPr="00492AD6" w:rsidRDefault="00767FC0">
            <w:pPr>
              <w:pStyle w:val="TableTextEntries"/>
              <w:rPr>
                <w:color w:val="000000" w:themeColor="text1"/>
              </w:rPr>
            </w:pPr>
            <w:r w:rsidRPr="00492AD6">
              <w:rPr>
                <w:color w:val="000000" w:themeColor="text1"/>
              </w:rPr>
              <w:t>AER pricing principles require that (i.e. any previous externalities should be address directly through pricing policies).</w:t>
            </w:r>
          </w:p>
        </w:tc>
        <w:tc>
          <w:tcPr>
            <w:tcW w:w="198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0A9C184" w14:textId="77777777" w:rsidR="00767FC0" w:rsidRPr="00492AD6" w:rsidRDefault="00767FC0">
            <w:pPr>
              <w:pStyle w:val="TableTextEntries"/>
              <w:rPr>
                <w:color w:val="000000" w:themeColor="text1"/>
              </w:rPr>
            </w:pPr>
            <w:r w:rsidRPr="00492AD6">
              <w:rPr>
                <w:color w:val="000000" w:themeColor="text1"/>
              </w:rPr>
              <w:t>Although network tariffs may not reflect the costs associated with peak demand perfectly, any previously observed market failures are largely addressed.</w:t>
            </w:r>
          </w:p>
        </w:tc>
      </w:tr>
      <w:tr w:rsidR="00767FC0" w14:paraId="7DDA04D9" w14:textId="77777777">
        <w:tc>
          <w:tcPr>
            <w:tcW w:w="1984"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5186D366" w14:textId="77777777" w:rsidR="00767FC0" w:rsidRPr="00492AD6" w:rsidRDefault="00767FC0">
            <w:pPr>
              <w:pStyle w:val="TableHeading1"/>
              <w:rPr>
                <w:color w:val="000000" w:themeColor="text1"/>
              </w:rPr>
            </w:pPr>
            <w:r w:rsidRPr="00492AD6">
              <w:rPr>
                <w:color w:val="000000" w:themeColor="text1"/>
              </w:rPr>
              <w:t>Other market failures and behavioural anomalies</w:t>
            </w:r>
          </w:p>
        </w:tc>
        <w:tc>
          <w:tcPr>
            <w:tcW w:w="1984"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3C68C3E6" w14:textId="77777777" w:rsidR="00767FC0" w:rsidRPr="00492AD6" w:rsidRDefault="00767FC0">
            <w:pPr>
              <w:pStyle w:val="TableHeading1"/>
              <w:rPr>
                <w:color w:val="000000" w:themeColor="text1"/>
              </w:rPr>
            </w:pPr>
          </w:p>
        </w:tc>
        <w:tc>
          <w:tcPr>
            <w:tcW w:w="1984"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1A303236" w14:textId="77777777" w:rsidR="00767FC0" w:rsidRPr="00492AD6" w:rsidRDefault="00767FC0">
            <w:pPr>
              <w:pStyle w:val="TableHeading1"/>
              <w:rPr>
                <w:color w:val="000000" w:themeColor="text1"/>
              </w:rPr>
            </w:pPr>
          </w:p>
        </w:tc>
        <w:tc>
          <w:tcPr>
            <w:tcW w:w="1985"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46030B6C" w14:textId="77777777" w:rsidR="00767FC0" w:rsidRPr="00492AD6" w:rsidRDefault="00767FC0">
            <w:pPr>
              <w:pStyle w:val="TableHeading1"/>
              <w:rPr>
                <w:color w:val="000000" w:themeColor="text1"/>
              </w:rPr>
            </w:pPr>
          </w:p>
        </w:tc>
      </w:tr>
      <w:tr w:rsidR="00767FC0" w14:paraId="293DA69D" w14:textId="77777777">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F8F823" w14:textId="77777777" w:rsidR="00767FC0" w:rsidRPr="00492AD6" w:rsidRDefault="00767FC0">
            <w:pPr>
              <w:pStyle w:val="TableTextEntries"/>
              <w:rPr>
                <w:color w:val="000000" w:themeColor="text1"/>
              </w:rPr>
            </w:pPr>
            <w:r w:rsidRPr="00492AD6">
              <w:rPr>
                <w:color w:val="000000" w:themeColor="text1"/>
              </w:rPr>
              <w:t>Information failures (lack of information)</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D542191" w14:textId="77777777" w:rsidR="00767FC0" w:rsidRPr="00492AD6" w:rsidRDefault="00767FC0">
            <w:pPr>
              <w:pStyle w:val="TableTextEntries"/>
              <w:rPr>
                <w:color w:val="000000" w:themeColor="text1"/>
              </w:rPr>
            </w:pPr>
            <w:r w:rsidRPr="00492AD6">
              <w:rPr>
                <w:color w:val="000000" w:themeColor="text1"/>
              </w:rPr>
              <w:t>General evidence on the benefits of energy efficiency freely available.</w:t>
            </w:r>
          </w:p>
          <w:p w14:paraId="1F98A320" w14:textId="77777777" w:rsidR="00767FC0" w:rsidRPr="00492AD6" w:rsidRDefault="00767FC0">
            <w:pPr>
              <w:pStyle w:val="TableTextEntries"/>
              <w:rPr>
                <w:color w:val="000000" w:themeColor="text1"/>
              </w:rPr>
            </w:pPr>
            <w:r w:rsidRPr="00492AD6">
              <w:rPr>
                <w:color w:val="000000" w:themeColor="text1"/>
              </w:rPr>
              <w:t>Project</w:t>
            </w:r>
            <w:r w:rsidRPr="00492AD6">
              <w:rPr>
                <w:color w:val="000000" w:themeColor="text1"/>
              </w:rPr>
              <w:noBreakHyphen/>
              <w:t>specific information available commercially.</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B6C862" w14:textId="77777777" w:rsidR="00767FC0" w:rsidRPr="00492AD6" w:rsidRDefault="00767FC0">
            <w:pPr>
              <w:pStyle w:val="TableTextEntries"/>
              <w:rPr>
                <w:color w:val="000000" w:themeColor="text1"/>
              </w:rPr>
            </w:pPr>
            <w:r w:rsidRPr="00492AD6">
              <w:rPr>
                <w:color w:val="000000" w:themeColor="text1"/>
              </w:rPr>
              <w:t>Governments and energy efficiency advocacy groups provide some information.</w:t>
            </w:r>
          </w:p>
        </w:tc>
        <w:tc>
          <w:tcPr>
            <w:tcW w:w="198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323590" w14:textId="77777777" w:rsidR="00767FC0" w:rsidRPr="00492AD6" w:rsidRDefault="00767FC0">
            <w:pPr>
              <w:pStyle w:val="TableTextEntries"/>
              <w:rPr>
                <w:color w:val="000000" w:themeColor="text1"/>
              </w:rPr>
            </w:pPr>
            <w:r w:rsidRPr="00492AD6">
              <w:rPr>
                <w:color w:val="000000" w:themeColor="text1"/>
              </w:rPr>
              <w:t>No unaddressed market failures.</w:t>
            </w:r>
          </w:p>
        </w:tc>
      </w:tr>
      <w:tr w:rsidR="00767FC0" w14:paraId="2DCF7F00" w14:textId="77777777">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2D8B95" w14:textId="77777777" w:rsidR="00767FC0" w:rsidRPr="00492AD6" w:rsidRDefault="00767FC0">
            <w:pPr>
              <w:pStyle w:val="TableTextEntries"/>
              <w:rPr>
                <w:color w:val="000000" w:themeColor="text1"/>
              </w:rPr>
            </w:pPr>
            <w:r w:rsidRPr="00492AD6">
              <w:rPr>
                <w:color w:val="000000" w:themeColor="text1"/>
              </w:rPr>
              <w:t>Information asymmetries</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750B5F6" w14:textId="77777777" w:rsidR="00767FC0" w:rsidRPr="00492AD6" w:rsidRDefault="00767FC0">
            <w:pPr>
              <w:pStyle w:val="TableTextEntries"/>
              <w:rPr>
                <w:color w:val="000000" w:themeColor="text1"/>
              </w:rPr>
            </w:pPr>
            <w:r w:rsidRPr="00492AD6">
              <w:rPr>
                <w:color w:val="000000" w:themeColor="text1"/>
              </w:rPr>
              <w:t>No significant information asymmetries:</w:t>
            </w:r>
          </w:p>
          <w:p w14:paraId="0E616840" w14:textId="77777777" w:rsidR="00767FC0" w:rsidRPr="00492AD6" w:rsidRDefault="00767FC0">
            <w:pPr>
              <w:pStyle w:val="TableTextEntries"/>
              <w:rPr>
                <w:color w:val="000000" w:themeColor="text1"/>
              </w:rPr>
            </w:pPr>
            <w:r w:rsidRPr="00492AD6">
              <w:rPr>
                <w:color w:val="000000" w:themeColor="text1"/>
              </w:rPr>
              <w:t>The landlord/seller generally discloses ‘outgoings’ (including energy bills) to tenants/buyers.</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9E91679" w14:textId="77777777" w:rsidR="00767FC0" w:rsidRPr="00492AD6" w:rsidRDefault="00767FC0">
            <w:pPr>
              <w:pStyle w:val="TableTextEntries"/>
              <w:rPr>
                <w:color w:val="000000" w:themeColor="text1"/>
              </w:rPr>
            </w:pPr>
            <w:r w:rsidRPr="00492AD6">
              <w:rPr>
                <w:color w:val="000000" w:themeColor="text1"/>
              </w:rPr>
              <w:t>Requirements to disclose outgoings to tenants.</w:t>
            </w:r>
          </w:p>
          <w:p w14:paraId="0E0FF4C7" w14:textId="77777777" w:rsidR="00767FC0" w:rsidRPr="00492AD6" w:rsidRDefault="00767FC0">
            <w:pPr>
              <w:pStyle w:val="TableTextEntries"/>
              <w:rPr>
                <w:color w:val="000000" w:themeColor="text1"/>
              </w:rPr>
            </w:pPr>
            <w:r w:rsidRPr="00492AD6">
              <w:rPr>
                <w:color w:val="000000" w:themeColor="text1"/>
              </w:rPr>
              <w:t>NABERS tools to benchmark actual energy performance against other similar buildings are available for most building types.</w:t>
            </w:r>
          </w:p>
          <w:p w14:paraId="152E4173" w14:textId="77777777" w:rsidR="00767FC0" w:rsidRPr="00492AD6" w:rsidRDefault="00767FC0">
            <w:pPr>
              <w:pStyle w:val="TableTextEntries"/>
              <w:rPr>
                <w:color w:val="000000" w:themeColor="text1"/>
              </w:rPr>
            </w:pPr>
            <w:r w:rsidRPr="00492AD6">
              <w:rPr>
                <w:color w:val="000000" w:themeColor="text1"/>
              </w:rPr>
              <w:t>Under the Commercial Building Disclosure (CBD) Program, a NABERS Energy rating is mandatory on sale or lease for office buildings &gt;1000 m</w:t>
            </w:r>
            <w:r w:rsidRPr="00492AD6">
              <w:rPr>
                <w:color w:val="000000" w:themeColor="text1"/>
                <w:vertAlign w:val="superscript"/>
              </w:rPr>
              <w:t xml:space="preserve">2 </w:t>
            </w:r>
            <w:r w:rsidRPr="00492AD6">
              <w:rPr>
                <w:color w:val="000000" w:themeColor="text1"/>
              </w:rPr>
              <w:t>.</w:t>
            </w:r>
          </w:p>
        </w:tc>
        <w:tc>
          <w:tcPr>
            <w:tcW w:w="198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91935F" w14:textId="77777777" w:rsidR="00767FC0" w:rsidRPr="00492AD6" w:rsidRDefault="00767FC0">
            <w:pPr>
              <w:pStyle w:val="TableTextEntries"/>
              <w:rPr>
                <w:color w:val="000000" w:themeColor="text1"/>
              </w:rPr>
            </w:pPr>
            <w:r w:rsidRPr="00492AD6">
              <w:rPr>
                <w:color w:val="000000" w:themeColor="text1"/>
              </w:rPr>
              <w:t>No unaddressed market failures.</w:t>
            </w:r>
          </w:p>
        </w:tc>
      </w:tr>
      <w:tr w:rsidR="00767FC0" w14:paraId="61952972" w14:textId="77777777">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C47F487" w14:textId="77777777" w:rsidR="00767FC0" w:rsidRPr="00492AD6" w:rsidRDefault="00767FC0">
            <w:pPr>
              <w:pStyle w:val="TableTextEntries"/>
              <w:rPr>
                <w:color w:val="000000" w:themeColor="text1"/>
              </w:rPr>
            </w:pPr>
            <w:r w:rsidRPr="00492AD6">
              <w:rPr>
                <w:color w:val="000000" w:themeColor="text1"/>
              </w:rPr>
              <w:t>Landlord</w:t>
            </w:r>
            <w:r w:rsidRPr="00492AD6">
              <w:rPr>
                <w:color w:val="000000" w:themeColor="text1"/>
              </w:rPr>
              <w:noBreakHyphen/>
              <w:t>tenant problem</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7C8422" w14:textId="77777777" w:rsidR="00767FC0" w:rsidRPr="00492AD6" w:rsidRDefault="00767FC0">
            <w:pPr>
              <w:pStyle w:val="TableTextEntries"/>
              <w:rPr>
                <w:color w:val="000000" w:themeColor="text1"/>
              </w:rPr>
            </w:pPr>
            <w:r w:rsidRPr="00492AD6">
              <w:rPr>
                <w:color w:val="000000" w:themeColor="text1"/>
              </w:rPr>
              <w:t>No clear evidence of an information asymmetry problem, so the landlord</w:t>
            </w:r>
            <w:r w:rsidRPr="00492AD6">
              <w:rPr>
                <w:color w:val="000000" w:themeColor="text1"/>
              </w:rPr>
              <w:noBreakHyphen/>
              <w:t>tenant problem unlikely to be a significant market failure in commercial buildings.</w:t>
            </w:r>
          </w:p>
          <w:p w14:paraId="26E5E2D2" w14:textId="77777777" w:rsidR="00767FC0" w:rsidRPr="00492AD6" w:rsidRDefault="00767FC0">
            <w:pPr>
              <w:pStyle w:val="TableTextEntries"/>
              <w:rPr>
                <w:color w:val="000000" w:themeColor="text1"/>
              </w:rPr>
            </w:pPr>
            <w:r w:rsidRPr="00492AD6">
              <w:rPr>
                <w:color w:val="000000" w:themeColor="text1"/>
              </w:rPr>
              <w:t>Some split incentives apply during lease period.</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3B5D4A" w14:textId="77777777" w:rsidR="00767FC0" w:rsidRPr="00492AD6" w:rsidRDefault="00767FC0">
            <w:pPr>
              <w:pStyle w:val="TableTextEntries"/>
              <w:rPr>
                <w:color w:val="000000" w:themeColor="text1"/>
              </w:rPr>
            </w:pPr>
            <w:r w:rsidRPr="00492AD6">
              <w:rPr>
                <w:color w:val="000000" w:themeColor="text1"/>
              </w:rPr>
              <w:t>Requirements to disclose outgoings to tenants.</w:t>
            </w:r>
          </w:p>
          <w:p w14:paraId="6C76D944" w14:textId="77777777" w:rsidR="00767FC0" w:rsidRPr="00492AD6" w:rsidRDefault="00767FC0">
            <w:pPr>
              <w:pStyle w:val="TableTextEntries"/>
              <w:rPr>
                <w:color w:val="000000" w:themeColor="text1"/>
              </w:rPr>
            </w:pPr>
            <w:r w:rsidRPr="00492AD6">
              <w:rPr>
                <w:color w:val="000000" w:themeColor="text1"/>
              </w:rPr>
              <w:t>NABERS tools to benchmark actual energy performance against other similar buildings are available for most building types.</w:t>
            </w:r>
          </w:p>
          <w:p w14:paraId="2679E96F" w14:textId="77777777" w:rsidR="00767FC0" w:rsidRPr="00492AD6" w:rsidRDefault="00767FC0">
            <w:pPr>
              <w:pStyle w:val="TableTextEntries"/>
              <w:rPr>
                <w:color w:val="000000" w:themeColor="text1"/>
              </w:rPr>
            </w:pPr>
            <w:r w:rsidRPr="00492AD6">
              <w:rPr>
                <w:color w:val="000000" w:themeColor="text1"/>
              </w:rPr>
              <w:t>Under the CBD Program, a NABERS Energy rating is mandatory on lease for office buildings &gt;1000 m</w:t>
            </w:r>
            <w:r w:rsidRPr="00492AD6">
              <w:rPr>
                <w:color w:val="000000" w:themeColor="text1"/>
                <w:vertAlign w:val="superscript"/>
              </w:rPr>
              <w:t>2</w:t>
            </w:r>
            <w:r w:rsidRPr="00492AD6">
              <w:rPr>
                <w:color w:val="000000" w:themeColor="text1"/>
              </w:rPr>
              <w:t>.</w:t>
            </w:r>
          </w:p>
        </w:tc>
        <w:tc>
          <w:tcPr>
            <w:tcW w:w="198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DFD182C" w14:textId="77777777" w:rsidR="00767FC0" w:rsidRPr="00492AD6" w:rsidRDefault="00767FC0">
            <w:pPr>
              <w:pStyle w:val="TableTextEntries"/>
              <w:rPr>
                <w:color w:val="000000" w:themeColor="text1"/>
              </w:rPr>
            </w:pPr>
            <w:r w:rsidRPr="00492AD6">
              <w:rPr>
                <w:color w:val="000000" w:themeColor="text1"/>
              </w:rPr>
              <w:t>Landlord</w:t>
            </w:r>
            <w:r w:rsidRPr="00492AD6">
              <w:rPr>
                <w:color w:val="000000" w:themeColor="text1"/>
              </w:rPr>
              <w:noBreakHyphen/>
              <w:t>tenant problem unlikely to be a significant contributor to the uptake of privately cost</w:t>
            </w:r>
            <w:r w:rsidRPr="00492AD6">
              <w:rPr>
                <w:color w:val="000000" w:themeColor="text1"/>
              </w:rPr>
              <w:noBreakHyphen/>
              <w:t>effective energy efficiency opportunities.</w:t>
            </w:r>
          </w:p>
        </w:tc>
      </w:tr>
      <w:tr w:rsidR="00767FC0" w14:paraId="2046581A" w14:textId="77777777">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63F5F9" w14:textId="77777777" w:rsidR="00767FC0" w:rsidRPr="00492AD6" w:rsidRDefault="00767FC0">
            <w:pPr>
              <w:pStyle w:val="TableTextEntries"/>
              <w:rPr>
                <w:color w:val="000000" w:themeColor="text1"/>
              </w:rPr>
            </w:pPr>
            <w:r w:rsidRPr="00492AD6">
              <w:rPr>
                <w:color w:val="000000" w:themeColor="text1"/>
              </w:rPr>
              <w:t>Other split incentives</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E01917" w14:textId="77777777" w:rsidR="00767FC0" w:rsidRPr="00492AD6" w:rsidRDefault="00767FC0">
            <w:pPr>
              <w:pStyle w:val="TableTextEntries"/>
              <w:rPr>
                <w:color w:val="000000" w:themeColor="text1"/>
              </w:rPr>
            </w:pPr>
            <w:r w:rsidRPr="00492AD6">
              <w:rPr>
                <w:color w:val="000000" w:themeColor="text1"/>
              </w:rPr>
              <w:t>Some qualitative evidence of split incentive where:</w:t>
            </w:r>
          </w:p>
          <w:p w14:paraId="132F53B6" w14:textId="77777777" w:rsidR="00767FC0" w:rsidRPr="00492AD6" w:rsidRDefault="00767FC0">
            <w:pPr>
              <w:pStyle w:val="TableListBullet"/>
              <w:rPr>
                <w:color w:val="000000" w:themeColor="text1"/>
              </w:rPr>
            </w:pPr>
            <w:r w:rsidRPr="00492AD6">
              <w:rPr>
                <w:color w:val="000000" w:themeColor="text1"/>
              </w:rPr>
              <w:t>Different parts of an organisation are responsible for capital costs and operating costs (energy bills)</w:t>
            </w:r>
          </w:p>
          <w:p w14:paraId="19AB241E" w14:textId="77777777" w:rsidR="00767FC0" w:rsidRPr="00492AD6" w:rsidRDefault="00767FC0">
            <w:pPr>
              <w:pStyle w:val="TableListBullet"/>
              <w:rPr>
                <w:color w:val="000000" w:themeColor="text1"/>
              </w:rPr>
            </w:pPr>
            <w:r w:rsidRPr="00492AD6">
              <w:rPr>
                <w:color w:val="000000" w:themeColor="text1"/>
              </w:rPr>
              <w:t>Different incentives across different parties in the building process.</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9552D0" w14:textId="77777777" w:rsidR="00767FC0" w:rsidRPr="00492AD6" w:rsidRDefault="00767FC0">
            <w:pPr>
              <w:pStyle w:val="TableTextEntries"/>
              <w:rPr>
                <w:color w:val="000000" w:themeColor="text1"/>
              </w:rPr>
            </w:pPr>
          </w:p>
        </w:tc>
        <w:tc>
          <w:tcPr>
            <w:tcW w:w="198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96CD14" w14:textId="77777777" w:rsidR="00767FC0" w:rsidRPr="00492AD6" w:rsidRDefault="00767FC0">
            <w:pPr>
              <w:pStyle w:val="TableTextEntries"/>
              <w:rPr>
                <w:color w:val="000000" w:themeColor="text1"/>
              </w:rPr>
            </w:pPr>
            <w:r w:rsidRPr="00492AD6">
              <w:rPr>
                <w:color w:val="000000" w:themeColor="text1"/>
              </w:rPr>
              <w:t>Plausible that these split incentives contribute to sub</w:t>
            </w:r>
            <w:r w:rsidRPr="00492AD6">
              <w:rPr>
                <w:color w:val="000000" w:themeColor="text1"/>
              </w:rPr>
              <w:noBreakHyphen/>
              <w:t>optimal outcomes.</w:t>
            </w:r>
          </w:p>
        </w:tc>
      </w:tr>
      <w:tr w:rsidR="00767FC0" w14:paraId="17EA093E" w14:textId="77777777">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5AE9D22" w14:textId="77777777" w:rsidR="00767FC0" w:rsidRPr="00492AD6" w:rsidRDefault="00767FC0">
            <w:pPr>
              <w:pStyle w:val="TableTextEntries"/>
              <w:rPr>
                <w:color w:val="000000" w:themeColor="text1"/>
              </w:rPr>
            </w:pPr>
            <w:r w:rsidRPr="00492AD6">
              <w:rPr>
                <w:color w:val="000000" w:themeColor="text1"/>
              </w:rPr>
              <w:t>Bounded rationality and heuristic decision</w:t>
            </w:r>
            <w:r w:rsidRPr="00492AD6">
              <w:rPr>
                <w:color w:val="000000" w:themeColor="text1"/>
              </w:rPr>
              <w:noBreakHyphen/>
              <w:t>making</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6CF0A53" w14:textId="77777777" w:rsidR="00767FC0" w:rsidRPr="00492AD6" w:rsidRDefault="00767FC0">
            <w:pPr>
              <w:pStyle w:val="TableTextEntries"/>
              <w:rPr>
                <w:color w:val="000000" w:themeColor="text1"/>
              </w:rPr>
            </w:pPr>
            <w:r w:rsidRPr="00492AD6">
              <w:rPr>
                <w:color w:val="000000" w:themeColor="text1"/>
              </w:rPr>
              <w:t>It is difficult to disentangle the role of heuristics and bounded rationality from competing explanations because decision</w:t>
            </w:r>
            <w:r w:rsidRPr="00492AD6">
              <w:rPr>
                <w:color w:val="000000" w:themeColor="text1"/>
              </w:rPr>
              <w:noBreakHyphen/>
              <w:t>making processes cannot be directly observed.</w:t>
            </w:r>
          </w:p>
          <w:p w14:paraId="5FCBFE59" w14:textId="77777777" w:rsidR="00767FC0" w:rsidRPr="00492AD6" w:rsidRDefault="00767FC0">
            <w:pPr>
              <w:pStyle w:val="TableTextEntries"/>
              <w:rPr>
                <w:color w:val="000000" w:themeColor="text1"/>
              </w:rPr>
            </w:pPr>
            <w:r w:rsidRPr="00492AD6">
              <w:rPr>
                <w:color w:val="000000" w:themeColor="text1"/>
              </w:rPr>
              <w:t>Qualitative evidence of heuristic decision-making, including entrenched practices in the construction industry, such as building to code, rather than optimising.</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E98143" w14:textId="77777777" w:rsidR="00767FC0" w:rsidRPr="00492AD6" w:rsidRDefault="00767FC0">
            <w:pPr>
              <w:pStyle w:val="TableTextEntries"/>
              <w:rPr>
                <w:color w:val="000000" w:themeColor="text1"/>
              </w:rPr>
            </w:pPr>
            <w:r w:rsidRPr="00492AD6">
              <w:rPr>
                <w:color w:val="000000" w:themeColor="text1"/>
              </w:rPr>
              <w:t>Government and industry awareness</w:t>
            </w:r>
            <w:r w:rsidRPr="00492AD6">
              <w:rPr>
                <w:color w:val="000000" w:themeColor="text1"/>
              </w:rPr>
              <w:noBreakHyphen/>
              <w:t>raising efforts.</w:t>
            </w:r>
          </w:p>
        </w:tc>
        <w:tc>
          <w:tcPr>
            <w:tcW w:w="198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C10B484" w14:textId="77777777" w:rsidR="00767FC0" w:rsidRPr="00492AD6" w:rsidRDefault="00767FC0">
            <w:pPr>
              <w:pStyle w:val="TableTextEntries"/>
              <w:rPr>
                <w:color w:val="000000" w:themeColor="text1"/>
              </w:rPr>
            </w:pPr>
            <w:r w:rsidRPr="00492AD6">
              <w:rPr>
                <w:color w:val="000000" w:themeColor="text1"/>
              </w:rPr>
              <w:t>Plausible that heuristic decision-making — such as the persistence of entrenched practices and ‘building to code’ — is a barrier to the uptake of privately cost-effective energy efficiency opportunities.</w:t>
            </w:r>
          </w:p>
        </w:tc>
      </w:tr>
      <w:tr w:rsidR="00767FC0" w14:paraId="5AA42B60" w14:textId="77777777">
        <w:tc>
          <w:tcPr>
            <w:tcW w:w="1984" w:type="dxa"/>
            <w:tcBorders>
              <w:top w:val="single" w:sz="8" w:space="0" w:color="FFFFFF" w:themeColor="background1"/>
              <w:bottom w:val="single" w:sz="6" w:space="0" w:color="6F6652"/>
            </w:tcBorders>
            <w:shd w:val="clear" w:color="auto" w:fill="E9E8E5" w:themeFill="background2"/>
            <w:tcMar>
              <w:left w:w="57" w:type="dxa"/>
              <w:right w:w="57" w:type="dxa"/>
            </w:tcMar>
          </w:tcPr>
          <w:p w14:paraId="08714879" w14:textId="77777777" w:rsidR="00767FC0" w:rsidRPr="00492AD6" w:rsidRDefault="00767FC0">
            <w:pPr>
              <w:pStyle w:val="TableTextEntries"/>
              <w:rPr>
                <w:color w:val="000000" w:themeColor="text1"/>
              </w:rPr>
            </w:pPr>
            <w:r w:rsidRPr="00492AD6">
              <w:rPr>
                <w:color w:val="000000" w:themeColor="text1"/>
              </w:rPr>
              <w:t>Salience and inattention</w:t>
            </w:r>
          </w:p>
        </w:tc>
        <w:tc>
          <w:tcPr>
            <w:tcW w:w="1984" w:type="dxa"/>
            <w:tcBorders>
              <w:top w:val="single" w:sz="8" w:space="0" w:color="FFFFFF" w:themeColor="background1"/>
              <w:bottom w:val="single" w:sz="6" w:space="0" w:color="6F6652"/>
            </w:tcBorders>
            <w:shd w:val="clear" w:color="auto" w:fill="E9E8E5" w:themeFill="background2"/>
            <w:tcMar>
              <w:left w:w="57" w:type="dxa"/>
              <w:right w:w="57" w:type="dxa"/>
            </w:tcMar>
          </w:tcPr>
          <w:p w14:paraId="7CF5FF3A" w14:textId="77777777" w:rsidR="00767FC0" w:rsidRPr="00492AD6" w:rsidRDefault="00767FC0">
            <w:pPr>
              <w:pStyle w:val="TableTextEntries"/>
              <w:rPr>
                <w:color w:val="000000" w:themeColor="text1"/>
              </w:rPr>
            </w:pPr>
            <w:r w:rsidRPr="00492AD6">
              <w:rPr>
                <w:color w:val="000000" w:themeColor="text1"/>
              </w:rPr>
              <w:t>While there is little direct evidence that inattention to energy costs leads to under</w:t>
            </w:r>
            <w:r w:rsidRPr="00492AD6">
              <w:rPr>
                <w:color w:val="000000" w:themeColor="text1"/>
              </w:rPr>
              <w:noBreakHyphen/>
              <w:t>investment in energy efficiency, it is nonetheless a plausible explanation (particularly for small businesses).</w:t>
            </w:r>
          </w:p>
        </w:tc>
        <w:tc>
          <w:tcPr>
            <w:tcW w:w="1984" w:type="dxa"/>
            <w:tcBorders>
              <w:top w:val="single" w:sz="8" w:space="0" w:color="FFFFFF" w:themeColor="background1"/>
              <w:bottom w:val="single" w:sz="6" w:space="0" w:color="6F6652"/>
            </w:tcBorders>
            <w:shd w:val="clear" w:color="auto" w:fill="E9E8E5" w:themeFill="background2"/>
            <w:tcMar>
              <w:left w:w="57" w:type="dxa"/>
              <w:right w:w="57" w:type="dxa"/>
            </w:tcMar>
          </w:tcPr>
          <w:p w14:paraId="044D59E5" w14:textId="77777777" w:rsidR="00767FC0" w:rsidRPr="00492AD6" w:rsidRDefault="00767FC0">
            <w:pPr>
              <w:pStyle w:val="TableTextEntries"/>
              <w:rPr>
                <w:color w:val="000000" w:themeColor="text1"/>
              </w:rPr>
            </w:pPr>
            <w:r w:rsidRPr="00492AD6">
              <w:rPr>
                <w:color w:val="000000" w:themeColor="text1"/>
              </w:rPr>
              <w:t>Government and industry awareness</w:t>
            </w:r>
            <w:r w:rsidRPr="00492AD6">
              <w:rPr>
                <w:color w:val="000000" w:themeColor="text1"/>
              </w:rPr>
              <w:noBreakHyphen/>
              <w:t>raising efforts.</w:t>
            </w:r>
          </w:p>
        </w:tc>
        <w:tc>
          <w:tcPr>
            <w:tcW w:w="1985" w:type="dxa"/>
            <w:tcBorders>
              <w:top w:val="single" w:sz="8" w:space="0" w:color="FFFFFF" w:themeColor="background1"/>
              <w:bottom w:val="single" w:sz="6" w:space="0" w:color="6F6652"/>
            </w:tcBorders>
            <w:shd w:val="clear" w:color="auto" w:fill="E9E8E5" w:themeFill="background2"/>
            <w:tcMar>
              <w:left w:w="57" w:type="dxa"/>
              <w:right w:w="57" w:type="dxa"/>
            </w:tcMar>
          </w:tcPr>
          <w:p w14:paraId="267E698E" w14:textId="77777777" w:rsidR="00767FC0" w:rsidRPr="00492AD6" w:rsidRDefault="00767FC0">
            <w:pPr>
              <w:pStyle w:val="TableTextEntries"/>
              <w:rPr>
                <w:color w:val="000000" w:themeColor="text1"/>
              </w:rPr>
            </w:pPr>
            <w:r w:rsidRPr="00492AD6">
              <w:rPr>
                <w:color w:val="000000" w:themeColor="text1"/>
              </w:rPr>
              <w:t>Plausible that salience and inattention is a barrier to the uptake of privately cost-effective energy efficiency opportunities.</w:t>
            </w:r>
          </w:p>
        </w:tc>
      </w:tr>
    </w:tbl>
    <w:p w14:paraId="6720E3F4" w14:textId="77777777" w:rsidR="00767FC0" w:rsidRDefault="00767FC0" w:rsidP="00767FC0">
      <w:pPr>
        <w:pStyle w:val="Note"/>
      </w:pPr>
      <w:r w:rsidRPr="007D1B4F">
        <w:rPr>
          <w:i/>
        </w:rPr>
        <w:t>Note:</w:t>
      </w:r>
      <w:r w:rsidRPr="00E879B8">
        <w:t xml:space="preserve"> </w:t>
      </w:r>
      <w:r>
        <w:t>See Appendix A for further information.</w:t>
      </w:r>
    </w:p>
    <w:p w14:paraId="73D5FEEC" w14:textId="77777777" w:rsidR="00767FC0" w:rsidRDefault="00767FC0" w:rsidP="00767FC0">
      <w:pPr>
        <w:pStyle w:val="Source"/>
      </w:pPr>
      <w:r>
        <w:rPr>
          <w:i/>
        </w:rPr>
        <w:t>Source</w:t>
      </w:r>
      <w:r w:rsidRPr="00E4232C">
        <w:rPr>
          <w:i/>
        </w:rPr>
        <w:t>:</w:t>
      </w:r>
      <w:r>
        <w:t xml:space="preserve"> CIE.</w:t>
      </w:r>
    </w:p>
    <w:p w14:paraId="73A1AA87" w14:textId="77777777" w:rsidR="00767FC0" w:rsidRDefault="00767FC0" w:rsidP="00767FC0">
      <w:pPr>
        <w:pStyle w:val="Heading3"/>
        <w:numPr>
          <w:ilvl w:val="0"/>
          <w:numId w:val="0"/>
        </w:numPr>
      </w:pPr>
      <w:r w:rsidRPr="002F1645">
        <w:t xml:space="preserve">Rationale for </w:t>
      </w:r>
      <w:r>
        <w:t>government intervention on</w:t>
      </w:r>
      <w:r w:rsidRPr="002F1645">
        <w:t xml:space="preserve"> electric vehicle charging facilities</w:t>
      </w:r>
    </w:p>
    <w:p w14:paraId="1C17F48E" w14:textId="77777777" w:rsidR="00767FC0" w:rsidRPr="00844A6E" w:rsidRDefault="00767FC0" w:rsidP="00767FC0">
      <w:pPr>
        <w:pStyle w:val="BodyText"/>
        <w:rPr>
          <w:szCs w:val="22"/>
        </w:rPr>
      </w:pPr>
      <w:r w:rsidRPr="00844A6E">
        <w:rPr>
          <w:szCs w:val="22"/>
        </w:rPr>
        <w:t>Passenger cars and light commercial vehicles contribute around 10 per cent of Australia’s total GHG emissions.</w:t>
      </w:r>
      <w:r w:rsidRPr="00624CFE">
        <w:rPr>
          <w:rStyle w:val="FootnoteReference"/>
        </w:rPr>
        <w:footnoteReference w:id="26"/>
      </w:r>
      <w:r w:rsidRPr="00844A6E">
        <w:rPr>
          <w:szCs w:val="22"/>
        </w:rPr>
        <w:t xml:space="preserve"> However, the GHG emissions associated with petrol and diesel</w:t>
      </w:r>
      <w:r w:rsidRPr="00844A6E">
        <w:rPr>
          <w:szCs w:val="22"/>
        </w:rPr>
        <w:noBreakHyphen/>
        <w:t>powered combustion engines are not currently reflected in fuel prices (i.e. GHG emissions are an unpriced negative externality). This limits the incentive to transition to less GHG</w:t>
      </w:r>
      <w:r w:rsidRPr="00844A6E">
        <w:rPr>
          <w:szCs w:val="22"/>
        </w:rPr>
        <w:noBreakHyphen/>
        <w:t>intensive alternatives, such as electric vehicles (EVs). Transitioning to EVs (together with decarbonising electricity supply) is a key element of the pathway to net zero (see discussion on net zero targets below).</w:t>
      </w:r>
      <w:r w:rsidRPr="00F07E52">
        <w:rPr>
          <w:rStyle w:val="FootnoteReference"/>
        </w:rPr>
        <w:footnoteReference w:id="27"/>
      </w:r>
    </w:p>
    <w:p w14:paraId="5E0DBAA2" w14:textId="77777777" w:rsidR="00767FC0" w:rsidRPr="00844A6E" w:rsidRDefault="00767FC0" w:rsidP="00767FC0">
      <w:pPr>
        <w:pStyle w:val="BodyText"/>
        <w:rPr>
          <w:szCs w:val="22"/>
        </w:rPr>
      </w:pPr>
      <w:r w:rsidRPr="00844A6E">
        <w:rPr>
          <w:szCs w:val="22"/>
        </w:rPr>
        <w:t>There is an interdependence between EV adoption and investment in public charging facilities referred to as an ‘indirect network effect’ (or the chicken and the egg problem) This is where the benefit of adoption/investment on one side of the market increases with the network size on the other side of the market.</w:t>
      </w:r>
      <w:r w:rsidRPr="00F07E52">
        <w:rPr>
          <w:rStyle w:val="FootnoteReference"/>
        </w:rPr>
        <w:footnoteReference w:id="28"/>
      </w:r>
    </w:p>
    <w:p w14:paraId="4FBDCAE4" w14:textId="12525A37" w:rsidR="00767FC0" w:rsidRPr="008F0FC8" w:rsidRDefault="00767FC0" w:rsidP="00767FC0">
      <w:pPr>
        <w:pStyle w:val="ListBullet"/>
        <w:rPr>
          <w:lang w:bidi="fa-IR"/>
        </w:rPr>
      </w:pPr>
      <w:r w:rsidRPr="008F0FC8">
        <w:rPr>
          <w:lang w:bidi="fa-IR"/>
        </w:rPr>
        <w:t xml:space="preserve">Although as much as 80 per cent of EV charging takes place at home, the availability of public charging facilities has been identified as a key barrier to widespread uptake of </w:t>
      </w:r>
      <w:r w:rsidR="00E82177">
        <w:rPr>
          <w:lang w:bidi="fa-IR"/>
        </w:rPr>
        <w:t>EVs</w:t>
      </w:r>
      <w:r w:rsidRPr="008F0FC8">
        <w:rPr>
          <w:lang w:bidi="fa-IR"/>
        </w:rPr>
        <w:t xml:space="preserve"> in Australia (along with high purchase price, beliefs around limited range, and long charging times at some stations).</w:t>
      </w:r>
      <w:r w:rsidRPr="00F07E52">
        <w:rPr>
          <w:rStyle w:val="FootnoteReference"/>
          <w:lang w:bidi="fa-IR"/>
        </w:rPr>
        <w:footnoteReference w:id="29"/>
      </w:r>
      <w:r w:rsidRPr="008F0FC8">
        <w:rPr>
          <w:lang w:bidi="fa-IR"/>
        </w:rPr>
        <w:t xml:space="preserve"> </w:t>
      </w:r>
    </w:p>
    <w:p w14:paraId="3F1D7833" w14:textId="2CCD5317" w:rsidR="00767FC0" w:rsidRPr="00844A6E" w:rsidRDefault="00767FC0" w:rsidP="00767FC0">
      <w:pPr>
        <w:pStyle w:val="ListBullet"/>
        <w:numPr>
          <w:ilvl w:val="1"/>
          <w:numId w:val="34"/>
        </w:numPr>
        <w:rPr>
          <w:szCs w:val="22"/>
        </w:rPr>
      </w:pPr>
      <w:r w:rsidRPr="00844A6E">
        <w:rPr>
          <w:szCs w:val="22"/>
        </w:rPr>
        <w:t xml:space="preserve">Even when EV owners can charge their vehicles overnight at home, some consumers still worry about running out of electricity before reaching their destination. This ‘range anxiety’ (which may partly reflect misunderstanding about EV range) limits adoption of </w:t>
      </w:r>
      <w:r w:rsidR="00E82177">
        <w:rPr>
          <w:szCs w:val="22"/>
        </w:rPr>
        <w:t>EVs</w:t>
      </w:r>
      <w:r w:rsidRPr="00844A6E">
        <w:rPr>
          <w:szCs w:val="22"/>
        </w:rPr>
        <w:t>, especially when public charging facilities are scarce.</w:t>
      </w:r>
    </w:p>
    <w:p w14:paraId="68992187" w14:textId="77777777" w:rsidR="00767FC0" w:rsidRPr="00844A6E" w:rsidRDefault="00767FC0" w:rsidP="00767FC0">
      <w:pPr>
        <w:pStyle w:val="ListBullet"/>
        <w:numPr>
          <w:ilvl w:val="1"/>
          <w:numId w:val="34"/>
        </w:numPr>
        <w:rPr>
          <w:szCs w:val="22"/>
        </w:rPr>
      </w:pPr>
      <w:r w:rsidRPr="00844A6E">
        <w:rPr>
          <w:szCs w:val="22"/>
        </w:rPr>
        <w:t>Furthermore, according to the Electric Vehicle Council, it is likely that home charging will be challenging or impossible in around 20 per cent of the current dwelling stock, including:</w:t>
      </w:r>
      <w:r w:rsidRPr="00F07E52">
        <w:rPr>
          <w:rStyle w:val="FootnoteReference"/>
        </w:rPr>
        <w:footnoteReference w:id="30"/>
      </w:r>
    </w:p>
    <w:p w14:paraId="55A8328D" w14:textId="77777777" w:rsidR="00767FC0" w:rsidRPr="00844A6E" w:rsidRDefault="00767FC0" w:rsidP="00767FC0">
      <w:pPr>
        <w:pStyle w:val="ListBullet"/>
        <w:numPr>
          <w:ilvl w:val="2"/>
          <w:numId w:val="34"/>
        </w:numPr>
        <w:rPr>
          <w:szCs w:val="22"/>
        </w:rPr>
      </w:pPr>
      <w:r w:rsidRPr="00844A6E">
        <w:rPr>
          <w:szCs w:val="22"/>
        </w:rPr>
        <w:t>around 7 per cent of the dwelling stock on the market lacks off</w:t>
      </w:r>
      <w:r w:rsidRPr="00844A6E">
        <w:rPr>
          <w:szCs w:val="22"/>
        </w:rPr>
        <w:noBreakHyphen/>
        <w:t>street parking (for example, terrace housing)</w:t>
      </w:r>
    </w:p>
    <w:p w14:paraId="30A82463" w14:textId="77777777" w:rsidR="00767FC0" w:rsidRPr="00844A6E" w:rsidRDefault="00767FC0" w:rsidP="00767FC0">
      <w:pPr>
        <w:pStyle w:val="ListBullet"/>
        <w:numPr>
          <w:ilvl w:val="2"/>
          <w:numId w:val="34"/>
        </w:numPr>
        <w:rPr>
          <w:szCs w:val="22"/>
        </w:rPr>
      </w:pPr>
      <w:r w:rsidRPr="00844A6E">
        <w:rPr>
          <w:szCs w:val="22"/>
        </w:rPr>
        <w:t>around 14 per cent of the dwelling stock is flats and apartments where retrofitting EV charging facilities would be challenging or impossible.</w:t>
      </w:r>
    </w:p>
    <w:p w14:paraId="3D88C9A6" w14:textId="24A445A6" w:rsidR="00767FC0" w:rsidRPr="00844A6E" w:rsidRDefault="00767FC0" w:rsidP="00767FC0">
      <w:pPr>
        <w:pStyle w:val="ListBullet"/>
        <w:numPr>
          <w:ilvl w:val="1"/>
          <w:numId w:val="34"/>
        </w:numPr>
        <w:rPr>
          <w:szCs w:val="22"/>
        </w:rPr>
      </w:pPr>
      <w:r w:rsidRPr="00844A6E">
        <w:rPr>
          <w:szCs w:val="22"/>
        </w:rPr>
        <w:t xml:space="preserve">Research from California indicates that around 20 per cent of consumers that had switched to an </w:t>
      </w:r>
      <w:r w:rsidR="00515DF0">
        <w:rPr>
          <w:szCs w:val="22"/>
        </w:rPr>
        <w:t>EV</w:t>
      </w:r>
      <w:r w:rsidR="00881170">
        <w:rPr>
          <w:szCs w:val="22"/>
        </w:rPr>
        <w:t xml:space="preserve"> </w:t>
      </w:r>
      <w:r w:rsidRPr="00844A6E">
        <w:rPr>
          <w:szCs w:val="22"/>
        </w:rPr>
        <w:t>had switched back to petrol/diesel vehicles. Of these, 70 per cent lacked convenient charging facilities at home.</w:t>
      </w:r>
      <w:r w:rsidRPr="00F07E52">
        <w:rPr>
          <w:rStyle w:val="FootnoteReference"/>
        </w:rPr>
        <w:footnoteReference w:id="31"/>
      </w:r>
    </w:p>
    <w:p w14:paraId="43ACBD6C" w14:textId="77777777" w:rsidR="00767FC0" w:rsidRPr="004035BC" w:rsidRDefault="00767FC0" w:rsidP="00767FC0">
      <w:pPr>
        <w:pStyle w:val="ListBullet"/>
        <w:rPr>
          <w:lang w:bidi="fa-IR"/>
        </w:rPr>
      </w:pPr>
      <w:r w:rsidRPr="004035BC">
        <w:rPr>
          <w:lang w:bidi="fa-IR"/>
        </w:rPr>
        <w:t>At the same time, private investors have less incentive to build charging stations if the size of the EV fleet is small.</w:t>
      </w:r>
    </w:p>
    <w:p w14:paraId="54EBA316" w14:textId="77777777" w:rsidR="00767FC0" w:rsidRPr="00844A6E" w:rsidRDefault="00767FC0" w:rsidP="00767FC0">
      <w:pPr>
        <w:pStyle w:val="BodyText"/>
        <w:rPr>
          <w:szCs w:val="22"/>
          <w:lang w:eastAsia="en-US"/>
        </w:rPr>
      </w:pPr>
      <w:r w:rsidRPr="00844A6E">
        <w:rPr>
          <w:szCs w:val="22"/>
          <w:lang w:eastAsia="en-US"/>
        </w:rPr>
        <w:t>Most commercial buildings are workplaces. Charging capabilities at work would provide an additional charging option, including for households that do not have access to charging at home.</w:t>
      </w:r>
    </w:p>
    <w:p w14:paraId="6EDC6E70" w14:textId="77777777" w:rsidR="00767FC0" w:rsidRPr="009D66AE" w:rsidRDefault="00767FC0" w:rsidP="00767FC0">
      <w:pPr>
        <w:pStyle w:val="Heading2"/>
        <w:rPr>
          <w:lang w:eastAsia="en-US"/>
        </w:rPr>
      </w:pPr>
      <w:bookmarkStart w:id="607" w:name="_Toc149060060"/>
      <w:bookmarkStart w:id="608" w:name="_Toc177735090"/>
      <w:bookmarkStart w:id="609" w:name="_Toc178292525"/>
      <w:r w:rsidRPr="009D66AE">
        <w:rPr>
          <w:lang w:eastAsia="en-US"/>
        </w:rPr>
        <w:t>Policy environment</w:t>
      </w:r>
      <w:bookmarkEnd w:id="607"/>
      <w:bookmarkEnd w:id="608"/>
      <w:bookmarkEnd w:id="609"/>
    </w:p>
    <w:p w14:paraId="1985AAA9" w14:textId="77777777" w:rsidR="00767FC0" w:rsidRPr="00844A6E" w:rsidRDefault="00767FC0" w:rsidP="00767FC0">
      <w:pPr>
        <w:pStyle w:val="BodyText"/>
        <w:rPr>
          <w:szCs w:val="22"/>
          <w:lang w:eastAsia="en-US"/>
        </w:rPr>
      </w:pPr>
      <w:r w:rsidRPr="00844A6E">
        <w:rPr>
          <w:szCs w:val="22"/>
          <w:lang w:eastAsia="en-US"/>
        </w:rPr>
        <w:t>It is important to understand the policy environment in relation to the NCC. In particular, whether there are existing policies that already address some or all of the market failures outlined above.</w:t>
      </w:r>
    </w:p>
    <w:p w14:paraId="37F0E57E" w14:textId="77777777" w:rsidR="00767FC0" w:rsidRPr="00844A6E" w:rsidRDefault="00767FC0" w:rsidP="00767FC0">
      <w:pPr>
        <w:pStyle w:val="BodyText"/>
        <w:rPr>
          <w:szCs w:val="22"/>
          <w:lang w:eastAsia="en-US"/>
        </w:rPr>
      </w:pPr>
      <w:r w:rsidRPr="00844A6E">
        <w:rPr>
          <w:szCs w:val="22"/>
          <w:lang w:eastAsia="en-US"/>
        </w:rPr>
        <w:t>As achieving Australia’s targets under the Paris Climate Agreement will require a suite of policies, it is important to understand where the NCC fits into the broader strategy.</w:t>
      </w:r>
    </w:p>
    <w:p w14:paraId="2FA0F348" w14:textId="77777777" w:rsidR="00767FC0" w:rsidRPr="00844A6E" w:rsidRDefault="00767FC0" w:rsidP="00767FC0">
      <w:pPr>
        <w:pStyle w:val="BodyText"/>
        <w:rPr>
          <w:szCs w:val="22"/>
          <w:lang w:eastAsia="en-US"/>
        </w:rPr>
      </w:pPr>
      <w:r w:rsidRPr="00844A6E">
        <w:rPr>
          <w:szCs w:val="22"/>
          <w:lang w:eastAsia="en-US"/>
        </w:rPr>
        <w:t xml:space="preserve">The impact of the proposed changes to the NCC also depend on current and future policies. </w:t>
      </w:r>
    </w:p>
    <w:p w14:paraId="4CA1E932" w14:textId="77777777" w:rsidR="00767FC0" w:rsidRPr="00844A6E" w:rsidRDefault="00767FC0" w:rsidP="00767FC0">
      <w:pPr>
        <w:pStyle w:val="Heading3"/>
        <w:numPr>
          <w:ilvl w:val="0"/>
          <w:numId w:val="0"/>
        </w:numPr>
        <w:rPr>
          <w:sz w:val="22"/>
          <w:lang w:eastAsia="en-US"/>
        </w:rPr>
      </w:pPr>
      <w:r w:rsidRPr="00844A6E">
        <w:rPr>
          <w:sz w:val="22"/>
          <w:lang w:eastAsia="en-US"/>
        </w:rPr>
        <w:t>GHG commitments</w:t>
      </w:r>
    </w:p>
    <w:p w14:paraId="7A7C0D69" w14:textId="77777777" w:rsidR="00767FC0" w:rsidRPr="00844A6E" w:rsidRDefault="00767FC0" w:rsidP="00767FC0">
      <w:pPr>
        <w:pStyle w:val="BodyText"/>
        <w:rPr>
          <w:szCs w:val="22"/>
        </w:rPr>
      </w:pPr>
      <w:r w:rsidRPr="00844A6E">
        <w:rPr>
          <w:szCs w:val="22"/>
        </w:rPr>
        <w:t>In 2022, under the Paris Climate Agreement, the Australian Government updated its Nationally Determined Contribution to target emissions reduction of:</w:t>
      </w:r>
      <w:r w:rsidRPr="00852521">
        <w:rPr>
          <w:rStyle w:val="FootnoteReference"/>
        </w:rPr>
        <w:footnoteReference w:id="32"/>
      </w:r>
    </w:p>
    <w:p w14:paraId="041B64B7" w14:textId="5F2105B5" w:rsidR="00767FC0" w:rsidRPr="00F07E52" w:rsidRDefault="00767FC0" w:rsidP="00767FC0">
      <w:pPr>
        <w:pStyle w:val="ListBullet"/>
        <w:rPr>
          <w:lang w:bidi="fa-IR"/>
        </w:rPr>
      </w:pPr>
      <w:r w:rsidRPr="00F07E52">
        <w:rPr>
          <w:lang w:bidi="fa-IR"/>
        </w:rPr>
        <w:t>43 per cent below 2005 levels by 2030,</w:t>
      </w:r>
      <w:r w:rsidR="00E208F1">
        <w:rPr>
          <w:lang w:bidi="fa-IR"/>
        </w:rPr>
        <w:t xml:space="preserve"> and</w:t>
      </w:r>
    </w:p>
    <w:p w14:paraId="29F385CA" w14:textId="77777777" w:rsidR="00767FC0" w:rsidRPr="00F07E52" w:rsidRDefault="00767FC0" w:rsidP="00767FC0">
      <w:pPr>
        <w:pStyle w:val="ListBullet"/>
        <w:rPr>
          <w:lang w:bidi="fa-IR"/>
        </w:rPr>
      </w:pPr>
      <w:r w:rsidRPr="00F07E52">
        <w:rPr>
          <w:lang w:bidi="fa-IR"/>
        </w:rPr>
        <w:t>net zero by 2050.</w:t>
      </w:r>
    </w:p>
    <w:p w14:paraId="7E6070E5" w14:textId="77777777" w:rsidR="00767FC0" w:rsidRPr="00844A6E" w:rsidRDefault="00767FC0" w:rsidP="00767FC0">
      <w:pPr>
        <w:pStyle w:val="BodyText"/>
        <w:tabs>
          <w:tab w:val="left" w:pos="284"/>
        </w:tabs>
        <w:rPr>
          <w:szCs w:val="22"/>
          <w:lang w:eastAsia="en-US"/>
        </w:rPr>
      </w:pPr>
      <w:r w:rsidRPr="00844A6E">
        <w:rPr>
          <w:szCs w:val="22"/>
          <w:lang w:eastAsia="en-US"/>
        </w:rPr>
        <w:t>These targets have been legislated.</w:t>
      </w:r>
    </w:p>
    <w:p w14:paraId="54D7EB37" w14:textId="77777777" w:rsidR="00767FC0" w:rsidRPr="00844A6E" w:rsidRDefault="00767FC0" w:rsidP="00767FC0">
      <w:pPr>
        <w:pStyle w:val="BodyText"/>
        <w:rPr>
          <w:szCs w:val="22"/>
        </w:rPr>
      </w:pPr>
      <w:r w:rsidRPr="00844A6E">
        <w:rPr>
          <w:szCs w:val="22"/>
        </w:rPr>
        <w:t>All Australian states and territories are committed to net zero emissions by 2050 or earlier, with varying interim targets for 2030. For example,</w:t>
      </w:r>
    </w:p>
    <w:p w14:paraId="7A6777B7" w14:textId="77777777" w:rsidR="00767FC0" w:rsidRPr="00F07E52" w:rsidRDefault="00767FC0" w:rsidP="00767FC0">
      <w:pPr>
        <w:pStyle w:val="ListBullet"/>
        <w:rPr>
          <w:lang w:bidi="fa-IR"/>
        </w:rPr>
      </w:pPr>
      <w:r w:rsidRPr="00F07E52">
        <w:rPr>
          <w:lang w:bidi="fa-IR"/>
        </w:rPr>
        <w:t>Both New South Wales (NSW) and South Australia (SA) have an objective to achieve a 50 per cent reduction in emissions on 2005 levels by 2030;</w:t>
      </w:r>
      <w:r w:rsidRPr="00852521">
        <w:rPr>
          <w:rStyle w:val="FootnoteReference"/>
          <w:lang w:bidi="fa-IR"/>
        </w:rPr>
        <w:footnoteReference w:id="33"/>
      </w:r>
      <w:r w:rsidRPr="00852521">
        <w:rPr>
          <w:rStyle w:val="FootnoteReference"/>
          <w:lang w:bidi="fa-IR"/>
        </w:rPr>
        <w:t>,</w:t>
      </w:r>
      <w:r w:rsidRPr="00852521">
        <w:rPr>
          <w:rStyle w:val="FootnoteReference"/>
          <w:lang w:bidi="fa-IR"/>
        </w:rPr>
        <w:footnoteReference w:id="34"/>
      </w:r>
    </w:p>
    <w:p w14:paraId="6E68A668" w14:textId="77777777" w:rsidR="00767FC0" w:rsidRPr="00F07E52" w:rsidRDefault="00767FC0" w:rsidP="00767FC0">
      <w:pPr>
        <w:pStyle w:val="ListBullet"/>
        <w:rPr>
          <w:lang w:bidi="fa-IR"/>
        </w:rPr>
      </w:pPr>
      <w:r w:rsidRPr="00F07E52">
        <w:rPr>
          <w:lang w:bidi="fa-IR"/>
        </w:rPr>
        <w:t>Victoria (VIC) has set a target of 45-50 per cent below 2005 level by 2030, and 75-80 per cent by 2035, and net zero by 2045;</w:t>
      </w:r>
      <w:r w:rsidRPr="00F07E52">
        <w:rPr>
          <w:lang w:bidi="fa-IR"/>
        </w:rPr>
        <w:footnoteReference w:id="35"/>
      </w:r>
    </w:p>
    <w:p w14:paraId="3FC4D898" w14:textId="77777777" w:rsidR="00767FC0" w:rsidRPr="00F07E52" w:rsidRDefault="00767FC0" w:rsidP="00767FC0">
      <w:pPr>
        <w:pStyle w:val="ListBullet"/>
        <w:rPr>
          <w:lang w:bidi="fa-IR"/>
        </w:rPr>
      </w:pPr>
      <w:r w:rsidRPr="00F07E52">
        <w:rPr>
          <w:lang w:bidi="fa-IR"/>
        </w:rPr>
        <w:t>Queensland (QLD) has set a target of 30 per cent below 2005 level by 2030;</w:t>
      </w:r>
      <w:r w:rsidRPr="00852521">
        <w:rPr>
          <w:rStyle w:val="FootnoteReference"/>
          <w:lang w:bidi="fa-IR"/>
        </w:rPr>
        <w:footnoteReference w:id="36"/>
      </w:r>
    </w:p>
    <w:p w14:paraId="7DB61FF3" w14:textId="77777777" w:rsidR="00767FC0" w:rsidRPr="00BA1206" w:rsidRDefault="00767FC0" w:rsidP="00767FC0">
      <w:pPr>
        <w:pStyle w:val="ListBullet"/>
        <w:rPr>
          <w:lang w:bidi="fa-IR"/>
        </w:rPr>
      </w:pPr>
      <w:r w:rsidRPr="00BA1206">
        <w:rPr>
          <w:lang w:bidi="fa-IR"/>
        </w:rPr>
        <w:t>Western Australia (WA) introduced the interim target of 80 per cent below 2020 levels by 2030 for all government agencies across the State;</w:t>
      </w:r>
      <w:r w:rsidRPr="00BA1206">
        <w:rPr>
          <w:rStyle w:val="FootnoteReference"/>
        </w:rPr>
        <w:footnoteReference w:id="37"/>
      </w:r>
    </w:p>
    <w:p w14:paraId="4EF49A39" w14:textId="77777777" w:rsidR="00767FC0" w:rsidRPr="00BA1206" w:rsidRDefault="00767FC0" w:rsidP="00767FC0">
      <w:pPr>
        <w:pStyle w:val="ListBullet"/>
        <w:rPr>
          <w:lang w:bidi="fa-IR"/>
        </w:rPr>
      </w:pPr>
      <w:r w:rsidRPr="00BA1206">
        <w:rPr>
          <w:lang w:bidi="fa-IR"/>
        </w:rPr>
        <w:t>Tasmania (TAS) has set the target to maintain net zero emissions or lower from 2030;</w:t>
      </w:r>
      <w:r w:rsidRPr="00BA1206">
        <w:rPr>
          <w:rStyle w:val="FootnoteReference"/>
        </w:rPr>
        <w:footnoteReference w:id="38"/>
      </w:r>
    </w:p>
    <w:p w14:paraId="18CD5ABF" w14:textId="77777777" w:rsidR="00767FC0" w:rsidRPr="00BA1206" w:rsidRDefault="00767FC0" w:rsidP="00767FC0">
      <w:pPr>
        <w:pStyle w:val="ListBullet"/>
        <w:rPr>
          <w:lang w:bidi="fa-IR"/>
        </w:rPr>
      </w:pPr>
      <w:r w:rsidRPr="00BA1206">
        <w:rPr>
          <w:lang w:bidi="fa-IR"/>
        </w:rPr>
        <w:t>The Northern Territory (NT) is prioritising clean energy and renewables with its target of 50 per cent renewables for electricity supply by 2030;</w:t>
      </w:r>
      <w:r w:rsidRPr="00BA1206">
        <w:rPr>
          <w:rStyle w:val="FootnoteReference"/>
        </w:rPr>
        <w:footnoteReference w:id="39"/>
      </w:r>
      <w:r w:rsidRPr="00BA1206">
        <w:rPr>
          <w:lang w:bidi="fa-IR"/>
        </w:rPr>
        <w:t xml:space="preserve"> and</w:t>
      </w:r>
    </w:p>
    <w:p w14:paraId="191F034B" w14:textId="77777777" w:rsidR="00767FC0" w:rsidRPr="00BA1206" w:rsidRDefault="00767FC0" w:rsidP="00767FC0">
      <w:pPr>
        <w:pStyle w:val="ListBullet"/>
        <w:rPr>
          <w:lang w:bidi="fa-IR"/>
        </w:rPr>
      </w:pPr>
      <w:r w:rsidRPr="00BA1206">
        <w:rPr>
          <w:lang w:bidi="fa-IR"/>
        </w:rPr>
        <w:t>The Australian Capital Territory (ACT) is committed to achieving net zero by 2045, with targets of 50-60 per cent below 1990 levels by 2025, 65-75 per cent by 2030 and 90-95 per cent by 2040.</w:t>
      </w:r>
      <w:r w:rsidRPr="00BA1206">
        <w:rPr>
          <w:rStyle w:val="FootnoteReference"/>
        </w:rPr>
        <w:footnoteReference w:id="40"/>
      </w:r>
    </w:p>
    <w:p w14:paraId="55CE06AC" w14:textId="77777777" w:rsidR="00767FC0" w:rsidRPr="00F52667" w:rsidRDefault="00767FC0" w:rsidP="00767FC0">
      <w:pPr>
        <w:pStyle w:val="Heading3"/>
        <w:numPr>
          <w:ilvl w:val="0"/>
          <w:numId w:val="0"/>
        </w:numPr>
        <w:rPr>
          <w:lang w:eastAsia="en-US"/>
        </w:rPr>
      </w:pPr>
      <w:r w:rsidRPr="00F52667">
        <w:rPr>
          <w:lang w:eastAsia="en-US"/>
        </w:rPr>
        <w:t>High</w:t>
      </w:r>
      <w:r w:rsidRPr="00F52667">
        <w:rPr>
          <w:lang w:eastAsia="en-US"/>
        </w:rPr>
        <w:noBreakHyphen/>
        <w:t>level strategies</w:t>
      </w:r>
    </w:p>
    <w:p w14:paraId="5BE2D7B0" w14:textId="77777777" w:rsidR="00767FC0" w:rsidRPr="00844A6E" w:rsidRDefault="00767FC0" w:rsidP="00767FC0">
      <w:pPr>
        <w:pStyle w:val="BodyText"/>
        <w:rPr>
          <w:szCs w:val="22"/>
        </w:rPr>
      </w:pPr>
      <w:r w:rsidRPr="00844A6E">
        <w:rPr>
          <w:szCs w:val="22"/>
        </w:rPr>
        <w:t>Several high-level strategies have either been developed or are being developed that will set out a roadmap for achieving the net zero target and other related objectives. Some of these high</w:t>
      </w:r>
      <w:r w:rsidRPr="00844A6E">
        <w:rPr>
          <w:szCs w:val="22"/>
        </w:rPr>
        <w:noBreakHyphen/>
        <w:t>level strategies that are relevant to the proposed changes to the NCC are set out below.</w:t>
      </w:r>
    </w:p>
    <w:p w14:paraId="287967A9" w14:textId="77777777" w:rsidR="00767FC0" w:rsidRDefault="00767FC0" w:rsidP="00767FC0">
      <w:pPr>
        <w:pStyle w:val="Heading4"/>
      </w:pPr>
      <w:r>
        <w:t>Sectoral decarbonisation plans</w:t>
      </w:r>
    </w:p>
    <w:p w14:paraId="548A8760" w14:textId="77777777" w:rsidR="00767FC0" w:rsidRPr="00844A6E" w:rsidRDefault="00767FC0" w:rsidP="00767FC0">
      <w:pPr>
        <w:pStyle w:val="ListBullet3"/>
        <w:numPr>
          <w:ilvl w:val="0"/>
          <w:numId w:val="0"/>
        </w:numPr>
        <w:rPr>
          <w:szCs w:val="22"/>
        </w:rPr>
      </w:pPr>
      <w:r w:rsidRPr="00844A6E">
        <w:rPr>
          <w:szCs w:val="22"/>
        </w:rPr>
        <w:t>Consistent with the jurisdiction’s net-zero emission agendas, the Australian Government will develop sectoral decarbonisation plans for six sectors, including the followings that are relevant to commercial buildings and the NCC:</w:t>
      </w:r>
      <w:r w:rsidRPr="00A87CD1">
        <w:rPr>
          <w:rStyle w:val="FootnoteReference"/>
        </w:rPr>
        <w:footnoteReference w:id="41"/>
      </w:r>
    </w:p>
    <w:p w14:paraId="61784491" w14:textId="77777777" w:rsidR="00767FC0" w:rsidRPr="00BA1206" w:rsidRDefault="00767FC0" w:rsidP="00767FC0">
      <w:pPr>
        <w:pStyle w:val="ListBullet"/>
        <w:rPr>
          <w:lang w:bidi="fa-IR"/>
        </w:rPr>
      </w:pPr>
      <w:r w:rsidRPr="00BA1206">
        <w:rPr>
          <w:lang w:bidi="fa-IR"/>
        </w:rPr>
        <w:t>Electricity and energy — decarbonisation of the electricity and energy sectors will reduce the GHG emissions associated with the operation of commercial buildings;</w:t>
      </w:r>
    </w:p>
    <w:p w14:paraId="5DEB4E95" w14:textId="77777777" w:rsidR="00767FC0" w:rsidRPr="00BA1206" w:rsidRDefault="00767FC0" w:rsidP="00767FC0">
      <w:pPr>
        <w:pStyle w:val="ListBullet"/>
        <w:rPr>
          <w:lang w:bidi="fa-IR"/>
        </w:rPr>
      </w:pPr>
      <w:r w:rsidRPr="00BA1206">
        <w:rPr>
          <w:lang w:bidi="fa-IR"/>
        </w:rPr>
        <w:t>The built environment — as commercial buildings form part of the built environment, changes to the NCC (including more stringent energy efficiency standards and requirements relating to rooftop solar) could form part of the decarbonisation plan;</w:t>
      </w:r>
    </w:p>
    <w:p w14:paraId="27329727" w14:textId="77777777" w:rsidR="00767FC0" w:rsidRPr="00844A6E" w:rsidRDefault="00767FC0" w:rsidP="00767FC0">
      <w:pPr>
        <w:pStyle w:val="ListBullet"/>
        <w:rPr>
          <w:szCs w:val="22"/>
        </w:rPr>
      </w:pPr>
      <w:r w:rsidRPr="00BA1206">
        <w:rPr>
          <w:lang w:bidi="fa-IR"/>
        </w:rPr>
        <w:t>Transport — the decarbonisation plan for the transport sector is likely to involve a transition from diesel and petrol internal combustion engines to EVs.</w:t>
      </w:r>
      <w:r w:rsidRPr="00844A6E">
        <w:rPr>
          <w:szCs w:val="22"/>
        </w:rPr>
        <w:t xml:space="preserve"> The provision of charging facilities at commercial buildings could assist with the transition.</w:t>
      </w:r>
    </w:p>
    <w:p w14:paraId="5ADD71A8" w14:textId="77777777" w:rsidR="00767FC0" w:rsidRPr="00844A6E" w:rsidRDefault="00767FC0" w:rsidP="00767FC0">
      <w:pPr>
        <w:pStyle w:val="BodyText"/>
        <w:rPr>
          <w:szCs w:val="22"/>
        </w:rPr>
      </w:pPr>
      <w:r w:rsidRPr="00844A6E">
        <w:rPr>
          <w:szCs w:val="22"/>
        </w:rPr>
        <w:t>The other sectors (that are less relevant to commercial buildings and the NCC) are: agriculture and land; resources; and industry and waste.</w:t>
      </w:r>
    </w:p>
    <w:p w14:paraId="7C5E2699" w14:textId="77777777" w:rsidR="00767FC0" w:rsidRPr="00E24F81" w:rsidRDefault="00767FC0" w:rsidP="00767FC0">
      <w:pPr>
        <w:pStyle w:val="Heading4"/>
        <w:numPr>
          <w:ilvl w:val="0"/>
          <w:numId w:val="0"/>
        </w:numPr>
      </w:pPr>
      <w:r w:rsidRPr="00E24F81">
        <w:t>National Energy Performance Strategy</w:t>
      </w:r>
    </w:p>
    <w:p w14:paraId="42FBC35A" w14:textId="77777777" w:rsidR="00767FC0" w:rsidRPr="00844A6E" w:rsidRDefault="00767FC0" w:rsidP="00767FC0">
      <w:pPr>
        <w:pStyle w:val="BodyText"/>
        <w:rPr>
          <w:szCs w:val="22"/>
        </w:rPr>
      </w:pPr>
      <w:r w:rsidRPr="00844A6E">
        <w:rPr>
          <w:szCs w:val="22"/>
        </w:rPr>
        <w:t>A consultation paper was released in November 2022 as a step towards a National Energy Performance Strategy. The term ‘energy performance’ encapsulates the broad management of energy demand, including:</w:t>
      </w:r>
      <w:r w:rsidRPr="00A87CD1">
        <w:rPr>
          <w:rStyle w:val="FootnoteReference"/>
        </w:rPr>
        <w:footnoteReference w:id="42"/>
      </w:r>
    </w:p>
    <w:p w14:paraId="4F8232A1" w14:textId="77777777" w:rsidR="00767FC0" w:rsidRPr="00BA1206" w:rsidRDefault="00767FC0" w:rsidP="00767FC0">
      <w:pPr>
        <w:pStyle w:val="ListBullet"/>
        <w:rPr>
          <w:lang w:bidi="fa-IR"/>
        </w:rPr>
      </w:pPr>
      <w:r w:rsidRPr="00BA1206">
        <w:rPr>
          <w:lang w:bidi="fa-IR"/>
        </w:rPr>
        <w:t>energy efficiency</w:t>
      </w:r>
    </w:p>
    <w:p w14:paraId="50DD29A6" w14:textId="77777777" w:rsidR="00767FC0" w:rsidRPr="00BA1206" w:rsidRDefault="00767FC0" w:rsidP="00767FC0">
      <w:pPr>
        <w:pStyle w:val="ListBullet"/>
        <w:rPr>
          <w:lang w:bidi="fa-IR"/>
        </w:rPr>
      </w:pPr>
      <w:r w:rsidRPr="00BA1206">
        <w:rPr>
          <w:lang w:bidi="fa-IR"/>
        </w:rPr>
        <w:t>load shifting</w:t>
      </w:r>
    </w:p>
    <w:p w14:paraId="4F939301" w14:textId="77777777" w:rsidR="00767FC0" w:rsidRPr="00BA1206" w:rsidRDefault="00767FC0" w:rsidP="00767FC0">
      <w:pPr>
        <w:pStyle w:val="ListBullet"/>
        <w:rPr>
          <w:lang w:bidi="fa-IR"/>
        </w:rPr>
      </w:pPr>
      <w:r w:rsidRPr="00BA1206">
        <w:rPr>
          <w:lang w:bidi="fa-IR"/>
        </w:rPr>
        <w:t>fuel switching, and</w:t>
      </w:r>
    </w:p>
    <w:p w14:paraId="6B7B7510" w14:textId="77777777" w:rsidR="00767FC0" w:rsidRPr="00BA1206" w:rsidRDefault="00767FC0" w:rsidP="00767FC0">
      <w:pPr>
        <w:pStyle w:val="ListBullet"/>
        <w:rPr>
          <w:lang w:bidi="fa-IR"/>
        </w:rPr>
      </w:pPr>
      <w:r w:rsidRPr="00BA1206">
        <w:rPr>
          <w:lang w:bidi="fa-IR"/>
        </w:rPr>
        <w:t>behaviour change.</w:t>
      </w:r>
    </w:p>
    <w:p w14:paraId="7A46CFA2" w14:textId="77777777" w:rsidR="00767FC0" w:rsidRPr="00844A6E" w:rsidRDefault="00767FC0" w:rsidP="00767FC0">
      <w:pPr>
        <w:pStyle w:val="BodyText"/>
        <w:rPr>
          <w:szCs w:val="22"/>
        </w:rPr>
      </w:pPr>
      <w:r w:rsidRPr="00844A6E">
        <w:rPr>
          <w:szCs w:val="22"/>
        </w:rPr>
        <w:t>The aim of the National Energy Performance Strategy is to provide a long-term framework for demand-side action to:</w:t>
      </w:r>
      <w:r w:rsidRPr="00A87CD1">
        <w:rPr>
          <w:rStyle w:val="FootnoteReference"/>
        </w:rPr>
        <w:footnoteReference w:id="43"/>
      </w:r>
    </w:p>
    <w:p w14:paraId="09987E8E" w14:textId="77777777" w:rsidR="00767FC0" w:rsidRPr="00BA1206" w:rsidRDefault="00767FC0" w:rsidP="00767FC0">
      <w:pPr>
        <w:pStyle w:val="ListBullet"/>
        <w:rPr>
          <w:lang w:bidi="fa-IR"/>
        </w:rPr>
      </w:pPr>
      <w:r w:rsidRPr="00BA1206">
        <w:rPr>
          <w:lang w:bidi="fa-IR"/>
        </w:rPr>
        <w:t>reduce pressure on energy bills</w:t>
      </w:r>
    </w:p>
    <w:p w14:paraId="3A3BB513" w14:textId="77777777" w:rsidR="00767FC0" w:rsidRPr="00BA1206" w:rsidRDefault="00767FC0" w:rsidP="00767FC0">
      <w:pPr>
        <w:pStyle w:val="ListBullet"/>
        <w:rPr>
          <w:lang w:bidi="fa-IR"/>
        </w:rPr>
      </w:pPr>
      <w:r w:rsidRPr="00BA1206">
        <w:rPr>
          <w:lang w:bidi="fa-IR"/>
        </w:rPr>
        <w:t>improve energy reliability</w:t>
      </w:r>
    </w:p>
    <w:p w14:paraId="1F9E692E" w14:textId="77777777" w:rsidR="00767FC0" w:rsidRPr="00BA1206" w:rsidRDefault="00767FC0" w:rsidP="00767FC0">
      <w:pPr>
        <w:pStyle w:val="ListBullet"/>
        <w:rPr>
          <w:lang w:bidi="fa-IR"/>
        </w:rPr>
      </w:pPr>
      <w:r w:rsidRPr="00BA1206">
        <w:rPr>
          <w:lang w:bidi="fa-IR"/>
        </w:rPr>
        <w:t>reduce emissions, and</w:t>
      </w:r>
    </w:p>
    <w:p w14:paraId="1B35C3EF" w14:textId="77777777" w:rsidR="00767FC0" w:rsidRPr="00BA1206" w:rsidRDefault="00767FC0" w:rsidP="00767FC0">
      <w:pPr>
        <w:pStyle w:val="ListBullet"/>
        <w:rPr>
          <w:lang w:bidi="fa-IR"/>
        </w:rPr>
      </w:pPr>
      <w:r w:rsidRPr="00BA1206">
        <w:rPr>
          <w:lang w:bidi="fa-IR"/>
        </w:rPr>
        <w:t>deliver a high energy performance economy.</w:t>
      </w:r>
    </w:p>
    <w:p w14:paraId="78AA6078" w14:textId="77777777" w:rsidR="00767FC0" w:rsidRPr="00844A6E" w:rsidRDefault="00767FC0" w:rsidP="00767FC0">
      <w:pPr>
        <w:pStyle w:val="ListBullet2"/>
        <w:ind w:left="0" w:firstLine="0"/>
        <w:rPr>
          <w:szCs w:val="22"/>
        </w:rPr>
      </w:pPr>
      <w:r w:rsidRPr="00844A6E">
        <w:rPr>
          <w:szCs w:val="22"/>
        </w:rPr>
        <w:t>The National Energy Performance Strategy aims at a holistic energy system planning for better energy performance that touches every industry of the economy and requires institutional coordination to govern energy performance in forms of industry policy – in the built environment, it sits with the Building Ministers and the ABCB. They are responsible for the development of the NCC that will reflect any plans of action – including energy efficiency and reducing emissions – to be developed under the Strategy.</w:t>
      </w:r>
      <w:r w:rsidRPr="00A87CD1">
        <w:rPr>
          <w:rStyle w:val="FootnoteReference"/>
        </w:rPr>
        <w:footnoteReference w:id="44"/>
      </w:r>
    </w:p>
    <w:p w14:paraId="3B43C1B9" w14:textId="77777777" w:rsidR="00767FC0" w:rsidRPr="00824C72" w:rsidRDefault="00767FC0" w:rsidP="00767FC0">
      <w:pPr>
        <w:pStyle w:val="Heading4"/>
        <w:numPr>
          <w:ilvl w:val="0"/>
          <w:numId w:val="0"/>
        </w:numPr>
      </w:pPr>
      <w:r w:rsidRPr="00824C72">
        <w:t>Trajectory for Low Energy Buildings</w:t>
      </w:r>
    </w:p>
    <w:p w14:paraId="316B9FDD" w14:textId="77777777" w:rsidR="00767FC0" w:rsidRPr="00844A6E" w:rsidRDefault="00767FC0" w:rsidP="00767FC0">
      <w:pPr>
        <w:pStyle w:val="BodyText"/>
        <w:rPr>
          <w:szCs w:val="22"/>
        </w:rPr>
      </w:pPr>
      <w:r w:rsidRPr="00844A6E">
        <w:rPr>
          <w:szCs w:val="22"/>
        </w:rPr>
        <w:t xml:space="preserve">The </w:t>
      </w:r>
      <w:r w:rsidRPr="00844A6E">
        <w:rPr>
          <w:i/>
          <w:szCs w:val="22"/>
        </w:rPr>
        <w:t>Trajectory for Low Energy Buildings</w:t>
      </w:r>
      <w:r w:rsidRPr="00844A6E">
        <w:rPr>
          <w:szCs w:val="22"/>
        </w:rPr>
        <w:t xml:space="preserve"> was agreed by Energy Ministers in February 2019. This is a national plan that sets the trajectory towards zero energy and carbon ready buildings for Australia. It proposed incremental changes to the NCC to reduce operational energy use and associated GHG emissions of residential and commercial buildings from 2022.</w:t>
      </w:r>
    </w:p>
    <w:p w14:paraId="08E0A9F8" w14:textId="77777777" w:rsidR="00767FC0" w:rsidRPr="00844A6E" w:rsidRDefault="00767FC0" w:rsidP="00767FC0">
      <w:pPr>
        <w:pStyle w:val="BodyText"/>
        <w:rPr>
          <w:szCs w:val="22"/>
        </w:rPr>
      </w:pPr>
      <w:r w:rsidRPr="00844A6E">
        <w:rPr>
          <w:szCs w:val="22"/>
        </w:rPr>
        <w:t>The trajectory effectively envisaged substantial upgrades to the minimum energy efficiency standards specified in the NCC for both residential and commercial buildings at each triennial update cycle to ensure provisions keep pace with changing technologies and changing energy prices.</w:t>
      </w:r>
      <w:r w:rsidRPr="00A87CD1">
        <w:rPr>
          <w:rStyle w:val="FootnoteReference"/>
        </w:rPr>
        <w:footnoteReference w:id="45"/>
      </w:r>
      <w:r w:rsidRPr="00A87CD1">
        <w:rPr>
          <w:rStyle w:val="FootnoteReference"/>
        </w:rPr>
        <w:t xml:space="preserve"> </w:t>
      </w:r>
    </w:p>
    <w:p w14:paraId="2DE549EA" w14:textId="77777777" w:rsidR="00767FC0" w:rsidRPr="00844A6E" w:rsidRDefault="00767FC0" w:rsidP="00767FC0">
      <w:pPr>
        <w:pStyle w:val="BodyText"/>
        <w:rPr>
          <w:szCs w:val="22"/>
        </w:rPr>
      </w:pPr>
      <w:r w:rsidRPr="00844A6E">
        <w:rPr>
          <w:szCs w:val="22"/>
        </w:rPr>
        <w:t xml:space="preserve">In response to the Trajectory, the ABCB released a scoping study titled, </w:t>
      </w:r>
      <w:r w:rsidRPr="00844A6E">
        <w:rPr>
          <w:i/>
          <w:iCs/>
          <w:szCs w:val="22"/>
        </w:rPr>
        <w:t>Energy efficiency: NCC 2022 and beyond</w:t>
      </w:r>
      <w:r w:rsidRPr="00844A6E">
        <w:rPr>
          <w:szCs w:val="22"/>
        </w:rPr>
        <w:t>, for public comment. For both commercial and residential buildings, provision for the future installation of on-site renewables and EV charging was supported.</w:t>
      </w:r>
      <w:r w:rsidRPr="00A87CD1">
        <w:rPr>
          <w:rStyle w:val="FootnoteReference"/>
        </w:rPr>
        <w:footnoteReference w:id="46"/>
      </w:r>
      <w:r w:rsidRPr="00A87CD1">
        <w:rPr>
          <w:rStyle w:val="FootnoteReference"/>
        </w:rPr>
        <w:t xml:space="preserve"> </w:t>
      </w:r>
      <w:r w:rsidRPr="00844A6E">
        <w:rPr>
          <w:szCs w:val="22"/>
        </w:rPr>
        <w:t>For commercial buildings, ABCB investigated moderate changes in NCC 2022, including work that complemented the residential energy efficiency provisions, such as research into the grid impacts of increased uptake of on-site renewable energy and research into provisions that accommodate the future installation of on-site renewable energy and EV charging.</w:t>
      </w:r>
      <w:r w:rsidRPr="00A87CD1">
        <w:rPr>
          <w:rStyle w:val="FootnoteReference"/>
        </w:rPr>
        <w:footnoteReference w:id="47"/>
      </w:r>
      <w:r w:rsidRPr="00A87CD1">
        <w:rPr>
          <w:rStyle w:val="FootnoteReference"/>
        </w:rPr>
        <w:t xml:space="preserve"> </w:t>
      </w:r>
      <w:r w:rsidRPr="00844A6E">
        <w:rPr>
          <w:szCs w:val="22"/>
        </w:rPr>
        <w:t>The scoping study also envisaged more substantial changes for commercial buildings may be considered in NCC 2025.</w:t>
      </w:r>
    </w:p>
    <w:p w14:paraId="50516009" w14:textId="77777777" w:rsidR="00767FC0" w:rsidRPr="00F52667" w:rsidRDefault="00767FC0" w:rsidP="00767FC0">
      <w:pPr>
        <w:pStyle w:val="Heading4"/>
        <w:numPr>
          <w:ilvl w:val="0"/>
          <w:numId w:val="0"/>
        </w:numPr>
        <w:rPr>
          <w:lang w:eastAsia="en-US"/>
        </w:rPr>
      </w:pPr>
      <w:r>
        <w:rPr>
          <w:lang w:eastAsia="en-US"/>
        </w:rPr>
        <w:t>National Electric Vehicle Strategy</w:t>
      </w:r>
    </w:p>
    <w:p w14:paraId="5CDE24CA" w14:textId="77777777" w:rsidR="00767FC0" w:rsidRPr="00844A6E" w:rsidRDefault="00767FC0" w:rsidP="00767FC0">
      <w:pPr>
        <w:pStyle w:val="BodyText"/>
        <w:rPr>
          <w:szCs w:val="22"/>
          <w:lang w:eastAsia="en-US"/>
        </w:rPr>
      </w:pPr>
      <w:r w:rsidRPr="00844A6E">
        <w:rPr>
          <w:szCs w:val="22"/>
          <w:lang w:eastAsia="en-US"/>
        </w:rPr>
        <w:t>The nationally agreed National Electric Vehicle Strategy was released in April 2023.</w:t>
      </w:r>
    </w:p>
    <w:p w14:paraId="51364C52" w14:textId="77777777" w:rsidR="00767FC0" w:rsidRPr="00BA1206" w:rsidRDefault="00767FC0" w:rsidP="00767FC0">
      <w:pPr>
        <w:pStyle w:val="ListBullet"/>
        <w:rPr>
          <w:lang w:bidi="fa-IR"/>
        </w:rPr>
      </w:pPr>
      <w:r w:rsidRPr="00BA1206">
        <w:rPr>
          <w:lang w:bidi="fa-IR"/>
        </w:rPr>
        <w:t xml:space="preserve">The </w:t>
      </w:r>
      <w:r w:rsidRPr="00BA1206">
        <w:rPr>
          <w:b/>
          <w:lang w:bidi="fa-IR"/>
        </w:rPr>
        <w:t>vision</w:t>
      </w:r>
      <w:r w:rsidRPr="00BA1206">
        <w:rPr>
          <w:lang w:bidi="fa-IR"/>
        </w:rPr>
        <w:t xml:space="preserve"> of the National Electric Vehicle Strategy is to increase the uptake of EVs to reduce emissions and improve the wellbeing of Australians.</w:t>
      </w:r>
      <w:r w:rsidRPr="004B502E">
        <w:rPr>
          <w:rStyle w:val="FootnoteReference"/>
        </w:rPr>
        <w:footnoteReference w:id="48"/>
      </w:r>
    </w:p>
    <w:p w14:paraId="2B1AD80E" w14:textId="77777777" w:rsidR="00767FC0" w:rsidRPr="00BA1206" w:rsidRDefault="00767FC0" w:rsidP="00767FC0">
      <w:pPr>
        <w:pStyle w:val="ListBullet"/>
        <w:rPr>
          <w:lang w:bidi="fa-IR"/>
        </w:rPr>
      </w:pPr>
      <w:r w:rsidRPr="00BA1206">
        <w:rPr>
          <w:lang w:bidi="fa-IR"/>
        </w:rPr>
        <w:t xml:space="preserve">The specific </w:t>
      </w:r>
      <w:r w:rsidRPr="00BA1206">
        <w:rPr>
          <w:b/>
          <w:lang w:bidi="fa-IR"/>
        </w:rPr>
        <w:t>objectives</w:t>
      </w:r>
      <w:r w:rsidRPr="00BA1206">
        <w:rPr>
          <w:lang w:bidi="fa-IR"/>
        </w:rPr>
        <w:t xml:space="preserve"> are:</w:t>
      </w:r>
    </w:p>
    <w:p w14:paraId="3FDF6B00" w14:textId="77777777" w:rsidR="00767FC0" w:rsidRPr="00844A6E" w:rsidRDefault="00767FC0" w:rsidP="00767FC0">
      <w:pPr>
        <w:pStyle w:val="ListBullet"/>
        <w:numPr>
          <w:ilvl w:val="1"/>
          <w:numId w:val="34"/>
        </w:numPr>
        <w:rPr>
          <w:szCs w:val="22"/>
          <w:lang w:eastAsia="en-US"/>
        </w:rPr>
      </w:pPr>
      <w:r w:rsidRPr="00844A6E">
        <w:rPr>
          <w:szCs w:val="22"/>
          <w:lang w:eastAsia="en-US"/>
        </w:rPr>
        <w:t>Supply — increase supply of affordable and accessible EVs</w:t>
      </w:r>
    </w:p>
    <w:p w14:paraId="7918B7A3" w14:textId="77777777" w:rsidR="00767FC0" w:rsidRPr="00844A6E" w:rsidRDefault="00767FC0" w:rsidP="00767FC0">
      <w:pPr>
        <w:pStyle w:val="ListBullet"/>
        <w:numPr>
          <w:ilvl w:val="1"/>
          <w:numId w:val="34"/>
        </w:numPr>
        <w:rPr>
          <w:szCs w:val="22"/>
          <w:lang w:eastAsia="en-US"/>
        </w:rPr>
      </w:pPr>
      <w:r w:rsidRPr="00844A6E">
        <w:rPr>
          <w:szCs w:val="22"/>
          <w:lang w:eastAsia="en-US"/>
        </w:rPr>
        <w:t>Systems and infrastructure — establish the resources, systems and infrastructure to enable rapid EV uptake</w:t>
      </w:r>
    </w:p>
    <w:p w14:paraId="4449E3D9" w14:textId="77777777" w:rsidR="00767FC0" w:rsidRPr="00844A6E" w:rsidRDefault="00767FC0" w:rsidP="00767FC0">
      <w:pPr>
        <w:pStyle w:val="ListBullet"/>
        <w:numPr>
          <w:ilvl w:val="1"/>
          <w:numId w:val="34"/>
        </w:numPr>
        <w:rPr>
          <w:szCs w:val="22"/>
          <w:lang w:eastAsia="en-US"/>
        </w:rPr>
      </w:pPr>
      <w:r w:rsidRPr="00844A6E">
        <w:rPr>
          <w:szCs w:val="22"/>
          <w:lang w:eastAsia="en-US"/>
        </w:rPr>
        <w:t>Demand — encourage increase in EV demand.</w:t>
      </w:r>
    </w:p>
    <w:p w14:paraId="61B6CA94" w14:textId="77777777" w:rsidR="00767FC0" w:rsidRPr="00BA1206" w:rsidRDefault="00767FC0" w:rsidP="00767FC0">
      <w:pPr>
        <w:pStyle w:val="ListBullet"/>
        <w:rPr>
          <w:lang w:bidi="fa-IR"/>
        </w:rPr>
      </w:pPr>
      <w:r w:rsidRPr="00BA1206">
        <w:rPr>
          <w:lang w:bidi="fa-IR"/>
        </w:rPr>
        <w:t xml:space="preserve">The intended </w:t>
      </w:r>
      <w:r w:rsidRPr="00BA1206">
        <w:rPr>
          <w:b/>
          <w:lang w:bidi="fa-IR"/>
        </w:rPr>
        <w:t>outcomes</w:t>
      </w:r>
      <w:r w:rsidRPr="00BA1206">
        <w:rPr>
          <w:lang w:bidi="fa-IR"/>
        </w:rPr>
        <w:t xml:space="preserve"> include to:</w:t>
      </w:r>
    </w:p>
    <w:p w14:paraId="3C868C4C" w14:textId="77777777" w:rsidR="00767FC0" w:rsidRPr="00844A6E" w:rsidRDefault="00767FC0" w:rsidP="00767FC0">
      <w:pPr>
        <w:pStyle w:val="ListBullet"/>
        <w:numPr>
          <w:ilvl w:val="1"/>
          <w:numId w:val="34"/>
        </w:numPr>
        <w:rPr>
          <w:szCs w:val="22"/>
          <w:lang w:eastAsia="en-US"/>
        </w:rPr>
      </w:pPr>
      <w:r w:rsidRPr="00844A6E">
        <w:rPr>
          <w:szCs w:val="22"/>
          <w:lang w:eastAsia="en-US"/>
        </w:rPr>
        <w:t>Expand EV availability and choice</w:t>
      </w:r>
    </w:p>
    <w:p w14:paraId="10C1151B" w14:textId="77777777" w:rsidR="00767FC0" w:rsidRPr="00844A6E" w:rsidRDefault="00767FC0" w:rsidP="00767FC0">
      <w:pPr>
        <w:pStyle w:val="ListBullet"/>
        <w:numPr>
          <w:ilvl w:val="1"/>
          <w:numId w:val="34"/>
        </w:numPr>
        <w:rPr>
          <w:szCs w:val="22"/>
          <w:lang w:eastAsia="en-US"/>
        </w:rPr>
      </w:pPr>
      <w:r w:rsidRPr="00844A6E">
        <w:rPr>
          <w:szCs w:val="22"/>
          <w:lang w:eastAsia="en-US"/>
        </w:rPr>
        <w:t>Reduce road transport emissions</w:t>
      </w:r>
    </w:p>
    <w:p w14:paraId="5A5369F3" w14:textId="77777777" w:rsidR="00767FC0" w:rsidRPr="00844A6E" w:rsidRDefault="00767FC0" w:rsidP="00767FC0">
      <w:pPr>
        <w:pStyle w:val="ListBullet"/>
        <w:numPr>
          <w:ilvl w:val="1"/>
          <w:numId w:val="34"/>
        </w:numPr>
        <w:rPr>
          <w:szCs w:val="22"/>
          <w:lang w:eastAsia="en-US"/>
        </w:rPr>
      </w:pPr>
      <w:r w:rsidRPr="00844A6E">
        <w:rPr>
          <w:szCs w:val="22"/>
          <w:lang w:eastAsia="en-US"/>
        </w:rPr>
        <w:t>Make it easy to charge an EV across Australia</w:t>
      </w:r>
    </w:p>
    <w:p w14:paraId="4D147182" w14:textId="77777777" w:rsidR="00767FC0" w:rsidRPr="00844A6E" w:rsidRDefault="00767FC0" w:rsidP="00767FC0">
      <w:pPr>
        <w:pStyle w:val="ListBullet"/>
        <w:numPr>
          <w:ilvl w:val="1"/>
          <w:numId w:val="34"/>
        </w:numPr>
        <w:rPr>
          <w:szCs w:val="22"/>
          <w:lang w:eastAsia="en-US"/>
        </w:rPr>
      </w:pPr>
      <w:r w:rsidRPr="00844A6E">
        <w:rPr>
          <w:szCs w:val="22"/>
          <w:lang w:eastAsia="en-US"/>
        </w:rPr>
        <w:t>Increase local manufacturing and recycling</w:t>
      </w:r>
    </w:p>
    <w:p w14:paraId="24536716" w14:textId="77777777" w:rsidR="00767FC0" w:rsidRPr="00844A6E" w:rsidRDefault="00767FC0" w:rsidP="00767FC0">
      <w:pPr>
        <w:pStyle w:val="ListBullet"/>
        <w:numPr>
          <w:ilvl w:val="1"/>
          <w:numId w:val="34"/>
        </w:numPr>
        <w:rPr>
          <w:szCs w:val="22"/>
          <w:lang w:eastAsia="en-US"/>
        </w:rPr>
      </w:pPr>
      <w:r w:rsidRPr="00844A6E">
        <w:rPr>
          <w:szCs w:val="22"/>
          <w:lang w:eastAsia="en-US"/>
        </w:rPr>
        <w:t>Make EVs more affordable</w:t>
      </w:r>
    </w:p>
    <w:p w14:paraId="2EA68F2F" w14:textId="77777777" w:rsidR="00767FC0" w:rsidRPr="00844A6E" w:rsidRDefault="00767FC0" w:rsidP="00767FC0">
      <w:pPr>
        <w:pStyle w:val="ListBullet"/>
        <w:numPr>
          <w:ilvl w:val="1"/>
          <w:numId w:val="34"/>
        </w:numPr>
        <w:rPr>
          <w:szCs w:val="22"/>
          <w:lang w:eastAsia="en-US"/>
        </w:rPr>
      </w:pPr>
      <w:r w:rsidRPr="00844A6E">
        <w:rPr>
          <w:szCs w:val="22"/>
          <w:lang w:eastAsia="en-US"/>
        </w:rPr>
        <w:t>Reduce the cost to Australian of running their vehicles.</w:t>
      </w:r>
    </w:p>
    <w:p w14:paraId="46CFCFE5" w14:textId="77777777" w:rsidR="00767FC0" w:rsidRDefault="00767FC0" w:rsidP="00767FC0">
      <w:pPr>
        <w:pStyle w:val="BodyText"/>
      </w:pPr>
      <w:r w:rsidRPr="00844A6E">
        <w:rPr>
          <w:szCs w:val="22"/>
        </w:rPr>
        <w:t>Of most relevance to the proposed changes to the NCC is the intention to make it easy to charge an EV across Australia. Making it easier for Australians to charge their cars is key</w:t>
      </w:r>
      <w:r w:rsidRPr="003D0004">
        <w:t xml:space="preserve"> </w:t>
      </w:r>
      <w:r w:rsidRPr="00844A6E">
        <w:rPr>
          <w:szCs w:val="22"/>
        </w:rPr>
        <w:t>to supporting the switch to EVs.</w:t>
      </w:r>
      <w:r w:rsidRPr="004B502E">
        <w:rPr>
          <w:rStyle w:val="FootnoteReference"/>
        </w:rPr>
        <w:footnoteReference w:id="49"/>
      </w:r>
    </w:p>
    <w:p w14:paraId="2D676B85" w14:textId="77777777" w:rsidR="00767FC0" w:rsidRPr="00F52667" w:rsidRDefault="00767FC0" w:rsidP="00767FC0">
      <w:pPr>
        <w:pStyle w:val="Heading4"/>
        <w:numPr>
          <w:ilvl w:val="0"/>
          <w:numId w:val="0"/>
        </w:numPr>
        <w:rPr>
          <w:lang w:eastAsia="en-US"/>
        </w:rPr>
      </w:pPr>
      <w:r>
        <w:rPr>
          <w:lang w:eastAsia="en-US"/>
        </w:rPr>
        <w:t>Australian public service Net Zero Roadmap</w:t>
      </w:r>
    </w:p>
    <w:p w14:paraId="7394934C" w14:textId="77777777" w:rsidR="00767FC0" w:rsidRPr="00844A6E" w:rsidRDefault="00767FC0" w:rsidP="00767FC0">
      <w:pPr>
        <w:pStyle w:val="BodyText"/>
        <w:rPr>
          <w:szCs w:val="22"/>
          <w:lang w:eastAsia="en-US"/>
        </w:rPr>
      </w:pPr>
      <w:r w:rsidRPr="00844A6E">
        <w:rPr>
          <w:szCs w:val="22"/>
          <w:lang w:eastAsia="en-US"/>
        </w:rPr>
        <w:t>The Australian public service Net Zero Roadmap sets out actions for the Australian Government to achieve net zero GHG emissions from its operations by 2030, through implementation of the Net Zero in Government Operations Strategy. The strategy</w:t>
      </w:r>
      <w:r>
        <w:rPr>
          <w:lang w:eastAsia="en-US"/>
        </w:rPr>
        <w:t xml:space="preserve"> </w:t>
      </w:r>
      <w:r w:rsidRPr="00844A6E">
        <w:rPr>
          <w:szCs w:val="22"/>
          <w:lang w:eastAsia="en-US"/>
        </w:rPr>
        <w:t>outlines the approach and objectives to reduce emissions and transition to net zero in areas such as energy, electrification, EV charging, and fleet management.</w:t>
      </w:r>
      <w:r w:rsidRPr="004B502E">
        <w:rPr>
          <w:rStyle w:val="FootnoteReference"/>
        </w:rPr>
        <w:footnoteReference w:id="50"/>
      </w:r>
    </w:p>
    <w:p w14:paraId="25E3BD7A" w14:textId="77777777" w:rsidR="00767FC0" w:rsidRPr="00844A6E" w:rsidRDefault="00767FC0" w:rsidP="00767FC0">
      <w:pPr>
        <w:pStyle w:val="BodyText"/>
        <w:rPr>
          <w:szCs w:val="22"/>
          <w:lang w:eastAsia="en-US"/>
        </w:rPr>
      </w:pPr>
      <w:r w:rsidRPr="00844A6E">
        <w:rPr>
          <w:szCs w:val="22"/>
          <w:lang w:eastAsia="en-US"/>
        </w:rPr>
        <w:t>Key actions include:</w:t>
      </w:r>
    </w:p>
    <w:p w14:paraId="2CE8B655" w14:textId="77777777" w:rsidR="00767FC0" w:rsidRPr="00EB7000" w:rsidRDefault="00767FC0" w:rsidP="00767FC0">
      <w:pPr>
        <w:pStyle w:val="ListBullet"/>
        <w:rPr>
          <w:lang w:bidi="fa-IR"/>
        </w:rPr>
      </w:pPr>
      <w:r w:rsidRPr="00EB7000">
        <w:rPr>
          <w:lang w:bidi="fa-IR"/>
        </w:rPr>
        <w:t>transitioning to renewable energy, facilitated through a whole-of-government coordinated procurement of electricity, to achieve 100 per cent renewable Commonwealth electricity</w:t>
      </w:r>
    </w:p>
    <w:p w14:paraId="76A79984" w14:textId="77777777" w:rsidR="00767FC0" w:rsidRPr="00EB7000" w:rsidRDefault="00767FC0" w:rsidP="00767FC0">
      <w:pPr>
        <w:pStyle w:val="ListBullet"/>
        <w:rPr>
          <w:lang w:bidi="fa-IR"/>
        </w:rPr>
      </w:pPr>
      <w:r w:rsidRPr="00EB7000">
        <w:rPr>
          <w:lang w:bidi="fa-IR"/>
        </w:rPr>
        <w:t>improving building energy efficiency and promoting electrification, and</w:t>
      </w:r>
    </w:p>
    <w:p w14:paraId="16B95777" w14:textId="77777777" w:rsidR="00767FC0" w:rsidRPr="00EB7000" w:rsidRDefault="00767FC0" w:rsidP="00767FC0">
      <w:pPr>
        <w:pStyle w:val="ListBullet"/>
        <w:rPr>
          <w:lang w:bidi="fa-IR"/>
        </w:rPr>
      </w:pPr>
      <w:r w:rsidRPr="00EB7000">
        <w:rPr>
          <w:lang w:bidi="fa-IR"/>
        </w:rPr>
        <w:t xml:space="preserve">transitioning the fleet to low- or zero-emission vehicles, with an objective of 75 per cent of new passenger vehicle orders to be low- or zero-emission vehicles by July 2025. </w:t>
      </w:r>
    </w:p>
    <w:p w14:paraId="5F5D231B" w14:textId="77777777" w:rsidR="00767FC0" w:rsidRPr="00844A6E" w:rsidRDefault="00767FC0" w:rsidP="0056789B">
      <w:pPr>
        <w:pStyle w:val="BodyText"/>
        <w:rPr>
          <w:lang w:eastAsia="en-US"/>
        </w:rPr>
      </w:pPr>
      <w:r w:rsidRPr="00844A6E">
        <w:rPr>
          <w:lang w:eastAsia="en-US"/>
        </w:rPr>
        <w:t xml:space="preserve">These actions are aligned with the proposed changes to the NCC which can facilitate the delivery of net zero commitment of the Australian Government to demonstrate leadership in reducing emissions by 2030. </w:t>
      </w:r>
    </w:p>
    <w:p w14:paraId="1318A977" w14:textId="77777777" w:rsidR="00767FC0" w:rsidRPr="00844A6E" w:rsidRDefault="00767FC0" w:rsidP="00767FC0">
      <w:pPr>
        <w:pStyle w:val="Heading3"/>
        <w:numPr>
          <w:ilvl w:val="0"/>
          <w:numId w:val="0"/>
        </w:numPr>
        <w:rPr>
          <w:sz w:val="22"/>
          <w:lang w:eastAsia="en-US"/>
        </w:rPr>
      </w:pPr>
      <w:r w:rsidRPr="00844A6E">
        <w:rPr>
          <w:sz w:val="22"/>
          <w:lang w:eastAsia="en-US"/>
        </w:rPr>
        <w:t>Specific policies</w:t>
      </w:r>
    </w:p>
    <w:p w14:paraId="3429E7DD" w14:textId="77777777" w:rsidR="00767FC0" w:rsidRPr="00844A6E" w:rsidRDefault="00767FC0" w:rsidP="00767FC0">
      <w:pPr>
        <w:pStyle w:val="BodyText"/>
        <w:rPr>
          <w:szCs w:val="22"/>
          <w:lang w:eastAsia="en-US"/>
        </w:rPr>
      </w:pPr>
      <w:r w:rsidRPr="00844A6E">
        <w:rPr>
          <w:szCs w:val="22"/>
          <w:lang w:eastAsia="en-US"/>
        </w:rPr>
        <w:t>Some specific policies that are relevant to the proposed changes to the NCC are set out below. This includes policies aimed at:</w:t>
      </w:r>
    </w:p>
    <w:p w14:paraId="46B0D483" w14:textId="77777777" w:rsidR="00767FC0" w:rsidRPr="00EB7000" w:rsidRDefault="00767FC0" w:rsidP="00767FC0">
      <w:pPr>
        <w:pStyle w:val="ListBullet"/>
        <w:rPr>
          <w:lang w:bidi="fa-IR"/>
        </w:rPr>
      </w:pPr>
      <w:r w:rsidRPr="00EB7000">
        <w:rPr>
          <w:lang w:bidi="fa-IR"/>
        </w:rPr>
        <w:t>encouraging greater energy efficiency in commercial buildings</w:t>
      </w:r>
    </w:p>
    <w:p w14:paraId="08D58D85" w14:textId="77777777" w:rsidR="00767FC0" w:rsidRPr="00EB7000" w:rsidRDefault="00767FC0" w:rsidP="00767FC0">
      <w:pPr>
        <w:pStyle w:val="ListBullet"/>
        <w:rPr>
          <w:lang w:bidi="fa-IR"/>
        </w:rPr>
      </w:pPr>
      <w:r w:rsidRPr="00EB7000">
        <w:rPr>
          <w:lang w:bidi="fa-IR"/>
        </w:rPr>
        <w:t>encouraging or mandating electrification of commercial buildings</w:t>
      </w:r>
    </w:p>
    <w:p w14:paraId="03A2D853" w14:textId="77777777" w:rsidR="00767FC0" w:rsidRPr="00EB7000" w:rsidRDefault="00767FC0" w:rsidP="00767FC0">
      <w:pPr>
        <w:pStyle w:val="ListBullet"/>
        <w:rPr>
          <w:lang w:bidi="fa-IR"/>
        </w:rPr>
      </w:pPr>
      <w:r w:rsidRPr="00EB7000">
        <w:rPr>
          <w:lang w:bidi="fa-IR"/>
        </w:rPr>
        <w:t>encouraging greater uptake of EVs.</w:t>
      </w:r>
    </w:p>
    <w:p w14:paraId="195193B0" w14:textId="14928F62" w:rsidR="00767FC0" w:rsidRPr="00844A6E" w:rsidRDefault="00767FC0" w:rsidP="00767FC0">
      <w:pPr>
        <w:pStyle w:val="ListBullet"/>
        <w:numPr>
          <w:ilvl w:val="0"/>
          <w:numId w:val="0"/>
        </w:numPr>
        <w:rPr>
          <w:szCs w:val="22"/>
          <w:lang w:eastAsia="en-US"/>
        </w:rPr>
      </w:pPr>
      <w:r w:rsidRPr="00844A6E">
        <w:rPr>
          <w:szCs w:val="22"/>
          <w:lang w:eastAsia="en-US"/>
        </w:rPr>
        <w:t>Table</w:t>
      </w:r>
      <w:r>
        <w:rPr>
          <w:szCs w:val="22"/>
          <w:lang w:eastAsia="en-US"/>
        </w:rPr>
        <w:t xml:space="preserve"> </w:t>
      </w:r>
      <w:r>
        <w:rPr>
          <w:szCs w:val="22"/>
          <w:lang w:eastAsia="en-US"/>
        </w:rPr>
        <w:fldChar w:fldCharType="begin"/>
      </w:r>
      <w:r>
        <w:rPr>
          <w:szCs w:val="22"/>
          <w:lang w:eastAsia="en-US"/>
        </w:rPr>
        <w:instrText xml:space="preserve"> REF _Caption0716 </w:instrText>
      </w:r>
      <w:r>
        <w:rPr>
          <w:szCs w:val="22"/>
          <w:lang w:eastAsia="en-US"/>
        </w:rPr>
        <w:fldChar w:fldCharType="separate"/>
      </w:r>
      <w:r w:rsidR="006E00A7">
        <w:rPr>
          <w:noProof/>
        </w:rPr>
        <w:t>3</w:t>
      </w:r>
      <w:r w:rsidR="006E00A7" w:rsidRPr="00695C93">
        <w:rPr>
          <w:noProof/>
        </w:rPr>
        <w:t>.</w:t>
      </w:r>
      <w:r w:rsidR="006E00A7">
        <w:rPr>
          <w:noProof/>
        </w:rPr>
        <w:t>3</w:t>
      </w:r>
      <w:r>
        <w:rPr>
          <w:szCs w:val="22"/>
          <w:lang w:eastAsia="en-US"/>
        </w:rPr>
        <w:fldChar w:fldCharType="end"/>
      </w:r>
      <w:r w:rsidRPr="00844A6E">
        <w:rPr>
          <w:szCs w:val="22"/>
          <w:lang w:eastAsia="en-US"/>
        </w:rPr>
        <w:t xml:space="preserve"> summarise how proposed changes in the NCC 2025 may support specific policies.</w:t>
      </w:r>
    </w:p>
    <w:p w14:paraId="20DCD366" w14:textId="0EB1E6E4" w:rsidR="00767FC0" w:rsidRPr="00695C93" w:rsidRDefault="00767FC0">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581346">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581346">
          <w:rPr>
            <w:noProof/>
          </w:rPr>
          <w:instrText>3</w:instrText>
        </w:r>
      </w:fldSimple>
      <w:r w:rsidRPr="00695C93">
        <w:instrText xml:space="preserve"> = 0 "" "</w:instrText>
      </w:r>
      <w:fldSimple w:instr=" STYLEREF &quot;Heading 1&quot; \l \n ">
        <w:r w:rsidR="00581346">
          <w:rPr>
            <w:noProof/>
          </w:rPr>
          <w:instrText>3</w:instrText>
        </w:r>
      </w:fldSimple>
      <w:r w:rsidRPr="00695C93">
        <w:instrText xml:space="preserve">." </w:instrText>
      </w:r>
      <w:r w:rsidRPr="00695C93">
        <w:fldChar w:fldCharType="separate"/>
      </w:r>
      <w:r w:rsidR="00581346">
        <w:rPr>
          <w:noProof/>
        </w:rPr>
        <w:instrText>3</w:instrText>
      </w:r>
      <w:r w:rsidR="00581346" w:rsidRPr="00695C93">
        <w:rPr>
          <w:noProof/>
        </w:rPr>
        <w:instrText>.</w:instrText>
      </w:r>
      <w:r w:rsidRPr="00695C93">
        <w:fldChar w:fldCharType="end"/>
      </w:r>
      <w:r w:rsidRPr="00695C93">
        <w:instrText>" "</w:instrText>
      </w:r>
      <w:fldSimple w:instr=" STYLEREF &quot;Heading 6&quot; \l \n ">
        <w:r>
          <w:rPr>
            <w:noProof/>
          </w:rPr>
          <w:instrText>A</w:instrText>
        </w:r>
      </w:fldSimple>
      <w:r w:rsidRPr="00695C93">
        <w:instrText xml:space="preserve">." </w:instrText>
      </w:r>
      <w:r w:rsidRPr="00695C93">
        <w:fldChar w:fldCharType="separate"/>
      </w:r>
      <w:r w:rsidR="008C60A3">
        <w:rPr>
          <w:noProof/>
        </w:rPr>
        <w:instrText>3</w:instrText>
      </w:r>
      <w:r w:rsidR="008C60A3"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581346">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581346">
          <w:rPr>
            <w:noProof/>
          </w:rPr>
          <w:instrText>3</w:instrText>
        </w:r>
      </w:fldSimple>
      <w:r w:rsidRPr="00695C93">
        <w:instrText xml:space="preserve"> = 0 "" "1" </w:instrText>
      </w:r>
      <w:r w:rsidRPr="00695C93">
        <w:fldChar w:fldCharType="separate"/>
      </w:r>
      <w:r w:rsidR="008C60A3" w:rsidRPr="00695C93">
        <w:rPr>
          <w:noProof/>
        </w:rPr>
        <w:instrText>1</w:instrText>
      </w:r>
      <w:r w:rsidRPr="00695C93">
        <w:fldChar w:fldCharType="end"/>
      </w:r>
      <w:r w:rsidRPr="00695C93">
        <w:instrText xml:space="preserve">" "6" </w:instrText>
      </w:r>
      <w:r w:rsidRPr="00695C93">
        <w:fldChar w:fldCharType="separate"/>
      </w:r>
      <w:r w:rsidR="008C60A3" w:rsidRPr="00695C93">
        <w:rPr>
          <w:noProof/>
        </w:rPr>
        <w:instrText>1</w:instrText>
      </w:r>
      <w:r w:rsidRPr="00695C93">
        <w:fldChar w:fldCharType="end"/>
      </w:r>
      <w:r w:rsidRPr="00695C93">
        <w:instrText xml:space="preserve"> </w:instrText>
      </w:r>
      <w:r w:rsidRPr="00695C93">
        <w:fldChar w:fldCharType="separate"/>
      </w:r>
      <w:r w:rsidR="00581346">
        <w:rPr>
          <w:noProof/>
        </w:rPr>
        <w:instrText>3</w:instrText>
      </w:r>
      <w:r w:rsidRPr="00695C93">
        <w:fldChar w:fldCharType="end"/>
      </w:r>
      <w:r w:rsidRPr="00695C93">
        <w:instrText xml:space="preserve">" "" </w:instrText>
      </w:r>
      <w:r w:rsidRPr="00695C93">
        <w:fldChar w:fldCharType="separate"/>
      </w:r>
      <w:bookmarkStart w:id="610" w:name="_Caption3882"/>
      <w:bookmarkStart w:id="611" w:name="_Caption2568"/>
      <w:bookmarkStart w:id="612" w:name="_Caption3302"/>
      <w:bookmarkStart w:id="613" w:name="_Caption1719"/>
      <w:bookmarkStart w:id="614" w:name="_Caption1772"/>
      <w:bookmarkStart w:id="615" w:name="_Caption8338"/>
      <w:bookmarkStart w:id="616" w:name="_Caption8682"/>
      <w:bookmarkStart w:id="617" w:name="_Caption9482"/>
      <w:bookmarkStart w:id="618" w:name="_Caption2381"/>
      <w:bookmarkStart w:id="619" w:name="_Caption7699"/>
      <w:bookmarkStart w:id="620" w:name="_Caption3764"/>
      <w:bookmarkStart w:id="621" w:name="_Caption7910"/>
      <w:bookmarkStart w:id="622" w:name="_Caption2125"/>
      <w:bookmarkStart w:id="623" w:name="_Caption8632"/>
      <w:bookmarkStart w:id="624" w:name="_Caption4801"/>
      <w:bookmarkStart w:id="625" w:name="_Caption9147"/>
      <w:bookmarkStart w:id="626" w:name="_Caption1055"/>
      <w:bookmarkStart w:id="627" w:name="_Caption3192"/>
      <w:bookmarkStart w:id="628" w:name="_Caption6800"/>
      <w:bookmarkStart w:id="629" w:name="_Caption5246"/>
      <w:bookmarkStart w:id="630" w:name="_Caption1148"/>
      <w:bookmarkStart w:id="631" w:name="_Caption5455"/>
      <w:bookmarkStart w:id="632" w:name="_Caption7484"/>
      <w:bookmarkStart w:id="633" w:name="_Caption2405"/>
      <w:bookmarkStart w:id="634" w:name="_Caption4226"/>
      <w:bookmarkStart w:id="635" w:name="_Caption0831"/>
      <w:bookmarkStart w:id="636" w:name="_Caption4965"/>
      <w:bookmarkStart w:id="637" w:name="_Caption0612"/>
      <w:bookmarkStart w:id="638" w:name="_Caption0486"/>
      <w:bookmarkStart w:id="639" w:name="_Caption9653"/>
      <w:bookmarkStart w:id="640" w:name="_Caption1824"/>
      <w:bookmarkStart w:id="641" w:name="_Caption4981"/>
      <w:bookmarkStart w:id="642" w:name="_Caption0308"/>
      <w:bookmarkStart w:id="643" w:name="_Caption4817"/>
      <w:bookmarkStart w:id="644" w:name="_Caption1175"/>
      <w:bookmarkStart w:id="645" w:name="_Caption5231"/>
      <w:bookmarkStart w:id="646" w:name="_Caption0172"/>
      <w:bookmarkStart w:id="647" w:name="_Caption2188"/>
      <w:bookmarkStart w:id="648" w:name="_Caption7829"/>
      <w:bookmarkStart w:id="649" w:name="_Caption4885"/>
      <w:bookmarkStart w:id="650" w:name="_Caption6013"/>
      <w:bookmarkStart w:id="651" w:name="_Caption5044"/>
      <w:bookmarkStart w:id="652" w:name="_Caption5772"/>
      <w:bookmarkStart w:id="653" w:name="_Caption3259"/>
      <w:bookmarkStart w:id="654" w:name="_Caption0311"/>
      <w:bookmarkStart w:id="655" w:name="_Caption6453"/>
      <w:bookmarkStart w:id="656" w:name="_Caption6307"/>
      <w:bookmarkStart w:id="657" w:name="_Caption4775"/>
      <w:bookmarkStart w:id="658" w:name="_Caption8809"/>
      <w:bookmarkStart w:id="659" w:name="_Caption0716"/>
      <w:bookmarkStart w:id="660" w:name="_Caption3291"/>
      <w:bookmarkStart w:id="661" w:name="_Caption0205"/>
      <w:bookmarkStart w:id="662" w:name="_Caption4068"/>
      <w:bookmarkStart w:id="663" w:name="_Caption5697"/>
      <w:bookmarkStart w:id="664" w:name="_Caption8144"/>
      <w:bookmarkStart w:id="665" w:name="_Caption0696"/>
      <w:bookmarkStart w:id="666" w:name="_Caption2585"/>
      <w:bookmarkStart w:id="667" w:name="_Caption5576"/>
      <w:bookmarkStart w:id="668" w:name="_Caption5360"/>
      <w:bookmarkStart w:id="669" w:name="_Caption5702"/>
      <w:bookmarkStart w:id="670" w:name="_Caption4572"/>
      <w:bookmarkStart w:id="671" w:name="_Caption1269"/>
      <w:bookmarkStart w:id="672" w:name="_Caption5600"/>
      <w:bookmarkStart w:id="673" w:name="_Caption4550"/>
      <w:bookmarkStart w:id="674" w:name="_Caption6308"/>
      <w:bookmarkStart w:id="675" w:name="_Caption5440"/>
      <w:bookmarkStart w:id="676" w:name="_Caption7501"/>
      <w:bookmarkStart w:id="677" w:name="_Caption9160"/>
      <w:bookmarkStart w:id="678" w:name="_Caption4541"/>
      <w:bookmarkStart w:id="679" w:name="_Caption6661"/>
      <w:bookmarkStart w:id="680" w:name="_Caption7048"/>
      <w:bookmarkStart w:id="681" w:name="_Caption1905"/>
      <w:bookmarkStart w:id="682" w:name="_Caption2293"/>
      <w:bookmarkStart w:id="683" w:name="_Caption2648"/>
      <w:bookmarkStart w:id="684" w:name="_Caption2603"/>
      <w:bookmarkStart w:id="685" w:name="_Caption7442"/>
      <w:bookmarkStart w:id="686" w:name="_Toc178292573"/>
      <w:r w:rsidR="008C60A3">
        <w:rPr>
          <w:noProof/>
        </w:rPr>
        <w:t>3</w:t>
      </w:r>
      <w:r w:rsidR="008C60A3" w:rsidRPr="00695C93">
        <w:rPr>
          <w:noProof/>
        </w:rPr>
        <w:t>.</w:t>
      </w:r>
      <w:r w:rsidR="008C60A3">
        <w:rPr>
          <w:noProof/>
        </w:rPr>
        <w:t>3</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rsidRPr="00695C93">
        <w:fldChar w:fldCharType="end"/>
      </w:r>
      <w:r w:rsidRPr="00695C93">
        <w:tab/>
      </w:r>
      <w:r>
        <w:t>Specific policies and the implications for NCC 2025</w:t>
      </w:r>
      <w:bookmarkEnd w:id="686"/>
    </w:p>
    <w:tbl>
      <w:tblPr>
        <w:tblW w:w="0" w:type="auto"/>
        <w:tblLayout w:type="fixed"/>
        <w:tblLook w:val="0000" w:firstRow="0" w:lastRow="0" w:firstColumn="0" w:lastColumn="0" w:noHBand="0" w:noVBand="0"/>
        <w:tblCaption w:val="Table 2.3"/>
        <w:tblDescription w:val="Specific policies and the implications for NCC 2025"/>
      </w:tblPr>
      <w:tblGrid>
        <w:gridCol w:w="3968"/>
        <w:gridCol w:w="3969"/>
      </w:tblGrid>
      <w:tr w:rsidR="00767FC0" w14:paraId="2804D0B4" w14:textId="77777777">
        <w:trPr>
          <w:tblHeader/>
        </w:trPr>
        <w:tc>
          <w:tcPr>
            <w:tcW w:w="3968" w:type="dxa"/>
            <w:tcBorders>
              <w:bottom w:val="single" w:sz="8" w:space="0" w:color="FFFFFF" w:themeColor="background1"/>
            </w:tcBorders>
            <w:shd w:val="clear" w:color="auto" w:fill="6F6652"/>
            <w:tcMar>
              <w:left w:w="57" w:type="dxa"/>
              <w:right w:w="57" w:type="dxa"/>
            </w:tcMar>
          </w:tcPr>
          <w:p w14:paraId="686DB50C" w14:textId="77777777" w:rsidR="00767FC0" w:rsidRDefault="00767FC0">
            <w:pPr>
              <w:pStyle w:val="TableTextColumnHeading"/>
            </w:pPr>
            <w:r>
              <w:t>Policies</w:t>
            </w:r>
          </w:p>
        </w:tc>
        <w:tc>
          <w:tcPr>
            <w:tcW w:w="3969" w:type="dxa"/>
            <w:tcBorders>
              <w:bottom w:val="single" w:sz="8" w:space="0" w:color="FFFFFF" w:themeColor="background1"/>
            </w:tcBorders>
            <w:shd w:val="clear" w:color="auto" w:fill="6F6652"/>
            <w:tcMar>
              <w:left w:w="57" w:type="dxa"/>
              <w:right w:w="57" w:type="dxa"/>
            </w:tcMar>
          </w:tcPr>
          <w:p w14:paraId="53C7834C" w14:textId="77777777" w:rsidR="00767FC0" w:rsidRDefault="00767FC0">
            <w:pPr>
              <w:pStyle w:val="TableTextColumnHeading"/>
            </w:pPr>
            <w:r>
              <w:t>Implications for NCC</w:t>
            </w:r>
          </w:p>
        </w:tc>
      </w:tr>
      <w:tr w:rsidR="00767FC0" w14:paraId="6B0A0625" w14:textId="77777777">
        <w:tc>
          <w:tcPr>
            <w:tcW w:w="39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BC757EA" w14:textId="77777777" w:rsidR="00767FC0" w:rsidRDefault="00767FC0">
            <w:pPr>
              <w:pStyle w:val="TableTextEntries"/>
            </w:pPr>
            <w:r>
              <w:t>NABERS provides a voluntary benchmarking tool that can encourage improved performance.</w:t>
            </w:r>
          </w:p>
          <w:p w14:paraId="098493A3" w14:textId="77777777" w:rsidR="00767FC0" w:rsidRDefault="00767FC0">
            <w:pPr>
              <w:pStyle w:val="TableTextEntries"/>
            </w:pPr>
            <w:r>
              <w:t>Under the CBD Program, a NABERS Energy rating is mandatory for office buildings &gt;1000 m</w:t>
            </w:r>
            <w:r w:rsidRPr="00501992">
              <w:rPr>
                <w:i/>
                <w:vertAlign w:val="superscript"/>
              </w:rPr>
              <w:t>2</w:t>
            </w:r>
            <w:r>
              <w:t xml:space="preserve"> (along with a Tenancy Lighting Assessment) upon sale or lease.</w:t>
            </w:r>
          </w:p>
        </w:tc>
        <w:tc>
          <w:tcPr>
            <w:tcW w:w="39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208FB5" w14:textId="77777777" w:rsidR="00767FC0" w:rsidRDefault="00767FC0">
            <w:pPr>
              <w:pStyle w:val="TableListBullet"/>
            </w:pPr>
            <w:r>
              <w:t>Encourages improved energy performance during operation.</w:t>
            </w:r>
          </w:p>
          <w:p w14:paraId="0235F524" w14:textId="77777777" w:rsidR="00767FC0" w:rsidRDefault="00767FC0">
            <w:pPr>
              <w:pStyle w:val="TableListBullet"/>
            </w:pPr>
            <w:r>
              <w:t>Complements mandatory minimum standards in the NCC.</w:t>
            </w:r>
          </w:p>
        </w:tc>
      </w:tr>
      <w:tr w:rsidR="00767FC0" w14:paraId="369DFF3B" w14:textId="77777777">
        <w:tc>
          <w:tcPr>
            <w:tcW w:w="39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9AAFC1" w14:textId="77777777" w:rsidR="00767FC0" w:rsidRDefault="00767FC0">
            <w:pPr>
              <w:pStyle w:val="TableTextEntries"/>
            </w:pPr>
            <w:r>
              <w:t>ACT’s ban of new gas connections to be rolled out in late 2023.</w:t>
            </w:r>
          </w:p>
        </w:tc>
        <w:tc>
          <w:tcPr>
            <w:tcW w:w="3969" w:type="dxa"/>
            <w:vMerge w:val="restart"/>
            <w:tcBorders>
              <w:top w:val="single" w:sz="8" w:space="0" w:color="FFFFFF" w:themeColor="background1"/>
            </w:tcBorders>
            <w:shd w:val="clear" w:color="auto" w:fill="E9E8E5" w:themeFill="background2"/>
            <w:tcMar>
              <w:left w:w="57" w:type="dxa"/>
              <w:right w:w="57" w:type="dxa"/>
            </w:tcMar>
          </w:tcPr>
          <w:p w14:paraId="1B5568B1" w14:textId="77777777" w:rsidR="00767FC0" w:rsidRDefault="00767FC0">
            <w:pPr>
              <w:pStyle w:val="TableTextEntries"/>
            </w:pPr>
            <w:r>
              <w:t>Jurisdictional schemes of electrification and bans of gas connection lay out changes to planning and building regulations. Electrification readiness considerations in NCC 2025 raise standards for commercial buildings will support the transition pathway and provide guidance of electric ready developments in jurisdictions.</w:t>
            </w:r>
          </w:p>
        </w:tc>
      </w:tr>
      <w:tr w:rsidR="00767FC0" w14:paraId="33891598" w14:textId="77777777">
        <w:tc>
          <w:tcPr>
            <w:tcW w:w="39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55455C" w14:textId="77777777" w:rsidR="00767FC0" w:rsidRDefault="00767FC0">
            <w:pPr>
              <w:pStyle w:val="TableTextEntries"/>
            </w:pPr>
            <w:r w:rsidRPr="00E50CDB">
              <w:t>Victoria’s Gas Substitution Roadmap</w:t>
            </w:r>
            <w:r>
              <w:t xml:space="preserve"> – phasing out new residential gas connections.</w:t>
            </w:r>
          </w:p>
        </w:tc>
        <w:tc>
          <w:tcPr>
            <w:tcW w:w="3969" w:type="dxa"/>
            <w:vMerge/>
            <w:tcBorders>
              <w:bottom w:val="single" w:sz="8" w:space="0" w:color="FFFFFF" w:themeColor="background1"/>
            </w:tcBorders>
            <w:shd w:val="clear" w:color="auto" w:fill="E9E8E5" w:themeFill="background2"/>
            <w:tcMar>
              <w:left w:w="57" w:type="dxa"/>
              <w:right w:w="57" w:type="dxa"/>
            </w:tcMar>
          </w:tcPr>
          <w:p w14:paraId="7052CCD6" w14:textId="77777777" w:rsidR="00767FC0" w:rsidRDefault="00767FC0">
            <w:pPr>
              <w:pStyle w:val="TableTextEntries"/>
            </w:pPr>
          </w:p>
        </w:tc>
      </w:tr>
      <w:tr w:rsidR="00767FC0" w14:paraId="66E13335" w14:textId="77777777">
        <w:tc>
          <w:tcPr>
            <w:tcW w:w="3968" w:type="dxa"/>
            <w:tcBorders>
              <w:top w:val="single" w:sz="8" w:space="0" w:color="FFFFFF" w:themeColor="background1"/>
              <w:bottom w:val="single" w:sz="6" w:space="0" w:color="6F6652"/>
            </w:tcBorders>
            <w:shd w:val="clear" w:color="auto" w:fill="E9E8E5" w:themeFill="background2"/>
            <w:tcMar>
              <w:left w:w="57" w:type="dxa"/>
              <w:right w:w="57" w:type="dxa"/>
            </w:tcMar>
          </w:tcPr>
          <w:p w14:paraId="2D0E38C5" w14:textId="2090E5B5" w:rsidR="00767FC0" w:rsidRDefault="00CB359D">
            <w:pPr>
              <w:pStyle w:val="TableTextEntries"/>
            </w:pPr>
            <w:r>
              <w:t>EV</w:t>
            </w:r>
            <w:r w:rsidR="00767FC0">
              <w:t xml:space="preserve"> uptake incentives and fuel efficiency standards. For example, Victoria’s Zero Emissions Vehicle Roadmap and the Australian Government’s </w:t>
            </w:r>
            <w:r w:rsidR="00767FC0" w:rsidRPr="003326C9">
              <w:t>New Vehicle Efficiency Standard</w:t>
            </w:r>
            <w:r w:rsidR="00767FC0">
              <w:t>.</w:t>
            </w:r>
          </w:p>
        </w:tc>
        <w:tc>
          <w:tcPr>
            <w:tcW w:w="3969" w:type="dxa"/>
            <w:tcBorders>
              <w:top w:val="single" w:sz="8" w:space="0" w:color="FFFFFF" w:themeColor="background1"/>
              <w:bottom w:val="single" w:sz="6" w:space="0" w:color="6F6652"/>
            </w:tcBorders>
            <w:shd w:val="clear" w:color="auto" w:fill="E9E8E5" w:themeFill="background2"/>
            <w:tcMar>
              <w:left w:w="57" w:type="dxa"/>
              <w:right w:w="57" w:type="dxa"/>
            </w:tcMar>
          </w:tcPr>
          <w:p w14:paraId="15A49B29" w14:textId="77777777" w:rsidR="00767FC0" w:rsidRDefault="00767FC0">
            <w:pPr>
              <w:pStyle w:val="TableTextEntries"/>
            </w:pPr>
            <w:r>
              <w:t>Considerations of charging facility installation in NCC 2025 to enhance EV-readiness of buildings, and by improving EV charging availability, they support EV uptake strategies across jurisdictions and the development of the mandatory fuel efficiency standard.</w:t>
            </w:r>
          </w:p>
        </w:tc>
      </w:tr>
    </w:tbl>
    <w:p w14:paraId="687664BF" w14:textId="77777777" w:rsidR="00767FC0" w:rsidRDefault="00767FC0" w:rsidP="00767FC0">
      <w:pPr>
        <w:pStyle w:val="Source"/>
      </w:pPr>
      <w:r>
        <w:rPr>
          <w:i/>
        </w:rPr>
        <w:t>Source</w:t>
      </w:r>
      <w:r w:rsidRPr="00E4232C">
        <w:rPr>
          <w:i/>
        </w:rPr>
        <w:t>:</w:t>
      </w:r>
      <w:r>
        <w:t xml:space="preserve"> CIE.</w:t>
      </w:r>
    </w:p>
    <w:p w14:paraId="2103F431" w14:textId="77777777" w:rsidR="00767FC0" w:rsidRDefault="00767FC0" w:rsidP="00767FC0">
      <w:pPr>
        <w:pStyle w:val="Heading4"/>
        <w:numPr>
          <w:ilvl w:val="0"/>
          <w:numId w:val="0"/>
        </w:numPr>
        <w:rPr>
          <w:lang w:eastAsia="en-US"/>
        </w:rPr>
      </w:pPr>
      <w:r>
        <w:rPr>
          <w:lang w:eastAsia="en-US"/>
        </w:rPr>
        <w:t>NABERS</w:t>
      </w:r>
    </w:p>
    <w:p w14:paraId="2FBBB87E" w14:textId="77777777" w:rsidR="00767FC0" w:rsidRPr="00844A6E" w:rsidRDefault="00767FC0" w:rsidP="00767FC0">
      <w:pPr>
        <w:pStyle w:val="BodyText"/>
        <w:rPr>
          <w:szCs w:val="22"/>
        </w:rPr>
      </w:pPr>
      <w:r w:rsidRPr="00844A6E">
        <w:rPr>
          <w:szCs w:val="22"/>
        </w:rPr>
        <w:t>The National Australian Built Environment Rating System (NABERS) is operated by the NSW Government on behalf of Commonwealth, State and Territory Governments. NABERS essentially provides a range of tools to benchmark performance on a range of sustainability measures against similar buildings. NABERS has been referenced in the NCC as an energy efficiency Verification Method. There are also NABERS tools in relation to: water, waste and indoor environment.</w:t>
      </w:r>
    </w:p>
    <w:p w14:paraId="4FA1988F" w14:textId="77777777" w:rsidR="00767FC0" w:rsidRPr="00844A6E" w:rsidRDefault="00767FC0" w:rsidP="00767FC0">
      <w:pPr>
        <w:pStyle w:val="BodyText"/>
        <w:rPr>
          <w:szCs w:val="22"/>
          <w:lang w:eastAsia="en-US"/>
        </w:rPr>
      </w:pPr>
      <w:r w:rsidRPr="00844A6E">
        <w:rPr>
          <w:szCs w:val="22"/>
        </w:rPr>
        <w:t>NABERS provides a rating from one to six stars as follows:</w:t>
      </w:r>
      <w:r w:rsidRPr="004B502E">
        <w:rPr>
          <w:rStyle w:val="FootnoteReference"/>
        </w:rPr>
        <w:footnoteReference w:id="51"/>
      </w:r>
    </w:p>
    <w:p w14:paraId="0566772D" w14:textId="77777777" w:rsidR="00767FC0" w:rsidRPr="006559F9" w:rsidRDefault="00767FC0" w:rsidP="00767FC0">
      <w:pPr>
        <w:pStyle w:val="ListBullet"/>
        <w:rPr>
          <w:lang w:bidi="fa-IR"/>
        </w:rPr>
      </w:pPr>
      <w:r w:rsidRPr="006559F9">
        <w:rPr>
          <w:lang w:bidi="fa-IR"/>
        </w:rPr>
        <w:t>1 star — making a start</w:t>
      </w:r>
    </w:p>
    <w:p w14:paraId="46F6A8ED" w14:textId="77777777" w:rsidR="00767FC0" w:rsidRPr="006559F9" w:rsidRDefault="00767FC0" w:rsidP="00767FC0">
      <w:pPr>
        <w:pStyle w:val="ListBullet"/>
        <w:rPr>
          <w:lang w:bidi="fa-IR"/>
        </w:rPr>
      </w:pPr>
      <w:r w:rsidRPr="006559F9">
        <w:rPr>
          <w:lang w:bidi="fa-IR"/>
        </w:rPr>
        <w:t>2 star — below average</w:t>
      </w:r>
    </w:p>
    <w:p w14:paraId="7FBB730C" w14:textId="77777777" w:rsidR="00767FC0" w:rsidRPr="006559F9" w:rsidRDefault="00767FC0" w:rsidP="00767FC0">
      <w:pPr>
        <w:pStyle w:val="ListBullet"/>
        <w:rPr>
          <w:lang w:bidi="fa-IR"/>
        </w:rPr>
      </w:pPr>
      <w:r w:rsidRPr="006559F9">
        <w:rPr>
          <w:lang w:bidi="fa-IR"/>
        </w:rPr>
        <w:t>3 stars — average</w:t>
      </w:r>
    </w:p>
    <w:p w14:paraId="5539833A" w14:textId="77777777" w:rsidR="00767FC0" w:rsidRPr="006559F9" w:rsidRDefault="00767FC0" w:rsidP="00767FC0">
      <w:pPr>
        <w:pStyle w:val="ListBullet"/>
        <w:rPr>
          <w:lang w:bidi="fa-IR"/>
        </w:rPr>
      </w:pPr>
      <w:r w:rsidRPr="006559F9">
        <w:rPr>
          <w:lang w:bidi="fa-IR"/>
        </w:rPr>
        <w:t>4 stars — good</w:t>
      </w:r>
    </w:p>
    <w:p w14:paraId="1A6C2941" w14:textId="77777777" w:rsidR="00767FC0" w:rsidRPr="006559F9" w:rsidRDefault="00767FC0" w:rsidP="00767FC0">
      <w:pPr>
        <w:pStyle w:val="ListBullet"/>
        <w:rPr>
          <w:lang w:bidi="fa-IR"/>
        </w:rPr>
      </w:pPr>
      <w:r w:rsidRPr="006559F9">
        <w:rPr>
          <w:lang w:bidi="fa-IR"/>
        </w:rPr>
        <w:t>5 stars — excellent</w:t>
      </w:r>
    </w:p>
    <w:p w14:paraId="42776CA5" w14:textId="77777777" w:rsidR="00767FC0" w:rsidRPr="006559F9" w:rsidRDefault="00767FC0" w:rsidP="00767FC0">
      <w:pPr>
        <w:pStyle w:val="ListBullet"/>
        <w:rPr>
          <w:lang w:bidi="fa-IR"/>
        </w:rPr>
      </w:pPr>
      <w:r w:rsidRPr="006559F9">
        <w:rPr>
          <w:lang w:bidi="fa-IR"/>
        </w:rPr>
        <w:t>6 stars — market leading.</w:t>
      </w:r>
    </w:p>
    <w:p w14:paraId="7A8FBB19" w14:textId="77777777" w:rsidR="00767FC0" w:rsidRPr="00844A6E" w:rsidRDefault="00767FC0" w:rsidP="00767FC0">
      <w:pPr>
        <w:pStyle w:val="BodyText"/>
        <w:rPr>
          <w:szCs w:val="22"/>
        </w:rPr>
      </w:pPr>
      <w:r w:rsidRPr="00844A6E">
        <w:rPr>
          <w:szCs w:val="22"/>
        </w:rPr>
        <w:t>Energy efficiency rating tools allow building owners/operators to obtain a rating for their building from an accredited assessor using an established methodology. These arrangements mean that buyers/tenants can have confidence in the energy efficiency rating provided by the seller/landlord.</w:t>
      </w:r>
    </w:p>
    <w:p w14:paraId="7709A105" w14:textId="77777777" w:rsidR="00767FC0" w:rsidRPr="00844A6E" w:rsidRDefault="00767FC0" w:rsidP="00767FC0">
      <w:pPr>
        <w:pStyle w:val="BodyText"/>
        <w:rPr>
          <w:szCs w:val="22"/>
        </w:rPr>
      </w:pPr>
      <w:r w:rsidRPr="00844A6E">
        <w:rPr>
          <w:szCs w:val="22"/>
        </w:rPr>
        <w:t>Compared with 2018 (when the previous commercial energy efficiency RIS was completed) there are now NABERS Energy rating tools available for a broader range of buildings. NABERS Energy tools available for:</w:t>
      </w:r>
    </w:p>
    <w:p w14:paraId="47732F3B" w14:textId="77777777" w:rsidR="00767FC0" w:rsidRPr="006559F9" w:rsidRDefault="00767FC0" w:rsidP="00767FC0">
      <w:pPr>
        <w:pStyle w:val="ListBullet"/>
        <w:rPr>
          <w:lang w:bidi="fa-IR"/>
        </w:rPr>
      </w:pPr>
      <w:r w:rsidRPr="006559F9">
        <w:rPr>
          <w:lang w:bidi="fa-IR"/>
        </w:rPr>
        <w:t>Office buildings and tenancies</w:t>
      </w:r>
    </w:p>
    <w:p w14:paraId="28E7D25C" w14:textId="77777777" w:rsidR="00767FC0" w:rsidRPr="006559F9" w:rsidRDefault="00767FC0" w:rsidP="00767FC0">
      <w:pPr>
        <w:pStyle w:val="ListBullet"/>
        <w:rPr>
          <w:lang w:bidi="fa-IR"/>
        </w:rPr>
      </w:pPr>
      <w:r w:rsidRPr="006559F9">
        <w:rPr>
          <w:lang w:bidi="fa-IR"/>
        </w:rPr>
        <w:t>Shopping centres</w:t>
      </w:r>
    </w:p>
    <w:p w14:paraId="607DEAC9" w14:textId="77777777" w:rsidR="00767FC0" w:rsidRPr="006559F9" w:rsidRDefault="00767FC0" w:rsidP="00767FC0">
      <w:pPr>
        <w:pStyle w:val="ListBullet"/>
        <w:rPr>
          <w:lang w:bidi="fa-IR"/>
        </w:rPr>
      </w:pPr>
      <w:r w:rsidRPr="006559F9">
        <w:rPr>
          <w:lang w:bidi="fa-IR"/>
        </w:rPr>
        <w:t>Apartment buildings</w:t>
      </w:r>
    </w:p>
    <w:p w14:paraId="59A51947" w14:textId="77777777" w:rsidR="00767FC0" w:rsidRPr="006559F9" w:rsidRDefault="00767FC0" w:rsidP="00767FC0">
      <w:pPr>
        <w:pStyle w:val="ListBullet"/>
        <w:rPr>
          <w:lang w:bidi="fa-IR"/>
        </w:rPr>
      </w:pPr>
      <w:r w:rsidRPr="006559F9">
        <w:rPr>
          <w:lang w:bidi="fa-IR"/>
        </w:rPr>
        <w:t>Hospitals (public)</w:t>
      </w:r>
    </w:p>
    <w:p w14:paraId="2DC7A717" w14:textId="77777777" w:rsidR="00767FC0" w:rsidRPr="006559F9" w:rsidRDefault="00767FC0" w:rsidP="00767FC0">
      <w:pPr>
        <w:pStyle w:val="ListBullet"/>
        <w:rPr>
          <w:lang w:bidi="fa-IR"/>
        </w:rPr>
      </w:pPr>
      <w:r w:rsidRPr="006559F9">
        <w:rPr>
          <w:lang w:bidi="fa-IR"/>
        </w:rPr>
        <w:t>Hotels</w:t>
      </w:r>
    </w:p>
    <w:p w14:paraId="5F61DF37" w14:textId="77777777" w:rsidR="00767FC0" w:rsidRPr="006559F9" w:rsidRDefault="00767FC0" w:rsidP="00767FC0">
      <w:pPr>
        <w:pStyle w:val="ListBullet"/>
        <w:rPr>
          <w:lang w:bidi="fa-IR"/>
        </w:rPr>
      </w:pPr>
      <w:r w:rsidRPr="006559F9">
        <w:rPr>
          <w:lang w:bidi="fa-IR"/>
        </w:rPr>
        <w:t>Data centres</w:t>
      </w:r>
    </w:p>
    <w:p w14:paraId="48BD3438" w14:textId="77777777" w:rsidR="00767FC0" w:rsidRPr="006559F9" w:rsidRDefault="00767FC0" w:rsidP="00767FC0">
      <w:pPr>
        <w:pStyle w:val="ListBullet"/>
        <w:rPr>
          <w:lang w:bidi="fa-IR"/>
        </w:rPr>
      </w:pPr>
      <w:r w:rsidRPr="006559F9">
        <w:rPr>
          <w:lang w:bidi="fa-IR"/>
        </w:rPr>
        <w:t>Residential aged care</w:t>
      </w:r>
    </w:p>
    <w:p w14:paraId="1D89301F" w14:textId="77777777" w:rsidR="00767FC0" w:rsidRPr="006559F9" w:rsidRDefault="00767FC0" w:rsidP="00767FC0">
      <w:pPr>
        <w:pStyle w:val="ListBullet"/>
        <w:rPr>
          <w:lang w:bidi="fa-IR"/>
        </w:rPr>
      </w:pPr>
      <w:r w:rsidRPr="006559F9">
        <w:rPr>
          <w:lang w:bidi="fa-IR"/>
        </w:rPr>
        <w:t>Retirement living</w:t>
      </w:r>
    </w:p>
    <w:p w14:paraId="3307DEB1" w14:textId="77777777" w:rsidR="00767FC0" w:rsidRPr="006559F9" w:rsidRDefault="00767FC0" w:rsidP="00767FC0">
      <w:pPr>
        <w:pStyle w:val="ListBullet"/>
        <w:rPr>
          <w:lang w:bidi="fa-IR"/>
        </w:rPr>
      </w:pPr>
      <w:r w:rsidRPr="006559F9">
        <w:rPr>
          <w:lang w:bidi="fa-IR"/>
        </w:rPr>
        <w:t>Warehouses and cold stores.</w:t>
      </w:r>
      <w:r w:rsidRPr="006559F9">
        <w:rPr>
          <w:rStyle w:val="FootnoteReference"/>
        </w:rPr>
        <w:footnoteReference w:id="52"/>
      </w:r>
    </w:p>
    <w:p w14:paraId="4FF70670" w14:textId="77777777" w:rsidR="00767FC0" w:rsidRPr="00F52667" w:rsidRDefault="00767FC0" w:rsidP="00767FC0">
      <w:pPr>
        <w:pStyle w:val="Heading4"/>
        <w:numPr>
          <w:ilvl w:val="0"/>
          <w:numId w:val="0"/>
        </w:numPr>
        <w:rPr>
          <w:lang w:eastAsia="en-US"/>
        </w:rPr>
      </w:pPr>
      <w:r>
        <w:rPr>
          <w:lang w:eastAsia="en-US"/>
        </w:rPr>
        <w:t>The Commercial Building Disclosure Program</w:t>
      </w:r>
    </w:p>
    <w:p w14:paraId="52BEE43B" w14:textId="77777777" w:rsidR="00767FC0" w:rsidRPr="00844A6E" w:rsidRDefault="00767FC0" w:rsidP="00767FC0">
      <w:pPr>
        <w:pStyle w:val="BodyText"/>
        <w:spacing w:before="80"/>
        <w:rPr>
          <w:szCs w:val="22"/>
          <w:lang w:bidi="fa-IR"/>
        </w:rPr>
      </w:pPr>
      <w:r w:rsidRPr="00844A6E">
        <w:rPr>
          <w:szCs w:val="22"/>
          <w:lang w:bidi="fa-IR"/>
        </w:rPr>
        <w:t>The Commercial Building Disclosure (CBD) Program is a key national</w:t>
      </w:r>
      <w:r w:rsidRPr="00844A6E">
        <w:rPr>
          <w:szCs w:val="22"/>
          <w:lang w:bidi="fa-IR"/>
        </w:rPr>
        <w:noBreakHyphen/>
        <w:t xml:space="preserve">level policy to encourage energy efficiency improvements in existing buildings. </w:t>
      </w:r>
    </w:p>
    <w:p w14:paraId="00469AB5" w14:textId="77777777" w:rsidR="00767FC0" w:rsidRPr="006559F9" w:rsidRDefault="00767FC0" w:rsidP="00767FC0">
      <w:pPr>
        <w:pStyle w:val="ListBullet"/>
        <w:rPr>
          <w:lang w:bidi="fa-IR"/>
        </w:rPr>
      </w:pPr>
      <w:r w:rsidRPr="006559F9">
        <w:rPr>
          <w:lang w:bidi="fa-IR"/>
        </w:rPr>
        <w:t>Under the CBD Program, all office space greater than 1000 m2 must obtain a Building Energy Efficiency Certificate (BEEC) upon sale or lease.</w:t>
      </w:r>
    </w:p>
    <w:p w14:paraId="2FA9BB1E" w14:textId="77777777" w:rsidR="00767FC0" w:rsidRPr="006559F9" w:rsidRDefault="00767FC0" w:rsidP="00767FC0">
      <w:pPr>
        <w:pStyle w:val="ListBullet"/>
        <w:rPr>
          <w:lang w:bidi="fa-IR"/>
        </w:rPr>
      </w:pPr>
      <w:r w:rsidRPr="006559F9">
        <w:rPr>
          <w:lang w:bidi="fa-IR"/>
        </w:rPr>
        <w:t>A BEEC is prepared by an accredited assessor and includes:</w:t>
      </w:r>
    </w:p>
    <w:p w14:paraId="1D7C2B91" w14:textId="77777777" w:rsidR="00767FC0" w:rsidRPr="00844A6E" w:rsidRDefault="00767FC0" w:rsidP="00767FC0">
      <w:pPr>
        <w:pStyle w:val="ListBullet"/>
        <w:numPr>
          <w:ilvl w:val="1"/>
          <w:numId w:val="34"/>
        </w:numPr>
        <w:rPr>
          <w:szCs w:val="22"/>
        </w:rPr>
      </w:pPr>
      <w:r w:rsidRPr="00844A6E">
        <w:rPr>
          <w:szCs w:val="22"/>
          <w:lang w:bidi="fa-IR"/>
        </w:rPr>
        <w:t xml:space="preserve">a </w:t>
      </w:r>
      <w:r w:rsidRPr="00844A6E">
        <w:rPr>
          <w:szCs w:val="22"/>
        </w:rPr>
        <w:t>NABERS star rating that provides information on energy use, GHG emissions and a benchmark of how energy use compares to similar buildings in similar climatic locations;</w:t>
      </w:r>
    </w:p>
    <w:p w14:paraId="3FA02E58" w14:textId="77777777" w:rsidR="00767FC0" w:rsidRPr="00844A6E" w:rsidRDefault="00767FC0" w:rsidP="00767FC0">
      <w:pPr>
        <w:pStyle w:val="ListBullet"/>
        <w:numPr>
          <w:ilvl w:val="1"/>
          <w:numId w:val="34"/>
        </w:numPr>
        <w:rPr>
          <w:szCs w:val="22"/>
          <w:lang w:bidi="fa-IR"/>
        </w:rPr>
      </w:pPr>
      <w:r w:rsidRPr="00844A6E">
        <w:rPr>
          <w:szCs w:val="22"/>
        </w:rPr>
        <w:t>the lighting efficiency of the tenanted area through a Tenancy Lighting Assessment (TLA). This provides a measure of the energy required to light each of the areas of a building</w:t>
      </w:r>
      <w:r w:rsidRPr="00844A6E">
        <w:rPr>
          <w:szCs w:val="22"/>
          <w:lang w:bidi="fa-IR"/>
        </w:rPr>
        <w:t>.</w:t>
      </w:r>
    </w:p>
    <w:p w14:paraId="7F1EC98C" w14:textId="77777777" w:rsidR="00767FC0" w:rsidRPr="006559F9" w:rsidRDefault="00767FC0" w:rsidP="00767FC0">
      <w:pPr>
        <w:pStyle w:val="ListBullet"/>
        <w:rPr>
          <w:lang w:bidi="fa-IR"/>
        </w:rPr>
      </w:pPr>
      <w:r w:rsidRPr="006559F9">
        <w:rPr>
          <w:lang w:bidi="fa-IR"/>
        </w:rPr>
        <w:t>The NABERS rating must be disclosed in all advertising material.</w:t>
      </w:r>
    </w:p>
    <w:p w14:paraId="5B26E90F" w14:textId="77777777" w:rsidR="00767FC0" w:rsidRPr="00844A6E" w:rsidRDefault="00767FC0" w:rsidP="00767FC0">
      <w:pPr>
        <w:pStyle w:val="BodyText"/>
        <w:rPr>
          <w:szCs w:val="22"/>
          <w:lang w:bidi="fa-IR"/>
        </w:rPr>
      </w:pPr>
      <w:r w:rsidRPr="00844A6E">
        <w:rPr>
          <w:szCs w:val="22"/>
          <w:lang w:bidi="fa-IR"/>
        </w:rPr>
        <w:t>The CBD Program provides benchmarked energy performance information that can be useful to both the building owner (i.e. the landlord) and buyers/tenants.</w:t>
      </w:r>
    </w:p>
    <w:p w14:paraId="7EC7BF2F" w14:textId="77777777" w:rsidR="00767FC0" w:rsidRPr="00844A6E" w:rsidRDefault="00767FC0" w:rsidP="00767FC0">
      <w:pPr>
        <w:pStyle w:val="BodyText"/>
        <w:rPr>
          <w:szCs w:val="22"/>
          <w:lang w:bidi="fa-IR"/>
        </w:rPr>
      </w:pPr>
      <w:r w:rsidRPr="00844A6E">
        <w:rPr>
          <w:szCs w:val="22"/>
          <w:lang w:bidi="fa-IR"/>
        </w:rPr>
        <w:t>The CBD Program was intended as a complement to mandatory minimum standards set out in the NCC. Whereas the NCC applies only to new buildings (and buildings undergoing major refurbishment), the CBD Program aims to encourage improved energy performance of existing buildings.</w:t>
      </w:r>
    </w:p>
    <w:p w14:paraId="4FFE6D01" w14:textId="77777777" w:rsidR="00767FC0" w:rsidRDefault="00767FC0" w:rsidP="00767FC0">
      <w:pPr>
        <w:pStyle w:val="Heading4"/>
        <w:numPr>
          <w:ilvl w:val="0"/>
          <w:numId w:val="0"/>
        </w:numPr>
        <w:rPr>
          <w:lang w:eastAsia="en-US"/>
        </w:rPr>
      </w:pPr>
      <w:r>
        <w:rPr>
          <w:lang w:eastAsia="en-US"/>
        </w:rPr>
        <w:t>State and territory</w:t>
      </w:r>
      <w:r>
        <w:rPr>
          <w:lang w:eastAsia="en-US"/>
        </w:rPr>
        <w:noBreakHyphen/>
        <w:t>based electrification policies</w:t>
      </w:r>
    </w:p>
    <w:p w14:paraId="6EA88DD0" w14:textId="78F8121E" w:rsidR="00767FC0" w:rsidRPr="00844A6E" w:rsidRDefault="00767FC0" w:rsidP="00767FC0">
      <w:pPr>
        <w:pStyle w:val="BodyText"/>
        <w:rPr>
          <w:szCs w:val="22"/>
          <w:lang w:eastAsia="en-US"/>
        </w:rPr>
      </w:pPr>
      <w:r w:rsidRPr="00844A6E">
        <w:rPr>
          <w:szCs w:val="22"/>
          <w:lang w:eastAsia="en-US"/>
        </w:rPr>
        <w:t xml:space="preserve">The ACT and </w:t>
      </w:r>
      <w:r w:rsidR="00B244EB">
        <w:rPr>
          <w:szCs w:val="22"/>
          <w:lang w:eastAsia="en-US"/>
        </w:rPr>
        <w:t>Victoria</w:t>
      </w:r>
      <w:r w:rsidRPr="00844A6E">
        <w:rPr>
          <w:szCs w:val="22"/>
          <w:lang w:eastAsia="en-US"/>
        </w:rPr>
        <w:t xml:space="preserve"> have taken proactive steps in electrification policies. </w:t>
      </w:r>
    </w:p>
    <w:p w14:paraId="53554538" w14:textId="77777777" w:rsidR="00767FC0" w:rsidRPr="00844A6E" w:rsidRDefault="00767FC0" w:rsidP="00767FC0">
      <w:pPr>
        <w:pStyle w:val="ListBullet"/>
        <w:numPr>
          <w:ilvl w:val="0"/>
          <w:numId w:val="0"/>
        </w:numPr>
        <w:rPr>
          <w:szCs w:val="22"/>
          <w:lang w:eastAsia="en-US"/>
        </w:rPr>
      </w:pPr>
      <w:r w:rsidRPr="00844A6E">
        <w:rPr>
          <w:szCs w:val="22"/>
        </w:rPr>
        <w:t>The ACT government is committed to net-zero emissions target by 2045 with plans of action and transition pathway to elect</w:t>
      </w:r>
      <w:r w:rsidRPr="00844A6E">
        <w:rPr>
          <w:szCs w:val="22"/>
          <w:lang w:eastAsia="en-US"/>
        </w:rPr>
        <w:t>rify fossil fuel energy by 2045. Some milestones that are achieved or to be expected in near future include:</w:t>
      </w:r>
      <w:r w:rsidRPr="004B502E">
        <w:rPr>
          <w:rStyle w:val="FootnoteReference"/>
        </w:rPr>
        <w:footnoteReference w:id="53"/>
      </w:r>
    </w:p>
    <w:p w14:paraId="094D5B7A" w14:textId="77777777" w:rsidR="00767FC0" w:rsidRPr="006559F9" w:rsidRDefault="00767FC0" w:rsidP="00767FC0">
      <w:pPr>
        <w:pStyle w:val="ListBullet"/>
        <w:rPr>
          <w:lang w:bidi="fa-IR"/>
        </w:rPr>
      </w:pPr>
      <w:r w:rsidRPr="006559F9">
        <w:rPr>
          <w:lang w:bidi="fa-IR"/>
        </w:rPr>
        <w:t>In 2020 the ACT secured 100 per cent renewable electricity supply.</w:t>
      </w:r>
    </w:p>
    <w:p w14:paraId="77BAFA89" w14:textId="77777777" w:rsidR="00767FC0" w:rsidRPr="006559F9" w:rsidRDefault="00767FC0" w:rsidP="00767FC0">
      <w:pPr>
        <w:pStyle w:val="ListBullet"/>
        <w:rPr>
          <w:lang w:bidi="fa-IR"/>
        </w:rPr>
      </w:pPr>
      <w:r w:rsidRPr="006559F9">
        <w:rPr>
          <w:lang w:bidi="fa-IR"/>
        </w:rPr>
        <w:t xml:space="preserve">Community consultation on a regulation to prevent new gas network connections was held in 2023. </w:t>
      </w:r>
    </w:p>
    <w:p w14:paraId="5B2A41D8" w14:textId="77777777" w:rsidR="00767FC0" w:rsidRPr="006559F9" w:rsidRDefault="00767FC0" w:rsidP="00767FC0">
      <w:pPr>
        <w:pStyle w:val="ListBullet"/>
        <w:rPr>
          <w:lang w:bidi="fa-IR"/>
        </w:rPr>
      </w:pPr>
      <w:r w:rsidRPr="006559F9">
        <w:rPr>
          <w:lang w:bidi="fa-IR"/>
        </w:rPr>
        <w:t xml:space="preserve">A regulation to prevent new gas network connect rolled out in December 2023. </w:t>
      </w:r>
    </w:p>
    <w:p w14:paraId="7F2CE0D8" w14:textId="77777777" w:rsidR="00767FC0" w:rsidRPr="006559F9" w:rsidRDefault="00767FC0" w:rsidP="00767FC0">
      <w:pPr>
        <w:pStyle w:val="ListBullet"/>
        <w:rPr>
          <w:lang w:bidi="fa-IR"/>
        </w:rPr>
      </w:pPr>
      <w:r w:rsidRPr="006559F9">
        <w:rPr>
          <w:lang w:bidi="fa-IR"/>
        </w:rPr>
        <w:t>ACT Government released the Integrated Energy Plan Position Paper that proposed approaches to transform ACT energy system for public comments. The Integrated Energy Plan will outline actions to be taken over the short and long term along a</w:t>
      </w:r>
      <w:r>
        <w:rPr>
          <w:lang w:bidi="fa-IR"/>
        </w:rPr>
        <w:t xml:space="preserve"> </w:t>
      </w:r>
      <w:r w:rsidRPr="006559F9">
        <w:rPr>
          <w:lang w:bidi="fa-IR"/>
        </w:rPr>
        <w:t>transition pathway to an affordable and sustainable energy systems. This plan is expected to be published in 2024.</w:t>
      </w:r>
      <w:r w:rsidRPr="006559F9">
        <w:rPr>
          <w:rStyle w:val="FootnoteReference"/>
          <w:lang w:bidi="fa-IR"/>
        </w:rPr>
        <w:footnoteReference w:id="54"/>
      </w:r>
    </w:p>
    <w:p w14:paraId="77BAB574" w14:textId="13525D1A" w:rsidR="00767FC0" w:rsidRPr="00844A6E" w:rsidRDefault="00767FC0" w:rsidP="00767FC0">
      <w:pPr>
        <w:pStyle w:val="BodyText"/>
        <w:rPr>
          <w:szCs w:val="22"/>
          <w:lang w:eastAsia="en-US"/>
        </w:rPr>
      </w:pPr>
      <w:r w:rsidRPr="00844A6E">
        <w:rPr>
          <w:szCs w:val="22"/>
          <w:lang w:eastAsia="en-US"/>
        </w:rPr>
        <w:t xml:space="preserve">The </w:t>
      </w:r>
      <w:r w:rsidR="00B244EB">
        <w:rPr>
          <w:szCs w:val="22"/>
          <w:lang w:eastAsia="en-US"/>
        </w:rPr>
        <w:t>Victorian</w:t>
      </w:r>
      <w:r w:rsidRPr="00844A6E">
        <w:rPr>
          <w:szCs w:val="22"/>
          <w:lang w:eastAsia="en-US"/>
        </w:rPr>
        <w:t xml:space="preserve"> </w:t>
      </w:r>
      <w:r w:rsidR="00B244EB">
        <w:rPr>
          <w:szCs w:val="22"/>
          <w:lang w:eastAsia="en-US"/>
        </w:rPr>
        <w:t>G</w:t>
      </w:r>
      <w:r w:rsidRPr="00844A6E">
        <w:rPr>
          <w:szCs w:val="22"/>
          <w:lang w:eastAsia="en-US"/>
        </w:rPr>
        <w:t>overnment set out the Victoria’s Gas Substitution Roadmap to guide the state to meet its net zero emission targets. The roadmap lays out key regulatory steps and support programs as follows.</w:t>
      </w:r>
      <w:r w:rsidRPr="00034557">
        <w:rPr>
          <w:rStyle w:val="FootnoteReference"/>
          <w:lang w:eastAsia="en-US"/>
        </w:rPr>
        <w:footnoteReference w:id="55"/>
      </w:r>
    </w:p>
    <w:p w14:paraId="50D00E10" w14:textId="77777777" w:rsidR="00767FC0" w:rsidRPr="006559F9" w:rsidRDefault="00767FC0" w:rsidP="00767FC0">
      <w:pPr>
        <w:pStyle w:val="ListBullet"/>
        <w:rPr>
          <w:lang w:bidi="fa-IR"/>
        </w:rPr>
      </w:pPr>
      <w:r w:rsidRPr="006559F9">
        <w:rPr>
          <w:lang w:bidi="fa-IR"/>
        </w:rPr>
        <w:t xml:space="preserve">From January 1st 2024 onwards, the phase-out policy will be rolled out to limit new gas connection for new dwellings, apartment buildings and residential subdivisions. This policy will affect the construction of new dwellings with planning permits. </w:t>
      </w:r>
    </w:p>
    <w:p w14:paraId="58B85D71" w14:textId="77777777" w:rsidR="00767FC0" w:rsidRPr="006559F9" w:rsidRDefault="00767FC0" w:rsidP="00767FC0">
      <w:pPr>
        <w:pStyle w:val="ListBullet"/>
        <w:rPr>
          <w:lang w:bidi="fa-IR"/>
        </w:rPr>
      </w:pPr>
      <w:r w:rsidRPr="006559F9">
        <w:rPr>
          <w:lang w:bidi="fa-IR"/>
        </w:rPr>
        <w:t>The Roadmap Update in January 2024 reiterates ‘investigating options to progressively electrify all new and existing residential and most commercial buildings’.</w:t>
      </w:r>
    </w:p>
    <w:p w14:paraId="33E5ABE4" w14:textId="77777777" w:rsidR="00767FC0" w:rsidRPr="006559F9" w:rsidRDefault="00767FC0" w:rsidP="00767FC0">
      <w:pPr>
        <w:pStyle w:val="ListBullet"/>
        <w:rPr>
          <w:lang w:bidi="fa-IR"/>
        </w:rPr>
      </w:pPr>
      <w:r w:rsidRPr="006559F9">
        <w:rPr>
          <w:lang w:bidi="fa-IR"/>
        </w:rPr>
        <w:t>Solar Victoria is launching the residential electrification grants program, offering grants to providers involved in large-scale residential electrification projects across Victoria. These grants will benefit homeowners. Solar Victoria also provides individual rebates for solar PV for new homes under construction. Additionally, they offer training programs to support electricians in designing and installing PV and batteries in new homes.</w:t>
      </w:r>
    </w:p>
    <w:p w14:paraId="0D001CA1" w14:textId="77777777" w:rsidR="00767FC0" w:rsidRPr="00844A6E" w:rsidRDefault="00767FC0" w:rsidP="00767FC0">
      <w:pPr>
        <w:pStyle w:val="BodyText"/>
        <w:rPr>
          <w:szCs w:val="22"/>
          <w:lang w:eastAsia="en-US"/>
        </w:rPr>
      </w:pPr>
      <w:r w:rsidRPr="00844A6E">
        <w:rPr>
          <w:szCs w:val="22"/>
          <w:lang w:eastAsia="en-US"/>
        </w:rPr>
        <w:t>There appears to be no active consideration of policies to support electrification (or the phasing out of gas) in other states and territories.</w:t>
      </w:r>
    </w:p>
    <w:p w14:paraId="5856F4F3" w14:textId="77777777" w:rsidR="00767FC0" w:rsidRDefault="00767FC0" w:rsidP="00767FC0">
      <w:pPr>
        <w:pStyle w:val="Heading4"/>
        <w:numPr>
          <w:ilvl w:val="0"/>
          <w:numId w:val="0"/>
        </w:numPr>
        <w:rPr>
          <w:lang w:eastAsia="en-US"/>
        </w:rPr>
      </w:pPr>
      <w:r>
        <w:rPr>
          <w:lang w:eastAsia="en-US"/>
        </w:rPr>
        <w:t>Electric vehicle incentives</w:t>
      </w:r>
    </w:p>
    <w:p w14:paraId="1AFFEB6A" w14:textId="097F4EFC" w:rsidR="00767FC0" w:rsidRPr="00844A6E" w:rsidRDefault="00767FC0" w:rsidP="00767FC0">
      <w:pPr>
        <w:pStyle w:val="BodyText"/>
        <w:rPr>
          <w:szCs w:val="22"/>
          <w:lang w:eastAsia="en-US"/>
        </w:rPr>
      </w:pPr>
      <w:r w:rsidRPr="00844A6E">
        <w:rPr>
          <w:szCs w:val="22"/>
          <w:lang w:eastAsia="en-US"/>
        </w:rPr>
        <w:t>There are six categories of financial incentives for purchasing zero- or low-emission</w:t>
      </w:r>
      <w:r>
        <w:rPr>
          <w:lang w:eastAsia="en-US"/>
        </w:rPr>
        <w:t xml:space="preserve"> </w:t>
      </w:r>
      <w:r w:rsidRPr="00844A6E">
        <w:rPr>
          <w:szCs w:val="22"/>
          <w:lang w:eastAsia="en-US"/>
        </w:rPr>
        <w:t>vehicles across jurisdictions as follows.</w:t>
      </w:r>
      <w:r w:rsidRPr="00034557">
        <w:rPr>
          <w:rStyle w:val="FootnoteReference"/>
          <w:lang w:eastAsia="en-US"/>
        </w:rPr>
        <w:footnoteReference w:id="56"/>
      </w:r>
      <w:r w:rsidRPr="00034557">
        <w:rPr>
          <w:rStyle w:val="FootnoteReference"/>
        </w:rPr>
        <w:t xml:space="preserve"> </w:t>
      </w:r>
      <w:r w:rsidRPr="00844A6E">
        <w:rPr>
          <w:szCs w:val="22"/>
          <w:lang w:eastAsia="en-US"/>
        </w:rPr>
        <w:t xml:space="preserve">They encourage uptake of </w:t>
      </w:r>
      <w:r w:rsidR="005B4BB5">
        <w:rPr>
          <w:szCs w:val="22"/>
          <w:lang w:eastAsia="en-US"/>
        </w:rPr>
        <w:t>EVs</w:t>
      </w:r>
      <w:r w:rsidRPr="00844A6E">
        <w:rPr>
          <w:szCs w:val="22"/>
          <w:lang w:eastAsia="en-US"/>
        </w:rPr>
        <w:t xml:space="preserve">, implying a need for consideration of safe charging in the built environment. </w:t>
      </w:r>
    </w:p>
    <w:p w14:paraId="66F712E1" w14:textId="23C0C5C7" w:rsidR="00767FC0" w:rsidRPr="006559F9" w:rsidRDefault="00767FC0" w:rsidP="00767FC0">
      <w:pPr>
        <w:pStyle w:val="ListBullet"/>
        <w:rPr>
          <w:lang w:bidi="fa-IR"/>
        </w:rPr>
      </w:pPr>
      <w:r w:rsidRPr="006559F9">
        <w:rPr>
          <w:b/>
          <w:lang w:bidi="fa-IR"/>
        </w:rPr>
        <w:t>Rebates</w:t>
      </w:r>
      <w:r w:rsidRPr="006559F9">
        <w:rPr>
          <w:lang w:bidi="fa-IR"/>
        </w:rPr>
        <w:t xml:space="preserve"> with eligibility requirements on dutiable values and/or total household taxable income are offered in NSW, </w:t>
      </w:r>
      <w:r w:rsidR="00B244EB">
        <w:rPr>
          <w:lang w:bidi="fa-IR"/>
        </w:rPr>
        <w:t>Queensland</w:t>
      </w:r>
      <w:r w:rsidRPr="006559F9">
        <w:rPr>
          <w:lang w:bidi="fa-IR"/>
        </w:rPr>
        <w:t>, SA and WA.</w:t>
      </w:r>
    </w:p>
    <w:p w14:paraId="2F9C259E" w14:textId="3BEFFC8B" w:rsidR="00767FC0" w:rsidRPr="00844A6E" w:rsidRDefault="00767FC0" w:rsidP="00767FC0">
      <w:pPr>
        <w:pStyle w:val="ListBullet"/>
        <w:numPr>
          <w:ilvl w:val="1"/>
          <w:numId w:val="34"/>
        </w:numPr>
        <w:rPr>
          <w:szCs w:val="22"/>
          <w:lang w:eastAsia="en-US"/>
        </w:rPr>
      </w:pPr>
      <w:r w:rsidRPr="00844A6E">
        <w:rPr>
          <w:szCs w:val="22"/>
          <w:lang w:eastAsia="en-US"/>
        </w:rPr>
        <w:t xml:space="preserve">The NSW Government offered $3,000 rebates for new full battery </w:t>
      </w:r>
      <w:r w:rsidR="00F132FB">
        <w:rPr>
          <w:szCs w:val="22"/>
          <w:lang w:eastAsia="en-US"/>
        </w:rPr>
        <w:t>EVs</w:t>
      </w:r>
      <w:r w:rsidRPr="00844A6E">
        <w:rPr>
          <w:szCs w:val="22"/>
          <w:lang w:eastAsia="en-US"/>
        </w:rPr>
        <w:t xml:space="preserve"> and hydrogen fuel cell </w:t>
      </w:r>
      <w:r w:rsidR="008F3BDC">
        <w:rPr>
          <w:szCs w:val="22"/>
          <w:lang w:eastAsia="en-US"/>
        </w:rPr>
        <w:t>EVs</w:t>
      </w:r>
      <w:r w:rsidRPr="00844A6E">
        <w:rPr>
          <w:szCs w:val="22"/>
          <w:lang w:eastAsia="en-US"/>
        </w:rPr>
        <w:t xml:space="preserve"> registered between 1 September 2021 and 1 January 2024.</w:t>
      </w:r>
      <w:r w:rsidRPr="00034557">
        <w:rPr>
          <w:rStyle w:val="FootnoteReference"/>
          <w:lang w:eastAsia="en-US"/>
        </w:rPr>
        <w:footnoteReference w:id="57"/>
      </w:r>
    </w:p>
    <w:p w14:paraId="145BFD1C" w14:textId="77777777" w:rsidR="00767FC0" w:rsidRPr="00844A6E" w:rsidRDefault="00767FC0" w:rsidP="00767FC0">
      <w:pPr>
        <w:pStyle w:val="ListBullet"/>
        <w:numPr>
          <w:ilvl w:val="1"/>
          <w:numId w:val="34"/>
        </w:numPr>
        <w:rPr>
          <w:szCs w:val="22"/>
          <w:lang w:eastAsia="en-US"/>
        </w:rPr>
      </w:pPr>
      <w:r w:rsidRPr="00844A6E">
        <w:rPr>
          <w:szCs w:val="22"/>
          <w:lang w:eastAsia="en-US"/>
        </w:rPr>
        <w:t>The Victoria Government provided subsidies to just under 10,000 zero emissions vehicles (ZEVs) under the Zero Emissions Vehicle Subsidy Program which was the first such program in Australia and are now closed.</w:t>
      </w:r>
      <w:r w:rsidRPr="00034557">
        <w:rPr>
          <w:rStyle w:val="FootnoteReference"/>
          <w:lang w:eastAsia="en-US"/>
        </w:rPr>
        <w:footnoteReference w:id="58"/>
      </w:r>
    </w:p>
    <w:p w14:paraId="2809E56D" w14:textId="2B7A606E" w:rsidR="00767FC0" w:rsidRPr="00844A6E" w:rsidRDefault="00767FC0" w:rsidP="00767FC0">
      <w:pPr>
        <w:pStyle w:val="ListBullet"/>
        <w:numPr>
          <w:ilvl w:val="1"/>
          <w:numId w:val="34"/>
        </w:numPr>
        <w:rPr>
          <w:szCs w:val="22"/>
          <w:lang w:eastAsia="en-US"/>
        </w:rPr>
      </w:pPr>
      <w:r w:rsidRPr="00844A6E">
        <w:rPr>
          <w:szCs w:val="22"/>
          <w:lang w:eastAsia="en-US"/>
        </w:rPr>
        <w:t xml:space="preserve">The </w:t>
      </w:r>
      <w:r w:rsidR="00B244EB">
        <w:rPr>
          <w:szCs w:val="22"/>
          <w:lang w:eastAsia="en-US"/>
        </w:rPr>
        <w:t>Queensland</w:t>
      </w:r>
      <w:r w:rsidRPr="00844A6E">
        <w:rPr>
          <w:szCs w:val="22"/>
          <w:lang w:eastAsia="en-US"/>
        </w:rPr>
        <w:t xml:space="preserve"> Government will offer $6,000 rebate for a new eligible zero-emission vehicle.</w:t>
      </w:r>
      <w:r w:rsidRPr="00034557">
        <w:rPr>
          <w:rStyle w:val="FootnoteReference"/>
          <w:lang w:eastAsia="en-US"/>
        </w:rPr>
        <w:footnoteReference w:id="59"/>
      </w:r>
    </w:p>
    <w:p w14:paraId="1EB360AA" w14:textId="77777777" w:rsidR="00767FC0" w:rsidRPr="00844A6E" w:rsidRDefault="00767FC0" w:rsidP="00767FC0">
      <w:pPr>
        <w:pStyle w:val="ListBullet"/>
        <w:numPr>
          <w:ilvl w:val="1"/>
          <w:numId w:val="34"/>
        </w:numPr>
        <w:rPr>
          <w:szCs w:val="22"/>
          <w:lang w:eastAsia="en-US"/>
        </w:rPr>
      </w:pPr>
      <w:r w:rsidRPr="00844A6E">
        <w:rPr>
          <w:szCs w:val="22"/>
          <w:lang w:eastAsia="en-US"/>
        </w:rPr>
        <w:t>A $3,000 subsidy was available for new battery electric and hydrogen fuel cell vehicles registered in SA between 28 October 2021 and 1 January 2024.</w:t>
      </w:r>
      <w:r w:rsidRPr="006C74F2">
        <w:rPr>
          <w:rStyle w:val="FootnoteReference"/>
          <w:lang w:eastAsia="en-US"/>
        </w:rPr>
        <w:footnoteReference w:id="60"/>
      </w:r>
    </w:p>
    <w:p w14:paraId="629019F8" w14:textId="77777777" w:rsidR="00767FC0" w:rsidRPr="00844A6E" w:rsidRDefault="00767FC0" w:rsidP="00767FC0">
      <w:pPr>
        <w:pStyle w:val="ListBullet"/>
        <w:numPr>
          <w:ilvl w:val="1"/>
          <w:numId w:val="34"/>
        </w:numPr>
        <w:rPr>
          <w:szCs w:val="22"/>
          <w:lang w:eastAsia="en-US"/>
        </w:rPr>
      </w:pPr>
      <w:r w:rsidRPr="00844A6E">
        <w:rPr>
          <w:szCs w:val="22"/>
          <w:lang w:eastAsia="en-US"/>
        </w:rPr>
        <w:t>The ZEV rebate scheme will provide a ZEV owner with a $3,500 rebate after purchasing an eligible vehicle in WA.</w:t>
      </w:r>
      <w:r w:rsidRPr="006C74F2">
        <w:rPr>
          <w:rStyle w:val="FootnoteReference"/>
          <w:lang w:eastAsia="en-US"/>
        </w:rPr>
        <w:footnoteReference w:id="61"/>
      </w:r>
    </w:p>
    <w:p w14:paraId="4D41327C" w14:textId="7543E880" w:rsidR="00767FC0" w:rsidRPr="00E87B23" w:rsidRDefault="00767FC0" w:rsidP="00767FC0">
      <w:pPr>
        <w:pStyle w:val="ListBullet"/>
        <w:rPr>
          <w:b/>
          <w:lang w:bidi="fa-IR"/>
        </w:rPr>
      </w:pPr>
      <w:r w:rsidRPr="00E87B23">
        <w:rPr>
          <w:b/>
          <w:lang w:bidi="fa-IR"/>
        </w:rPr>
        <w:t xml:space="preserve">Registration </w:t>
      </w:r>
      <w:r w:rsidRPr="007266F1">
        <w:rPr>
          <w:b/>
          <w:lang w:bidi="fa-IR"/>
        </w:rPr>
        <w:t>exemption</w:t>
      </w:r>
      <w:r>
        <w:rPr>
          <w:b/>
          <w:lang w:bidi="fa-IR"/>
        </w:rPr>
        <w:t>s</w:t>
      </w:r>
      <w:r w:rsidRPr="00E87B23">
        <w:rPr>
          <w:b/>
          <w:lang w:bidi="fa-IR"/>
        </w:rPr>
        <w:t xml:space="preserve"> or </w:t>
      </w:r>
      <w:r w:rsidRPr="007266F1">
        <w:rPr>
          <w:b/>
          <w:lang w:bidi="fa-IR"/>
        </w:rPr>
        <w:t>discount</w:t>
      </w:r>
      <w:r>
        <w:rPr>
          <w:b/>
          <w:lang w:bidi="fa-IR"/>
        </w:rPr>
        <w:t>s</w:t>
      </w:r>
      <w:r w:rsidRPr="00E87B23">
        <w:rPr>
          <w:b/>
          <w:lang w:bidi="fa-IR"/>
        </w:rPr>
        <w:t xml:space="preserve"> </w:t>
      </w:r>
      <w:r w:rsidRPr="00953F34">
        <w:rPr>
          <w:lang w:bidi="fa-IR"/>
        </w:rPr>
        <w:t xml:space="preserve">are offered in ACT, NT, </w:t>
      </w:r>
      <w:r w:rsidR="00B244EB">
        <w:rPr>
          <w:lang w:bidi="fa-IR"/>
        </w:rPr>
        <w:t>Queensland</w:t>
      </w:r>
      <w:r w:rsidRPr="00953F34">
        <w:rPr>
          <w:lang w:bidi="fa-IR"/>
        </w:rPr>
        <w:t xml:space="preserve">, SA and </w:t>
      </w:r>
      <w:r w:rsidR="00B244EB">
        <w:rPr>
          <w:lang w:bidi="fa-IR"/>
        </w:rPr>
        <w:t>Victoria.</w:t>
      </w:r>
    </w:p>
    <w:p w14:paraId="593A8E65" w14:textId="77777777" w:rsidR="00767FC0" w:rsidRPr="00844A6E" w:rsidRDefault="00767FC0" w:rsidP="00767FC0">
      <w:pPr>
        <w:pStyle w:val="ListBullet"/>
        <w:numPr>
          <w:ilvl w:val="1"/>
          <w:numId w:val="34"/>
        </w:numPr>
        <w:rPr>
          <w:szCs w:val="22"/>
          <w:lang w:eastAsia="en-US"/>
        </w:rPr>
      </w:pPr>
      <w:r w:rsidRPr="00844A6E">
        <w:rPr>
          <w:szCs w:val="22"/>
          <w:lang w:eastAsia="en-US"/>
        </w:rPr>
        <w:t>The ACT Government is offering 2 years of free registration for new or used zero-emissions vehicles acquired before 30 June 2024.</w:t>
      </w:r>
      <w:r w:rsidRPr="006C74F2">
        <w:rPr>
          <w:rStyle w:val="FootnoteReference"/>
          <w:lang w:eastAsia="en-US"/>
        </w:rPr>
        <w:footnoteReference w:id="62"/>
      </w:r>
    </w:p>
    <w:p w14:paraId="3675A03E" w14:textId="77A3E809" w:rsidR="00767FC0" w:rsidRPr="00844A6E" w:rsidRDefault="00767FC0" w:rsidP="00767FC0">
      <w:pPr>
        <w:pStyle w:val="ListBullet"/>
        <w:numPr>
          <w:ilvl w:val="1"/>
          <w:numId w:val="34"/>
        </w:numPr>
        <w:rPr>
          <w:szCs w:val="22"/>
          <w:lang w:eastAsia="en-US"/>
        </w:rPr>
      </w:pPr>
      <w:r w:rsidRPr="00844A6E">
        <w:rPr>
          <w:szCs w:val="22"/>
          <w:lang w:eastAsia="en-US"/>
        </w:rPr>
        <w:t xml:space="preserve">The NT Government is offering free registration for new and existing battery </w:t>
      </w:r>
      <w:r w:rsidR="0068739C">
        <w:rPr>
          <w:szCs w:val="22"/>
          <w:lang w:eastAsia="en-US"/>
        </w:rPr>
        <w:t>EVs</w:t>
      </w:r>
      <w:r w:rsidRPr="00844A6E">
        <w:rPr>
          <w:szCs w:val="22"/>
          <w:lang w:eastAsia="en-US"/>
        </w:rPr>
        <w:t xml:space="preserve"> and plug-in hybrid </w:t>
      </w:r>
      <w:r w:rsidR="00003001">
        <w:rPr>
          <w:szCs w:val="22"/>
          <w:lang w:eastAsia="en-US"/>
        </w:rPr>
        <w:t>EV</w:t>
      </w:r>
      <w:r w:rsidRPr="00844A6E">
        <w:rPr>
          <w:szCs w:val="22"/>
          <w:lang w:eastAsia="en-US"/>
        </w:rPr>
        <w:t>s until 30 June 2027.</w:t>
      </w:r>
      <w:r w:rsidRPr="006C74F2">
        <w:rPr>
          <w:rStyle w:val="FootnoteReference"/>
          <w:lang w:eastAsia="en-US"/>
        </w:rPr>
        <w:footnoteReference w:id="63"/>
      </w:r>
    </w:p>
    <w:p w14:paraId="59914569" w14:textId="588FDD49" w:rsidR="00767FC0" w:rsidRPr="00844A6E" w:rsidRDefault="00767FC0" w:rsidP="00767FC0">
      <w:pPr>
        <w:pStyle w:val="ListBullet"/>
        <w:numPr>
          <w:ilvl w:val="1"/>
          <w:numId w:val="34"/>
        </w:numPr>
        <w:rPr>
          <w:szCs w:val="22"/>
          <w:lang w:eastAsia="en-US"/>
        </w:rPr>
      </w:pPr>
      <w:r w:rsidRPr="00844A6E">
        <w:rPr>
          <w:szCs w:val="22"/>
          <w:lang w:eastAsia="en-US"/>
        </w:rPr>
        <w:t xml:space="preserve">The </w:t>
      </w:r>
      <w:r w:rsidR="00B244EB">
        <w:rPr>
          <w:szCs w:val="22"/>
          <w:lang w:eastAsia="en-US"/>
        </w:rPr>
        <w:t>Queensland</w:t>
      </w:r>
      <w:r w:rsidRPr="00844A6E">
        <w:rPr>
          <w:szCs w:val="22"/>
          <w:lang w:eastAsia="en-US"/>
        </w:rPr>
        <w:t xml:space="preserve"> Government offers registration discount on hybrid or </w:t>
      </w:r>
      <w:r w:rsidR="00954120">
        <w:rPr>
          <w:szCs w:val="22"/>
          <w:lang w:eastAsia="en-US"/>
        </w:rPr>
        <w:t>EVs</w:t>
      </w:r>
      <w:r w:rsidRPr="00844A6E">
        <w:rPr>
          <w:szCs w:val="22"/>
          <w:lang w:eastAsia="en-US"/>
        </w:rPr>
        <w:t>.</w:t>
      </w:r>
      <w:r w:rsidRPr="006C74F2">
        <w:rPr>
          <w:rStyle w:val="FootnoteReference"/>
          <w:lang w:eastAsia="en-US"/>
        </w:rPr>
        <w:footnoteReference w:id="64"/>
      </w:r>
    </w:p>
    <w:p w14:paraId="3520B3A6" w14:textId="77777777" w:rsidR="00767FC0" w:rsidRPr="00844A6E" w:rsidRDefault="00767FC0" w:rsidP="00767FC0">
      <w:pPr>
        <w:pStyle w:val="ListBullet"/>
        <w:numPr>
          <w:ilvl w:val="1"/>
          <w:numId w:val="34"/>
        </w:numPr>
        <w:rPr>
          <w:szCs w:val="22"/>
          <w:lang w:eastAsia="en-US"/>
        </w:rPr>
      </w:pPr>
      <w:r w:rsidRPr="00844A6E">
        <w:rPr>
          <w:szCs w:val="22"/>
          <w:lang w:eastAsia="en-US"/>
        </w:rPr>
        <w:t>A 3-year registration exemption is offered in SA for eligible new battery electric and hydrogen fuel cell vehicles first registered from 28 October 2021.</w:t>
      </w:r>
      <w:r w:rsidRPr="006C74F2">
        <w:rPr>
          <w:rStyle w:val="FootnoteReference"/>
          <w:lang w:eastAsia="en-US"/>
        </w:rPr>
        <w:footnoteReference w:id="65"/>
      </w:r>
    </w:p>
    <w:p w14:paraId="4298AD5D" w14:textId="4ED355A1" w:rsidR="00767FC0" w:rsidRPr="00844A6E" w:rsidRDefault="00767FC0" w:rsidP="00767FC0">
      <w:pPr>
        <w:pStyle w:val="ListBullet"/>
        <w:numPr>
          <w:ilvl w:val="1"/>
          <w:numId w:val="34"/>
        </w:numPr>
        <w:rPr>
          <w:szCs w:val="22"/>
          <w:lang w:eastAsia="en-US"/>
        </w:rPr>
      </w:pPr>
      <w:r w:rsidRPr="00844A6E">
        <w:rPr>
          <w:szCs w:val="22"/>
          <w:lang w:eastAsia="en-US"/>
        </w:rPr>
        <w:t xml:space="preserve">In </w:t>
      </w:r>
      <w:r w:rsidR="00B244EB">
        <w:rPr>
          <w:szCs w:val="22"/>
          <w:lang w:eastAsia="en-US"/>
        </w:rPr>
        <w:t>Victoria</w:t>
      </w:r>
      <w:r w:rsidRPr="00844A6E">
        <w:rPr>
          <w:szCs w:val="22"/>
          <w:lang w:eastAsia="en-US"/>
        </w:rPr>
        <w:t>, zero- or low-emission vehicles receive $100 registration concession.</w:t>
      </w:r>
      <w:r w:rsidRPr="006C74F2">
        <w:rPr>
          <w:rStyle w:val="FootnoteReference"/>
          <w:lang w:eastAsia="en-US"/>
        </w:rPr>
        <w:footnoteReference w:id="66"/>
      </w:r>
    </w:p>
    <w:p w14:paraId="763F9C41" w14:textId="77777777" w:rsidR="00767FC0" w:rsidRPr="00844A6E" w:rsidRDefault="00767FC0" w:rsidP="00767FC0">
      <w:pPr>
        <w:pStyle w:val="ListBullet"/>
        <w:rPr>
          <w:b/>
          <w:bCs/>
          <w:szCs w:val="22"/>
          <w:lang w:eastAsia="en-US"/>
        </w:rPr>
      </w:pPr>
      <w:r w:rsidRPr="00844A6E">
        <w:rPr>
          <w:b/>
          <w:bCs/>
          <w:szCs w:val="22"/>
          <w:lang w:eastAsia="en-US"/>
        </w:rPr>
        <w:t>Stamp duty exemptions or discounts</w:t>
      </w:r>
    </w:p>
    <w:p w14:paraId="015A50CB" w14:textId="77777777" w:rsidR="00767FC0" w:rsidRPr="008940BF" w:rsidRDefault="00767FC0" w:rsidP="00767FC0">
      <w:pPr>
        <w:pStyle w:val="ListBullet"/>
        <w:numPr>
          <w:ilvl w:val="1"/>
          <w:numId w:val="34"/>
        </w:numPr>
        <w:rPr>
          <w:rStyle w:val="FootnoteReference"/>
        </w:rPr>
      </w:pPr>
      <w:r w:rsidRPr="00844A6E">
        <w:rPr>
          <w:szCs w:val="22"/>
          <w:lang w:eastAsia="en-US"/>
        </w:rPr>
        <w:t>No stamp duty is payable on eligible zero- or low-emission vehicle purchases in ACT,</w:t>
      </w:r>
      <w:r w:rsidRPr="006C74F2">
        <w:rPr>
          <w:rStyle w:val="FootnoteReference"/>
          <w:lang w:eastAsia="en-US"/>
        </w:rPr>
        <w:footnoteReference w:id="67"/>
      </w:r>
      <w:r w:rsidRPr="006C74F2">
        <w:rPr>
          <w:rStyle w:val="FootnoteReference"/>
        </w:rPr>
        <w:t xml:space="preserve"> </w:t>
      </w:r>
      <w:r w:rsidRPr="00844A6E">
        <w:rPr>
          <w:szCs w:val="22"/>
          <w:lang w:eastAsia="en-US"/>
        </w:rPr>
        <w:t>NSW,</w:t>
      </w:r>
      <w:r w:rsidRPr="006C74F2">
        <w:rPr>
          <w:rStyle w:val="FootnoteReference"/>
          <w:lang w:eastAsia="en-US"/>
        </w:rPr>
        <w:footnoteReference w:id="68"/>
      </w:r>
      <w:r w:rsidRPr="006C74F2">
        <w:rPr>
          <w:rStyle w:val="FootnoteReference"/>
        </w:rPr>
        <w:t xml:space="preserve"> </w:t>
      </w:r>
      <w:r w:rsidRPr="00844A6E">
        <w:rPr>
          <w:szCs w:val="22"/>
          <w:lang w:eastAsia="en-US"/>
        </w:rPr>
        <w:t>and NT</w:t>
      </w:r>
      <w:r>
        <w:rPr>
          <w:szCs w:val="22"/>
          <w:lang w:eastAsia="en-US"/>
        </w:rPr>
        <w:t>.</w:t>
      </w:r>
      <w:r w:rsidRPr="008940BF">
        <w:rPr>
          <w:rStyle w:val="FootnoteReference"/>
          <w:lang w:eastAsia="en-US"/>
        </w:rPr>
        <w:footnoteReference w:id="69"/>
      </w:r>
    </w:p>
    <w:p w14:paraId="00DA33DF" w14:textId="14C6B47E" w:rsidR="00767FC0" w:rsidRPr="00844A6E" w:rsidRDefault="00767FC0" w:rsidP="00767FC0">
      <w:pPr>
        <w:pStyle w:val="ListBullet"/>
        <w:numPr>
          <w:ilvl w:val="1"/>
          <w:numId w:val="34"/>
        </w:numPr>
        <w:rPr>
          <w:szCs w:val="22"/>
          <w:lang w:eastAsia="en-US"/>
        </w:rPr>
      </w:pPr>
      <w:r w:rsidRPr="00844A6E">
        <w:rPr>
          <w:szCs w:val="22"/>
          <w:lang w:eastAsia="en-US"/>
        </w:rPr>
        <w:t xml:space="preserve">In </w:t>
      </w:r>
      <w:r w:rsidR="00B244EB">
        <w:rPr>
          <w:szCs w:val="22"/>
          <w:lang w:eastAsia="en-US"/>
        </w:rPr>
        <w:t>Queensland,</w:t>
      </w:r>
      <w:r w:rsidRPr="00844A6E">
        <w:rPr>
          <w:szCs w:val="22"/>
          <w:lang w:eastAsia="en-US"/>
        </w:rPr>
        <w:t xml:space="preserve"> zero- or low-emission vehicles are offered a reduced stamp duty cost.</w:t>
      </w:r>
      <w:r w:rsidRPr="008940BF">
        <w:rPr>
          <w:rStyle w:val="FootnoteReference"/>
          <w:lang w:eastAsia="en-US"/>
        </w:rPr>
        <w:footnoteReference w:id="70"/>
      </w:r>
    </w:p>
    <w:p w14:paraId="4E04A75C" w14:textId="5E5D4489" w:rsidR="00767FC0" w:rsidRPr="00844A6E" w:rsidRDefault="00767FC0" w:rsidP="00767FC0">
      <w:pPr>
        <w:pStyle w:val="ListBullet"/>
        <w:rPr>
          <w:szCs w:val="22"/>
          <w:lang w:eastAsia="en-US"/>
        </w:rPr>
      </w:pPr>
      <w:r w:rsidRPr="00844A6E">
        <w:rPr>
          <w:szCs w:val="22"/>
          <w:lang w:eastAsia="en-US"/>
        </w:rPr>
        <w:t xml:space="preserve">In ACT an </w:t>
      </w:r>
      <w:r w:rsidRPr="00844A6E">
        <w:rPr>
          <w:b/>
          <w:szCs w:val="22"/>
          <w:lang w:eastAsia="en-US"/>
        </w:rPr>
        <w:t xml:space="preserve">interest </w:t>
      </w:r>
      <w:r w:rsidRPr="00844A6E">
        <w:rPr>
          <w:b/>
          <w:bCs/>
          <w:szCs w:val="22"/>
          <w:lang w:eastAsia="en-US"/>
        </w:rPr>
        <w:t xml:space="preserve">free </w:t>
      </w:r>
      <w:r w:rsidRPr="00844A6E">
        <w:rPr>
          <w:b/>
          <w:szCs w:val="22"/>
          <w:lang w:eastAsia="en-US"/>
        </w:rPr>
        <w:t>loan</w:t>
      </w:r>
      <w:r w:rsidRPr="00844A6E">
        <w:rPr>
          <w:szCs w:val="22"/>
          <w:lang w:eastAsia="en-US"/>
        </w:rPr>
        <w:t xml:space="preserve"> up to $15,000 is offered in purchase of eligible energy-efficient projects including </w:t>
      </w:r>
      <w:r w:rsidR="00417DAC">
        <w:rPr>
          <w:szCs w:val="22"/>
          <w:lang w:eastAsia="en-US"/>
        </w:rPr>
        <w:t>EVs</w:t>
      </w:r>
      <w:r w:rsidRPr="00844A6E">
        <w:rPr>
          <w:szCs w:val="22"/>
          <w:lang w:eastAsia="en-US"/>
        </w:rPr>
        <w:t xml:space="preserve"> in ACT.</w:t>
      </w:r>
      <w:r w:rsidRPr="008940BF">
        <w:rPr>
          <w:rStyle w:val="FootnoteReference"/>
          <w:lang w:eastAsia="en-US"/>
        </w:rPr>
        <w:footnoteReference w:id="71"/>
      </w:r>
    </w:p>
    <w:p w14:paraId="2395665A" w14:textId="4BA8DB48" w:rsidR="00767FC0" w:rsidRPr="00844A6E" w:rsidRDefault="00767FC0" w:rsidP="00767FC0">
      <w:pPr>
        <w:pStyle w:val="ListBullet"/>
        <w:rPr>
          <w:b/>
          <w:bCs/>
          <w:szCs w:val="22"/>
          <w:lang w:eastAsia="en-US"/>
        </w:rPr>
      </w:pPr>
      <w:r w:rsidRPr="00844A6E">
        <w:rPr>
          <w:b/>
          <w:bCs/>
          <w:szCs w:val="22"/>
          <w:lang w:eastAsia="en-US"/>
        </w:rPr>
        <w:t>Road user charges</w:t>
      </w:r>
      <w:r w:rsidR="00C80A86">
        <w:rPr>
          <w:b/>
          <w:bCs/>
          <w:szCs w:val="22"/>
          <w:lang w:eastAsia="en-US"/>
        </w:rPr>
        <w:t>:</w:t>
      </w:r>
    </w:p>
    <w:p w14:paraId="35844178" w14:textId="0973F580" w:rsidR="00767FC0" w:rsidRPr="00844A6E" w:rsidRDefault="00767FC0" w:rsidP="00767FC0">
      <w:pPr>
        <w:pStyle w:val="ListBullet"/>
        <w:numPr>
          <w:ilvl w:val="1"/>
          <w:numId w:val="34"/>
        </w:numPr>
        <w:rPr>
          <w:szCs w:val="22"/>
          <w:lang w:eastAsia="en-US"/>
        </w:rPr>
      </w:pPr>
      <w:r w:rsidRPr="00844A6E">
        <w:rPr>
          <w:szCs w:val="22"/>
          <w:lang w:eastAsia="en-US"/>
        </w:rPr>
        <w:t xml:space="preserve">No road user charges are payable except in </w:t>
      </w:r>
      <w:r w:rsidR="00B244EB">
        <w:rPr>
          <w:szCs w:val="22"/>
          <w:lang w:eastAsia="en-US"/>
        </w:rPr>
        <w:t>Victoria</w:t>
      </w:r>
      <w:r w:rsidRPr="00844A6E">
        <w:rPr>
          <w:szCs w:val="22"/>
          <w:lang w:eastAsia="en-US"/>
        </w:rPr>
        <w:t>.</w:t>
      </w:r>
      <w:r w:rsidRPr="008940BF">
        <w:rPr>
          <w:rStyle w:val="FootnoteReference"/>
          <w:lang w:eastAsia="en-US"/>
        </w:rPr>
        <w:footnoteReference w:id="72"/>
      </w:r>
      <w:r w:rsidRPr="008940BF">
        <w:rPr>
          <w:rStyle w:val="FootnoteReference"/>
        </w:rPr>
        <w:t xml:space="preserve"> </w:t>
      </w:r>
      <w:r w:rsidRPr="00844A6E">
        <w:rPr>
          <w:szCs w:val="22"/>
          <w:lang w:eastAsia="en-US"/>
        </w:rPr>
        <w:t xml:space="preserve">However, the High Court recently overruled the imposition of road user charge to </w:t>
      </w:r>
      <w:r w:rsidR="00B244EB">
        <w:rPr>
          <w:szCs w:val="22"/>
          <w:lang w:eastAsia="en-US"/>
        </w:rPr>
        <w:t>Victorian</w:t>
      </w:r>
      <w:r w:rsidRPr="00844A6E">
        <w:rPr>
          <w:szCs w:val="22"/>
          <w:lang w:eastAsia="en-US"/>
        </w:rPr>
        <w:t xml:space="preserve"> EV owners.</w:t>
      </w:r>
      <w:r w:rsidRPr="00034557">
        <w:rPr>
          <w:rStyle w:val="FootnoteReference"/>
          <w:lang w:eastAsia="en-US"/>
        </w:rPr>
        <w:footnoteReference w:id="73"/>
      </w:r>
      <w:r w:rsidRPr="00844A6E">
        <w:rPr>
          <w:szCs w:val="22"/>
          <w:lang w:eastAsia="en-US"/>
        </w:rPr>
        <w:t xml:space="preserve"> The levy is set to be removed.</w:t>
      </w:r>
    </w:p>
    <w:p w14:paraId="2DD069F8" w14:textId="77777777" w:rsidR="00767FC0" w:rsidRPr="00844A6E" w:rsidRDefault="00767FC0" w:rsidP="00767FC0">
      <w:pPr>
        <w:pStyle w:val="ListBullet"/>
        <w:numPr>
          <w:ilvl w:val="1"/>
          <w:numId w:val="34"/>
        </w:numPr>
        <w:rPr>
          <w:szCs w:val="22"/>
          <w:lang w:eastAsia="en-US"/>
        </w:rPr>
      </w:pPr>
      <w:r w:rsidRPr="00844A6E">
        <w:rPr>
          <w:szCs w:val="22"/>
          <w:lang w:eastAsia="en-US"/>
        </w:rPr>
        <w:t>The High Court’s decision may hold off the introduction of the levy to EV owners in NSW and WA by 2027.</w:t>
      </w:r>
      <w:r w:rsidRPr="00034557">
        <w:rPr>
          <w:rStyle w:val="FootnoteReference"/>
          <w:lang w:eastAsia="en-US"/>
        </w:rPr>
        <w:footnoteReference w:id="74"/>
      </w:r>
    </w:p>
    <w:p w14:paraId="11B69B62" w14:textId="1EC82ECF" w:rsidR="00767FC0" w:rsidRPr="00C80A86" w:rsidRDefault="00767FC0" w:rsidP="00C7682F">
      <w:pPr>
        <w:pStyle w:val="ListBullet"/>
        <w:numPr>
          <w:ilvl w:val="1"/>
          <w:numId w:val="34"/>
        </w:numPr>
        <w:rPr>
          <w:szCs w:val="22"/>
          <w:lang w:eastAsia="en-US"/>
        </w:rPr>
      </w:pPr>
      <w:r w:rsidRPr="00C80A86">
        <w:rPr>
          <w:b/>
          <w:lang w:bidi="fa-IR"/>
        </w:rPr>
        <w:t>Fringe benefits tax exemption</w:t>
      </w:r>
      <w:r w:rsidR="00C80A86" w:rsidRPr="00C80A86">
        <w:rPr>
          <w:b/>
          <w:lang w:bidi="fa-IR"/>
        </w:rPr>
        <w:t xml:space="preserve"> — </w:t>
      </w:r>
      <w:r w:rsidR="00C80A86">
        <w:rPr>
          <w:b/>
          <w:lang w:bidi="fa-IR"/>
        </w:rPr>
        <w:t>s</w:t>
      </w:r>
      <w:r w:rsidRPr="00C80A86">
        <w:rPr>
          <w:szCs w:val="22"/>
          <w:lang w:eastAsia="en-US"/>
        </w:rPr>
        <w:t xml:space="preserve">ince 1 July 2022 employers do not pay fringe benefits tax on </w:t>
      </w:r>
      <w:r w:rsidR="003E3658">
        <w:rPr>
          <w:szCs w:val="22"/>
          <w:lang w:eastAsia="en-US"/>
        </w:rPr>
        <w:t>EV</w:t>
      </w:r>
      <w:r w:rsidRPr="00C80A86">
        <w:rPr>
          <w:szCs w:val="22"/>
          <w:lang w:eastAsia="en-US"/>
        </w:rPr>
        <w:t>s not subject to luxury car tax and associated expenses. Benefits provided under a salary packaging arrangement are included in the exemption.</w:t>
      </w:r>
      <w:r w:rsidRPr="000D0920">
        <w:rPr>
          <w:rStyle w:val="FootnoteReference"/>
          <w:lang w:eastAsia="en-US"/>
        </w:rPr>
        <w:footnoteReference w:id="75"/>
      </w:r>
    </w:p>
    <w:p w14:paraId="2573C8DC" w14:textId="77777777" w:rsidR="00767FC0" w:rsidRDefault="00767FC0" w:rsidP="00767FC0">
      <w:pPr>
        <w:pStyle w:val="Heading4"/>
        <w:numPr>
          <w:ilvl w:val="0"/>
          <w:numId w:val="0"/>
        </w:numPr>
        <w:rPr>
          <w:lang w:eastAsia="en-US"/>
        </w:rPr>
      </w:pPr>
      <w:r>
        <w:rPr>
          <w:lang w:eastAsia="en-US"/>
        </w:rPr>
        <w:t>Fuel efficiency standard</w:t>
      </w:r>
    </w:p>
    <w:p w14:paraId="65ED539F" w14:textId="77777777" w:rsidR="00767FC0" w:rsidRPr="00844A6E" w:rsidRDefault="00767FC0" w:rsidP="00767FC0">
      <w:pPr>
        <w:pStyle w:val="BodyText"/>
        <w:rPr>
          <w:szCs w:val="22"/>
          <w:lang w:eastAsia="en-US"/>
        </w:rPr>
      </w:pPr>
      <w:r w:rsidRPr="00844A6E">
        <w:rPr>
          <w:szCs w:val="22"/>
          <w:lang w:eastAsia="en-US"/>
        </w:rPr>
        <w:t>As a key part of the Electric Vehicle Strategy, the Australian Government has committed to introducing a fuel efficiency standard.</w:t>
      </w:r>
      <w:r w:rsidRPr="000D0920">
        <w:rPr>
          <w:rStyle w:val="FootnoteReference"/>
          <w:lang w:eastAsia="en-US"/>
        </w:rPr>
        <w:footnoteReference w:id="76"/>
      </w:r>
    </w:p>
    <w:p w14:paraId="5CADE156" w14:textId="77777777" w:rsidR="00767FC0" w:rsidRPr="00844A6E" w:rsidRDefault="00767FC0" w:rsidP="00767FC0">
      <w:pPr>
        <w:pStyle w:val="BodyText"/>
        <w:rPr>
          <w:szCs w:val="22"/>
          <w:lang w:eastAsia="en-US"/>
        </w:rPr>
      </w:pPr>
      <w:r w:rsidRPr="00844A6E">
        <w:rPr>
          <w:szCs w:val="22"/>
          <w:lang w:eastAsia="en-US"/>
        </w:rPr>
        <w:t>A fuel efficiency standard is an obligation on light vehicle suppliers to make sure the new vehicles they bring into the market, on average, meet a particular CO</w:t>
      </w:r>
      <w:r w:rsidRPr="00844A6E">
        <w:rPr>
          <w:szCs w:val="22"/>
          <w:vertAlign w:val="subscript"/>
          <w:lang w:eastAsia="en-US"/>
        </w:rPr>
        <w:t>2</w:t>
      </w:r>
      <w:r w:rsidRPr="00844A6E">
        <w:rPr>
          <w:szCs w:val="22"/>
          <w:lang w:eastAsia="en-US"/>
        </w:rPr>
        <w:t xml:space="preserve"> per kilometre standard.</w:t>
      </w:r>
      <w:r w:rsidRPr="000D0920">
        <w:rPr>
          <w:rStyle w:val="FootnoteReference"/>
          <w:lang w:eastAsia="en-US"/>
        </w:rPr>
        <w:footnoteReference w:id="77"/>
      </w:r>
    </w:p>
    <w:p w14:paraId="15AA93A2" w14:textId="77777777" w:rsidR="00767FC0" w:rsidRPr="00844A6E" w:rsidRDefault="00767FC0" w:rsidP="00767FC0">
      <w:pPr>
        <w:pStyle w:val="ListBullet"/>
        <w:rPr>
          <w:szCs w:val="22"/>
          <w:lang w:eastAsia="en-US"/>
        </w:rPr>
      </w:pPr>
      <w:r w:rsidRPr="00844A6E">
        <w:rPr>
          <w:szCs w:val="22"/>
          <w:lang w:eastAsia="en-US"/>
        </w:rPr>
        <w:t>Where suppliers exceed the standard by selling more efficient vehicles (including EVs), they are rewarded (usually through ‘credits’).</w:t>
      </w:r>
    </w:p>
    <w:p w14:paraId="4BEE7D33" w14:textId="77777777" w:rsidR="00767FC0" w:rsidRPr="00844A6E" w:rsidRDefault="00767FC0" w:rsidP="00767FC0">
      <w:pPr>
        <w:pStyle w:val="ListBullet"/>
        <w:rPr>
          <w:szCs w:val="22"/>
          <w:lang w:eastAsia="en-US"/>
        </w:rPr>
      </w:pPr>
      <w:r w:rsidRPr="00844A6E">
        <w:rPr>
          <w:szCs w:val="22"/>
          <w:lang w:eastAsia="en-US"/>
        </w:rPr>
        <w:t>Where suppliers do not meet the standard, by selling proportionally more higher emissions vehicles, they are penalised (this could include: a requirement to buy credits from other suppliers or pay a fine).</w:t>
      </w:r>
    </w:p>
    <w:p w14:paraId="1745F515" w14:textId="77777777" w:rsidR="00767FC0" w:rsidRPr="00844A6E" w:rsidRDefault="00767FC0" w:rsidP="00767FC0">
      <w:pPr>
        <w:pStyle w:val="BodyText"/>
        <w:rPr>
          <w:szCs w:val="22"/>
          <w:lang w:eastAsia="en-US"/>
        </w:rPr>
      </w:pPr>
      <w:r w:rsidRPr="00844A6E">
        <w:rPr>
          <w:szCs w:val="22"/>
          <w:lang w:eastAsia="en-US"/>
        </w:rPr>
        <w:t>Over 85 per cent of the global car market has vehicle fuel efficiency standards, with Australia one of the only advanced economies without a mandatory one.</w:t>
      </w:r>
      <w:r w:rsidRPr="000D0920">
        <w:rPr>
          <w:rStyle w:val="FootnoteReference"/>
          <w:lang w:eastAsia="en-US"/>
        </w:rPr>
        <w:footnoteReference w:id="78"/>
      </w:r>
      <w:r w:rsidRPr="000D0920">
        <w:rPr>
          <w:rStyle w:val="FootnoteReference"/>
        </w:rPr>
        <w:t xml:space="preserve"> </w:t>
      </w:r>
      <w:r w:rsidRPr="00844A6E">
        <w:rPr>
          <w:szCs w:val="22"/>
          <w:lang w:eastAsia="en-US"/>
        </w:rPr>
        <w:t>The absence of a fuel efficiency standard in Australia has been identified as a key reason why EV models are not supplied to the Australian market.</w:t>
      </w:r>
      <w:r w:rsidRPr="000D0920">
        <w:rPr>
          <w:rStyle w:val="FootnoteReference"/>
          <w:lang w:eastAsia="en-US"/>
        </w:rPr>
        <w:footnoteReference w:id="79"/>
      </w:r>
      <w:r w:rsidRPr="000D0920">
        <w:rPr>
          <w:rStyle w:val="FootnoteReference"/>
        </w:rPr>
        <w:t xml:space="preserve"> </w:t>
      </w:r>
    </w:p>
    <w:p w14:paraId="71D7DB27" w14:textId="77777777" w:rsidR="00767FC0" w:rsidRPr="00844A6E" w:rsidRDefault="00767FC0" w:rsidP="00767FC0">
      <w:pPr>
        <w:pStyle w:val="BodyText"/>
        <w:rPr>
          <w:szCs w:val="22"/>
          <w:lang w:eastAsia="en-US"/>
        </w:rPr>
      </w:pPr>
      <w:r w:rsidRPr="00844A6E">
        <w:rPr>
          <w:szCs w:val="22"/>
          <w:lang w:eastAsia="en-US"/>
        </w:rPr>
        <w:t>A fuel efficiency standard is expected to improve the supply and variety of EVs coming into the Australian market,</w:t>
      </w:r>
      <w:r w:rsidRPr="00421555">
        <w:rPr>
          <w:rStyle w:val="FootnoteReference"/>
          <w:lang w:eastAsia="en-US"/>
        </w:rPr>
        <w:footnoteReference w:id="80"/>
      </w:r>
      <w:r w:rsidRPr="00421555">
        <w:rPr>
          <w:rStyle w:val="FootnoteReference"/>
        </w:rPr>
        <w:t xml:space="preserve"> </w:t>
      </w:r>
      <w:r w:rsidRPr="00844A6E">
        <w:rPr>
          <w:szCs w:val="22"/>
          <w:lang w:eastAsia="en-US"/>
        </w:rPr>
        <w:t>and support the increased uptake of EVs.</w:t>
      </w:r>
    </w:p>
    <w:p w14:paraId="00FF4DAD" w14:textId="77777777" w:rsidR="00767FC0" w:rsidRDefault="00767FC0" w:rsidP="00767FC0">
      <w:pPr>
        <w:pStyle w:val="Heading2"/>
        <w:numPr>
          <w:ilvl w:val="0"/>
          <w:numId w:val="0"/>
        </w:numPr>
      </w:pPr>
      <w:bookmarkStart w:id="687" w:name="_Toc149060061"/>
      <w:bookmarkStart w:id="688" w:name="_Toc177735091"/>
      <w:bookmarkStart w:id="689" w:name="_Toc178292526"/>
      <w:r>
        <w:t>The case for change</w:t>
      </w:r>
      <w:bookmarkEnd w:id="687"/>
      <w:bookmarkEnd w:id="688"/>
      <w:bookmarkEnd w:id="689"/>
    </w:p>
    <w:p w14:paraId="5D53858A" w14:textId="77777777" w:rsidR="00767FC0" w:rsidRPr="00844A6E" w:rsidRDefault="00767FC0" w:rsidP="00767FC0">
      <w:pPr>
        <w:pStyle w:val="BodyText"/>
        <w:rPr>
          <w:szCs w:val="22"/>
        </w:rPr>
      </w:pPr>
      <w:r w:rsidRPr="00844A6E">
        <w:rPr>
          <w:szCs w:val="22"/>
        </w:rPr>
        <w:t>Key drivers for change to the NCC (discussed in detail below) are as follows:</w:t>
      </w:r>
    </w:p>
    <w:p w14:paraId="6836F8F7" w14:textId="77777777" w:rsidR="00767FC0" w:rsidRPr="00844A6E" w:rsidRDefault="00767FC0" w:rsidP="00767FC0">
      <w:pPr>
        <w:pStyle w:val="ListBullet"/>
        <w:rPr>
          <w:szCs w:val="22"/>
          <w:lang w:eastAsia="en-US"/>
        </w:rPr>
      </w:pPr>
      <w:r w:rsidRPr="00844A6E">
        <w:rPr>
          <w:szCs w:val="22"/>
          <w:lang w:eastAsia="en-US"/>
        </w:rPr>
        <w:t>Governments (including both Commonwealth, state and territory governments) have committed to net zero policy targets, which will require greater ambition across a range of policy areas;</w:t>
      </w:r>
    </w:p>
    <w:p w14:paraId="1FFA0E5F" w14:textId="77777777" w:rsidR="00767FC0" w:rsidRPr="00844A6E" w:rsidRDefault="00767FC0" w:rsidP="00767FC0">
      <w:pPr>
        <w:pStyle w:val="ListBullet"/>
        <w:rPr>
          <w:szCs w:val="22"/>
          <w:lang w:eastAsia="en-US"/>
        </w:rPr>
      </w:pPr>
      <w:r w:rsidRPr="00844A6E">
        <w:rPr>
          <w:szCs w:val="22"/>
          <w:lang w:eastAsia="en-US"/>
        </w:rPr>
        <w:t>Increasing the stringency of the minimum energy efficiency standards and mandating EV charging facilities in commercial buildings would represent tangible policy action consistent with emerging strategies to achieve net zero targets; and</w:t>
      </w:r>
    </w:p>
    <w:p w14:paraId="570628E7" w14:textId="77777777" w:rsidR="00767FC0" w:rsidRPr="00844A6E" w:rsidRDefault="00767FC0" w:rsidP="00767FC0">
      <w:pPr>
        <w:pStyle w:val="ListBullet"/>
        <w:rPr>
          <w:szCs w:val="22"/>
          <w:lang w:eastAsia="en-US"/>
        </w:rPr>
      </w:pPr>
      <w:r w:rsidRPr="00844A6E">
        <w:rPr>
          <w:szCs w:val="22"/>
          <w:lang w:eastAsia="en-US"/>
        </w:rPr>
        <w:t>Recent (2022) economic modelling that supports greater cost-effective stringency, coupled with more recent increases in estimates for the cost of both carbon emissions and energy prices that further enhance the economic case.</w:t>
      </w:r>
    </w:p>
    <w:p w14:paraId="225C1051" w14:textId="77777777" w:rsidR="00767FC0" w:rsidRDefault="00767FC0" w:rsidP="00767FC0">
      <w:pPr>
        <w:pStyle w:val="Heading3"/>
        <w:numPr>
          <w:ilvl w:val="0"/>
          <w:numId w:val="0"/>
        </w:numPr>
      </w:pPr>
      <w:r>
        <w:t>Policy drivers</w:t>
      </w:r>
    </w:p>
    <w:p w14:paraId="40EACA91" w14:textId="77777777" w:rsidR="00767FC0" w:rsidRPr="00844A6E" w:rsidRDefault="00767FC0" w:rsidP="00767FC0">
      <w:pPr>
        <w:pStyle w:val="BodyText"/>
        <w:rPr>
          <w:szCs w:val="22"/>
        </w:rPr>
      </w:pPr>
      <w:r w:rsidRPr="00844A6E">
        <w:rPr>
          <w:szCs w:val="22"/>
        </w:rPr>
        <w:t>A key recent policy development (since the previous change to the NCC minimum energy efficiency standards in 2019) is the net zero commitment, which has been legislated. Achieving the revised target will require greater policy ambition across a range of decarbonisation initiatives, including stationary energy.</w:t>
      </w:r>
    </w:p>
    <w:p w14:paraId="0A6A0009" w14:textId="77777777" w:rsidR="00767FC0" w:rsidRPr="00844A6E" w:rsidRDefault="00767FC0" w:rsidP="00767FC0">
      <w:pPr>
        <w:pStyle w:val="BodyText"/>
        <w:rPr>
          <w:szCs w:val="22"/>
        </w:rPr>
      </w:pPr>
      <w:r w:rsidRPr="00844A6E">
        <w:rPr>
          <w:szCs w:val="22"/>
        </w:rPr>
        <w:t>In addition, changes to the NCC would represent policy action consistent with broader strategies, including:</w:t>
      </w:r>
    </w:p>
    <w:p w14:paraId="1F900734" w14:textId="77777777" w:rsidR="00767FC0" w:rsidRPr="00844A6E" w:rsidRDefault="00767FC0" w:rsidP="00767FC0">
      <w:pPr>
        <w:pStyle w:val="ListBullet"/>
        <w:rPr>
          <w:szCs w:val="22"/>
        </w:rPr>
      </w:pPr>
      <w:r w:rsidRPr="00844A6E">
        <w:rPr>
          <w:szCs w:val="22"/>
        </w:rPr>
        <w:t>The Trajectory for Low Energy Buildings</w:t>
      </w:r>
    </w:p>
    <w:p w14:paraId="737116A0" w14:textId="77777777" w:rsidR="00767FC0" w:rsidRPr="00844A6E" w:rsidRDefault="00767FC0" w:rsidP="00767FC0">
      <w:pPr>
        <w:pStyle w:val="ListBullet"/>
        <w:rPr>
          <w:szCs w:val="22"/>
        </w:rPr>
      </w:pPr>
      <w:r w:rsidRPr="00844A6E">
        <w:rPr>
          <w:szCs w:val="22"/>
        </w:rPr>
        <w:t>the National Energy Performance Strategy (although this strategy has not been finalised, the proposed changes to the NCC are consistent with improved energy performance)</w:t>
      </w:r>
    </w:p>
    <w:p w14:paraId="547DF5EE" w14:textId="77777777" w:rsidR="00767FC0" w:rsidRPr="00844A6E" w:rsidRDefault="00767FC0" w:rsidP="00767FC0">
      <w:pPr>
        <w:pStyle w:val="ListBullet"/>
        <w:rPr>
          <w:szCs w:val="22"/>
        </w:rPr>
      </w:pPr>
      <w:r w:rsidRPr="00844A6E">
        <w:rPr>
          <w:szCs w:val="22"/>
        </w:rPr>
        <w:t>the National Electric Vehicle Strategy.</w:t>
      </w:r>
    </w:p>
    <w:p w14:paraId="7F508466" w14:textId="77777777" w:rsidR="00767FC0" w:rsidRDefault="00767FC0" w:rsidP="00767FC0">
      <w:pPr>
        <w:pStyle w:val="Heading3"/>
        <w:numPr>
          <w:ilvl w:val="0"/>
          <w:numId w:val="0"/>
        </w:numPr>
      </w:pPr>
      <w:r>
        <w:t>Other developments</w:t>
      </w:r>
    </w:p>
    <w:p w14:paraId="4EF42E32" w14:textId="77777777" w:rsidR="00767FC0" w:rsidRPr="00844A6E" w:rsidRDefault="00767FC0" w:rsidP="00767FC0">
      <w:pPr>
        <w:pStyle w:val="BodyText"/>
        <w:rPr>
          <w:szCs w:val="22"/>
        </w:rPr>
      </w:pPr>
      <w:r w:rsidRPr="00844A6E">
        <w:rPr>
          <w:szCs w:val="22"/>
        </w:rPr>
        <w:t>The cost effectiveness of energy efficiency measures depends fundamentally on the price</w:t>
      </w:r>
      <w:r>
        <w:t xml:space="preserve"> </w:t>
      </w:r>
      <w:r w:rsidRPr="00844A6E">
        <w:rPr>
          <w:szCs w:val="22"/>
        </w:rPr>
        <w:t>of energy, the cost of energy efficient technologies and designs relative to alternatives (which may change due to technological advances).</w:t>
      </w:r>
    </w:p>
    <w:p w14:paraId="089D18CC" w14:textId="77777777" w:rsidR="00767FC0" w:rsidRPr="00844A6E" w:rsidRDefault="00767FC0" w:rsidP="00767FC0">
      <w:pPr>
        <w:pStyle w:val="BodyText"/>
        <w:rPr>
          <w:szCs w:val="22"/>
        </w:rPr>
      </w:pPr>
      <w:r w:rsidRPr="00844A6E">
        <w:rPr>
          <w:szCs w:val="22"/>
        </w:rPr>
        <w:t>Despite significant increases over the past couple of years (due in part to global events, such as the Russian invasion of Ukraine), retail electricity prices have declined in real terms since the 2018 RIS (based on the CPI measure), although there has been a significant real increase in retail gas prices.</w:t>
      </w:r>
      <w:r w:rsidRPr="00E171CC">
        <w:rPr>
          <w:rStyle w:val="FootnoteReference"/>
        </w:rPr>
        <w:footnoteReference w:id="81"/>
      </w:r>
    </w:p>
    <w:p w14:paraId="0DCCFB6A" w14:textId="77777777" w:rsidR="00767FC0" w:rsidRPr="00844A6E" w:rsidRDefault="00767FC0" w:rsidP="00767FC0">
      <w:pPr>
        <w:pStyle w:val="BodyText"/>
        <w:rPr>
          <w:szCs w:val="22"/>
        </w:rPr>
      </w:pPr>
      <w:r w:rsidRPr="00844A6E">
        <w:rPr>
          <w:szCs w:val="22"/>
        </w:rPr>
        <w:t>On the other hand, there is a strong case to place a higher value on reducing GHG emissions on the following grounds:</w:t>
      </w:r>
    </w:p>
    <w:p w14:paraId="0BD5D8EB" w14:textId="77777777" w:rsidR="00767FC0" w:rsidRPr="00844A6E" w:rsidRDefault="00767FC0" w:rsidP="00767FC0">
      <w:pPr>
        <w:pStyle w:val="ListBullet"/>
        <w:rPr>
          <w:szCs w:val="22"/>
        </w:rPr>
      </w:pPr>
      <w:r w:rsidRPr="00844A6E">
        <w:rPr>
          <w:szCs w:val="22"/>
        </w:rPr>
        <w:t>Recent advances in the scientific literature on climate change and its economic impacts suggest the damage caused by climate may be worse than previously estimated. For example, Newman and Noy (2023) found that frequently cited estimates of the economic costs of climate changed arrived at by using Integrated</w:t>
      </w:r>
      <w:r>
        <w:t xml:space="preserve"> </w:t>
      </w:r>
      <w:r w:rsidRPr="00844A6E">
        <w:rPr>
          <w:szCs w:val="22"/>
        </w:rPr>
        <w:t>Assessment Models may be substantially underestimated.</w:t>
      </w:r>
      <w:r w:rsidRPr="00421555">
        <w:rPr>
          <w:rStyle w:val="FootnoteReference"/>
          <w:lang w:eastAsia="en-US"/>
        </w:rPr>
        <w:footnoteReference w:id="82"/>
      </w:r>
      <w:r w:rsidRPr="00421555">
        <w:rPr>
          <w:rStyle w:val="FootnoteReference"/>
          <w:lang w:eastAsia="en-US"/>
        </w:rPr>
        <w:t xml:space="preserve"> </w:t>
      </w:r>
      <w:r w:rsidRPr="00844A6E">
        <w:rPr>
          <w:szCs w:val="22"/>
        </w:rPr>
        <w:t>These advances have been reflected in an upward revision in the US Environmental Protection Agency’s estimate of the social cost of carbon.</w:t>
      </w:r>
      <w:r w:rsidRPr="00421555">
        <w:rPr>
          <w:rStyle w:val="FootnoteReference"/>
          <w:lang w:eastAsia="en-US"/>
        </w:rPr>
        <w:footnoteReference w:id="83"/>
      </w:r>
    </w:p>
    <w:p w14:paraId="25EF66D2" w14:textId="77777777" w:rsidR="00767FC0" w:rsidRPr="00844A6E" w:rsidRDefault="00767FC0" w:rsidP="00767FC0">
      <w:pPr>
        <w:pStyle w:val="ListBullet"/>
        <w:rPr>
          <w:szCs w:val="22"/>
        </w:rPr>
      </w:pPr>
      <w:r w:rsidRPr="00844A6E">
        <w:rPr>
          <w:szCs w:val="22"/>
        </w:rPr>
        <w:t>As Australia has committed to deeper cuts in carbon emissions the implicit value of abatement will be higher.</w:t>
      </w:r>
    </w:p>
    <w:p w14:paraId="6C4849A6" w14:textId="77777777" w:rsidR="00767FC0" w:rsidRPr="00844A6E" w:rsidRDefault="00767FC0" w:rsidP="00767FC0">
      <w:pPr>
        <w:pStyle w:val="BodyText"/>
        <w:rPr>
          <w:szCs w:val="22"/>
        </w:rPr>
      </w:pPr>
      <w:r w:rsidRPr="00844A6E">
        <w:rPr>
          <w:szCs w:val="22"/>
        </w:rPr>
        <w:t>As a result of these developments, the range of socially cost</w:t>
      </w:r>
      <w:r w:rsidRPr="00844A6E">
        <w:rPr>
          <w:szCs w:val="22"/>
        </w:rPr>
        <w:noBreakHyphen/>
        <w:t>effective energy efficiency opportunities are likely to have changed.</w:t>
      </w:r>
    </w:p>
    <w:p w14:paraId="2C3E4A76" w14:textId="77777777" w:rsidR="00767FC0" w:rsidRDefault="00767FC0" w:rsidP="00767FC0">
      <w:pPr>
        <w:pStyle w:val="Heading3"/>
        <w:numPr>
          <w:ilvl w:val="0"/>
          <w:numId w:val="0"/>
        </w:numPr>
      </w:pPr>
      <w:r>
        <w:t>Inefficiencies in the existing code</w:t>
      </w:r>
    </w:p>
    <w:p w14:paraId="6CBB4CBC" w14:textId="77777777" w:rsidR="00767FC0" w:rsidRPr="00844A6E" w:rsidRDefault="00767FC0" w:rsidP="00767FC0">
      <w:pPr>
        <w:pStyle w:val="BodyText"/>
        <w:rPr>
          <w:szCs w:val="22"/>
        </w:rPr>
      </w:pPr>
      <w:r w:rsidRPr="00844A6E">
        <w:rPr>
          <w:szCs w:val="22"/>
        </w:rPr>
        <w:t>The technical work conducted by DeltaQ suggests that there are currently several inefficiencies reflected in the current code, including the following:</w:t>
      </w:r>
    </w:p>
    <w:p w14:paraId="687BA727" w14:textId="77777777" w:rsidR="00767FC0" w:rsidRPr="00844A6E" w:rsidRDefault="00767FC0" w:rsidP="00767FC0">
      <w:pPr>
        <w:pStyle w:val="ListBullet"/>
        <w:rPr>
          <w:szCs w:val="22"/>
        </w:rPr>
      </w:pPr>
      <w:r w:rsidRPr="00844A6E">
        <w:rPr>
          <w:szCs w:val="22"/>
        </w:rPr>
        <w:t>The NCC currently treats ‘internal’ walls, such as walls around the lift well to be part of the building envelope. As such, these walls must be insulated to comply with NCC requirements; insulating these walls has little to no impact on the building’s energy efficiency performance.</w:t>
      </w:r>
    </w:p>
    <w:p w14:paraId="6AC881DF" w14:textId="77777777" w:rsidR="00767FC0" w:rsidRPr="00844A6E" w:rsidRDefault="00767FC0" w:rsidP="00767FC0">
      <w:pPr>
        <w:pStyle w:val="ListBullet"/>
        <w:rPr>
          <w:szCs w:val="22"/>
        </w:rPr>
      </w:pPr>
      <w:r w:rsidRPr="00844A6E">
        <w:rPr>
          <w:szCs w:val="22"/>
        </w:rPr>
        <w:t>The minimum insulation requirements for some buildings are currently excessive, particularly for buildings that typically operate during the daytime only. These excessive insulation requirements may reduce energy performance in warmer climates where cooling requirements dominate. In particular, excessive insulation can trap heat in the building and increase the energy required to cool the building to a comfortable temperature when the air</w:t>
      </w:r>
      <w:r w:rsidRPr="00844A6E">
        <w:rPr>
          <w:szCs w:val="22"/>
        </w:rPr>
        <w:noBreakHyphen/>
        <w:t>conditioning is switched on in the morning. This effect can outweigh the benefits from better insulated walls.</w:t>
      </w:r>
    </w:p>
    <w:p w14:paraId="292B27C6" w14:textId="77777777" w:rsidR="00767FC0" w:rsidRPr="00844A6E" w:rsidRDefault="00767FC0" w:rsidP="00767FC0">
      <w:pPr>
        <w:pStyle w:val="ListBullet"/>
        <w:rPr>
          <w:szCs w:val="22"/>
        </w:rPr>
      </w:pPr>
      <w:r w:rsidRPr="00844A6E">
        <w:rPr>
          <w:szCs w:val="22"/>
        </w:rPr>
        <w:t>Plant efficiency requirements are not specified in terms of the design loading, which may encourage (or fail to discourage) over</w:t>
      </w:r>
      <w:r w:rsidRPr="00844A6E">
        <w:rPr>
          <w:szCs w:val="22"/>
        </w:rPr>
        <w:noBreakHyphen/>
        <w:t>sizing of plant.</w:t>
      </w:r>
    </w:p>
    <w:p w14:paraId="77A18FCC" w14:textId="77777777" w:rsidR="00767FC0" w:rsidRPr="00844A6E" w:rsidRDefault="00767FC0" w:rsidP="00767FC0">
      <w:pPr>
        <w:pStyle w:val="BodyText"/>
        <w:rPr>
          <w:szCs w:val="22"/>
        </w:rPr>
      </w:pPr>
      <w:r w:rsidRPr="00844A6E">
        <w:rPr>
          <w:szCs w:val="22"/>
        </w:rPr>
        <w:t>Importantly, changes to the code that address these existing inefficiencies create the potential to simultaneously reduce capital</w:t>
      </w:r>
      <w:r w:rsidRPr="00844A6E">
        <w:rPr>
          <w:szCs w:val="22"/>
        </w:rPr>
        <w:noBreakHyphen/>
        <w:t>related costs and improve energy performance.</w:t>
      </w:r>
    </w:p>
    <w:p w14:paraId="0C168025" w14:textId="77777777" w:rsidR="00767FC0" w:rsidRDefault="00767FC0" w:rsidP="00767FC0">
      <w:pPr>
        <w:pStyle w:val="Heading3"/>
        <w:numPr>
          <w:ilvl w:val="0"/>
          <w:numId w:val="0"/>
        </w:numPr>
      </w:pPr>
      <w:r>
        <w:t>Modelling showing cost effective energy efficiency opportunities in commercial buildings</w:t>
      </w:r>
    </w:p>
    <w:p w14:paraId="563EC8CF" w14:textId="77777777" w:rsidR="00767FC0" w:rsidRPr="00844A6E" w:rsidRDefault="00767FC0" w:rsidP="00767FC0">
      <w:pPr>
        <w:pStyle w:val="BodyText"/>
        <w:rPr>
          <w:szCs w:val="22"/>
        </w:rPr>
      </w:pPr>
      <w:r w:rsidRPr="00844A6E">
        <w:rPr>
          <w:szCs w:val="22"/>
        </w:rPr>
        <w:t>Modelling of cost</w:t>
      </w:r>
      <w:r w:rsidRPr="00844A6E">
        <w:rPr>
          <w:szCs w:val="22"/>
        </w:rPr>
        <w:noBreakHyphen/>
        <w:t xml:space="preserve">effective options for increasing the minimum standards in the NCC, </w:t>
      </w:r>
      <w:r w:rsidRPr="00844A6E">
        <w:rPr>
          <w:i/>
          <w:szCs w:val="22"/>
        </w:rPr>
        <w:t>Achieving Lower Energy Commercial Buildings in Australia</w:t>
      </w:r>
      <w:r w:rsidRPr="00844A6E">
        <w:rPr>
          <w:szCs w:val="22"/>
        </w:rPr>
        <w:t>, was prepared for the (then) Department of Environment and Energy in 2018 as part of the Trajectory for Low Energy Buildings work program.</w:t>
      </w:r>
      <w:r w:rsidRPr="009131F4">
        <w:rPr>
          <w:rStyle w:val="FootnoteReference"/>
          <w:lang w:eastAsia="en-US"/>
        </w:rPr>
        <w:footnoteReference w:id="84"/>
      </w:r>
      <w:r w:rsidRPr="009131F4">
        <w:rPr>
          <w:rStyle w:val="FootnoteReference"/>
          <w:lang w:eastAsia="en-US"/>
        </w:rPr>
        <w:t xml:space="preserve"> </w:t>
      </w:r>
      <w:r w:rsidRPr="00844A6E">
        <w:rPr>
          <w:szCs w:val="22"/>
        </w:rPr>
        <w:t>This modelling was updated in 2022. Key findings from the updated modelling included the following:</w:t>
      </w:r>
      <w:r w:rsidRPr="009131F4">
        <w:rPr>
          <w:rStyle w:val="FootnoteReference"/>
          <w:lang w:eastAsia="en-US"/>
        </w:rPr>
        <w:footnoteReference w:id="85"/>
      </w:r>
    </w:p>
    <w:p w14:paraId="41AA7DF9" w14:textId="77777777" w:rsidR="00767FC0" w:rsidRPr="00844A6E" w:rsidRDefault="00767FC0" w:rsidP="00767FC0">
      <w:pPr>
        <w:pStyle w:val="ListBullet"/>
        <w:rPr>
          <w:szCs w:val="22"/>
        </w:rPr>
      </w:pPr>
      <w:r w:rsidRPr="00844A6E">
        <w:rPr>
          <w:szCs w:val="22"/>
        </w:rPr>
        <w:t>A weighted average reduction in energy intensity of 26 per cent could be achieved cost</w:t>
      </w:r>
      <w:r w:rsidRPr="00844A6E">
        <w:rPr>
          <w:szCs w:val="22"/>
        </w:rPr>
        <w:noBreakHyphen/>
        <w:t>effectively through increases in the stringency of the minimum energy efficiency standards in the NCC for commercial buildings.</w:t>
      </w:r>
    </w:p>
    <w:p w14:paraId="44AF8BF4" w14:textId="77777777" w:rsidR="00767FC0" w:rsidRPr="00844A6E" w:rsidRDefault="00767FC0" w:rsidP="00767FC0">
      <w:pPr>
        <w:pStyle w:val="ListBullet"/>
        <w:rPr>
          <w:szCs w:val="22"/>
        </w:rPr>
      </w:pPr>
      <w:r w:rsidRPr="00844A6E">
        <w:rPr>
          <w:szCs w:val="22"/>
        </w:rPr>
        <w:t>Together with future changes to the NCC in 2028 (involving further savings of 9.8 per cent) and 2034 (involving further savings of 9 per cent), this is estimated to deliver:</w:t>
      </w:r>
    </w:p>
    <w:p w14:paraId="1D98E8F5" w14:textId="77777777" w:rsidR="00767FC0" w:rsidRPr="00844A6E" w:rsidRDefault="00767FC0" w:rsidP="00767FC0">
      <w:pPr>
        <w:pStyle w:val="ListBullet"/>
        <w:numPr>
          <w:ilvl w:val="1"/>
          <w:numId w:val="34"/>
        </w:numPr>
        <w:rPr>
          <w:szCs w:val="22"/>
          <w:lang w:bidi="fa-IR"/>
        </w:rPr>
      </w:pPr>
      <w:r w:rsidRPr="00844A6E">
        <w:rPr>
          <w:szCs w:val="22"/>
        </w:rPr>
        <w:t>net social benefits of $8.2 billion in net present value terms over an assumed 40-year life (using a discount rate of 7 per cent) of buildings constructed over the period from 2026 to 2050 (meaning that some benefits will persist through to 2090)</w:t>
      </w:r>
    </w:p>
    <w:p w14:paraId="0E2DC644" w14:textId="77777777" w:rsidR="00767FC0" w:rsidRPr="00844A6E" w:rsidRDefault="00767FC0" w:rsidP="00767FC0">
      <w:pPr>
        <w:pStyle w:val="ListBullet"/>
        <w:numPr>
          <w:ilvl w:val="1"/>
          <w:numId w:val="34"/>
        </w:numPr>
        <w:rPr>
          <w:szCs w:val="22"/>
          <w:lang w:bidi="fa-IR"/>
        </w:rPr>
      </w:pPr>
      <w:r w:rsidRPr="00844A6E">
        <w:rPr>
          <w:szCs w:val="22"/>
          <w:lang w:bidi="fa-IR"/>
        </w:rPr>
        <w:t>energy savings reaching 56 PJ by 2050</w:t>
      </w:r>
    </w:p>
    <w:p w14:paraId="0D1BC838" w14:textId="77777777" w:rsidR="00767FC0" w:rsidRPr="00844A6E" w:rsidRDefault="00767FC0" w:rsidP="00767FC0">
      <w:pPr>
        <w:pStyle w:val="ListBullet"/>
        <w:numPr>
          <w:ilvl w:val="1"/>
          <w:numId w:val="34"/>
        </w:numPr>
        <w:rPr>
          <w:szCs w:val="22"/>
          <w:lang w:bidi="fa-IR"/>
        </w:rPr>
      </w:pPr>
      <w:r w:rsidRPr="00844A6E">
        <w:rPr>
          <w:szCs w:val="22"/>
          <w:lang w:bidi="fa-IR"/>
        </w:rPr>
        <w:t>cumulative GHG emission savings of 70 Mt CO</w:t>
      </w:r>
      <w:r w:rsidRPr="00844A6E">
        <w:rPr>
          <w:szCs w:val="22"/>
          <w:vertAlign w:val="subscript"/>
          <w:lang w:bidi="fa-IR"/>
        </w:rPr>
        <w:t>2</w:t>
      </w:r>
      <w:r w:rsidRPr="00844A6E">
        <w:rPr>
          <w:szCs w:val="22"/>
          <w:lang w:bidi="fa-IR"/>
        </w:rPr>
        <w:noBreakHyphen/>
        <w:t>e by 2050.</w:t>
      </w:r>
    </w:p>
    <w:p w14:paraId="554A1E2E" w14:textId="4BA74A6C" w:rsidR="00767FC0" w:rsidRDefault="003E1FC3" w:rsidP="00767FC0">
      <w:pPr>
        <w:pStyle w:val="Heading1"/>
        <w:tabs>
          <w:tab w:val="num" w:pos="0"/>
          <w:tab w:val="num" w:pos="170"/>
        </w:tabs>
        <w:ind w:left="170" w:hanging="170"/>
      </w:pPr>
      <w:bookmarkStart w:id="690" w:name="_Ref148958742"/>
      <w:bookmarkStart w:id="691" w:name="_Toc149060062"/>
      <w:bookmarkStart w:id="692" w:name="_Toc177735092"/>
      <w:r>
        <w:tab/>
      </w:r>
      <w:bookmarkStart w:id="693" w:name="_Toc178292527"/>
      <w:r w:rsidR="00767FC0">
        <w:t>Objectives and options</w:t>
      </w:r>
      <w:bookmarkEnd w:id="690"/>
      <w:bookmarkEnd w:id="691"/>
      <w:bookmarkEnd w:id="692"/>
      <w:bookmarkEnd w:id="693"/>
    </w:p>
    <w:p w14:paraId="1774B543" w14:textId="77777777" w:rsidR="00767FC0" w:rsidRDefault="00767FC0" w:rsidP="003E1FC3">
      <w:pPr>
        <w:pStyle w:val="Heading2"/>
        <w:numPr>
          <w:ilvl w:val="0"/>
          <w:numId w:val="0"/>
        </w:numPr>
        <w:rPr>
          <w:lang w:bidi="fa-IR"/>
        </w:rPr>
      </w:pPr>
      <w:bookmarkStart w:id="694" w:name="_Toc149060063"/>
      <w:bookmarkStart w:id="695" w:name="_Toc177735093"/>
      <w:bookmarkStart w:id="696" w:name="_Toc178292528"/>
      <w:r>
        <w:rPr>
          <w:lang w:bidi="fa-IR"/>
        </w:rPr>
        <w:t>Objectives</w:t>
      </w:r>
      <w:bookmarkEnd w:id="694"/>
      <w:bookmarkEnd w:id="695"/>
      <w:bookmarkEnd w:id="696"/>
    </w:p>
    <w:p w14:paraId="735A9584" w14:textId="77777777" w:rsidR="00767FC0" w:rsidRPr="00844A6E" w:rsidRDefault="00767FC0" w:rsidP="00767FC0">
      <w:pPr>
        <w:pStyle w:val="BodyText"/>
        <w:spacing w:line="270" w:lineRule="atLeast"/>
        <w:rPr>
          <w:szCs w:val="22"/>
        </w:rPr>
      </w:pPr>
      <w:r w:rsidRPr="00844A6E">
        <w:rPr>
          <w:szCs w:val="22"/>
        </w:rPr>
        <w:t xml:space="preserve">The energy efficiency changes in the NCC initiated from the National Energy Productivity Plan in 2015, which followed by a national plan— </w:t>
      </w:r>
      <w:r w:rsidRPr="00844A6E">
        <w:rPr>
          <w:i/>
          <w:iCs/>
          <w:szCs w:val="22"/>
        </w:rPr>
        <w:t>Trajectory for Low Energy</w:t>
      </w:r>
      <w:r w:rsidRPr="00844A6E">
        <w:rPr>
          <w:szCs w:val="22"/>
        </w:rPr>
        <w:t xml:space="preserve"> </w:t>
      </w:r>
      <w:r w:rsidRPr="00844A6E">
        <w:rPr>
          <w:i/>
          <w:iCs/>
          <w:szCs w:val="22"/>
        </w:rPr>
        <w:t>Buildings</w:t>
      </w:r>
      <w:r w:rsidRPr="00844A6E">
        <w:rPr>
          <w:szCs w:val="22"/>
        </w:rPr>
        <w:t xml:space="preserve"> (the Trajectory)</w:t>
      </w:r>
      <w:r w:rsidRPr="00844A6E">
        <w:rPr>
          <w:i/>
          <w:iCs/>
          <w:szCs w:val="22"/>
        </w:rPr>
        <w:t xml:space="preserve"> </w:t>
      </w:r>
      <w:r w:rsidRPr="00844A6E">
        <w:rPr>
          <w:szCs w:val="22"/>
        </w:rPr>
        <w:t>in 2019 to set a trajectory towards zero energy (and carbon) ready buildings. With the GHG emission reduction targets legislated in 2022, Energy Ministers agreed to support the changes that achieve a low energy, net zero carbon building sector by 2050.</w:t>
      </w:r>
    </w:p>
    <w:p w14:paraId="7526E269" w14:textId="77777777" w:rsidR="00767FC0" w:rsidRPr="00844A6E" w:rsidRDefault="00767FC0" w:rsidP="00767FC0">
      <w:pPr>
        <w:pStyle w:val="BodyText"/>
        <w:spacing w:line="270" w:lineRule="atLeast"/>
        <w:rPr>
          <w:szCs w:val="22"/>
        </w:rPr>
      </w:pPr>
      <w:r w:rsidRPr="00844A6E">
        <w:rPr>
          <w:szCs w:val="22"/>
        </w:rPr>
        <w:t>The Guide to Section J1P1 of the NCC (the Performance Requirement in relation to energy efficiency) states that the objective of Section J is to ‘align with policy set by governments in the Trajectory for Low Energy Buildings’, to reduce energy consumption and energy peak demand, to reduce GHG emissions, and to improve occupant health and amenity.</w:t>
      </w:r>
      <w:r w:rsidRPr="009131F4">
        <w:rPr>
          <w:rStyle w:val="FootnoteReference"/>
          <w:lang w:eastAsia="en-US"/>
        </w:rPr>
        <w:footnoteReference w:id="86"/>
      </w:r>
    </w:p>
    <w:p w14:paraId="6FC8C0EA" w14:textId="77777777" w:rsidR="00767FC0" w:rsidRPr="00844A6E" w:rsidRDefault="00767FC0" w:rsidP="00767FC0">
      <w:pPr>
        <w:pStyle w:val="BodyText"/>
        <w:spacing w:line="270" w:lineRule="atLeast"/>
        <w:rPr>
          <w:szCs w:val="22"/>
        </w:rPr>
      </w:pPr>
      <w:r w:rsidRPr="00844A6E">
        <w:rPr>
          <w:szCs w:val="22"/>
        </w:rPr>
        <w:t>That said, policies aimed at improving energy efficiency often have a broader set of objectives. For example, the consultation paper on the National Energy Performance Strategy notes the following benefits from improving energy performance in addition to reducing GHG emissions:</w:t>
      </w:r>
      <w:r w:rsidRPr="009131F4">
        <w:rPr>
          <w:rStyle w:val="FootnoteReference"/>
          <w:lang w:eastAsia="en-US"/>
        </w:rPr>
        <w:footnoteReference w:id="87"/>
      </w:r>
    </w:p>
    <w:p w14:paraId="039DCB12" w14:textId="77777777" w:rsidR="00767FC0" w:rsidRPr="00844A6E" w:rsidRDefault="00767FC0" w:rsidP="00767FC0">
      <w:pPr>
        <w:pStyle w:val="ListBullet"/>
        <w:rPr>
          <w:szCs w:val="22"/>
        </w:rPr>
      </w:pPr>
      <w:r w:rsidRPr="00844A6E">
        <w:rPr>
          <w:szCs w:val="22"/>
        </w:rPr>
        <w:t>lowering consumer energy costs,</w:t>
      </w:r>
    </w:p>
    <w:p w14:paraId="578420F8" w14:textId="77777777" w:rsidR="00767FC0" w:rsidRPr="00844A6E" w:rsidRDefault="00767FC0" w:rsidP="00767FC0">
      <w:pPr>
        <w:pStyle w:val="ListBullet"/>
        <w:rPr>
          <w:szCs w:val="22"/>
        </w:rPr>
      </w:pPr>
      <w:r w:rsidRPr="00844A6E">
        <w:rPr>
          <w:szCs w:val="22"/>
        </w:rPr>
        <w:t>taking pressure off the system, and</w:t>
      </w:r>
    </w:p>
    <w:p w14:paraId="02F1A31D" w14:textId="77777777" w:rsidR="00767FC0" w:rsidRPr="00844A6E" w:rsidRDefault="00767FC0" w:rsidP="00767FC0">
      <w:pPr>
        <w:pStyle w:val="ListBullet"/>
        <w:rPr>
          <w:szCs w:val="22"/>
        </w:rPr>
      </w:pPr>
      <w:r w:rsidRPr="00844A6E">
        <w:rPr>
          <w:szCs w:val="22"/>
        </w:rPr>
        <w:t>improving health and comfort.</w:t>
      </w:r>
    </w:p>
    <w:p w14:paraId="0B0B3AEC" w14:textId="77777777" w:rsidR="00767FC0" w:rsidRPr="00844A6E" w:rsidRDefault="00767FC0" w:rsidP="00767FC0">
      <w:pPr>
        <w:pStyle w:val="BodyText"/>
        <w:spacing w:line="270" w:lineRule="atLeast"/>
        <w:rPr>
          <w:szCs w:val="22"/>
        </w:rPr>
      </w:pPr>
      <w:r w:rsidRPr="00844A6E">
        <w:rPr>
          <w:szCs w:val="22"/>
        </w:rPr>
        <w:t>The draft NCC 2025 energy efficiency project briefing has stated that the objectives of energy efficiency work are, in order of importance, to:</w:t>
      </w:r>
      <w:r w:rsidRPr="008F0FFC">
        <w:rPr>
          <w:rStyle w:val="FootnoteReference"/>
        </w:rPr>
        <w:footnoteReference w:id="88"/>
      </w:r>
    </w:p>
    <w:p w14:paraId="48E029BB" w14:textId="77777777" w:rsidR="00767FC0" w:rsidRPr="00844A6E" w:rsidRDefault="00767FC0" w:rsidP="00767FC0">
      <w:pPr>
        <w:pStyle w:val="ListBullet"/>
        <w:rPr>
          <w:szCs w:val="22"/>
        </w:rPr>
      </w:pPr>
      <w:r w:rsidRPr="00844A6E">
        <w:rPr>
          <w:szCs w:val="22"/>
        </w:rPr>
        <w:t>reduce GHG emissions,</w:t>
      </w:r>
    </w:p>
    <w:p w14:paraId="5AADCC08" w14:textId="77777777" w:rsidR="00767FC0" w:rsidRPr="00844A6E" w:rsidRDefault="00767FC0" w:rsidP="00767FC0">
      <w:pPr>
        <w:pStyle w:val="ListBullet"/>
        <w:rPr>
          <w:szCs w:val="22"/>
        </w:rPr>
      </w:pPr>
      <w:r w:rsidRPr="00844A6E">
        <w:rPr>
          <w:szCs w:val="22"/>
        </w:rPr>
        <w:t xml:space="preserve">reduce commercial building running costs, </w:t>
      </w:r>
    </w:p>
    <w:p w14:paraId="5879290B" w14:textId="77777777" w:rsidR="00767FC0" w:rsidRPr="00844A6E" w:rsidRDefault="00767FC0" w:rsidP="00767FC0">
      <w:pPr>
        <w:pStyle w:val="ListBullet"/>
        <w:rPr>
          <w:szCs w:val="22"/>
        </w:rPr>
      </w:pPr>
      <w:r w:rsidRPr="00844A6E">
        <w:rPr>
          <w:szCs w:val="22"/>
        </w:rPr>
        <w:t>make commercial buildings more resilient to heatwaves, and</w:t>
      </w:r>
    </w:p>
    <w:p w14:paraId="3B28788B" w14:textId="77777777" w:rsidR="00767FC0" w:rsidRPr="00844A6E" w:rsidRDefault="00767FC0" w:rsidP="00767FC0">
      <w:pPr>
        <w:pStyle w:val="ListBullet"/>
        <w:rPr>
          <w:szCs w:val="22"/>
        </w:rPr>
      </w:pPr>
      <w:r w:rsidRPr="00844A6E">
        <w:rPr>
          <w:szCs w:val="22"/>
        </w:rPr>
        <w:t>assist with the decarbonisation of the electricity grid.</w:t>
      </w:r>
    </w:p>
    <w:p w14:paraId="1AA53567" w14:textId="77777777" w:rsidR="00767FC0" w:rsidRDefault="00767FC0" w:rsidP="003E1FC3">
      <w:pPr>
        <w:pStyle w:val="Heading2"/>
        <w:numPr>
          <w:ilvl w:val="0"/>
          <w:numId w:val="0"/>
        </w:numPr>
        <w:rPr>
          <w:lang w:bidi="fa-IR"/>
        </w:rPr>
      </w:pPr>
      <w:bookmarkStart w:id="697" w:name="_Toc149060064"/>
      <w:bookmarkStart w:id="698" w:name="_Toc177735094"/>
      <w:bookmarkStart w:id="699" w:name="_Toc178292529"/>
      <w:r>
        <w:rPr>
          <w:lang w:bidi="fa-IR"/>
        </w:rPr>
        <w:t>Options</w:t>
      </w:r>
      <w:bookmarkEnd w:id="697"/>
      <w:r>
        <w:rPr>
          <w:lang w:bidi="fa-IR"/>
        </w:rPr>
        <w:t>: minimum energy efficiency requirements</w:t>
      </w:r>
      <w:bookmarkEnd w:id="698"/>
      <w:bookmarkEnd w:id="699"/>
    </w:p>
    <w:p w14:paraId="4EFE8024" w14:textId="77777777" w:rsidR="00767FC0" w:rsidRDefault="00767FC0" w:rsidP="003E1FC3">
      <w:pPr>
        <w:pStyle w:val="Heading3"/>
        <w:numPr>
          <w:ilvl w:val="0"/>
          <w:numId w:val="0"/>
        </w:numPr>
        <w:rPr>
          <w:lang w:bidi="fa-IR"/>
        </w:rPr>
      </w:pPr>
      <w:r>
        <w:rPr>
          <w:lang w:bidi="fa-IR"/>
        </w:rPr>
        <w:t>Base case: Maintain the status quo</w:t>
      </w:r>
    </w:p>
    <w:p w14:paraId="1486C91C" w14:textId="77777777" w:rsidR="00767FC0" w:rsidRPr="00844A6E" w:rsidRDefault="00767FC0" w:rsidP="00767FC0">
      <w:pPr>
        <w:pStyle w:val="BodyText"/>
        <w:rPr>
          <w:szCs w:val="22"/>
          <w:lang w:bidi="fa-IR"/>
        </w:rPr>
      </w:pPr>
      <w:r w:rsidRPr="00844A6E">
        <w:rPr>
          <w:szCs w:val="22"/>
          <w:lang w:bidi="fa-IR"/>
        </w:rPr>
        <w:t xml:space="preserve">The base case establishes the baseline against which the proposed changes are compared. It is essentially the status quo, that is, new builds compliant with NCC 2022. </w:t>
      </w:r>
    </w:p>
    <w:p w14:paraId="11DDFD75" w14:textId="77777777" w:rsidR="00767FC0" w:rsidRPr="00844A6E" w:rsidRDefault="00767FC0" w:rsidP="00767FC0">
      <w:pPr>
        <w:pStyle w:val="BodyText"/>
        <w:rPr>
          <w:szCs w:val="22"/>
          <w:lang w:bidi="fa-IR"/>
        </w:rPr>
      </w:pPr>
      <w:r w:rsidRPr="00844A6E">
        <w:rPr>
          <w:szCs w:val="22"/>
          <w:lang w:bidi="fa-IR"/>
        </w:rPr>
        <w:t>The base case must also account for the extent to which new buildings go beyond the minimum requirement in the NCC 2022, reflecting voluntary adherence to higher standards including voluntary uptake of on-site PV. In this context, the base case may also reflect certain non-regulatory alternatives.</w:t>
      </w:r>
    </w:p>
    <w:p w14:paraId="0C513385" w14:textId="77777777" w:rsidR="00767FC0" w:rsidRPr="00844A6E" w:rsidRDefault="00767FC0" w:rsidP="006F7CCC">
      <w:pPr>
        <w:pStyle w:val="Heading3"/>
        <w:rPr>
          <w:lang w:bidi="fa-IR"/>
        </w:rPr>
      </w:pPr>
      <w:r w:rsidRPr="00844A6E">
        <w:rPr>
          <w:lang w:bidi="fa-IR"/>
        </w:rPr>
        <w:t>Non-regulatory options</w:t>
      </w:r>
    </w:p>
    <w:p w14:paraId="223229C5" w14:textId="77777777" w:rsidR="00767FC0" w:rsidRPr="00844A6E" w:rsidRDefault="00767FC0" w:rsidP="00767FC0">
      <w:pPr>
        <w:pStyle w:val="BodyText"/>
        <w:rPr>
          <w:szCs w:val="22"/>
        </w:rPr>
      </w:pPr>
      <w:r w:rsidRPr="00844A6E">
        <w:rPr>
          <w:szCs w:val="22"/>
        </w:rPr>
        <w:t>RIS guidelines require that a RIS identifies a range of viable options. These include, as appropriate, non</w:t>
      </w:r>
      <w:r w:rsidRPr="00844A6E">
        <w:rPr>
          <w:szCs w:val="22"/>
        </w:rPr>
        <w:noBreakHyphen/>
        <w:t>regulatory, self</w:t>
      </w:r>
      <w:r w:rsidRPr="00844A6E">
        <w:rPr>
          <w:szCs w:val="22"/>
        </w:rPr>
        <w:noBreakHyphen/>
        <w:t>regulatory, quasi-regulatory and co</w:t>
      </w:r>
      <w:r w:rsidRPr="00844A6E">
        <w:rPr>
          <w:szCs w:val="22"/>
        </w:rPr>
        <w:noBreakHyphen/>
        <w:t>regulatory options.</w:t>
      </w:r>
      <w:r w:rsidRPr="008F0FFC">
        <w:rPr>
          <w:rStyle w:val="FootnoteReference"/>
        </w:rPr>
        <w:footnoteReference w:id="89"/>
      </w:r>
      <w:r w:rsidRPr="008F0FFC">
        <w:rPr>
          <w:rStyle w:val="FootnoteReference"/>
        </w:rPr>
        <w:t xml:space="preserve"> </w:t>
      </w:r>
    </w:p>
    <w:p w14:paraId="797923BC" w14:textId="77777777" w:rsidR="00767FC0" w:rsidRPr="00844A6E" w:rsidRDefault="00767FC0" w:rsidP="00767FC0">
      <w:pPr>
        <w:pStyle w:val="BodyText"/>
        <w:rPr>
          <w:szCs w:val="22"/>
        </w:rPr>
      </w:pPr>
      <w:r w:rsidRPr="00844A6E">
        <w:rPr>
          <w:szCs w:val="22"/>
        </w:rPr>
        <w:t xml:space="preserve">In this context, a more flexible alternative option to encourage improved energy efficiency performance of commercial buildings would focus on providing relevant information to users and managers of commercial building. This could involve presenting the proposed changes as a voluntary guideline or within a handbook. </w:t>
      </w:r>
    </w:p>
    <w:p w14:paraId="375CD3D7" w14:textId="1D00AF7B" w:rsidR="00767FC0" w:rsidRPr="00844A6E" w:rsidRDefault="00F00C4F" w:rsidP="00767FC0">
      <w:pPr>
        <w:pStyle w:val="BodyText"/>
        <w:rPr>
          <w:szCs w:val="22"/>
          <w:lang w:bidi="fa-IR"/>
        </w:rPr>
      </w:pPr>
      <w:r>
        <w:rPr>
          <w:szCs w:val="22"/>
          <w:lang w:bidi="fa-IR"/>
        </w:rPr>
        <w:t xml:space="preserve">However, </w:t>
      </w:r>
      <w:r w:rsidR="005A654C">
        <w:rPr>
          <w:szCs w:val="22"/>
          <w:lang w:bidi="fa-IR"/>
        </w:rPr>
        <w:t>non</w:t>
      </w:r>
      <w:r w:rsidR="000858F6">
        <w:rPr>
          <w:szCs w:val="22"/>
          <w:lang w:bidi="fa-IR"/>
        </w:rPr>
        <w:t>-regulatory options do not address the key market and behaviour failures that lead to under-investment in energy efficiency</w:t>
      </w:r>
      <w:r w:rsidR="000726B1">
        <w:rPr>
          <w:szCs w:val="22"/>
          <w:lang w:bidi="fa-IR"/>
        </w:rPr>
        <w:t>, including: current externalities in relation to energy consumption</w:t>
      </w:r>
      <w:r w:rsidR="008E0901">
        <w:rPr>
          <w:szCs w:val="22"/>
          <w:lang w:bidi="fa-IR"/>
        </w:rPr>
        <w:t>; and heuristic decision-making (i.e. building to code, rather than optimisi</w:t>
      </w:r>
      <w:r w:rsidR="00652F8E">
        <w:rPr>
          <w:szCs w:val="22"/>
          <w:lang w:bidi="fa-IR"/>
        </w:rPr>
        <w:t xml:space="preserve">ng </w:t>
      </w:r>
      <w:r w:rsidR="00D35853">
        <w:rPr>
          <w:szCs w:val="22"/>
          <w:lang w:bidi="fa-IR"/>
        </w:rPr>
        <w:t xml:space="preserve">costs over the building’s life). </w:t>
      </w:r>
      <w:r w:rsidR="00C27653">
        <w:rPr>
          <w:szCs w:val="22"/>
          <w:lang w:bidi="fa-IR"/>
        </w:rPr>
        <w:t xml:space="preserve">Non-regulatory approaches are therefore unlikely to be effective in achieving the objectives. </w:t>
      </w:r>
    </w:p>
    <w:p w14:paraId="7F37B259" w14:textId="77777777" w:rsidR="00767FC0" w:rsidRDefault="00767FC0" w:rsidP="003E1FC3">
      <w:pPr>
        <w:pStyle w:val="Heading3"/>
        <w:numPr>
          <w:ilvl w:val="0"/>
          <w:numId w:val="0"/>
        </w:numPr>
        <w:rPr>
          <w:lang w:bidi="fa-IR"/>
        </w:rPr>
      </w:pPr>
      <w:r>
        <w:rPr>
          <w:lang w:bidi="fa-IR"/>
        </w:rPr>
        <w:t>Policy options</w:t>
      </w:r>
    </w:p>
    <w:p w14:paraId="3C75C6A8" w14:textId="546658A3" w:rsidR="00427C33" w:rsidRPr="00427C33" w:rsidRDefault="00427C33" w:rsidP="00427C33">
      <w:pPr>
        <w:pStyle w:val="BodyText"/>
        <w:rPr>
          <w:lang w:bidi="fa-IR"/>
        </w:rPr>
      </w:pPr>
      <w:r>
        <w:rPr>
          <w:lang w:bidi="fa-IR"/>
        </w:rPr>
        <w:t>ABCB has developed the following policy options:</w:t>
      </w:r>
    </w:p>
    <w:p w14:paraId="16C1F8F8" w14:textId="70FF603A" w:rsidR="00767FC0" w:rsidRPr="00844A6E" w:rsidRDefault="00427C33" w:rsidP="006E7D2D">
      <w:pPr>
        <w:pStyle w:val="ListBullet"/>
        <w:rPr>
          <w:lang w:bidi="fa-IR"/>
        </w:rPr>
      </w:pPr>
      <w:r>
        <w:rPr>
          <w:lang w:bidi="fa-IR"/>
        </w:rPr>
        <w:t xml:space="preserve">In relation to minimum energy efficiency standards and </w:t>
      </w:r>
      <w:r w:rsidR="002B0D57">
        <w:rPr>
          <w:lang w:bidi="fa-IR"/>
        </w:rPr>
        <w:t xml:space="preserve">on-site energy generation for commercial buildings, ABCB has developed </w:t>
      </w:r>
      <w:r w:rsidR="006E7D2D">
        <w:rPr>
          <w:lang w:bidi="fa-IR"/>
        </w:rPr>
        <w:t>t</w:t>
      </w:r>
      <w:r w:rsidR="00767FC0" w:rsidRPr="00844A6E">
        <w:rPr>
          <w:lang w:bidi="fa-IR"/>
        </w:rPr>
        <w:t xml:space="preserve">hree policy options </w:t>
      </w:r>
      <w:r w:rsidR="00F25EB3">
        <w:rPr>
          <w:lang w:bidi="fa-IR"/>
        </w:rPr>
        <w:t>(</w:t>
      </w:r>
      <w:r w:rsidR="00C81EB2">
        <w:rPr>
          <w:lang w:bidi="fa-IR"/>
        </w:rPr>
        <w:t xml:space="preserve">that are all </w:t>
      </w:r>
      <w:r w:rsidR="00F25EB3" w:rsidRPr="00844A6E">
        <w:rPr>
          <w:lang w:bidi="fa-IR"/>
        </w:rPr>
        <w:t>fuel and technology neutral</w:t>
      </w:r>
      <w:r w:rsidR="00C81EB2">
        <w:rPr>
          <w:lang w:bidi="fa-IR"/>
        </w:rPr>
        <w:t>)</w:t>
      </w:r>
      <w:r w:rsidR="00F25EB3" w:rsidRPr="00844A6E">
        <w:rPr>
          <w:lang w:bidi="fa-IR"/>
        </w:rPr>
        <w:t xml:space="preserve"> </w:t>
      </w:r>
      <w:r w:rsidR="006E7D2D">
        <w:rPr>
          <w:lang w:bidi="fa-IR"/>
        </w:rPr>
        <w:t>reflecting</w:t>
      </w:r>
      <w:r w:rsidR="00767FC0" w:rsidRPr="00844A6E">
        <w:rPr>
          <w:lang w:bidi="fa-IR"/>
        </w:rPr>
        <w:t xml:space="preserve"> three </w:t>
      </w:r>
      <w:r w:rsidR="006E7D2D">
        <w:rPr>
          <w:lang w:bidi="fa-IR"/>
        </w:rPr>
        <w:t xml:space="preserve">different </w:t>
      </w:r>
      <w:r w:rsidR="00767FC0" w:rsidRPr="00844A6E">
        <w:rPr>
          <w:lang w:bidi="fa-IR"/>
        </w:rPr>
        <w:t>stringency levels</w:t>
      </w:r>
      <w:r w:rsidR="00A329E4">
        <w:rPr>
          <w:lang w:bidi="fa-IR"/>
        </w:rPr>
        <w:t xml:space="preserve"> (see table </w:t>
      </w:r>
      <w:r w:rsidR="00C7682F">
        <w:rPr>
          <w:szCs w:val="22"/>
          <w:highlight w:val="yellow"/>
          <w:lang w:bidi="fa-IR"/>
        </w:rPr>
        <w:fldChar w:fldCharType="begin"/>
      </w:r>
      <w:r w:rsidR="00C7682F">
        <w:rPr>
          <w:szCs w:val="22"/>
          <w:lang w:bidi="fa-IR"/>
        </w:rPr>
        <w:instrText xml:space="preserve"> REF _Caption5045 </w:instrText>
      </w:r>
      <w:r w:rsidR="00C7682F">
        <w:rPr>
          <w:szCs w:val="22"/>
          <w:highlight w:val="yellow"/>
          <w:lang w:bidi="fa-IR"/>
        </w:rPr>
        <w:fldChar w:fldCharType="separate"/>
      </w:r>
      <w:r w:rsidR="006E00A7">
        <w:rPr>
          <w:noProof/>
        </w:rPr>
        <w:t>4</w:t>
      </w:r>
      <w:r w:rsidR="006E00A7" w:rsidRPr="00695C93">
        <w:rPr>
          <w:noProof/>
        </w:rPr>
        <w:t>.</w:t>
      </w:r>
      <w:r w:rsidR="006E00A7">
        <w:rPr>
          <w:noProof/>
        </w:rPr>
        <w:t>1</w:t>
      </w:r>
      <w:r w:rsidR="00C7682F">
        <w:rPr>
          <w:szCs w:val="22"/>
          <w:highlight w:val="yellow"/>
          <w:lang w:bidi="fa-IR"/>
        </w:rPr>
        <w:fldChar w:fldCharType="end"/>
      </w:r>
      <w:r w:rsidR="00C80A86">
        <w:rPr>
          <w:lang w:bidi="fa-IR"/>
        </w:rPr>
        <w:t>)</w:t>
      </w:r>
      <w:r w:rsidR="00767FC0" w:rsidRPr="00844A6E">
        <w:rPr>
          <w:lang w:bidi="fa-IR"/>
        </w:rPr>
        <w:t>:</w:t>
      </w:r>
    </w:p>
    <w:p w14:paraId="2A7906A8" w14:textId="77777777" w:rsidR="00767FC0" w:rsidRPr="00844A6E" w:rsidRDefault="00767FC0" w:rsidP="006E7D2D">
      <w:pPr>
        <w:pStyle w:val="ListBullet2"/>
      </w:pPr>
      <w:r w:rsidRPr="00B9361D">
        <w:rPr>
          <w:i/>
          <w:iCs/>
        </w:rPr>
        <w:t>Stringency Level 1: Cost-effective energy efficiency without mandated on-site photovoltaics (PV)</w:t>
      </w:r>
      <w:r w:rsidRPr="00844A6E">
        <w:t xml:space="preserve"> — includes proposed energy efficiency provisions for better performance building envelop and equipment. </w:t>
      </w:r>
    </w:p>
    <w:p w14:paraId="0001163B" w14:textId="77777777" w:rsidR="00767FC0" w:rsidRPr="00844A6E" w:rsidRDefault="00767FC0" w:rsidP="006E7D2D">
      <w:pPr>
        <w:pStyle w:val="ListBullet2"/>
      </w:pPr>
      <w:r w:rsidRPr="00B9361D">
        <w:rPr>
          <w:bCs/>
          <w:i/>
          <w:iCs/>
        </w:rPr>
        <w:t>Stringency Level 2: Cost-effective energy efficiency with mandated on-site PV</w:t>
      </w:r>
      <w:r w:rsidRPr="00844A6E">
        <w:t xml:space="preserve"> —introduces additional mandated on-site PV requirements to Stringency Level 1. </w:t>
      </w:r>
    </w:p>
    <w:p w14:paraId="44BE7594" w14:textId="77777777" w:rsidR="00767FC0" w:rsidRPr="00844A6E" w:rsidRDefault="00767FC0" w:rsidP="006E7D2D">
      <w:pPr>
        <w:pStyle w:val="ListBullet2"/>
      </w:pPr>
      <w:r w:rsidRPr="006E7D2D">
        <w:rPr>
          <w:bCs/>
          <w:i/>
          <w:iCs/>
        </w:rPr>
        <w:t>Stringency Level 3: Least-cost zero carbon ready buildings</w:t>
      </w:r>
      <w:r w:rsidRPr="00844A6E">
        <w:t xml:space="preserve"> —covers least cost zero carbon provisions that achieve net zero GHG emissions ready buildings (when the grid decarbonises) with respect to regulated energy. This option extends Stringency Level 2 to provide full electrification readiness and to require additional PV to offset emissions from gas appliances compared with an all-electric equivalent. This means that under Stringency Level 3, a building’s operational carbon emissions should be no higher than an equivalent all-electric building.</w:t>
      </w:r>
    </w:p>
    <w:p w14:paraId="59B185AF" w14:textId="4D6C5F0D" w:rsidR="00767FC0" w:rsidRPr="00844A6E" w:rsidRDefault="00AC4674" w:rsidP="00F25EB3">
      <w:pPr>
        <w:pStyle w:val="ListBullet"/>
        <w:rPr>
          <w:lang w:bidi="fa-IR"/>
        </w:rPr>
      </w:pPr>
      <w:r w:rsidRPr="00C81EB2">
        <w:rPr>
          <w:i/>
          <w:iCs/>
          <w:lang w:bidi="fa-IR"/>
        </w:rPr>
        <w:t xml:space="preserve">Mandatory </w:t>
      </w:r>
      <w:r w:rsidR="00767FC0" w:rsidRPr="00C81EB2">
        <w:rPr>
          <w:i/>
          <w:iCs/>
          <w:lang w:bidi="fa-IR"/>
        </w:rPr>
        <w:t xml:space="preserve">requirement </w:t>
      </w:r>
      <w:r w:rsidRPr="00C81EB2">
        <w:rPr>
          <w:i/>
          <w:iCs/>
          <w:lang w:bidi="fa-IR"/>
        </w:rPr>
        <w:t>for</w:t>
      </w:r>
      <w:r w:rsidR="00767FC0" w:rsidRPr="00C81EB2">
        <w:rPr>
          <w:i/>
          <w:iCs/>
          <w:lang w:bidi="fa-IR"/>
        </w:rPr>
        <w:t xml:space="preserve"> EV charging </w:t>
      </w:r>
      <w:r w:rsidRPr="00C81EB2">
        <w:rPr>
          <w:i/>
          <w:iCs/>
          <w:lang w:bidi="fa-IR"/>
        </w:rPr>
        <w:t>facilities</w:t>
      </w:r>
      <w:r w:rsidR="00D71A2B">
        <w:rPr>
          <w:i/>
          <w:iCs/>
          <w:lang w:bidi="fa-IR"/>
        </w:rPr>
        <w:t xml:space="preserve"> in some commercial buildings</w:t>
      </w:r>
      <w:r>
        <w:rPr>
          <w:lang w:bidi="fa-IR"/>
        </w:rPr>
        <w:t xml:space="preserve"> — this is being considered as a separate option</w:t>
      </w:r>
      <w:r w:rsidR="00F25EB3">
        <w:rPr>
          <w:lang w:bidi="fa-IR"/>
        </w:rPr>
        <w:t xml:space="preserve"> (</w:t>
      </w:r>
      <w:r w:rsidR="00C81EB2">
        <w:rPr>
          <w:lang w:bidi="fa-IR"/>
        </w:rPr>
        <w:t xml:space="preserve">this requirement was bundled with the energy </w:t>
      </w:r>
      <w:r w:rsidR="00D71A2B">
        <w:rPr>
          <w:lang w:bidi="fa-IR"/>
        </w:rPr>
        <w:t>efficiency and on-site energy generation options in the CRIS).</w:t>
      </w:r>
    </w:p>
    <w:p w14:paraId="0A6266E4" w14:textId="5FC3D0AD" w:rsidR="00767FC0" w:rsidRPr="00844A6E" w:rsidRDefault="00767FC0" w:rsidP="00767FC0">
      <w:pPr>
        <w:pStyle w:val="BodyText"/>
        <w:rPr>
          <w:szCs w:val="22"/>
          <w:lang w:bidi="fa-IR"/>
        </w:rPr>
      </w:pPr>
      <w:r>
        <w:rPr>
          <w:szCs w:val="22"/>
          <w:lang w:bidi="fa-IR"/>
        </w:rPr>
        <w:t xml:space="preserve">Table </w:t>
      </w:r>
      <w:r>
        <w:rPr>
          <w:szCs w:val="22"/>
          <w:highlight w:val="yellow"/>
          <w:lang w:bidi="fa-IR"/>
        </w:rPr>
        <w:fldChar w:fldCharType="begin"/>
      </w:r>
      <w:r>
        <w:rPr>
          <w:szCs w:val="22"/>
          <w:lang w:bidi="fa-IR"/>
        </w:rPr>
        <w:instrText xml:space="preserve"> REF _Caption5045 </w:instrText>
      </w:r>
      <w:r>
        <w:rPr>
          <w:szCs w:val="22"/>
          <w:highlight w:val="yellow"/>
          <w:lang w:bidi="fa-IR"/>
        </w:rPr>
        <w:fldChar w:fldCharType="separate"/>
      </w:r>
      <w:r w:rsidR="006E00A7">
        <w:rPr>
          <w:noProof/>
        </w:rPr>
        <w:t>4</w:t>
      </w:r>
      <w:r w:rsidR="006E00A7" w:rsidRPr="00695C93">
        <w:rPr>
          <w:noProof/>
        </w:rPr>
        <w:t>.</w:t>
      </w:r>
      <w:r w:rsidR="006E00A7">
        <w:rPr>
          <w:noProof/>
        </w:rPr>
        <w:t>1</w:t>
      </w:r>
      <w:r>
        <w:rPr>
          <w:szCs w:val="22"/>
          <w:highlight w:val="yellow"/>
          <w:lang w:bidi="fa-IR"/>
        </w:rPr>
        <w:fldChar w:fldCharType="end"/>
      </w:r>
      <w:r w:rsidRPr="00844A6E">
        <w:rPr>
          <w:szCs w:val="22"/>
          <w:lang w:bidi="fa-IR"/>
        </w:rPr>
        <w:t xml:space="preserve"> provides a schematic summary of the requirements for each option.</w:t>
      </w:r>
    </w:p>
    <w:p w14:paraId="175160C9" w14:textId="6386695E" w:rsidR="00767FC0" w:rsidRPr="00695C93" w:rsidRDefault="00767FC0">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581346">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581346">
          <w:rPr>
            <w:noProof/>
          </w:rPr>
          <w:instrText>4</w:instrText>
        </w:r>
      </w:fldSimple>
      <w:r w:rsidRPr="00695C93">
        <w:instrText xml:space="preserve"> = 0 "" "</w:instrText>
      </w:r>
      <w:fldSimple w:instr=" STYLEREF &quot;Heading 1&quot; \l \n ">
        <w:r w:rsidR="00581346">
          <w:rPr>
            <w:noProof/>
          </w:rPr>
          <w:instrText>4</w:instrText>
        </w:r>
      </w:fldSimple>
      <w:r w:rsidRPr="00695C93">
        <w:instrText xml:space="preserve">." </w:instrText>
      </w:r>
      <w:r w:rsidRPr="00695C93">
        <w:fldChar w:fldCharType="separate"/>
      </w:r>
      <w:r w:rsidR="00581346">
        <w:rPr>
          <w:noProof/>
        </w:rPr>
        <w:instrText>4</w:instrText>
      </w:r>
      <w:r w:rsidR="00581346" w:rsidRPr="00695C93">
        <w:rPr>
          <w:noProof/>
        </w:rPr>
        <w:instrText>.</w:instrText>
      </w:r>
      <w:r w:rsidRPr="00695C93">
        <w:fldChar w:fldCharType="end"/>
      </w:r>
      <w:r w:rsidRPr="00695C93">
        <w:instrText>" "</w:instrText>
      </w:r>
      <w:fldSimple w:instr=" STYLEREF &quot;Heading 6&quot; \l \n ">
        <w:r>
          <w:rPr>
            <w:noProof/>
          </w:rPr>
          <w:instrText>A</w:instrText>
        </w:r>
      </w:fldSimple>
      <w:r w:rsidRPr="00695C93">
        <w:instrText xml:space="preserve">." </w:instrText>
      </w:r>
      <w:r w:rsidRPr="00695C93">
        <w:fldChar w:fldCharType="separate"/>
      </w:r>
      <w:r w:rsidR="008C60A3">
        <w:rPr>
          <w:noProof/>
        </w:rPr>
        <w:instrText>4</w:instrText>
      </w:r>
      <w:r w:rsidR="008C60A3"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581346">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581346">
          <w:rPr>
            <w:noProof/>
          </w:rPr>
          <w:instrText>4</w:instrText>
        </w:r>
      </w:fldSimple>
      <w:r w:rsidRPr="00695C93">
        <w:instrText xml:space="preserve"> = 0 "" "1" </w:instrText>
      </w:r>
      <w:r w:rsidRPr="00695C93">
        <w:fldChar w:fldCharType="separate"/>
      </w:r>
      <w:r w:rsidR="008C60A3" w:rsidRPr="00695C93">
        <w:rPr>
          <w:noProof/>
        </w:rPr>
        <w:instrText>1</w:instrText>
      </w:r>
      <w:r w:rsidRPr="00695C93">
        <w:fldChar w:fldCharType="end"/>
      </w:r>
      <w:r w:rsidRPr="00695C93">
        <w:instrText xml:space="preserve">" "6" </w:instrText>
      </w:r>
      <w:r w:rsidRPr="00695C93">
        <w:fldChar w:fldCharType="separate"/>
      </w:r>
      <w:r w:rsidR="008C60A3" w:rsidRPr="00695C93">
        <w:rPr>
          <w:noProof/>
        </w:rPr>
        <w:instrText>1</w:instrText>
      </w:r>
      <w:r w:rsidRPr="00695C93">
        <w:fldChar w:fldCharType="end"/>
      </w:r>
      <w:r w:rsidRPr="00695C93">
        <w:instrText xml:space="preserve"> </w:instrText>
      </w:r>
      <w:r w:rsidRPr="00695C93">
        <w:fldChar w:fldCharType="separate"/>
      </w:r>
      <w:r w:rsidR="00581346">
        <w:rPr>
          <w:noProof/>
        </w:rPr>
        <w:instrText>1</w:instrText>
      </w:r>
      <w:r w:rsidRPr="00695C93">
        <w:fldChar w:fldCharType="end"/>
      </w:r>
      <w:r w:rsidRPr="00695C93">
        <w:instrText xml:space="preserve">" "" </w:instrText>
      </w:r>
      <w:r w:rsidRPr="00695C93">
        <w:fldChar w:fldCharType="separate"/>
      </w:r>
      <w:bookmarkStart w:id="700" w:name="_Caption6419"/>
      <w:bookmarkStart w:id="701" w:name="_Caption7762"/>
      <w:bookmarkStart w:id="702" w:name="_Caption9356"/>
      <w:bookmarkStart w:id="703" w:name="_Caption9214"/>
      <w:bookmarkStart w:id="704" w:name="_Caption7632"/>
      <w:bookmarkStart w:id="705" w:name="_Caption7856"/>
      <w:bookmarkStart w:id="706" w:name="_Caption7575"/>
      <w:bookmarkStart w:id="707" w:name="_Caption1205"/>
      <w:bookmarkStart w:id="708" w:name="_Caption9929"/>
      <w:bookmarkStart w:id="709" w:name="_Caption2557"/>
      <w:bookmarkStart w:id="710" w:name="_Caption9852"/>
      <w:bookmarkStart w:id="711" w:name="_Caption7844"/>
      <w:bookmarkStart w:id="712" w:name="_Caption6383"/>
      <w:bookmarkStart w:id="713" w:name="_Caption7006"/>
      <w:bookmarkStart w:id="714" w:name="_Caption3210"/>
      <w:bookmarkStart w:id="715" w:name="_Caption2163"/>
      <w:bookmarkStart w:id="716" w:name="_Caption2779"/>
      <w:bookmarkStart w:id="717" w:name="_Caption2239"/>
      <w:bookmarkStart w:id="718" w:name="_Caption6306"/>
      <w:bookmarkStart w:id="719" w:name="_Caption0203"/>
      <w:bookmarkStart w:id="720" w:name="_Caption4676"/>
      <w:bookmarkStart w:id="721" w:name="_Caption8729"/>
      <w:bookmarkStart w:id="722" w:name="_Caption6736"/>
      <w:bookmarkStart w:id="723" w:name="_Caption9845"/>
      <w:bookmarkStart w:id="724" w:name="_Caption8608"/>
      <w:bookmarkStart w:id="725" w:name="_Caption2466"/>
      <w:bookmarkStart w:id="726" w:name="_Caption0026"/>
      <w:bookmarkStart w:id="727" w:name="_Caption4899"/>
      <w:bookmarkStart w:id="728" w:name="_Caption6098"/>
      <w:bookmarkStart w:id="729" w:name="_Caption0938"/>
      <w:bookmarkStart w:id="730" w:name="_Caption5938"/>
      <w:bookmarkStart w:id="731" w:name="_Caption5861"/>
      <w:bookmarkStart w:id="732" w:name="_Caption8617"/>
      <w:bookmarkStart w:id="733" w:name="_Caption6206"/>
      <w:bookmarkStart w:id="734" w:name="_Caption8696"/>
      <w:bookmarkStart w:id="735" w:name="_Caption4737"/>
      <w:bookmarkStart w:id="736" w:name="_Caption0499"/>
      <w:bookmarkStart w:id="737" w:name="_Caption6475"/>
      <w:bookmarkStart w:id="738" w:name="_Caption4495"/>
      <w:bookmarkStart w:id="739" w:name="_Caption7405"/>
      <w:bookmarkStart w:id="740" w:name="_Caption5924"/>
      <w:bookmarkStart w:id="741" w:name="_Caption6932"/>
      <w:bookmarkStart w:id="742" w:name="_Caption9459"/>
      <w:bookmarkStart w:id="743" w:name="_Caption3966"/>
      <w:bookmarkStart w:id="744" w:name="_Caption7578"/>
      <w:bookmarkStart w:id="745" w:name="_Caption0036"/>
      <w:bookmarkStart w:id="746" w:name="_Caption5444"/>
      <w:bookmarkStart w:id="747" w:name="_Caption7260"/>
      <w:bookmarkStart w:id="748" w:name="_Caption5045"/>
      <w:bookmarkStart w:id="749" w:name="_Caption8178"/>
      <w:bookmarkStart w:id="750" w:name="_Caption5268"/>
      <w:bookmarkStart w:id="751" w:name="_Caption0655"/>
      <w:bookmarkStart w:id="752" w:name="_Caption6404"/>
      <w:bookmarkStart w:id="753" w:name="_Caption4001"/>
      <w:bookmarkStart w:id="754" w:name="_Caption3967"/>
      <w:bookmarkStart w:id="755" w:name="_Caption3893"/>
      <w:bookmarkStart w:id="756" w:name="_Caption5196"/>
      <w:bookmarkStart w:id="757" w:name="_Caption4947"/>
      <w:bookmarkStart w:id="758" w:name="_Caption5911"/>
      <w:bookmarkStart w:id="759" w:name="_Caption7728"/>
      <w:bookmarkStart w:id="760" w:name="_Caption7173"/>
      <w:bookmarkStart w:id="761" w:name="_Caption9552"/>
      <w:bookmarkStart w:id="762" w:name="_Caption9276"/>
      <w:bookmarkStart w:id="763" w:name="_Caption7457"/>
      <w:bookmarkStart w:id="764" w:name="_Caption1609"/>
      <w:bookmarkStart w:id="765" w:name="_Caption6614"/>
      <w:bookmarkStart w:id="766" w:name="_Caption4140"/>
      <w:bookmarkStart w:id="767" w:name="_Caption1213"/>
      <w:bookmarkStart w:id="768" w:name="_Caption0399"/>
      <w:bookmarkStart w:id="769" w:name="_Caption1600"/>
      <w:bookmarkStart w:id="770" w:name="_Caption3596"/>
      <w:bookmarkStart w:id="771" w:name="_Caption2915"/>
      <w:bookmarkStart w:id="772" w:name="_Caption6479"/>
      <w:bookmarkStart w:id="773" w:name="_Caption5380"/>
      <w:bookmarkStart w:id="774" w:name="_Caption4180"/>
      <w:bookmarkStart w:id="775" w:name="_Toc178292574"/>
      <w:r w:rsidR="008C60A3">
        <w:rPr>
          <w:noProof/>
        </w:rPr>
        <w:t>4</w:t>
      </w:r>
      <w:r w:rsidR="008C60A3" w:rsidRPr="00695C93">
        <w:rPr>
          <w:noProof/>
        </w:rPr>
        <w:t>.</w:t>
      </w:r>
      <w:r w:rsidR="008C60A3">
        <w:rPr>
          <w:noProof/>
        </w:rPr>
        <w:t>1</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r w:rsidRPr="00695C93">
        <w:fldChar w:fldCharType="end"/>
      </w:r>
      <w:r w:rsidRPr="00695C93">
        <w:tab/>
      </w:r>
      <w:r>
        <w:t>Options of proposed changes</w:t>
      </w:r>
      <w:bookmarkEnd w:id="775"/>
    </w:p>
    <w:tbl>
      <w:tblPr>
        <w:tblW w:w="8221" w:type="dxa"/>
        <w:tblLayout w:type="fixed"/>
        <w:tblLook w:val="0000" w:firstRow="0" w:lastRow="0" w:firstColumn="0" w:lastColumn="0" w:noHBand="0" w:noVBand="0"/>
        <w:tblCaption w:val="Table 3.1"/>
        <w:tblDescription w:val="Options of proposed changes"/>
      </w:tblPr>
      <w:tblGrid>
        <w:gridCol w:w="3119"/>
        <w:gridCol w:w="1275"/>
        <w:gridCol w:w="1275"/>
        <w:gridCol w:w="1276"/>
        <w:gridCol w:w="1276"/>
      </w:tblGrid>
      <w:tr w:rsidR="006B5F44" w14:paraId="7DFA1FCA" w14:textId="7FEA6B03" w:rsidTr="003A540D">
        <w:trPr>
          <w:tblHeader/>
        </w:trPr>
        <w:tc>
          <w:tcPr>
            <w:tcW w:w="3119" w:type="dxa"/>
            <w:tcBorders>
              <w:bottom w:val="single" w:sz="8" w:space="0" w:color="FFFFFF" w:themeColor="background1"/>
            </w:tcBorders>
            <w:shd w:val="clear" w:color="auto" w:fill="6F6652"/>
            <w:tcMar>
              <w:left w:w="57" w:type="dxa"/>
              <w:right w:w="57" w:type="dxa"/>
            </w:tcMar>
          </w:tcPr>
          <w:p w14:paraId="73EB5D0B" w14:textId="77777777" w:rsidR="006B5F44" w:rsidRDefault="006B5F44">
            <w:pPr>
              <w:pStyle w:val="TableTextColumnHeading"/>
              <w:rPr>
                <w:lang w:bidi="fa-IR"/>
              </w:rPr>
            </w:pPr>
            <w:r>
              <w:rPr>
                <w:lang w:bidi="fa-IR"/>
              </w:rPr>
              <w:t>Proposed changes</w:t>
            </w:r>
          </w:p>
        </w:tc>
        <w:tc>
          <w:tcPr>
            <w:tcW w:w="1275" w:type="dxa"/>
            <w:tcBorders>
              <w:bottom w:val="single" w:sz="8" w:space="0" w:color="FFFFFF" w:themeColor="background1"/>
            </w:tcBorders>
            <w:shd w:val="clear" w:color="auto" w:fill="6F6652"/>
            <w:tcMar>
              <w:left w:w="57" w:type="dxa"/>
              <w:right w:w="57" w:type="dxa"/>
            </w:tcMar>
          </w:tcPr>
          <w:p w14:paraId="275D7771" w14:textId="1EB55E04" w:rsidR="006B5F44" w:rsidRDefault="006B5F44">
            <w:pPr>
              <w:pStyle w:val="TableTextColumnHeading"/>
              <w:jc w:val="right"/>
              <w:rPr>
                <w:lang w:bidi="fa-IR"/>
              </w:rPr>
            </w:pPr>
            <w:r>
              <w:rPr>
                <w:lang w:bidi="fa-IR"/>
              </w:rPr>
              <w:t>Stringency Level  1</w:t>
            </w:r>
          </w:p>
        </w:tc>
        <w:tc>
          <w:tcPr>
            <w:tcW w:w="1275" w:type="dxa"/>
            <w:tcBorders>
              <w:bottom w:val="single" w:sz="8" w:space="0" w:color="FFFFFF" w:themeColor="background1"/>
            </w:tcBorders>
            <w:shd w:val="clear" w:color="auto" w:fill="6F6652"/>
            <w:tcMar>
              <w:left w:w="57" w:type="dxa"/>
              <w:right w:w="57" w:type="dxa"/>
            </w:tcMar>
          </w:tcPr>
          <w:p w14:paraId="47BBFB0C" w14:textId="2EE48344" w:rsidR="006B5F44" w:rsidRDefault="006B5F44">
            <w:pPr>
              <w:pStyle w:val="TableTextColumnHeading"/>
              <w:jc w:val="right"/>
              <w:rPr>
                <w:lang w:bidi="fa-IR"/>
              </w:rPr>
            </w:pPr>
            <w:r>
              <w:rPr>
                <w:lang w:bidi="fa-IR"/>
              </w:rPr>
              <w:t>Stringency Level  2</w:t>
            </w:r>
          </w:p>
        </w:tc>
        <w:tc>
          <w:tcPr>
            <w:tcW w:w="1276" w:type="dxa"/>
            <w:tcBorders>
              <w:bottom w:val="single" w:sz="8" w:space="0" w:color="FFFFFF" w:themeColor="background1"/>
            </w:tcBorders>
            <w:shd w:val="clear" w:color="auto" w:fill="6F6652"/>
            <w:tcMar>
              <w:left w:w="57" w:type="dxa"/>
              <w:right w:w="57" w:type="dxa"/>
            </w:tcMar>
          </w:tcPr>
          <w:p w14:paraId="119AE2C3" w14:textId="0F8C89F1" w:rsidR="006B5F44" w:rsidRDefault="006B5F44">
            <w:pPr>
              <w:pStyle w:val="TableTextColumnHeading"/>
              <w:jc w:val="right"/>
              <w:rPr>
                <w:lang w:bidi="fa-IR"/>
              </w:rPr>
            </w:pPr>
            <w:r>
              <w:rPr>
                <w:lang w:bidi="fa-IR"/>
              </w:rPr>
              <w:t>Stringency Level  3</w:t>
            </w:r>
          </w:p>
        </w:tc>
        <w:tc>
          <w:tcPr>
            <w:tcW w:w="1276" w:type="dxa"/>
            <w:tcBorders>
              <w:bottom w:val="single" w:sz="8" w:space="0" w:color="FFFFFF" w:themeColor="background1"/>
            </w:tcBorders>
            <w:shd w:val="clear" w:color="auto" w:fill="6F6652"/>
          </w:tcPr>
          <w:p w14:paraId="5F185B95" w14:textId="58248C8A" w:rsidR="006B5F44" w:rsidRDefault="00F0438A">
            <w:pPr>
              <w:pStyle w:val="TableTextColumnHeading"/>
              <w:jc w:val="right"/>
              <w:rPr>
                <w:lang w:bidi="fa-IR"/>
              </w:rPr>
            </w:pPr>
            <w:r>
              <w:rPr>
                <w:lang w:bidi="fa-IR"/>
              </w:rPr>
              <w:t>Mandatory EV charging facilities</w:t>
            </w:r>
          </w:p>
        </w:tc>
      </w:tr>
      <w:tr w:rsidR="00DC36B2" w14:paraId="5EB18DE1" w14:textId="2780952E" w:rsidTr="003C0C1A">
        <w:tc>
          <w:tcPr>
            <w:tcW w:w="311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91C09D" w14:textId="77777777" w:rsidR="00DC36B2" w:rsidRDefault="00DC36B2" w:rsidP="00DC36B2">
            <w:pPr>
              <w:pStyle w:val="TableTextEntries"/>
              <w:rPr>
                <w:lang w:bidi="fa-IR"/>
              </w:rPr>
            </w:pPr>
            <w:r>
              <w:rPr>
                <w:lang w:bidi="fa-IR"/>
              </w:rPr>
              <w:t>Increased DTS stringency for envelope and services</w:t>
            </w:r>
          </w:p>
        </w:tc>
        <w:tc>
          <w:tcPr>
            <w:tcW w:w="12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4973062" w14:textId="77777777" w:rsidR="00DC36B2" w:rsidRDefault="00DC36B2" w:rsidP="00DC36B2">
            <w:pPr>
              <w:pStyle w:val="TableTextEntries"/>
              <w:jc w:val="right"/>
              <w:rPr>
                <w:lang w:bidi="fa-IR"/>
              </w:rPr>
            </w:pPr>
            <w:r>
              <w:rPr>
                <w:rFonts w:ascii="Wingdings" w:eastAsia="Wingdings" w:hAnsi="Wingdings" w:cs="Wingdings"/>
                <w:lang w:bidi="fa-IR"/>
              </w:rPr>
              <w:t>ü</w:t>
            </w:r>
          </w:p>
        </w:tc>
        <w:tc>
          <w:tcPr>
            <w:tcW w:w="12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728086C" w14:textId="77777777" w:rsidR="00DC36B2" w:rsidRPr="00DF1AC7" w:rsidRDefault="00DC36B2" w:rsidP="00DC36B2">
            <w:pPr>
              <w:pStyle w:val="TableTextEntries"/>
              <w:jc w:val="right"/>
              <w:rPr>
                <w:lang w:bidi="fa-IR"/>
              </w:rPr>
            </w:pPr>
            <w:r w:rsidRPr="00DF1AC7">
              <w:rPr>
                <w:rFonts w:ascii="Wingdings" w:eastAsia="Wingdings" w:hAnsi="Wingdings" w:cs="Wingdings"/>
                <w:lang w:bidi="fa-IR"/>
              </w:rPr>
              <w:t>ü</w:t>
            </w:r>
          </w:p>
        </w:tc>
        <w:tc>
          <w:tcPr>
            <w:tcW w:w="127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D81BDB" w14:textId="77777777" w:rsidR="00DC36B2" w:rsidRPr="00DF1AC7" w:rsidRDefault="00DC36B2" w:rsidP="00DC36B2">
            <w:pPr>
              <w:pStyle w:val="TableTextEntries"/>
              <w:jc w:val="right"/>
              <w:rPr>
                <w:lang w:bidi="fa-IR"/>
              </w:rPr>
            </w:pPr>
            <w:r w:rsidRPr="00DF1AC7">
              <w:rPr>
                <w:rFonts w:ascii="Wingdings" w:eastAsia="Wingdings" w:hAnsi="Wingdings" w:cs="Wingdings"/>
                <w:lang w:bidi="fa-IR"/>
              </w:rPr>
              <w:t>ü</w:t>
            </w:r>
          </w:p>
        </w:tc>
        <w:tc>
          <w:tcPr>
            <w:tcW w:w="1276" w:type="dxa"/>
            <w:tcBorders>
              <w:top w:val="single" w:sz="8" w:space="0" w:color="FFFFFF" w:themeColor="background1"/>
              <w:bottom w:val="single" w:sz="8" w:space="0" w:color="FFFFFF" w:themeColor="background1"/>
            </w:tcBorders>
            <w:shd w:val="clear" w:color="auto" w:fill="E9E8E5" w:themeFill="background2"/>
          </w:tcPr>
          <w:p w14:paraId="0AE7C973" w14:textId="07B6E6C3" w:rsidR="00DC36B2" w:rsidRPr="00DF1AC7" w:rsidRDefault="00DC36B2" w:rsidP="00DC36B2">
            <w:pPr>
              <w:pStyle w:val="TableTextEntries"/>
              <w:jc w:val="right"/>
              <w:rPr>
                <w:lang w:bidi="fa-IR"/>
              </w:rPr>
            </w:pPr>
            <w:r>
              <w:rPr>
                <w:rFonts w:ascii="Wingdings" w:eastAsia="Wingdings" w:hAnsi="Wingdings" w:cs="Wingdings"/>
                <w:lang w:bidi="fa-IR"/>
              </w:rPr>
              <w:t>û</w:t>
            </w:r>
          </w:p>
        </w:tc>
      </w:tr>
      <w:tr w:rsidR="00DC36B2" w14:paraId="02E6705E" w14:textId="43A155B0" w:rsidTr="003C0C1A">
        <w:tc>
          <w:tcPr>
            <w:tcW w:w="311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EAC045D" w14:textId="77777777" w:rsidR="00DC36B2" w:rsidRDefault="00DC36B2" w:rsidP="00DC36B2">
            <w:pPr>
              <w:pStyle w:val="TableTextEntries"/>
              <w:rPr>
                <w:lang w:bidi="fa-IR"/>
              </w:rPr>
            </w:pPr>
            <w:r>
              <w:rPr>
                <w:lang w:bidi="fa-IR"/>
              </w:rPr>
              <w:t>Mandatory on-site PV</w:t>
            </w:r>
          </w:p>
        </w:tc>
        <w:tc>
          <w:tcPr>
            <w:tcW w:w="12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3051DB" w14:textId="77777777" w:rsidR="00DC36B2" w:rsidRDefault="00DC36B2" w:rsidP="00DC36B2">
            <w:pPr>
              <w:pStyle w:val="TableTextEntries"/>
              <w:jc w:val="right"/>
              <w:rPr>
                <w:lang w:bidi="fa-IR"/>
              </w:rPr>
            </w:pPr>
            <w:r>
              <w:rPr>
                <w:rFonts w:ascii="Wingdings" w:eastAsia="Wingdings" w:hAnsi="Wingdings" w:cs="Wingdings"/>
                <w:lang w:bidi="fa-IR"/>
              </w:rPr>
              <w:t>û</w:t>
            </w:r>
          </w:p>
        </w:tc>
        <w:tc>
          <w:tcPr>
            <w:tcW w:w="12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0C111F4" w14:textId="77777777" w:rsidR="00DC36B2" w:rsidRDefault="00DC36B2" w:rsidP="00DC36B2">
            <w:pPr>
              <w:pStyle w:val="TableTextEntries"/>
              <w:jc w:val="right"/>
              <w:rPr>
                <w:lang w:bidi="fa-IR"/>
              </w:rPr>
            </w:pPr>
            <w:r>
              <w:rPr>
                <w:rFonts w:ascii="Wingdings" w:eastAsia="Wingdings" w:hAnsi="Wingdings" w:cs="Wingdings"/>
                <w:lang w:bidi="fa-IR"/>
              </w:rPr>
              <w:t>ü</w:t>
            </w:r>
          </w:p>
        </w:tc>
        <w:tc>
          <w:tcPr>
            <w:tcW w:w="127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9DA9DD9" w14:textId="77777777" w:rsidR="00DC36B2" w:rsidRDefault="00DC36B2" w:rsidP="00DC36B2">
            <w:pPr>
              <w:pStyle w:val="TableTextEntries"/>
              <w:jc w:val="right"/>
              <w:rPr>
                <w:lang w:bidi="fa-IR"/>
              </w:rPr>
            </w:pPr>
            <w:r>
              <w:rPr>
                <w:rFonts w:ascii="Wingdings" w:eastAsia="Wingdings" w:hAnsi="Wingdings" w:cs="Wingdings"/>
                <w:lang w:bidi="fa-IR"/>
              </w:rPr>
              <w:t>ü</w:t>
            </w:r>
          </w:p>
        </w:tc>
        <w:tc>
          <w:tcPr>
            <w:tcW w:w="1276" w:type="dxa"/>
            <w:tcBorders>
              <w:top w:val="single" w:sz="8" w:space="0" w:color="FFFFFF" w:themeColor="background1"/>
              <w:bottom w:val="single" w:sz="8" w:space="0" w:color="FFFFFF" w:themeColor="background1"/>
            </w:tcBorders>
            <w:shd w:val="clear" w:color="auto" w:fill="E9E8E5" w:themeFill="background2"/>
          </w:tcPr>
          <w:p w14:paraId="1F611DB3" w14:textId="0EBF7BD1" w:rsidR="00DC36B2" w:rsidRDefault="00DC36B2" w:rsidP="00DC36B2">
            <w:pPr>
              <w:pStyle w:val="TableTextEntries"/>
              <w:jc w:val="right"/>
              <w:rPr>
                <w:lang w:bidi="fa-IR"/>
              </w:rPr>
            </w:pPr>
            <w:r>
              <w:rPr>
                <w:rFonts w:ascii="Wingdings" w:eastAsia="Wingdings" w:hAnsi="Wingdings" w:cs="Wingdings"/>
                <w:lang w:bidi="fa-IR"/>
              </w:rPr>
              <w:t>û</w:t>
            </w:r>
          </w:p>
        </w:tc>
      </w:tr>
      <w:tr w:rsidR="00DC36B2" w14:paraId="707B8CD1" w14:textId="36A37165" w:rsidTr="003C0C1A">
        <w:tc>
          <w:tcPr>
            <w:tcW w:w="311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717427" w14:textId="77777777" w:rsidR="00DC36B2" w:rsidRDefault="00DC36B2" w:rsidP="00DC36B2">
            <w:pPr>
              <w:pStyle w:val="TableTextEntries"/>
              <w:rPr>
                <w:lang w:bidi="fa-IR"/>
              </w:rPr>
            </w:pPr>
            <w:r>
              <w:rPr>
                <w:lang w:bidi="fa-IR"/>
              </w:rPr>
              <w:t>Additional PV requirement to offset gas appliance</w:t>
            </w:r>
          </w:p>
        </w:tc>
        <w:tc>
          <w:tcPr>
            <w:tcW w:w="12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481EA3D" w14:textId="77777777" w:rsidR="00DC36B2" w:rsidRDefault="00DC36B2" w:rsidP="00DC36B2">
            <w:pPr>
              <w:pStyle w:val="TableTextEntries"/>
              <w:jc w:val="right"/>
              <w:rPr>
                <w:lang w:bidi="fa-IR"/>
              </w:rPr>
            </w:pPr>
            <w:r>
              <w:rPr>
                <w:rFonts w:ascii="Wingdings" w:eastAsia="Wingdings" w:hAnsi="Wingdings" w:cs="Wingdings"/>
                <w:lang w:bidi="fa-IR"/>
              </w:rPr>
              <w:t>û</w:t>
            </w:r>
          </w:p>
        </w:tc>
        <w:tc>
          <w:tcPr>
            <w:tcW w:w="12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704107B" w14:textId="77777777" w:rsidR="00DC36B2" w:rsidRDefault="00DC36B2" w:rsidP="00DC36B2">
            <w:pPr>
              <w:pStyle w:val="TableTextEntries"/>
              <w:jc w:val="right"/>
              <w:rPr>
                <w:lang w:bidi="fa-IR"/>
              </w:rPr>
            </w:pPr>
            <w:r>
              <w:rPr>
                <w:rFonts w:ascii="Wingdings" w:eastAsia="Wingdings" w:hAnsi="Wingdings" w:cs="Wingdings"/>
                <w:lang w:bidi="fa-IR"/>
              </w:rPr>
              <w:t>û</w:t>
            </w:r>
          </w:p>
        </w:tc>
        <w:tc>
          <w:tcPr>
            <w:tcW w:w="127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F93539" w14:textId="77777777" w:rsidR="00DC36B2" w:rsidRDefault="00DC36B2" w:rsidP="00DC36B2">
            <w:pPr>
              <w:pStyle w:val="TableTextEntries"/>
              <w:jc w:val="right"/>
              <w:rPr>
                <w:lang w:bidi="fa-IR"/>
              </w:rPr>
            </w:pPr>
            <w:r>
              <w:rPr>
                <w:rFonts w:ascii="Wingdings" w:eastAsia="Wingdings" w:hAnsi="Wingdings" w:cs="Wingdings"/>
                <w:lang w:bidi="fa-IR"/>
              </w:rPr>
              <w:t>ü</w:t>
            </w:r>
          </w:p>
        </w:tc>
        <w:tc>
          <w:tcPr>
            <w:tcW w:w="1276" w:type="dxa"/>
            <w:tcBorders>
              <w:top w:val="single" w:sz="8" w:space="0" w:color="FFFFFF" w:themeColor="background1"/>
              <w:bottom w:val="single" w:sz="8" w:space="0" w:color="FFFFFF" w:themeColor="background1"/>
            </w:tcBorders>
            <w:shd w:val="clear" w:color="auto" w:fill="E9E8E5" w:themeFill="background2"/>
          </w:tcPr>
          <w:p w14:paraId="37420B8E" w14:textId="62FDC482" w:rsidR="00DC36B2" w:rsidRDefault="00DC36B2" w:rsidP="00DC36B2">
            <w:pPr>
              <w:pStyle w:val="TableTextEntries"/>
              <w:jc w:val="right"/>
              <w:rPr>
                <w:lang w:bidi="fa-IR"/>
              </w:rPr>
            </w:pPr>
            <w:r>
              <w:rPr>
                <w:rFonts w:ascii="Wingdings" w:eastAsia="Wingdings" w:hAnsi="Wingdings" w:cs="Wingdings"/>
                <w:lang w:bidi="fa-IR"/>
              </w:rPr>
              <w:t>û</w:t>
            </w:r>
          </w:p>
        </w:tc>
      </w:tr>
      <w:tr w:rsidR="00DC36B2" w14:paraId="0ABCC87E" w14:textId="160E20BC" w:rsidTr="003C0C1A">
        <w:tc>
          <w:tcPr>
            <w:tcW w:w="311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D62835" w14:textId="77777777" w:rsidR="00DC36B2" w:rsidRDefault="00DC36B2" w:rsidP="00DC36B2">
            <w:pPr>
              <w:pStyle w:val="TableTextEntries"/>
              <w:rPr>
                <w:lang w:bidi="fa-IR"/>
              </w:rPr>
            </w:pPr>
            <w:r>
              <w:rPr>
                <w:lang w:bidi="fa-IR"/>
              </w:rPr>
              <w:t>Electrification ‘readiness’ requirement</w:t>
            </w:r>
          </w:p>
        </w:tc>
        <w:tc>
          <w:tcPr>
            <w:tcW w:w="12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D163E1" w14:textId="77777777" w:rsidR="00DC36B2" w:rsidRDefault="00DC36B2" w:rsidP="00DC36B2">
            <w:pPr>
              <w:pStyle w:val="TableTextEntries"/>
              <w:jc w:val="right"/>
              <w:rPr>
                <w:lang w:bidi="fa-IR"/>
              </w:rPr>
            </w:pPr>
            <w:r>
              <w:rPr>
                <w:rFonts w:ascii="Wingdings" w:eastAsia="Wingdings" w:hAnsi="Wingdings" w:cs="Wingdings"/>
                <w:lang w:bidi="fa-IR"/>
              </w:rPr>
              <w:t>û</w:t>
            </w:r>
          </w:p>
        </w:tc>
        <w:tc>
          <w:tcPr>
            <w:tcW w:w="12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3F1746B" w14:textId="77777777" w:rsidR="00DC36B2" w:rsidRDefault="00DC36B2" w:rsidP="00DC36B2">
            <w:pPr>
              <w:pStyle w:val="TableTextEntries"/>
              <w:jc w:val="right"/>
              <w:rPr>
                <w:lang w:bidi="fa-IR"/>
              </w:rPr>
            </w:pPr>
            <w:r>
              <w:rPr>
                <w:rFonts w:ascii="Wingdings" w:eastAsia="Wingdings" w:hAnsi="Wingdings" w:cs="Wingdings"/>
                <w:lang w:bidi="fa-IR"/>
              </w:rPr>
              <w:t>û</w:t>
            </w:r>
          </w:p>
        </w:tc>
        <w:tc>
          <w:tcPr>
            <w:tcW w:w="127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10C2A3A" w14:textId="77777777" w:rsidR="00DC36B2" w:rsidRDefault="00DC36B2" w:rsidP="00DC36B2">
            <w:pPr>
              <w:pStyle w:val="TableTextEntries"/>
              <w:jc w:val="right"/>
              <w:rPr>
                <w:lang w:bidi="fa-IR"/>
              </w:rPr>
            </w:pPr>
            <w:r>
              <w:rPr>
                <w:rFonts w:ascii="Wingdings" w:eastAsia="Wingdings" w:hAnsi="Wingdings" w:cs="Wingdings"/>
                <w:lang w:bidi="fa-IR"/>
              </w:rPr>
              <w:t>ü</w:t>
            </w:r>
          </w:p>
        </w:tc>
        <w:tc>
          <w:tcPr>
            <w:tcW w:w="1276" w:type="dxa"/>
            <w:tcBorders>
              <w:top w:val="single" w:sz="8" w:space="0" w:color="FFFFFF" w:themeColor="background1"/>
              <w:bottom w:val="single" w:sz="8" w:space="0" w:color="FFFFFF" w:themeColor="background1"/>
            </w:tcBorders>
            <w:shd w:val="clear" w:color="auto" w:fill="E9E8E5" w:themeFill="background2"/>
          </w:tcPr>
          <w:p w14:paraId="370A85B1" w14:textId="3C68A949" w:rsidR="00DC36B2" w:rsidRDefault="00DC36B2" w:rsidP="00DC36B2">
            <w:pPr>
              <w:pStyle w:val="TableTextEntries"/>
              <w:jc w:val="right"/>
              <w:rPr>
                <w:lang w:bidi="fa-IR"/>
              </w:rPr>
            </w:pPr>
            <w:r>
              <w:rPr>
                <w:rFonts w:ascii="Wingdings" w:eastAsia="Wingdings" w:hAnsi="Wingdings" w:cs="Wingdings"/>
                <w:lang w:bidi="fa-IR"/>
              </w:rPr>
              <w:t>û</w:t>
            </w:r>
          </w:p>
        </w:tc>
      </w:tr>
      <w:tr w:rsidR="00DC36B2" w14:paraId="565010F0" w14:textId="39F32A7D" w:rsidTr="003C0C1A">
        <w:tc>
          <w:tcPr>
            <w:tcW w:w="3119" w:type="dxa"/>
            <w:tcBorders>
              <w:top w:val="single" w:sz="8" w:space="0" w:color="FFFFFF" w:themeColor="background1"/>
              <w:bottom w:val="single" w:sz="6" w:space="0" w:color="6F6652"/>
            </w:tcBorders>
            <w:shd w:val="clear" w:color="auto" w:fill="E9E8E5" w:themeFill="background2"/>
            <w:tcMar>
              <w:left w:w="57" w:type="dxa"/>
              <w:right w:w="57" w:type="dxa"/>
            </w:tcMar>
          </w:tcPr>
          <w:p w14:paraId="489A93F5" w14:textId="088D0906" w:rsidR="00DC36B2" w:rsidRDefault="00DC36B2" w:rsidP="00DC36B2">
            <w:pPr>
              <w:pStyle w:val="TableTextEntries"/>
              <w:rPr>
                <w:lang w:bidi="fa-IR"/>
              </w:rPr>
            </w:pPr>
            <w:r>
              <w:rPr>
                <w:lang w:bidi="fa-IR"/>
              </w:rPr>
              <w:t>Mandatory requirement for EV charging facilities</w:t>
            </w:r>
          </w:p>
        </w:tc>
        <w:tc>
          <w:tcPr>
            <w:tcW w:w="1275" w:type="dxa"/>
            <w:tcBorders>
              <w:top w:val="single" w:sz="8" w:space="0" w:color="FFFFFF" w:themeColor="background1"/>
              <w:bottom w:val="single" w:sz="6" w:space="0" w:color="6F6652"/>
            </w:tcBorders>
            <w:shd w:val="clear" w:color="auto" w:fill="E9E8E5" w:themeFill="background2"/>
            <w:tcMar>
              <w:left w:w="57" w:type="dxa"/>
              <w:right w:w="57" w:type="dxa"/>
            </w:tcMar>
          </w:tcPr>
          <w:p w14:paraId="6D2AF73E" w14:textId="77777777" w:rsidR="00DC36B2" w:rsidRDefault="00DC36B2" w:rsidP="00DC36B2">
            <w:pPr>
              <w:pStyle w:val="TableTextEntries"/>
              <w:jc w:val="right"/>
              <w:rPr>
                <w:lang w:bidi="fa-IR"/>
              </w:rPr>
            </w:pPr>
          </w:p>
        </w:tc>
        <w:tc>
          <w:tcPr>
            <w:tcW w:w="1275" w:type="dxa"/>
            <w:tcBorders>
              <w:top w:val="single" w:sz="8" w:space="0" w:color="FFFFFF" w:themeColor="background1"/>
              <w:bottom w:val="single" w:sz="6" w:space="0" w:color="6F6652"/>
            </w:tcBorders>
            <w:shd w:val="clear" w:color="auto" w:fill="E9E8E5" w:themeFill="background2"/>
            <w:tcMar>
              <w:left w:w="57" w:type="dxa"/>
              <w:right w:w="57" w:type="dxa"/>
            </w:tcMar>
          </w:tcPr>
          <w:p w14:paraId="245BEC2D" w14:textId="77777777" w:rsidR="00DC36B2" w:rsidRDefault="00DC36B2" w:rsidP="00DC36B2">
            <w:pPr>
              <w:pStyle w:val="TableTextEntries"/>
              <w:jc w:val="right"/>
              <w:rPr>
                <w:lang w:bidi="fa-IR"/>
              </w:rPr>
            </w:pPr>
          </w:p>
        </w:tc>
        <w:tc>
          <w:tcPr>
            <w:tcW w:w="1276" w:type="dxa"/>
            <w:tcBorders>
              <w:top w:val="single" w:sz="8" w:space="0" w:color="FFFFFF" w:themeColor="background1"/>
              <w:bottom w:val="single" w:sz="6" w:space="0" w:color="6F6652"/>
            </w:tcBorders>
            <w:shd w:val="clear" w:color="auto" w:fill="E9E8E5" w:themeFill="background2"/>
            <w:tcMar>
              <w:left w:w="57" w:type="dxa"/>
              <w:right w:w="57" w:type="dxa"/>
            </w:tcMar>
          </w:tcPr>
          <w:p w14:paraId="75804E7D" w14:textId="77777777" w:rsidR="00DC36B2" w:rsidRDefault="00DC36B2" w:rsidP="00DC36B2">
            <w:pPr>
              <w:pStyle w:val="TableTextEntries"/>
              <w:jc w:val="right"/>
              <w:rPr>
                <w:lang w:bidi="fa-IR"/>
              </w:rPr>
            </w:pPr>
          </w:p>
        </w:tc>
        <w:tc>
          <w:tcPr>
            <w:tcW w:w="1276" w:type="dxa"/>
            <w:tcBorders>
              <w:top w:val="single" w:sz="8" w:space="0" w:color="FFFFFF" w:themeColor="background1"/>
              <w:bottom w:val="single" w:sz="6" w:space="0" w:color="6F6652"/>
            </w:tcBorders>
            <w:shd w:val="clear" w:color="auto" w:fill="E9E8E5" w:themeFill="background2"/>
          </w:tcPr>
          <w:p w14:paraId="40B1BF7F" w14:textId="16332B3E" w:rsidR="00DC36B2" w:rsidRDefault="00DC36B2" w:rsidP="00DC36B2">
            <w:pPr>
              <w:pStyle w:val="TableTextEntries"/>
              <w:jc w:val="right"/>
              <w:rPr>
                <w:lang w:bidi="fa-IR"/>
              </w:rPr>
            </w:pPr>
            <w:r w:rsidRPr="00DF1AC7">
              <w:rPr>
                <w:rFonts w:ascii="Wingdings" w:eastAsia="Wingdings" w:hAnsi="Wingdings" w:cs="Wingdings"/>
                <w:lang w:bidi="fa-IR"/>
              </w:rPr>
              <w:t>ü</w:t>
            </w:r>
          </w:p>
        </w:tc>
      </w:tr>
    </w:tbl>
    <w:p w14:paraId="07643FF3" w14:textId="77777777" w:rsidR="00767FC0" w:rsidRDefault="00767FC0" w:rsidP="00767FC0">
      <w:pPr>
        <w:pStyle w:val="Source"/>
        <w:rPr>
          <w:lang w:bidi="fa-IR"/>
        </w:rPr>
      </w:pPr>
      <w:r w:rsidRPr="00E461DF">
        <w:rPr>
          <w:i/>
          <w:lang w:bidi="fa-IR"/>
        </w:rPr>
        <w:t>Source:</w:t>
      </w:r>
      <w:r>
        <w:rPr>
          <w:lang w:bidi="fa-IR"/>
        </w:rPr>
        <w:t xml:space="preserve"> ABCB.</w:t>
      </w:r>
    </w:p>
    <w:p w14:paraId="2BF60D45" w14:textId="3BF6F1FA" w:rsidR="00767FC0" w:rsidRDefault="00DC36B2" w:rsidP="00767FC0">
      <w:pPr>
        <w:pStyle w:val="Heading4"/>
        <w:numPr>
          <w:ilvl w:val="0"/>
          <w:numId w:val="0"/>
        </w:numPr>
        <w:rPr>
          <w:lang w:bidi="fa-IR"/>
        </w:rPr>
      </w:pPr>
      <w:r>
        <w:rPr>
          <w:lang w:bidi="fa-IR"/>
        </w:rPr>
        <w:t xml:space="preserve">Stringency Level </w:t>
      </w:r>
      <w:r w:rsidR="00767FC0">
        <w:rPr>
          <w:lang w:bidi="fa-IR"/>
        </w:rPr>
        <w:t>1: Cost-effective energy efficiency without mandated on-site PV</w:t>
      </w:r>
    </w:p>
    <w:p w14:paraId="1967C831" w14:textId="78448772" w:rsidR="00767FC0" w:rsidRPr="00844A6E" w:rsidRDefault="00767FC0" w:rsidP="00767FC0">
      <w:pPr>
        <w:pStyle w:val="BodyText"/>
        <w:rPr>
          <w:szCs w:val="22"/>
          <w:lang w:bidi="fa-IR"/>
        </w:rPr>
      </w:pPr>
      <w:r w:rsidRPr="00844A6E">
        <w:rPr>
          <w:szCs w:val="22"/>
          <w:lang w:bidi="fa-IR"/>
        </w:rPr>
        <w:t>This</w:t>
      </w:r>
      <w:r w:rsidR="003C0C1A">
        <w:rPr>
          <w:szCs w:val="22"/>
          <w:lang w:bidi="fa-IR"/>
        </w:rPr>
        <w:t xml:space="preserve"> </w:t>
      </w:r>
      <w:r w:rsidRPr="00844A6E">
        <w:rPr>
          <w:szCs w:val="22"/>
          <w:lang w:bidi="fa-IR"/>
        </w:rPr>
        <w:t>Stringency Level 1 includes energy efficiency provisions for better performance building envelop and equipment.</w:t>
      </w:r>
    </w:p>
    <w:p w14:paraId="3D77B526" w14:textId="77777777" w:rsidR="00767FC0" w:rsidRPr="00844A6E" w:rsidRDefault="00767FC0" w:rsidP="00767FC0">
      <w:pPr>
        <w:pStyle w:val="BodyText"/>
        <w:rPr>
          <w:szCs w:val="22"/>
          <w:lang w:bidi="fa-IR"/>
        </w:rPr>
      </w:pPr>
      <w:r w:rsidRPr="00844A6E">
        <w:rPr>
          <w:szCs w:val="22"/>
          <w:lang w:bidi="fa-IR"/>
        </w:rPr>
        <w:t>This option is expected to reduce energy consumption of a building by between 20 to 50 per cent in comparison to NCC 2022 provisions. In isolation it is insufficient for Australia’s 2050 Net Zero target.</w:t>
      </w:r>
    </w:p>
    <w:p w14:paraId="346D593C" w14:textId="4634FC7E" w:rsidR="00767FC0" w:rsidRDefault="00FA3306" w:rsidP="00767FC0">
      <w:pPr>
        <w:pStyle w:val="Heading4"/>
        <w:numPr>
          <w:ilvl w:val="0"/>
          <w:numId w:val="0"/>
        </w:numPr>
        <w:rPr>
          <w:lang w:bidi="fa-IR"/>
        </w:rPr>
      </w:pPr>
      <w:r>
        <w:rPr>
          <w:lang w:bidi="fa-IR"/>
        </w:rPr>
        <w:t xml:space="preserve">Stringency Level </w:t>
      </w:r>
      <w:r w:rsidR="00767FC0">
        <w:rPr>
          <w:lang w:bidi="fa-IR"/>
        </w:rPr>
        <w:t xml:space="preserve"> 2: Cost-effective energy efficiency with mandatory on-site PV </w:t>
      </w:r>
    </w:p>
    <w:p w14:paraId="620511E2" w14:textId="159B6058" w:rsidR="00767FC0" w:rsidRPr="00844A6E" w:rsidRDefault="00767FC0" w:rsidP="00767FC0">
      <w:pPr>
        <w:pStyle w:val="BodyText"/>
        <w:rPr>
          <w:szCs w:val="22"/>
          <w:lang w:bidi="fa-IR"/>
        </w:rPr>
      </w:pPr>
      <w:r w:rsidRPr="00844A6E">
        <w:rPr>
          <w:szCs w:val="22"/>
          <w:lang w:bidi="fa-IR"/>
        </w:rPr>
        <w:t>This option includes mandatory on-site PV system in addition to 1Stringency Level 1. It requires a PV system size to cover the majority of buildings’ available roof space.</w:t>
      </w:r>
    </w:p>
    <w:p w14:paraId="778C090E" w14:textId="77777777" w:rsidR="00767FC0" w:rsidRPr="00844A6E" w:rsidRDefault="00767FC0" w:rsidP="00767FC0">
      <w:pPr>
        <w:pStyle w:val="BodyText"/>
        <w:rPr>
          <w:szCs w:val="22"/>
          <w:lang w:bidi="fa-IR"/>
        </w:rPr>
      </w:pPr>
      <w:r w:rsidRPr="00844A6E">
        <w:rPr>
          <w:szCs w:val="22"/>
          <w:lang w:bidi="fa-IR"/>
        </w:rPr>
        <w:t xml:space="preserve">Performance Requirements will allow the use of other forms of on-site renewables. </w:t>
      </w:r>
    </w:p>
    <w:p w14:paraId="524444E3" w14:textId="77777777" w:rsidR="00767FC0" w:rsidRPr="00844A6E" w:rsidRDefault="00767FC0" w:rsidP="00767FC0">
      <w:pPr>
        <w:pStyle w:val="BodyText"/>
        <w:rPr>
          <w:szCs w:val="22"/>
          <w:lang w:bidi="fa-IR"/>
        </w:rPr>
      </w:pPr>
      <w:r w:rsidRPr="00844A6E">
        <w:rPr>
          <w:szCs w:val="22"/>
          <w:lang w:bidi="fa-IR"/>
        </w:rPr>
        <w:t>Battery storage is not considered as it is found not be cost-effective as an individual measure for all stringency levels.</w:t>
      </w:r>
      <w:r w:rsidRPr="00E12ABC">
        <w:rPr>
          <w:rStyle w:val="FootnoteReference"/>
        </w:rPr>
        <w:footnoteReference w:id="90"/>
      </w:r>
    </w:p>
    <w:p w14:paraId="20139A66" w14:textId="77777777" w:rsidR="00767FC0" w:rsidRPr="00844A6E" w:rsidRDefault="00767FC0" w:rsidP="00767FC0">
      <w:pPr>
        <w:pStyle w:val="BodyText"/>
        <w:rPr>
          <w:szCs w:val="22"/>
          <w:lang w:bidi="fa-IR"/>
        </w:rPr>
      </w:pPr>
      <w:r w:rsidRPr="00844A6E">
        <w:rPr>
          <w:szCs w:val="22"/>
          <w:lang w:bidi="fa-IR"/>
        </w:rPr>
        <w:t xml:space="preserve">According to the energy modelling that assesses the energy use, </w:t>
      </w:r>
      <w:r w:rsidRPr="00844A6E">
        <w:rPr>
          <w:szCs w:val="22"/>
        </w:rPr>
        <w:t xml:space="preserve">GHG </w:t>
      </w:r>
      <w:r w:rsidRPr="00844A6E">
        <w:rPr>
          <w:szCs w:val="22"/>
          <w:lang w:bidi="fa-IR"/>
        </w:rPr>
        <w:t>emissions and cost implications, mandatory onsite PV would be beneficial, but mandatory onsite battery</w:t>
      </w:r>
      <w:r w:rsidRPr="00372F7E">
        <w:rPr>
          <w:lang w:bidi="fa-IR"/>
        </w:rPr>
        <w:t xml:space="preserve"> </w:t>
      </w:r>
      <w:r w:rsidRPr="00844A6E">
        <w:rPr>
          <w:szCs w:val="22"/>
          <w:lang w:bidi="fa-IR"/>
        </w:rPr>
        <w:t>storage would not be beneficial. Further detail on this investigation is provided in the section below on ‘Summary of changes to provisions’.</w:t>
      </w:r>
    </w:p>
    <w:p w14:paraId="2B16FE0B" w14:textId="77777777" w:rsidR="00767FC0" w:rsidRPr="00844A6E" w:rsidRDefault="00767FC0" w:rsidP="00767FC0">
      <w:pPr>
        <w:pStyle w:val="BodyText"/>
        <w:rPr>
          <w:szCs w:val="22"/>
          <w:lang w:bidi="fa-IR"/>
        </w:rPr>
      </w:pPr>
      <w:r w:rsidRPr="00844A6E">
        <w:rPr>
          <w:szCs w:val="22"/>
          <w:lang w:bidi="fa-IR"/>
        </w:rPr>
        <w:t>Buildings that voluntarily adopt an all-electric approach have the potential to approach a near Net Zero level. However, it is not the case for dual-fuel buildings.</w:t>
      </w:r>
    </w:p>
    <w:p w14:paraId="2C1CAE4F" w14:textId="20ECC508" w:rsidR="00767FC0" w:rsidRPr="005E3459" w:rsidRDefault="00BC3C9E" w:rsidP="00767FC0">
      <w:pPr>
        <w:pStyle w:val="Heading4"/>
        <w:numPr>
          <w:ilvl w:val="0"/>
          <w:numId w:val="0"/>
        </w:numPr>
        <w:rPr>
          <w:lang w:bidi="fa-IR"/>
        </w:rPr>
      </w:pPr>
      <w:r>
        <w:rPr>
          <w:lang w:bidi="fa-IR"/>
        </w:rPr>
        <w:t xml:space="preserve">Stringency Level </w:t>
      </w:r>
      <w:r w:rsidR="00767FC0">
        <w:rPr>
          <w:lang w:bidi="fa-IR"/>
        </w:rPr>
        <w:t xml:space="preserve"> 3: Least-</w:t>
      </w:r>
      <w:r w:rsidR="00767FC0" w:rsidRPr="005112BC">
        <w:t xml:space="preserve"> </w:t>
      </w:r>
      <w:r w:rsidR="00767FC0" w:rsidRPr="005112BC">
        <w:rPr>
          <w:lang w:bidi="fa-IR"/>
        </w:rPr>
        <w:t xml:space="preserve">cost </w:t>
      </w:r>
      <w:r w:rsidR="00767FC0">
        <w:rPr>
          <w:lang w:bidi="fa-IR"/>
        </w:rPr>
        <w:t xml:space="preserve">net zero carbon ready </w:t>
      </w:r>
      <w:r w:rsidR="00767FC0" w:rsidRPr="005112BC">
        <w:rPr>
          <w:lang w:bidi="fa-IR"/>
        </w:rPr>
        <w:t>buildings</w:t>
      </w:r>
    </w:p>
    <w:p w14:paraId="6357DD05" w14:textId="364F9AC0" w:rsidR="00767FC0" w:rsidRPr="00844A6E" w:rsidRDefault="00767FC0" w:rsidP="00767FC0">
      <w:pPr>
        <w:pStyle w:val="BodyText"/>
        <w:rPr>
          <w:szCs w:val="22"/>
          <w:lang w:bidi="fa-IR"/>
        </w:rPr>
      </w:pPr>
      <w:r w:rsidRPr="00844A6E">
        <w:rPr>
          <w:szCs w:val="22"/>
          <w:lang w:bidi="fa-IR"/>
        </w:rPr>
        <w:t xml:space="preserve">This option extends </w:t>
      </w:r>
      <w:r w:rsidR="00615653">
        <w:rPr>
          <w:szCs w:val="22"/>
          <w:lang w:bidi="fa-IR"/>
        </w:rPr>
        <w:t>Stringency Level</w:t>
      </w:r>
      <w:r w:rsidR="00615653" w:rsidRPr="00844A6E">
        <w:rPr>
          <w:szCs w:val="22"/>
          <w:lang w:bidi="fa-IR"/>
        </w:rPr>
        <w:t xml:space="preserve"> </w:t>
      </w:r>
      <w:r w:rsidRPr="00844A6E">
        <w:rPr>
          <w:szCs w:val="22"/>
          <w:lang w:bidi="fa-IR"/>
        </w:rPr>
        <w:t xml:space="preserve">2 to require additional PV to offset emissions from gas appliances compared with all-electric equivalent and </w:t>
      </w:r>
      <w:r>
        <w:rPr>
          <w:szCs w:val="22"/>
          <w:lang w:bidi="fa-IR"/>
        </w:rPr>
        <w:t>requires</w:t>
      </w:r>
      <w:r w:rsidRPr="00844A6E">
        <w:rPr>
          <w:szCs w:val="22"/>
          <w:lang w:bidi="fa-IR"/>
        </w:rPr>
        <w:t xml:space="preserve"> electrification readiness, for example gas-powered space heating and domestic hot water systems. This option potentially could lead to higher costs for buildings with gas appliances than full electric buildings. Also considering limitations due to roof size, or orientations, this could drive those buildings to be transitioned to electric, although the proposed changes do not mandate electric buildings.</w:t>
      </w:r>
    </w:p>
    <w:p w14:paraId="3CC6FE3B" w14:textId="77777777" w:rsidR="00767FC0" w:rsidRPr="00844A6E" w:rsidRDefault="00767FC0" w:rsidP="00767FC0">
      <w:pPr>
        <w:pStyle w:val="BodyText"/>
        <w:rPr>
          <w:szCs w:val="22"/>
          <w:lang w:bidi="fa-IR"/>
        </w:rPr>
      </w:pPr>
      <w:r w:rsidRPr="00844A6E">
        <w:rPr>
          <w:szCs w:val="22"/>
          <w:lang w:bidi="fa-IR"/>
        </w:rPr>
        <w:t xml:space="preserve">This option investigates where it is practicable to increase the stringency of the “cost-effective” Deemed-to-Satisfy (DTS) measures. It is found that some refinement to heating, ventilation, and air conditioning (HVAC) controls are able to be increased. </w:t>
      </w:r>
      <w:bookmarkStart w:id="776" w:name="_Hlk158914247"/>
      <w:r w:rsidRPr="00844A6E">
        <w:rPr>
          <w:szCs w:val="22"/>
          <w:lang w:bidi="fa-IR"/>
        </w:rPr>
        <w:t xml:space="preserve">It is found, however, that all other areas had reached their technical or market availability limits under Stringency Level 1. </w:t>
      </w:r>
      <w:bookmarkEnd w:id="776"/>
      <w:r w:rsidRPr="00844A6E">
        <w:rPr>
          <w:szCs w:val="22"/>
          <w:lang w:bidi="fa-IR"/>
        </w:rPr>
        <w:t>For example, it would be cost effective to have more insulation</w:t>
      </w:r>
      <w:r>
        <w:rPr>
          <w:szCs w:val="22"/>
          <w:lang w:bidi="fa-IR"/>
        </w:rPr>
        <w:t>,</w:t>
      </w:r>
      <w:r w:rsidRPr="00844A6E">
        <w:rPr>
          <w:szCs w:val="22"/>
          <w:lang w:bidi="fa-IR"/>
        </w:rPr>
        <w:t xml:space="preserve"> but </w:t>
      </w:r>
      <w:r>
        <w:rPr>
          <w:szCs w:val="22"/>
          <w:lang w:bidi="fa-IR"/>
        </w:rPr>
        <w:t>this</w:t>
      </w:r>
      <w:r w:rsidRPr="00844A6E">
        <w:rPr>
          <w:szCs w:val="22"/>
          <w:lang w:bidi="fa-IR"/>
        </w:rPr>
        <w:t xml:space="preserve"> makes </w:t>
      </w:r>
      <w:r>
        <w:rPr>
          <w:szCs w:val="22"/>
          <w:lang w:bidi="fa-IR"/>
        </w:rPr>
        <w:t xml:space="preserve">it </w:t>
      </w:r>
      <w:r w:rsidRPr="00844A6E">
        <w:rPr>
          <w:szCs w:val="22"/>
          <w:lang w:bidi="fa-IR"/>
        </w:rPr>
        <w:t>much more impractical to build the wall. Similarly, dark windows save money but getting too dark leads to amenity issues. On market availability, chillers are a good example. The most efficient chiller is cost effective, but if the requirement is set at the most efficient level, only one or two companies could provide equipment. As a result the efficiency level is set where there is diversity in manufacturers providing products.</w:t>
      </w:r>
    </w:p>
    <w:p w14:paraId="3913E91D" w14:textId="77777777" w:rsidR="00767FC0" w:rsidRPr="00844A6E" w:rsidRDefault="00767FC0" w:rsidP="00767FC0">
      <w:pPr>
        <w:pStyle w:val="BodyText"/>
        <w:rPr>
          <w:szCs w:val="22"/>
          <w:lang w:bidi="fa-IR"/>
        </w:rPr>
      </w:pPr>
      <w:r w:rsidRPr="00844A6E">
        <w:rPr>
          <w:szCs w:val="22"/>
          <w:lang w:bidi="fa-IR"/>
        </w:rPr>
        <w:t>A broader range of options including higher efficiency envelope and services, or alternate renewable energy sources can be used under the Verification Measures or a Performance Solution.</w:t>
      </w:r>
    </w:p>
    <w:p w14:paraId="4BE2C28B" w14:textId="77777777" w:rsidR="00767FC0" w:rsidRPr="00844A6E" w:rsidRDefault="00767FC0" w:rsidP="00767FC0">
      <w:pPr>
        <w:pStyle w:val="BodyText"/>
        <w:rPr>
          <w:szCs w:val="22"/>
          <w:lang w:bidi="fa-IR"/>
        </w:rPr>
      </w:pPr>
      <w:r w:rsidRPr="00844A6E">
        <w:rPr>
          <w:szCs w:val="22"/>
          <w:lang w:bidi="fa-IR"/>
        </w:rPr>
        <w:t>In the longer term, this option is expected to achieve near net-zero emissions as the electricity grid decarbonises and through the eventual replacement of gas appliances with electric ones.</w:t>
      </w:r>
    </w:p>
    <w:p w14:paraId="554E3380" w14:textId="77777777" w:rsidR="00767FC0" w:rsidRPr="00A6157D" w:rsidRDefault="00767FC0" w:rsidP="00767FC0">
      <w:pPr>
        <w:pStyle w:val="Heading3"/>
        <w:numPr>
          <w:ilvl w:val="0"/>
          <w:numId w:val="0"/>
        </w:numPr>
        <w:rPr>
          <w:lang w:bidi="fa-IR"/>
        </w:rPr>
      </w:pPr>
      <w:r>
        <w:rPr>
          <w:lang w:bidi="fa-IR"/>
        </w:rPr>
        <w:t>Summary of changes to provisions</w:t>
      </w:r>
    </w:p>
    <w:p w14:paraId="341A89A5" w14:textId="77777777" w:rsidR="00767FC0" w:rsidRPr="00B27F01" w:rsidRDefault="00767FC0" w:rsidP="00767FC0">
      <w:pPr>
        <w:pStyle w:val="Heading4"/>
        <w:numPr>
          <w:ilvl w:val="0"/>
          <w:numId w:val="0"/>
        </w:numPr>
        <w:rPr>
          <w:lang w:bidi="fa-IR"/>
        </w:rPr>
      </w:pPr>
      <w:r>
        <w:rPr>
          <w:lang w:bidi="fa-IR"/>
        </w:rPr>
        <w:t>Performance requirement</w:t>
      </w:r>
    </w:p>
    <w:p w14:paraId="791F581A" w14:textId="77777777" w:rsidR="00767FC0" w:rsidRDefault="00767FC0" w:rsidP="00767FC0">
      <w:pPr>
        <w:pStyle w:val="Heading5"/>
        <w:numPr>
          <w:ilvl w:val="0"/>
          <w:numId w:val="0"/>
        </w:numPr>
        <w:rPr>
          <w:lang w:bidi="fa-IR"/>
        </w:rPr>
      </w:pPr>
      <w:r>
        <w:rPr>
          <w:lang w:bidi="fa-IR"/>
        </w:rPr>
        <w:t>Performance Requirement J1P1</w:t>
      </w:r>
    </w:p>
    <w:p w14:paraId="4283E37E" w14:textId="5DB0B477" w:rsidR="00767FC0" w:rsidRPr="00844A6E" w:rsidRDefault="00767FC0" w:rsidP="00767FC0">
      <w:pPr>
        <w:pStyle w:val="BodyText"/>
        <w:rPr>
          <w:szCs w:val="22"/>
          <w:lang w:bidi="fa-IR"/>
        </w:rPr>
      </w:pPr>
      <w:r w:rsidRPr="00844A6E">
        <w:rPr>
          <w:szCs w:val="22"/>
          <w:lang w:bidi="fa-IR"/>
        </w:rPr>
        <w:t xml:space="preserve">Three updated versions of J1P1, reflecting each stringency level, </w:t>
      </w:r>
      <w:r>
        <w:rPr>
          <w:szCs w:val="22"/>
          <w:lang w:bidi="fa-IR"/>
        </w:rPr>
        <w:t>were</w:t>
      </w:r>
      <w:r w:rsidRPr="00844A6E">
        <w:rPr>
          <w:szCs w:val="22"/>
          <w:lang w:bidi="fa-IR"/>
        </w:rPr>
        <w:t xml:space="preserve"> developed for the Public Comment Draft (PCD)</w:t>
      </w:r>
      <w:r>
        <w:rPr>
          <w:szCs w:val="22"/>
          <w:lang w:bidi="fa-IR"/>
        </w:rPr>
        <w:t>, but only stringency level 3 was published</w:t>
      </w:r>
      <w:r w:rsidRPr="00844A6E">
        <w:rPr>
          <w:szCs w:val="22"/>
          <w:lang w:bidi="fa-IR"/>
        </w:rPr>
        <w:t xml:space="preserve">. For Stringency Levels 2 and 3, the proposed Performance Requirement explicitly addresses operational </w:t>
      </w:r>
      <w:r w:rsidRPr="00844A6E">
        <w:rPr>
          <w:szCs w:val="22"/>
        </w:rPr>
        <w:t xml:space="preserve">GHG </w:t>
      </w:r>
      <w:r w:rsidRPr="00844A6E">
        <w:rPr>
          <w:szCs w:val="22"/>
          <w:lang w:bidi="fa-IR"/>
        </w:rPr>
        <w:t xml:space="preserve">emissions, aligning with the broader scope of these scenarios which reaches beyond energy efficiency. Quantified near-zero </w:t>
      </w:r>
      <w:r w:rsidRPr="00844A6E">
        <w:rPr>
          <w:szCs w:val="22"/>
        </w:rPr>
        <w:t>GHG</w:t>
      </w:r>
      <w:r w:rsidRPr="00844A6E">
        <w:rPr>
          <w:szCs w:val="22"/>
          <w:lang w:bidi="fa-IR"/>
        </w:rPr>
        <w:t xml:space="preserve"> emissions levels are proposed for Stringency Level 3. This approach is</w:t>
      </w:r>
      <w:r>
        <w:rPr>
          <w:lang w:bidi="fa-IR"/>
        </w:rPr>
        <w:t xml:space="preserve"> </w:t>
      </w:r>
      <w:r w:rsidRPr="00844A6E">
        <w:rPr>
          <w:szCs w:val="22"/>
          <w:lang w:bidi="fa-IR"/>
        </w:rPr>
        <w:t>fuel-agnostic and would allow for the use of gas if a sufficient level of efficiency and offsets can be achieved overall</w:t>
      </w:r>
      <w:r w:rsidR="00DB7AD5">
        <w:rPr>
          <w:szCs w:val="22"/>
          <w:lang w:bidi="fa-IR"/>
        </w:rPr>
        <w:t>, or if the gas was from a renewable source, such as green hydrogen</w:t>
      </w:r>
      <w:r w:rsidRPr="00844A6E">
        <w:rPr>
          <w:szCs w:val="22"/>
          <w:lang w:bidi="fa-IR"/>
        </w:rPr>
        <w:t>.</w:t>
      </w:r>
    </w:p>
    <w:p w14:paraId="58BB30F6" w14:textId="77777777" w:rsidR="00767FC0" w:rsidRPr="00844A6E" w:rsidRDefault="00767FC0" w:rsidP="00767FC0">
      <w:pPr>
        <w:pStyle w:val="BodyText"/>
        <w:rPr>
          <w:szCs w:val="22"/>
          <w:lang w:bidi="fa-IR"/>
        </w:rPr>
      </w:pPr>
      <w:r w:rsidRPr="00844A6E">
        <w:rPr>
          <w:szCs w:val="22"/>
          <w:lang w:bidi="fa-IR"/>
        </w:rPr>
        <w:t xml:space="preserve">For all stringency levels, elements relating to solar radiation, energy source and sealing of the building are proposed to be deleted on the basis that the quantified regulated energy Performance Requirement renders them no longer necessary. </w:t>
      </w:r>
    </w:p>
    <w:p w14:paraId="2052458E" w14:textId="5643D8E8" w:rsidR="00767FC0" w:rsidRDefault="00767FC0" w:rsidP="00767FC0">
      <w:pPr>
        <w:pStyle w:val="Heading5"/>
        <w:numPr>
          <w:ilvl w:val="0"/>
          <w:numId w:val="0"/>
        </w:numPr>
        <w:rPr>
          <w:lang w:bidi="fa-IR"/>
        </w:rPr>
      </w:pPr>
      <w:r>
        <w:rPr>
          <w:lang w:bidi="fa-IR"/>
        </w:rPr>
        <w:t>Performance Requirement J1P4</w:t>
      </w:r>
      <w:r w:rsidR="00F52335">
        <w:rPr>
          <w:rStyle w:val="FootnoteReference"/>
          <w:lang w:bidi="fa-IR"/>
        </w:rPr>
        <w:footnoteReference w:id="91"/>
      </w:r>
    </w:p>
    <w:p w14:paraId="0F43198D" w14:textId="77777777" w:rsidR="00767FC0" w:rsidRPr="00844A6E" w:rsidRDefault="00767FC0" w:rsidP="00767FC0">
      <w:pPr>
        <w:pStyle w:val="BodyText"/>
        <w:rPr>
          <w:szCs w:val="22"/>
          <w:lang w:bidi="fa-IR"/>
        </w:rPr>
      </w:pPr>
      <w:r w:rsidRPr="00844A6E">
        <w:rPr>
          <w:szCs w:val="22"/>
          <w:lang w:bidi="fa-IR"/>
        </w:rPr>
        <w:t>J1P4 has been updated to support the mandatory installation of EV chargers in Class 3 and 5 to 9 buildings. This change is proposed for all three stringency levels. The Performance Requirement is quantified through consideration of the distance driven by the building occupants. This allows flexibility across building classifications and locations.</w:t>
      </w:r>
    </w:p>
    <w:p w14:paraId="1C37FC35" w14:textId="77777777" w:rsidR="00767FC0" w:rsidRPr="00844A6E" w:rsidRDefault="00767FC0" w:rsidP="00767FC0">
      <w:pPr>
        <w:pStyle w:val="BodyText"/>
        <w:rPr>
          <w:szCs w:val="22"/>
          <w:lang w:bidi="fa-IR"/>
        </w:rPr>
      </w:pPr>
      <w:r w:rsidRPr="00844A6E">
        <w:rPr>
          <w:szCs w:val="22"/>
          <w:lang w:bidi="fa-IR"/>
        </w:rPr>
        <w:t xml:space="preserve">For mandatory on-site PV, the requirement is to achieve the performance target for regulated energy and </w:t>
      </w:r>
      <w:r w:rsidRPr="00844A6E">
        <w:rPr>
          <w:szCs w:val="22"/>
        </w:rPr>
        <w:t>GHG</w:t>
      </w:r>
      <w:r w:rsidRPr="00844A6E">
        <w:rPr>
          <w:szCs w:val="22"/>
          <w:lang w:bidi="fa-IR"/>
        </w:rPr>
        <w:t xml:space="preserve"> emissions in Stringency Level 2 and 3</w:t>
      </w:r>
      <w:r>
        <w:rPr>
          <w:szCs w:val="22"/>
          <w:lang w:bidi="fa-IR"/>
        </w:rPr>
        <w:t xml:space="preserve"> </w:t>
      </w:r>
      <w:r w:rsidRPr="00844A6E">
        <w:rPr>
          <w:szCs w:val="22"/>
          <w:lang w:bidi="fa-IR"/>
        </w:rPr>
        <w:t>version of J1P1 that can only practically be achieved through the use of an on-site renewable energy system.</w:t>
      </w:r>
    </w:p>
    <w:p w14:paraId="2AD349C2" w14:textId="77777777" w:rsidR="00767FC0" w:rsidRDefault="00767FC0" w:rsidP="00767FC0">
      <w:pPr>
        <w:pStyle w:val="Heading4"/>
        <w:numPr>
          <w:ilvl w:val="0"/>
          <w:numId w:val="0"/>
        </w:numPr>
        <w:rPr>
          <w:lang w:bidi="fa-IR"/>
        </w:rPr>
      </w:pPr>
      <w:r>
        <w:rPr>
          <w:lang w:bidi="fa-IR"/>
        </w:rPr>
        <w:t>Verification Methods</w:t>
      </w:r>
    </w:p>
    <w:p w14:paraId="06C15C6A" w14:textId="77777777" w:rsidR="00767FC0" w:rsidRPr="00844A6E" w:rsidRDefault="00767FC0" w:rsidP="00767FC0">
      <w:pPr>
        <w:pStyle w:val="BodyText"/>
        <w:rPr>
          <w:szCs w:val="22"/>
          <w:lang w:bidi="fa-IR"/>
        </w:rPr>
      </w:pPr>
      <w:r w:rsidRPr="00844A6E">
        <w:rPr>
          <w:szCs w:val="22"/>
          <w:lang w:bidi="fa-IR"/>
        </w:rPr>
        <w:t>Updates have been incorporated into J1V1 (NABERS) and J1V3 (Verification using a Reference Building). These changes apply across all three stringency scenarios. J1V2 and J1V4 are unchanged.</w:t>
      </w:r>
    </w:p>
    <w:p w14:paraId="4303062E" w14:textId="77777777" w:rsidR="00767FC0" w:rsidRPr="00844A6E" w:rsidRDefault="00767FC0" w:rsidP="00767FC0">
      <w:pPr>
        <w:pStyle w:val="BodyText"/>
        <w:rPr>
          <w:szCs w:val="22"/>
          <w:lang w:bidi="fa-IR"/>
        </w:rPr>
      </w:pPr>
      <w:r w:rsidRPr="00844A6E">
        <w:rPr>
          <w:szCs w:val="22"/>
          <w:lang w:bidi="fa-IR"/>
        </w:rPr>
        <w:t xml:space="preserve">In J1V1, the changes are to reflect an enhanced overall stringency and to simplify the modelling requirements. </w:t>
      </w:r>
    </w:p>
    <w:p w14:paraId="6610EAF9" w14:textId="77777777" w:rsidR="00767FC0" w:rsidRPr="00844A6E" w:rsidRDefault="00767FC0" w:rsidP="00767FC0">
      <w:pPr>
        <w:pStyle w:val="BodyText"/>
        <w:rPr>
          <w:szCs w:val="22"/>
          <w:lang w:bidi="fa-IR"/>
        </w:rPr>
      </w:pPr>
      <w:r w:rsidRPr="00844A6E">
        <w:rPr>
          <w:szCs w:val="22"/>
          <w:lang w:bidi="fa-IR"/>
        </w:rPr>
        <w:t>J1V3 has two significant changes proposed. Firstly, it is proposed to remove the ability to offset the performance of a building’s envelope with PV. This was considered no longer appropriate given the higher level of overall stringency now required.</w:t>
      </w:r>
    </w:p>
    <w:p w14:paraId="3213519D" w14:textId="77777777" w:rsidR="00767FC0" w:rsidRPr="00844A6E" w:rsidRDefault="00767FC0" w:rsidP="00767FC0">
      <w:pPr>
        <w:pStyle w:val="BodyText"/>
        <w:rPr>
          <w:szCs w:val="22"/>
          <w:lang w:bidi="fa-IR"/>
        </w:rPr>
      </w:pPr>
      <w:r w:rsidRPr="00844A6E">
        <w:rPr>
          <w:szCs w:val="22"/>
          <w:lang w:bidi="fa-IR"/>
        </w:rPr>
        <w:t xml:space="preserve">Secondly, it is proposed to introduce a requirement for a building’s total proposed energy use to be at least </w:t>
      </w:r>
      <w:r>
        <w:rPr>
          <w:szCs w:val="22"/>
          <w:lang w:bidi="fa-IR"/>
        </w:rPr>
        <w:t>three</w:t>
      </w:r>
      <w:r w:rsidRPr="00844A6E">
        <w:rPr>
          <w:szCs w:val="22"/>
          <w:lang w:bidi="fa-IR"/>
        </w:rPr>
        <w:t xml:space="preserve"> per cent better than the reference building. This brings the J1V3 modelling process in line </w:t>
      </w:r>
      <w:r>
        <w:rPr>
          <w:szCs w:val="22"/>
          <w:lang w:bidi="fa-IR"/>
        </w:rPr>
        <w:t xml:space="preserve">more closely </w:t>
      </w:r>
      <w:r w:rsidRPr="00844A6E">
        <w:rPr>
          <w:szCs w:val="22"/>
          <w:lang w:bidi="fa-IR"/>
        </w:rPr>
        <w:t>with the requirements of J1V1 and J1V2</w:t>
      </w:r>
      <w:r>
        <w:rPr>
          <w:szCs w:val="22"/>
          <w:lang w:bidi="fa-IR"/>
        </w:rPr>
        <w:t xml:space="preserve"> and provides more assurance that the proposed building design is in fact more efficient than the reference building, considering uncertainty in the simulation</w:t>
      </w:r>
      <w:r w:rsidRPr="00844A6E">
        <w:rPr>
          <w:szCs w:val="22"/>
          <w:lang w:bidi="fa-IR"/>
        </w:rPr>
        <w:t>.</w:t>
      </w:r>
      <w:r>
        <w:rPr>
          <w:szCs w:val="22"/>
          <w:lang w:bidi="fa-IR"/>
        </w:rPr>
        <w:t xml:space="preserve"> A number of other minor refinements have also been proposed to improve the accuracy of the energy model and to reflect changes made to the deemed to satisfy provisions.</w:t>
      </w:r>
    </w:p>
    <w:p w14:paraId="2A2EB0E1" w14:textId="77777777" w:rsidR="00767FC0" w:rsidRDefault="00767FC0" w:rsidP="00767FC0">
      <w:pPr>
        <w:pStyle w:val="Heading4"/>
        <w:numPr>
          <w:ilvl w:val="0"/>
          <w:numId w:val="0"/>
        </w:numPr>
        <w:rPr>
          <w:lang w:bidi="fa-IR"/>
        </w:rPr>
      </w:pPr>
      <w:r>
        <w:rPr>
          <w:lang w:bidi="fa-IR"/>
        </w:rPr>
        <w:t>Building envelopes</w:t>
      </w:r>
    </w:p>
    <w:p w14:paraId="5C446E18" w14:textId="77777777" w:rsidR="00767FC0" w:rsidRDefault="00767FC0" w:rsidP="00767FC0">
      <w:pPr>
        <w:pStyle w:val="Heading5"/>
        <w:numPr>
          <w:ilvl w:val="0"/>
          <w:numId w:val="0"/>
        </w:numPr>
        <w:rPr>
          <w:lang w:bidi="fa-IR"/>
        </w:rPr>
      </w:pPr>
      <w:r>
        <w:rPr>
          <w:lang w:bidi="fa-IR"/>
        </w:rPr>
        <w:t>Roofs</w:t>
      </w:r>
    </w:p>
    <w:p w14:paraId="48407E10" w14:textId="77777777" w:rsidR="00767FC0" w:rsidRPr="00844A6E" w:rsidRDefault="00767FC0" w:rsidP="00767FC0">
      <w:pPr>
        <w:pStyle w:val="BodyText"/>
        <w:rPr>
          <w:szCs w:val="22"/>
          <w:lang w:bidi="fa-IR"/>
        </w:rPr>
      </w:pPr>
      <w:r w:rsidRPr="00844A6E">
        <w:rPr>
          <w:szCs w:val="22"/>
          <w:lang w:bidi="fa-IR"/>
        </w:rPr>
        <w:t>For roof colour, it is proposed to re</w:t>
      </w:r>
      <w:r>
        <w:rPr>
          <w:szCs w:val="22"/>
          <w:lang w:bidi="fa-IR"/>
        </w:rPr>
        <w:t>tain</w:t>
      </w:r>
      <w:r w:rsidRPr="00844A6E">
        <w:rPr>
          <w:szCs w:val="22"/>
          <w:lang w:bidi="fa-IR"/>
        </w:rPr>
        <w:t xml:space="preserve"> the existing solar absorptance DTS metric </w:t>
      </w:r>
      <w:r>
        <w:rPr>
          <w:szCs w:val="22"/>
          <w:lang w:bidi="fa-IR"/>
        </w:rPr>
        <w:t xml:space="preserve">but offer an alternative of total solar reflectance, and to add a provision for thermal emittance. </w:t>
      </w:r>
      <w:r w:rsidRPr="00844A6E">
        <w:rPr>
          <w:szCs w:val="22"/>
          <w:lang w:bidi="fa-IR"/>
        </w:rPr>
        <w:t xml:space="preserve">Solar Reflectance Index (SRI) </w:t>
      </w:r>
      <w:r>
        <w:rPr>
          <w:szCs w:val="22"/>
          <w:lang w:bidi="fa-IR"/>
        </w:rPr>
        <w:t>may also be used</w:t>
      </w:r>
      <w:r w:rsidRPr="00844A6E">
        <w:rPr>
          <w:szCs w:val="22"/>
          <w:lang w:bidi="fa-IR"/>
        </w:rPr>
        <w:t>. For general roof areas, the overall level of stringency proposed is equivalent to NCC 2022</w:t>
      </w:r>
      <w:r>
        <w:rPr>
          <w:szCs w:val="22"/>
          <w:lang w:bidi="fa-IR"/>
        </w:rPr>
        <w:t>, except that low-emittance materials such as uncoated metal are no longer permitted under the DTS</w:t>
      </w:r>
      <w:r w:rsidRPr="00844A6E">
        <w:rPr>
          <w:szCs w:val="22"/>
          <w:lang w:bidi="fa-IR"/>
        </w:rPr>
        <w:t>. The overall number of roof colour choices is equivalent between NCC 2022 and 2025 other than for metal roofs in Climate Zones 1, 2, 3, 5 and 6 which have air-conditioning plant and outside air intakes placed on the roof or within 2m above it. There are specific provisions for higher reflectance and emittance for these roofs to reduce cooling load.</w:t>
      </w:r>
    </w:p>
    <w:p w14:paraId="6D310281" w14:textId="77777777" w:rsidR="00767FC0" w:rsidRDefault="00767FC0" w:rsidP="00767FC0">
      <w:pPr>
        <w:pStyle w:val="BodyText"/>
        <w:rPr>
          <w:lang w:bidi="fa-IR"/>
        </w:rPr>
      </w:pPr>
      <w:r w:rsidRPr="00844A6E">
        <w:rPr>
          <w:szCs w:val="22"/>
          <w:lang w:bidi="fa-IR"/>
        </w:rPr>
        <w:t>It is proposed to increase the stringency of the roof insulation requirements</w:t>
      </w:r>
      <w:r>
        <w:rPr>
          <w:szCs w:val="22"/>
          <w:lang w:bidi="fa-IR"/>
        </w:rPr>
        <w:t xml:space="preserve"> for overnight-operating building classes</w:t>
      </w:r>
      <w:r w:rsidRPr="00844A6E">
        <w:rPr>
          <w:szCs w:val="22"/>
          <w:lang w:bidi="fa-IR"/>
        </w:rPr>
        <w:t>. These changes are based on the outcomes of the technical analysis and will not only decrease annual building energy consumption but will also reduce building peak energy demand.</w:t>
      </w:r>
    </w:p>
    <w:p w14:paraId="0C39EEC6" w14:textId="42D565F4" w:rsidR="00767FC0" w:rsidRDefault="00767FC0" w:rsidP="00767FC0">
      <w:pPr>
        <w:pStyle w:val="Heading5"/>
        <w:numPr>
          <w:ilvl w:val="0"/>
          <w:numId w:val="0"/>
        </w:numPr>
        <w:rPr>
          <w:lang w:bidi="fa-IR"/>
        </w:rPr>
      </w:pPr>
      <w:r>
        <w:rPr>
          <w:lang w:bidi="fa-IR"/>
        </w:rPr>
        <w:t>Wall-Glazing construction</w:t>
      </w:r>
    </w:p>
    <w:p w14:paraId="2589E897" w14:textId="77777777" w:rsidR="00767FC0" w:rsidRPr="00844A6E" w:rsidRDefault="00767FC0" w:rsidP="00767FC0">
      <w:pPr>
        <w:pStyle w:val="BodyText"/>
        <w:rPr>
          <w:szCs w:val="22"/>
          <w:lang w:bidi="fa-IR"/>
        </w:rPr>
      </w:pPr>
      <w:r w:rsidRPr="00844A6E">
        <w:rPr>
          <w:szCs w:val="22"/>
          <w:lang w:bidi="fa-IR"/>
        </w:rPr>
        <w:t xml:space="preserve">Proposed wall-glazing changes aim to reduce solar admittance for wall-glazing in all building classifications and climate zones other than climate zone 8. This revision is based on models that have a higher stringency for </w:t>
      </w:r>
      <w:r>
        <w:rPr>
          <w:szCs w:val="22"/>
          <w:lang w:bidi="fa-IR"/>
        </w:rPr>
        <w:t>f</w:t>
      </w:r>
      <w:r w:rsidRPr="00844A6E">
        <w:rPr>
          <w:szCs w:val="22"/>
          <w:lang w:bidi="fa-IR"/>
        </w:rPr>
        <w:t>açade Solar Admittance in 2025 in comparison to 2022. Importantly, the building archetypes used in the modelling of wall-glazing construction were tested to ensure they had adequate natural light using the Spatial Daylight Autonomy (sDA) metric, rather than daylight factor, which was used to develop the NCC 2019 provisions. sDA is more sensitive to orientation, occupied times and glare, and achieves an “adequate” level of daylighting with a lower combination of glazed area and visual light transmittance than daylight factor. However, the NCC only regulates daylight to Class 2, 3, 4 and 9 buildings (through F6P1), meaning that the existing daylighting requirements of Part F Health and Amenity will be met and likely exceeded in the models that underpin all three stringency levels.</w:t>
      </w:r>
    </w:p>
    <w:p w14:paraId="36ACA759" w14:textId="495C5165" w:rsidR="00767FC0" w:rsidRPr="00844A6E" w:rsidRDefault="00767FC0" w:rsidP="00767FC0">
      <w:pPr>
        <w:pStyle w:val="BodyText"/>
        <w:rPr>
          <w:szCs w:val="22"/>
          <w:lang w:bidi="fa-IR"/>
        </w:rPr>
      </w:pPr>
      <w:r w:rsidRPr="00844A6E">
        <w:rPr>
          <w:szCs w:val="22"/>
          <w:lang w:bidi="fa-IR"/>
        </w:rPr>
        <w:t xml:space="preserve">The glazing change values are derived using moderate window-to-wall ratios for each archetype (i.e. building form modelled). Stringency Level 3 values are derived using lower but still realistic window-to-wall ratios for </w:t>
      </w:r>
      <w:r w:rsidR="00A04481">
        <w:rPr>
          <w:szCs w:val="22"/>
          <w:lang w:bidi="fa-IR"/>
        </w:rPr>
        <w:t>Class 5 office buildings (other classes as per Stringency Level 2)</w:t>
      </w:r>
      <w:r w:rsidRPr="00844A6E">
        <w:rPr>
          <w:szCs w:val="22"/>
          <w:lang w:bidi="fa-IR"/>
        </w:rPr>
        <w:t>.</w:t>
      </w:r>
    </w:p>
    <w:p w14:paraId="189CC78B" w14:textId="77777777" w:rsidR="00767FC0" w:rsidRPr="00844A6E" w:rsidRDefault="00767FC0" w:rsidP="00767FC0">
      <w:pPr>
        <w:pStyle w:val="BodyText"/>
        <w:rPr>
          <w:szCs w:val="22"/>
          <w:lang w:bidi="fa-IR"/>
        </w:rPr>
      </w:pPr>
      <w:r w:rsidRPr="00844A6E">
        <w:rPr>
          <w:szCs w:val="22"/>
          <w:lang w:bidi="fa-IR"/>
        </w:rPr>
        <w:t>These changes significantly reduce building cooling requirements and related energy use, and reduce the required cooling system capacity. This reduction in plant capacity represents a significant cost saving for builders, especially in larger builds.</w:t>
      </w:r>
    </w:p>
    <w:p w14:paraId="519FDA8A" w14:textId="77777777" w:rsidR="00767FC0" w:rsidRPr="00844A6E" w:rsidRDefault="00767FC0" w:rsidP="00767FC0">
      <w:pPr>
        <w:pStyle w:val="BodyText"/>
        <w:rPr>
          <w:szCs w:val="22"/>
          <w:lang w:bidi="fa-IR"/>
        </w:rPr>
      </w:pPr>
      <w:r w:rsidRPr="00844A6E">
        <w:rPr>
          <w:szCs w:val="22"/>
          <w:lang w:bidi="fa-IR"/>
        </w:rPr>
        <w:t xml:space="preserve">There are also changes to Total System U-Value requirements proposed under each scenario. These are less significant, but will reduce building heating requirements in certain circumstances, but increase it slightly in others. These will have a modest impact on design, with buildings able to maintain window-to-wall ratios and daylighting similar to NCC 2022 compliant buildings. </w:t>
      </w:r>
    </w:p>
    <w:p w14:paraId="7C8FBF10" w14:textId="77777777" w:rsidR="00767FC0" w:rsidRPr="00844A6E" w:rsidRDefault="00767FC0" w:rsidP="00767FC0">
      <w:pPr>
        <w:pStyle w:val="BodyText"/>
        <w:rPr>
          <w:szCs w:val="22"/>
          <w:lang w:bidi="fa-IR"/>
        </w:rPr>
      </w:pPr>
      <w:r w:rsidRPr="00844A6E">
        <w:rPr>
          <w:szCs w:val="22"/>
          <w:lang w:bidi="fa-IR"/>
        </w:rPr>
        <w:t>A back-stop value for the Total System U-Value of glazing has also been proposed to prevent the use of unrealistically high-performing glass. This is analogous to the opaque wall value backstop and also prevents gaming of J1V3.</w:t>
      </w:r>
    </w:p>
    <w:p w14:paraId="31A1CE56" w14:textId="77777777" w:rsidR="00767FC0" w:rsidRPr="00844A6E" w:rsidRDefault="00767FC0" w:rsidP="00767FC0">
      <w:pPr>
        <w:pStyle w:val="BodyText"/>
        <w:rPr>
          <w:szCs w:val="22"/>
          <w:lang w:bidi="fa-IR"/>
        </w:rPr>
      </w:pPr>
      <w:r w:rsidRPr="00844A6E">
        <w:rPr>
          <w:szCs w:val="22"/>
          <w:lang w:bidi="fa-IR"/>
        </w:rPr>
        <w:t>A change to the defined term ‘envelope’ is also proposed. The proposed change clarifies where the term envelope is meant to apply and will, thereby, reduce construction costs. At present, an envelope wall is defined as building fabric between conditioned space and unconditioned space, including internal walls. Under the present definition, the fabric around any internal unconditioned spaces, that are wholly or mostly enclosed, such as lift shafts or stair wells, are required to meet the minimum Total System U-Value requirements of Part J4D6. This leads to unnecessary installation of insulation against spaces that would be expected to be close to the same temperature as the conditioned areas they adjoin.</w:t>
      </w:r>
    </w:p>
    <w:p w14:paraId="27758718" w14:textId="77777777" w:rsidR="00767FC0" w:rsidRDefault="00767FC0" w:rsidP="00767FC0">
      <w:pPr>
        <w:pStyle w:val="Heading5"/>
        <w:numPr>
          <w:ilvl w:val="0"/>
          <w:numId w:val="0"/>
        </w:numPr>
        <w:rPr>
          <w:lang w:bidi="fa-IR"/>
        </w:rPr>
      </w:pPr>
      <w:r>
        <w:rPr>
          <w:lang w:bidi="fa-IR"/>
        </w:rPr>
        <w:t>Vertical Shading</w:t>
      </w:r>
    </w:p>
    <w:p w14:paraId="62CC72FE" w14:textId="77777777" w:rsidR="00767FC0" w:rsidRPr="00844A6E" w:rsidRDefault="00767FC0" w:rsidP="00767FC0">
      <w:pPr>
        <w:pStyle w:val="BodyText"/>
        <w:rPr>
          <w:szCs w:val="22"/>
          <w:lang w:bidi="fa-IR"/>
        </w:rPr>
      </w:pPr>
      <w:r w:rsidRPr="00844A6E">
        <w:rPr>
          <w:szCs w:val="22"/>
          <w:lang w:bidi="fa-IR"/>
        </w:rPr>
        <w:t>It is proposed to introduce new DTS Provisions that set minimum standards for vertical</w:t>
      </w:r>
      <w:r>
        <w:rPr>
          <w:lang w:bidi="fa-IR"/>
        </w:rPr>
        <w:t xml:space="preserve"> </w:t>
      </w:r>
      <w:r w:rsidRPr="00844A6E">
        <w:rPr>
          <w:szCs w:val="22"/>
          <w:lang w:bidi="fa-IR"/>
        </w:rPr>
        <w:t>shading. Presently DTS Provisions exist for horizontal shading, but only vertical shading that blocks 80 per cent of direct summer solar radiation is accommodated within the DTS. Providing more comprehensive DTS Provisions for vertical shading will facilitate the installation of vertical shading, which is particularly effective in controlling solar gain from the western aspect and will help control air-conditioning peak demand in summer.</w:t>
      </w:r>
    </w:p>
    <w:p w14:paraId="58645ADB" w14:textId="77777777" w:rsidR="00767FC0" w:rsidRDefault="00767FC0" w:rsidP="00767FC0">
      <w:pPr>
        <w:pStyle w:val="Heading5"/>
        <w:numPr>
          <w:ilvl w:val="0"/>
          <w:numId w:val="0"/>
        </w:numPr>
        <w:rPr>
          <w:lang w:bidi="fa-IR"/>
        </w:rPr>
      </w:pPr>
      <w:r>
        <w:rPr>
          <w:lang w:bidi="fa-IR"/>
        </w:rPr>
        <w:t>Building sealing</w:t>
      </w:r>
    </w:p>
    <w:p w14:paraId="1CFE6292" w14:textId="77777777" w:rsidR="00767FC0" w:rsidRPr="00844A6E" w:rsidRDefault="00767FC0" w:rsidP="00767FC0">
      <w:pPr>
        <w:pStyle w:val="BodyText"/>
        <w:rPr>
          <w:szCs w:val="22"/>
          <w:lang w:bidi="fa-IR"/>
        </w:rPr>
      </w:pPr>
      <w:r w:rsidRPr="00844A6E">
        <w:rPr>
          <w:szCs w:val="22"/>
          <w:lang w:bidi="fa-IR"/>
        </w:rPr>
        <w:t>Proposed revisions to the building sealing provisions in Part J5 seek to clarify the intent and application of the provisions. The changes remove duplication and align terminology used to describe the location of the thermal boundary with other Parts of Section J. The changes also clarify the scope of the airlock requirements to exempt spaces with moveable external walls, and clarify the scope of sealing walls, ceilings, and floors to include interface to ventilation openings. The intent of the revisions is to clarify rather than change the stringency, although some individual practitioners may adopt more or less stringent practices as the changes promote a more consistent interpretation across the industry</w:t>
      </w:r>
      <w:r>
        <w:rPr>
          <w:szCs w:val="22"/>
          <w:lang w:bidi="fa-IR"/>
        </w:rPr>
        <w:t xml:space="preserve">. The clarifications are expected to reduce the use of some products in some applications, such as roof lights to provide permanent openings in bathrooms, where the NCC 2022 provisions are ambiguous. </w:t>
      </w:r>
    </w:p>
    <w:p w14:paraId="66183ACD" w14:textId="77777777" w:rsidR="00767FC0" w:rsidRDefault="00767FC0" w:rsidP="00767FC0">
      <w:pPr>
        <w:pStyle w:val="Heading4"/>
        <w:numPr>
          <w:ilvl w:val="0"/>
          <w:numId w:val="0"/>
        </w:numPr>
        <w:rPr>
          <w:lang w:bidi="fa-IR"/>
        </w:rPr>
      </w:pPr>
      <w:r>
        <w:rPr>
          <w:lang w:bidi="fa-IR"/>
        </w:rPr>
        <w:t>HVAC</w:t>
      </w:r>
    </w:p>
    <w:p w14:paraId="4A94BA6A" w14:textId="77777777" w:rsidR="00767FC0" w:rsidRDefault="00767FC0" w:rsidP="00767FC0">
      <w:pPr>
        <w:pStyle w:val="Heading5"/>
        <w:numPr>
          <w:ilvl w:val="0"/>
          <w:numId w:val="0"/>
        </w:numPr>
        <w:rPr>
          <w:lang w:bidi="fa-IR"/>
        </w:rPr>
      </w:pPr>
      <w:r>
        <w:rPr>
          <w:lang w:bidi="fa-IR"/>
        </w:rPr>
        <w:t>Air conditioning controls</w:t>
      </w:r>
    </w:p>
    <w:p w14:paraId="46C05C95" w14:textId="77777777" w:rsidR="00767FC0" w:rsidRPr="00844A6E" w:rsidRDefault="00767FC0" w:rsidP="00767FC0">
      <w:pPr>
        <w:pStyle w:val="BodyText"/>
        <w:rPr>
          <w:szCs w:val="22"/>
          <w:lang w:bidi="fa-IR"/>
        </w:rPr>
      </w:pPr>
      <w:r w:rsidRPr="00844A6E">
        <w:rPr>
          <w:szCs w:val="22"/>
          <w:lang w:bidi="fa-IR"/>
        </w:rPr>
        <w:t xml:space="preserve">The changes to the provisions for air conditioning controls will restrict simultaneous heating and cooling, prevent poor zone design and respond to feedback from industry that the current provisions were subject to gaming in establishing the J1V3 reference building. </w:t>
      </w:r>
    </w:p>
    <w:p w14:paraId="5CACA56E" w14:textId="77777777" w:rsidR="00767FC0" w:rsidRPr="00844A6E" w:rsidRDefault="00767FC0" w:rsidP="00767FC0">
      <w:pPr>
        <w:pStyle w:val="BodyText"/>
        <w:rPr>
          <w:szCs w:val="22"/>
          <w:lang w:bidi="fa-IR"/>
        </w:rPr>
      </w:pPr>
      <w:r w:rsidRPr="00844A6E">
        <w:rPr>
          <w:szCs w:val="22"/>
          <w:lang w:bidi="fa-IR"/>
        </w:rPr>
        <w:t xml:space="preserve">A limitation on the heated water temperature reset provision is proposed to avoid imposing the requirement on very low temperature systems, which are expected to become more common with the use of heat pumps. Use of a reheat in these applications would be impractical. </w:t>
      </w:r>
    </w:p>
    <w:p w14:paraId="66535CFA" w14:textId="77777777" w:rsidR="00767FC0" w:rsidRPr="00844A6E" w:rsidRDefault="00767FC0" w:rsidP="00767FC0">
      <w:pPr>
        <w:pStyle w:val="BodyText"/>
        <w:rPr>
          <w:szCs w:val="22"/>
          <w:lang w:bidi="fa-IR"/>
        </w:rPr>
      </w:pPr>
      <w:r w:rsidRPr="00844A6E">
        <w:rPr>
          <w:szCs w:val="22"/>
          <w:lang w:bidi="fa-IR"/>
        </w:rPr>
        <w:t>New temperature reset requirements are proposed for condenser water, reflecting typical minimum practice.</w:t>
      </w:r>
    </w:p>
    <w:p w14:paraId="2722D1DE" w14:textId="77777777" w:rsidR="00767FC0" w:rsidRPr="00844A6E" w:rsidRDefault="00767FC0" w:rsidP="00767FC0">
      <w:pPr>
        <w:pStyle w:val="BodyText"/>
        <w:rPr>
          <w:szCs w:val="22"/>
          <w:lang w:bidi="fa-IR"/>
        </w:rPr>
      </w:pPr>
      <w:r w:rsidRPr="00844A6E">
        <w:rPr>
          <w:szCs w:val="22"/>
          <w:lang w:bidi="fa-IR"/>
        </w:rPr>
        <w:t>Time switch provisions are proposed to be refined in line with refinements for time switches used in lighting controls.</w:t>
      </w:r>
    </w:p>
    <w:p w14:paraId="7DD9EC77" w14:textId="77777777" w:rsidR="00767FC0" w:rsidRPr="00844A6E" w:rsidRDefault="00767FC0" w:rsidP="00767FC0">
      <w:pPr>
        <w:pStyle w:val="BodyText"/>
        <w:rPr>
          <w:szCs w:val="22"/>
          <w:lang w:bidi="fa-IR"/>
        </w:rPr>
      </w:pPr>
      <w:r w:rsidRPr="00844A6E">
        <w:rPr>
          <w:szCs w:val="22"/>
          <w:lang w:bidi="fa-IR"/>
        </w:rPr>
        <w:t>Economy cycle provisions have been revised in line with cost-benefit analysis at the element level.</w:t>
      </w:r>
    </w:p>
    <w:p w14:paraId="2C5181A0" w14:textId="77777777" w:rsidR="00767FC0" w:rsidRDefault="00767FC0" w:rsidP="00767FC0">
      <w:pPr>
        <w:pStyle w:val="Heading5"/>
        <w:numPr>
          <w:ilvl w:val="0"/>
          <w:numId w:val="0"/>
        </w:numPr>
        <w:rPr>
          <w:lang w:bidi="fa-IR"/>
        </w:rPr>
      </w:pPr>
      <w:r>
        <w:rPr>
          <w:lang w:bidi="fa-IR"/>
        </w:rPr>
        <w:t>Mechanical ventilation controls</w:t>
      </w:r>
    </w:p>
    <w:p w14:paraId="4DE69C49" w14:textId="77777777" w:rsidR="00767FC0" w:rsidRPr="00844A6E" w:rsidRDefault="00767FC0" w:rsidP="00767FC0">
      <w:pPr>
        <w:pStyle w:val="BodyText"/>
        <w:rPr>
          <w:szCs w:val="22"/>
          <w:lang w:bidi="fa-IR"/>
        </w:rPr>
      </w:pPr>
      <w:r w:rsidRPr="00844A6E">
        <w:rPr>
          <w:szCs w:val="22"/>
          <w:lang w:bidi="fa-IR"/>
        </w:rPr>
        <w:t>The existing provisions for mechanical ventilation controls have been clarified to include a requirement for energy reclaim systems to be fitted with a bypass when beneficial.</w:t>
      </w:r>
    </w:p>
    <w:p w14:paraId="23066919" w14:textId="77777777" w:rsidR="00767FC0" w:rsidRDefault="00767FC0" w:rsidP="00767FC0">
      <w:pPr>
        <w:pStyle w:val="Heading5"/>
        <w:numPr>
          <w:ilvl w:val="0"/>
          <w:numId w:val="0"/>
        </w:numPr>
        <w:rPr>
          <w:lang w:bidi="fa-IR"/>
        </w:rPr>
      </w:pPr>
      <w:r>
        <w:rPr>
          <w:lang w:bidi="fa-IR"/>
        </w:rPr>
        <w:t>Fans and duct systems</w:t>
      </w:r>
    </w:p>
    <w:p w14:paraId="47FAAFFC" w14:textId="77777777" w:rsidR="00767FC0" w:rsidRPr="00844A6E" w:rsidRDefault="00767FC0" w:rsidP="00767FC0">
      <w:pPr>
        <w:pStyle w:val="BodyText"/>
        <w:rPr>
          <w:szCs w:val="22"/>
          <w:lang w:bidi="fa-IR"/>
        </w:rPr>
      </w:pPr>
      <w:r w:rsidRPr="00844A6E">
        <w:rPr>
          <w:szCs w:val="22"/>
          <w:lang w:bidi="fa-IR"/>
        </w:rPr>
        <w:t>The fan and duct system changes have aligned with the international standard (EU 327) for peak efficiency. There is also a dedicated provision dealing with the difference between selection efficiency and peak efficiency. In the current provisions, peak efficiency and selection efficiency were integrated into a single provision, reducing transparency.</w:t>
      </w:r>
    </w:p>
    <w:p w14:paraId="773E3075" w14:textId="77777777" w:rsidR="00767FC0" w:rsidRPr="00844A6E" w:rsidRDefault="00767FC0" w:rsidP="00767FC0">
      <w:pPr>
        <w:pStyle w:val="BodyText"/>
        <w:rPr>
          <w:szCs w:val="22"/>
          <w:lang w:bidi="fa-IR"/>
        </w:rPr>
      </w:pPr>
      <w:r w:rsidRPr="00844A6E">
        <w:rPr>
          <w:szCs w:val="22"/>
          <w:lang w:bidi="fa-IR"/>
        </w:rPr>
        <w:t xml:space="preserve">These changes aim to streamline and simplify the provisions and discourage inappropriate applications of inefficient fan types in air-handlers. </w:t>
      </w:r>
    </w:p>
    <w:p w14:paraId="27D5F782" w14:textId="77777777" w:rsidR="00767FC0" w:rsidRPr="00844A6E" w:rsidRDefault="00767FC0" w:rsidP="00767FC0">
      <w:pPr>
        <w:pStyle w:val="BodyText"/>
        <w:rPr>
          <w:szCs w:val="22"/>
          <w:lang w:bidi="fa-IR"/>
        </w:rPr>
      </w:pPr>
      <w:r w:rsidRPr="00844A6E">
        <w:rPr>
          <w:szCs w:val="22"/>
          <w:lang w:bidi="fa-IR"/>
        </w:rPr>
        <w:t>Applications of variable speed operation have been broadened in line with current, cost-effective practice.</w:t>
      </w:r>
    </w:p>
    <w:p w14:paraId="56850B92" w14:textId="77777777" w:rsidR="00767FC0" w:rsidRPr="00844A6E" w:rsidRDefault="00767FC0" w:rsidP="00767FC0">
      <w:pPr>
        <w:pStyle w:val="BodyText"/>
        <w:rPr>
          <w:szCs w:val="22"/>
          <w:lang w:bidi="fa-IR"/>
        </w:rPr>
      </w:pPr>
      <w:r w:rsidRPr="00844A6E">
        <w:rPr>
          <w:szCs w:val="22"/>
          <w:lang w:bidi="fa-IR"/>
        </w:rPr>
        <w:t>In response to feedback from code users, minimum pressure drops for some commonly used ductwork components, have now been specified. Provisions for maximum flexible ductwork length and minimum equivalent diameter for duct connection to fittings have also been clarified.</w:t>
      </w:r>
    </w:p>
    <w:p w14:paraId="4919B59B" w14:textId="77777777" w:rsidR="00767FC0" w:rsidRPr="00844A6E" w:rsidRDefault="00767FC0" w:rsidP="00767FC0">
      <w:pPr>
        <w:pStyle w:val="BodyText"/>
        <w:rPr>
          <w:szCs w:val="22"/>
          <w:lang w:bidi="fa-IR"/>
        </w:rPr>
      </w:pPr>
      <w:r w:rsidRPr="00844A6E">
        <w:rPr>
          <w:szCs w:val="22"/>
          <w:lang w:bidi="fa-IR"/>
        </w:rPr>
        <w:t>As per the current provisions, fan equipment can be assessed at the individual component level or system level. A process to allow for assessment at the building level is also proposed, i.e. across all air conditioning and ventilation fans. This improves flexibility and encourages a proportionate approach.</w:t>
      </w:r>
    </w:p>
    <w:p w14:paraId="7A58E5C7" w14:textId="77777777" w:rsidR="00767FC0" w:rsidRDefault="00767FC0" w:rsidP="00767FC0">
      <w:pPr>
        <w:pStyle w:val="Heading5"/>
        <w:numPr>
          <w:ilvl w:val="0"/>
          <w:numId w:val="0"/>
        </w:numPr>
        <w:rPr>
          <w:lang w:bidi="fa-IR"/>
        </w:rPr>
      </w:pPr>
      <w:r>
        <w:rPr>
          <w:lang w:bidi="fa-IR"/>
        </w:rPr>
        <w:t>Ductwork insulation</w:t>
      </w:r>
    </w:p>
    <w:p w14:paraId="3F7407C4" w14:textId="77777777" w:rsidR="00767FC0" w:rsidRPr="00844A6E" w:rsidRDefault="00767FC0" w:rsidP="00767FC0">
      <w:pPr>
        <w:pStyle w:val="BodyText"/>
        <w:rPr>
          <w:szCs w:val="22"/>
          <w:lang w:bidi="fa-IR"/>
        </w:rPr>
      </w:pPr>
      <w:r w:rsidRPr="00844A6E">
        <w:rPr>
          <w:szCs w:val="22"/>
          <w:lang w:bidi="fa-IR"/>
        </w:rPr>
        <w:t>An exemption for equipment complying with MEPS has been deleted. Feedback suggests the deleted provision was incorrectly interpreted as exempting ductwork connected downstream of the unit.</w:t>
      </w:r>
    </w:p>
    <w:p w14:paraId="615AC96F" w14:textId="77777777" w:rsidR="00767FC0" w:rsidRDefault="00767FC0" w:rsidP="00767FC0">
      <w:pPr>
        <w:pStyle w:val="Heading5"/>
        <w:numPr>
          <w:ilvl w:val="0"/>
          <w:numId w:val="0"/>
        </w:numPr>
        <w:rPr>
          <w:lang w:bidi="fa-IR"/>
        </w:rPr>
      </w:pPr>
      <w:r>
        <w:rPr>
          <w:lang w:bidi="fa-IR"/>
        </w:rPr>
        <w:t>Pumps</w:t>
      </w:r>
    </w:p>
    <w:p w14:paraId="72EEA25B" w14:textId="77777777" w:rsidR="00767FC0" w:rsidRPr="00844A6E" w:rsidRDefault="00767FC0" w:rsidP="00767FC0">
      <w:pPr>
        <w:pStyle w:val="BodyText"/>
        <w:rPr>
          <w:szCs w:val="22"/>
          <w:lang w:bidi="fa-IR"/>
        </w:rPr>
      </w:pPr>
      <w:r w:rsidRPr="00844A6E">
        <w:rPr>
          <w:szCs w:val="22"/>
          <w:lang w:bidi="fa-IR"/>
        </w:rPr>
        <w:t>The changes to the pump provisions are intended to broaden the application of variable volume systems and the use of variable speed drives for balancing. Variable volume operation is not required for pumps that serve primary heating or cooling plant only, as this equipment generally has very limited capability to vary the flow volume.</w:t>
      </w:r>
    </w:p>
    <w:p w14:paraId="47D760A3" w14:textId="77777777" w:rsidR="00767FC0" w:rsidRDefault="00767FC0" w:rsidP="00767FC0">
      <w:pPr>
        <w:pStyle w:val="Heading5"/>
        <w:numPr>
          <w:ilvl w:val="0"/>
          <w:numId w:val="0"/>
        </w:numPr>
        <w:rPr>
          <w:lang w:bidi="fa-IR"/>
        </w:rPr>
      </w:pPr>
      <w:r>
        <w:rPr>
          <w:lang w:bidi="fa-IR"/>
        </w:rPr>
        <w:t>Pipework insulation</w:t>
      </w:r>
    </w:p>
    <w:p w14:paraId="2CA3367E" w14:textId="77777777" w:rsidR="00767FC0" w:rsidRPr="00844A6E" w:rsidRDefault="00767FC0" w:rsidP="00767FC0">
      <w:pPr>
        <w:pStyle w:val="BodyText"/>
        <w:rPr>
          <w:szCs w:val="22"/>
          <w:lang w:bidi="fa-IR"/>
        </w:rPr>
      </w:pPr>
      <w:r w:rsidRPr="00844A6E">
        <w:rPr>
          <w:szCs w:val="22"/>
          <w:lang w:bidi="fa-IR"/>
        </w:rPr>
        <w:t>The proposed changes to the pipework insulation provisions remove an exemption for pipework insulation in equipment covered by MEPS. The MEPS test standard does not fully account for the heat loss through pipework that may be connected downstream of the equipment, as this will vary by application.</w:t>
      </w:r>
    </w:p>
    <w:p w14:paraId="0C6E3B1F" w14:textId="77777777" w:rsidR="00767FC0" w:rsidRPr="00844A6E" w:rsidRDefault="00767FC0" w:rsidP="00767FC0">
      <w:pPr>
        <w:pStyle w:val="BodyText"/>
        <w:rPr>
          <w:szCs w:val="22"/>
          <w:lang w:bidi="fa-IR"/>
        </w:rPr>
      </w:pPr>
      <w:r w:rsidRPr="00844A6E">
        <w:rPr>
          <w:szCs w:val="22"/>
          <w:lang w:bidi="fa-IR"/>
        </w:rPr>
        <w:t>Refrigerant pipework has also been removed from the definition of ‘heated fluids’. This reflects the experience of industry after the introduction of the NCC 2019 provisions, which found that the benefits from increasing the insulation requirements did not offset an increase in installation costs. As a result, refrigerant pipework insulation requirements are proposed to revert to the requirements of a cooling fluid, as per NCC 2016.</w:t>
      </w:r>
    </w:p>
    <w:p w14:paraId="7BDEC257" w14:textId="77777777" w:rsidR="00767FC0" w:rsidRDefault="00767FC0" w:rsidP="00767FC0">
      <w:pPr>
        <w:pStyle w:val="Heading5"/>
        <w:numPr>
          <w:ilvl w:val="0"/>
          <w:numId w:val="0"/>
        </w:numPr>
        <w:rPr>
          <w:lang w:bidi="fa-IR"/>
        </w:rPr>
      </w:pPr>
      <w:r>
        <w:rPr>
          <w:lang w:bidi="fa-IR"/>
        </w:rPr>
        <w:t>Space heating</w:t>
      </w:r>
    </w:p>
    <w:p w14:paraId="2BD278A5" w14:textId="77777777" w:rsidR="00767FC0" w:rsidRPr="00844A6E" w:rsidRDefault="00767FC0" w:rsidP="00767FC0">
      <w:pPr>
        <w:pStyle w:val="BodyText"/>
        <w:rPr>
          <w:szCs w:val="22"/>
          <w:lang w:bidi="fa-IR"/>
        </w:rPr>
      </w:pPr>
      <w:r w:rsidRPr="00844A6E">
        <w:rPr>
          <w:szCs w:val="22"/>
          <w:lang w:bidi="fa-IR"/>
        </w:rPr>
        <w:t>The proposed changes for space heating introduce minimum efficiency requirements for heating systems that use heat pumps and allow greater use of direct electric heating. These proposals apply across all stringency levels and are consistent with the anticipated decarbonisation of the electricity grid. The heat pump stringency requirements are based on the market average because there was no strong relationship between efficiency and performance. Setting an average requirement based on the market average is not expected to unreasonably restrict supply.</w:t>
      </w:r>
    </w:p>
    <w:p w14:paraId="446B214A" w14:textId="77777777" w:rsidR="00767FC0" w:rsidRPr="00844A6E" w:rsidRDefault="00767FC0" w:rsidP="00767FC0">
      <w:pPr>
        <w:pStyle w:val="BodyText"/>
        <w:rPr>
          <w:szCs w:val="22"/>
          <w:lang w:bidi="fa-IR"/>
        </w:rPr>
      </w:pPr>
      <w:r w:rsidRPr="00844A6E">
        <w:rPr>
          <w:szCs w:val="22"/>
          <w:lang w:bidi="fa-IR"/>
        </w:rPr>
        <w:t>Stringency Level 3 also includes measures that will facilitate future conversion of gas-powered equipment to electrically powered equipment.</w:t>
      </w:r>
    </w:p>
    <w:p w14:paraId="5CE8FB6F" w14:textId="77777777" w:rsidR="00767FC0" w:rsidRDefault="00767FC0" w:rsidP="00767FC0">
      <w:pPr>
        <w:pStyle w:val="Heading5"/>
        <w:numPr>
          <w:ilvl w:val="0"/>
          <w:numId w:val="0"/>
        </w:numPr>
        <w:rPr>
          <w:lang w:bidi="fa-IR"/>
        </w:rPr>
      </w:pPr>
      <w:r>
        <w:rPr>
          <w:lang w:bidi="fa-IR"/>
        </w:rPr>
        <w:t>Chillers</w:t>
      </w:r>
    </w:p>
    <w:p w14:paraId="7102AC36" w14:textId="77777777" w:rsidR="00767FC0" w:rsidRPr="00844A6E" w:rsidRDefault="00767FC0" w:rsidP="00767FC0">
      <w:pPr>
        <w:pStyle w:val="BodyText"/>
        <w:rPr>
          <w:szCs w:val="22"/>
          <w:lang w:bidi="fa-IR"/>
        </w:rPr>
      </w:pPr>
      <w:r w:rsidRPr="00844A6E">
        <w:rPr>
          <w:szCs w:val="22"/>
          <w:lang w:bidi="fa-IR"/>
        </w:rPr>
        <w:t xml:space="preserve">The chiller provisions have been revised based on cost-effectiveness considerations. The changes also </w:t>
      </w:r>
      <w:r>
        <w:rPr>
          <w:szCs w:val="22"/>
          <w:lang w:bidi="fa-IR"/>
        </w:rPr>
        <w:t>allow</w:t>
      </w:r>
      <w:r w:rsidRPr="00844A6E">
        <w:rPr>
          <w:szCs w:val="22"/>
          <w:lang w:bidi="fa-IR"/>
        </w:rPr>
        <w:t xml:space="preserve"> chillers, which are connected to serve a common load</w:t>
      </w:r>
      <w:r>
        <w:rPr>
          <w:szCs w:val="22"/>
          <w:lang w:bidi="fa-IR"/>
        </w:rPr>
        <w:t>, to</w:t>
      </w:r>
      <w:r w:rsidRPr="00844A6E">
        <w:rPr>
          <w:szCs w:val="22"/>
          <w:lang w:bidi="fa-IR"/>
        </w:rPr>
        <w:t xml:space="preserve"> be assessed as a system. This allows sizing practices to be taken into account in the assessment, allows greater flexibility for designers, and is a more proportionate approach.</w:t>
      </w:r>
      <w:r>
        <w:rPr>
          <w:szCs w:val="22"/>
          <w:lang w:bidi="fa-IR"/>
        </w:rPr>
        <w:t xml:space="preserve"> However, an equipment-level compliance pathway is also provided, reflecting the same stringency assumptions built into the system-level metric.</w:t>
      </w:r>
    </w:p>
    <w:p w14:paraId="0E957A1F" w14:textId="77777777" w:rsidR="00767FC0" w:rsidRDefault="00767FC0" w:rsidP="00767FC0">
      <w:pPr>
        <w:pStyle w:val="Heading5"/>
        <w:numPr>
          <w:ilvl w:val="0"/>
          <w:numId w:val="0"/>
        </w:numPr>
        <w:rPr>
          <w:lang w:bidi="fa-IR"/>
        </w:rPr>
      </w:pPr>
      <w:r>
        <w:rPr>
          <w:lang w:bidi="fa-IR"/>
        </w:rPr>
        <w:t>Unitary air conditioning equipment</w:t>
      </w:r>
    </w:p>
    <w:p w14:paraId="177ABD53" w14:textId="77777777" w:rsidR="00767FC0" w:rsidRPr="00844A6E" w:rsidRDefault="00767FC0" w:rsidP="00767FC0">
      <w:pPr>
        <w:pStyle w:val="BodyText"/>
        <w:rPr>
          <w:szCs w:val="22"/>
          <w:lang w:bidi="fa-IR"/>
        </w:rPr>
      </w:pPr>
      <w:r w:rsidRPr="00844A6E">
        <w:rPr>
          <w:szCs w:val="22"/>
          <w:lang w:bidi="fa-IR"/>
        </w:rPr>
        <w:t xml:space="preserve">Minimum efficiency for air-cooled packaged air-conditioning systems (PACS) and variable refrigerant flow systems (VRF) are set on the basis of market averages (excluding the bottom </w:t>
      </w:r>
      <w:r>
        <w:rPr>
          <w:szCs w:val="22"/>
          <w:lang w:bidi="fa-IR"/>
        </w:rPr>
        <w:t>quintile</w:t>
      </w:r>
      <w:r w:rsidRPr="00844A6E">
        <w:rPr>
          <w:szCs w:val="22"/>
          <w:lang w:bidi="fa-IR"/>
        </w:rPr>
        <w:t xml:space="preserve"> for VRF). While even higher stringencies were shown to be cost-effective, they are not proposed to be adopted due to the potential impacts on the availability of stock.</w:t>
      </w:r>
    </w:p>
    <w:p w14:paraId="5ABDC642" w14:textId="77777777" w:rsidR="00767FC0" w:rsidRPr="00844A6E" w:rsidRDefault="00767FC0" w:rsidP="00767FC0">
      <w:pPr>
        <w:pStyle w:val="BodyText"/>
        <w:rPr>
          <w:szCs w:val="22"/>
          <w:lang w:bidi="fa-IR"/>
        </w:rPr>
      </w:pPr>
      <w:r w:rsidRPr="00844A6E">
        <w:rPr>
          <w:szCs w:val="22"/>
          <w:lang w:bidi="fa-IR"/>
        </w:rPr>
        <w:t xml:space="preserve">As with chillers, the changes also stipulate that air-cooled air conditioning unit efficiency </w:t>
      </w:r>
      <w:r>
        <w:rPr>
          <w:szCs w:val="22"/>
          <w:lang w:bidi="fa-IR"/>
        </w:rPr>
        <w:t xml:space="preserve">may </w:t>
      </w:r>
      <w:r w:rsidRPr="00844A6E">
        <w:rPr>
          <w:szCs w:val="22"/>
          <w:lang w:bidi="fa-IR"/>
        </w:rPr>
        <w:t>be assessed collectively.</w:t>
      </w:r>
    </w:p>
    <w:p w14:paraId="3D6BB927" w14:textId="1BCBAB14" w:rsidR="00767FC0" w:rsidRPr="00844A6E" w:rsidRDefault="00767FC0" w:rsidP="00767FC0">
      <w:pPr>
        <w:pStyle w:val="BodyText"/>
        <w:rPr>
          <w:szCs w:val="22"/>
          <w:lang w:bidi="fa-IR"/>
        </w:rPr>
      </w:pPr>
      <w:r w:rsidRPr="00844A6E">
        <w:rPr>
          <w:szCs w:val="22"/>
          <w:lang w:bidi="fa-IR"/>
        </w:rPr>
        <w:t xml:space="preserve">Variable </w:t>
      </w:r>
      <w:r>
        <w:rPr>
          <w:szCs w:val="22"/>
          <w:lang w:bidi="fa-IR"/>
        </w:rPr>
        <w:t>capacity</w:t>
      </w:r>
      <w:r w:rsidRPr="00844A6E">
        <w:rPr>
          <w:szCs w:val="22"/>
          <w:lang w:bidi="fa-IR"/>
        </w:rPr>
        <w:t xml:space="preserve"> compressor</w:t>
      </w:r>
      <w:r>
        <w:rPr>
          <w:szCs w:val="22"/>
          <w:lang w:bidi="fa-IR"/>
        </w:rPr>
        <w:t>s</w:t>
      </w:r>
      <w:r w:rsidRPr="00844A6E">
        <w:rPr>
          <w:szCs w:val="22"/>
          <w:lang w:bidi="fa-IR"/>
        </w:rPr>
        <w:t xml:space="preserve"> and </w:t>
      </w:r>
      <w:r>
        <w:rPr>
          <w:szCs w:val="22"/>
          <w:lang w:bidi="fa-IR"/>
        </w:rPr>
        <w:t>outdoor</w:t>
      </w:r>
      <w:r w:rsidRPr="00844A6E">
        <w:rPr>
          <w:szCs w:val="22"/>
          <w:lang w:bidi="fa-IR"/>
        </w:rPr>
        <w:t xml:space="preserve"> fans are also proposed based on cost-effectiveness.</w:t>
      </w:r>
      <w:r w:rsidR="00A04481">
        <w:rPr>
          <w:szCs w:val="22"/>
          <w:lang w:bidi="fa-IR"/>
        </w:rPr>
        <w:t xml:space="preserve"> </w:t>
      </w:r>
      <w:r w:rsidR="00A04481" w:rsidRPr="005B7E5C">
        <w:rPr>
          <w:szCs w:val="22"/>
          <w:lang w:bidi="fa-IR"/>
        </w:rPr>
        <w:t>A compliance pathway based on Total Cooling Seasonal Performance Factor is included as an alternative option that addresses part load efficiency.</w:t>
      </w:r>
    </w:p>
    <w:p w14:paraId="68AAEB93" w14:textId="77777777" w:rsidR="00767FC0" w:rsidRPr="00844A6E" w:rsidRDefault="00767FC0" w:rsidP="00767FC0">
      <w:pPr>
        <w:pStyle w:val="BodyText"/>
        <w:rPr>
          <w:szCs w:val="22"/>
          <w:lang w:bidi="fa-IR"/>
        </w:rPr>
      </w:pPr>
      <w:r w:rsidRPr="00844A6E">
        <w:rPr>
          <w:szCs w:val="22"/>
          <w:lang w:bidi="fa-IR"/>
        </w:rPr>
        <w:t>It is noted that this is a significant change in scope compared with the current provisions, which only cover units above 65 kW.</w:t>
      </w:r>
    </w:p>
    <w:p w14:paraId="001C6184" w14:textId="77777777" w:rsidR="00767FC0" w:rsidRPr="00844A6E" w:rsidRDefault="00767FC0" w:rsidP="00767FC0">
      <w:pPr>
        <w:pStyle w:val="BodyText"/>
        <w:rPr>
          <w:szCs w:val="22"/>
          <w:lang w:bidi="fa-IR"/>
        </w:rPr>
      </w:pPr>
      <w:r w:rsidRPr="00844A6E">
        <w:rPr>
          <w:szCs w:val="22"/>
          <w:lang w:bidi="fa-IR"/>
        </w:rPr>
        <w:t>There is also a correction to the reference standard AS/NZ 3823.1.2 to AS/NZ ISO 13256.1 for water-cooled unitary equipment, but there is no change to stringency levels for this equipment item.</w:t>
      </w:r>
    </w:p>
    <w:p w14:paraId="5BD5A2C6" w14:textId="77777777" w:rsidR="00767FC0" w:rsidRDefault="00767FC0" w:rsidP="00767FC0">
      <w:pPr>
        <w:pStyle w:val="Heading5"/>
        <w:numPr>
          <w:ilvl w:val="0"/>
          <w:numId w:val="0"/>
        </w:numPr>
        <w:rPr>
          <w:lang w:bidi="fa-IR"/>
        </w:rPr>
      </w:pPr>
      <w:r>
        <w:rPr>
          <w:lang w:bidi="fa-IR"/>
        </w:rPr>
        <w:t>Heat rejection equipment</w:t>
      </w:r>
    </w:p>
    <w:p w14:paraId="2DD26B03" w14:textId="77777777" w:rsidR="00767FC0" w:rsidRPr="00844A6E" w:rsidRDefault="00767FC0" w:rsidP="00767FC0">
      <w:pPr>
        <w:pStyle w:val="BodyText"/>
        <w:rPr>
          <w:szCs w:val="22"/>
          <w:lang w:bidi="fa-IR"/>
        </w:rPr>
      </w:pPr>
      <w:r w:rsidRPr="00844A6E">
        <w:rPr>
          <w:szCs w:val="22"/>
          <w:lang w:bidi="fa-IR"/>
        </w:rPr>
        <w:t>Variable speed motors in heat rejection fans are proposed on the basis of cost-effectiveness.</w:t>
      </w:r>
    </w:p>
    <w:p w14:paraId="7C601539" w14:textId="77777777" w:rsidR="00767FC0" w:rsidRDefault="00767FC0" w:rsidP="00767FC0">
      <w:pPr>
        <w:pStyle w:val="Heading4"/>
        <w:numPr>
          <w:ilvl w:val="0"/>
          <w:numId w:val="0"/>
        </w:numPr>
        <w:rPr>
          <w:lang w:bidi="fa-IR"/>
        </w:rPr>
      </w:pPr>
      <w:r>
        <w:rPr>
          <w:lang w:bidi="fa-IR"/>
        </w:rPr>
        <w:t>Lighting</w:t>
      </w:r>
    </w:p>
    <w:p w14:paraId="0D1B2252" w14:textId="77777777" w:rsidR="00767FC0" w:rsidRPr="00844A6E" w:rsidRDefault="00767FC0" w:rsidP="00767FC0">
      <w:pPr>
        <w:pStyle w:val="BodyText"/>
        <w:rPr>
          <w:szCs w:val="22"/>
          <w:lang w:bidi="fa-IR"/>
        </w:rPr>
      </w:pPr>
      <w:r w:rsidRPr="00844A6E">
        <w:rPr>
          <w:szCs w:val="22"/>
          <w:lang w:bidi="fa-IR"/>
        </w:rPr>
        <w:t>No overall increase in stringency is proposed for lighting illumination power densities. However, changes are proposed related to lighting switching and controls. The Lighting Council of Australia and the International Association of Lighting Designers were consulted during the development of these changes. The changes are designed to simplify the language of the provisions and update them so that they are consistent with new lighting control technologies.</w:t>
      </w:r>
    </w:p>
    <w:p w14:paraId="65006BF1" w14:textId="77777777" w:rsidR="00767FC0" w:rsidRPr="00844A6E" w:rsidRDefault="00767FC0" w:rsidP="00767FC0">
      <w:pPr>
        <w:pStyle w:val="BodyText"/>
        <w:rPr>
          <w:szCs w:val="22"/>
          <w:lang w:bidi="fa-IR"/>
        </w:rPr>
      </w:pPr>
      <w:r w:rsidRPr="00844A6E">
        <w:rPr>
          <w:szCs w:val="22"/>
          <w:lang w:bidi="fa-IR"/>
        </w:rPr>
        <w:t>In response to comment from the Australian Elevator Association, the maximum/illumination power density for lift car is proposed to be increased to 5</w:t>
      </w:r>
      <w:r>
        <w:rPr>
          <w:szCs w:val="22"/>
          <w:lang w:bidi="fa-IR"/>
        </w:rPr>
        <w:t>.5</w:t>
      </w:r>
      <w:r w:rsidRPr="00844A6E">
        <w:rPr>
          <w:szCs w:val="22"/>
          <w:lang w:bidi="fa-IR"/>
        </w:rPr>
        <w:t xml:space="preserve"> W/m</w:t>
      </w:r>
      <w:r w:rsidRPr="00844A6E">
        <w:rPr>
          <w:szCs w:val="22"/>
          <w:vertAlign w:val="superscript"/>
          <w:lang w:bidi="fa-IR"/>
        </w:rPr>
        <w:t>2</w:t>
      </w:r>
      <w:r w:rsidRPr="00844A6E">
        <w:rPr>
          <w:szCs w:val="22"/>
          <w:lang w:bidi="fa-IR"/>
        </w:rPr>
        <w:t xml:space="preserve"> (refer to the last item in Table J7D3a). This value has been calculated on the basis of notes (1)(i) and (ii), (2) and (3) to Table J7D3a; Table J7D3b and Table J7D3c.</w:t>
      </w:r>
    </w:p>
    <w:p w14:paraId="5C39F9AE" w14:textId="77777777" w:rsidR="00767FC0" w:rsidRDefault="00767FC0" w:rsidP="00767FC0">
      <w:pPr>
        <w:pStyle w:val="Heading4"/>
        <w:numPr>
          <w:ilvl w:val="0"/>
          <w:numId w:val="0"/>
        </w:numPr>
        <w:rPr>
          <w:lang w:bidi="fa-IR"/>
        </w:rPr>
      </w:pPr>
      <w:r>
        <w:rPr>
          <w:lang w:bidi="fa-IR"/>
        </w:rPr>
        <w:t>Renewable Energy</w:t>
      </w:r>
    </w:p>
    <w:p w14:paraId="372C6F17" w14:textId="77777777" w:rsidR="00767FC0" w:rsidRPr="00844A6E" w:rsidRDefault="00767FC0" w:rsidP="00767FC0">
      <w:pPr>
        <w:pStyle w:val="BodyText"/>
        <w:rPr>
          <w:szCs w:val="22"/>
          <w:lang w:bidi="fa-IR"/>
        </w:rPr>
      </w:pPr>
      <w:r w:rsidRPr="00844A6E">
        <w:rPr>
          <w:szCs w:val="22"/>
          <w:lang w:bidi="fa-IR"/>
        </w:rPr>
        <w:t>The technical analysis showed that maximising the amount of PV panels on available roof space was a cost-effective requirement for all building archetypes modelled. The</w:t>
      </w:r>
      <w:r>
        <w:rPr>
          <w:lang w:bidi="fa-IR"/>
        </w:rPr>
        <w:t xml:space="preserve"> </w:t>
      </w:r>
      <w:r w:rsidRPr="00844A6E">
        <w:rPr>
          <w:szCs w:val="22"/>
          <w:lang w:bidi="fa-IR"/>
        </w:rPr>
        <w:t>strength of the business case for PV stems primarily from the opportunity to use the solar that is generated onsite to meet loads within the building, thereby reducing the amount of electricity that needs to be purchased from the grid. Under Stringency Level 2, the amount of PV required will depend on the amount of available unshaded</w:t>
      </w:r>
      <w:r>
        <w:rPr>
          <w:szCs w:val="22"/>
          <w:lang w:bidi="fa-IR"/>
        </w:rPr>
        <w:t xml:space="preserve"> </w:t>
      </w:r>
      <w:r w:rsidRPr="00844A6E">
        <w:rPr>
          <w:szCs w:val="22"/>
          <w:lang w:bidi="fa-IR"/>
        </w:rPr>
        <w:t>roof space and the total energy building demand</w:t>
      </w:r>
      <w:r>
        <w:rPr>
          <w:szCs w:val="22"/>
          <w:lang w:bidi="fa-IR"/>
        </w:rPr>
        <w:t>.</w:t>
      </w:r>
    </w:p>
    <w:p w14:paraId="3EAE87E4" w14:textId="77777777" w:rsidR="00767FC0" w:rsidRPr="00844A6E" w:rsidRDefault="00767FC0" w:rsidP="00767FC0">
      <w:pPr>
        <w:pStyle w:val="BodyText"/>
        <w:rPr>
          <w:szCs w:val="22"/>
          <w:lang w:bidi="fa-IR"/>
        </w:rPr>
      </w:pPr>
      <w:r w:rsidRPr="00844A6E">
        <w:rPr>
          <w:szCs w:val="22"/>
          <w:lang w:bidi="fa-IR"/>
        </w:rPr>
        <w:t>Higher rates of PV installation would be required under Stringency Level 3</w:t>
      </w:r>
      <w:r>
        <w:rPr>
          <w:szCs w:val="22"/>
          <w:lang w:bidi="fa-IR"/>
        </w:rPr>
        <w:t xml:space="preserve"> if gas is installed</w:t>
      </w:r>
      <w:r w:rsidRPr="00844A6E">
        <w:rPr>
          <w:szCs w:val="22"/>
          <w:lang w:bidi="fa-IR"/>
        </w:rPr>
        <w:t xml:space="preserve">, with a high proportion of PV being installed to meet the near net zero energy and </w:t>
      </w:r>
      <w:r w:rsidRPr="00844A6E">
        <w:rPr>
          <w:szCs w:val="22"/>
        </w:rPr>
        <w:t xml:space="preserve">GHG </w:t>
      </w:r>
      <w:r w:rsidRPr="00844A6E">
        <w:rPr>
          <w:szCs w:val="22"/>
          <w:lang w:bidi="fa-IR"/>
        </w:rPr>
        <w:t>abatement requirement.</w:t>
      </w:r>
    </w:p>
    <w:p w14:paraId="48A01B0E" w14:textId="77777777" w:rsidR="00767FC0" w:rsidRPr="001E68D7" w:rsidRDefault="00767FC0" w:rsidP="00767FC0">
      <w:pPr>
        <w:pStyle w:val="BodyText"/>
        <w:rPr>
          <w:lang w:bidi="fa-IR"/>
        </w:rPr>
      </w:pPr>
      <w:r w:rsidRPr="00844A6E">
        <w:rPr>
          <w:szCs w:val="22"/>
          <w:lang w:bidi="fa-IR"/>
        </w:rPr>
        <w:t>If a requirement for PV panels was adopted then the existing requirements in Part B for warehouse buildings to ensure that they have the appropriate structural capacity for them would be deleted, given PV would be being installed at the time of construction.</w:t>
      </w:r>
    </w:p>
    <w:p w14:paraId="413AD123" w14:textId="77777777" w:rsidR="00767FC0" w:rsidRDefault="00767FC0" w:rsidP="00C80A86">
      <w:pPr>
        <w:pStyle w:val="Heading3"/>
        <w:rPr>
          <w:lang w:bidi="fa-IR"/>
        </w:rPr>
      </w:pPr>
      <w:bookmarkStart w:id="777" w:name="_Toc177735095"/>
      <w:r>
        <w:rPr>
          <w:lang w:bidi="fa-IR"/>
        </w:rPr>
        <w:t>Options: mandatory electric vehicle charging</w:t>
      </w:r>
      <w:bookmarkEnd w:id="777"/>
    </w:p>
    <w:p w14:paraId="0875F885" w14:textId="77777777" w:rsidR="00767FC0" w:rsidRPr="00844A6E" w:rsidRDefault="00767FC0" w:rsidP="00767FC0">
      <w:pPr>
        <w:pStyle w:val="BodyText"/>
        <w:rPr>
          <w:szCs w:val="22"/>
          <w:lang w:bidi="fa-IR"/>
        </w:rPr>
      </w:pPr>
      <w:r w:rsidRPr="00844A6E">
        <w:rPr>
          <w:szCs w:val="22"/>
          <w:lang w:bidi="fa-IR"/>
        </w:rPr>
        <w:t xml:space="preserve">The installation of Type 2, 7 kW (32A) EV chargers is proposed for 15 per cent of carparking spaces in Class 3 and 9 buildings and for 10 per cent of carparking spaces in Class 5 and 6 buildings. These ratios reflect the projected need for EV chargers, given expected uptake of the technology, and because the power consumption of the equipment will be able to be met with business-as-usual electrical supply limits. </w:t>
      </w:r>
      <w:r>
        <w:rPr>
          <w:szCs w:val="22"/>
          <w:lang w:bidi="fa-IR"/>
        </w:rPr>
        <w:t>Explanatory information has</w:t>
      </w:r>
      <w:r w:rsidRPr="00844A6E">
        <w:rPr>
          <w:szCs w:val="22"/>
          <w:lang w:bidi="fa-IR"/>
        </w:rPr>
        <w:t xml:space="preserve"> </w:t>
      </w:r>
      <w:r>
        <w:rPr>
          <w:szCs w:val="22"/>
          <w:lang w:bidi="fa-IR"/>
        </w:rPr>
        <w:t xml:space="preserve">been added to the text explaining how the requirement for charge control equipment affects calculation of maximum demand under ASNZ 3000. </w:t>
      </w:r>
      <w:r w:rsidRPr="00844A6E">
        <w:rPr>
          <w:szCs w:val="22"/>
          <w:lang w:bidi="fa-IR"/>
        </w:rPr>
        <w:t xml:space="preserve">The provisions also clarify </w:t>
      </w:r>
      <w:r>
        <w:rPr>
          <w:szCs w:val="22"/>
          <w:lang w:bidi="fa-IR"/>
        </w:rPr>
        <w:t>that the EV chargers for</w:t>
      </w:r>
      <w:r w:rsidRPr="00844A6E">
        <w:rPr>
          <w:szCs w:val="22"/>
          <w:lang w:bidi="fa-IR"/>
        </w:rPr>
        <w:t xml:space="preserve"> accessible carparking spaces</w:t>
      </w:r>
      <w:r>
        <w:rPr>
          <w:szCs w:val="22"/>
          <w:lang w:bidi="fa-IR"/>
        </w:rPr>
        <w:t xml:space="preserve"> are additional</w:t>
      </w:r>
      <w:r w:rsidRPr="00844A6E">
        <w:rPr>
          <w:szCs w:val="22"/>
          <w:lang w:bidi="fa-IR"/>
        </w:rPr>
        <w:t>.</w:t>
      </w:r>
      <w:r>
        <w:rPr>
          <w:szCs w:val="22"/>
          <w:lang w:bidi="fa-IR"/>
        </w:rPr>
        <w:t xml:space="preserve"> </w:t>
      </w:r>
    </w:p>
    <w:p w14:paraId="30CBC0C3" w14:textId="77777777" w:rsidR="00767FC0" w:rsidRPr="00844A6E" w:rsidRDefault="00767FC0" w:rsidP="00767FC0">
      <w:pPr>
        <w:pStyle w:val="BodyText"/>
        <w:rPr>
          <w:szCs w:val="22"/>
          <w:lang w:bidi="fa-IR"/>
        </w:rPr>
      </w:pPr>
      <w:r w:rsidRPr="00844A6E">
        <w:rPr>
          <w:szCs w:val="22"/>
          <w:lang w:bidi="fa-IR"/>
        </w:rPr>
        <w:t>The main intent of these provisions is to increase the charging options for people unable to charge an EV at home, especially people living in existing Class 2 buildings where it is difficult to install EV charging equipment or Class 1 buildings without off-street parking. The proposed ratio of EV chargers is the same across all three stringency levels.</w:t>
      </w:r>
    </w:p>
    <w:p w14:paraId="6EF09451" w14:textId="4B5149CC" w:rsidR="00767FC0" w:rsidRPr="00E72D3E" w:rsidRDefault="00767FC0" w:rsidP="00767FC0">
      <w:pPr>
        <w:pStyle w:val="Heading1"/>
        <w:tabs>
          <w:tab w:val="num" w:pos="170"/>
        </w:tabs>
        <w:ind w:left="170" w:hanging="170"/>
        <w:rPr>
          <w:lang w:bidi="fa-IR"/>
        </w:rPr>
      </w:pPr>
      <w:bookmarkStart w:id="778" w:name="_Ref148958747"/>
      <w:bookmarkStart w:id="779" w:name="_Toc149060065"/>
      <w:bookmarkStart w:id="780" w:name="_Toc177735096"/>
      <w:r>
        <w:rPr>
          <w:lang w:bidi="fa-IR"/>
        </w:rPr>
        <w:tab/>
      </w:r>
      <w:bookmarkStart w:id="781" w:name="_Toc178292530"/>
      <w:r>
        <w:rPr>
          <w:lang w:bidi="fa-IR"/>
        </w:rPr>
        <w:t>Approach to i</w:t>
      </w:r>
      <w:r w:rsidRPr="00E72D3E">
        <w:rPr>
          <w:lang w:bidi="fa-IR"/>
        </w:rPr>
        <w:t>mpact analysis</w:t>
      </w:r>
      <w:bookmarkEnd w:id="778"/>
      <w:bookmarkEnd w:id="779"/>
      <w:bookmarkEnd w:id="780"/>
      <w:bookmarkEnd w:id="781"/>
    </w:p>
    <w:p w14:paraId="1E76D340" w14:textId="2EFA65E1" w:rsidR="00767FC0" w:rsidRPr="00844A6E" w:rsidRDefault="00767FC0" w:rsidP="00767FC0">
      <w:pPr>
        <w:pStyle w:val="BodyText"/>
        <w:rPr>
          <w:szCs w:val="22"/>
        </w:rPr>
      </w:pPr>
      <w:r w:rsidRPr="00844A6E">
        <w:rPr>
          <w:szCs w:val="22"/>
        </w:rPr>
        <w:t>The impact analysis is conducted by comparing the impacts of proposed changes to the NCC (</w:t>
      </w:r>
      <w:r w:rsidR="00E13EB8">
        <w:rPr>
          <w:szCs w:val="22"/>
        </w:rPr>
        <w:t>Stringency Level</w:t>
      </w:r>
      <w:r w:rsidR="00E13EB8" w:rsidRPr="00844A6E">
        <w:rPr>
          <w:szCs w:val="22"/>
        </w:rPr>
        <w:t xml:space="preserve">s </w:t>
      </w:r>
      <w:r w:rsidRPr="00844A6E">
        <w:rPr>
          <w:szCs w:val="22"/>
        </w:rPr>
        <w:t>1 to 3</w:t>
      </w:r>
      <w:r w:rsidR="001F6DE3">
        <w:rPr>
          <w:szCs w:val="22"/>
        </w:rPr>
        <w:t xml:space="preserve"> and mandatory </w:t>
      </w:r>
      <w:r w:rsidR="00915233">
        <w:rPr>
          <w:szCs w:val="22"/>
        </w:rPr>
        <w:t>EV charging facilities</w:t>
      </w:r>
      <w:r w:rsidRPr="00844A6E">
        <w:rPr>
          <w:szCs w:val="22"/>
        </w:rPr>
        <w:t>) to the baseline business as usual option (base case). The analysis aimed to identify likely impacts from the options through:</w:t>
      </w:r>
    </w:p>
    <w:p w14:paraId="4F930069" w14:textId="77777777" w:rsidR="00767FC0" w:rsidRPr="00844A6E" w:rsidRDefault="00767FC0" w:rsidP="00767FC0">
      <w:pPr>
        <w:pStyle w:val="ListBullet"/>
        <w:rPr>
          <w:szCs w:val="22"/>
        </w:rPr>
      </w:pPr>
      <w:r w:rsidRPr="00844A6E">
        <w:rPr>
          <w:szCs w:val="22"/>
        </w:rPr>
        <w:t xml:space="preserve">early consultation with stakeholders from industry and government agencies; </w:t>
      </w:r>
    </w:p>
    <w:p w14:paraId="5583A4E5" w14:textId="77777777" w:rsidR="00767FC0" w:rsidRPr="00844A6E" w:rsidRDefault="00767FC0" w:rsidP="00767FC0">
      <w:pPr>
        <w:pStyle w:val="ListBullet"/>
        <w:rPr>
          <w:szCs w:val="22"/>
        </w:rPr>
      </w:pPr>
      <w:r w:rsidRPr="00844A6E">
        <w:rPr>
          <w:szCs w:val="22"/>
        </w:rPr>
        <w:t>reviewing energy modelling results by DeltaQ; and</w:t>
      </w:r>
    </w:p>
    <w:p w14:paraId="3659BC7C" w14:textId="77777777" w:rsidR="00767FC0" w:rsidRPr="00844A6E" w:rsidRDefault="00767FC0" w:rsidP="00767FC0">
      <w:pPr>
        <w:pStyle w:val="ListBullet"/>
        <w:rPr>
          <w:szCs w:val="22"/>
        </w:rPr>
      </w:pPr>
      <w:r w:rsidRPr="00844A6E">
        <w:rPr>
          <w:szCs w:val="22"/>
        </w:rPr>
        <w:t>reviewing relevant data from other sources to assist the analysis.</w:t>
      </w:r>
    </w:p>
    <w:p w14:paraId="2BA0ABFA" w14:textId="77777777" w:rsidR="00767FC0" w:rsidRDefault="00767FC0" w:rsidP="00767FC0">
      <w:pPr>
        <w:pStyle w:val="Heading2"/>
        <w:numPr>
          <w:ilvl w:val="0"/>
          <w:numId w:val="0"/>
        </w:numPr>
      </w:pPr>
      <w:bookmarkStart w:id="782" w:name="_Toc507523757"/>
      <w:bookmarkStart w:id="783" w:name="_Toc507779955"/>
      <w:bookmarkStart w:id="784" w:name="_Toc149060066"/>
      <w:bookmarkStart w:id="785" w:name="_Toc177735097"/>
      <w:bookmarkStart w:id="786" w:name="_Toc178292531"/>
      <w:r>
        <w:t>Overview of impact analysis methodology</w:t>
      </w:r>
      <w:bookmarkEnd w:id="782"/>
      <w:bookmarkEnd w:id="783"/>
      <w:bookmarkEnd w:id="784"/>
      <w:bookmarkEnd w:id="785"/>
      <w:bookmarkEnd w:id="786"/>
    </w:p>
    <w:p w14:paraId="4DF261DF" w14:textId="77777777" w:rsidR="00767FC0" w:rsidRDefault="00767FC0" w:rsidP="00767FC0">
      <w:pPr>
        <w:pStyle w:val="Heading3"/>
        <w:numPr>
          <w:ilvl w:val="0"/>
          <w:numId w:val="0"/>
        </w:numPr>
      </w:pPr>
      <w:r>
        <w:t>Early consultation with stakeholders</w:t>
      </w:r>
    </w:p>
    <w:p w14:paraId="66A18FDC" w14:textId="77777777" w:rsidR="00767FC0" w:rsidRPr="00844A6E" w:rsidRDefault="00767FC0" w:rsidP="00767FC0">
      <w:pPr>
        <w:pStyle w:val="BodyText"/>
        <w:rPr>
          <w:szCs w:val="22"/>
        </w:rPr>
      </w:pPr>
      <w:r w:rsidRPr="00844A6E">
        <w:rPr>
          <w:szCs w:val="22"/>
        </w:rPr>
        <w:t>The purpose of the targeted early consultations was to gather relevant views and</w:t>
      </w:r>
      <w:r>
        <w:t xml:space="preserve"> </w:t>
      </w:r>
      <w:r w:rsidRPr="00844A6E">
        <w:rPr>
          <w:szCs w:val="22"/>
        </w:rPr>
        <w:t>information necessary to complete the cost</w:t>
      </w:r>
      <w:r w:rsidRPr="00844A6E">
        <w:rPr>
          <w:szCs w:val="22"/>
        </w:rPr>
        <w:noBreakHyphen/>
        <w:t>benefit analysis (CBA), especially the key parameters that likely affect the CBA.</w:t>
      </w:r>
    </w:p>
    <w:p w14:paraId="5F18E1AF" w14:textId="77777777" w:rsidR="00767FC0" w:rsidRPr="00844A6E" w:rsidRDefault="00767FC0" w:rsidP="00767FC0">
      <w:pPr>
        <w:pStyle w:val="BodyText"/>
        <w:rPr>
          <w:szCs w:val="22"/>
        </w:rPr>
      </w:pPr>
      <w:r w:rsidRPr="00844A6E">
        <w:rPr>
          <w:szCs w:val="22"/>
        </w:rPr>
        <w:t>A range of stakeholders covering the major commercial building sectors were contacted to seek their views on potential implications from the proposed changes to Section J of NCC. To assist the consultation, an issues paper including questionnaires was prepared and sent to stakeholders before the interview.</w:t>
      </w:r>
    </w:p>
    <w:p w14:paraId="5896CC97" w14:textId="77777777" w:rsidR="00767FC0" w:rsidRPr="00844A6E" w:rsidRDefault="00767FC0" w:rsidP="00767FC0">
      <w:pPr>
        <w:pStyle w:val="BodyText"/>
        <w:rPr>
          <w:szCs w:val="22"/>
        </w:rPr>
      </w:pPr>
      <w:r w:rsidRPr="00844A6E">
        <w:rPr>
          <w:szCs w:val="22"/>
        </w:rPr>
        <w:t>Findings from the consultation are discussed in the relevant parts of this chapter.</w:t>
      </w:r>
    </w:p>
    <w:p w14:paraId="2C33AAC7" w14:textId="77777777" w:rsidR="00767FC0" w:rsidRDefault="00767FC0" w:rsidP="00767FC0">
      <w:pPr>
        <w:pStyle w:val="Heading3"/>
        <w:numPr>
          <w:ilvl w:val="0"/>
          <w:numId w:val="0"/>
        </w:numPr>
      </w:pPr>
      <w:r>
        <w:t>Review of DeltaQ modelling</w:t>
      </w:r>
    </w:p>
    <w:p w14:paraId="552B59AD" w14:textId="77777777" w:rsidR="00767FC0" w:rsidRPr="00844A6E" w:rsidRDefault="00767FC0" w:rsidP="00767FC0">
      <w:pPr>
        <w:pStyle w:val="BodyText"/>
        <w:rPr>
          <w:szCs w:val="22"/>
        </w:rPr>
      </w:pPr>
      <w:r w:rsidRPr="00844A6E">
        <w:rPr>
          <w:szCs w:val="22"/>
        </w:rPr>
        <w:t>DeltaQ has conducted whole</w:t>
      </w:r>
      <w:r w:rsidRPr="00844A6E">
        <w:rPr>
          <w:szCs w:val="22"/>
        </w:rPr>
        <w:noBreakHyphen/>
        <w:t xml:space="preserve">building modelling of the impacts of the proposed changes to the NCC on energy consumption by fuel type (electricity and gas) as well as electricity exported to the grid (for stringencies where rooftop solar is mandatory). DeltaQ’s modelling compares buildings compliant with NCC </w:t>
      </w:r>
      <w:r>
        <w:rPr>
          <w:szCs w:val="22"/>
        </w:rPr>
        <w:t>2022</w:t>
      </w:r>
      <w:r w:rsidRPr="00844A6E">
        <w:rPr>
          <w:szCs w:val="22"/>
        </w:rPr>
        <w:t xml:space="preserve"> and NCC 2025 (under all stringencies) across:</w:t>
      </w:r>
    </w:p>
    <w:p w14:paraId="7B1C2353" w14:textId="77777777" w:rsidR="00767FC0" w:rsidRPr="00844A6E" w:rsidRDefault="00767FC0" w:rsidP="00767FC0">
      <w:pPr>
        <w:pStyle w:val="ListBullet"/>
        <w:rPr>
          <w:szCs w:val="22"/>
        </w:rPr>
      </w:pPr>
      <w:r w:rsidRPr="00844A6E">
        <w:rPr>
          <w:szCs w:val="22"/>
        </w:rPr>
        <w:t>10 building archetypes (see appendix E for further details), including:</w:t>
      </w:r>
    </w:p>
    <w:p w14:paraId="0184336C" w14:textId="77777777" w:rsidR="00767FC0" w:rsidRPr="00844A6E" w:rsidRDefault="00767FC0" w:rsidP="00767FC0">
      <w:pPr>
        <w:pStyle w:val="ListBullet"/>
        <w:numPr>
          <w:ilvl w:val="1"/>
          <w:numId w:val="34"/>
        </w:numPr>
        <w:rPr>
          <w:szCs w:val="22"/>
        </w:rPr>
      </w:pPr>
      <w:r w:rsidRPr="00844A6E">
        <w:rPr>
          <w:szCs w:val="22"/>
        </w:rPr>
        <w:t>a small hotel (Class 3)</w:t>
      </w:r>
    </w:p>
    <w:p w14:paraId="47B56AE9" w14:textId="77777777" w:rsidR="00767FC0" w:rsidRPr="00844A6E" w:rsidRDefault="00767FC0" w:rsidP="00767FC0">
      <w:pPr>
        <w:pStyle w:val="ListBullet"/>
        <w:numPr>
          <w:ilvl w:val="1"/>
          <w:numId w:val="34"/>
        </w:numPr>
        <w:rPr>
          <w:szCs w:val="22"/>
        </w:rPr>
      </w:pPr>
      <w:r w:rsidRPr="00844A6E">
        <w:rPr>
          <w:szCs w:val="22"/>
        </w:rPr>
        <w:t>a large hotel (Class 3)</w:t>
      </w:r>
    </w:p>
    <w:p w14:paraId="15D33AB9" w14:textId="77777777" w:rsidR="00767FC0" w:rsidRPr="00844A6E" w:rsidRDefault="00767FC0" w:rsidP="00767FC0">
      <w:pPr>
        <w:pStyle w:val="ListBullet"/>
        <w:numPr>
          <w:ilvl w:val="1"/>
          <w:numId w:val="34"/>
        </w:numPr>
        <w:rPr>
          <w:szCs w:val="22"/>
        </w:rPr>
      </w:pPr>
      <w:r w:rsidRPr="00844A6E">
        <w:rPr>
          <w:szCs w:val="22"/>
        </w:rPr>
        <w:t>a small office building (Class 5)</w:t>
      </w:r>
    </w:p>
    <w:p w14:paraId="6380947C" w14:textId="77777777" w:rsidR="00767FC0" w:rsidRPr="00844A6E" w:rsidRDefault="00767FC0" w:rsidP="00767FC0">
      <w:pPr>
        <w:pStyle w:val="ListBullet"/>
        <w:numPr>
          <w:ilvl w:val="1"/>
          <w:numId w:val="34"/>
        </w:numPr>
        <w:rPr>
          <w:szCs w:val="22"/>
        </w:rPr>
      </w:pPr>
      <w:r w:rsidRPr="00844A6E">
        <w:rPr>
          <w:szCs w:val="22"/>
        </w:rPr>
        <w:t>a medium office building (Class 5)</w:t>
      </w:r>
    </w:p>
    <w:p w14:paraId="56CD4B9C" w14:textId="77777777" w:rsidR="00767FC0" w:rsidRPr="00844A6E" w:rsidRDefault="00767FC0" w:rsidP="00767FC0">
      <w:pPr>
        <w:pStyle w:val="ListBullet"/>
        <w:numPr>
          <w:ilvl w:val="1"/>
          <w:numId w:val="34"/>
        </w:numPr>
        <w:rPr>
          <w:szCs w:val="22"/>
        </w:rPr>
      </w:pPr>
      <w:r w:rsidRPr="00844A6E">
        <w:rPr>
          <w:szCs w:val="22"/>
        </w:rPr>
        <w:t>a large office building (Class 5)</w:t>
      </w:r>
    </w:p>
    <w:p w14:paraId="1CDA9576" w14:textId="77777777" w:rsidR="00767FC0" w:rsidRPr="00844A6E" w:rsidRDefault="00767FC0" w:rsidP="00767FC0">
      <w:pPr>
        <w:pStyle w:val="ListBullet"/>
        <w:numPr>
          <w:ilvl w:val="1"/>
          <w:numId w:val="34"/>
        </w:numPr>
        <w:rPr>
          <w:szCs w:val="22"/>
        </w:rPr>
      </w:pPr>
      <w:r w:rsidRPr="00844A6E">
        <w:rPr>
          <w:szCs w:val="22"/>
        </w:rPr>
        <w:t>a strip retail building (Class 6)</w:t>
      </w:r>
    </w:p>
    <w:p w14:paraId="08A49807" w14:textId="77777777" w:rsidR="00767FC0" w:rsidRPr="00844A6E" w:rsidRDefault="00767FC0" w:rsidP="00767FC0">
      <w:pPr>
        <w:pStyle w:val="ListBullet"/>
        <w:numPr>
          <w:ilvl w:val="1"/>
          <w:numId w:val="34"/>
        </w:numPr>
        <w:rPr>
          <w:szCs w:val="22"/>
        </w:rPr>
      </w:pPr>
      <w:r w:rsidRPr="00844A6E">
        <w:rPr>
          <w:szCs w:val="22"/>
        </w:rPr>
        <w:t>a large shopping centre (Class 6)</w:t>
      </w:r>
    </w:p>
    <w:p w14:paraId="2D68F4F3" w14:textId="77777777" w:rsidR="00767FC0" w:rsidRPr="00844A6E" w:rsidRDefault="00767FC0" w:rsidP="00767FC0">
      <w:pPr>
        <w:pStyle w:val="ListBullet"/>
        <w:numPr>
          <w:ilvl w:val="1"/>
          <w:numId w:val="34"/>
        </w:numPr>
        <w:rPr>
          <w:szCs w:val="22"/>
        </w:rPr>
      </w:pPr>
      <w:r w:rsidRPr="00844A6E">
        <w:rPr>
          <w:szCs w:val="22"/>
        </w:rPr>
        <w:t>a large hospital ward (Class 9a)</w:t>
      </w:r>
    </w:p>
    <w:p w14:paraId="2E89CECB" w14:textId="77777777" w:rsidR="00767FC0" w:rsidRPr="00844A6E" w:rsidRDefault="00767FC0" w:rsidP="00767FC0">
      <w:pPr>
        <w:pStyle w:val="ListBullet"/>
        <w:numPr>
          <w:ilvl w:val="1"/>
          <w:numId w:val="34"/>
        </w:numPr>
        <w:rPr>
          <w:szCs w:val="22"/>
        </w:rPr>
      </w:pPr>
      <w:r w:rsidRPr="00844A6E">
        <w:rPr>
          <w:szCs w:val="22"/>
        </w:rPr>
        <w:t>a school (Class 9b)</w:t>
      </w:r>
    </w:p>
    <w:p w14:paraId="77CF0448" w14:textId="77777777" w:rsidR="00767FC0" w:rsidRPr="00844A6E" w:rsidRDefault="00767FC0" w:rsidP="00767FC0">
      <w:pPr>
        <w:pStyle w:val="ListBullet"/>
        <w:numPr>
          <w:ilvl w:val="1"/>
          <w:numId w:val="34"/>
        </w:numPr>
        <w:rPr>
          <w:szCs w:val="22"/>
        </w:rPr>
      </w:pPr>
      <w:r w:rsidRPr="00844A6E">
        <w:rPr>
          <w:szCs w:val="22"/>
        </w:rPr>
        <w:t>an aged care facility (Class 9c)</w:t>
      </w:r>
    </w:p>
    <w:p w14:paraId="5BE42362" w14:textId="77777777" w:rsidR="00767FC0" w:rsidRPr="00844A6E" w:rsidRDefault="00767FC0" w:rsidP="00767FC0">
      <w:pPr>
        <w:pStyle w:val="ListBullet"/>
        <w:rPr>
          <w:szCs w:val="22"/>
        </w:rPr>
      </w:pPr>
      <w:r w:rsidRPr="00844A6E">
        <w:rPr>
          <w:szCs w:val="22"/>
        </w:rPr>
        <w:t xml:space="preserve">each of the 8 climate zones. </w:t>
      </w:r>
    </w:p>
    <w:p w14:paraId="5A2E4FBA" w14:textId="77777777" w:rsidR="00767FC0" w:rsidRDefault="00767FC0" w:rsidP="00767FC0">
      <w:pPr>
        <w:pStyle w:val="Heading3"/>
      </w:pPr>
      <w:r>
        <w:t>Public consultation on Consultation RIS</w:t>
      </w:r>
    </w:p>
    <w:p w14:paraId="3DB56657" w14:textId="41E5B412" w:rsidR="00767FC0" w:rsidRDefault="00767FC0" w:rsidP="00767FC0">
      <w:pPr>
        <w:pStyle w:val="BodyText"/>
        <w:rPr>
          <w:lang w:bidi="fa-IR"/>
        </w:rPr>
      </w:pPr>
      <w:r>
        <w:rPr>
          <w:lang w:bidi="fa-IR"/>
        </w:rPr>
        <w:t xml:space="preserve">Public consultation on the Consultation RIS was open from 1 May to </w:t>
      </w:r>
      <w:r w:rsidR="004C5408">
        <w:rPr>
          <w:lang w:bidi="fa-IR"/>
        </w:rPr>
        <w:t>1</w:t>
      </w:r>
      <w:r>
        <w:rPr>
          <w:lang w:bidi="fa-IR"/>
        </w:rPr>
        <w:t xml:space="preserve"> Ju</w:t>
      </w:r>
      <w:r w:rsidR="004C5408">
        <w:rPr>
          <w:lang w:bidi="fa-IR"/>
        </w:rPr>
        <w:t>ly</w:t>
      </w:r>
      <w:r>
        <w:rPr>
          <w:lang w:bidi="fa-IR"/>
        </w:rPr>
        <w:t xml:space="preserve"> 2024 and conducted through the ABCB’s Consultation Hub platform. During the consultation period, 14 submissions were received, with 72 specific comments made.</w:t>
      </w:r>
    </w:p>
    <w:p w14:paraId="7323F44A" w14:textId="77777777" w:rsidR="00767FC0" w:rsidRPr="00B80339" w:rsidRDefault="00767FC0" w:rsidP="00767FC0">
      <w:pPr>
        <w:pStyle w:val="BodyText"/>
        <w:rPr>
          <w:lang w:bidi="fa-IR"/>
        </w:rPr>
      </w:pPr>
      <w:r>
        <w:rPr>
          <w:lang w:bidi="fa-IR"/>
        </w:rPr>
        <w:t>While some submissions</w:t>
      </w:r>
      <w:r w:rsidRPr="003F5534">
        <w:rPr>
          <w:lang w:bidi="fa-IR"/>
        </w:rPr>
        <w:t xml:space="preserve"> commend the analysis provided in the CRIS which</w:t>
      </w:r>
      <w:r>
        <w:rPr>
          <w:lang w:bidi="fa-IR"/>
        </w:rPr>
        <w:t>,</w:t>
      </w:r>
      <w:r w:rsidRPr="003F5534">
        <w:rPr>
          <w:lang w:bidi="fa-IR"/>
        </w:rPr>
        <w:t xml:space="preserve"> overall, was found to be sound with substantial improvements made to past assumptions and analyses</w:t>
      </w:r>
      <w:r>
        <w:rPr>
          <w:lang w:bidi="fa-IR"/>
        </w:rPr>
        <w:t>, others have raised various issues about the CRIS assumptions and associated energy modelling</w:t>
      </w:r>
      <w:r w:rsidRPr="003F5534">
        <w:rPr>
          <w:lang w:bidi="fa-IR"/>
        </w:rPr>
        <w:t>.</w:t>
      </w:r>
      <w:r>
        <w:rPr>
          <w:lang w:bidi="fa-IR"/>
        </w:rPr>
        <w:t xml:space="preserve"> These issues include:</w:t>
      </w:r>
    </w:p>
    <w:p w14:paraId="455FAF2C" w14:textId="77777777" w:rsidR="00767FC0" w:rsidRDefault="00767FC0" w:rsidP="00767FC0">
      <w:pPr>
        <w:pStyle w:val="ListBullet"/>
        <w:rPr>
          <w:lang w:bidi="fa-IR"/>
        </w:rPr>
      </w:pPr>
      <w:r>
        <w:rPr>
          <w:lang w:bidi="fa-IR"/>
        </w:rPr>
        <w:t>glazing selection and external shading</w:t>
      </w:r>
    </w:p>
    <w:p w14:paraId="02D0013B" w14:textId="77777777" w:rsidR="00767FC0" w:rsidRDefault="00767FC0" w:rsidP="00767FC0">
      <w:pPr>
        <w:pStyle w:val="ListBullet"/>
        <w:rPr>
          <w:lang w:bidi="fa-IR"/>
        </w:rPr>
      </w:pPr>
      <w:r>
        <w:rPr>
          <w:lang w:bidi="fa-IR"/>
        </w:rPr>
        <w:t>internal wall insulation requirement and costing</w:t>
      </w:r>
    </w:p>
    <w:p w14:paraId="00CBEA89" w14:textId="77777777" w:rsidR="00767FC0" w:rsidRDefault="00767FC0" w:rsidP="00767FC0">
      <w:pPr>
        <w:pStyle w:val="ListBullet"/>
        <w:rPr>
          <w:lang w:bidi="fa-IR"/>
        </w:rPr>
      </w:pPr>
      <w:r>
        <w:rPr>
          <w:lang w:bidi="fa-IR"/>
        </w:rPr>
        <w:t>solar PV requirements</w:t>
      </w:r>
    </w:p>
    <w:p w14:paraId="29F142CB" w14:textId="77777777" w:rsidR="00767FC0" w:rsidRDefault="00767FC0" w:rsidP="00767FC0">
      <w:pPr>
        <w:pStyle w:val="ListBullet"/>
        <w:rPr>
          <w:lang w:bidi="fa-IR"/>
        </w:rPr>
      </w:pPr>
      <w:r>
        <w:rPr>
          <w:lang w:bidi="fa-IR"/>
        </w:rPr>
        <w:t>electrification response</w:t>
      </w:r>
    </w:p>
    <w:p w14:paraId="279C38FD" w14:textId="77777777" w:rsidR="00767FC0" w:rsidRDefault="00767FC0" w:rsidP="00767FC0">
      <w:pPr>
        <w:pStyle w:val="ListBullet"/>
        <w:rPr>
          <w:lang w:bidi="fa-IR"/>
        </w:rPr>
      </w:pPr>
      <w:r>
        <w:rPr>
          <w:lang w:bidi="fa-IR"/>
        </w:rPr>
        <w:t>EV charging provisions based on too optimistic projections of EV sales</w:t>
      </w:r>
    </w:p>
    <w:p w14:paraId="2F43010A" w14:textId="77777777" w:rsidR="00767FC0" w:rsidRDefault="00767FC0" w:rsidP="00767FC0">
      <w:pPr>
        <w:pStyle w:val="ListBullet"/>
        <w:rPr>
          <w:lang w:bidi="fa-IR"/>
        </w:rPr>
      </w:pPr>
      <w:r>
        <w:rPr>
          <w:lang w:bidi="fa-IR"/>
        </w:rPr>
        <w:t>cost-benefit analysis parameters</w:t>
      </w:r>
    </w:p>
    <w:p w14:paraId="388BA487" w14:textId="77777777" w:rsidR="00767FC0" w:rsidRDefault="00767FC0" w:rsidP="00767FC0">
      <w:pPr>
        <w:pStyle w:val="ListBullet"/>
        <w:rPr>
          <w:lang w:bidi="fa-IR"/>
        </w:rPr>
      </w:pPr>
      <w:r>
        <w:rPr>
          <w:lang w:bidi="fa-IR"/>
        </w:rPr>
        <w:t>training and transition costs required to implement the changes</w:t>
      </w:r>
    </w:p>
    <w:p w14:paraId="6033A09A" w14:textId="77777777" w:rsidR="00767FC0" w:rsidRDefault="00767FC0" w:rsidP="00767FC0">
      <w:pPr>
        <w:pStyle w:val="ListBullet"/>
        <w:rPr>
          <w:lang w:bidi="fa-IR"/>
        </w:rPr>
      </w:pPr>
      <w:r>
        <w:rPr>
          <w:lang w:bidi="fa-IR"/>
        </w:rPr>
        <w:t>space impacts</w:t>
      </w:r>
    </w:p>
    <w:p w14:paraId="37A5161A" w14:textId="77777777" w:rsidR="00767FC0" w:rsidRDefault="00767FC0" w:rsidP="00767FC0">
      <w:pPr>
        <w:pStyle w:val="ListBullet"/>
        <w:rPr>
          <w:lang w:bidi="fa-IR"/>
        </w:rPr>
      </w:pPr>
      <w:r>
        <w:rPr>
          <w:lang w:bidi="fa-IR"/>
        </w:rPr>
        <w:t>building archetypes being modelled</w:t>
      </w:r>
    </w:p>
    <w:p w14:paraId="534DBB56" w14:textId="77777777" w:rsidR="00767FC0" w:rsidRDefault="00767FC0" w:rsidP="00767FC0">
      <w:pPr>
        <w:pStyle w:val="ListBullet"/>
        <w:rPr>
          <w:lang w:bidi="fa-IR"/>
        </w:rPr>
      </w:pPr>
      <w:r>
        <w:rPr>
          <w:lang w:bidi="fa-IR"/>
        </w:rPr>
        <w:t>climate file used in energy modelling</w:t>
      </w:r>
    </w:p>
    <w:p w14:paraId="6818AE8D" w14:textId="77777777" w:rsidR="00767FC0" w:rsidRDefault="00767FC0" w:rsidP="00767FC0">
      <w:pPr>
        <w:pStyle w:val="ListBullet"/>
        <w:rPr>
          <w:lang w:bidi="fa-IR"/>
        </w:rPr>
      </w:pPr>
      <w:r>
        <w:rPr>
          <w:lang w:bidi="fa-IR"/>
        </w:rPr>
        <w:t xml:space="preserve">performance gap between modelled and realised energy savings </w:t>
      </w:r>
    </w:p>
    <w:p w14:paraId="15ED4F09" w14:textId="77777777" w:rsidR="00767FC0" w:rsidRDefault="00767FC0" w:rsidP="00767FC0">
      <w:pPr>
        <w:pStyle w:val="ListBullet"/>
        <w:rPr>
          <w:lang w:bidi="fa-IR"/>
        </w:rPr>
      </w:pPr>
      <w:r>
        <w:rPr>
          <w:lang w:bidi="fa-IR"/>
        </w:rPr>
        <w:t>learning rate</w:t>
      </w:r>
    </w:p>
    <w:p w14:paraId="4BFDD0C1" w14:textId="72B2DCEA" w:rsidR="00767FC0" w:rsidRPr="00DD024E" w:rsidRDefault="00767FC0" w:rsidP="00767FC0">
      <w:pPr>
        <w:pStyle w:val="BodyText"/>
      </w:pPr>
      <w:r>
        <w:t xml:space="preserve">These issues have been considered in developing this Decision RIS. The approach to deal with these issues are briefly discussed in chapter </w:t>
      </w:r>
      <w:r>
        <w:fldChar w:fldCharType="begin"/>
      </w:r>
      <w:r>
        <w:instrText xml:space="preserve"> REF _Ref175556956 \n \h </w:instrText>
      </w:r>
      <w:r>
        <w:fldChar w:fldCharType="separate"/>
      </w:r>
      <w:r w:rsidR="006E00A7">
        <w:t>2</w:t>
      </w:r>
      <w:r>
        <w:fldChar w:fldCharType="end"/>
      </w:r>
      <w:r>
        <w:t>, and in detail in relevant parts of this document.</w:t>
      </w:r>
    </w:p>
    <w:p w14:paraId="633E56B3" w14:textId="77777777" w:rsidR="00767FC0" w:rsidRDefault="00767FC0" w:rsidP="00767FC0">
      <w:pPr>
        <w:pStyle w:val="Heading2"/>
      </w:pPr>
      <w:bookmarkStart w:id="787" w:name="_Toc177735098"/>
      <w:bookmarkStart w:id="788" w:name="_Toc178292532"/>
      <w:r>
        <w:t>Cost</w:t>
      </w:r>
      <w:r>
        <w:noBreakHyphen/>
        <w:t>benefit analysis</w:t>
      </w:r>
      <w:bookmarkEnd w:id="787"/>
      <w:bookmarkEnd w:id="788"/>
      <w:r>
        <w:t xml:space="preserve"> </w:t>
      </w:r>
    </w:p>
    <w:p w14:paraId="69910204" w14:textId="77777777" w:rsidR="00767FC0" w:rsidRPr="00844A6E" w:rsidRDefault="00767FC0" w:rsidP="00767FC0">
      <w:pPr>
        <w:pStyle w:val="BodyText"/>
        <w:rPr>
          <w:szCs w:val="22"/>
          <w:lang w:val="en-GB"/>
        </w:rPr>
      </w:pPr>
      <w:r w:rsidRPr="00844A6E">
        <w:rPr>
          <w:szCs w:val="22"/>
          <w:lang w:val="en-GB"/>
        </w:rPr>
        <w:t>The cost and benefit estimates are broadly based on DeltaQ modelling at the building level. For a range of building archetypes (see appendix E for further details) across all 8 climate zones, DeltaQ has modelled the impact of the proposed changes to the code using the DTS pathway, including the impact on:</w:t>
      </w:r>
    </w:p>
    <w:p w14:paraId="7B07505B" w14:textId="77777777" w:rsidR="00767FC0" w:rsidRPr="00844A6E" w:rsidRDefault="00767FC0" w:rsidP="00767FC0">
      <w:pPr>
        <w:pStyle w:val="ListBullet"/>
        <w:rPr>
          <w:szCs w:val="22"/>
        </w:rPr>
      </w:pPr>
      <w:r w:rsidRPr="00844A6E">
        <w:rPr>
          <w:szCs w:val="22"/>
        </w:rPr>
        <w:t xml:space="preserve">energy consumed from the grid (including electricity and gas); </w:t>
      </w:r>
    </w:p>
    <w:p w14:paraId="62A2AB64" w14:textId="77777777" w:rsidR="00767FC0" w:rsidRPr="00844A6E" w:rsidRDefault="00767FC0" w:rsidP="00767FC0">
      <w:pPr>
        <w:pStyle w:val="ListBullet"/>
        <w:rPr>
          <w:szCs w:val="22"/>
        </w:rPr>
      </w:pPr>
      <w:r w:rsidRPr="00844A6E">
        <w:rPr>
          <w:szCs w:val="22"/>
        </w:rPr>
        <w:t>export of excess energy generated on</w:t>
      </w:r>
      <w:r w:rsidRPr="00844A6E">
        <w:rPr>
          <w:szCs w:val="22"/>
        </w:rPr>
        <w:noBreakHyphen/>
        <w:t>site; and</w:t>
      </w:r>
    </w:p>
    <w:p w14:paraId="159610BE" w14:textId="77777777" w:rsidR="00767FC0" w:rsidRPr="00844A6E" w:rsidRDefault="00767FC0" w:rsidP="00767FC0">
      <w:pPr>
        <w:pStyle w:val="ListBullet"/>
        <w:rPr>
          <w:szCs w:val="22"/>
        </w:rPr>
      </w:pPr>
      <w:r w:rsidRPr="00844A6E">
        <w:rPr>
          <w:szCs w:val="22"/>
        </w:rPr>
        <w:t>capital</w:t>
      </w:r>
      <w:r w:rsidRPr="00844A6E">
        <w:rPr>
          <w:szCs w:val="22"/>
        </w:rPr>
        <w:noBreakHyphen/>
        <w:t>related costs.</w:t>
      </w:r>
    </w:p>
    <w:p w14:paraId="390D14B4" w14:textId="77777777" w:rsidR="00767FC0" w:rsidRPr="00844A6E" w:rsidRDefault="00767FC0" w:rsidP="00767FC0">
      <w:pPr>
        <w:pStyle w:val="BodyText"/>
        <w:rPr>
          <w:szCs w:val="22"/>
        </w:rPr>
      </w:pPr>
      <w:r w:rsidRPr="00844A6E">
        <w:rPr>
          <w:szCs w:val="22"/>
        </w:rPr>
        <w:t>Building level costs and benefits are aggregated up to the climate zone, state and national level using construction projections for each building type by state.</w:t>
      </w:r>
    </w:p>
    <w:p w14:paraId="45E00266" w14:textId="77777777" w:rsidR="00767FC0" w:rsidRDefault="00767FC0" w:rsidP="00767FC0">
      <w:pPr>
        <w:pStyle w:val="Heading3"/>
      </w:pPr>
      <w:r>
        <w:t>Presentation of CBA results</w:t>
      </w:r>
    </w:p>
    <w:p w14:paraId="3DC8E80F" w14:textId="77777777" w:rsidR="00767FC0" w:rsidRPr="00844A6E" w:rsidRDefault="00767FC0" w:rsidP="00767FC0">
      <w:pPr>
        <w:pStyle w:val="BodyText"/>
        <w:rPr>
          <w:szCs w:val="22"/>
        </w:rPr>
      </w:pPr>
      <w:r w:rsidRPr="00844A6E">
        <w:rPr>
          <w:szCs w:val="22"/>
        </w:rPr>
        <w:t>The main measures typically used to summarise the results of a CBA are:</w:t>
      </w:r>
    </w:p>
    <w:p w14:paraId="5F7B5B98" w14:textId="77777777" w:rsidR="00767FC0" w:rsidRPr="00844A6E" w:rsidRDefault="00767FC0" w:rsidP="00767FC0">
      <w:pPr>
        <w:pStyle w:val="ListBullet"/>
        <w:rPr>
          <w:szCs w:val="22"/>
        </w:rPr>
      </w:pPr>
      <w:r w:rsidRPr="00844A6E">
        <w:rPr>
          <w:szCs w:val="22"/>
        </w:rPr>
        <w:t>Net present value (NPV) — this measure subtracts the ‘present value’ of the estimated stream of future costs from the present value of the estimated stream of future benefits, where future costs and benefits are discounted back to a common year.</w:t>
      </w:r>
    </w:p>
    <w:p w14:paraId="1A75AF63" w14:textId="77777777" w:rsidR="00767FC0" w:rsidRPr="00844A6E" w:rsidRDefault="00767FC0" w:rsidP="00767FC0">
      <w:pPr>
        <w:pStyle w:val="ListBullet"/>
        <w:numPr>
          <w:ilvl w:val="1"/>
          <w:numId w:val="34"/>
        </w:numPr>
        <w:rPr>
          <w:szCs w:val="22"/>
        </w:rPr>
      </w:pPr>
      <w:r w:rsidRPr="00844A6E">
        <w:rPr>
          <w:szCs w:val="22"/>
        </w:rPr>
        <w:t>An NPV greater than zero (i.e. the NPV is positive) indicates that the present value of the benefits outweigh the present value of the future costs (i.e. the proposal delivers a net benefit to the community).</w:t>
      </w:r>
    </w:p>
    <w:p w14:paraId="2FD62249" w14:textId="77777777" w:rsidR="00767FC0" w:rsidRPr="00844A6E" w:rsidRDefault="00767FC0" w:rsidP="00767FC0">
      <w:pPr>
        <w:pStyle w:val="ListBullet"/>
        <w:numPr>
          <w:ilvl w:val="1"/>
          <w:numId w:val="34"/>
        </w:numPr>
        <w:rPr>
          <w:szCs w:val="22"/>
        </w:rPr>
      </w:pPr>
      <w:r w:rsidRPr="00844A6E">
        <w:rPr>
          <w:szCs w:val="22"/>
        </w:rPr>
        <w:t>An NPV less than zero (i.e. the NPV is negative) indicates that the present value of future costs outweighs the present value of future benefits (i.e. the proposal delivers a net cost to the community).</w:t>
      </w:r>
    </w:p>
    <w:p w14:paraId="44EE22A3" w14:textId="77777777" w:rsidR="00767FC0" w:rsidRPr="00844A6E" w:rsidRDefault="00767FC0" w:rsidP="00767FC0">
      <w:pPr>
        <w:pStyle w:val="ListBullet"/>
        <w:rPr>
          <w:szCs w:val="22"/>
        </w:rPr>
      </w:pPr>
      <w:r w:rsidRPr="00844A6E">
        <w:rPr>
          <w:szCs w:val="22"/>
        </w:rPr>
        <w:t>Benefit</w:t>
      </w:r>
      <w:r w:rsidRPr="00844A6E">
        <w:rPr>
          <w:szCs w:val="22"/>
        </w:rPr>
        <w:noBreakHyphen/>
        <w:t>cost ratio (BCR) — this measure is the present value of the estimated stream of future benefits divided by the present value of the stream of future costs.</w:t>
      </w:r>
    </w:p>
    <w:p w14:paraId="7EB39211" w14:textId="77777777" w:rsidR="00767FC0" w:rsidRPr="00844A6E" w:rsidRDefault="00767FC0" w:rsidP="00767FC0">
      <w:pPr>
        <w:pStyle w:val="ListBullet"/>
        <w:numPr>
          <w:ilvl w:val="1"/>
          <w:numId w:val="34"/>
        </w:numPr>
        <w:rPr>
          <w:szCs w:val="22"/>
        </w:rPr>
      </w:pPr>
      <w:r w:rsidRPr="00844A6E">
        <w:rPr>
          <w:szCs w:val="22"/>
        </w:rPr>
        <w:t>A BCR greater than 1 indicates the present value of the benefits outweigh the present value of the future costs (i.e. the proposal delivers a net benefit to the community).</w:t>
      </w:r>
    </w:p>
    <w:p w14:paraId="49F7819F" w14:textId="77777777" w:rsidR="00767FC0" w:rsidRPr="00844A6E" w:rsidRDefault="00767FC0" w:rsidP="00767FC0">
      <w:pPr>
        <w:pStyle w:val="ListBullet"/>
        <w:numPr>
          <w:ilvl w:val="1"/>
          <w:numId w:val="34"/>
        </w:numPr>
        <w:rPr>
          <w:szCs w:val="22"/>
        </w:rPr>
      </w:pPr>
      <w:r w:rsidRPr="00844A6E">
        <w:rPr>
          <w:szCs w:val="22"/>
        </w:rPr>
        <w:t>A BCR less than 1 indicates the present value of the future costs outweighs the present value of the future benefits (i.e. the proposal delivers a net cost to the community).</w:t>
      </w:r>
    </w:p>
    <w:p w14:paraId="37349CE2" w14:textId="5B0C772D" w:rsidR="00767FC0" w:rsidRPr="00844A6E" w:rsidRDefault="00767FC0" w:rsidP="00767FC0">
      <w:pPr>
        <w:pStyle w:val="BodyText"/>
        <w:rPr>
          <w:szCs w:val="22"/>
        </w:rPr>
      </w:pPr>
      <w:r w:rsidRPr="00844A6E">
        <w:rPr>
          <w:szCs w:val="22"/>
        </w:rPr>
        <w:t>For the purposes of the RIS, we focus on the NPV measure. In the context of measures to improve energy efficiency, the BCR would typically compare the benefits associated with reduced future energy consumption with the additional capital</w:t>
      </w:r>
      <w:r w:rsidRPr="00844A6E">
        <w:rPr>
          <w:szCs w:val="22"/>
        </w:rPr>
        <w:noBreakHyphen/>
        <w:t>related costs.</w:t>
      </w:r>
      <w:r>
        <w:t xml:space="preserve"> </w:t>
      </w:r>
      <w:r w:rsidRPr="00844A6E">
        <w:rPr>
          <w:szCs w:val="22"/>
        </w:rPr>
        <w:t>However, based on DeltaQ’s estimates, the capital</w:t>
      </w:r>
      <w:r w:rsidRPr="00844A6E">
        <w:rPr>
          <w:szCs w:val="22"/>
        </w:rPr>
        <w:noBreakHyphen/>
        <w:t>related costs associated with complying with NCC 2025 are actually lower than for NCC 2022 (see further discussion below) for Stringency Level 1 (i.e. there are no measurable costs). In this context, the BCR is not a meaningful measure.</w:t>
      </w:r>
    </w:p>
    <w:p w14:paraId="7873680F" w14:textId="77777777" w:rsidR="00767FC0" w:rsidRDefault="00767FC0" w:rsidP="00767FC0">
      <w:pPr>
        <w:pStyle w:val="Heading3"/>
        <w:numPr>
          <w:ilvl w:val="0"/>
          <w:numId w:val="0"/>
        </w:numPr>
      </w:pPr>
      <w:r>
        <w:t>CBA parameters</w:t>
      </w:r>
    </w:p>
    <w:p w14:paraId="7E6BFF1B" w14:textId="77777777" w:rsidR="00767FC0" w:rsidRPr="004B3DD8" w:rsidRDefault="00767FC0" w:rsidP="00767FC0">
      <w:pPr>
        <w:pStyle w:val="Heading4"/>
        <w:numPr>
          <w:ilvl w:val="0"/>
          <w:numId w:val="0"/>
        </w:numPr>
      </w:pPr>
      <w:r>
        <w:t>Time period</w:t>
      </w:r>
    </w:p>
    <w:p w14:paraId="1026B229" w14:textId="77777777" w:rsidR="00767FC0" w:rsidRPr="00844A6E" w:rsidRDefault="00767FC0" w:rsidP="00767FC0">
      <w:pPr>
        <w:pStyle w:val="BodyText"/>
        <w:rPr>
          <w:szCs w:val="22"/>
        </w:rPr>
      </w:pPr>
      <w:r w:rsidRPr="00844A6E">
        <w:rPr>
          <w:szCs w:val="22"/>
        </w:rPr>
        <w:t>RISs typically use a five- or ten-year time horizon for measuring the costs and benefits. However, buildings are typically long</w:t>
      </w:r>
      <w:r w:rsidRPr="00844A6E">
        <w:rPr>
          <w:szCs w:val="22"/>
        </w:rPr>
        <w:noBreakHyphen/>
        <w:t xml:space="preserve">lived assets, with a life of 40 or more years. Following the paper by </w:t>
      </w:r>
      <w:r w:rsidRPr="00844A6E">
        <w:rPr>
          <w:noProof/>
          <w:szCs w:val="22"/>
        </w:rPr>
        <w:t>Hutley (2023)</w:t>
      </w:r>
      <w:r w:rsidRPr="00844A6E">
        <w:rPr>
          <w:szCs w:val="22"/>
        </w:rPr>
        <w:t xml:space="preserve"> who has investigated the literature on commercial building lifecycle,</w:t>
      </w:r>
      <w:r w:rsidRPr="0051006E">
        <w:rPr>
          <w:rStyle w:val="FootnoteReference"/>
        </w:rPr>
        <w:footnoteReference w:id="92"/>
      </w:r>
      <w:r w:rsidRPr="0051006E">
        <w:rPr>
          <w:rStyle w:val="FootnoteReference"/>
        </w:rPr>
        <w:t xml:space="preserve"> </w:t>
      </w:r>
      <w:r w:rsidRPr="00844A6E">
        <w:rPr>
          <w:szCs w:val="22"/>
        </w:rPr>
        <w:t>we will assume a building life of 50 years with 40 years and 60 years for the sensitivity analysis.</w:t>
      </w:r>
    </w:p>
    <w:p w14:paraId="378D9268" w14:textId="77777777" w:rsidR="00767FC0" w:rsidRPr="00844A6E" w:rsidRDefault="00767FC0" w:rsidP="00767FC0">
      <w:pPr>
        <w:pStyle w:val="BodyText"/>
        <w:rPr>
          <w:szCs w:val="22"/>
        </w:rPr>
      </w:pPr>
      <w:r w:rsidRPr="00844A6E">
        <w:rPr>
          <w:szCs w:val="22"/>
        </w:rPr>
        <w:t>For building services, the life is around 20 years, according to DeltaQ. The life of services will be extended to be the same as the life of building, meaning replacement costs will be considered.</w:t>
      </w:r>
    </w:p>
    <w:p w14:paraId="4D366C82" w14:textId="77777777" w:rsidR="00767FC0" w:rsidRPr="00844A6E" w:rsidRDefault="00767FC0" w:rsidP="00767FC0">
      <w:pPr>
        <w:pStyle w:val="BodyText"/>
        <w:rPr>
          <w:szCs w:val="22"/>
        </w:rPr>
      </w:pPr>
      <w:r w:rsidRPr="00844A6E">
        <w:rPr>
          <w:szCs w:val="22"/>
        </w:rPr>
        <w:t>Following the previous RISs, we conduct the analysis of costs over a ten-year period but include in the benefits the full life of each building/services constructed or installed during that ten-year regulatory period.</w:t>
      </w:r>
    </w:p>
    <w:p w14:paraId="3BED9111" w14:textId="77777777" w:rsidR="00767FC0" w:rsidRDefault="00767FC0" w:rsidP="00767FC0">
      <w:pPr>
        <w:pStyle w:val="Heading4"/>
        <w:numPr>
          <w:ilvl w:val="0"/>
          <w:numId w:val="0"/>
        </w:numPr>
      </w:pPr>
      <w:r>
        <w:t>Discount rate</w:t>
      </w:r>
    </w:p>
    <w:p w14:paraId="23E30ADA" w14:textId="77777777" w:rsidR="00767FC0" w:rsidRPr="00844A6E" w:rsidRDefault="00767FC0" w:rsidP="00767FC0">
      <w:pPr>
        <w:pStyle w:val="BodyText"/>
        <w:rPr>
          <w:szCs w:val="22"/>
        </w:rPr>
      </w:pPr>
      <w:r w:rsidRPr="00844A6E">
        <w:rPr>
          <w:szCs w:val="22"/>
        </w:rPr>
        <w:t>The nature of investments in energy efficiency (i.e. upfront costs in exchange for a stream of future benefits) and the long timeframes involved mean that energy efficiency CBAs are particularly sensitive to the discount rate.</w:t>
      </w:r>
    </w:p>
    <w:p w14:paraId="58240038" w14:textId="77777777" w:rsidR="00767FC0" w:rsidRPr="00844A6E" w:rsidRDefault="00767FC0" w:rsidP="00767FC0">
      <w:pPr>
        <w:pStyle w:val="BodyText"/>
        <w:rPr>
          <w:szCs w:val="22"/>
        </w:rPr>
      </w:pPr>
      <w:r w:rsidRPr="00844A6E">
        <w:rPr>
          <w:szCs w:val="22"/>
        </w:rPr>
        <w:t xml:space="preserve">The OIA typically requires a real discount rate of 7 per cent to be used in a RIS, with sensitivity analysis using 3 per cent and 10 per cent. This is intended to reflect the social discount rate. </w:t>
      </w:r>
    </w:p>
    <w:p w14:paraId="782958EE" w14:textId="77777777" w:rsidR="00767FC0" w:rsidRPr="00844A6E" w:rsidRDefault="00767FC0" w:rsidP="00767FC0">
      <w:pPr>
        <w:pStyle w:val="BodyText"/>
        <w:rPr>
          <w:szCs w:val="22"/>
        </w:rPr>
      </w:pPr>
      <w:r w:rsidRPr="00844A6E">
        <w:rPr>
          <w:szCs w:val="22"/>
        </w:rPr>
        <w:t>However, there is a case for deviating from the OIA’s preferred 7 per cent in this context. As for analysis conducted over periods longer than 30 years, OIA suggests using lower discount rates. In particular, for analyses over 31</w:t>
      </w:r>
      <w:r w:rsidRPr="00844A6E">
        <w:rPr>
          <w:szCs w:val="22"/>
        </w:rPr>
        <w:noBreakHyphen/>
        <w:t>75 years, OIA recommends using a discount rate of 5.4 per cent.</w:t>
      </w:r>
      <w:r w:rsidRPr="0051006E">
        <w:rPr>
          <w:rStyle w:val="FootnoteReference"/>
        </w:rPr>
        <w:footnoteReference w:id="93"/>
      </w:r>
    </w:p>
    <w:p w14:paraId="65459493" w14:textId="77777777" w:rsidR="00767FC0" w:rsidRPr="00844A6E" w:rsidRDefault="00767FC0" w:rsidP="00767FC0">
      <w:pPr>
        <w:pStyle w:val="BodyText"/>
        <w:rPr>
          <w:szCs w:val="22"/>
          <w:lang w:val="en-GB"/>
        </w:rPr>
      </w:pPr>
      <w:r w:rsidRPr="00844A6E">
        <w:rPr>
          <w:szCs w:val="22"/>
        </w:rPr>
        <w:t xml:space="preserve">It is recommended </w:t>
      </w:r>
      <w:r w:rsidRPr="00844A6E">
        <w:rPr>
          <w:szCs w:val="22"/>
          <w:lang w:val="en-GB"/>
        </w:rPr>
        <w:t>a central case discount rate of 5 per cent,</w:t>
      </w:r>
      <w:r w:rsidRPr="0051006E">
        <w:rPr>
          <w:rStyle w:val="FootnoteReference"/>
        </w:rPr>
        <w:footnoteReference w:id="94"/>
      </w:r>
      <w:r w:rsidRPr="0051006E">
        <w:rPr>
          <w:rStyle w:val="FootnoteReference"/>
        </w:rPr>
        <w:t xml:space="preserve"> </w:t>
      </w:r>
      <w:r w:rsidRPr="00844A6E">
        <w:rPr>
          <w:szCs w:val="22"/>
          <w:lang w:val="en-GB"/>
        </w:rPr>
        <w:t>accompanied by 2 per cent and 7 per cent as the sensitivity analysis rates, based on the practice in some jurisdictions and the long-timeframe impact. OIA agreed to the alternative discount rates for this project. Hence, these specified discount rates will be used for conducting the cost-benefit analysis.</w:t>
      </w:r>
    </w:p>
    <w:p w14:paraId="3961BDD2" w14:textId="77777777" w:rsidR="00767FC0" w:rsidRDefault="00767FC0" w:rsidP="00767FC0">
      <w:pPr>
        <w:pStyle w:val="Heading3"/>
        <w:numPr>
          <w:ilvl w:val="0"/>
          <w:numId w:val="0"/>
        </w:numPr>
      </w:pPr>
      <w:r>
        <w:t>Establishing a base case</w:t>
      </w:r>
    </w:p>
    <w:p w14:paraId="75BBE2C6" w14:textId="77777777" w:rsidR="00767FC0" w:rsidRPr="00844A6E" w:rsidRDefault="00767FC0" w:rsidP="00767FC0">
      <w:pPr>
        <w:pStyle w:val="BodyText"/>
        <w:rPr>
          <w:szCs w:val="22"/>
        </w:rPr>
      </w:pPr>
      <w:r w:rsidRPr="00844A6E">
        <w:rPr>
          <w:szCs w:val="22"/>
        </w:rPr>
        <w:t>A key element of cost</w:t>
      </w:r>
      <w:r w:rsidRPr="00844A6E">
        <w:rPr>
          <w:szCs w:val="22"/>
        </w:rPr>
        <w:noBreakHyphen/>
        <w:t>benefit analysis is establishing a credible base case (which is generally defined as the scenario that would apply without the regulatory proposal) against which the benefits and costs of various options are assessed. The base case for this study is the status quo (or ‘business as usual’).</w:t>
      </w:r>
    </w:p>
    <w:p w14:paraId="43F7BCB1" w14:textId="77777777" w:rsidR="00767FC0" w:rsidRPr="00844A6E" w:rsidRDefault="00767FC0" w:rsidP="00767FC0">
      <w:pPr>
        <w:pStyle w:val="BodyText"/>
        <w:rPr>
          <w:szCs w:val="22"/>
        </w:rPr>
      </w:pPr>
      <w:r w:rsidRPr="00844A6E">
        <w:rPr>
          <w:szCs w:val="22"/>
        </w:rPr>
        <w:t>Business as usual implies Section J of the NCC to remain as it currently applies. In addition, the base case should incorporate any existing policy measures that affect the energy efficiency decisions in relation to commercial buildings. It should also incorporate any foreseeable new policies that would be implemented regardless of whether the proposed changes to the NCC are implemented.</w:t>
      </w:r>
    </w:p>
    <w:p w14:paraId="120EA866" w14:textId="77777777" w:rsidR="00767FC0" w:rsidRPr="00844A6E" w:rsidRDefault="00767FC0" w:rsidP="00767FC0">
      <w:pPr>
        <w:pStyle w:val="BodyText"/>
        <w:rPr>
          <w:szCs w:val="22"/>
        </w:rPr>
      </w:pPr>
      <w:r w:rsidRPr="00844A6E">
        <w:rPr>
          <w:szCs w:val="22"/>
        </w:rPr>
        <w:t>The base case should also incorporate currently and future available technology for energy efficiency. This will be discussed in more detail below.</w:t>
      </w:r>
    </w:p>
    <w:p w14:paraId="575EF937" w14:textId="77777777" w:rsidR="00767FC0" w:rsidRDefault="00767FC0" w:rsidP="00767FC0">
      <w:pPr>
        <w:pStyle w:val="Heading2"/>
        <w:numPr>
          <w:ilvl w:val="0"/>
          <w:numId w:val="0"/>
        </w:numPr>
      </w:pPr>
      <w:bookmarkStart w:id="790" w:name="_Toc149060067"/>
      <w:bookmarkStart w:id="791" w:name="_Toc177735099"/>
      <w:bookmarkStart w:id="792" w:name="_Toc178292533"/>
      <w:r>
        <w:t>Impacts of more stringent minimum energy efficiency standards</w:t>
      </w:r>
      <w:bookmarkEnd w:id="790"/>
      <w:bookmarkEnd w:id="791"/>
      <w:bookmarkEnd w:id="792"/>
    </w:p>
    <w:p w14:paraId="718B9A9B" w14:textId="77777777" w:rsidR="00767FC0" w:rsidRPr="00844A6E" w:rsidRDefault="00767FC0" w:rsidP="00767FC0">
      <w:pPr>
        <w:pStyle w:val="BodyText"/>
        <w:rPr>
          <w:szCs w:val="22"/>
        </w:rPr>
      </w:pPr>
      <w:r w:rsidRPr="00844A6E">
        <w:rPr>
          <w:szCs w:val="22"/>
        </w:rPr>
        <w:t>The main impacts of changes in the stringency of the minimum energy efficiency standards could include:</w:t>
      </w:r>
    </w:p>
    <w:p w14:paraId="13B70E2B" w14:textId="77777777" w:rsidR="00767FC0" w:rsidRPr="00844A6E" w:rsidRDefault="00767FC0" w:rsidP="00767FC0">
      <w:pPr>
        <w:pStyle w:val="ListBullet"/>
        <w:rPr>
          <w:szCs w:val="22"/>
        </w:rPr>
      </w:pPr>
      <w:r w:rsidRPr="00844A6E">
        <w:rPr>
          <w:szCs w:val="22"/>
        </w:rPr>
        <w:t>changes in construction costs</w:t>
      </w:r>
    </w:p>
    <w:p w14:paraId="70A743C9" w14:textId="77777777" w:rsidR="00767FC0" w:rsidRPr="00844A6E" w:rsidRDefault="00767FC0" w:rsidP="00767FC0">
      <w:pPr>
        <w:pStyle w:val="ListBullet"/>
        <w:rPr>
          <w:szCs w:val="22"/>
        </w:rPr>
      </w:pPr>
      <w:r w:rsidRPr="00844A6E">
        <w:rPr>
          <w:szCs w:val="22"/>
        </w:rPr>
        <w:t>changes in the building design</w:t>
      </w:r>
    </w:p>
    <w:p w14:paraId="5BE070C0" w14:textId="77777777" w:rsidR="00767FC0" w:rsidRPr="00844A6E" w:rsidRDefault="00767FC0" w:rsidP="00767FC0">
      <w:pPr>
        <w:pStyle w:val="ListBullet"/>
        <w:rPr>
          <w:szCs w:val="22"/>
        </w:rPr>
      </w:pPr>
      <w:r>
        <w:rPr>
          <w:szCs w:val="22"/>
        </w:rPr>
        <w:t>avoided energy costs</w:t>
      </w:r>
      <w:r w:rsidRPr="00844A6E">
        <w:rPr>
          <w:szCs w:val="22"/>
        </w:rPr>
        <w:t xml:space="preserve"> during the building’s operation phase, and</w:t>
      </w:r>
    </w:p>
    <w:p w14:paraId="4C5263F8" w14:textId="77777777" w:rsidR="00767FC0" w:rsidRPr="00844A6E" w:rsidRDefault="00767FC0" w:rsidP="00767FC0">
      <w:pPr>
        <w:pStyle w:val="ListBullet"/>
        <w:rPr>
          <w:szCs w:val="22"/>
        </w:rPr>
      </w:pPr>
      <w:r w:rsidRPr="00844A6E">
        <w:rPr>
          <w:szCs w:val="22"/>
        </w:rPr>
        <w:t>GHG emission reduction as a consequence of changing energy consumption and fuel mix (electricity and gas).</w:t>
      </w:r>
    </w:p>
    <w:p w14:paraId="0FD2025B" w14:textId="77777777" w:rsidR="00767FC0" w:rsidRDefault="00767FC0" w:rsidP="00767FC0">
      <w:pPr>
        <w:pStyle w:val="Heading3"/>
      </w:pPr>
      <w:r>
        <w:t>Energy efficiency under the base case</w:t>
      </w:r>
    </w:p>
    <w:p w14:paraId="06B107B2" w14:textId="77777777" w:rsidR="00767FC0" w:rsidRPr="00844A6E" w:rsidRDefault="00767FC0" w:rsidP="00767FC0">
      <w:pPr>
        <w:pStyle w:val="BodyText"/>
        <w:rPr>
          <w:szCs w:val="22"/>
        </w:rPr>
      </w:pPr>
      <w:r w:rsidRPr="00844A6E">
        <w:rPr>
          <w:szCs w:val="22"/>
        </w:rPr>
        <w:t>It is important that the voluntary uptake of energy efficiency over and above existing NCC requirements is included in the base case. As outlined above, if voluntary uptake of higher levels of energy efficiency than is required under the current code is not included in the base case, the CBA will overstate the impact of the regulatory change on energy consumption.</w:t>
      </w:r>
    </w:p>
    <w:p w14:paraId="5080F8B3" w14:textId="77777777" w:rsidR="00767FC0" w:rsidRPr="00844A6E" w:rsidRDefault="00767FC0" w:rsidP="00767FC0">
      <w:pPr>
        <w:pStyle w:val="BodyText"/>
        <w:rPr>
          <w:szCs w:val="22"/>
        </w:rPr>
      </w:pPr>
      <w:r w:rsidRPr="00844A6E">
        <w:rPr>
          <w:szCs w:val="22"/>
        </w:rPr>
        <w:t>As there are no comprehensive sources of data on the energy efficiency features of commercial buildings, establishing a credible base case is a challenge. Stakeholder feedback on the base case in relation to energy efficiency standards included the following:</w:t>
      </w:r>
    </w:p>
    <w:p w14:paraId="7ED1DE57" w14:textId="77777777" w:rsidR="00767FC0" w:rsidRPr="00844A6E" w:rsidRDefault="00767FC0" w:rsidP="00767FC0">
      <w:pPr>
        <w:pStyle w:val="ListBullet"/>
        <w:rPr>
          <w:szCs w:val="22"/>
        </w:rPr>
      </w:pPr>
      <w:r w:rsidRPr="00844A6E">
        <w:rPr>
          <w:szCs w:val="22"/>
        </w:rPr>
        <w:t>Several stakeholders noted that in general, very few (if any), buildings voluntarily exceed the minimum standards set out in the current code.</w:t>
      </w:r>
    </w:p>
    <w:p w14:paraId="544B9E59" w14:textId="77777777" w:rsidR="00767FC0" w:rsidRPr="00844A6E" w:rsidRDefault="00767FC0" w:rsidP="00767FC0">
      <w:pPr>
        <w:pStyle w:val="ListBullet"/>
        <w:rPr>
          <w:szCs w:val="22"/>
        </w:rPr>
      </w:pPr>
      <w:r w:rsidRPr="00844A6E">
        <w:rPr>
          <w:szCs w:val="22"/>
        </w:rPr>
        <w:t>Others noted that some premium CBD offices may choose to exceed minimum standards, but it is unlikely outside this segment of the market.</w:t>
      </w:r>
    </w:p>
    <w:p w14:paraId="7406A827" w14:textId="77777777" w:rsidR="00767FC0" w:rsidRPr="00844A6E" w:rsidRDefault="00767FC0" w:rsidP="00767FC0">
      <w:pPr>
        <w:pStyle w:val="ListBullet"/>
        <w:rPr>
          <w:szCs w:val="22"/>
        </w:rPr>
      </w:pPr>
      <w:r w:rsidRPr="00844A6E">
        <w:rPr>
          <w:szCs w:val="22"/>
        </w:rPr>
        <w:t>Some stakeholders noted that the use of performance solutions to comply with Section J is common, but this is mostly to make trade</w:t>
      </w:r>
      <w:r w:rsidRPr="00844A6E">
        <w:rPr>
          <w:szCs w:val="22"/>
        </w:rPr>
        <w:noBreakHyphen/>
        <w:t>offs across different building elements, rather than to exceed the minimum standards. This means that some buildings may exceed the minimum DTS requirements for some elements, but not overall.</w:t>
      </w:r>
    </w:p>
    <w:p w14:paraId="3E6DC89E" w14:textId="77777777" w:rsidR="00767FC0" w:rsidRPr="00844A6E" w:rsidRDefault="00767FC0" w:rsidP="00767FC0">
      <w:pPr>
        <w:pStyle w:val="BodyText"/>
        <w:rPr>
          <w:szCs w:val="22"/>
        </w:rPr>
      </w:pPr>
      <w:r w:rsidRPr="00844A6E">
        <w:rPr>
          <w:szCs w:val="22"/>
        </w:rPr>
        <w:t>Based on this qualitative evidence, we assume that no voluntary exceedance of the existing code is a broadly reasonable base case.</w:t>
      </w:r>
    </w:p>
    <w:p w14:paraId="14B63755" w14:textId="77777777" w:rsidR="00767FC0" w:rsidRPr="00844A6E" w:rsidRDefault="00767FC0" w:rsidP="00767FC0">
      <w:pPr>
        <w:pStyle w:val="BodyText"/>
        <w:rPr>
          <w:szCs w:val="22"/>
        </w:rPr>
      </w:pPr>
      <w:r w:rsidRPr="00844A6E">
        <w:rPr>
          <w:szCs w:val="22"/>
        </w:rPr>
        <w:t>That said, it is important to carefully scrutinise whether there is a plausible reason why any elements of the proposed changes that are both cheaper to implement and are more energy efficient (or have very high benefit-cost ratios) are not being implemented voluntarily.</w:t>
      </w:r>
    </w:p>
    <w:p w14:paraId="2D757ADE" w14:textId="77777777" w:rsidR="00767FC0" w:rsidRDefault="00767FC0" w:rsidP="00767FC0">
      <w:pPr>
        <w:pStyle w:val="Heading3"/>
        <w:numPr>
          <w:ilvl w:val="0"/>
          <w:numId w:val="0"/>
        </w:numPr>
      </w:pPr>
      <w:r>
        <w:t>Change in capital</w:t>
      </w:r>
      <w:r>
        <w:noBreakHyphen/>
        <w:t>related costs</w:t>
      </w:r>
    </w:p>
    <w:p w14:paraId="0EF758F7" w14:textId="77777777" w:rsidR="00767FC0" w:rsidRDefault="00767FC0" w:rsidP="00767FC0">
      <w:pPr>
        <w:pStyle w:val="BodyText"/>
      </w:pPr>
      <w:r>
        <w:t>More stringent energy efficiency standards affect capital</w:t>
      </w:r>
      <w:r>
        <w:noBreakHyphen/>
        <w:t>related costs in various ways, including costs related to: the building envelope; building services; and rooftop solar.</w:t>
      </w:r>
    </w:p>
    <w:p w14:paraId="421CA5B1" w14:textId="77777777" w:rsidR="00767FC0" w:rsidRPr="001E4A17" w:rsidRDefault="00767FC0" w:rsidP="00767FC0">
      <w:pPr>
        <w:pStyle w:val="Heading4"/>
      </w:pPr>
      <w:r>
        <w:t>DeltaQ modelling</w:t>
      </w:r>
    </w:p>
    <w:p w14:paraId="600D4659" w14:textId="77777777" w:rsidR="00767FC0" w:rsidRPr="00844A6E" w:rsidRDefault="00767FC0" w:rsidP="00767FC0">
      <w:pPr>
        <w:pStyle w:val="BodyText"/>
        <w:rPr>
          <w:szCs w:val="22"/>
        </w:rPr>
      </w:pPr>
      <w:r w:rsidRPr="00844A6E">
        <w:rPr>
          <w:szCs w:val="22"/>
        </w:rPr>
        <w:t>In general, higher capital costs are associated with higher stringency requirements for energy efficiency. Nevertheless, preliminary modelling indicates that enhancing the performance of the building envelope can potentially reduce the size of HVAC systems. This reduction can lead to a net reduction in overall construction or capital costs, wherein the higher cost for a more efficient envelope is more than offset by the reduced cost associated with HVAC equipment.</w:t>
      </w:r>
    </w:p>
    <w:p w14:paraId="7850B65F" w14:textId="77777777" w:rsidR="00767FC0" w:rsidRPr="00844A6E" w:rsidRDefault="00767FC0" w:rsidP="00767FC0">
      <w:pPr>
        <w:pStyle w:val="BodyText"/>
        <w:rPr>
          <w:szCs w:val="22"/>
        </w:rPr>
      </w:pPr>
      <w:r w:rsidRPr="00844A6E">
        <w:rPr>
          <w:szCs w:val="22"/>
        </w:rPr>
        <w:t>However, it is worth noting that stakeholder consultations have highlighted a common practice in HVAC system design which tends to be conservative. This means that the theoretically projected reduction in HVAC size may not always be fully realised in practice.</w:t>
      </w:r>
    </w:p>
    <w:p w14:paraId="4B7145E2" w14:textId="5176F482" w:rsidR="00767FC0" w:rsidRDefault="00767FC0" w:rsidP="00767FC0">
      <w:pPr>
        <w:pStyle w:val="BodyText"/>
        <w:rPr>
          <w:szCs w:val="22"/>
        </w:rPr>
      </w:pPr>
      <w:r w:rsidRPr="00844A6E">
        <w:rPr>
          <w:szCs w:val="22"/>
        </w:rPr>
        <w:t>In some circumstances, more stringent energy efficiency requirements may result in design compr</w:t>
      </w:r>
      <w:r w:rsidR="00766C76">
        <w:rPr>
          <w:szCs w:val="22"/>
        </w:rPr>
        <w:t>om</w:t>
      </w:r>
      <w:r w:rsidRPr="00844A6E">
        <w:rPr>
          <w:szCs w:val="22"/>
        </w:rPr>
        <w:t>ises. For example, more stringent façade requirements may mean in some cases it is not possible to achieve compliance with the proposed NCC requirements using the DTS pathway without reducing the window size, installing external shading, or pursuing a Performance Solution pathway for compliance. To the extent that these design compromises have a material impact on aesthetic/amenity values, this would normally be considered a cost in economic analysis.</w:t>
      </w:r>
    </w:p>
    <w:p w14:paraId="5392D42E" w14:textId="77777777" w:rsidR="00767FC0" w:rsidRPr="0091775C" w:rsidRDefault="00767FC0" w:rsidP="00767FC0">
      <w:pPr>
        <w:pStyle w:val="Heading4"/>
      </w:pPr>
      <w:r w:rsidRPr="0091775C">
        <w:t>Alternative glazing cost estimates</w:t>
      </w:r>
    </w:p>
    <w:p w14:paraId="42E2C3D3" w14:textId="77777777" w:rsidR="00767FC0" w:rsidRPr="0091775C" w:rsidRDefault="00767FC0" w:rsidP="00767FC0">
      <w:pPr>
        <w:pStyle w:val="BodyText"/>
        <w:rPr>
          <w:szCs w:val="22"/>
        </w:rPr>
      </w:pPr>
      <w:r w:rsidRPr="0091775C">
        <w:rPr>
          <w:szCs w:val="22"/>
        </w:rPr>
        <w:t>Glazing selection is one of the factors that is driving the counter</w:t>
      </w:r>
      <w:r w:rsidRPr="0091775C">
        <w:rPr>
          <w:szCs w:val="22"/>
        </w:rPr>
        <w:noBreakHyphen/>
        <w:t>intuitive modelling results (i.e. a simultaneous reduction in capital</w:t>
      </w:r>
      <w:r w:rsidRPr="0091775C">
        <w:rPr>
          <w:szCs w:val="22"/>
        </w:rPr>
        <w:noBreakHyphen/>
        <w:t>related costs and an improvement in energy performance) for some buildings. According to DeltaQ modelling, there are glazing choices available that are both cheaper and more energy efficient (i.e. lower SHGC) than the glazing selection under the base case for some building archetypes in some climate zones.</w:t>
      </w:r>
    </w:p>
    <w:p w14:paraId="107F4AB3" w14:textId="3BE5EE98" w:rsidR="00767FC0" w:rsidRPr="0091775C" w:rsidRDefault="00767FC0" w:rsidP="00767FC0">
      <w:pPr>
        <w:pStyle w:val="BodyText"/>
        <w:rPr>
          <w:szCs w:val="22"/>
        </w:rPr>
      </w:pPr>
      <w:r w:rsidRPr="0091775C">
        <w:rPr>
          <w:szCs w:val="22"/>
        </w:rPr>
        <w:t>Based on the glazing sample used by DeltaQ, the relationship between price and SHGC is relatively weak (see chart </w:t>
      </w:r>
      <w:r>
        <w:rPr>
          <w:szCs w:val="22"/>
        </w:rPr>
        <w:fldChar w:fldCharType="begin"/>
      </w:r>
      <w:r>
        <w:rPr>
          <w:szCs w:val="22"/>
        </w:rPr>
        <w:instrText xml:space="preserve"> REF _Caption2296 </w:instrText>
      </w:r>
      <w:r>
        <w:rPr>
          <w:szCs w:val="22"/>
        </w:rPr>
        <w:fldChar w:fldCharType="separate"/>
      </w:r>
      <w:r w:rsidR="006E00A7">
        <w:rPr>
          <w:noProof/>
        </w:rPr>
        <w:t>5</w:t>
      </w:r>
      <w:r w:rsidR="006E00A7" w:rsidRPr="00695C93">
        <w:rPr>
          <w:noProof/>
        </w:rPr>
        <w:t>.</w:t>
      </w:r>
      <w:r w:rsidR="006E00A7">
        <w:rPr>
          <w:noProof/>
        </w:rPr>
        <w:t>1</w:t>
      </w:r>
      <w:r>
        <w:rPr>
          <w:szCs w:val="22"/>
        </w:rPr>
        <w:fldChar w:fldCharType="end"/>
      </w:r>
      <w:r w:rsidRPr="0091775C">
        <w:rPr>
          <w:szCs w:val="22"/>
        </w:rPr>
        <w:t xml:space="preserve">). This reflects the fact that </w:t>
      </w:r>
      <w:r>
        <w:rPr>
          <w:szCs w:val="22"/>
        </w:rPr>
        <w:t xml:space="preserve">the </w:t>
      </w:r>
      <w:r w:rsidRPr="0091775C">
        <w:rPr>
          <w:szCs w:val="22"/>
        </w:rPr>
        <w:t>cost of different window coatings that affect the SHGC are fairly similar.</w:t>
      </w:r>
    </w:p>
    <w:p w14:paraId="7E616EB8" w14:textId="77777777" w:rsidR="00767FC0" w:rsidRPr="009C4CE8" w:rsidRDefault="00767FC0" w:rsidP="00767FC0">
      <w:pPr>
        <w:pStyle w:val="ListBullet"/>
        <w:rPr>
          <w:szCs w:val="22"/>
        </w:rPr>
      </w:pPr>
      <w:r w:rsidRPr="009C4CE8">
        <w:rPr>
          <w:szCs w:val="22"/>
        </w:rPr>
        <w:t>This means that there are some glazing choices that are superior to others on both price and energy performance (i.e. lower SHGC) as reflected in DeltaQ’s modelling.</w:t>
      </w:r>
    </w:p>
    <w:p w14:paraId="7AE183CC" w14:textId="77777777" w:rsidR="00767FC0" w:rsidRPr="009C4CE8" w:rsidRDefault="00767FC0" w:rsidP="00767FC0">
      <w:pPr>
        <w:pStyle w:val="ListBullet"/>
        <w:rPr>
          <w:szCs w:val="22"/>
        </w:rPr>
      </w:pPr>
      <w:r w:rsidRPr="009C4CE8">
        <w:rPr>
          <w:szCs w:val="22"/>
        </w:rPr>
        <w:t xml:space="preserve">However, the negative relationship between price and SHGC (which is statistically significant at the 95 per cent level) suggests that </w:t>
      </w:r>
      <w:r w:rsidRPr="009C4CE8">
        <w:rPr>
          <w:b/>
          <w:szCs w:val="22"/>
        </w:rPr>
        <w:t>on average</w:t>
      </w:r>
      <w:r w:rsidRPr="009C4CE8">
        <w:rPr>
          <w:szCs w:val="22"/>
        </w:rPr>
        <w:t xml:space="preserve">, more energy efficient glazing (i.e. lower SHGC) is more expensive (not cheaper as implied by DeltaQ’s modelling).  </w:t>
      </w:r>
    </w:p>
    <w:p w14:paraId="376756A0" w14:textId="6567FEA8" w:rsidR="00767FC0" w:rsidRPr="00695C93" w:rsidRDefault="00767FC0">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673E21">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673E21">
          <w:rPr>
            <w:noProof/>
          </w:rPr>
          <w:instrText>5</w:instrText>
        </w:r>
      </w:fldSimple>
      <w:r w:rsidRPr="00695C93">
        <w:instrText xml:space="preserve"> = 0 "" "</w:instrText>
      </w:r>
      <w:fldSimple w:instr=" STYLEREF &quot;Heading 1&quot; \l \n ">
        <w:r w:rsidR="00673E21">
          <w:rPr>
            <w:noProof/>
          </w:rPr>
          <w:instrText>5</w:instrText>
        </w:r>
      </w:fldSimple>
      <w:r w:rsidRPr="00695C93">
        <w:instrText xml:space="preserve">." </w:instrText>
      </w:r>
      <w:r w:rsidRPr="00695C93">
        <w:fldChar w:fldCharType="separate"/>
      </w:r>
      <w:r w:rsidR="00673E21">
        <w:rPr>
          <w:noProof/>
        </w:rPr>
        <w:instrText>5</w:instrText>
      </w:r>
      <w:r w:rsidR="00673E21" w:rsidRPr="00695C93">
        <w:rPr>
          <w:noProof/>
        </w:rPr>
        <w:instrText>.</w:instrText>
      </w:r>
      <w:r w:rsidRPr="00695C93">
        <w:fldChar w:fldCharType="end"/>
      </w:r>
      <w:r w:rsidRPr="00695C93">
        <w:instrText>" "</w:instrText>
      </w:r>
      <w:fldSimple w:instr=" STYLEREF &quot;Heading 6&quot; \l \n ">
        <w:r>
          <w:rPr>
            <w:noProof/>
          </w:rPr>
          <w:instrText>A</w:instrText>
        </w:r>
      </w:fldSimple>
      <w:r w:rsidRPr="00695C93">
        <w:instrText xml:space="preserve">." </w:instrText>
      </w:r>
      <w:r w:rsidRPr="00695C93">
        <w:fldChar w:fldCharType="separate"/>
      </w:r>
      <w:r w:rsidR="008C60A3">
        <w:rPr>
          <w:noProof/>
        </w:rPr>
        <w:instrText>5</w:instrText>
      </w:r>
      <w:r w:rsidR="008C60A3"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673E21">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673E21">
          <w:rPr>
            <w:noProof/>
          </w:rPr>
          <w:instrText>5</w:instrText>
        </w:r>
      </w:fldSimple>
      <w:r w:rsidRPr="00695C93">
        <w:instrText xml:space="preserve"> = 0 "" "1" </w:instrText>
      </w:r>
      <w:r w:rsidRPr="00695C93">
        <w:fldChar w:fldCharType="separate"/>
      </w:r>
      <w:r w:rsidR="008C60A3" w:rsidRPr="00695C93">
        <w:rPr>
          <w:noProof/>
        </w:rPr>
        <w:instrText>1</w:instrText>
      </w:r>
      <w:r w:rsidRPr="00695C93">
        <w:fldChar w:fldCharType="end"/>
      </w:r>
      <w:r w:rsidRPr="00695C93">
        <w:instrText xml:space="preserve">" "6" </w:instrText>
      </w:r>
      <w:r w:rsidRPr="00695C93">
        <w:fldChar w:fldCharType="separate"/>
      </w:r>
      <w:r w:rsidR="008C60A3" w:rsidRPr="00695C93">
        <w:rPr>
          <w:noProof/>
        </w:rPr>
        <w:instrText>1</w:instrText>
      </w:r>
      <w:r w:rsidRPr="00695C93">
        <w:fldChar w:fldCharType="end"/>
      </w:r>
      <w:r w:rsidRPr="00695C93">
        <w:instrText xml:space="preserve"> </w:instrText>
      </w:r>
      <w:r w:rsidRPr="00695C93">
        <w:fldChar w:fldCharType="separate"/>
      </w:r>
      <w:r w:rsidR="00673E21">
        <w:rPr>
          <w:noProof/>
        </w:rPr>
        <w:instrText>1</w:instrText>
      </w:r>
      <w:r w:rsidRPr="00695C93">
        <w:fldChar w:fldCharType="end"/>
      </w:r>
      <w:r w:rsidRPr="00695C93">
        <w:instrText xml:space="preserve">" "" </w:instrText>
      </w:r>
      <w:r w:rsidRPr="00695C93">
        <w:fldChar w:fldCharType="separate"/>
      </w:r>
      <w:bookmarkStart w:id="793" w:name="_Caption7703"/>
      <w:bookmarkStart w:id="794" w:name="_Caption1696"/>
      <w:bookmarkStart w:id="795" w:name="_Caption7338"/>
      <w:bookmarkStart w:id="796" w:name="_Caption3753"/>
      <w:bookmarkStart w:id="797" w:name="_Caption4268"/>
      <w:bookmarkStart w:id="798" w:name="_Caption1932"/>
      <w:bookmarkStart w:id="799" w:name="_Caption5652"/>
      <w:bookmarkStart w:id="800" w:name="_Caption5009"/>
      <w:bookmarkStart w:id="801" w:name="_Caption2831"/>
      <w:bookmarkStart w:id="802" w:name="_Caption5447"/>
      <w:bookmarkStart w:id="803" w:name="_Caption8308"/>
      <w:bookmarkStart w:id="804" w:name="_Caption3523"/>
      <w:bookmarkStart w:id="805" w:name="_Caption9112"/>
      <w:bookmarkStart w:id="806" w:name="_Caption0144"/>
      <w:bookmarkStart w:id="807" w:name="_Caption0580"/>
      <w:bookmarkStart w:id="808" w:name="_Caption5523"/>
      <w:bookmarkStart w:id="809" w:name="_Caption2919"/>
      <w:bookmarkStart w:id="810" w:name="_Caption9462"/>
      <w:bookmarkStart w:id="811" w:name="_Caption5754"/>
      <w:bookmarkStart w:id="812" w:name="_Caption0376"/>
      <w:bookmarkStart w:id="813" w:name="_Caption7323"/>
      <w:bookmarkStart w:id="814" w:name="_Caption5462"/>
      <w:bookmarkStart w:id="815" w:name="_Caption8327"/>
      <w:bookmarkStart w:id="816" w:name="_Caption6280"/>
      <w:bookmarkStart w:id="817" w:name="_Caption4980"/>
      <w:bookmarkStart w:id="818" w:name="_Caption6060"/>
      <w:bookmarkStart w:id="819" w:name="_Caption3915"/>
      <w:bookmarkStart w:id="820" w:name="_Caption3900"/>
      <w:bookmarkStart w:id="821" w:name="_Caption5177"/>
      <w:bookmarkStart w:id="822" w:name="_Caption0526"/>
      <w:bookmarkStart w:id="823" w:name="_Caption4976"/>
      <w:bookmarkStart w:id="824" w:name="_Caption5282"/>
      <w:bookmarkStart w:id="825" w:name="_Caption3423"/>
      <w:bookmarkStart w:id="826" w:name="_Caption1417"/>
      <w:bookmarkStart w:id="827" w:name="_Caption6921"/>
      <w:bookmarkStart w:id="828" w:name="_Caption5595"/>
      <w:bookmarkStart w:id="829" w:name="_Caption4370"/>
      <w:bookmarkStart w:id="830" w:name="_Caption5024"/>
      <w:bookmarkStart w:id="831" w:name="_Caption6692"/>
      <w:bookmarkStart w:id="832" w:name="_Caption5157"/>
      <w:bookmarkStart w:id="833" w:name="_Caption1666"/>
      <w:bookmarkStart w:id="834" w:name="_Caption6023"/>
      <w:bookmarkStart w:id="835" w:name="_Caption5120"/>
      <w:bookmarkStart w:id="836" w:name="_Caption1147"/>
      <w:bookmarkStart w:id="837" w:name="_Caption4532"/>
      <w:bookmarkStart w:id="838" w:name="_Caption6171"/>
      <w:bookmarkStart w:id="839" w:name="_Caption6623"/>
      <w:bookmarkStart w:id="840" w:name="_Caption2296"/>
      <w:bookmarkStart w:id="841" w:name="_Caption5548"/>
      <w:bookmarkStart w:id="842" w:name="_Caption2304"/>
      <w:bookmarkStart w:id="843" w:name="_Caption7182"/>
      <w:bookmarkStart w:id="844" w:name="_Caption0217"/>
      <w:bookmarkStart w:id="845" w:name="_Caption1579"/>
      <w:bookmarkStart w:id="846" w:name="_Caption7434"/>
      <w:bookmarkStart w:id="847" w:name="_Caption5905"/>
      <w:bookmarkStart w:id="848" w:name="_Caption6804"/>
      <w:bookmarkStart w:id="849" w:name="_Caption8218"/>
      <w:bookmarkStart w:id="850" w:name="_Caption1064"/>
      <w:bookmarkStart w:id="851" w:name="_Caption3735"/>
      <w:bookmarkStart w:id="852" w:name="_Caption5559"/>
      <w:bookmarkStart w:id="853" w:name="_Caption9105"/>
      <w:bookmarkStart w:id="854" w:name="_Caption2280"/>
      <w:bookmarkStart w:id="855" w:name="_Caption2679"/>
      <w:bookmarkStart w:id="856" w:name="_Caption4674"/>
      <w:bookmarkStart w:id="857" w:name="_Caption8964"/>
      <w:bookmarkStart w:id="858" w:name="_Caption5135"/>
      <w:bookmarkStart w:id="859" w:name="_Caption2108"/>
      <w:bookmarkStart w:id="860" w:name="_Caption8948"/>
      <w:bookmarkStart w:id="861" w:name="_Caption3688"/>
      <w:bookmarkStart w:id="862" w:name="_Caption7655"/>
      <w:bookmarkStart w:id="863" w:name="_Caption4771"/>
      <w:bookmarkStart w:id="864" w:name="_Caption1704"/>
      <w:bookmarkStart w:id="865" w:name="_Caption0103"/>
      <w:bookmarkStart w:id="866" w:name="_Caption5432"/>
      <w:bookmarkStart w:id="867" w:name="_Toc178292575"/>
      <w:r w:rsidR="008C60A3">
        <w:rPr>
          <w:noProof/>
        </w:rPr>
        <w:t>5</w:t>
      </w:r>
      <w:r w:rsidR="008C60A3" w:rsidRPr="00695C93">
        <w:rPr>
          <w:noProof/>
        </w:rPr>
        <w:t>.</w:t>
      </w:r>
      <w:r w:rsidR="008C60A3">
        <w:rPr>
          <w:noProof/>
        </w:rPr>
        <w:t>1</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r w:rsidRPr="00695C93">
        <w:fldChar w:fldCharType="end"/>
      </w:r>
      <w:r w:rsidRPr="00695C93">
        <w:tab/>
      </w:r>
      <w:r>
        <w:t>Relationship between SHGC and price</w:t>
      </w:r>
      <w:bookmarkEnd w:id="867"/>
    </w:p>
    <w:tbl>
      <w:tblPr>
        <w:tblStyle w:val="TableGrid"/>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9E8E5" w:themeFill="background2"/>
        <w:tblLayout w:type="fixed"/>
        <w:tblCellMar>
          <w:left w:w="0" w:type="dxa"/>
          <w:right w:w="0" w:type="dxa"/>
        </w:tblCellMar>
        <w:tblLook w:val="04A0" w:firstRow="1" w:lastRow="0" w:firstColumn="1" w:lastColumn="0" w:noHBand="0" w:noVBand="1"/>
      </w:tblPr>
      <w:tblGrid>
        <w:gridCol w:w="7938"/>
      </w:tblGrid>
      <w:tr w:rsidR="00767FC0" w:rsidRPr="0091775C" w14:paraId="10951BE5" w14:textId="77777777">
        <w:trPr>
          <w:cantSplit/>
        </w:trPr>
        <w:tc>
          <w:tcPr>
            <w:tcW w:w="7938" w:type="dxa"/>
            <w:shd w:val="clear" w:color="auto" w:fill="E9E8E5" w:themeFill="background2"/>
          </w:tcPr>
          <w:p w14:paraId="7B9B5191" w14:textId="77777777" w:rsidR="00767FC0" w:rsidRPr="0091775C" w:rsidRDefault="00767FC0">
            <w:pPr>
              <w:pStyle w:val="Chart"/>
            </w:pPr>
            <w:r w:rsidRPr="0091775C">
              <w:rPr>
                <w:noProof/>
              </w:rPr>
              <w:drawing>
                <wp:inline distT="0" distB="0" distL="0" distR="0" wp14:anchorId="7B4E1037" wp14:editId="54407F16">
                  <wp:extent cx="5040630" cy="2431415"/>
                  <wp:effectExtent l="0" t="0" r="0" b="0"/>
                  <wp:docPr id="1344529364" name="Picture 1" descr="This chart plots the SHGC value with the window price. A negative relationship between SHGC and price can be obser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529364" name="Picture 1" descr="This chart plots the SHGC value with the window price. A negative relationship between SHGC and price can be observ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40630" cy="2431415"/>
                          </a:xfrm>
                          <a:prstGeom prst="rect">
                            <a:avLst/>
                          </a:prstGeom>
                          <a:noFill/>
                          <a:ln>
                            <a:noFill/>
                          </a:ln>
                        </pic:spPr>
                      </pic:pic>
                    </a:graphicData>
                  </a:graphic>
                </wp:inline>
              </w:drawing>
            </w:r>
          </w:p>
        </w:tc>
      </w:tr>
    </w:tbl>
    <w:p w14:paraId="435BC92D" w14:textId="77777777" w:rsidR="00767FC0" w:rsidRPr="0091775C" w:rsidRDefault="00767FC0" w:rsidP="00767FC0">
      <w:pPr>
        <w:pStyle w:val="Source"/>
      </w:pPr>
      <w:r w:rsidRPr="0091775C">
        <w:rPr>
          <w:i/>
        </w:rPr>
        <w:t>Data source:</w:t>
      </w:r>
      <w:r w:rsidRPr="0091775C">
        <w:t xml:space="preserve"> CIE based on data provided by DeltaQ.</w:t>
      </w:r>
    </w:p>
    <w:p w14:paraId="3341AAE6" w14:textId="70FEBDEF" w:rsidR="00767FC0" w:rsidRPr="0091775C" w:rsidRDefault="00767FC0" w:rsidP="00767FC0">
      <w:pPr>
        <w:pStyle w:val="BodyText"/>
        <w:rPr>
          <w:szCs w:val="22"/>
        </w:rPr>
      </w:pPr>
      <w:r w:rsidRPr="0091775C">
        <w:rPr>
          <w:szCs w:val="22"/>
        </w:rPr>
        <w:t>To test the robustness of the results, we model an alternative glazing cost scenario based on the average relationship between price and SHGC (as shown in chart </w:t>
      </w:r>
      <w:r w:rsidRPr="0091775C">
        <w:rPr>
          <w:szCs w:val="22"/>
        </w:rPr>
        <w:fldChar w:fldCharType="begin"/>
      </w:r>
      <w:r w:rsidRPr="0091775C">
        <w:rPr>
          <w:szCs w:val="22"/>
        </w:rPr>
        <w:instrText xml:space="preserve"> REF _Caption3873  \* MERGEFORMAT </w:instrText>
      </w:r>
      <w:r w:rsidRPr="0091775C">
        <w:rPr>
          <w:szCs w:val="22"/>
        </w:rPr>
        <w:fldChar w:fldCharType="separate"/>
      </w:r>
      <w:r w:rsidR="006E00A7">
        <w:rPr>
          <w:noProof/>
        </w:rPr>
        <w:t>1</w:t>
      </w:r>
      <w:r w:rsidRPr="0091775C">
        <w:rPr>
          <w:szCs w:val="22"/>
        </w:rPr>
        <w:fldChar w:fldCharType="end"/>
      </w:r>
      <w:r w:rsidRPr="0091775C">
        <w:rPr>
          <w:szCs w:val="22"/>
        </w:rPr>
        <w:t xml:space="preserve"> above). This relationship implies that if the SHGC is reduced by </w:t>
      </w:r>
      <w:r w:rsidRPr="0091775C">
        <w:rPr>
          <w:b/>
          <w:bCs/>
          <w:szCs w:val="22"/>
        </w:rPr>
        <w:t>0.1</w:t>
      </w:r>
      <w:r w:rsidRPr="0091775C">
        <w:rPr>
          <w:szCs w:val="22"/>
        </w:rPr>
        <w:t xml:space="preserve">, the price increases by around </w:t>
      </w:r>
      <w:r w:rsidRPr="0091775C">
        <w:rPr>
          <w:b/>
          <w:bCs/>
          <w:szCs w:val="22"/>
        </w:rPr>
        <w:t>$20.86</w:t>
      </w:r>
      <w:r w:rsidRPr="0091775C">
        <w:rPr>
          <w:szCs w:val="22"/>
        </w:rPr>
        <w:t xml:space="preserve"> per m</w:t>
      </w:r>
      <w:r w:rsidRPr="0091775C">
        <w:rPr>
          <w:szCs w:val="22"/>
          <w:vertAlign w:val="superscript"/>
        </w:rPr>
        <w:t>2</w:t>
      </w:r>
      <w:r w:rsidRPr="0091775C">
        <w:rPr>
          <w:szCs w:val="22"/>
        </w:rPr>
        <w:t xml:space="preserve">. </w:t>
      </w:r>
      <w:r w:rsidRPr="0091775C">
        <w:t>This may be driven by concurrent changes in the U-Value of the products in the sample set. This was not examined in this analysis due to the fact that wall-glazing U-Value changes proposed for NCC 2025 are driven by opaque wall elements. However, the cost relationship identified may be a proxy for the costs that will be incurred, noting that some projects may respond to the wall-glazing changes with better-insulated windows, for example if site-specific factors make higher R-Values for the walls difficult to achieve.</w:t>
      </w:r>
    </w:p>
    <w:p w14:paraId="79461471" w14:textId="77777777" w:rsidR="00767FC0" w:rsidRDefault="00767FC0" w:rsidP="00767FC0">
      <w:pPr>
        <w:pStyle w:val="BodyText"/>
        <w:rPr>
          <w:szCs w:val="22"/>
        </w:rPr>
      </w:pPr>
      <w:r w:rsidRPr="0091775C">
        <w:rPr>
          <w:szCs w:val="22"/>
        </w:rPr>
        <w:t>Note that this approach does not address any potential amenity/aesthetic impacts associated with darker windows.</w:t>
      </w:r>
    </w:p>
    <w:p w14:paraId="108B198E" w14:textId="77777777" w:rsidR="00767FC0" w:rsidRDefault="00767FC0" w:rsidP="00767FC0">
      <w:pPr>
        <w:pStyle w:val="Heading4"/>
        <w:numPr>
          <w:ilvl w:val="0"/>
          <w:numId w:val="0"/>
        </w:numPr>
      </w:pPr>
      <w:r w:rsidRPr="00AC7C89">
        <w:t>Learning rates</w:t>
      </w:r>
    </w:p>
    <w:p w14:paraId="436022A5" w14:textId="77777777" w:rsidR="00767FC0" w:rsidRPr="00844A6E" w:rsidRDefault="00767FC0" w:rsidP="00767FC0">
      <w:pPr>
        <w:pStyle w:val="BodyText"/>
        <w:rPr>
          <w:szCs w:val="22"/>
        </w:rPr>
      </w:pPr>
      <w:r w:rsidRPr="00844A6E">
        <w:rPr>
          <w:szCs w:val="22"/>
        </w:rPr>
        <w:t>Some analyses of energy efficiency policy changes (such as changes to minimum standards) include a ‘learning rate’.</w:t>
      </w:r>
      <w:r w:rsidRPr="00127866">
        <w:rPr>
          <w:rStyle w:val="FootnoteReference"/>
        </w:rPr>
        <w:footnoteReference w:id="95"/>
      </w:r>
      <w:r w:rsidRPr="00127866">
        <w:rPr>
          <w:rStyle w:val="FootnoteReference"/>
        </w:rPr>
        <w:t xml:space="preserve"> </w:t>
      </w:r>
      <w:r w:rsidRPr="00844A6E">
        <w:rPr>
          <w:szCs w:val="22"/>
        </w:rPr>
        <w:t>Conceptually, the learning rate reflects how quickly firms adapt and adopt new technologies and techniques, and revise their designs and/or production processes.</w:t>
      </w:r>
      <w:r w:rsidRPr="00127866">
        <w:rPr>
          <w:rStyle w:val="FootnoteReference"/>
        </w:rPr>
        <w:footnoteReference w:id="96"/>
      </w:r>
      <w:r w:rsidRPr="00127866">
        <w:rPr>
          <w:rStyle w:val="FootnoteReference"/>
        </w:rPr>
        <w:t xml:space="preserve"> </w:t>
      </w:r>
      <w:r w:rsidRPr="00844A6E">
        <w:rPr>
          <w:szCs w:val="22"/>
        </w:rPr>
        <w:t>The premise is that raising the Performance Requirements in the</w:t>
      </w:r>
      <w:r w:rsidRPr="00885ABA">
        <w:t xml:space="preserve"> </w:t>
      </w:r>
      <w:r w:rsidRPr="00844A6E">
        <w:rPr>
          <w:szCs w:val="22"/>
        </w:rPr>
        <w:t>NCC may initially increase costs; however, these additional costs will decline over time as the industry adapts (or learns).</w:t>
      </w:r>
    </w:p>
    <w:p w14:paraId="5A1DE769" w14:textId="77777777" w:rsidR="00767FC0" w:rsidRPr="00844A6E" w:rsidRDefault="00767FC0" w:rsidP="00767FC0">
      <w:pPr>
        <w:pStyle w:val="BodyText"/>
        <w:rPr>
          <w:szCs w:val="22"/>
        </w:rPr>
      </w:pPr>
      <w:r w:rsidRPr="00844A6E">
        <w:rPr>
          <w:szCs w:val="22"/>
        </w:rPr>
        <w:t>The main ways through which the incremental costs associated with higher performance requirements could decline over time are:</w:t>
      </w:r>
    </w:p>
    <w:p w14:paraId="48438E52" w14:textId="77777777" w:rsidR="00767FC0" w:rsidRPr="00844A6E" w:rsidRDefault="00767FC0" w:rsidP="00767FC0">
      <w:pPr>
        <w:pStyle w:val="ListBullet"/>
        <w:rPr>
          <w:szCs w:val="22"/>
        </w:rPr>
      </w:pPr>
      <w:r w:rsidRPr="00844A6E">
        <w:rPr>
          <w:szCs w:val="22"/>
        </w:rPr>
        <w:t xml:space="preserve">declining input prices — the price of new technologies can sometimes decline rapidly initially (due to economies of scale resulting from rapid adoption) before levelling off; </w:t>
      </w:r>
    </w:p>
    <w:p w14:paraId="62B7BE32" w14:textId="77777777" w:rsidR="00767FC0" w:rsidRPr="00844A6E" w:rsidRDefault="00767FC0" w:rsidP="00767FC0">
      <w:pPr>
        <w:pStyle w:val="ListBullet"/>
        <w:rPr>
          <w:szCs w:val="22"/>
        </w:rPr>
      </w:pPr>
      <w:r w:rsidRPr="00844A6E">
        <w:rPr>
          <w:szCs w:val="22"/>
        </w:rPr>
        <w:t>construction techniques and supply chain maturity; and</w:t>
      </w:r>
    </w:p>
    <w:p w14:paraId="3E087F46" w14:textId="77777777" w:rsidR="00767FC0" w:rsidRPr="00844A6E" w:rsidRDefault="00767FC0" w:rsidP="00767FC0">
      <w:pPr>
        <w:pStyle w:val="ListBullet"/>
        <w:rPr>
          <w:szCs w:val="22"/>
        </w:rPr>
      </w:pPr>
      <w:r w:rsidRPr="00844A6E">
        <w:rPr>
          <w:szCs w:val="22"/>
        </w:rPr>
        <w:t>innovation and learning in relation to design.</w:t>
      </w:r>
    </w:p>
    <w:p w14:paraId="6707649D" w14:textId="77777777" w:rsidR="00767FC0" w:rsidRPr="00844A6E" w:rsidRDefault="00767FC0" w:rsidP="00767FC0">
      <w:pPr>
        <w:pStyle w:val="BodyText"/>
        <w:rPr>
          <w:szCs w:val="22"/>
        </w:rPr>
      </w:pPr>
      <w:r w:rsidRPr="00844A6E">
        <w:rPr>
          <w:szCs w:val="22"/>
        </w:rPr>
        <w:t>Stakeholders have confirmed that the learning rate is dependent on the maturity of technology. Most of the technologies are now relatively mature, meaning they are not in the rapid learning phase.</w:t>
      </w:r>
    </w:p>
    <w:p w14:paraId="21ABC01E" w14:textId="77777777" w:rsidR="00767FC0" w:rsidRPr="00844A6E" w:rsidRDefault="00767FC0" w:rsidP="00767FC0">
      <w:pPr>
        <w:pStyle w:val="BodyText"/>
        <w:rPr>
          <w:szCs w:val="22"/>
        </w:rPr>
      </w:pPr>
      <w:r w:rsidRPr="00844A6E">
        <w:rPr>
          <w:szCs w:val="22"/>
        </w:rPr>
        <w:t>The technical consultant, DeltaQ, investigated learning rates for specific technologies, such as roof-top PV and heat pumps, and finds no hard evidence to support or justify a specific learning rate.</w:t>
      </w:r>
    </w:p>
    <w:p w14:paraId="54F5F3A6" w14:textId="77777777" w:rsidR="00767FC0" w:rsidRPr="00844A6E" w:rsidRDefault="00767FC0" w:rsidP="00767FC0">
      <w:pPr>
        <w:pStyle w:val="BodyText"/>
        <w:rPr>
          <w:szCs w:val="22"/>
        </w:rPr>
      </w:pPr>
      <w:r w:rsidRPr="00844A6E">
        <w:rPr>
          <w:szCs w:val="22"/>
        </w:rPr>
        <w:t xml:space="preserve">Learning rates are therefore not included in the central analysis. However, learning rates have been considered in the sensitivity analysis following the advice from the independent economic adviser. </w:t>
      </w:r>
    </w:p>
    <w:p w14:paraId="7A90FC58" w14:textId="77777777" w:rsidR="00767FC0" w:rsidRDefault="00767FC0" w:rsidP="00767FC0">
      <w:pPr>
        <w:pStyle w:val="Heading3"/>
        <w:numPr>
          <w:ilvl w:val="0"/>
          <w:numId w:val="0"/>
        </w:numPr>
      </w:pPr>
      <w:r>
        <w:t>Avoided energy costs</w:t>
      </w:r>
    </w:p>
    <w:p w14:paraId="2D5E1E37" w14:textId="0F3186FA" w:rsidR="009A1BED" w:rsidRDefault="00767FC0" w:rsidP="00767FC0">
      <w:pPr>
        <w:pStyle w:val="BodyText"/>
        <w:rPr>
          <w:szCs w:val="22"/>
        </w:rPr>
      </w:pPr>
      <w:r>
        <w:rPr>
          <w:szCs w:val="22"/>
        </w:rPr>
        <w:t xml:space="preserve">The primary benefit from more stringent minimum energy efficiency standards is reduced energy consumption, which means the associated costs are avoided. </w:t>
      </w:r>
      <w:r w:rsidR="00037D1B">
        <w:rPr>
          <w:szCs w:val="22"/>
        </w:rPr>
        <w:t xml:space="preserve">The estimated reduction in energy (electricity and gas) consumption is </w:t>
      </w:r>
      <w:r w:rsidR="003D591F">
        <w:rPr>
          <w:szCs w:val="22"/>
        </w:rPr>
        <w:t xml:space="preserve">based on </w:t>
      </w:r>
      <w:r w:rsidRPr="00844A6E">
        <w:rPr>
          <w:szCs w:val="22"/>
        </w:rPr>
        <w:t xml:space="preserve">DeltaQ’s </w:t>
      </w:r>
      <w:r w:rsidR="003D591F">
        <w:rPr>
          <w:szCs w:val="22"/>
        </w:rPr>
        <w:t xml:space="preserve">building </w:t>
      </w:r>
      <w:r w:rsidR="00A116F3">
        <w:rPr>
          <w:szCs w:val="22"/>
        </w:rPr>
        <w:t>energy modelling</w:t>
      </w:r>
      <w:r w:rsidR="00DF0EF0">
        <w:rPr>
          <w:szCs w:val="22"/>
        </w:rPr>
        <w:t xml:space="preserve"> for 10 building archetypes in </w:t>
      </w:r>
      <w:r w:rsidR="00BA1964">
        <w:rPr>
          <w:szCs w:val="22"/>
        </w:rPr>
        <w:t>the 8 NCC climate zones (see appendix F for further details)</w:t>
      </w:r>
      <w:r w:rsidR="003D591F">
        <w:rPr>
          <w:szCs w:val="22"/>
        </w:rPr>
        <w:t>.</w:t>
      </w:r>
    </w:p>
    <w:p w14:paraId="272DC264" w14:textId="437560DD" w:rsidR="00767FC0" w:rsidRDefault="00512D1A" w:rsidP="00767FC0">
      <w:pPr>
        <w:pStyle w:val="BodyText"/>
        <w:rPr>
          <w:szCs w:val="22"/>
        </w:rPr>
      </w:pPr>
      <w:r>
        <w:rPr>
          <w:szCs w:val="22"/>
        </w:rPr>
        <w:t xml:space="preserve">For each building archetype and climate zone, </w:t>
      </w:r>
      <w:r w:rsidR="00BC2F91">
        <w:rPr>
          <w:szCs w:val="22"/>
        </w:rPr>
        <w:t xml:space="preserve">DeltaQ </w:t>
      </w:r>
      <w:r>
        <w:rPr>
          <w:szCs w:val="22"/>
        </w:rPr>
        <w:t>provided energy consumpti</w:t>
      </w:r>
      <w:r w:rsidR="00A116F3">
        <w:rPr>
          <w:szCs w:val="22"/>
        </w:rPr>
        <w:t xml:space="preserve">on estimates </w:t>
      </w:r>
      <w:r w:rsidR="00767FC0" w:rsidRPr="00844A6E">
        <w:rPr>
          <w:szCs w:val="22"/>
        </w:rPr>
        <w:t>for the base case (NCC 2022) and the proposed NCC 2025 options.</w:t>
      </w:r>
      <w:r w:rsidR="00A116F3">
        <w:rPr>
          <w:szCs w:val="22"/>
        </w:rPr>
        <w:t xml:space="preserve"> The simulation model estimates</w:t>
      </w:r>
      <w:r w:rsidR="00E23FBA">
        <w:rPr>
          <w:szCs w:val="22"/>
        </w:rPr>
        <w:t xml:space="preserve"> energy consumption in each hourly interval across the year, allowing us to </w:t>
      </w:r>
      <w:r w:rsidR="00846DCC">
        <w:rPr>
          <w:szCs w:val="22"/>
        </w:rPr>
        <w:t xml:space="preserve">apply time of use </w:t>
      </w:r>
      <w:r w:rsidR="00DA3123">
        <w:rPr>
          <w:szCs w:val="22"/>
        </w:rPr>
        <w:t>electricity</w:t>
      </w:r>
      <w:r w:rsidR="00846DCC">
        <w:rPr>
          <w:szCs w:val="22"/>
        </w:rPr>
        <w:t xml:space="preserve"> prices as an in</w:t>
      </w:r>
      <w:r w:rsidR="00DA3123">
        <w:rPr>
          <w:szCs w:val="22"/>
        </w:rPr>
        <w:t>dicator of the avoided energy costs.</w:t>
      </w:r>
    </w:p>
    <w:p w14:paraId="7DF3AE4F" w14:textId="00D6A169" w:rsidR="00E30DB5" w:rsidRDefault="00E30DB5" w:rsidP="00767FC0">
      <w:pPr>
        <w:pStyle w:val="BodyText"/>
        <w:rPr>
          <w:szCs w:val="22"/>
        </w:rPr>
      </w:pPr>
      <w:r>
        <w:rPr>
          <w:szCs w:val="22"/>
        </w:rPr>
        <w:t xml:space="preserve">The </w:t>
      </w:r>
      <w:r w:rsidR="00041C10">
        <w:rPr>
          <w:szCs w:val="22"/>
        </w:rPr>
        <w:t>hourly</w:t>
      </w:r>
      <w:r>
        <w:rPr>
          <w:szCs w:val="22"/>
        </w:rPr>
        <w:t xml:space="preserve"> simulation model used by DeltaQ does not include domestic hot water (DHW)</w:t>
      </w:r>
      <w:r w:rsidR="00041C10">
        <w:rPr>
          <w:szCs w:val="22"/>
        </w:rPr>
        <w:t xml:space="preserve"> </w:t>
      </w:r>
      <w:r w:rsidR="00FF4796">
        <w:rPr>
          <w:szCs w:val="22"/>
        </w:rPr>
        <w:t xml:space="preserve">. However, </w:t>
      </w:r>
      <w:r w:rsidR="0007520C">
        <w:rPr>
          <w:szCs w:val="22"/>
        </w:rPr>
        <w:t xml:space="preserve">moving to a fully electric </w:t>
      </w:r>
      <w:r w:rsidR="00927425">
        <w:rPr>
          <w:szCs w:val="22"/>
        </w:rPr>
        <w:t xml:space="preserve">building under Stringency Level 3 would mean that buildings with gas DHW systems would need to shift to </w:t>
      </w:r>
      <w:r w:rsidR="0025776D">
        <w:rPr>
          <w:szCs w:val="22"/>
        </w:rPr>
        <w:t>an electric DHW system.</w:t>
      </w:r>
    </w:p>
    <w:p w14:paraId="43E7834A" w14:textId="593545E3" w:rsidR="00421CD7" w:rsidRDefault="00421CD7" w:rsidP="00767FC0">
      <w:pPr>
        <w:pStyle w:val="BodyText"/>
        <w:rPr>
          <w:szCs w:val="22"/>
        </w:rPr>
      </w:pPr>
      <w:r>
        <w:rPr>
          <w:szCs w:val="22"/>
        </w:rPr>
        <w:t xml:space="preserve">DeltaQ has modelled these impacts outside the simulation model and therefore </w:t>
      </w:r>
      <w:r w:rsidR="00C23070">
        <w:rPr>
          <w:szCs w:val="22"/>
        </w:rPr>
        <w:t xml:space="preserve">the associated changes in electricity consumption </w:t>
      </w:r>
      <w:r w:rsidR="00D97889">
        <w:rPr>
          <w:szCs w:val="22"/>
        </w:rPr>
        <w:t>were</w:t>
      </w:r>
      <w:r w:rsidR="00C23070">
        <w:rPr>
          <w:szCs w:val="22"/>
        </w:rPr>
        <w:t xml:space="preserve"> not available </w:t>
      </w:r>
      <w:r w:rsidR="00002BBF">
        <w:rPr>
          <w:szCs w:val="22"/>
        </w:rPr>
        <w:t xml:space="preserve">on an hourly basis. </w:t>
      </w:r>
      <w:r w:rsidR="00534DDD">
        <w:rPr>
          <w:szCs w:val="22"/>
        </w:rPr>
        <w:t xml:space="preserve">We therefore assumed that the </w:t>
      </w:r>
      <w:r w:rsidR="00BC1CF3">
        <w:rPr>
          <w:szCs w:val="22"/>
        </w:rPr>
        <w:t xml:space="preserve">hourly </w:t>
      </w:r>
      <w:r w:rsidR="00534DDD">
        <w:rPr>
          <w:szCs w:val="22"/>
        </w:rPr>
        <w:t>consumption patterns for DHW was the same as</w:t>
      </w:r>
      <w:r w:rsidR="00BC1CF3">
        <w:rPr>
          <w:szCs w:val="22"/>
        </w:rPr>
        <w:t xml:space="preserve"> the simulated electricity consumption</w:t>
      </w:r>
      <w:r w:rsidR="0031694F">
        <w:rPr>
          <w:szCs w:val="22"/>
        </w:rPr>
        <w:t xml:space="preserve"> for each building archetype</w:t>
      </w:r>
      <w:r w:rsidR="002E5BE7">
        <w:rPr>
          <w:szCs w:val="22"/>
        </w:rPr>
        <w:t>. To the extent that D</w:t>
      </w:r>
      <w:r w:rsidR="001C018E">
        <w:rPr>
          <w:szCs w:val="22"/>
        </w:rPr>
        <w:t xml:space="preserve">HW consumption patterns are different to the simulated electricity consumption, </w:t>
      </w:r>
      <w:r w:rsidR="00764E66">
        <w:rPr>
          <w:szCs w:val="22"/>
        </w:rPr>
        <w:t xml:space="preserve">this is unlikely to have a material impact on the CBA as </w:t>
      </w:r>
      <w:r w:rsidR="00C2307F">
        <w:rPr>
          <w:szCs w:val="22"/>
        </w:rPr>
        <w:t>DHW is a relatively small component of total energy consumption.</w:t>
      </w:r>
    </w:p>
    <w:p w14:paraId="21874B13" w14:textId="77777777" w:rsidR="00767FC0" w:rsidRPr="00844A6E" w:rsidRDefault="00767FC0" w:rsidP="00767FC0">
      <w:pPr>
        <w:pStyle w:val="Heading4"/>
      </w:pPr>
      <w:r>
        <w:t>Approach to valuing avoided energy costs</w:t>
      </w:r>
    </w:p>
    <w:p w14:paraId="5E57DC16" w14:textId="77777777" w:rsidR="00767FC0" w:rsidRPr="00264745" w:rsidRDefault="00767FC0" w:rsidP="00767FC0">
      <w:pPr>
        <w:pStyle w:val="BodyText"/>
        <w:rPr>
          <w:szCs w:val="22"/>
        </w:rPr>
      </w:pPr>
      <w:r w:rsidRPr="00264745">
        <w:rPr>
          <w:szCs w:val="22"/>
        </w:rPr>
        <w:t>Our approach to valuing avoided energy costs is largely based on the market (and regulated) prices of the various components of retail energy prices in each state, including:</w:t>
      </w:r>
    </w:p>
    <w:p w14:paraId="6BA31D11" w14:textId="77777777" w:rsidR="00767FC0" w:rsidRPr="004E4FC8" w:rsidRDefault="00767FC0" w:rsidP="00767FC0">
      <w:pPr>
        <w:pStyle w:val="ListBullet"/>
        <w:rPr>
          <w:szCs w:val="22"/>
        </w:rPr>
      </w:pPr>
      <w:r w:rsidRPr="004E4FC8">
        <w:rPr>
          <w:szCs w:val="22"/>
        </w:rPr>
        <w:t>avoided generation/energy costs (measured using time of use wholesale prices)</w:t>
      </w:r>
    </w:p>
    <w:p w14:paraId="6B9F16A6" w14:textId="77777777" w:rsidR="00767FC0" w:rsidRPr="004E4FC8" w:rsidRDefault="00767FC0" w:rsidP="00767FC0">
      <w:pPr>
        <w:pStyle w:val="ListBullet"/>
        <w:rPr>
          <w:szCs w:val="22"/>
        </w:rPr>
      </w:pPr>
      <w:r w:rsidRPr="004E4FC8">
        <w:rPr>
          <w:szCs w:val="22"/>
        </w:rPr>
        <w:t>avoided network usage costs (measured based on network usage charges)</w:t>
      </w:r>
    </w:p>
    <w:p w14:paraId="5134D9B6" w14:textId="77777777" w:rsidR="00767FC0" w:rsidRPr="004E4FC8" w:rsidRDefault="00767FC0" w:rsidP="00767FC0">
      <w:pPr>
        <w:pStyle w:val="ListBullet"/>
        <w:rPr>
          <w:szCs w:val="22"/>
        </w:rPr>
      </w:pPr>
      <w:r w:rsidRPr="004E4FC8">
        <w:rPr>
          <w:szCs w:val="22"/>
        </w:rPr>
        <w:t>avoided network capacity costs (measured using network capacity charges)</w:t>
      </w:r>
    </w:p>
    <w:p w14:paraId="7390FB3F" w14:textId="77777777" w:rsidR="00767FC0" w:rsidRPr="004E4FC8" w:rsidRDefault="00767FC0" w:rsidP="00767FC0">
      <w:pPr>
        <w:pStyle w:val="ListBullet"/>
        <w:rPr>
          <w:szCs w:val="22"/>
        </w:rPr>
      </w:pPr>
      <w:r w:rsidRPr="004E4FC8">
        <w:rPr>
          <w:szCs w:val="22"/>
        </w:rPr>
        <w:t>avoided retail costs (avoided retail costs are reflected in the retail margin).</w:t>
      </w:r>
    </w:p>
    <w:p w14:paraId="1C03A1D1" w14:textId="77777777" w:rsidR="00767FC0" w:rsidRPr="00264745" w:rsidRDefault="00767FC0" w:rsidP="00767FC0">
      <w:pPr>
        <w:pStyle w:val="BodyText"/>
        <w:rPr>
          <w:szCs w:val="22"/>
        </w:rPr>
      </w:pPr>
      <w:r w:rsidRPr="00264745">
        <w:rPr>
          <w:szCs w:val="22"/>
        </w:rPr>
        <w:t xml:space="preserve">This is similar to the ‘retail price approach’, but excludes costs that are not likely </w:t>
      </w:r>
      <w:r>
        <w:rPr>
          <w:szCs w:val="22"/>
        </w:rPr>
        <w:t xml:space="preserve">to </w:t>
      </w:r>
      <w:r w:rsidRPr="00264745">
        <w:rPr>
          <w:szCs w:val="22"/>
        </w:rPr>
        <w:t>vary based on the amount of electricity consumed, including:</w:t>
      </w:r>
    </w:p>
    <w:p w14:paraId="52638134" w14:textId="77777777" w:rsidR="00767FC0" w:rsidRPr="004E4FC8" w:rsidRDefault="00767FC0" w:rsidP="00767FC0">
      <w:pPr>
        <w:pStyle w:val="ListBullet"/>
        <w:rPr>
          <w:szCs w:val="22"/>
        </w:rPr>
      </w:pPr>
      <w:r w:rsidRPr="004E4FC8">
        <w:rPr>
          <w:szCs w:val="22"/>
        </w:rPr>
        <w:t>retail costs that are likely to be driven by the number of customers (which is unlikely to change as a result of the proposal), rather than the amount of electricity used; and</w:t>
      </w:r>
    </w:p>
    <w:p w14:paraId="4E607D29" w14:textId="77777777" w:rsidR="00767FC0" w:rsidRPr="004E4FC8" w:rsidRDefault="00767FC0" w:rsidP="00767FC0">
      <w:pPr>
        <w:pStyle w:val="ListBullet"/>
        <w:rPr>
          <w:szCs w:val="22"/>
        </w:rPr>
      </w:pPr>
      <w:r w:rsidRPr="004E4FC8">
        <w:rPr>
          <w:szCs w:val="22"/>
        </w:rPr>
        <w:t>the costs associated with environmental schemes, which form part of the retail price, but are essentially fixed (i.e. unlikely to vary significantly based on the amount of electricity consumed).</w:t>
      </w:r>
    </w:p>
    <w:p w14:paraId="66AE5C7E" w14:textId="2751E0E6" w:rsidR="00767FC0" w:rsidRPr="00844A6E" w:rsidRDefault="00767FC0" w:rsidP="00767FC0">
      <w:pPr>
        <w:pStyle w:val="BodyText"/>
        <w:rPr>
          <w:szCs w:val="22"/>
        </w:rPr>
      </w:pPr>
      <w:r w:rsidRPr="00264745">
        <w:rPr>
          <w:szCs w:val="22"/>
        </w:rPr>
        <w:t xml:space="preserve">Future costs for each component are inflated using the Australian Energy Market Operator’s (AEMO’s) retail price projections (this approach effectively assumes that all price components will increase at the same rate). Appendix </w:t>
      </w:r>
      <w:r w:rsidRPr="00264745">
        <w:rPr>
          <w:szCs w:val="22"/>
        </w:rPr>
        <w:fldChar w:fldCharType="begin" w:fldLock="1"/>
      </w:r>
      <w:r w:rsidRPr="00264745">
        <w:rPr>
          <w:szCs w:val="22"/>
        </w:rPr>
        <w:instrText xml:space="preserve"> REF _Ref149038575 \n \h  \* MERGEFORMAT </w:instrText>
      </w:r>
      <w:r w:rsidRPr="00264745">
        <w:rPr>
          <w:szCs w:val="22"/>
        </w:rPr>
      </w:r>
      <w:r w:rsidRPr="00264745">
        <w:rPr>
          <w:szCs w:val="22"/>
        </w:rPr>
        <w:fldChar w:fldCharType="separate"/>
      </w:r>
      <w:r w:rsidRPr="00264745">
        <w:rPr>
          <w:szCs w:val="22"/>
        </w:rPr>
        <w:t>B</w:t>
      </w:r>
      <w:r w:rsidRPr="00264745">
        <w:rPr>
          <w:szCs w:val="22"/>
        </w:rPr>
        <w:fldChar w:fldCharType="end"/>
      </w:r>
      <w:r w:rsidRPr="00264745">
        <w:rPr>
          <w:szCs w:val="22"/>
        </w:rPr>
        <w:t xml:space="preserve"> provides more details on the energy price estimates.</w:t>
      </w:r>
    </w:p>
    <w:p w14:paraId="4A1F3C5E" w14:textId="77777777" w:rsidR="00767FC0" w:rsidRDefault="00767FC0" w:rsidP="00767FC0">
      <w:pPr>
        <w:pStyle w:val="Heading4"/>
      </w:pPr>
      <w:r>
        <w:t>Are modelled energy saving realised?</w:t>
      </w:r>
    </w:p>
    <w:p w14:paraId="2B5BBFE3" w14:textId="77777777" w:rsidR="00767FC0" w:rsidRPr="00844A6E" w:rsidRDefault="00767FC0" w:rsidP="00767FC0">
      <w:pPr>
        <w:pStyle w:val="BodyText"/>
        <w:rPr>
          <w:szCs w:val="22"/>
        </w:rPr>
      </w:pPr>
      <w:r w:rsidRPr="00844A6E">
        <w:rPr>
          <w:szCs w:val="22"/>
        </w:rPr>
        <w:t>Although the issue remains poorly understood, there is some recent evidence to suggest that modelled energy savings are often not realised in practice (see appendix C for details). In particular:</w:t>
      </w:r>
    </w:p>
    <w:p w14:paraId="79DD23DB" w14:textId="77777777" w:rsidR="00767FC0" w:rsidRPr="00844A6E" w:rsidRDefault="00767FC0" w:rsidP="00767FC0">
      <w:pPr>
        <w:pStyle w:val="ListBullet"/>
        <w:rPr>
          <w:szCs w:val="22"/>
        </w:rPr>
      </w:pPr>
      <w:r w:rsidRPr="00844A6E">
        <w:rPr>
          <w:szCs w:val="22"/>
        </w:rPr>
        <w:t>A report for the International Partnership for Energy Efficiency Cooperation (IPEEC) Building Energy Efficiency Taskgroup (BEET) noted increasing evidence of expected savings from retrofit projects not being realised.</w:t>
      </w:r>
      <w:r w:rsidRPr="008B60AA">
        <w:rPr>
          <w:rStyle w:val="FootnoteReference"/>
        </w:rPr>
        <w:footnoteReference w:id="97"/>
      </w:r>
    </w:p>
    <w:p w14:paraId="33B571D5" w14:textId="77777777" w:rsidR="00767FC0" w:rsidRPr="00844A6E" w:rsidRDefault="00767FC0" w:rsidP="00767FC0">
      <w:pPr>
        <w:pStyle w:val="ListBullet"/>
        <w:rPr>
          <w:szCs w:val="22"/>
        </w:rPr>
      </w:pPr>
      <w:r w:rsidRPr="00844A6E">
        <w:rPr>
          <w:szCs w:val="22"/>
        </w:rPr>
        <w:t>Recent data from the Green Building Council of Australia (GBCA) suggests that:</w:t>
      </w:r>
    </w:p>
    <w:p w14:paraId="52DCDA29" w14:textId="77777777" w:rsidR="00767FC0" w:rsidRPr="00844A6E" w:rsidRDefault="00767FC0" w:rsidP="00767FC0">
      <w:pPr>
        <w:pStyle w:val="ListBullet"/>
        <w:numPr>
          <w:ilvl w:val="1"/>
          <w:numId w:val="34"/>
        </w:numPr>
        <w:rPr>
          <w:szCs w:val="22"/>
        </w:rPr>
      </w:pPr>
      <w:r w:rsidRPr="00844A6E">
        <w:rPr>
          <w:szCs w:val="22"/>
        </w:rPr>
        <w:t>less energy efficient buildings are more likely to over</w:t>
      </w:r>
      <w:r w:rsidRPr="00844A6E">
        <w:rPr>
          <w:szCs w:val="22"/>
        </w:rPr>
        <w:noBreakHyphen/>
        <w:t>perform relative to the modelled performance;</w:t>
      </w:r>
    </w:p>
    <w:p w14:paraId="7DAA324E" w14:textId="77777777" w:rsidR="00767FC0" w:rsidRPr="00844A6E" w:rsidRDefault="00767FC0" w:rsidP="00767FC0">
      <w:pPr>
        <w:pStyle w:val="ListBullet"/>
        <w:numPr>
          <w:ilvl w:val="1"/>
          <w:numId w:val="34"/>
        </w:numPr>
        <w:rPr>
          <w:szCs w:val="22"/>
        </w:rPr>
      </w:pPr>
      <w:r w:rsidRPr="00844A6E">
        <w:rPr>
          <w:szCs w:val="22"/>
        </w:rPr>
        <w:t>more energy efficient buildings are more likely to under</w:t>
      </w:r>
      <w:r w:rsidRPr="00844A6E">
        <w:rPr>
          <w:szCs w:val="22"/>
        </w:rPr>
        <w:noBreakHyphen/>
        <w:t>perform relative to the modelled performance.</w:t>
      </w:r>
    </w:p>
    <w:p w14:paraId="0558CB42" w14:textId="77777777" w:rsidR="00767FC0" w:rsidRPr="00844A6E" w:rsidRDefault="00767FC0" w:rsidP="00767FC0">
      <w:pPr>
        <w:pStyle w:val="BodyText"/>
        <w:rPr>
          <w:szCs w:val="22"/>
          <w:lang w:bidi="fa-IR"/>
        </w:rPr>
      </w:pPr>
      <w:r w:rsidRPr="00844A6E">
        <w:rPr>
          <w:szCs w:val="22"/>
          <w:lang w:bidi="fa-IR"/>
        </w:rPr>
        <w:t>However, a recent scoping study investigating the Building Energy Performance Gap (BEPG) found that:</w:t>
      </w:r>
    </w:p>
    <w:p w14:paraId="3A7A4C43" w14:textId="77777777" w:rsidR="00767FC0" w:rsidRPr="00844A6E" w:rsidRDefault="00767FC0" w:rsidP="00767FC0">
      <w:pPr>
        <w:pStyle w:val="ListBullet"/>
        <w:rPr>
          <w:szCs w:val="22"/>
        </w:rPr>
      </w:pPr>
      <w:r w:rsidRPr="00844A6E">
        <w:rPr>
          <w:szCs w:val="22"/>
        </w:rPr>
        <w:t>it is not appropriate to extrapolate from findings in relation to the performance gap based on the GBCA’s 2021 dataset to other building types for the purposes of regulatory impact analysis.</w:t>
      </w:r>
      <w:r w:rsidRPr="008B60AA">
        <w:rPr>
          <w:rStyle w:val="FootnoteReference"/>
        </w:rPr>
        <w:footnoteReference w:id="98"/>
      </w:r>
    </w:p>
    <w:p w14:paraId="00CC8368" w14:textId="77777777" w:rsidR="00767FC0" w:rsidRPr="00844A6E" w:rsidRDefault="00767FC0" w:rsidP="00767FC0">
      <w:pPr>
        <w:pStyle w:val="ListBullet"/>
        <w:rPr>
          <w:szCs w:val="22"/>
        </w:rPr>
      </w:pPr>
      <w:r w:rsidRPr="00844A6E">
        <w:rPr>
          <w:szCs w:val="22"/>
        </w:rPr>
        <w:t>the performance gap in other types of buildings that are not captured by these rating systems remains unquantified and poorly understood.</w:t>
      </w:r>
    </w:p>
    <w:p w14:paraId="40D9D0D2" w14:textId="77777777" w:rsidR="00767FC0" w:rsidRPr="00844A6E" w:rsidRDefault="00767FC0" w:rsidP="00767FC0">
      <w:pPr>
        <w:pStyle w:val="ListBullet"/>
        <w:rPr>
          <w:szCs w:val="22"/>
        </w:rPr>
      </w:pPr>
      <w:r w:rsidRPr="00844A6E">
        <w:rPr>
          <w:szCs w:val="22"/>
        </w:rPr>
        <w:t>there is no data currently available within industry that could be aggregated to create an appropriate dataset.</w:t>
      </w:r>
      <w:r w:rsidRPr="008B60AA">
        <w:rPr>
          <w:rStyle w:val="FootnoteReference"/>
        </w:rPr>
        <w:footnoteReference w:id="99"/>
      </w:r>
    </w:p>
    <w:p w14:paraId="7F2CF04A" w14:textId="77777777" w:rsidR="00767FC0" w:rsidRPr="00844A6E" w:rsidRDefault="00767FC0" w:rsidP="00767FC0">
      <w:pPr>
        <w:pStyle w:val="BodyText"/>
        <w:rPr>
          <w:szCs w:val="22"/>
          <w:lang w:bidi="fa-IR"/>
        </w:rPr>
      </w:pPr>
      <w:r w:rsidRPr="00844A6E">
        <w:rPr>
          <w:szCs w:val="22"/>
          <w:lang w:bidi="fa-IR"/>
        </w:rPr>
        <w:t xml:space="preserve">Based on these findings it seems unlikely that a robust estimate of the extent to which modelled energy savings associated with more stringent energy efficiency standards will be realised in practice will be available in the short term. As a result, the central case in the cost-benefit analysis of this CRIS uses the full realisation scenario with lower realisation scenarios (50 per cent and 75 per cent realisation) being included in the sensitivity analysis. </w:t>
      </w:r>
    </w:p>
    <w:p w14:paraId="7A0B30AE" w14:textId="77777777" w:rsidR="00767FC0" w:rsidRPr="00DE22D5" w:rsidRDefault="00767FC0" w:rsidP="00767FC0">
      <w:pPr>
        <w:pStyle w:val="Heading3"/>
        <w:numPr>
          <w:ilvl w:val="0"/>
          <w:numId w:val="0"/>
        </w:numPr>
      </w:pPr>
      <w:r w:rsidRPr="00DE22D5">
        <w:t>Greenhouse gas emissions reductions</w:t>
      </w:r>
    </w:p>
    <w:p w14:paraId="1A576F56" w14:textId="77777777" w:rsidR="00767FC0" w:rsidRPr="00844A6E" w:rsidRDefault="00767FC0" w:rsidP="00767FC0">
      <w:pPr>
        <w:pStyle w:val="BodyText"/>
        <w:rPr>
          <w:szCs w:val="22"/>
        </w:rPr>
      </w:pPr>
      <w:r w:rsidRPr="00844A6E">
        <w:rPr>
          <w:szCs w:val="22"/>
        </w:rPr>
        <w:t xml:space="preserve">Reducing consumption of energy generated through burning fossil fuels through improved energy efficiency will reduce GHG emissions that contribute to climate change. </w:t>
      </w:r>
    </w:p>
    <w:p w14:paraId="2756EDEA" w14:textId="5B7E8CEE" w:rsidR="00767FC0" w:rsidRDefault="00767FC0" w:rsidP="00767FC0">
      <w:pPr>
        <w:pStyle w:val="BodyText"/>
        <w:rPr>
          <w:szCs w:val="22"/>
        </w:rPr>
      </w:pPr>
      <w:r>
        <w:rPr>
          <w:szCs w:val="22"/>
        </w:rPr>
        <w:t>The DRIS uses a new set of emissions intensity factors projections of electricity consumption updated by Department of Climate Change, Energy, the Environment and Water (DCCEW) in November 2023, which provides projections of scope 2 and 3 combined factors in the baseline scenario up to 2035.</w:t>
      </w:r>
      <w:r>
        <w:rPr>
          <w:rStyle w:val="FootnoteReference"/>
        </w:rPr>
        <w:footnoteReference w:id="100"/>
      </w:r>
      <w:r>
        <w:rPr>
          <w:szCs w:val="22"/>
        </w:rPr>
        <w:t xml:space="preserve"> We then use a similar approach as in </w:t>
      </w:r>
      <w:r w:rsidRPr="00844A6E">
        <w:rPr>
          <w:noProof/>
          <w:szCs w:val="22"/>
        </w:rPr>
        <w:t>Hutley (2023)</w:t>
      </w:r>
      <w:r>
        <w:rPr>
          <w:rStyle w:val="FootnoteReference"/>
          <w:sz w:val="22"/>
          <w:szCs w:val="22"/>
        </w:rPr>
        <w:t> </w:t>
      </w:r>
      <w:r w:rsidRPr="00BD6F26">
        <w:rPr>
          <w:rStyle w:val="FootnoteReference"/>
        </w:rPr>
        <w:footnoteReference w:id="101"/>
      </w:r>
      <w:r w:rsidRPr="00BD6F26">
        <w:rPr>
          <w:rStyle w:val="FootnoteReference"/>
        </w:rPr>
        <w:t xml:space="preserve"> </w:t>
      </w:r>
      <w:r>
        <w:rPr>
          <w:szCs w:val="22"/>
        </w:rPr>
        <w:t>to derive emissions intensities from 2036 to 2050, assuming the grid approaching to net zero in 2050. C</w:t>
      </w:r>
      <w:r w:rsidRPr="00844A6E">
        <w:rPr>
          <w:szCs w:val="22"/>
        </w:rPr>
        <w:t>hart</w:t>
      </w:r>
      <w:r w:rsidR="009E5E54">
        <w:rPr>
          <w:szCs w:val="22"/>
        </w:rPr>
        <w:t> 5.2</w:t>
      </w:r>
      <w:r>
        <w:rPr>
          <w:noProof/>
          <w:szCs w:val="22"/>
        </w:rPr>
        <w:t xml:space="preserve"> shows the indirect scope 2 and 3 combined emissions factors of electricity consumption by state.</w:t>
      </w:r>
    </w:p>
    <w:p w14:paraId="0A22EA2C" w14:textId="208B08EB" w:rsidR="00767FC0" w:rsidRPr="00695C93" w:rsidRDefault="00767FC0">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673E21">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673E21">
          <w:rPr>
            <w:noProof/>
          </w:rPr>
          <w:instrText>5</w:instrText>
        </w:r>
      </w:fldSimple>
      <w:r w:rsidRPr="00695C93">
        <w:instrText xml:space="preserve"> = 0 "" "</w:instrText>
      </w:r>
      <w:fldSimple w:instr=" STYLEREF &quot;Heading 1&quot; \l \n ">
        <w:r w:rsidR="00673E21">
          <w:rPr>
            <w:noProof/>
          </w:rPr>
          <w:instrText>5</w:instrText>
        </w:r>
      </w:fldSimple>
      <w:r w:rsidRPr="00695C93">
        <w:instrText xml:space="preserve">." </w:instrText>
      </w:r>
      <w:r w:rsidRPr="00695C93">
        <w:fldChar w:fldCharType="separate"/>
      </w:r>
      <w:r w:rsidR="00673E21">
        <w:rPr>
          <w:noProof/>
        </w:rPr>
        <w:instrText>5</w:instrText>
      </w:r>
      <w:r w:rsidR="00673E21" w:rsidRPr="00695C93">
        <w:rPr>
          <w:noProof/>
        </w:rPr>
        <w:instrText>.</w:instrText>
      </w:r>
      <w:r w:rsidRPr="00695C93">
        <w:fldChar w:fldCharType="end"/>
      </w:r>
      <w:r w:rsidRPr="00695C93">
        <w:instrText>" "</w:instrText>
      </w:r>
      <w:fldSimple w:instr=" STYLEREF &quot;Heading 6&quot; \l \n ">
        <w:r>
          <w:rPr>
            <w:noProof/>
          </w:rPr>
          <w:instrText>A</w:instrText>
        </w:r>
      </w:fldSimple>
      <w:r w:rsidRPr="00695C93">
        <w:instrText xml:space="preserve">." </w:instrText>
      </w:r>
      <w:r w:rsidRPr="00695C93">
        <w:fldChar w:fldCharType="separate"/>
      </w:r>
      <w:r w:rsidR="008C60A3">
        <w:rPr>
          <w:noProof/>
        </w:rPr>
        <w:instrText>5</w:instrText>
      </w:r>
      <w:r w:rsidR="008C60A3"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673E21">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673E21">
          <w:rPr>
            <w:noProof/>
          </w:rPr>
          <w:instrText>5</w:instrText>
        </w:r>
      </w:fldSimple>
      <w:r w:rsidRPr="00695C93">
        <w:instrText xml:space="preserve"> = 0 "" "1" </w:instrText>
      </w:r>
      <w:r w:rsidRPr="00695C93">
        <w:fldChar w:fldCharType="separate"/>
      </w:r>
      <w:r w:rsidR="008C60A3" w:rsidRPr="00695C93">
        <w:rPr>
          <w:noProof/>
        </w:rPr>
        <w:instrText>1</w:instrText>
      </w:r>
      <w:r w:rsidRPr="00695C93">
        <w:fldChar w:fldCharType="end"/>
      </w:r>
      <w:r w:rsidRPr="00695C93">
        <w:instrText xml:space="preserve">" "6" </w:instrText>
      </w:r>
      <w:r w:rsidRPr="00695C93">
        <w:fldChar w:fldCharType="separate"/>
      </w:r>
      <w:r w:rsidR="008C60A3" w:rsidRPr="00695C93">
        <w:rPr>
          <w:noProof/>
        </w:rPr>
        <w:instrText>1</w:instrText>
      </w:r>
      <w:r w:rsidRPr="00695C93">
        <w:fldChar w:fldCharType="end"/>
      </w:r>
      <w:r w:rsidRPr="00695C93">
        <w:instrText xml:space="preserve"> </w:instrText>
      </w:r>
      <w:r w:rsidRPr="00695C93">
        <w:fldChar w:fldCharType="separate"/>
      </w:r>
      <w:r w:rsidR="00673E21">
        <w:rPr>
          <w:noProof/>
        </w:rPr>
        <w:instrText>2</w:instrText>
      </w:r>
      <w:r w:rsidRPr="00695C93">
        <w:fldChar w:fldCharType="end"/>
      </w:r>
      <w:r w:rsidRPr="00695C93">
        <w:instrText xml:space="preserve">" "" </w:instrText>
      </w:r>
      <w:r w:rsidRPr="00695C93">
        <w:fldChar w:fldCharType="separate"/>
      </w:r>
      <w:bookmarkStart w:id="868" w:name="_Caption9666"/>
      <w:bookmarkStart w:id="869" w:name="_Caption2403"/>
      <w:bookmarkStart w:id="870" w:name="_Caption9795"/>
      <w:bookmarkStart w:id="871" w:name="_Caption2564"/>
      <w:bookmarkStart w:id="872" w:name="_Caption0249"/>
      <w:bookmarkStart w:id="873" w:name="_Caption8047"/>
      <w:bookmarkStart w:id="874" w:name="_Caption6960"/>
      <w:bookmarkStart w:id="875" w:name="_Caption1049"/>
      <w:bookmarkStart w:id="876" w:name="_Caption2256"/>
      <w:bookmarkStart w:id="877" w:name="_Caption8398"/>
      <w:bookmarkStart w:id="878" w:name="_Caption7479"/>
      <w:bookmarkStart w:id="879" w:name="_Caption1387"/>
      <w:bookmarkStart w:id="880" w:name="_Caption7189"/>
      <w:bookmarkStart w:id="881" w:name="_Caption9307"/>
      <w:bookmarkStart w:id="882" w:name="_Caption0407"/>
      <w:bookmarkStart w:id="883" w:name="_Caption3494"/>
      <w:bookmarkStart w:id="884" w:name="_Caption4989"/>
      <w:bookmarkStart w:id="885" w:name="_Caption9955"/>
      <w:bookmarkStart w:id="886" w:name="_Caption8705"/>
      <w:bookmarkStart w:id="887" w:name="_Caption6892"/>
      <w:bookmarkStart w:id="888" w:name="_Caption0167"/>
      <w:bookmarkStart w:id="889" w:name="_Caption5060"/>
      <w:bookmarkStart w:id="890" w:name="_Caption1598"/>
      <w:bookmarkStart w:id="891" w:name="_Caption8953"/>
      <w:bookmarkStart w:id="892" w:name="_Caption8453"/>
      <w:bookmarkStart w:id="893" w:name="_Caption4031"/>
      <w:bookmarkStart w:id="894" w:name="_Caption7720"/>
      <w:bookmarkStart w:id="895" w:name="_Caption3340"/>
      <w:bookmarkStart w:id="896" w:name="_Caption9651"/>
      <w:bookmarkStart w:id="897" w:name="_Caption3173"/>
      <w:bookmarkStart w:id="898" w:name="_Caption9183"/>
      <w:bookmarkStart w:id="899" w:name="_Caption4615"/>
      <w:bookmarkStart w:id="900" w:name="_Caption6348"/>
      <w:bookmarkStart w:id="901" w:name="_Caption6570"/>
      <w:bookmarkStart w:id="902" w:name="_Caption9591"/>
      <w:bookmarkStart w:id="903" w:name="_Caption6464"/>
      <w:bookmarkStart w:id="904" w:name="_Caption5413"/>
      <w:bookmarkStart w:id="905" w:name="_Caption2821"/>
      <w:bookmarkStart w:id="906" w:name="_Caption9640"/>
      <w:bookmarkStart w:id="907" w:name="_Caption8785"/>
      <w:bookmarkStart w:id="908" w:name="_Caption6473"/>
      <w:bookmarkStart w:id="909" w:name="_Caption8751"/>
      <w:bookmarkStart w:id="910" w:name="_Caption9546"/>
      <w:bookmarkStart w:id="911" w:name="_Caption1415"/>
      <w:bookmarkStart w:id="912" w:name="_Caption1013"/>
      <w:bookmarkStart w:id="913" w:name="_Caption1994"/>
      <w:bookmarkStart w:id="914" w:name="_Caption1025"/>
      <w:bookmarkStart w:id="915" w:name="_Caption0782"/>
      <w:bookmarkStart w:id="916" w:name="_Caption6510"/>
      <w:bookmarkStart w:id="917" w:name="_Caption0880"/>
      <w:bookmarkStart w:id="918" w:name="_Caption8615"/>
      <w:bookmarkStart w:id="919" w:name="_Caption1339"/>
      <w:bookmarkStart w:id="920" w:name="_Caption1559"/>
      <w:bookmarkStart w:id="921" w:name="_Caption1739"/>
      <w:bookmarkStart w:id="922" w:name="_Caption6830"/>
      <w:bookmarkStart w:id="923" w:name="_Caption1061"/>
      <w:bookmarkStart w:id="924" w:name="_Caption0917"/>
      <w:bookmarkStart w:id="925" w:name="_Caption8369"/>
      <w:bookmarkStart w:id="926" w:name="_Caption7121"/>
      <w:bookmarkStart w:id="927" w:name="_Caption7330"/>
      <w:bookmarkStart w:id="928" w:name="_Caption8876"/>
      <w:bookmarkStart w:id="929" w:name="_Caption1077"/>
      <w:bookmarkStart w:id="930" w:name="_Caption4100"/>
      <w:bookmarkStart w:id="931" w:name="_Caption2062"/>
      <w:bookmarkStart w:id="932" w:name="_Caption9953"/>
      <w:bookmarkStart w:id="933" w:name="_Caption4925"/>
      <w:bookmarkStart w:id="934" w:name="_Caption9736"/>
      <w:bookmarkStart w:id="935" w:name="_Caption2579"/>
      <w:bookmarkStart w:id="936" w:name="_Caption6546"/>
      <w:bookmarkStart w:id="937" w:name="_Caption4878"/>
      <w:bookmarkStart w:id="938" w:name="_Caption0460"/>
      <w:bookmarkStart w:id="939" w:name="_Caption2667"/>
      <w:bookmarkStart w:id="940" w:name="_Caption1402"/>
      <w:bookmarkStart w:id="941" w:name="_Toc178292576"/>
      <w:r w:rsidR="008C60A3">
        <w:rPr>
          <w:noProof/>
        </w:rPr>
        <w:t>5</w:t>
      </w:r>
      <w:r w:rsidR="008C60A3" w:rsidRPr="00695C93">
        <w:rPr>
          <w:noProof/>
        </w:rPr>
        <w:t>.</w:t>
      </w:r>
      <w:r w:rsidR="008C60A3">
        <w:rPr>
          <w:noProof/>
        </w:rPr>
        <w:t>2</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r w:rsidRPr="00695C93">
        <w:fldChar w:fldCharType="end"/>
      </w:r>
      <w:r w:rsidRPr="00695C93">
        <w:tab/>
      </w:r>
      <w:r>
        <w:t>Indirect scope 1 and 3 combined emissions factors</w:t>
      </w:r>
      <w:r w:rsidR="003E1FC3">
        <w:t xml:space="preserve"> of electricity consumption</w:t>
      </w:r>
      <w:bookmarkEnd w:id="941"/>
    </w:p>
    <w:tbl>
      <w:tblPr>
        <w:tblStyle w:val="TableGrid"/>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9E8E5" w:themeFill="background2"/>
        <w:tblLayout w:type="fixed"/>
        <w:tblCellMar>
          <w:left w:w="0" w:type="dxa"/>
          <w:right w:w="0" w:type="dxa"/>
        </w:tblCellMar>
        <w:tblLook w:val="04A0" w:firstRow="1" w:lastRow="0" w:firstColumn="1" w:lastColumn="0" w:noHBand="0" w:noVBand="1"/>
      </w:tblPr>
      <w:tblGrid>
        <w:gridCol w:w="7938"/>
      </w:tblGrid>
      <w:tr w:rsidR="003E1FC3" w14:paraId="51C5D19C" w14:textId="77777777">
        <w:trPr>
          <w:cantSplit/>
        </w:trPr>
        <w:tc>
          <w:tcPr>
            <w:tcW w:w="7938" w:type="dxa"/>
            <w:shd w:val="clear" w:color="auto" w:fill="E9E8E5" w:themeFill="background2"/>
          </w:tcPr>
          <w:p w14:paraId="209A1289" w14:textId="77777777" w:rsidR="003E1FC3" w:rsidRDefault="003E1FC3">
            <w:pPr>
              <w:pStyle w:val="Chart"/>
            </w:pPr>
            <w:r w:rsidRPr="00C85453">
              <w:rPr>
                <w:noProof/>
              </w:rPr>
              <w:drawing>
                <wp:inline distT="0" distB="0" distL="0" distR="0" wp14:anchorId="051F2E4D" wp14:editId="116C3705">
                  <wp:extent cx="5039995" cy="2449195"/>
                  <wp:effectExtent l="0" t="0" r="0" b="0"/>
                  <wp:docPr id="2098754252" name="Picture 1" descr="This chart shows the indirect scope 1 and 3 combined emissions factors of electricity consumption by state up to 2070. The emissions factors will decline rapidly between 2022 and 2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754252" name="Picture 1" descr="This chart shows the indirect scope 1 and 3 combined emissions factors of electricity consumption by state up to 2070. The emissions factors will decline rapidly between 2022 and 203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039995" cy="2449195"/>
                          </a:xfrm>
                          <a:prstGeom prst="rect">
                            <a:avLst/>
                          </a:prstGeom>
                          <a:noFill/>
                          <a:ln>
                            <a:noFill/>
                          </a:ln>
                        </pic:spPr>
                      </pic:pic>
                    </a:graphicData>
                  </a:graphic>
                </wp:inline>
              </w:drawing>
            </w:r>
          </w:p>
        </w:tc>
      </w:tr>
    </w:tbl>
    <w:p w14:paraId="2D071E39" w14:textId="7A84A558" w:rsidR="003E1FC3" w:rsidRDefault="003E1FC3" w:rsidP="003E1FC3">
      <w:pPr>
        <w:pStyle w:val="Source"/>
      </w:pPr>
      <w:r>
        <w:rPr>
          <w:i/>
        </w:rPr>
        <w:t>Data source</w:t>
      </w:r>
      <w:r w:rsidRPr="00A67576">
        <w:rPr>
          <w:i/>
        </w:rPr>
        <w:t>:</w:t>
      </w:r>
      <w:r>
        <w:t xml:space="preserve"> CIE compilation based on DCCEEW (2023a, Table 46)</w:t>
      </w:r>
      <w:r w:rsidR="009E5E54">
        <w:t>.</w:t>
      </w:r>
    </w:p>
    <w:p w14:paraId="5AA509C1" w14:textId="4F4B562B" w:rsidR="009E5E54" w:rsidRPr="009E5E54" w:rsidRDefault="009E5E54" w:rsidP="009E5E54">
      <w:pPr>
        <w:pStyle w:val="BodyText"/>
        <w:rPr>
          <w:lang w:eastAsia="en-US"/>
        </w:rPr>
      </w:pPr>
      <w:r w:rsidRPr="00844A6E">
        <w:rPr>
          <w:szCs w:val="22"/>
        </w:rPr>
        <w:t>Table</w:t>
      </w:r>
      <w:r>
        <w:rPr>
          <w:szCs w:val="22"/>
        </w:rPr>
        <w:t xml:space="preserve"> 5.3 reports the natural gas emissions factors released by DCCEEW in August 2023,</w:t>
      </w:r>
      <w:r>
        <w:rPr>
          <w:rStyle w:val="FootnoteReference"/>
        </w:rPr>
        <w:footnoteReference w:id="102"/>
      </w:r>
      <w:r>
        <w:rPr>
          <w:szCs w:val="22"/>
        </w:rPr>
        <w:t xml:space="preserve"> with missing information (Scope 3 for Tasmania and NT) taken from </w:t>
      </w:r>
      <w:r w:rsidRPr="00844A6E">
        <w:rPr>
          <w:noProof/>
          <w:szCs w:val="22"/>
        </w:rPr>
        <w:t>Hutley (2023</w:t>
      </w:r>
      <w:r>
        <w:rPr>
          <w:noProof/>
          <w:szCs w:val="22"/>
        </w:rPr>
        <w:t>)</w:t>
      </w:r>
      <w:r w:rsidRPr="00844A6E">
        <w:rPr>
          <w:szCs w:val="22"/>
        </w:rPr>
        <w:t>.</w:t>
      </w:r>
    </w:p>
    <w:p w14:paraId="568E2906" w14:textId="72A4C9F9" w:rsidR="003E1FC3" w:rsidRPr="00695C93" w:rsidRDefault="003E1FC3">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673E21">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673E21">
          <w:rPr>
            <w:noProof/>
          </w:rPr>
          <w:instrText>5</w:instrText>
        </w:r>
      </w:fldSimple>
      <w:r w:rsidRPr="00695C93">
        <w:instrText xml:space="preserve"> = 0 "" "</w:instrText>
      </w:r>
      <w:fldSimple w:instr=" STYLEREF &quot;Heading 1&quot; \l \n ">
        <w:r w:rsidR="00673E21">
          <w:rPr>
            <w:noProof/>
          </w:rPr>
          <w:instrText>5</w:instrText>
        </w:r>
      </w:fldSimple>
      <w:r w:rsidRPr="00695C93">
        <w:instrText xml:space="preserve">." </w:instrText>
      </w:r>
      <w:r w:rsidRPr="00695C93">
        <w:fldChar w:fldCharType="separate"/>
      </w:r>
      <w:r w:rsidR="00673E21">
        <w:rPr>
          <w:noProof/>
        </w:rPr>
        <w:instrText>5</w:instrText>
      </w:r>
      <w:r w:rsidR="00673E21" w:rsidRPr="00695C93">
        <w:rPr>
          <w:noProof/>
        </w:rPr>
        <w:instrText>.</w:instrText>
      </w:r>
      <w:r w:rsidRPr="00695C93">
        <w:fldChar w:fldCharType="end"/>
      </w:r>
      <w:r w:rsidRPr="00695C93">
        <w:instrText>" "</w:instrText>
      </w:r>
      <w:fldSimple w:instr=" STYLEREF &quot;Heading 6&quot; \l \n ">
        <w:r>
          <w:rPr>
            <w:noProof/>
          </w:rPr>
          <w:instrText>A</w:instrText>
        </w:r>
      </w:fldSimple>
      <w:r w:rsidRPr="00695C93">
        <w:instrText xml:space="preserve">." </w:instrText>
      </w:r>
      <w:r w:rsidRPr="00695C93">
        <w:fldChar w:fldCharType="separate"/>
      </w:r>
      <w:r w:rsidR="008C60A3">
        <w:rPr>
          <w:noProof/>
        </w:rPr>
        <w:instrText>5</w:instrText>
      </w:r>
      <w:r w:rsidR="008C60A3"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673E21">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673E21">
          <w:rPr>
            <w:noProof/>
          </w:rPr>
          <w:instrText>5</w:instrText>
        </w:r>
      </w:fldSimple>
      <w:r w:rsidRPr="00695C93">
        <w:instrText xml:space="preserve"> = 0 "" "1" </w:instrText>
      </w:r>
      <w:r w:rsidRPr="00695C93">
        <w:fldChar w:fldCharType="separate"/>
      </w:r>
      <w:r w:rsidR="008C60A3" w:rsidRPr="00695C93">
        <w:rPr>
          <w:noProof/>
        </w:rPr>
        <w:instrText>1</w:instrText>
      </w:r>
      <w:r w:rsidRPr="00695C93">
        <w:fldChar w:fldCharType="end"/>
      </w:r>
      <w:r w:rsidRPr="00695C93">
        <w:instrText xml:space="preserve">" "6" </w:instrText>
      </w:r>
      <w:r w:rsidRPr="00695C93">
        <w:fldChar w:fldCharType="separate"/>
      </w:r>
      <w:r w:rsidR="008C60A3" w:rsidRPr="00695C93">
        <w:rPr>
          <w:noProof/>
        </w:rPr>
        <w:instrText>1</w:instrText>
      </w:r>
      <w:r w:rsidRPr="00695C93">
        <w:fldChar w:fldCharType="end"/>
      </w:r>
      <w:r w:rsidRPr="00695C93">
        <w:instrText xml:space="preserve"> </w:instrText>
      </w:r>
      <w:r w:rsidRPr="00695C93">
        <w:fldChar w:fldCharType="separate"/>
      </w:r>
      <w:r w:rsidR="00673E21">
        <w:rPr>
          <w:noProof/>
        </w:rPr>
        <w:instrText>3</w:instrText>
      </w:r>
      <w:r w:rsidRPr="00695C93">
        <w:fldChar w:fldCharType="end"/>
      </w:r>
      <w:r w:rsidRPr="00695C93">
        <w:instrText xml:space="preserve">" "" </w:instrText>
      </w:r>
      <w:r w:rsidRPr="00695C93">
        <w:fldChar w:fldCharType="separate"/>
      </w:r>
      <w:bookmarkStart w:id="942" w:name="_Caption0867"/>
      <w:bookmarkStart w:id="943" w:name="_Caption0267"/>
      <w:bookmarkStart w:id="944" w:name="_Caption7845"/>
      <w:bookmarkStart w:id="945" w:name="_Caption1883"/>
      <w:bookmarkStart w:id="946" w:name="_Caption7045"/>
      <w:bookmarkStart w:id="947" w:name="_Caption9796"/>
      <w:bookmarkStart w:id="948" w:name="_Caption3560"/>
      <w:bookmarkStart w:id="949" w:name="_Caption9620"/>
      <w:bookmarkStart w:id="950" w:name="_Caption5568"/>
      <w:bookmarkStart w:id="951" w:name="_Caption2777"/>
      <w:bookmarkStart w:id="952" w:name="_Caption8868"/>
      <w:bookmarkStart w:id="953" w:name="_Caption7755"/>
      <w:bookmarkStart w:id="954" w:name="_Caption9086"/>
      <w:bookmarkStart w:id="955" w:name="_Caption7385"/>
      <w:bookmarkStart w:id="956" w:name="_Caption4359"/>
      <w:bookmarkStart w:id="957" w:name="_Caption1424"/>
      <w:bookmarkStart w:id="958" w:name="_Caption6124"/>
      <w:bookmarkStart w:id="959" w:name="_Caption2464"/>
      <w:bookmarkStart w:id="960" w:name="_Caption3084"/>
      <w:bookmarkStart w:id="961" w:name="_Caption1297"/>
      <w:bookmarkStart w:id="962" w:name="_Caption4292"/>
      <w:bookmarkStart w:id="963" w:name="_Caption3326"/>
      <w:bookmarkStart w:id="964" w:name="_Caption8566"/>
      <w:bookmarkStart w:id="965" w:name="_Caption9741"/>
      <w:bookmarkStart w:id="966" w:name="_Caption4368"/>
      <w:bookmarkStart w:id="967" w:name="_Caption0119"/>
      <w:bookmarkStart w:id="968" w:name="_Caption7786"/>
      <w:bookmarkStart w:id="969" w:name="_Caption1565"/>
      <w:bookmarkStart w:id="970" w:name="_Caption7957"/>
      <w:bookmarkStart w:id="971" w:name="_Caption6017"/>
      <w:bookmarkStart w:id="972" w:name="_Caption1253"/>
      <w:bookmarkStart w:id="973" w:name="_Caption1304"/>
      <w:bookmarkStart w:id="974" w:name="_Caption4919"/>
      <w:bookmarkStart w:id="975" w:name="_Caption6423"/>
      <w:bookmarkStart w:id="976" w:name="_Caption1580"/>
      <w:bookmarkStart w:id="977" w:name="_Caption7613"/>
      <w:bookmarkStart w:id="978" w:name="_Caption6351"/>
      <w:bookmarkStart w:id="979" w:name="_Caption6773"/>
      <w:bookmarkStart w:id="980" w:name="_Caption7356"/>
      <w:bookmarkStart w:id="981" w:name="_Caption1802"/>
      <w:bookmarkStart w:id="982" w:name="_Caption4085"/>
      <w:bookmarkStart w:id="983" w:name="_Caption3384"/>
      <w:bookmarkStart w:id="984" w:name="_Caption3775"/>
      <w:bookmarkStart w:id="985" w:name="_Caption9986"/>
      <w:bookmarkStart w:id="986" w:name="_Caption0199"/>
      <w:bookmarkStart w:id="987" w:name="_Caption3279"/>
      <w:bookmarkStart w:id="988" w:name="_Caption5081"/>
      <w:bookmarkStart w:id="989" w:name="_Caption1235"/>
      <w:bookmarkStart w:id="990" w:name="_Caption9786"/>
      <w:bookmarkStart w:id="991" w:name="_Caption3422"/>
      <w:bookmarkStart w:id="992" w:name="_Caption6746"/>
      <w:bookmarkStart w:id="993" w:name="_Caption7774"/>
      <w:bookmarkStart w:id="994" w:name="_Caption4236"/>
      <w:bookmarkStart w:id="995" w:name="_Caption2064"/>
      <w:bookmarkStart w:id="996" w:name="_Caption2531"/>
      <w:bookmarkStart w:id="997" w:name="_Caption4015"/>
      <w:bookmarkStart w:id="998" w:name="_Caption4137"/>
      <w:bookmarkStart w:id="999" w:name="_Caption5092"/>
      <w:bookmarkStart w:id="1000" w:name="_Caption0000"/>
      <w:bookmarkStart w:id="1001" w:name="_Caption1120"/>
      <w:bookmarkStart w:id="1002" w:name="_Caption5883"/>
      <w:bookmarkStart w:id="1003" w:name="_Caption5823"/>
      <w:bookmarkStart w:id="1004" w:name="_Caption2769"/>
      <w:bookmarkStart w:id="1005" w:name="_Caption8778"/>
      <w:bookmarkStart w:id="1006" w:name="_Caption6144"/>
      <w:bookmarkStart w:id="1007" w:name="_Caption3261"/>
      <w:bookmarkStart w:id="1008" w:name="_Caption4115"/>
      <w:bookmarkStart w:id="1009" w:name="_Caption9898"/>
      <w:bookmarkStart w:id="1010" w:name="_Caption8509"/>
      <w:bookmarkStart w:id="1011" w:name="_Caption0994"/>
      <w:bookmarkStart w:id="1012" w:name="_Caption9075"/>
      <w:bookmarkStart w:id="1013" w:name="_Caption5547"/>
      <w:bookmarkStart w:id="1014" w:name="_Toc178292577"/>
      <w:r w:rsidR="008C60A3">
        <w:rPr>
          <w:noProof/>
        </w:rPr>
        <w:t>5</w:t>
      </w:r>
      <w:r w:rsidR="008C60A3" w:rsidRPr="00695C93">
        <w:rPr>
          <w:noProof/>
        </w:rPr>
        <w:t>.</w:t>
      </w:r>
      <w:r w:rsidR="008C60A3">
        <w:rPr>
          <w:noProof/>
        </w:rPr>
        <w:t>3</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r w:rsidRPr="00695C93">
        <w:fldChar w:fldCharType="end"/>
      </w:r>
      <w:r w:rsidRPr="00695C93">
        <w:tab/>
      </w:r>
      <w:r>
        <w:t>Natural gas emissions factors</w:t>
      </w:r>
      <w:bookmarkEnd w:id="1014"/>
    </w:p>
    <w:tbl>
      <w:tblPr>
        <w:tblW w:w="7938" w:type="dxa"/>
        <w:tblLook w:val="04A0" w:firstRow="1" w:lastRow="0" w:firstColumn="1" w:lastColumn="0" w:noHBand="0" w:noVBand="1"/>
        <w:tblCaption w:val="Table 4.2"/>
        <w:tblDescription w:val="Natural gas emissions factors"/>
      </w:tblPr>
      <w:tblGrid>
        <w:gridCol w:w="882"/>
        <w:gridCol w:w="882"/>
        <w:gridCol w:w="882"/>
        <w:gridCol w:w="882"/>
        <w:gridCol w:w="882"/>
        <w:gridCol w:w="882"/>
        <w:gridCol w:w="882"/>
        <w:gridCol w:w="882"/>
        <w:gridCol w:w="882"/>
      </w:tblGrid>
      <w:tr w:rsidR="003E1FC3" w:rsidRPr="00772852" w14:paraId="06A54CC9" w14:textId="77777777">
        <w:trPr>
          <w:trHeight w:val="216"/>
          <w:tblHeader/>
        </w:trPr>
        <w:tc>
          <w:tcPr>
            <w:tcW w:w="882" w:type="dxa"/>
            <w:shd w:val="clear" w:color="auto" w:fill="6F6652"/>
            <w:noWrap/>
            <w:tcMar>
              <w:left w:w="57" w:type="dxa"/>
              <w:right w:w="57" w:type="dxa"/>
            </w:tcMar>
            <w:hideMark/>
          </w:tcPr>
          <w:p w14:paraId="1958F6E7" w14:textId="77777777" w:rsidR="003E1FC3" w:rsidRPr="00772852" w:rsidRDefault="003E1FC3">
            <w:pPr>
              <w:pStyle w:val="TableDataColumnHeading"/>
              <w:jc w:val="left"/>
            </w:pPr>
            <w:r>
              <w:t>Scope</w:t>
            </w:r>
          </w:p>
        </w:tc>
        <w:tc>
          <w:tcPr>
            <w:tcW w:w="882" w:type="dxa"/>
            <w:shd w:val="clear" w:color="auto" w:fill="6F6652"/>
            <w:noWrap/>
            <w:tcMar>
              <w:left w:w="57" w:type="dxa"/>
              <w:right w:w="57" w:type="dxa"/>
            </w:tcMar>
            <w:hideMark/>
          </w:tcPr>
          <w:p w14:paraId="0504CAE5" w14:textId="77777777" w:rsidR="003E1FC3" w:rsidRDefault="003E1FC3">
            <w:pPr>
              <w:pStyle w:val="TableDataColumnHeading"/>
              <w:rPr>
                <w:szCs w:val="16"/>
              </w:rPr>
            </w:pPr>
            <w:r w:rsidRPr="003365AB">
              <w:rPr>
                <w:szCs w:val="16"/>
              </w:rPr>
              <w:t>NSW</w:t>
            </w:r>
          </w:p>
          <w:p w14:paraId="23E877E7" w14:textId="77777777" w:rsidR="003E1FC3" w:rsidRPr="003365AB" w:rsidRDefault="003E1FC3">
            <w:pPr>
              <w:pStyle w:val="TableDataColumnHeading"/>
              <w:rPr>
                <w:szCs w:val="16"/>
              </w:rPr>
            </w:pPr>
            <w:r>
              <w:t>(</w:t>
            </w:r>
            <w:r w:rsidRPr="00772852">
              <w:t>Kg CO</w:t>
            </w:r>
            <w:r w:rsidRPr="003365AB">
              <w:rPr>
                <w:vertAlign w:val="subscript"/>
              </w:rPr>
              <w:t>2</w:t>
            </w:r>
            <w:r w:rsidRPr="00772852">
              <w:t>-e/GJ</w:t>
            </w:r>
            <w:r>
              <w:t>)</w:t>
            </w:r>
          </w:p>
        </w:tc>
        <w:tc>
          <w:tcPr>
            <w:tcW w:w="882" w:type="dxa"/>
            <w:shd w:val="clear" w:color="auto" w:fill="6F6652"/>
            <w:noWrap/>
            <w:tcMar>
              <w:left w:w="57" w:type="dxa"/>
              <w:right w:w="57" w:type="dxa"/>
            </w:tcMar>
            <w:hideMark/>
          </w:tcPr>
          <w:p w14:paraId="284CA20D" w14:textId="77777777" w:rsidR="003E1FC3" w:rsidRDefault="003E1FC3">
            <w:pPr>
              <w:pStyle w:val="TableDataColumnHeading"/>
              <w:rPr>
                <w:szCs w:val="16"/>
              </w:rPr>
            </w:pPr>
            <w:r w:rsidRPr="003365AB">
              <w:rPr>
                <w:szCs w:val="16"/>
              </w:rPr>
              <w:t>VI</w:t>
            </w:r>
          </w:p>
          <w:p w14:paraId="1EF18AFE" w14:textId="77777777" w:rsidR="003E1FC3" w:rsidRPr="003365AB" w:rsidRDefault="003E1FC3">
            <w:pPr>
              <w:pStyle w:val="TableDataColumnHeading"/>
              <w:rPr>
                <w:szCs w:val="16"/>
              </w:rPr>
            </w:pPr>
            <w:r>
              <w:t>(</w:t>
            </w:r>
            <w:r w:rsidRPr="00772852">
              <w:t>Kg CO</w:t>
            </w:r>
            <w:r w:rsidRPr="003365AB">
              <w:rPr>
                <w:vertAlign w:val="subscript"/>
              </w:rPr>
              <w:t>2</w:t>
            </w:r>
            <w:r w:rsidRPr="00772852">
              <w:t>-e/GJ</w:t>
            </w:r>
            <w:r>
              <w:t>)</w:t>
            </w:r>
            <w:r w:rsidRPr="003365AB">
              <w:rPr>
                <w:szCs w:val="16"/>
              </w:rPr>
              <w:t>C</w:t>
            </w:r>
          </w:p>
        </w:tc>
        <w:tc>
          <w:tcPr>
            <w:tcW w:w="882" w:type="dxa"/>
            <w:shd w:val="clear" w:color="auto" w:fill="6F6652"/>
            <w:noWrap/>
            <w:tcMar>
              <w:left w:w="57" w:type="dxa"/>
              <w:right w:w="57" w:type="dxa"/>
            </w:tcMar>
            <w:hideMark/>
          </w:tcPr>
          <w:p w14:paraId="336DE394" w14:textId="77777777" w:rsidR="003E1FC3" w:rsidRDefault="003E1FC3">
            <w:pPr>
              <w:pStyle w:val="TableDataColumnHeading"/>
              <w:rPr>
                <w:szCs w:val="16"/>
              </w:rPr>
            </w:pPr>
            <w:r w:rsidRPr="003365AB">
              <w:rPr>
                <w:szCs w:val="16"/>
              </w:rPr>
              <w:t>QLD</w:t>
            </w:r>
          </w:p>
          <w:p w14:paraId="19C06C2D" w14:textId="77777777" w:rsidR="003E1FC3" w:rsidRPr="003365AB" w:rsidRDefault="003E1FC3">
            <w:pPr>
              <w:pStyle w:val="TableDataColumnHeading"/>
              <w:rPr>
                <w:szCs w:val="16"/>
              </w:rPr>
            </w:pPr>
            <w:r>
              <w:t>(</w:t>
            </w:r>
            <w:r w:rsidRPr="00772852">
              <w:t>Kg CO</w:t>
            </w:r>
            <w:r w:rsidRPr="003365AB">
              <w:rPr>
                <w:vertAlign w:val="subscript"/>
              </w:rPr>
              <w:t>2</w:t>
            </w:r>
            <w:r w:rsidRPr="00772852">
              <w:t>-e/GJ</w:t>
            </w:r>
            <w:r>
              <w:t>)</w:t>
            </w:r>
          </w:p>
        </w:tc>
        <w:tc>
          <w:tcPr>
            <w:tcW w:w="882" w:type="dxa"/>
            <w:shd w:val="clear" w:color="auto" w:fill="6F6652"/>
            <w:noWrap/>
            <w:tcMar>
              <w:left w:w="57" w:type="dxa"/>
              <w:right w:w="57" w:type="dxa"/>
            </w:tcMar>
            <w:hideMark/>
          </w:tcPr>
          <w:p w14:paraId="0602B1CC" w14:textId="77777777" w:rsidR="003E1FC3" w:rsidRDefault="003E1FC3">
            <w:pPr>
              <w:pStyle w:val="TableDataColumnHeading"/>
              <w:rPr>
                <w:szCs w:val="16"/>
              </w:rPr>
            </w:pPr>
            <w:r w:rsidRPr="003365AB">
              <w:rPr>
                <w:szCs w:val="16"/>
              </w:rPr>
              <w:t>WA</w:t>
            </w:r>
          </w:p>
          <w:p w14:paraId="306BA279" w14:textId="77777777" w:rsidR="003E1FC3" w:rsidRPr="003365AB" w:rsidRDefault="003E1FC3">
            <w:pPr>
              <w:pStyle w:val="TableDataColumnHeading"/>
              <w:rPr>
                <w:szCs w:val="16"/>
              </w:rPr>
            </w:pPr>
            <w:r>
              <w:t>(</w:t>
            </w:r>
            <w:r w:rsidRPr="00772852">
              <w:t>Kg CO</w:t>
            </w:r>
            <w:r w:rsidRPr="003365AB">
              <w:rPr>
                <w:vertAlign w:val="subscript"/>
              </w:rPr>
              <w:t>2</w:t>
            </w:r>
            <w:r w:rsidRPr="00772852">
              <w:t>-e/GJ</w:t>
            </w:r>
            <w:r>
              <w:t>)</w:t>
            </w:r>
          </w:p>
        </w:tc>
        <w:tc>
          <w:tcPr>
            <w:tcW w:w="882" w:type="dxa"/>
            <w:shd w:val="clear" w:color="auto" w:fill="6F6652"/>
            <w:noWrap/>
            <w:tcMar>
              <w:left w:w="57" w:type="dxa"/>
              <w:right w:w="57" w:type="dxa"/>
            </w:tcMar>
            <w:hideMark/>
          </w:tcPr>
          <w:p w14:paraId="2C44BAC0" w14:textId="77777777" w:rsidR="003E1FC3" w:rsidRDefault="003E1FC3">
            <w:pPr>
              <w:pStyle w:val="TableDataColumnHeading"/>
              <w:rPr>
                <w:szCs w:val="16"/>
              </w:rPr>
            </w:pPr>
            <w:r w:rsidRPr="003365AB">
              <w:rPr>
                <w:szCs w:val="16"/>
              </w:rPr>
              <w:t>SA</w:t>
            </w:r>
          </w:p>
          <w:p w14:paraId="63BD1377" w14:textId="77777777" w:rsidR="003E1FC3" w:rsidRPr="003365AB" w:rsidRDefault="003E1FC3">
            <w:pPr>
              <w:pStyle w:val="TableDataColumnHeading"/>
              <w:rPr>
                <w:szCs w:val="16"/>
              </w:rPr>
            </w:pPr>
            <w:r>
              <w:t>(</w:t>
            </w:r>
            <w:r w:rsidRPr="00772852">
              <w:t>Kg CO</w:t>
            </w:r>
            <w:r w:rsidRPr="003365AB">
              <w:rPr>
                <w:vertAlign w:val="subscript"/>
              </w:rPr>
              <w:t>2</w:t>
            </w:r>
            <w:r w:rsidRPr="00772852">
              <w:t>-e/GJ</w:t>
            </w:r>
            <w:r>
              <w:t>)</w:t>
            </w:r>
          </w:p>
        </w:tc>
        <w:tc>
          <w:tcPr>
            <w:tcW w:w="882" w:type="dxa"/>
            <w:shd w:val="clear" w:color="auto" w:fill="6F6652"/>
            <w:noWrap/>
            <w:tcMar>
              <w:left w:w="57" w:type="dxa"/>
              <w:right w:w="57" w:type="dxa"/>
            </w:tcMar>
            <w:hideMark/>
          </w:tcPr>
          <w:p w14:paraId="67A0B384" w14:textId="77777777" w:rsidR="003E1FC3" w:rsidRDefault="003E1FC3">
            <w:pPr>
              <w:pStyle w:val="TableDataColumnHeading"/>
              <w:rPr>
                <w:szCs w:val="16"/>
              </w:rPr>
            </w:pPr>
            <w:r w:rsidRPr="003365AB">
              <w:rPr>
                <w:szCs w:val="16"/>
              </w:rPr>
              <w:t>TAS</w:t>
            </w:r>
          </w:p>
          <w:p w14:paraId="1B13AF63" w14:textId="77777777" w:rsidR="003E1FC3" w:rsidRPr="003365AB" w:rsidRDefault="003E1FC3">
            <w:pPr>
              <w:pStyle w:val="TableDataColumnHeading"/>
              <w:rPr>
                <w:szCs w:val="16"/>
              </w:rPr>
            </w:pPr>
            <w:r>
              <w:t>(</w:t>
            </w:r>
            <w:r w:rsidRPr="00772852">
              <w:t>Kg CO</w:t>
            </w:r>
            <w:r w:rsidRPr="003365AB">
              <w:rPr>
                <w:vertAlign w:val="subscript"/>
              </w:rPr>
              <w:t>2</w:t>
            </w:r>
            <w:r w:rsidRPr="00772852">
              <w:t>-e/GJ</w:t>
            </w:r>
            <w:r>
              <w:t>)</w:t>
            </w:r>
          </w:p>
        </w:tc>
        <w:tc>
          <w:tcPr>
            <w:tcW w:w="882" w:type="dxa"/>
            <w:shd w:val="clear" w:color="auto" w:fill="6F6652"/>
            <w:noWrap/>
            <w:tcMar>
              <w:left w:w="57" w:type="dxa"/>
              <w:right w:w="57" w:type="dxa"/>
            </w:tcMar>
            <w:hideMark/>
          </w:tcPr>
          <w:p w14:paraId="5D3C3A09" w14:textId="77777777" w:rsidR="003E1FC3" w:rsidRDefault="003E1FC3">
            <w:pPr>
              <w:pStyle w:val="TableDataColumnHeading"/>
              <w:rPr>
                <w:szCs w:val="16"/>
              </w:rPr>
            </w:pPr>
            <w:r w:rsidRPr="003365AB">
              <w:rPr>
                <w:szCs w:val="16"/>
              </w:rPr>
              <w:t>ACT</w:t>
            </w:r>
          </w:p>
          <w:p w14:paraId="6A8B59A3" w14:textId="77777777" w:rsidR="003E1FC3" w:rsidRPr="003365AB" w:rsidRDefault="003E1FC3">
            <w:pPr>
              <w:pStyle w:val="TableDataColumnHeading"/>
              <w:rPr>
                <w:szCs w:val="16"/>
              </w:rPr>
            </w:pPr>
            <w:r>
              <w:t>(</w:t>
            </w:r>
            <w:r w:rsidRPr="00772852">
              <w:t>Kg CO</w:t>
            </w:r>
            <w:r w:rsidRPr="003365AB">
              <w:rPr>
                <w:vertAlign w:val="subscript"/>
              </w:rPr>
              <w:t>2</w:t>
            </w:r>
            <w:r w:rsidRPr="00772852">
              <w:t>-e/GJ</w:t>
            </w:r>
            <w:r>
              <w:t>)</w:t>
            </w:r>
          </w:p>
        </w:tc>
        <w:tc>
          <w:tcPr>
            <w:tcW w:w="882" w:type="dxa"/>
            <w:shd w:val="clear" w:color="auto" w:fill="6F6652"/>
            <w:noWrap/>
            <w:tcMar>
              <w:left w:w="57" w:type="dxa"/>
              <w:right w:w="57" w:type="dxa"/>
            </w:tcMar>
            <w:hideMark/>
          </w:tcPr>
          <w:p w14:paraId="7EFAB168" w14:textId="77777777" w:rsidR="003E1FC3" w:rsidRDefault="003E1FC3">
            <w:pPr>
              <w:pStyle w:val="TableDataColumnHeading"/>
              <w:rPr>
                <w:szCs w:val="16"/>
              </w:rPr>
            </w:pPr>
            <w:r w:rsidRPr="003365AB">
              <w:rPr>
                <w:szCs w:val="16"/>
              </w:rPr>
              <w:t>NT</w:t>
            </w:r>
          </w:p>
          <w:p w14:paraId="7274D1E6" w14:textId="77777777" w:rsidR="003E1FC3" w:rsidRPr="003365AB" w:rsidRDefault="003E1FC3">
            <w:pPr>
              <w:pStyle w:val="TableDataColumnHeading"/>
              <w:rPr>
                <w:szCs w:val="16"/>
              </w:rPr>
            </w:pPr>
            <w:r>
              <w:t>(</w:t>
            </w:r>
            <w:r w:rsidRPr="00772852">
              <w:t>Kg CO</w:t>
            </w:r>
            <w:r w:rsidRPr="003365AB">
              <w:rPr>
                <w:vertAlign w:val="subscript"/>
              </w:rPr>
              <w:t>2</w:t>
            </w:r>
            <w:r w:rsidRPr="00772852">
              <w:t>-e/GJ</w:t>
            </w:r>
            <w:r>
              <w:t>)</w:t>
            </w:r>
          </w:p>
        </w:tc>
      </w:tr>
      <w:tr w:rsidR="003E1FC3" w:rsidRPr="00772852" w14:paraId="409B2649" w14:textId="77777777">
        <w:trPr>
          <w:trHeight w:val="216"/>
        </w:trPr>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0E7F619C" w14:textId="77777777" w:rsidR="003E1FC3" w:rsidRPr="00772852" w:rsidRDefault="003E1FC3">
            <w:pPr>
              <w:pStyle w:val="TableDataEntries"/>
              <w:jc w:val="left"/>
            </w:pPr>
            <w:r w:rsidRPr="00772852">
              <w:t>Scope 1</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7D0660D" w14:textId="77777777" w:rsidR="003E1FC3" w:rsidRPr="00772852" w:rsidRDefault="003E1FC3">
            <w:pPr>
              <w:pStyle w:val="TableDataEntries"/>
            </w:pPr>
            <w:r w:rsidRPr="00772852">
              <w:t>51.5</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0E7EC66" w14:textId="77777777" w:rsidR="003E1FC3" w:rsidRPr="00772852" w:rsidRDefault="003E1FC3">
            <w:pPr>
              <w:pStyle w:val="TableDataEntries"/>
            </w:pPr>
            <w:r w:rsidRPr="00772852">
              <w:t>51.5</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7C64B934" w14:textId="77777777" w:rsidR="003E1FC3" w:rsidRPr="00772852" w:rsidRDefault="003E1FC3">
            <w:pPr>
              <w:pStyle w:val="TableDataEntries"/>
            </w:pPr>
            <w:r w:rsidRPr="00772852">
              <w:t>51.5</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3F21E9EA" w14:textId="77777777" w:rsidR="003E1FC3" w:rsidRPr="00772852" w:rsidRDefault="003E1FC3">
            <w:pPr>
              <w:pStyle w:val="TableDataEntries"/>
            </w:pPr>
            <w:r w:rsidRPr="00772852">
              <w:t>51.5</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31790C0" w14:textId="77777777" w:rsidR="003E1FC3" w:rsidRPr="00772852" w:rsidRDefault="003E1FC3">
            <w:pPr>
              <w:pStyle w:val="TableDataEntries"/>
            </w:pPr>
            <w:r w:rsidRPr="00772852">
              <w:t>51.5</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0A18C7F5" w14:textId="77777777" w:rsidR="003E1FC3" w:rsidRPr="00772852" w:rsidRDefault="003E1FC3">
            <w:pPr>
              <w:pStyle w:val="TableDataEntries"/>
            </w:pPr>
            <w:r w:rsidRPr="00772852">
              <w:t>51.5</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73BBA9F0" w14:textId="77777777" w:rsidR="003E1FC3" w:rsidRPr="00772852" w:rsidRDefault="003E1FC3">
            <w:pPr>
              <w:pStyle w:val="TableDataEntries"/>
            </w:pPr>
            <w:r w:rsidRPr="00772852">
              <w:t>51.5</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01735547" w14:textId="77777777" w:rsidR="003E1FC3" w:rsidRPr="00772852" w:rsidRDefault="003E1FC3">
            <w:pPr>
              <w:pStyle w:val="TableDataEntries"/>
            </w:pPr>
            <w:r w:rsidRPr="00772852">
              <w:t>51.5</w:t>
            </w:r>
          </w:p>
        </w:tc>
      </w:tr>
      <w:tr w:rsidR="003E1FC3" w:rsidRPr="00772852" w14:paraId="3E10C3BB" w14:textId="77777777">
        <w:trPr>
          <w:trHeight w:val="216"/>
        </w:trPr>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B189FC8" w14:textId="77777777" w:rsidR="003E1FC3" w:rsidRPr="00772852" w:rsidRDefault="003E1FC3">
            <w:pPr>
              <w:pStyle w:val="TableDataEntries"/>
              <w:jc w:val="left"/>
            </w:pPr>
            <w:r w:rsidRPr="00772852">
              <w:t>Scope 3</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AB671C2" w14:textId="77777777" w:rsidR="003E1FC3" w:rsidRPr="00772852" w:rsidRDefault="003E1FC3">
            <w:pPr>
              <w:pStyle w:val="TableDataEntries"/>
            </w:pPr>
            <w:r w:rsidRPr="00772852">
              <w:t>13.1</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6436D87F" w14:textId="77777777" w:rsidR="003E1FC3" w:rsidRPr="00772852" w:rsidRDefault="003E1FC3">
            <w:pPr>
              <w:pStyle w:val="TableDataEntries"/>
            </w:pPr>
            <w:r w:rsidRPr="00772852">
              <w:t>4.0</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71C62BF" w14:textId="77777777" w:rsidR="003E1FC3" w:rsidRPr="00772852" w:rsidRDefault="003E1FC3">
            <w:pPr>
              <w:pStyle w:val="TableDataEntries"/>
            </w:pPr>
            <w:r w:rsidRPr="00772852">
              <w:t>8.8</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0704EE5D" w14:textId="77777777" w:rsidR="003E1FC3" w:rsidRPr="00772852" w:rsidRDefault="003E1FC3">
            <w:pPr>
              <w:pStyle w:val="TableDataEntries"/>
            </w:pPr>
            <w:r>
              <w:t>4.1</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6339295E" w14:textId="77777777" w:rsidR="003E1FC3" w:rsidRPr="00772852" w:rsidRDefault="003E1FC3">
            <w:pPr>
              <w:pStyle w:val="TableDataEntries"/>
            </w:pPr>
            <w:r>
              <w:t>10.7</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2F4F535" w14:textId="77777777" w:rsidR="003E1FC3" w:rsidRPr="00772852" w:rsidRDefault="003E1FC3">
            <w:pPr>
              <w:pStyle w:val="TableDataEntries"/>
            </w:pPr>
            <w:r w:rsidRPr="00772852">
              <w:t>4.0</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A6FC7F9" w14:textId="77777777" w:rsidR="003E1FC3" w:rsidRPr="00772852" w:rsidRDefault="003E1FC3">
            <w:pPr>
              <w:pStyle w:val="TableDataEntries"/>
            </w:pPr>
            <w:r w:rsidRPr="00772852">
              <w:t>1</w:t>
            </w:r>
            <w:r>
              <w:t>3</w:t>
            </w:r>
            <w:r w:rsidRPr="00772852">
              <w:t>.</w:t>
            </w:r>
            <w:r>
              <w:t>1</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D576D82" w14:textId="77777777" w:rsidR="003E1FC3" w:rsidRPr="00772852" w:rsidRDefault="003E1FC3">
            <w:pPr>
              <w:pStyle w:val="TableDataEntries"/>
            </w:pPr>
            <w:r w:rsidRPr="00772852">
              <w:t>4.1</w:t>
            </w:r>
          </w:p>
        </w:tc>
      </w:tr>
      <w:tr w:rsidR="003E1FC3" w:rsidRPr="0046656A" w14:paraId="5335E89F" w14:textId="77777777">
        <w:trPr>
          <w:trHeight w:val="216"/>
        </w:trPr>
        <w:tc>
          <w:tcPr>
            <w:tcW w:w="882" w:type="dxa"/>
            <w:tcBorders>
              <w:top w:val="single" w:sz="8" w:space="0" w:color="FFFFFF" w:themeColor="background1"/>
              <w:bottom w:val="single" w:sz="6" w:space="0" w:color="6F6652"/>
            </w:tcBorders>
            <w:shd w:val="clear" w:color="auto" w:fill="C2DADB" w:themeFill="accent6" w:themeFillTint="99"/>
            <w:noWrap/>
            <w:tcMar>
              <w:left w:w="57" w:type="dxa"/>
              <w:right w:w="57" w:type="dxa"/>
            </w:tcMar>
            <w:hideMark/>
          </w:tcPr>
          <w:p w14:paraId="2431BCEB" w14:textId="77777777" w:rsidR="003E1FC3" w:rsidRPr="0046656A" w:rsidRDefault="003E1FC3">
            <w:pPr>
              <w:pStyle w:val="TableDataEntries"/>
              <w:jc w:val="left"/>
              <w:rPr>
                <w:rFonts w:ascii="Franklin Gothic Demi" w:hAnsi="Franklin Gothic Demi"/>
              </w:rPr>
            </w:pPr>
            <w:r w:rsidRPr="0046656A">
              <w:rPr>
                <w:rFonts w:ascii="Franklin Gothic Demi" w:hAnsi="Franklin Gothic Demi"/>
              </w:rPr>
              <w:t>Total</w:t>
            </w:r>
          </w:p>
        </w:tc>
        <w:tc>
          <w:tcPr>
            <w:tcW w:w="882" w:type="dxa"/>
            <w:tcBorders>
              <w:top w:val="single" w:sz="8" w:space="0" w:color="FFFFFF" w:themeColor="background1"/>
              <w:bottom w:val="single" w:sz="6" w:space="0" w:color="6F6652"/>
            </w:tcBorders>
            <w:shd w:val="clear" w:color="auto" w:fill="C2DADB" w:themeFill="accent6" w:themeFillTint="99"/>
            <w:noWrap/>
            <w:tcMar>
              <w:left w:w="57" w:type="dxa"/>
              <w:right w:w="57" w:type="dxa"/>
            </w:tcMar>
            <w:hideMark/>
          </w:tcPr>
          <w:p w14:paraId="23295100" w14:textId="77777777" w:rsidR="003E1FC3" w:rsidRPr="0046656A" w:rsidRDefault="003E1FC3">
            <w:pPr>
              <w:pStyle w:val="TableDataEntries"/>
              <w:rPr>
                <w:rFonts w:ascii="Franklin Gothic Demi" w:hAnsi="Franklin Gothic Demi"/>
              </w:rPr>
            </w:pPr>
            <w:r w:rsidRPr="0046656A">
              <w:rPr>
                <w:rFonts w:ascii="Franklin Gothic Demi" w:hAnsi="Franklin Gothic Demi"/>
              </w:rPr>
              <w:t>64.6</w:t>
            </w:r>
          </w:p>
        </w:tc>
        <w:tc>
          <w:tcPr>
            <w:tcW w:w="882" w:type="dxa"/>
            <w:tcBorders>
              <w:top w:val="single" w:sz="8" w:space="0" w:color="FFFFFF" w:themeColor="background1"/>
              <w:bottom w:val="single" w:sz="6" w:space="0" w:color="6F6652"/>
            </w:tcBorders>
            <w:shd w:val="clear" w:color="auto" w:fill="C2DADB" w:themeFill="accent6" w:themeFillTint="99"/>
            <w:noWrap/>
            <w:tcMar>
              <w:left w:w="57" w:type="dxa"/>
              <w:right w:w="57" w:type="dxa"/>
            </w:tcMar>
            <w:hideMark/>
          </w:tcPr>
          <w:p w14:paraId="03152760" w14:textId="77777777" w:rsidR="003E1FC3" w:rsidRPr="0046656A" w:rsidRDefault="003E1FC3">
            <w:pPr>
              <w:pStyle w:val="TableDataEntries"/>
              <w:rPr>
                <w:rFonts w:ascii="Franklin Gothic Demi" w:hAnsi="Franklin Gothic Demi"/>
              </w:rPr>
            </w:pPr>
            <w:r w:rsidRPr="0046656A">
              <w:rPr>
                <w:rFonts w:ascii="Franklin Gothic Demi" w:hAnsi="Franklin Gothic Demi"/>
              </w:rPr>
              <w:t>55.5</w:t>
            </w:r>
          </w:p>
        </w:tc>
        <w:tc>
          <w:tcPr>
            <w:tcW w:w="882" w:type="dxa"/>
            <w:tcBorders>
              <w:top w:val="single" w:sz="8" w:space="0" w:color="FFFFFF" w:themeColor="background1"/>
              <w:bottom w:val="single" w:sz="6" w:space="0" w:color="6F6652"/>
            </w:tcBorders>
            <w:shd w:val="clear" w:color="auto" w:fill="C2DADB" w:themeFill="accent6" w:themeFillTint="99"/>
            <w:noWrap/>
            <w:tcMar>
              <w:left w:w="57" w:type="dxa"/>
              <w:right w:w="57" w:type="dxa"/>
            </w:tcMar>
            <w:hideMark/>
          </w:tcPr>
          <w:p w14:paraId="5D942E18" w14:textId="77777777" w:rsidR="003E1FC3" w:rsidRPr="0046656A" w:rsidRDefault="003E1FC3">
            <w:pPr>
              <w:pStyle w:val="TableDataEntries"/>
              <w:rPr>
                <w:rFonts w:ascii="Franklin Gothic Demi" w:hAnsi="Franklin Gothic Demi"/>
              </w:rPr>
            </w:pPr>
            <w:r w:rsidRPr="0046656A">
              <w:rPr>
                <w:rFonts w:ascii="Franklin Gothic Demi" w:hAnsi="Franklin Gothic Demi"/>
              </w:rPr>
              <w:t>60.3</w:t>
            </w:r>
          </w:p>
        </w:tc>
        <w:tc>
          <w:tcPr>
            <w:tcW w:w="882" w:type="dxa"/>
            <w:tcBorders>
              <w:top w:val="single" w:sz="8" w:space="0" w:color="FFFFFF" w:themeColor="background1"/>
              <w:bottom w:val="single" w:sz="6" w:space="0" w:color="6F6652"/>
            </w:tcBorders>
            <w:shd w:val="clear" w:color="auto" w:fill="C2DADB" w:themeFill="accent6" w:themeFillTint="99"/>
            <w:noWrap/>
            <w:tcMar>
              <w:left w:w="57" w:type="dxa"/>
              <w:right w:w="57" w:type="dxa"/>
            </w:tcMar>
            <w:hideMark/>
          </w:tcPr>
          <w:p w14:paraId="18B92C9C" w14:textId="77777777" w:rsidR="003E1FC3" w:rsidRPr="0046656A" w:rsidRDefault="003E1FC3">
            <w:pPr>
              <w:pStyle w:val="TableDataEntries"/>
              <w:rPr>
                <w:rFonts w:ascii="Franklin Gothic Demi" w:hAnsi="Franklin Gothic Demi"/>
              </w:rPr>
            </w:pPr>
            <w:r w:rsidRPr="0046656A">
              <w:rPr>
                <w:rFonts w:ascii="Franklin Gothic Demi" w:hAnsi="Franklin Gothic Demi"/>
              </w:rPr>
              <w:t>62.2</w:t>
            </w:r>
          </w:p>
        </w:tc>
        <w:tc>
          <w:tcPr>
            <w:tcW w:w="882" w:type="dxa"/>
            <w:tcBorders>
              <w:top w:val="single" w:sz="8" w:space="0" w:color="FFFFFF" w:themeColor="background1"/>
              <w:bottom w:val="single" w:sz="6" w:space="0" w:color="6F6652"/>
            </w:tcBorders>
            <w:shd w:val="clear" w:color="auto" w:fill="C2DADB" w:themeFill="accent6" w:themeFillTint="99"/>
            <w:noWrap/>
            <w:tcMar>
              <w:left w:w="57" w:type="dxa"/>
              <w:right w:w="57" w:type="dxa"/>
            </w:tcMar>
            <w:hideMark/>
          </w:tcPr>
          <w:p w14:paraId="12F117A5" w14:textId="77777777" w:rsidR="003E1FC3" w:rsidRPr="0046656A" w:rsidRDefault="003E1FC3">
            <w:pPr>
              <w:pStyle w:val="TableDataEntries"/>
              <w:rPr>
                <w:rFonts w:ascii="Franklin Gothic Demi" w:hAnsi="Franklin Gothic Demi"/>
              </w:rPr>
            </w:pPr>
            <w:r w:rsidRPr="0046656A">
              <w:rPr>
                <w:rFonts w:ascii="Franklin Gothic Demi" w:hAnsi="Franklin Gothic Demi"/>
              </w:rPr>
              <w:t>55.6</w:t>
            </w:r>
          </w:p>
        </w:tc>
        <w:tc>
          <w:tcPr>
            <w:tcW w:w="882" w:type="dxa"/>
            <w:tcBorders>
              <w:top w:val="single" w:sz="8" w:space="0" w:color="FFFFFF" w:themeColor="background1"/>
              <w:bottom w:val="single" w:sz="6" w:space="0" w:color="6F6652"/>
            </w:tcBorders>
            <w:shd w:val="clear" w:color="auto" w:fill="C2DADB" w:themeFill="accent6" w:themeFillTint="99"/>
            <w:noWrap/>
            <w:tcMar>
              <w:left w:w="57" w:type="dxa"/>
              <w:right w:w="57" w:type="dxa"/>
            </w:tcMar>
            <w:hideMark/>
          </w:tcPr>
          <w:p w14:paraId="4624C68B" w14:textId="77777777" w:rsidR="003E1FC3" w:rsidRPr="0046656A" w:rsidRDefault="003E1FC3">
            <w:pPr>
              <w:pStyle w:val="TableDataEntries"/>
              <w:rPr>
                <w:rFonts w:ascii="Franklin Gothic Demi" w:hAnsi="Franklin Gothic Demi"/>
              </w:rPr>
            </w:pPr>
            <w:r w:rsidRPr="0046656A">
              <w:rPr>
                <w:rFonts w:ascii="Franklin Gothic Demi" w:hAnsi="Franklin Gothic Demi"/>
              </w:rPr>
              <w:t>55.5</w:t>
            </w:r>
          </w:p>
        </w:tc>
        <w:tc>
          <w:tcPr>
            <w:tcW w:w="882" w:type="dxa"/>
            <w:tcBorders>
              <w:top w:val="single" w:sz="8" w:space="0" w:color="FFFFFF" w:themeColor="background1"/>
              <w:bottom w:val="single" w:sz="6" w:space="0" w:color="6F6652"/>
            </w:tcBorders>
            <w:shd w:val="clear" w:color="auto" w:fill="C2DADB" w:themeFill="accent6" w:themeFillTint="99"/>
            <w:noWrap/>
            <w:tcMar>
              <w:left w:w="57" w:type="dxa"/>
              <w:right w:w="57" w:type="dxa"/>
            </w:tcMar>
            <w:hideMark/>
          </w:tcPr>
          <w:p w14:paraId="0BE1A5C8" w14:textId="77777777" w:rsidR="003E1FC3" w:rsidRPr="0046656A" w:rsidRDefault="003E1FC3">
            <w:pPr>
              <w:pStyle w:val="TableDataEntries"/>
              <w:rPr>
                <w:rFonts w:ascii="Franklin Gothic Demi" w:hAnsi="Franklin Gothic Demi"/>
              </w:rPr>
            </w:pPr>
            <w:r w:rsidRPr="0046656A">
              <w:rPr>
                <w:rFonts w:ascii="Franklin Gothic Demi" w:hAnsi="Franklin Gothic Demi"/>
              </w:rPr>
              <w:t>64.3</w:t>
            </w:r>
          </w:p>
        </w:tc>
        <w:tc>
          <w:tcPr>
            <w:tcW w:w="882" w:type="dxa"/>
            <w:tcBorders>
              <w:top w:val="single" w:sz="8" w:space="0" w:color="FFFFFF" w:themeColor="background1"/>
              <w:bottom w:val="single" w:sz="6" w:space="0" w:color="6F6652"/>
            </w:tcBorders>
            <w:shd w:val="clear" w:color="auto" w:fill="C2DADB" w:themeFill="accent6" w:themeFillTint="99"/>
            <w:noWrap/>
            <w:tcMar>
              <w:left w:w="57" w:type="dxa"/>
              <w:right w:w="57" w:type="dxa"/>
            </w:tcMar>
            <w:hideMark/>
          </w:tcPr>
          <w:p w14:paraId="6AA1909E" w14:textId="77777777" w:rsidR="003E1FC3" w:rsidRPr="0046656A" w:rsidRDefault="003E1FC3">
            <w:pPr>
              <w:pStyle w:val="TableDataEntries"/>
              <w:rPr>
                <w:rFonts w:ascii="Franklin Gothic Demi" w:hAnsi="Franklin Gothic Demi"/>
              </w:rPr>
            </w:pPr>
            <w:r w:rsidRPr="0046656A">
              <w:rPr>
                <w:rFonts w:ascii="Franklin Gothic Demi" w:hAnsi="Franklin Gothic Demi"/>
              </w:rPr>
              <w:t>55.6</w:t>
            </w:r>
          </w:p>
        </w:tc>
      </w:tr>
    </w:tbl>
    <w:p w14:paraId="5629F2D4" w14:textId="77777777" w:rsidR="003E1FC3" w:rsidRDefault="003E1FC3" w:rsidP="003E1FC3">
      <w:pPr>
        <w:pStyle w:val="Source"/>
      </w:pPr>
      <w:r>
        <w:rPr>
          <w:i/>
        </w:rPr>
        <w:t>Source</w:t>
      </w:r>
      <w:r w:rsidRPr="00E4232C">
        <w:rPr>
          <w:i/>
        </w:rPr>
        <w:t>:</w:t>
      </w:r>
      <w:r>
        <w:t xml:space="preserve"> CIE based on DCCEEW (2023b, Table 4 and Table 5) and Hutley (2023, Table 5.6).</w:t>
      </w:r>
    </w:p>
    <w:p w14:paraId="32A25195" w14:textId="2C2E6CF6" w:rsidR="003E1FC3" w:rsidRPr="00844A6E" w:rsidRDefault="003E1FC3" w:rsidP="003E1FC3">
      <w:pPr>
        <w:pStyle w:val="BodyText"/>
        <w:rPr>
          <w:szCs w:val="22"/>
        </w:rPr>
      </w:pPr>
      <w:r w:rsidRPr="00844A6E">
        <w:rPr>
          <w:szCs w:val="22"/>
        </w:rPr>
        <w:t xml:space="preserve">We use these </w:t>
      </w:r>
      <w:r w:rsidR="008B7631">
        <w:rPr>
          <w:szCs w:val="22"/>
        </w:rPr>
        <w:t>inputs</w:t>
      </w:r>
      <w:r w:rsidRPr="00844A6E">
        <w:rPr>
          <w:szCs w:val="22"/>
        </w:rPr>
        <w:t xml:space="preserve"> to estimate the reduction in GHG emissions based on the DeltaQ energy modelling results.</w:t>
      </w:r>
    </w:p>
    <w:p w14:paraId="18208474" w14:textId="77777777" w:rsidR="003E1FC3" w:rsidRPr="00844A6E" w:rsidRDefault="003E1FC3" w:rsidP="003E1FC3">
      <w:pPr>
        <w:pStyle w:val="BodyText"/>
        <w:rPr>
          <w:szCs w:val="22"/>
        </w:rPr>
      </w:pPr>
      <w:r w:rsidRPr="00844A6E">
        <w:rPr>
          <w:szCs w:val="22"/>
        </w:rPr>
        <w:t>As for valuing the benefits of reducing GHG emissions, there are also various approaches including:</w:t>
      </w:r>
    </w:p>
    <w:p w14:paraId="328624A1" w14:textId="77777777" w:rsidR="003E1FC3" w:rsidRPr="00844A6E" w:rsidRDefault="003E1FC3" w:rsidP="003E1FC3">
      <w:pPr>
        <w:pStyle w:val="ListBullet"/>
        <w:rPr>
          <w:szCs w:val="22"/>
        </w:rPr>
      </w:pPr>
      <w:r w:rsidRPr="00844A6E">
        <w:rPr>
          <w:szCs w:val="22"/>
        </w:rPr>
        <w:t>A market or shadow carbon price — in principle, an economy-wide carbon price should reflect the marginal cost of abatement. However, as there is effectively no economy-wide carbon price in Australia,</w:t>
      </w:r>
      <w:r w:rsidRPr="00F91CF2">
        <w:rPr>
          <w:rStyle w:val="FootnoteReference"/>
        </w:rPr>
        <w:footnoteReference w:id="103"/>
      </w:r>
      <w:r w:rsidRPr="00F91CF2">
        <w:rPr>
          <w:rStyle w:val="FootnoteReference"/>
        </w:rPr>
        <w:t xml:space="preserve"> </w:t>
      </w:r>
      <w:r w:rsidRPr="00844A6E">
        <w:rPr>
          <w:szCs w:val="22"/>
        </w:rPr>
        <w:t>approaches have included:</w:t>
      </w:r>
    </w:p>
    <w:p w14:paraId="5F380572" w14:textId="77777777" w:rsidR="003E1FC3" w:rsidRPr="00844A6E" w:rsidRDefault="003E1FC3" w:rsidP="003E1FC3">
      <w:pPr>
        <w:pStyle w:val="ListBullet"/>
        <w:numPr>
          <w:ilvl w:val="1"/>
          <w:numId w:val="34"/>
        </w:numPr>
        <w:rPr>
          <w:szCs w:val="22"/>
        </w:rPr>
      </w:pPr>
      <w:r w:rsidRPr="00844A6E">
        <w:rPr>
          <w:szCs w:val="22"/>
        </w:rPr>
        <w:t>carbon prices that apply in other markets (such as the EU),</w:t>
      </w:r>
    </w:p>
    <w:p w14:paraId="0335DD84" w14:textId="77777777" w:rsidR="003E1FC3" w:rsidRPr="00844A6E" w:rsidRDefault="003E1FC3" w:rsidP="003E1FC3">
      <w:pPr>
        <w:pStyle w:val="ListBullet"/>
        <w:numPr>
          <w:ilvl w:val="1"/>
          <w:numId w:val="34"/>
        </w:numPr>
        <w:rPr>
          <w:szCs w:val="22"/>
        </w:rPr>
      </w:pPr>
      <w:r w:rsidRPr="00844A6E">
        <w:rPr>
          <w:szCs w:val="22"/>
        </w:rPr>
        <w:t>a modelled carbon price to reach emissions reduction target (such as net zero by 2035).</w:t>
      </w:r>
    </w:p>
    <w:p w14:paraId="447FCCBF" w14:textId="77777777" w:rsidR="003E1FC3" w:rsidRPr="00844A6E" w:rsidRDefault="003E1FC3" w:rsidP="003E1FC3">
      <w:pPr>
        <w:pStyle w:val="ListBullet"/>
        <w:rPr>
          <w:szCs w:val="22"/>
        </w:rPr>
      </w:pPr>
      <w:r w:rsidRPr="00844A6E">
        <w:rPr>
          <w:szCs w:val="22"/>
        </w:rPr>
        <w:t>The social cost of carbon (SCC) approach, such as the SCC series published by the United States Environment Protection Agency (USEPA)</w:t>
      </w:r>
      <w:r w:rsidRPr="00F91CF2">
        <w:rPr>
          <w:rStyle w:val="FootnoteReference"/>
        </w:rPr>
        <w:footnoteReference w:id="104"/>
      </w:r>
      <w:r w:rsidRPr="00844A6E">
        <w:rPr>
          <w:szCs w:val="22"/>
        </w:rPr>
        <w:t>.</w:t>
      </w:r>
    </w:p>
    <w:p w14:paraId="75DE9347" w14:textId="5BA9E283" w:rsidR="003E1FC3" w:rsidRDefault="003E1FC3" w:rsidP="003E1FC3">
      <w:pPr>
        <w:pStyle w:val="BodyText"/>
        <w:rPr>
          <w:szCs w:val="22"/>
        </w:rPr>
      </w:pPr>
      <w:r w:rsidRPr="00844A6E">
        <w:rPr>
          <w:szCs w:val="22"/>
        </w:rPr>
        <w:t>We follow the recommendation in the paper by Hutley (2023) to use SCC published by USEPA (converted to 2023 Australian dollar) for valuation of GHG emissions reduction.</w:t>
      </w:r>
      <w:r w:rsidRPr="00F91CF2">
        <w:rPr>
          <w:rStyle w:val="FootnoteReference"/>
        </w:rPr>
        <w:footnoteReference w:id="105"/>
      </w:r>
      <w:r w:rsidRPr="00844A6E">
        <w:rPr>
          <w:szCs w:val="22"/>
        </w:rPr>
        <w:t xml:space="preserve"> Chart </w:t>
      </w:r>
      <w:r w:rsidR="00F13E41">
        <w:rPr>
          <w:szCs w:val="22"/>
        </w:rPr>
        <w:fldChar w:fldCharType="begin"/>
      </w:r>
      <w:r w:rsidR="00F13E41">
        <w:rPr>
          <w:szCs w:val="22"/>
        </w:rPr>
        <w:instrText xml:space="preserve"> REF _Caption8120 </w:instrText>
      </w:r>
      <w:r w:rsidR="00F13E41">
        <w:rPr>
          <w:szCs w:val="22"/>
        </w:rPr>
        <w:fldChar w:fldCharType="separate"/>
      </w:r>
      <w:r w:rsidR="006E00A7">
        <w:rPr>
          <w:noProof/>
        </w:rPr>
        <w:t>5</w:t>
      </w:r>
      <w:r w:rsidR="006E00A7" w:rsidRPr="00695C93">
        <w:rPr>
          <w:noProof/>
        </w:rPr>
        <w:t>.</w:t>
      </w:r>
      <w:r w:rsidR="006E00A7">
        <w:rPr>
          <w:noProof/>
        </w:rPr>
        <w:t>4</w:t>
      </w:r>
      <w:r w:rsidR="00F13E41">
        <w:rPr>
          <w:szCs w:val="22"/>
        </w:rPr>
        <w:fldChar w:fldCharType="end"/>
      </w:r>
      <w:r w:rsidRPr="00844A6E">
        <w:rPr>
          <w:szCs w:val="22"/>
        </w:rPr>
        <w:t xml:space="preserve"> presents three SCC series, among which the 2 per cent series is used in the central case cost-benefit analysis while the other two series are used for sensitivity analysis.</w:t>
      </w:r>
    </w:p>
    <w:p w14:paraId="76C4FE1B" w14:textId="34B60D34" w:rsidR="003E1FC3" w:rsidRDefault="003E1FC3" w:rsidP="003E1FC3">
      <w:pPr>
        <w:pStyle w:val="BodyText"/>
        <w:rPr>
          <w:lang w:bidi="fa-IR"/>
        </w:rPr>
      </w:pPr>
      <w:r>
        <w:rPr>
          <w:szCs w:val="22"/>
        </w:rPr>
        <w:t xml:space="preserve">Since the CRIS was published, Infrastructure Australia </w:t>
      </w:r>
      <w:r>
        <w:rPr>
          <w:lang w:bidi="fa-IR"/>
        </w:rPr>
        <w:t>(IA) has published a guidance note of valuing emissions for economic analysis, based on a marginal Abatement Cost Curve approach, including a set of carbon values up to 2050.</w:t>
      </w:r>
      <w:r>
        <w:rPr>
          <w:rStyle w:val="FootnoteReference"/>
          <w:lang w:bidi="fa-IR"/>
        </w:rPr>
        <w:footnoteReference w:id="106"/>
      </w:r>
      <w:r>
        <w:rPr>
          <w:lang w:bidi="fa-IR"/>
        </w:rPr>
        <w:t xml:space="preserve"> As shown </w:t>
      </w:r>
      <w:r w:rsidR="008B7631">
        <w:rPr>
          <w:lang w:bidi="fa-IR"/>
        </w:rPr>
        <w:t>above (see</w:t>
      </w:r>
      <w:r>
        <w:rPr>
          <w:lang w:bidi="fa-IR"/>
        </w:rPr>
        <w:t xml:space="preserve"> </w:t>
      </w:r>
      <w:r w:rsidRPr="008B7631">
        <w:rPr>
          <w:lang w:bidi="fa-IR"/>
        </w:rPr>
        <w:t>chart</w:t>
      </w:r>
      <w:r w:rsidR="007B7F85" w:rsidRPr="008B7631">
        <w:rPr>
          <w:lang w:bidi="fa-IR"/>
        </w:rPr>
        <w:t> </w:t>
      </w:r>
      <w:r w:rsidR="00874549">
        <w:rPr>
          <w:lang w:bidi="fa-IR"/>
        </w:rPr>
        <w:t>2.2</w:t>
      </w:r>
      <w:r w:rsidR="008B7631" w:rsidRPr="008B7631">
        <w:rPr>
          <w:lang w:bidi="fa-IR"/>
        </w:rPr>
        <w:t>)</w:t>
      </w:r>
      <w:r w:rsidRPr="008B7631">
        <w:rPr>
          <w:lang w:bidi="fa-IR"/>
        </w:rPr>
        <w:t>, IA’s Central series of carbon values is lower than the 2 per cent series of</w:t>
      </w:r>
      <w:r>
        <w:rPr>
          <w:lang w:bidi="fa-IR"/>
        </w:rPr>
        <w:t xml:space="preserve"> SCC value. We use IA’s carbon value series for a sensitivity analysis.</w:t>
      </w:r>
    </w:p>
    <w:p w14:paraId="33BBF7E1" w14:textId="073AFED2" w:rsidR="00F13E41" w:rsidRPr="00695C93" w:rsidRDefault="00F13E41">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673E21">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673E21">
          <w:rPr>
            <w:noProof/>
          </w:rPr>
          <w:instrText>5</w:instrText>
        </w:r>
      </w:fldSimple>
      <w:r w:rsidRPr="00695C93">
        <w:instrText xml:space="preserve"> = 0 "" "</w:instrText>
      </w:r>
      <w:fldSimple w:instr=" STYLEREF &quot;Heading 1&quot; \l \n ">
        <w:r w:rsidR="00673E21">
          <w:rPr>
            <w:noProof/>
          </w:rPr>
          <w:instrText>5</w:instrText>
        </w:r>
      </w:fldSimple>
      <w:r w:rsidRPr="00695C93">
        <w:instrText xml:space="preserve">." </w:instrText>
      </w:r>
      <w:r w:rsidRPr="00695C93">
        <w:fldChar w:fldCharType="separate"/>
      </w:r>
      <w:r w:rsidR="00673E21">
        <w:rPr>
          <w:noProof/>
        </w:rPr>
        <w:instrText>5</w:instrText>
      </w:r>
      <w:r w:rsidR="00673E21" w:rsidRPr="00695C93">
        <w:rPr>
          <w:noProof/>
        </w:rPr>
        <w:instrText>.</w:instrText>
      </w:r>
      <w:r w:rsidRPr="00695C93">
        <w:fldChar w:fldCharType="end"/>
      </w:r>
      <w:r w:rsidRPr="00695C93">
        <w:instrText>" "</w:instrText>
      </w:r>
      <w:fldSimple w:instr=" STYLEREF &quot;Heading 6&quot; \l \n ">
        <w:r>
          <w:rPr>
            <w:noProof/>
          </w:rPr>
          <w:instrText>A</w:instrText>
        </w:r>
      </w:fldSimple>
      <w:r w:rsidRPr="00695C93">
        <w:instrText xml:space="preserve">." </w:instrText>
      </w:r>
      <w:r w:rsidRPr="00695C93">
        <w:fldChar w:fldCharType="separate"/>
      </w:r>
      <w:r w:rsidR="008C60A3">
        <w:rPr>
          <w:noProof/>
        </w:rPr>
        <w:instrText>5</w:instrText>
      </w:r>
      <w:r w:rsidR="008C60A3"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673E21">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673E21">
          <w:rPr>
            <w:noProof/>
          </w:rPr>
          <w:instrText>5</w:instrText>
        </w:r>
      </w:fldSimple>
      <w:r w:rsidRPr="00695C93">
        <w:instrText xml:space="preserve"> = 0 "" "1" </w:instrText>
      </w:r>
      <w:r w:rsidRPr="00695C93">
        <w:fldChar w:fldCharType="separate"/>
      </w:r>
      <w:r w:rsidR="008C60A3" w:rsidRPr="00695C93">
        <w:rPr>
          <w:noProof/>
        </w:rPr>
        <w:instrText>1</w:instrText>
      </w:r>
      <w:r w:rsidRPr="00695C93">
        <w:fldChar w:fldCharType="end"/>
      </w:r>
      <w:r w:rsidRPr="00695C93">
        <w:instrText xml:space="preserve">" "6" </w:instrText>
      </w:r>
      <w:r w:rsidRPr="00695C93">
        <w:fldChar w:fldCharType="separate"/>
      </w:r>
      <w:r w:rsidR="008C60A3" w:rsidRPr="00695C93">
        <w:rPr>
          <w:noProof/>
        </w:rPr>
        <w:instrText>1</w:instrText>
      </w:r>
      <w:r w:rsidRPr="00695C93">
        <w:fldChar w:fldCharType="end"/>
      </w:r>
      <w:r w:rsidRPr="00695C93">
        <w:instrText xml:space="preserve"> </w:instrText>
      </w:r>
      <w:r w:rsidRPr="00695C93">
        <w:fldChar w:fldCharType="separate"/>
      </w:r>
      <w:r w:rsidR="00673E21">
        <w:rPr>
          <w:noProof/>
        </w:rPr>
        <w:instrText>4</w:instrText>
      </w:r>
      <w:r w:rsidRPr="00695C93">
        <w:fldChar w:fldCharType="end"/>
      </w:r>
      <w:r w:rsidRPr="00695C93">
        <w:instrText xml:space="preserve">" "" </w:instrText>
      </w:r>
      <w:r w:rsidRPr="00695C93">
        <w:fldChar w:fldCharType="separate"/>
      </w:r>
      <w:bookmarkStart w:id="1015" w:name="_Caption8690"/>
      <w:bookmarkStart w:id="1016" w:name="_Caption6635"/>
      <w:bookmarkStart w:id="1017" w:name="_Caption7270"/>
      <w:bookmarkStart w:id="1018" w:name="_Caption4700"/>
      <w:bookmarkStart w:id="1019" w:name="_Caption3365"/>
      <w:bookmarkStart w:id="1020" w:name="_Caption5163"/>
      <w:bookmarkStart w:id="1021" w:name="_Caption5909"/>
      <w:bookmarkStart w:id="1022" w:name="_Caption6522"/>
      <w:bookmarkStart w:id="1023" w:name="_Caption5916"/>
      <w:bookmarkStart w:id="1024" w:name="_Caption3877"/>
      <w:bookmarkStart w:id="1025" w:name="_Caption1419"/>
      <w:bookmarkStart w:id="1026" w:name="_Caption6606"/>
      <w:bookmarkStart w:id="1027" w:name="_Caption2891"/>
      <w:bookmarkStart w:id="1028" w:name="_Caption8692"/>
      <w:bookmarkStart w:id="1029" w:name="_Caption5253"/>
      <w:bookmarkStart w:id="1030" w:name="_Caption1103"/>
      <w:bookmarkStart w:id="1031" w:name="_Caption0890"/>
      <w:bookmarkStart w:id="1032" w:name="_Caption5562"/>
      <w:bookmarkStart w:id="1033" w:name="_Caption5257"/>
      <w:bookmarkStart w:id="1034" w:name="_Caption1473"/>
      <w:bookmarkStart w:id="1035" w:name="_Caption9261"/>
      <w:bookmarkStart w:id="1036" w:name="_Caption1469"/>
      <w:bookmarkStart w:id="1037" w:name="_Caption2559"/>
      <w:bookmarkStart w:id="1038" w:name="_Caption4721"/>
      <w:bookmarkStart w:id="1039" w:name="_Caption0482"/>
      <w:bookmarkStart w:id="1040" w:name="_Caption9198"/>
      <w:bookmarkStart w:id="1041" w:name="_Caption7038"/>
      <w:bookmarkStart w:id="1042" w:name="_Caption4235"/>
      <w:bookmarkStart w:id="1043" w:name="_Caption2417"/>
      <w:bookmarkStart w:id="1044" w:name="_Caption7486"/>
      <w:bookmarkStart w:id="1045" w:name="_Caption9731"/>
      <w:bookmarkStart w:id="1046" w:name="_Caption8807"/>
      <w:bookmarkStart w:id="1047" w:name="_Caption1862"/>
      <w:bookmarkStart w:id="1048" w:name="_Caption9520"/>
      <w:bookmarkStart w:id="1049" w:name="_Caption8269"/>
      <w:bookmarkStart w:id="1050" w:name="_Caption4475"/>
      <w:bookmarkStart w:id="1051" w:name="_Caption0410"/>
      <w:bookmarkStart w:id="1052" w:name="_Caption8982"/>
      <w:bookmarkStart w:id="1053" w:name="_Caption3032"/>
      <w:bookmarkStart w:id="1054" w:name="_Caption8063"/>
      <w:bookmarkStart w:id="1055" w:name="_Caption0001"/>
      <w:bookmarkStart w:id="1056" w:name="_Caption4173"/>
      <w:bookmarkStart w:id="1057" w:name="_Caption7646"/>
      <w:bookmarkStart w:id="1058" w:name="_Caption4897"/>
      <w:bookmarkStart w:id="1059" w:name="_Caption6207"/>
      <w:bookmarkStart w:id="1060" w:name="_Caption8120"/>
      <w:bookmarkStart w:id="1061" w:name="_Caption2370"/>
      <w:bookmarkStart w:id="1062" w:name="_Caption7757"/>
      <w:bookmarkStart w:id="1063" w:name="_Caption6346"/>
      <w:bookmarkStart w:id="1064" w:name="_Caption3181"/>
      <w:bookmarkStart w:id="1065" w:name="_Caption9590"/>
      <w:bookmarkStart w:id="1066" w:name="_Caption4089"/>
      <w:bookmarkStart w:id="1067" w:name="_Caption6362"/>
      <w:bookmarkStart w:id="1068" w:name="_Caption7068"/>
      <w:bookmarkStart w:id="1069" w:name="_Caption1443"/>
      <w:bookmarkStart w:id="1070" w:name="_Caption1853"/>
      <w:bookmarkStart w:id="1071" w:name="_Caption1180"/>
      <w:bookmarkStart w:id="1072" w:name="_Caption1989"/>
      <w:bookmarkStart w:id="1073" w:name="_Caption1734"/>
      <w:bookmarkStart w:id="1074" w:name="_Caption8808"/>
      <w:bookmarkStart w:id="1075" w:name="_Caption0029"/>
      <w:bookmarkStart w:id="1076" w:name="_Caption3303"/>
      <w:bookmarkStart w:id="1077" w:name="_Caption2303"/>
      <w:bookmarkStart w:id="1078" w:name="_Caption6785"/>
      <w:bookmarkStart w:id="1079" w:name="_Caption3500"/>
      <w:bookmarkStart w:id="1080" w:name="_Caption4568"/>
      <w:bookmarkStart w:id="1081" w:name="_Caption6177"/>
      <w:bookmarkStart w:id="1082" w:name="_Caption2892"/>
      <w:bookmarkStart w:id="1083" w:name="_Caption0714"/>
      <w:bookmarkStart w:id="1084" w:name="_Caption8074"/>
      <w:bookmarkStart w:id="1085" w:name="_Caption2920"/>
      <w:bookmarkStart w:id="1086" w:name="_Toc178292578"/>
      <w:r w:rsidR="008C60A3">
        <w:rPr>
          <w:noProof/>
        </w:rPr>
        <w:t>5</w:t>
      </w:r>
      <w:r w:rsidR="008C60A3" w:rsidRPr="00695C93">
        <w:rPr>
          <w:noProof/>
        </w:rPr>
        <w:t>.</w:t>
      </w:r>
      <w:r w:rsidR="008C60A3">
        <w:rPr>
          <w:noProof/>
        </w:rPr>
        <w:t>4</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r w:rsidRPr="00695C93">
        <w:fldChar w:fldCharType="end"/>
      </w:r>
      <w:r w:rsidRPr="00695C93">
        <w:tab/>
      </w:r>
      <w:r w:rsidRPr="00CE39F2">
        <w:t>Social cost of carbon</w:t>
      </w:r>
      <w:bookmarkEnd w:id="1086"/>
    </w:p>
    <w:p w14:paraId="3EB58D97" w14:textId="77777777" w:rsidR="00F13E41" w:rsidRPr="00CC168A" w:rsidRDefault="00F13E41" w:rsidP="00F13E41">
      <w:pPr>
        <w:pStyle w:val="Subtitlebox"/>
      </w:pPr>
      <w:r w:rsidRPr="00F301E5">
        <w:rPr>
          <w:noProof/>
        </w:rPr>
        <w:drawing>
          <wp:inline distT="0" distB="0" distL="0" distR="0" wp14:anchorId="40129207" wp14:editId="15739A36">
            <wp:extent cx="4792980" cy="2506980"/>
            <wp:effectExtent l="76200" t="76200" r="83820" b="83820"/>
            <wp:docPr id="1177847949" name="Picture 1177847949" descr="Chart 5.4 - Social cost of carbon under different discount rates based on USEPA estimates. Three series are shown, with the series of 1.5% discount rate being the highest while the series of 2.5% discount rate the low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847949" name="Picture 1177847949" descr="Chart 5.4 - Social cost of carbon under different discount rates based on USEPA estimates. Three series are shown, with the series of 1.5% discount rate being the highest while the series of 2.5% discount rate the lowest."/>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r="4697"/>
                    <a:stretch/>
                  </pic:blipFill>
                  <pic:spPr bwMode="auto">
                    <a:xfrm>
                      <a:off x="0" y="0"/>
                      <a:ext cx="4792980" cy="250698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5605AF7F" w14:textId="77777777" w:rsidR="00F13E41" w:rsidRDefault="00F13E41" w:rsidP="00F13E41">
      <w:pPr>
        <w:pStyle w:val="Source"/>
      </w:pPr>
      <w:r>
        <w:rPr>
          <w:i/>
        </w:rPr>
        <w:t>Data source</w:t>
      </w:r>
      <w:r w:rsidRPr="00A67576">
        <w:rPr>
          <w:i/>
        </w:rPr>
        <w:t>:</w:t>
      </w:r>
      <w:r>
        <w:t xml:space="preserve"> CIE estimates based on USEPA (2023).</w:t>
      </w:r>
    </w:p>
    <w:p w14:paraId="332A8C94" w14:textId="77777777" w:rsidR="00F13E41" w:rsidRDefault="00F13E41" w:rsidP="00F13E41">
      <w:pPr>
        <w:pStyle w:val="Heading3"/>
      </w:pPr>
      <w:r>
        <w:t>Restrictions on design choices</w:t>
      </w:r>
    </w:p>
    <w:p w14:paraId="025FE3C2" w14:textId="77777777" w:rsidR="00F13E41" w:rsidRPr="00844A6E" w:rsidRDefault="00F13E41" w:rsidP="00F13E41">
      <w:pPr>
        <w:pStyle w:val="BodyText"/>
        <w:tabs>
          <w:tab w:val="left" w:pos="6616"/>
        </w:tabs>
        <w:rPr>
          <w:szCs w:val="22"/>
          <w:lang w:bidi="fa-IR"/>
        </w:rPr>
      </w:pPr>
      <w:r w:rsidRPr="00844A6E">
        <w:rPr>
          <w:szCs w:val="22"/>
          <w:lang w:bidi="fa-IR"/>
        </w:rPr>
        <w:t>The proposed changes to the NCC will restrict design choices in several ways, including the following:</w:t>
      </w:r>
    </w:p>
    <w:p w14:paraId="33B142B9" w14:textId="77777777" w:rsidR="00F13E41" w:rsidRPr="00844A6E" w:rsidRDefault="00F13E41" w:rsidP="00F13E41">
      <w:pPr>
        <w:pStyle w:val="ListBullet"/>
        <w:rPr>
          <w:szCs w:val="22"/>
        </w:rPr>
      </w:pPr>
      <w:r w:rsidRPr="00844A6E">
        <w:rPr>
          <w:szCs w:val="22"/>
        </w:rPr>
        <w:t>The windows on some buildings will need to be tinted (i.e. have lower visual light transmittance) to achieve compliance with the proposed requirements — although this will still allow an adequate level of daylighting (daylighting requirements are not specified in the NCC), this will be less than what is current practice.</w:t>
      </w:r>
    </w:p>
    <w:p w14:paraId="3259845C" w14:textId="77777777" w:rsidR="00F13E41" w:rsidRPr="00844A6E" w:rsidRDefault="00F13E41" w:rsidP="00F13E41">
      <w:pPr>
        <w:pStyle w:val="ListBullet"/>
        <w:rPr>
          <w:szCs w:val="22"/>
        </w:rPr>
      </w:pPr>
      <w:r w:rsidRPr="00844A6E">
        <w:rPr>
          <w:szCs w:val="22"/>
        </w:rPr>
        <w:t>The maximum window to wall ratio (WWR) that will be achievable without external shading will be reduced from 70 per cent (under NCC 2022) to 58 per cent — although this will not affect most building archetypes (as the WWR for most buildings is lower than this threshold), this will have some impact, particularly on large office buildings where extensive glazing is relatively common.</w:t>
      </w:r>
    </w:p>
    <w:p w14:paraId="2F377D0A" w14:textId="77777777" w:rsidR="00F13E41" w:rsidRPr="00844A6E" w:rsidRDefault="00F13E41" w:rsidP="00F13E41">
      <w:pPr>
        <w:pStyle w:val="ListBullet"/>
        <w:numPr>
          <w:ilvl w:val="1"/>
          <w:numId w:val="34"/>
        </w:numPr>
        <w:rPr>
          <w:szCs w:val="22"/>
          <w:lang w:bidi="fa-IR"/>
        </w:rPr>
      </w:pPr>
      <w:r w:rsidRPr="00844A6E">
        <w:rPr>
          <w:szCs w:val="22"/>
          <w:lang w:bidi="fa-IR"/>
        </w:rPr>
        <w:t>Note that DeltaQ’s modelling assumes the same WWR under the base case and under all stringencies and does not include the cost of shading. This is because the archetypes are intended to reflect a ‘representative’ building based on the average WWR within the building class. Previous work estimated the average WWR for an office tower is around the maximum threshold achievable without shading (around 58 per cent).</w:t>
      </w:r>
    </w:p>
    <w:p w14:paraId="7EC4A446" w14:textId="77777777" w:rsidR="00F13E41" w:rsidRPr="00844A6E" w:rsidRDefault="00F13E41" w:rsidP="00F13E41">
      <w:pPr>
        <w:pStyle w:val="ListBullet"/>
        <w:numPr>
          <w:ilvl w:val="1"/>
          <w:numId w:val="34"/>
        </w:numPr>
        <w:rPr>
          <w:szCs w:val="22"/>
          <w:lang w:bidi="fa-IR"/>
        </w:rPr>
      </w:pPr>
      <w:r w:rsidRPr="00844A6E">
        <w:rPr>
          <w:szCs w:val="22"/>
          <w:lang w:bidi="fa-IR"/>
        </w:rPr>
        <w:t>This means that the proposed requirements will not affect the ‘average’ office tower and therefore these effects are not reflected in the modelling.</w:t>
      </w:r>
    </w:p>
    <w:p w14:paraId="58DF01BF" w14:textId="77777777" w:rsidR="00F13E41" w:rsidRPr="00844A6E" w:rsidRDefault="00F13E41" w:rsidP="00F13E41">
      <w:pPr>
        <w:pStyle w:val="ListBullet"/>
        <w:numPr>
          <w:ilvl w:val="1"/>
          <w:numId w:val="34"/>
        </w:numPr>
        <w:rPr>
          <w:szCs w:val="22"/>
          <w:lang w:bidi="fa-IR"/>
        </w:rPr>
      </w:pPr>
      <w:r w:rsidRPr="00844A6E">
        <w:rPr>
          <w:szCs w:val="22"/>
          <w:lang w:bidi="fa-IR"/>
        </w:rPr>
        <w:t>However, around half of office towers will have higher WWRs than average and would be affected by this restriction and would need to either install external shading (which can be expensive) or reduce the WWR.</w:t>
      </w:r>
    </w:p>
    <w:p w14:paraId="7E52E103" w14:textId="77777777" w:rsidR="00F13E41" w:rsidRPr="00844A6E" w:rsidRDefault="00F13E41" w:rsidP="00F13E41">
      <w:pPr>
        <w:pStyle w:val="ListBullet"/>
        <w:rPr>
          <w:szCs w:val="22"/>
        </w:rPr>
      </w:pPr>
      <w:r w:rsidRPr="00844A6E">
        <w:rPr>
          <w:szCs w:val="22"/>
        </w:rPr>
        <w:t>As the minimum standards have been tightened across all building elements there will be fewer opportunities to make trade</w:t>
      </w:r>
      <w:r w:rsidRPr="00844A6E">
        <w:rPr>
          <w:szCs w:val="22"/>
        </w:rPr>
        <w:noBreakHyphen/>
        <w:t>offs across elements (including through the use of Performance Solutions) to achieve particular design outcomes.</w:t>
      </w:r>
    </w:p>
    <w:p w14:paraId="4C8F2E1E" w14:textId="77777777" w:rsidR="00F13E41" w:rsidRPr="00844A6E" w:rsidRDefault="00F13E41" w:rsidP="00F13E41">
      <w:pPr>
        <w:pStyle w:val="BodyText"/>
        <w:tabs>
          <w:tab w:val="left" w:pos="6616"/>
        </w:tabs>
        <w:rPr>
          <w:szCs w:val="22"/>
          <w:lang w:bidi="fa-IR"/>
        </w:rPr>
      </w:pPr>
      <w:r w:rsidRPr="00844A6E">
        <w:rPr>
          <w:szCs w:val="22"/>
          <w:lang w:bidi="fa-IR"/>
        </w:rPr>
        <w:t>These restrictions on design choice will impose costs that are hard to measure, which could include the following:</w:t>
      </w:r>
    </w:p>
    <w:p w14:paraId="2BE922D2" w14:textId="77777777" w:rsidR="00F13E41" w:rsidRPr="00844A6E" w:rsidRDefault="00F13E41" w:rsidP="00F13E41">
      <w:pPr>
        <w:pStyle w:val="ListBullet"/>
        <w:rPr>
          <w:szCs w:val="22"/>
        </w:rPr>
      </w:pPr>
      <w:r w:rsidRPr="00844A6E">
        <w:rPr>
          <w:szCs w:val="22"/>
        </w:rPr>
        <w:t>Loss of aesthetic or amenity value — where design compromises have been made, there may be a loss of aesthetic or amenity value. Although these values are subjective, in principle, design compromises that change either the external appearance or the internal aesthetics for building users is likely to impose a cost on the community.</w:t>
      </w:r>
    </w:p>
    <w:p w14:paraId="29E997AD" w14:textId="77777777" w:rsidR="00F13E41" w:rsidRPr="00844A6E" w:rsidRDefault="00F13E41" w:rsidP="00F13E41">
      <w:pPr>
        <w:pStyle w:val="ListBullet"/>
        <w:numPr>
          <w:ilvl w:val="1"/>
          <w:numId w:val="34"/>
        </w:numPr>
        <w:rPr>
          <w:szCs w:val="22"/>
          <w:lang w:bidi="fa-IR"/>
        </w:rPr>
      </w:pPr>
      <w:r w:rsidRPr="00844A6E">
        <w:rPr>
          <w:szCs w:val="22"/>
          <w:lang w:bidi="fa-IR"/>
        </w:rPr>
        <w:t>There are no identifiable market failures that would lead building owners and designers to make design choices that are systematically sub</w:t>
      </w:r>
      <w:r w:rsidRPr="00844A6E">
        <w:rPr>
          <w:szCs w:val="22"/>
          <w:lang w:bidi="fa-IR"/>
        </w:rPr>
        <w:noBreakHyphen/>
        <w:t>optimal from a communitywide perspective in relation to building aesthetics/amenity (although there are some market and behavioural failures in relation to energy efficiency choices — see appendix A).</w:t>
      </w:r>
    </w:p>
    <w:p w14:paraId="016C82F8" w14:textId="77777777" w:rsidR="00F13E41" w:rsidRPr="00844A6E" w:rsidRDefault="00F13E41" w:rsidP="00F13E41">
      <w:pPr>
        <w:pStyle w:val="ListBullet"/>
        <w:numPr>
          <w:ilvl w:val="1"/>
          <w:numId w:val="34"/>
        </w:numPr>
        <w:rPr>
          <w:szCs w:val="22"/>
          <w:lang w:bidi="fa-IR"/>
        </w:rPr>
      </w:pPr>
      <w:r w:rsidRPr="00844A6E">
        <w:rPr>
          <w:szCs w:val="22"/>
          <w:lang w:bidi="fa-IR"/>
        </w:rPr>
        <w:t>In the absence of identifiable market failures, a standard assumption in economic analysis is that market participants will make design choices that achieve the optimal combination of cost and building aesthetic/amenity value, particularly where these values are reflected in the market value of the building and/or rents.</w:t>
      </w:r>
    </w:p>
    <w:p w14:paraId="3AE923A2" w14:textId="77777777" w:rsidR="00F13E41" w:rsidRPr="00844A6E" w:rsidRDefault="00F13E41" w:rsidP="00F13E41">
      <w:pPr>
        <w:pStyle w:val="ListBullet"/>
        <w:numPr>
          <w:ilvl w:val="1"/>
          <w:numId w:val="34"/>
        </w:numPr>
        <w:rPr>
          <w:szCs w:val="22"/>
          <w:lang w:bidi="fa-IR"/>
        </w:rPr>
      </w:pPr>
      <w:r w:rsidRPr="00844A6E">
        <w:rPr>
          <w:szCs w:val="22"/>
          <w:lang w:bidi="fa-IR"/>
        </w:rPr>
        <w:t>To the extent that these aesthetic/amenity values are reflected in the market value of these buildings and/or rents, these benefits could in</w:t>
      </w:r>
      <w:r w:rsidRPr="00844A6E">
        <w:rPr>
          <w:szCs w:val="22"/>
          <w:lang w:bidi="fa-IR"/>
        </w:rPr>
        <w:noBreakHyphen/>
        <w:t>principle be measured. However, there is no publicly available data that would allow these values to be estimated.</w:t>
      </w:r>
    </w:p>
    <w:p w14:paraId="1D08D8E5" w14:textId="77777777" w:rsidR="00F13E41" w:rsidRPr="00844A6E" w:rsidRDefault="00F13E41" w:rsidP="00F13E41">
      <w:pPr>
        <w:pStyle w:val="ListBullet"/>
        <w:rPr>
          <w:szCs w:val="22"/>
        </w:rPr>
      </w:pPr>
      <w:r w:rsidRPr="00844A6E">
        <w:rPr>
          <w:szCs w:val="22"/>
        </w:rPr>
        <w:t>Additional financial costs — where building owners and their design teams choose to achieve their preferred design outcome through the use of external shading, they will incur an additional financial cost.</w:t>
      </w:r>
    </w:p>
    <w:p w14:paraId="77757C5D" w14:textId="77777777" w:rsidR="00F13E41" w:rsidRPr="00844A6E" w:rsidRDefault="00F13E41" w:rsidP="00F13E41">
      <w:pPr>
        <w:pStyle w:val="ListBullet"/>
        <w:numPr>
          <w:ilvl w:val="1"/>
          <w:numId w:val="34"/>
        </w:numPr>
        <w:rPr>
          <w:szCs w:val="22"/>
          <w:lang w:bidi="fa-IR"/>
        </w:rPr>
      </w:pPr>
      <w:r w:rsidRPr="00844A6E">
        <w:rPr>
          <w:szCs w:val="22"/>
          <w:lang w:bidi="fa-IR"/>
        </w:rPr>
        <w:t>Although the costs of external shading have not been explicitly modelled, we understand that external shading is costly and likely to outweigh the benefits of greater energy efficiency.</w:t>
      </w:r>
    </w:p>
    <w:p w14:paraId="7130FE4F" w14:textId="77777777" w:rsidR="00F13E41" w:rsidRPr="00844A6E" w:rsidRDefault="00F13E41" w:rsidP="00F13E41">
      <w:pPr>
        <w:pStyle w:val="ListBullet"/>
        <w:numPr>
          <w:ilvl w:val="1"/>
          <w:numId w:val="34"/>
        </w:numPr>
        <w:rPr>
          <w:szCs w:val="22"/>
          <w:lang w:bidi="fa-IR"/>
        </w:rPr>
      </w:pPr>
      <w:r w:rsidRPr="00844A6E">
        <w:rPr>
          <w:szCs w:val="22"/>
          <w:lang w:bidi="fa-IR"/>
        </w:rPr>
        <w:t>The choice to incur the financial costs associated external shading would indicate a strong preference for the relevant design features (i.e. extensive glazing and/or glazing with high visual light transmittance).</w:t>
      </w:r>
    </w:p>
    <w:p w14:paraId="7F9906B8" w14:textId="77777777" w:rsidR="00F13E41" w:rsidRPr="00DE22D5" w:rsidRDefault="00F13E41" w:rsidP="00F13E41">
      <w:pPr>
        <w:pStyle w:val="Heading3"/>
      </w:pPr>
      <w:r w:rsidRPr="00DE22D5">
        <w:t>Increased rental income and building values</w:t>
      </w:r>
    </w:p>
    <w:p w14:paraId="2CA3C1F2" w14:textId="77777777" w:rsidR="00F13E41" w:rsidRPr="00844A6E" w:rsidRDefault="00F13E41" w:rsidP="00F13E41">
      <w:pPr>
        <w:pStyle w:val="BodyText"/>
        <w:rPr>
          <w:szCs w:val="22"/>
        </w:rPr>
      </w:pPr>
      <w:r w:rsidRPr="00844A6E">
        <w:rPr>
          <w:szCs w:val="22"/>
        </w:rPr>
        <w:t>Numerous studies, including Australian studies, have shown that more energy efficient buildings achieve higher rental income (either through higher lease rates or occupancy rates) and sale prices.</w:t>
      </w:r>
      <w:r w:rsidRPr="00844A6E">
        <w:rPr>
          <w:rStyle w:val="FootnoteReference"/>
          <w:sz w:val="22"/>
          <w:szCs w:val="22"/>
        </w:rPr>
        <w:footnoteReference w:id="107"/>
      </w:r>
      <w:r w:rsidRPr="00844A6E">
        <w:rPr>
          <w:szCs w:val="22"/>
        </w:rPr>
        <w:t xml:space="preserve"> </w:t>
      </w:r>
    </w:p>
    <w:p w14:paraId="2154398E" w14:textId="77777777" w:rsidR="00F13E41" w:rsidRPr="00844A6E" w:rsidRDefault="00F13E41" w:rsidP="00F13E41">
      <w:pPr>
        <w:pStyle w:val="BodyText"/>
        <w:rPr>
          <w:szCs w:val="22"/>
        </w:rPr>
      </w:pPr>
      <w:r w:rsidRPr="00844A6E">
        <w:rPr>
          <w:szCs w:val="22"/>
        </w:rPr>
        <w:t>Higher rental income and building value would reflect higher demand from tenants for higher rated buildings (relative to lower rated buildings). Tenants are willing to pay more for higher rated buildings due to a combination of factors including:</w:t>
      </w:r>
    </w:p>
    <w:p w14:paraId="3730D1DB" w14:textId="77777777" w:rsidR="00F13E41" w:rsidRPr="00844A6E" w:rsidRDefault="00F13E41" w:rsidP="00F13E41">
      <w:pPr>
        <w:pStyle w:val="ListBullet"/>
        <w:rPr>
          <w:szCs w:val="22"/>
        </w:rPr>
      </w:pPr>
      <w:r w:rsidRPr="00844A6E">
        <w:rPr>
          <w:szCs w:val="22"/>
        </w:rPr>
        <w:t>lower energy bills (included in outgoings);</w:t>
      </w:r>
    </w:p>
    <w:p w14:paraId="66EF8D28" w14:textId="77777777" w:rsidR="00F13E41" w:rsidRPr="00844A6E" w:rsidRDefault="00F13E41" w:rsidP="00F13E41">
      <w:pPr>
        <w:pStyle w:val="ListBullet"/>
        <w:rPr>
          <w:szCs w:val="22"/>
        </w:rPr>
      </w:pPr>
      <w:r w:rsidRPr="00844A6E">
        <w:rPr>
          <w:szCs w:val="22"/>
        </w:rPr>
        <w:t>a preference for ‘greener buildings’ to meet environmental, social and governance (ESG) objectives;</w:t>
      </w:r>
    </w:p>
    <w:p w14:paraId="0F072621" w14:textId="77777777" w:rsidR="00F13E41" w:rsidRPr="00844A6E" w:rsidRDefault="00F13E41" w:rsidP="00F13E41">
      <w:pPr>
        <w:pStyle w:val="ListBullet"/>
        <w:rPr>
          <w:szCs w:val="22"/>
        </w:rPr>
      </w:pPr>
      <w:r w:rsidRPr="00844A6E">
        <w:rPr>
          <w:szCs w:val="22"/>
        </w:rPr>
        <w:t>a perception that higher</w:t>
      </w:r>
      <w:r w:rsidRPr="00844A6E">
        <w:rPr>
          <w:szCs w:val="22"/>
        </w:rPr>
        <w:noBreakHyphen/>
        <w:t>rated buildings are of superior quality (in terms of building management or other characteristics).</w:t>
      </w:r>
    </w:p>
    <w:p w14:paraId="204E775D" w14:textId="77777777" w:rsidR="00F13E41" w:rsidRPr="00844A6E" w:rsidRDefault="00F13E41" w:rsidP="00F13E41">
      <w:pPr>
        <w:pStyle w:val="BodyText"/>
        <w:rPr>
          <w:szCs w:val="22"/>
        </w:rPr>
      </w:pPr>
      <w:r w:rsidRPr="00844A6E">
        <w:rPr>
          <w:szCs w:val="22"/>
        </w:rPr>
        <w:t>The benefits of lower energy bills and reduced GHG emissions will be measured directly in the CBA (see above), so increased rental incomes and building values should not be included separately in the CBA as this would involve double</w:t>
      </w:r>
      <w:r w:rsidRPr="00844A6E">
        <w:rPr>
          <w:szCs w:val="22"/>
        </w:rPr>
        <w:noBreakHyphen/>
        <w:t xml:space="preserve">counting these benefits. </w:t>
      </w:r>
    </w:p>
    <w:p w14:paraId="7D45E72D" w14:textId="77777777" w:rsidR="00F13E41" w:rsidRPr="00DE22D5" w:rsidRDefault="00F13E41" w:rsidP="00F13E41">
      <w:pPr>
        <w:pStyle w:val="Heading3"/>
      </w:pPr>
      <w:r w:rsidRPr="00DE22D5">
        <w:t>Broader economic impacts</w:t>
      </w:r>
    </w:p>
    <w:p w14:paraId="7DC2929E" w14:textId="77777777" w:rsidR="00F13E41" w:rsidRPr="00844A6E" w:rsidRDefault="00F13E41" w:rsidP="00F13E41">
      <w:pPr>
        <w:pStyle w:val="BodyText"/>
        <w:rPr>
          <w:szCs w:val="22"/>
        </w:rPr>
      </w:pPr>
      <w:r w:rsidRPr="00844A6E">
        <w:rPr>
          <w:szCs w:val="22"/>
        </w:rPr>
        <w:t>Some studies refer to a range of broader economic impacts, including industry productivity improvements and the flow</w:t>
      </w:r>
      <w:r w:rsidRPr="00844A6E">
        <w:rPr>
          <w:szCs w:val="22"/>
        </w:rPr>
        <w:noBreakHyphen/>
        <w:t>on economic impacts of increased investment in energy efficiency and reduced energy consumption.</w:t>
      </w:r>
      <w:r w:rsidRPr="00844A6E">
        <w:rPr>
          <w:rStyle w:val="FootnoteReference"/>
          <w:sz w:val="22"/>
          <w:szCs w:val="22"/>
        </w:rPr>
        <w:footnoteReference w:id="108"/>
      </w:r>
    </w:p>
    <w:p w14:paraId="2C7FBF8B" w14:textId="77777777" w:rsidR="00F13E41" w:rsidRPr="00844A6E" w:rsidRDefault="00F13E41" w:rsidP="00F13E41">
      <w:pPr>
        <w:pStyle w:val="BodyText"/>
        <w:rPr>
          <w:szCs w:val="22"/>
        </w:rPr>
      </w:pPr>
      <w:r w:rsidRPr="00844A6E">
        <w:rPr>
          <w:szCs w:val="22"/>
        </w:rPr>
        <w:t>These flow</w:t>
      </w:r>
      <w:r w:rsidRPr="00844A6E">
        <w:rPr>
          <w:szCs w:val="22"/>
        </w:rPr>
        <w:noBreakHyphen/>
        <w:t>on economic impacts are outside the scope of the partial equilibrium framework typically used for RISs. Only benefits that are additional to the energy savings identified above should be included, for example, productivity gains due to improved thermal comfort (see below section on health).</w:t>
      </w:r>
    </w:p>
    <w:p w14:paraId="3BE412FC" w14:textId="77777777" w:rsidR="00F13E41" w:rsidRDefault="00F13E41" w:rsidP="00F13E41">
      <w:pPr>
        <w:pStyle w:val="Heading3"/>
      </w:pPr>
      <w:r w:rsidRPr="00DE22D5">
        <w:t>Health</w:t>
      </w:r>
      <w:r>
        <w:t>,</w:t>
      </w:r>
      <w:r w:rsidRPr="00DE22D5">
        <w:t xml:space="preserve"> productivity </w:t>
      </w:r>
      <w:r>
        <w:t xml:space="preserve">and societal </w:t>
      </w:r>
      <w:r w:rsidRPr="00DE22D5">
        <w:t>benefits</w:t>
      </w:r>
    </w:p>
    <w:p w14:paraId="605F26FA" w14:textId="150FC53C" w:rsidR="004C76AF" w:rsidRDefault="00FA1FA5" w:rsidP="00BD1538">
      <w:pPr>
        <w:pStyle w:val="BodyText"/>
      </w:pPr>
      <w:r>
        <w:t xml:space="preserve">Improved health outcomes and productivity improvements are sometimes cited as additional benefits of improved </w:t>
      </w:r>
      <w:r w:rsidR="00D5554A">
        <w:t>energy efficiency.</w:t>
      </w:r>
      <w:r w:rsidR="00006D67">
        <w:t xml:space="preserve"> </w:t>
      </w:r>
      <w:r w:rsidR="004C76AF">
        <w:t>The benefits could occur in the following ways:</w:t>
      </w:r>
    </w:p>
    <w:p w14:paraId="37CFFC9D" w14:textId="42FE2A1A" w:rsidR="004C76AF" w:rsidRDefault="004C76AF" w:rsidP="0087396E">
      <w:pPr>
        <w:pStyle w:val="ListBullet"/>
      </w:pPr>
      <w:r>
        <w:t>Improved energy efficiency</w:t>
      </w:r>
      <w:r w:rsidR="00DD5CC7">
        <w:t xml:space="preserve"> (as well as increased </w:t>
      </w:r>
      <w:r w:rsidR="00F52028">
        <w:t xml:space="preserve">on-site energy generation) </w:t>
      </w:r>
      <w:r w:rsidR="005D2B17">
        <w:t>could reduce coal-fired</w:t>
      </w:r>
      <w:r w:rsidR="00BB4E44">
        <w:t xml:space="preserve"> power generation</w:t>
      </w:r>
      <w:r w:rsidR="001E1A74">
        <w:t xml:space="preserve"> and </w:t>
      </w:r>
      <w:r w:rsidR="004F4C71">
        <w:t>associated pollutants that</w:t>
      </w:r>
      <w:r w:rsidR="00C25E2B">
        <w:t xml:space="preserve"> have negative health </w:t>
      </w:r>
      <w:r w:rsidR="007A4F35">
        <w:t>consequences</w:t>
      </w:r>
      <w:r w:rsidR="00C25E2B">
        <w:t>.</w:t>
      </w:r>
    </w:p>
    <w:p w14:paraId="34FEA535" w14:textId="42F8E71D" w:rsidR="00BD1538" w:rsidRPr="00BD1538" w:rsidRDefault="00F4401E" w:rsidP="0087396E">
      <w:pPr>
        <w:pStyle w:val="ListBullet"/>
      </w:pPr>
      <w:r>
        <w:t>Improved energy efficiency can</w:t>
      </w:r>
      <w:r w:rsidR="000B5C46">
        <w:t xml:space="preserve"> </w:t>
      </w:r>
      <w:r w:rsidR="00525220">
        <w:t xml:space="preserve">improved </w:t>
      </w:r>
      <w:r w:rsidR="001C3A57">
        <w:t>indoor air quality</w:t>
      </w:r>
      <w:r w:rsidR="00D6575A">
        <w:t>, which is linked to improved health</w:t>
      </w:r>
      <w:r w:rsidR="001C3A57">
        <w:t xml:space="preserve"> and </w:t>
      </w:r>
      <w:r w:rsidR="00D6575A">
        <w:t>productivity outcomes for workers</w:t>
      </w:r>
      <w:r w:rsidR="0087396E">
        <w:t>.</w:t>
      </w:r>
    </w:p>
    <w:p w14:paraId="181D9411" w14:textId="03DE3E13" w:rsidR="00D9083E" w:rsidRDefault="0009692F" w:rsidP="00F13E41">
      <w:pPr>
        <w:pStyle w:val="BodyText"/>
        <w:rPr>
          <w:szCs w:val="22"/>
        </w:rPr>
      </w:pPr>
      <w:r>
        <w:rPr>
          <w:szCs w:val="22"/>
        </w:rPr>
        <w:t>We</w:t>
      </w:r>
      <w:r w:rsidR="00D9083E">
        <w:rPr>
          <w:szCs w:val="22"/>
        </w:rPr>
        <w:t xml:space="preserve"> have not included these benefits in the CBA for the following reasons</w:t>
      </w:r>
      <w:r w:rsidR="00E97020">
        <w:rPr>
          <w:szCs w:val="22"/>
        </w:rPr>
        <w:t xml:space="preserve"> (see appendix D for further details)</w:t>
      </w:r>
      <w:r w:rsidR="00D9083E">
        <w:rPr>
          <w:szCs w:val="22"/>
        </w:rPr>
        <w:t>:</w:t>
      </w:r>
    </w:p>
    <w:p w14:paraId="640C9A85" w14:textId="5C92A5F2" w:rsidR="00D9083E" w:rsidRDefault="00565DCD" w:rsidP="006B7CCE">
      <w:pPr>
        <w:pStyle w:val="ListBullet"/>
      </w:pPr>
      <w:r>
        <w:t xml:space="preserve">The </w:t>
      </w:r>
      <w:r w:rsidR="00626718">
        <w:t xml:space="preserve">health </w:t>
      </w:r>
      <w:r>
        <w:t>benefits</w:t>
      </w:r>
      <w:r w:rsidR="00A946C1">
        <w:t xml:space="preserve"> </w:t>
      </w:r>
      <w:r w:rsidR="00626718">
        <w:t>associated with reducing coal-fired generation are likely to small relative to the other benefits from improved energy efficiency.</w:t>
      </w:r>
    </w:p>
    <w:p w14:paraId="6D051310" w14:textId="1E63C285" w:rsidR="00F13E41" w:rsidRPr="00844A6E" w:rsidRDefault="00F13E41" w:rsidP="006B7CCE">
      <w:pPr>
        <w:pStyle w:val="ListBullet"/>
        <w:rPr>
          <w:lang w:eastAsia="en-US"/>
        </w:rPr>
      </w:pPr>
      <w:r w:rsidRPr="00844A6E">
        <w:t>A</w:t>
      </w:r>
      <w:r w:rsidR="00677838">
        <w:t>lthough there is reliable</w:t>
      </w:r>
      <w:r w:rsidR="007E7A3F">
        <w:t xml:space="preserve"> </w:t>
      </w:r>
      <w:r w:rsidR="00F762C7">
        <w:t>evidence showing that improved</w:t>
      </w:r>
      <w:r w:rsidR="00F67768">
        <w:t xml:space="preserve"> indoor air quality</w:t>
      </w:r>
      <w:r w:rsidR="00D77070">
        <w:t xml:space="preserve"> </w:t>
      </w:r>
      <w:r w:rsidR="00214260">
        <w:t>le</w:t>
      </w:r>
      <w:r w:rsidR="00D72FE2">
        <w:t>ads to</w:t>
      </w:r>
      <w:r w:rsidR="00D77070">
        <w:t xml:space="preserve"> health and productivity improvements</w:t>
      </w:r>
      <w:r w:rsidR="00314981">
        <w:t xml:space="preserve">, </w:t>
      </w:r>
      <w:r w:rsidR="00FC59B2">
        <w:t>the</w:t>
      </w:r>
      <w:r>
        <w:t xml:space="preserve"> evidence</w:t>
      </w:r>
      <w:r w:rsidRPr="00844A6E">
        <w:t xml:space="preserve"> </w:t>
      </w:r>
      <w:r w:rsidR="00781557">
        <w:t>of</w:t>
      </w:r>
      <w:r>
        <w:t xml:space="preserve"> </w:t>
      </w:r>
      <w:r w:rsidRPr="00844A6E">
        <w:t>a link between energy efficiency and thermal comfort</w:t>
      </w:r>
      <w:r w:rsidR="00781557">
        <w:t xml:space="preserve"> </w:t>
      </w:r>
      <w:r w:rsidR="006B7CCE">
        <w:t>appears to be</w:t>
      </w:r>
      <w:r w:rsidR="00781557">
        <w:t xml:space="preserve"> weak. </w:t>
      </w:r>
    </w:p>
    <w:p w14:paraId="76B93E8D" w14:textId="77777777" w:rsidR="00F13E41" w:rsidRDefault="00F13E41" w:rsidP="00F13E41">
      <w:pPr>
        <w:pStyle w:val="Heading2"/>
      </w:pPr>
      <w:bookmarkStart w:id="1087" w:name="_Toc149060068"/>
      <w:bookmarkStart w:id="1088" w:name="_Toc177735100"/>
      <w:bookmarkStart w:id="1089" w:name="_Toc178292534"/>
      <w:r>
        <w:t>Impacts of mandatory rooftop solar requirements</w:t>
      </w:r>
      <w:bookmarkEnd w:id="1087"/>
      <w:bookmarkEnd w:id="1088"/>
      <w:bookmarkEnd w:id="1089"/>
    </w:p>
    <w:p w14:paraId="3BA19D3C" w14:textId="2ED68262" w:rsidR="00F13E41" w:rsidRPr="00844A6E" w:rsidRDefault="00F13E41" w:rsidP="00F13E41">
      <w:pPr>
        <w:pStyle w:val="BodyText"/>
        <w:rPr>
          <w:szCs w:val="22"/>
        </w:rPr>
      </w:pPr>
      <w:r w:rsidRPr="00844A6E">
        <w:rPr>
          <w:szCs w:val="22"/>
        </w:rPr>
        <w:t xml:space="preserve">Under Stringency </w:t>
      </w:r>
      <w:r w:rsidRPr="00844A6E">
        <w:rPr>
          <w:szCs w:val="22"/>
          <w:lang w:bidi="fa-IR"/>
        </w:rPr>
        <w:t xml:space="preserve">Level </w:t>
      </w:r>
      <w:r w:rsidRPr="00844A6E">
        <w:rPr>
          <w:szCs w:val="22"/>
        </w:rPr>
        <w:t>2</w:t>
      </w:r>
      <w:r w:rsidR="00D533B8">
        <w:rPr>
          <w:szCs w:val="22"/>
        </w:rPr>
        <w:t xml:space="preserve"> and Stringency Level 3</w:t>
      </w:r>
      <w:r w:rsidRPr="00844A6E">
        <w:rPr>
          <w:szCs w:val="22"/>
        </w:rPr>
        <w:t>, installation of rooftop solar would be mandatory for commercial buildings.</w:t>
      </w:r>
    </w:p>
    <w:p w14:paraId="4219E3EF" w14:textId="77777777" w:rsidR="00F13E41" w:rsidRDefault="00F13E41" w:rsidP="00F13E41">
      <w:pPr>
        <w:pStyle w:val="Heading3"/>
      </w:pPr>
      <w:r>
        <w:t>Rooftop solar under base case</w:t>
      </w:r>
    </w:p>
    <w:p w14:paraId="764A1931" w14:textId="77777777" w:rsidR="00F13E41" w:rsidRPr="00844A6E" w:rsidRDefault="00F13E41" w:rsidP="00F13E41">
      <w:pPr>
        <w:pStyle w:val="BodyText"/>
        <w:rPr>
          <w:szCs w:val="22"/>
        </w:rPr>
      </w:pPr>
      <w:r w:rsidRPr="00844A6E">
        <w:rPr>
          <w:szCs w:val="22"/>
        </w:rPr>
        <w:t>Stakeholder feedback suggested there is significant uptake of rooftop solar across many different types of commercial building class. That said, one stakeholder described the level of uptake on commercial buildings as ‘disappointing’.</w:t>
      </w:r>
    </w:p>
    <w:p w14:paraId="13B5770C" w14:textId="324A7B4F" w:rsidR="00F13E41" w:rsidRPr="00844A6E" w:rsidRDefault="00F13E41" w:rsidP="00F13E41">
      <w:pPr>
        <w:pStyle w:val="BodyText"/>
        <w:rPr>
          <w:szCs w:val="22"/>
        </w:rPr>
      </w:pPr>
      <w:r w:rsidRPr="00844A6E">
        <w:rPr>
          <w:szCs w:val="22"/>
        </w:rPr>
        <w:t>This qualitative evidence from stakeholders is consistent with the findings of recent research for the then Department of Industry, Science, Energy and Resources (DISER) (see table </w:t>
      </w:r>
      <w:r>
        <w:rPr>
          <w:szCs w:val="22"/>
        </w:rPr>
        <w:fldChar w:fldCharType="begin"/>
      </w:r>
      <w:r>
        <w:rPr>
          <w:szCs w:val="22"/>
        </w:rPr>
        <w:instrText xml:space="preserve"> REF _Caption3770 </w:instrText>
      </w:r>
      <w:r>
        <w:rPr>
          <w:szCs w:val="22"/>
        </w:rPr>
        <w:fldChar w:fldCharType="separate"/>
      </w:r>
      <w:r w:rsidR="006E00A7">
        <w:rPr>
          <w:noProof/>
        </w:rPr>
        <w:t>5</w:t>
      </w:r>
      <w:r w:rsidR="006E00A7" w:rsidRPr="00695C93">
        <w:rPr>
          <w:noProof/>
        </w:rPr>
        <w:t>.</w:t>
      </w:r>
      <w:r w:rsidR="006E00A7">
        <w:rPr>
          <w:noProof/>
        </w:rPr>
        <w:t>5</w:t>
      </w:r>
      <w:r>
        <w:rPr>
          <w:szCs w:val="22"/>
        </w:rPr>
        <w:fldChar w:fldCharType="end"/>
      </w:r>
      <w:r w:rsidRPr="00844A6E">
        <w:rPr>
          <w:szCs w:val="22"/>
        </w:rPr>
        <w:t>).</w:t>
      </w:r>
      <w:r w:rsidRPr="00844A6E">
        <w:rPr>
          <w:rStyle w:val="FootnoteReference"/>
          <w:sz w:val="22"/>
          <w:szCs w:val="22"/>
        </w:rPr>
        <w:footnoteReference w:id="109"/>
      </w:r>
    </w:p>
    <w:p w14:paraId="7505547A" w14:textId="304BD1FA" w:rsidR="00F13E41" w:rsidRPr="00695C93" w:rsidRDefault="00F13E41">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673E21">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673E21">
          <w:rPr>
            <w:noProof/>
          </w:rPr>
          <w:instrText>5</w:instrText>
        </w:r>
      </w:fldSimple>
      <w:r w:rsidRPr="00695C93">
        <w:instrText xml:space="preserve"> = 0 "" "</w:instrText>
      </w:r>
      <w:fldSimple w:instr=" STYLEREF &quot;Heading 1&quot; \l \n ">
        <w:r w:rsidR="00673E21">
          <w:rPr>
            <w:noProof/>
          </w:rPr>
          <w:instrText>5</w:instrText>
        </w:r>
      </w:fldSimple>
      <w:r w:rsidRPr="00695C93">
        <w:instrText xml:space="preserve">." </w:instrText>
      </w:r>
      <w:r w:rsidRPr="00695C93">
        <w:fldChar w:fldCharType="separate"/>
      </w:r>
      <w:r w:rsidR="00673E21">
        <w:rPr>
          <w:noProof/>
        </w:rPr>
        <w:instrText>5</w:instrText>
      </w:r>
      <w:r w:rsidR="00673E21" w:rsidRPr="00695C93">
        <w:rPr>
          <w:noProof/>
        </w:rPr>
        <w:instrText>.</w:instrText>
      </w:r>
      <w:r w:rsidRPr="00695C93">
        <w:fldChar w:fldCharType="end"/>
      </w:r>
      <w:r w:rsidRPr="00695C93">
        <w:instrText>" "</w:instrText>
      </w:r>
      <w:fldSimple w:instr=" STYLEREF &quot;Heading 6&quot; \l \n ">
        <w:r>
          <w:rPr>
            <w:noProof/>
          </w:rPr>
          <w:instrText>A</w:instrText>
        </w:r>
      </w:fldSimple>
      <w:r w:rsidRPr="00695C93">
        <w:instrText xml:space="preserve">." </w:instrText>
      </w:r>
      <w:r w:rsidRPr="00695C93">
        <w:fldChar w:fldCharType="separate"/>
      </w:r>
      <w:r w:rsidR="008C60A3">
        <w:rPr>
          <w:noProof/>
        </w:rPr>
        <w:instrText>5</w:instrText>
      </w:r>
      <w:r w:rsidR="008C60A3"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673E21">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673E21">
          <w:rPr>
            <w:noProof/>
          </w:rPr>
          <w:instrText>5</w:instrText>
        </w:r>
      </w:fldSimple>
      <w:r w:rsidRPr="00695C93">
        <w:instrText xml:space="preserve"> = 0 "" "1" </w:instrText>
      </w:r>
      <w:r w:rsidRPr="00695C93">
        <w:fldChar w:fldCharType="separate"/>
      </w:r>
      <w:r w:rsidR="008C60A3" w:rsidRPr="00695C93">
        <w:rPr>
          <w:noProof/>
        </w:rPr>
        <w:instrText>1</w:instrText>
      </w:r>
      <w:r w:rsidRPr="00695C93">
        <w:fldChar w:fldCharType="end"/>
      </w:r>
      <w:r w:rsidRPr="00695C93">
        <w:instrText xml:space="preserve">" "6" </w:instrText>
      </w:r>
      <w:r w:rsidRPr="00695C93">
        <w:fldChar w:fldCharType="separate"/>
      </w:r>
      <w:r w:rsidR="008C60A3" w:rsidRPr="00695C93">
        <w:rPr>
          <w:noProof/>
        </w:rPr>
        <w:instrText>1</w:instrText>
      </w:r>
      <w:r w:rsidRPr="00695C93">
        <w:fldChar w:fldCharType="end"/>
      </w:r>
      <w:r w:rsidRPr="00695C93">
        <w:instrText xml:space="preserve"> </w:instrText>
      </w:r>
      <w:r w:rsidRPr="00695C93">
        <w:fldChar w:fldCharType="separate"/>
      </w:r>
      <w:r w:rsidR="00673E21">
        <w:rPr>
          <w:noProof/>
        </w:rPr>
        <w:instrText>5</w:instrText>
      </w:r>
      <w:r w:rsidRPr="00695C93">
        <w:fldChar w:fldCharType="end"/>
      </w:r>
      <w:r w:rsidRPr="00695C93">
        <w:instrText xml:space="preserve">" "" </w:instrText>
      </w:r>
      <w:r w:rsidRPr="00695C93">
        <w:fldChar w:fldCharType="separate"/>
      </w:r>
      <w:bookmarkStart w:id="1090" w:name="_Caption0055"/>
      <w:bookmarkStart w:id="1091" w:name="_Caption9517"/>
      <w:bookmarkStart w:id="1092" w:name="_Caption5783"/>
      <w:bookmarkStart w:id="1093" w:name="_Caption2407"/>
      <w:bookmarkStart w:id="1094" w:name="_Caption9720"/>
      <w:bookmarkStart w:id="1095" w:name="_Caption6930"/>
      <w:bookmarkStart w:id="1096" w:name="_Caption8359"/>
      <w:bookmarkStart w:id="1097" w:name="_Caption0500"/>
      <w:bookmarkStart w:id="1098" w:name="_Caption0901"/>
      <w:bookmarkStart w:id="1099" w:name="_Caption4903"/>
      <w:bookmarkStart w:id="1100" w:name="_Caption2876"/>
      <w:bookmarkStart w:id="1101" w:name="_Caption5105"/>
      <w:bookmarkStart w:id="1102" w:name="_Caption9388"/>
      <w:bookmarkStart w:id="1103" w:name="_Caption4927"/>
      <w:bookmarkStart w:id="1104" w:name="_Caption3806"/>
      <w:bookmarkStart w:id="1105" w:name="_Caption8901"/>
      <w:bookmarkStart w:id="1106" w:name="_Caption6693"/>
      <w:bookmarkStart w:id="1107" w:name="_Caption7374"/>
      <w:bookmarkStart w:id="1108" w:name="_Caption2049"/>
      <w:bookmarkStart w:id="1109" w:name="_Caption3770"/>
      <w:bookmarkStart w:id="1110" w:name="_Caption8262"/>
      <w:bookmarkStart w:id="1111" w:name="_Caption4856"/>
      <w:bookmarkStart w:id="1112" w:name="_Caption6150"/>
      <w:bookmarkStart w:id="1113" w:name="_Caption7527"/>
      <w:bookmarkStart w:id="1114" w:name="_Caption4233"/>
      <w:bookmarkStart w:id="1115" w:name="_Caption7053"/>
      <w:bookmarkStart w:id="1116" w:name="_Caption2460"/>
      <w:bookmarkStart w:id="1117" w:name="_Caption1343"/>
      <w:bookmarkStart w:id="1118" w:name="_Caption8661"/>
      <w:bookmarkStart w:id="1119" w:name="_Caption9071"/>
      <w:bookmarkStart w:id="1120" w:name="_Caption4441"/>
      <w:bookmarkStart w:id="1121" w:name="_Caption8190"/>
      <w:bookmarkStart w:id="1122" w:name="_Caption1198"/>
      <w:bookmarkStart w:id="1123" w:name="_Caption0294"/>
      <w:bookmarkStart w:id="1124" w:name="_Caption8250"/>
      <w:bookmarkStart w:id="1125" w:name="_Caption9155"/>
      <w:bookmarkStart w:id="1126" w:name="_Caption7637"/>
      <w:bookmarkStart w:id="1127" w:name="_Caption5056"/>
      <w:bookmarkStart w:id="1128" w:name="_Caption2238"/>
      <w:bookmarkStart w:id="1129" w:name="_Caption7466"/>
      <w:bookmarkStart w:id="1130" w:name="_Caption8805"/>
      <w:bookmarkStart w:id="1131" w:name="_Caption8165"/>
      <w:bookmarkStart w:id="1132" w:name="_Caption5487"/>
      <w:bookmarkStart w:id="1133" w:name="_Caption9870"/>
      <w:bookmarkStart w:id="1134" w:name="_Caption5470"/>
      <w:bookmarkStart w:id="1135" w:name="_Caption2530"/>
      <w:bookmarkStart w:id="1136" w:name="_Caption2157"/>
      <w:bookmarkStart w:id="1137" w:name="_Caption2929"/>
      <w:bookmarkStart w:id="1138" w:name="_Caption4826"/>
      <w:bookmarkStart w:id="1139" w:name="_Caption0765"/>
      <w:bookmarkStart w:id="1140" w:name="_Caption8368"/>
      <w:bookmarkStart w:id="1141" w:name="_Caption3405"/>
      <w:bookmarkStart w:id="1142" w:name="_Caption3002"/>
      <w:bookmarkStart w:id="1143" w:name="_Caption3695"/>
      <w:bookmarkStart w:id="1144" w:name="_Caption2251"/>
      <w:bookmarkStart w:id="1145" w:name="_Caption8113"/>
      <w:bookmarkStart w:id="1146" w:name="_Caption2836"/>
      <w:bookmarkStart w:id="1147" w:name="_Caption9272"/>
      <w:bookmarkStart w:id="1148" w:name="_Caption3903"/>
      <w:bookmarkStart w:id="1149" w:name="_Caption7050"/>
      <w:bookmarkStart w:id="1150" w:name="_Caption2202"/>
      <w:bookmarkStart w:id="1151" w:name="_Caption1247"/>
      <w:bookmarkStart w:id="1152" w:name="_Caption8826"/>
      <w:bookmarkStart w:id="1153" w:name="_Caption0137"/>
      <w:bookmarkStart w:id="1154" w:name="_Caption5198"/>
      <w:bookmarkStart w:id="1155" w:name="_Toc178292579"/>
      <w:r w:rsidR="008C60A3">
        <w:rPr>
          <w:noProof/>
        </w:rPr>
        <w:t>5</w:t>
      </w:r>
      <w:r w:rsidR="008C60A3" w:rsidRPr="00695C93">
        <w:rPr>
          <w:noProof/>
        </w:rPr>
        <w:t>.</w:t>
      </w:r>
      <w:r w:rsidR="008C60A3">
        <w:rPr>
          <w:noProof/>
        </w:rPr>
        <w:t>5</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r w:rsidRPr="00695C93">
        <w:fldChar w:fldCharType="end"/>
      </w:r>
      <w:r w:rsidRPr="00695C93">
        <w:tab/>
      </w:r>
      <w:r w:rsidRPr="00E432D5">
        <w:t>Share of buildings with rooftop solar</w:t>
      </w:r>
      <w:bookmarkEnd w:id="1155"/>
    </w:p>
    <w:tbl>
      <w:tblPr>
        <w:tblW w:w="0" w:type="auto"/>
        <w:tblLayout w:type="fixed"/>
        <w:tblLook w:val="0000" w:firstRow="0" w:lastRow="0" w:firstColumn="0" w:lastColumn="0" w:noHBand="0" w:noVBand="0"/>
        <w:tblCaption w:val="Table 4.9"/>
        <w:tblDescription w:val="Share of buildings with rooftop solar"/>
      </w:tblPr>
      <w:tblGrid>
        <w:gridCol w:w="4656"/>
        <w:gridCol w:w="3281"/>
      </w:tblGrid>
      <w:tr w:rsidR="00F13E41" w14:paraId="6D9AEDA2" w14:textId="77777777">
        <w:trPr>
          <w:trHeight w:val="490"/>
          <w:tblHeader/>
        </w:trPr>
        <w:tc>
          <w:tcPr>
            <w:tcW w:w="4656" w:type="dxa"/>
            <w:shd w:val="clear" w:color="auto" w:fill="6F6652"/>
            <w:tcMar>
              <w:left w:w="57" w:type="dxa"/>
              <w:right w:w="57" w:type="dxa"/>
            </w:tcMar>
          </w:tcPr>
          <w:p w14:paraId="33E73C9B" w14:textId="77777777" w:rsidR="00F13E41" w:rsidRDefault="00F13E41">
            <w:pPr>
              <w:pStyle w:val="TableDataColumnHeading"/>
              <w:jc w:val="left"/>
            </w:pPr>
            <w:r>
              <w:t>Building type</w:t>
            </w:r>
          </w:p>
        </w:tc>
        <w:tc>
          <w:tcPr>
            <w:tcW w:w="3281" w:type="dxa"/>
            <w:shd w:val="clear" w:color="auto" w:fill="6F6652"/>
            <w:tcMar>
              <w:left w:w="57" w:type="dxa"/>
              <w:right w:w="57" w:type="dxa"/>
            </w:tcMar>
          </w:tcPr>
          <w:p w14:paraId="490CE65E" w14:textId="77777777" w:rsidR="00F13E41" w:rsidRDefault="00F13E41">
            <w:pPr>
              <w:pStyle w:val="TableDataColumnHeading"/>
            </w:pPr>
            <w:r>
              <w:t>Share of buildings with rooftop solar</w:t>
            </w:r>
          </w:p>
          <w:p w14:paraId="0EEE78BF" w14:textId="77777777" w:rsidR="00F13E41" w:rsidRDefault="00F13E41">
            <w:pPr>
              <w:pStyle w:val="TableDataColumnHeading"/>
            </w:pPr>
            <w:r>
              <w:t>(Per cent)</w:t>
            </w:r>
          </w:p>
        </w:tc>
      </w:tr>
      <w:tr w:rsidR="00F13E41" w14:paraId="6BE1F15D" w14:textId="77777777">
        <w:trPr>
          <w:trHeight w:val="245"/>
        </w:trPr>
        <w:tc>
          <w:tcPr>
            <w:tcW w:w="465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B9B4D2B" w14:textId="77777777" w:rsidR="00F13E41" w:rsidRDefault="00F13E41">
            <w:pPr>
              <w:pStyle w:val="TableDataEntries"/>
              <w:jc w:val="left"/>
            </w:pPr>
            <w:r>
              <w:t>Hotels</w:t>
            </w:r>
          </w:p>
        </w:tc>
        <w:tc>
          <w:tcPr>
            <w:tcW w:w="32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EC6B6C" w14:textId="77777777" w:rsidR="00F13E41" w:rsidRDefault="00F13E41">
            <w:pPr>
              <w:pStyle w:val="TableDataEntries"/>
            </w:pPr>
            <w:r>
              <w:t>47%</w:t>
            </w:r>
          </w:p>
        </w:tc>
      </w:tr>
      <w:tr w:rsidR="00F13E41" w14:paraId="338B34DB" w14:textId="77777777">
        <w:trPr>
          <w:trHeight w:val="245"/>
        </w:trPr>
        <w:tc>
          <w:tcPr>
            <w:tcW w:w="465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F56289" w14:textId="77777777" w:rsidR="00F13E41" w:rsidRDefault="00F13E41">
            <w:pPr>
              <w:pStyle w:val="TableDataEntries"/>
              <w:jc w:val="left"/>
            </w:pPr>
            <w:r>
              <w:t>Offices</w:t>
            </w:r>
          </w:p>
        </w:tc>
        <w:tc>
          <w:tcPr>
            <w:tcW w:w="32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1D21562" w14:textId="77777777" w:rsidR="00F13E41" w:rsidRDefault="00F13E41">
            <w:pPr>
              <w:pStyle w:val="TableDataEntries"/>
            </w:pPr>
            <w:r>
              <w:t>61%</w:t>
            </w:r>
          </w:p>
        </w:tc>
      </w:tr>
      <w:tr w:rsidR="00F13E41" w14:paraId="229FE3FE" w14:textId="77777777">
        <w:trPr>
          <w:trHeight w:val="245"/>
        </w:trPr>
        <w:tc>
          <w:tcPr>
            <w:tcW w:w="465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E7790BE" w14:textId="77777777" w:rsidR="00F13E41" w:rsidRDefault="00F13E41">
            <w:pPr>
              <w:pStyle w:val="TableDataEntries"/>
              <w:jc w:val="left"/>
            </w:pPr>
            <w:r>
              <w:t>Retail</w:t>
            </w:r>
          </w:p>
        </w:tc>
        <w:tc>
          <w:tcPr>
            <w:tcW w:w="32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BF8CB66" w14:textId="77777777" w:rsidR="00F13E41" w:rsidRDefault="00F13E41">
            <w:pPr>
              <w:pStyle w:val="TableDataEntries"/>
            </w:pPr>
            <w:r>
              <w:t>51%</w:t>
            </w:r>
          </w:p>
        </w:tc>
      </w:tr>
      <w:tr w:rsidR="00F13E41" w14:paraId="33DF52D4" w14:textId="77777777">
        <w:trPr>
          <w:trHeight w:val="245"/>
        </w:trPr>
        <w:tc>
          <w:tcPr>
            <w:tcW w:w="465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FA5C3D" w14:textId="77777777" w:rsidR="00F13E41" w:rsidRDefault="00F13E41">
            <w:pPr>
              <w:pStyle w:val="TableDataEntries"/>
              <w:jc w:val="left"/>
            </w:pPr>
            <w:r>
              <w:t>Car parks</w:t>
            </w:r>
          </w:p>
        </w:tc>
        <w:tc>
          <w:tcPr>
            <w:tcW w:w="32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B18F9E" w14:textId="77777777" w:rsidR="00F13E41" w:rsidRDefault="00F13E41">
            <w:pPr>
              <w:pStyle w:val="TableDataEntries"/>
            </w:pPr>
            <w:r>
              <w:t>14%</w:t>
            </w:r>
          </w:p>
        </w:tc>
      </w:tr>
      <w:tr w:rsidR="00F13E41" w14:paraId="46847C23" w14:textId="77777777">
        <w:trPr>
          <w:trHeight w:val="245"/>
        </w:trPr>
        <w:tc>
          <w:tcPr>
            <w:tcW w:w="465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9794BDC" w14:textId="77777777" w:rsidR="00F13E41" w:rsidRDefault="00F13E41">
            <w:pPr>
              <w:pStyle w:val="TableDataEntries"/>
              <w:jc w:val="left"/>
            </w:pPr>
            <w:r>
              <w:t>Warehouses</w:t>
            </w:r>
          </w:p>
        </w:tc>
        <w:tc>
          <w:tcPr>
            <w:tcW w:w="32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5FFD47" w14:textId="77777777" w:rsidR="00F13E41" w:rsidRDefault="00F13E41">
            <w:pPr>
              <w:pStyle w:val="TableDataEntries"/>
            </w:pPr>
            <w:r>
              <w:t>69%</w:t>
            </w:r>
          </w:p>
        </w:tc>
      </w:tr>
      <w:tr w:rsidR="00F13E41" w14:paraId="0905B6F6" w14:textId="77777777">
        <w:trPr>
          <w:trHeight w:val="245"/>
        </w:trPr>
        <w:tc>
          <w:tcPr>
            <w:tcW w:w="465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39B2168" w14:textId="77777777" w:rsidR="00F13E41" w:rsidRDefault="00F13E41">
            <w:pPr>
              <w:pStyle w:val="TableDataEntries"/>
              <w:jc w:val="left"/>
            </w:pPr>
            <w:r>
              <w:t>Factories</w:t>
            </w:r>
          </w:p>
        </w:tc>
        <w:tc>
          <w:tcPr>
            <w:tcW w:w="32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5D72B0" w14:textId="77777777" w:rsidR="00F13E41" w:rsidRDefault="00F13E41">
            <w:pPr>
              <w:pStyle w:val="TableDataEntries"/>
            </w:pPr>
            <w:r>
              <w:t>67%</w:t>
            </w:r>
          </w:p>
        </w:tc>
      </w:tr>
      <w:tr w:rsidR="00F13E41" w14:paraId="08921A66" w14:textId="77777777">
        <w:trPr>
          <w:trHeight w:val="245"/>
        </w:trPr>
        <w:tc>
          <w:tcPr>
            <w:tcW w:w="4656" w:type="dxa"/>
            <w:tcBorders>
              <w:top w:val="single" w:sz="8" w:space="0" w:color="FFFFFF" w:themeColor="background1"/>
              <w:bottom w:val="single" w:sz="6" w:space="0" w:color="6F6652"/>
            </w:tcBorders>
            <w:shd w:val="clear" w:color="auto" w:fill="E9E8E5" w:themeFill="background2"/>
            <w:tcMar>
              <w:left w:w="57" w:type="dxa"/>
              <w:right w:w="57" w:type="dxa"/>
            </w:tcMar>
          </w:tcPr>
          <w:p w14:paraId="3B48B9DC" w14:textId="77777777" w:rsidR="00F13E41" w:rsidRDefault="00F13E41">
            <w:pPr>
              <w:pStyle w:val="TableDataEntries"/>
              <w:jc w:val="left"/>
            </w:pPr>
            <w:r>
              <w:t>Health care, schools, aged care</w:t>
            </w:r>
          </w:p>
        </w:tc>
        <w:tc>
          <w:tcPr>
            <w:tcW w:w="3281" w:type="dxa"/>
            <w:tcBorders>
              <w:top w:val="single" w:sz="8" w:space="0" w:color="FFFFFF" w:themeColor="background1"/>
              <w:bottom w:val="single" w:sz="6" w:space="0" w:color="6F6652"/>
            </w:tcBorders>
            <w:shd w:val="clear" w:color="auto" w:fill="E9E8E5" w:themeFill="background2"/>
            <w:tcMar>
              <w:left w:w="57" w:type="dxa"/>
              <w:right w:w="57" w:type="dxa"/>
            </w:tcMar>
          </w:tcPr>
          <w:p w14:paraId="700EF321" w14:textId="77777777" w:rsidR="00F13E41" w:rsidRDefault="00F13E41">
            <w:pPr>
              <w:pStyle w:val="TableDataEntries"/>
            </w:pPr>
            <w:r>
              <w:t>62%</w:t>
            </w:r>
          </w:p>
        </w:tc>
      </w:tr>
    </w:tbl>
    <w:p w14:paraId="680B73A0" w14:textId="77777777" w:rsidR="00F13E41" w:rsidRDefault="00F13E41" w:rsidP="00F13E41">
      <w:pPr>
        <w:pStyle w:val="Source"/>
      </w:pPr>
      <w:r>
        <w:rPr>
          <w:i/>
        </w:rPr>
        <w:t>Source</w:t>
      </w:r>
      <w:r w:rsidRPr="00E4232C">
        <w:rPr>
          <w:i/>
        </w:rPr>
        <w:t>:</w:t>
      </w:r>
      <w:r>
        <w:t xml:space="preserve"> Strategy.Policy.Research. </w:t>
      </w:r>
      <w:r w:rsidRPr="00D96F59">
        <w:rPr>
          <w:i/>
          <w:iCs/>
        </w:rPr>
        <w:t>Research report: use of renewable energy to trade</w:t>
      </w:r>
      <w:r w:rsidRPr="00D96F59">
        <w:rPr>
          <w:i/>
          <w:iCs/>
        </w:rPr>
        <w:noBreakHyphen/>
        <w:t>off energy efficiency requirements in Section J of the National Construction Code</w:t>
      </w:r>
      <w:r>
        <w:t>, Prepared for the Department of Industry, Science, Energy and Resources, 20 January 2022, p. 4.</w:t>
      </w:r>
    </w:p>
    <w:p w14:paraId="1A5FA049" w14:textId="77777777" w:rsidR="00F13E41" w:rsidRPr="00844A6E" w:rsidRDefault="00F13E41" w:rsidP="00F13E41">
      <w:pPr>
        <w:pStyle w:val="BodyText"/>
        <w:rPr>
          <w:szCs w:val="22"/>
          <w:lang w:eastAsia="en-US"/>
        </w:rPr>
      </w:pPr>
      <w:r w:rsidRPr="00844A6E">
        <w:rPr>
          <w:szCs w:val="22"/>
          <w:lang w:eastAsia="en-US"/>
        </w:rPr>
        <w:t>Voluntary uptake of rooftop solar has been incorporated into the base case. The base case is therefore represented as a weighted average of:</w:t>
      </w:r>
    </w:p>
    <w:p w14:paraId="6194DE38" w14:textId="77777777" w:rsidR="00F13E41" w:rsidRPr="00844A6E" w:rsidRDefault="00F13E41" w:rsidP="00F13E41">
      <w:pPr>
        <w:pStyle w:val="ListBullet"/>
        <w:rPr>
          <w:szCs w:val="22"/>
        </w:rPr>
      </w:pPr>
      <w:r w:rsidRPr="00844A6E">
        <w:rPr>
          <w:szCs w:val="22"/>
        </w:rPr>
        <w:t>buildings that comply with the minimum energy efficiency requirements set out in NCC 2022 without rooftop solar</w:t>
      </w:r>
    </w:p>
    <w:p w14:paraId="271DF20C" w14:textId="77777777" w:rsidR="00F13E41" w:rsidRPr="00844A6E" w:rsidRDefault="00F13E41" w:rsidP="00F13E41">
      <w:pPr>
        <w:pStyle w:val="ListBullet"/>
        <w:rPr>
          <w:szCs w:val="22"/>
        </w:rPr>
      </w:pPr>
      <w:r w:rsidRPr="00844A6E">
        <w:rPr>
          <w:szCs w:val="22"/>
        </w:rPr>
        <w:t>buildings that comply with the minimum energy efficiency requirements set out in NCC 2022 with rooftop solar (i.e. we assume that the rooftop solar is not used as an offset against other building elements).</w:t>
      </w:r>
    </w:p>
    <w:p w14:paraId="42DB78D2" w14:textId="77777777" w:rsidR="00F13E41" w:rsidRPr="00844A6E" w:rsidRDefault="00F13E41" w:rsidP="00F13E41">
      <w:pPr>
        <w:pStyle w:val="BodyText"/>
        <w:rPr>
          <w:szCs w:val="22"/>
          <w:lang w:eastAsia="en-US"/>
        </w:rPr>
      </w:pPr>
      <w:r w:rsidRPr="00844A6E">
        <w:rPr>
          <w:szCs w:val="22"/>
          <w:lang w:eastAsia="en-US"/>
        </w:rPr>
        <w:t>For those buildings that voluntarily install rooftop solar, the hourly profile for electricity consumed from the grid (and electricity exported to the grid) is derived from DeltaQ’s hourly energy consumption estimates for NCC 2022 combined with the hourly rooftop solar generation estimates for Stringency Level 2.</w:t>
      </w:r>
    </w:p>
    <w:p w14:paraId="78B6EE8C" w14:textId="77777777" w:rsidR="00F13E41" w:rsidRDefault="00F13E41" w:rsidP="00F13E41">
      <w:pPr>
        <w:pStyle w:val="Heading3"/>
      </w:pPr>
      <w:r>
        <w:t>Impacts</w:t>
      </w:r>
    </w:p>
    <w:p w14:paraId="1CEA5E08" w14:textId="77777777" w:rsidR="00F13E41" w:rsidRPr="00844A6E" w:rsidRDefault="00F13E41" w:rsidP="00F13E41">
      <w:pPr>
        <w:pStyle w:val="BodyText"/>
        <w:rPr>
          <w:szCs w:val="22"/>
        </w:rPr>
      </w:pPr>
      <w:r w:rsidRPr="00844A6E">
        <w:rPr>
          <w:szCs w:val="22"/>
        </w:rPr>
        <w:t>The main benefits of the renewable energy requirements are:</w:t>
      </w:r>
    </w:p>
    <w:p w14:paraId="66262568" w14:textId="77777777" w:rsidR="00F13E41" w:rsidRDefault="00F13E41" w:rsidP="00F13E41">
      <w:pPr>
        <w:pStyle w:val="ListBullet"/>
        <w:tabs>
          <w:tab w:val="num" w:pos="709"/>
        </w:tabs>
        <w:rPr>
          <w:szCs w:val="22"/>
        </w:rPr>
      </w:pPr>
      <w:r w:rsidRPr="00844A6E">
        <w:rPr>
          <w:szCs w:val="22"/>
        </w:rPr>
        <w:t>the avoided costs associated with reduced electricity consumption from the grid</w:t>
      </w:r>
      <w:r>
        <w:rPr>
          <w:szCs w:val="22"/>
        </w:rPr>
        <w:t>, including</w:t>
      </w:r>
      <w:r w:rsidDel="001D0383">
        <w:rPr>
          <w:szCs w:val="22"/>
        </w:rPr>
        <w:t>:</w:t>
      </w:r>
    </w:p>
    <w:p w14:paraId="6075F214" w14:textId="77777777" w:rsidR="00F13E41" w:rsidRPr="00844A6E" w:rsidRDefault="00F13E41" w:rsidP="00F13E41">
      <w:pPr>
        <w:pStyle w:val="ListBullet"/>
        <w:numPr>
          <w:ilvl w:val="1"/>
          <w:numId w:val="34"/>
        </w:numPr>
      </w:pPr>
      <w:r w:rsidRPr="00844A6E">
        <w:t>avoided generation costs</w:t>
      </w:r>
    </w:p>
    <w:p w14:paraId="27D4C74D" w14:textId="77777777" w:rsidR="00F13E41" w:rsidRPr="00844A6E" w:rsidRDefault="00F13E41" w:rsidP="00F13E41">
      <w:pPr>
        <w:pStyle w:val="ListBullet"/>
        <w:numPr>
          <w:ilvl w:val="1"/>
          <w:numId w:val="34"/>
        </w:numPr>
      </w:pPr>
      <w:r w:rsidRPr="00844A6E">
        <w:t>avoided network capacity costs</w:t>
      </w:r>
    </w:p>
    <w:p w14:paraId="28EEAD3D" w14:textId="77777777" w:rsidR="00F13E41" w:rsidRPr="00844A6E" w:rsidRDefault="00F13E41" w:rsidP="00F13E41">
      <w:pPr>
        <w:pStyle w:val="ListBullet"/>
        <w:numPr>
          <w:ilvl w:val="1"/>
          <w:numId w:val="34"/>
        </w:numPr>
      </w:pPr>
      <w:r w:rsidRPr="00844A6E">
        <w:t>avoided network usage costs</w:t>
      </w:r>
    </w:p>
    <w:p w14:paraId="6778D5F3" w14:textId="77777777" w:rsidR="00F13E41" w:rsidRDefault="00F13E41" w:rsidP="00F13E41">
      <w:pPr>
        <w:pStyle w:val="ListBullet"/>
        <w:numPr>
          <w:ilvl w:val="1"/>
          <w:numId w:val="34"/>
        </w:numPr>
      </w:pPr>
      <w:r w:rsidRPr="00844A6E">
        <w:t>avoided retail costs, and</w:t>
      </w:r>
    </w:p>
    <w:p w14:paraId="21B4AE7C" w14:textId="77777777" w:rsidR="00F13E41" w:rsidRDefault="00F13E41" w:rsidP="00F13E41">
      <w:pPr>
        <w:pStyle w:val="ListBullet"/>
        <w:numPr>
          <w:ilvl w:val="1"/>
          <w:numId w:val="34"/>
        </w:numPr>
      </w:pPr>
      <w:r w:rsidRPr="00844A6E">
        <w:t>avoided GHG emissions</w:t>
      </w:r>
    </w:p>
    <w:p w14:paraId="2B969168" w14:textId="77777777" w:rsidR="00F13E41" w:rsidRPr="00844A6E" w:rsidRDefault="00F13E41" w:rsidP="00F13E41">
      <w:pPr>
        <w:pStyle w:val="ListBullet"/>
        <w:numPr>
          <w:ilvl w:val="1"/>
          <w:numId w:val="34"/>
        </w:numPr>
      </w:pPr>
      <w:r>
        <w:t>the benefits are measured the same way as for changes to the minimum energy efficiency standards</w:t>
      </w:r>
      <w:r w:rsidRPr="00844A6E">
        <w:t>.</w:t>
      </w:r>
    </w:p>
    <w:p w14:paraId="4A550BC3" w14:textId="77777777" w:rsidR="00F13E41" w:rsidRPr="00844A6E" w:rsidRDefault="00F13E41" w:rsidP="00F13E41">
      <w:pPr>
        <w:pStyle w:val="ListBullet"/>
        <w:tabs>
          <w:tab w:val="num" w:pos="709"/>
        </w:tabs>
        <w:rPr>
          <w:szCs w:val="22"/>
        </w:rPr>
      </w:pPr>
      <w:r w:rsidRPr="00844A6E">
        <w:rPr>
          <w:szCs w:val="22"/>
        </w:rPr>
        <w:t>the increase in renewable energy exported to the grid, including:</w:t>
      </w:r>
    </w:p>
    <w:p w14:paraId="3BB10E88" w14:textId="77777777" w:rsidR="00F13E41" w:rsidRDefault="00F13E41" w:rsidP="00F13E41">
      <w:pPr>
        <w:pStyle w:val="ListBullet"/>
        <w:numPr>
          <w:ilvl w:val="1"/>
          <w:numId w:val="34"/>
        </w:numPr>
      </w:pPr>
      <w:r w:rsidRPr="00844A6E">
        <w:t>the value of the energy generated (as reflected in the feed</w:t>
      </w:r>
      <w:r w:rsidRPr="00844A6E">
        <w:noBreakHyphen/>
        <w:t>in tariff)</w:t>
      </w:r>
    </w:p>
    <w:p w14:paraId="12875751" w14:textId="77777777" w:rsidR="00F13E41" w:rsidRPr="00844A6E" w:rsidRDefault="00F13E41" w:rsidP="00F13E41">
      <w:pPr>
        <w:pStyle w:val="ListBullet"/>
        <w:numPr>
          <w:ilvl w:val="1"/>
          <w:numId w:val="34"/>
        </w:numPr>
      </w:pPr>
      <w:r w:rsidRPr="00844A6E">
        <w:t>avoided GHG emissions (assuming that the GHG intensity of the energy displaced by the additional energy exported to the grid reflects the average GHG intensity of the grid).</w:t>
      </w:r>
    </w:p>
    <w:p w14:paraId="6D2D8515" w14:textId="77777777" w:rsidR="00F13E41" w:rsidRDefault="00F13E41" w:rsidP="00F13E41">
      <w:pPr>
        <w:pStyle w:val="BodyText"/>
      </w:pPr>
      <w:r w:rsidRPr="00844A6E">
        <w:rPr>
          <w:szCs w:val="22"/>
        </w:rPr>
        <w:t>The primary cost</w:t>
      </w:r>
      <w:r>
        <w:rPr>
          <w:szCs w:val="22"/>
        </w:rPr>
        <w:t>s</w:t>
      </w:r>
      <w:r w:rsidRPr="00844A6E">
        <w:rPr>
          <w:szCs w:val="22"/>
        </w:rPr>
        <w:t xml:space="preserve"> are the increased capital expenditure, maintenance and disposal expenses linked to the integration of renewable energy systems. In certain instances, additional construction expenses may be necessary, such as strengthening the roof</w:t>
      </w:r>
      <w:r>
        <w:t xml:space="preserve"> structure to accommodate the installation of PV panels. </w:t>
      </w:r>
    </w:p>
    <w:p w14:paraId="06575B7C" w14:textId="3309CE9A" w:rsidR="00F13E41" w:rsidRPr="003C7B5B" w:rsidRDefault="00F13E41" w:rsidP="00F13E41">
      <w:pPr>
        <w:pStyle w:val="BodyText"/>
      </w:pPr>
      <w:r w:rsidRPr="003C7B5B">
        <w:t xml:space="preserve">As noted in the submission from HIA, there may also be some additional costs incurred by distribution network service providers </w:t>
      </w:r>
      <w:r>
        <w:t xml:space="preserve">(DNSPs) </w:t>
      </w:r>
      <w:r w:rsidRPr="003C7B5B">
        <w:t>associated with accommodating additional solar exports from commercial buildings that were not included in the CRIS. This is consistent with previous discussions with AEMO that indicated that high rooftop solar penetration can create challenges associated with ‘minimum operational demand’ (see box </w:t>
      </w:r>
      <w:fldSimple w:instr=" REF _Caption7029 ">
        <w:r w:rsidR="006E00A7">
          <w:rPr>
            <w:noProof/>
          </w:rPr>
          <w:t>5</w:t>
        </w:r>
        <w:r w:rsidR="006E00A7" w:rsidRPr="00E05C8C">
          <w:rPr>
            <w:noProof/>
          </w:rPr>
          <w:t>.</w:t>
        </w:r>
        <w:r w:rsidR="006E00A7">
          <w:rPr>
            <w:noProof/>
          </w:rPr>
          <w:t>6</w:t>
        </w:r>
      </w:fldSimple>
      <w:r w:rsidRPr="003C7B5B">
        <w:t>). AER also refers to expenditure by DNSPs to address increasing rooftop solar penetration</w:t>
      </w:r>
      <w:r w:rsidRPr="003C7B5B">
        <w:rPr>
          <w:rStyle w:val="FootnoteReference"/>
        </w:rPr>
        <w:footnoteReference w:id="110"/>
      </w:r>
      <w:r w:rsidRPr="003C7B5B">
        <w:t xml:space="preserve"> on the network.</w:t>
      </w:r>
      <w:r w:rsidRPr="003C7B5B">
        <w:rPr>
          <w:rStyle w:val="FootnoteReference"/>
        </w:rPr>
        <w:footnoteReference w:id="111"/>
      </w:r>
    </w:p>
    <w:p w14:paraId="6DBA6692" w14:textId="77777777" w:rsidR="00F13E41" w:rsidRDefault="00F13E41">
      <w:pPr>
        <w:pStyle w:val="Invisiblepara"/>
      </w:pPr>
    </w:p>
    <w:tbl>
      <w:tblPr>
        <w:tblW w:w="7938" w:type="dxa"/>
        <w:tblBorders>
          <w:top w:val="single" w:sz="2" w:space="0" w:color="auto"/>
          <w:left w:val="single" w:sz="2" w:space="0" w:color="auto"/>
          <w:bottom w:val="single" w:sz="2" w:space="0" w:color="auto"/>
          <w:right w:val="single" w:sz="2" w:space="0" w:color="auto"/>
        </w:tblBorders>
        <w:tblLayout w:type="fixed"/>
        <w:tblCellMar>
          <w:left w:w="142" w:type="dxa"/>
          <w:right w:w="142" w:type="dxa"/>
        </w:tblCellMar>
        <w:tblLook w:val="0000" w:firstRow="0" w:lastRow="0" w:firstColumn="0" w:lastColumn="0" w:noHBand="0" w:noVBand="0"/>
      </w:tblPr>
      <w:tblGrid>
        <w:gridCol w:w="7938"/>
      </w:tblGrid>
      <w:tr w:rsidR="00F13E41" w:rsidRPr="00E05C8C" w14:paraId="02DB6EC2" w14:textId="77777777" w:rsidTr="003D5CF0">
        <w:trPr>
          <w:cantSplit/>
        </w:trPr>
        <w:tc>
          <w:tcPr>
            <w:tcW w:w="7938" w:type="dxa"/>
            <w:tcBorders>
              <w:top w:val="nil"/>
              <w:left w:val="nil"/>
              <w:bottom w:val="nil"/>
              <w:right w:val="nil"/>
            </w:tcBorders>
            <w:shd w:val="clear" w:color="auto" w:fill="C6BFAB" w:themeFill="accent3"/>
          </w:tcPr>
          <w:p w14:paraId="22FDEF8B" w14:textId="43496C85" w:rsidR="00F13E41" w:rsidRPr="00E05C8C" w:rsidRDefault="00F13E41">
            <w:pPr>
              <w:pStyle w:val="Caption"/>
              <w:numPr>
                <w:ilvl w:val="0"/>
                <w:numId w:val="19"/>
              </w:numPr>
              <w:spacing w:before="120" w:after="100"/>
            </w:pPr>
            <w:r w:rsidRPr="00E05C8C">
              <w:fldChar w:fldCharType="begin"/>
            </w:r>
            <w:r w:rsidRPr="00E05C8C">
              <w:instrText xml:space="preserve"> IF 1 = 1 "</w:instrText>
            </w:r>
            <w:r w:rsidRPr="00E05C8C">
              <w:fldChar w:fldCharType="begin"/>
            </w:r>
            <w:r w:rsidRPr="00E05C8C">
              <w:instrText xml:space="preserve"> IF </w:instrText>
            </w:r>
            <w:fldSimple w:instr=" STYLEREF &quot;Heading 6&quot; \l \n ">
              <w:r w:rsidR="00E136D5">
                <w:rPr>
                  <w:noProof/>
                </w:rPr>
                <w:instrText>0</w:instrText>
              </w:r>
            </w:fldSimple>
            <w:r w:rsidRPr="00E05C8C">
              <w:instrText xml:space="preserve"> = 0 "</w:instrText>
            </w:r>
            <w:r w:rsidRPr="00E05C8C">
              <w:fldChar w:fldCharType="begin"/>
            </w:r>
            <w:r w:rsidRPr="00E05C8C">
              <w:instrText xml:space="preserve"> IF </w:instrText>
            </w:r>
            <w:fldSimple w:instr=" STYLEREF &quot;Heading 1&quot; \l \n ">
              <w:r w:rsidR="00E136D5">
                <w:rPr>
                  <w:noProof/>
                </w:rPr>
                <w:instrText>5</w:instrText>
              </w:r>
            </w:fldSimple>
            <w:r w:rsidRPr="00E05C8C">
              <w:instrText xml:space="preserve"> = 0 "" "</w:instrText>
            </w:r>
            <w:fldSimple w:instr=" STYLEREF &quot;Heading 1&quot; \l \n ">
              <w:r w:rsidR="00E136D5">
                <w:rPr>
                  <w:noProof/>
                </w:rPr>
                <w:instrText>5</w:instrText>
              </w:r>
            </w:fldSimple>
            <w:r w:rsidRPr="00E05C8C">
              <w:instrText xml:space="preserve">." </w:instrText>
            </w:r>
            <w:r w:rsidRPr="00E05C8C">
              <w:fldChar w:fldCharType="separate"/>
            </w:r>
            <w:r w:rsidR="00E136D5">
              <w:rPr>
                <w:noProof/>
              </w:rPr>
              <w:instrText>5</w:instrText>
            </w:r>
            <w:r w:rsidR="00E136D5" w:rsidRPr="00E05C8C">
              <w:rPr>
                <w:noProof/>
              </w:rPr>
              <w:instrText>.</w:instrText>
            </w:r>
            <w:r w:rsidRPr="00E05C8C">
              <w:fldChar w:fldCharType="end"/>
            </w:r>
            <w:r w:rsidRPr="00E05C8C">
              <w:instrText>" "</w:instrText>
            </w:r>
            <w:fldSimple w:instr=" STYLEREF &quot;Heading 6&quot; \l \n ">
              <w:r w:rsidRPr="00E05C8C">
                <w:instrText>B</w:instrText>
              </w:r>
            </w:fldSimple>
            <w:r w:rsidRPr="00E05C8C">
              <w:instrText xml:space="preserve">." </w:instrText>
            </w:r>
            <w:r w:rsidRPr="00E05C8C">
              <w:fldChar w:fldCharType="separate"/>
            </w:r>
            <w:r w:rsidR="008C60A3">
              <w:rPr>
                <w:noProof/>
              </w:rPr>
              <w:instrText>5</w:instrText>
            </w:r>
            <w:r w:rsidR="008C60A3" w:rsidRPr="00E05C8C">
              <w:rPr>
                <w:noProof/>
              </w:rPr>
              <w:instrText>.</w:instrText>
            </w:r>
            <w:r w:rsidRPr="00E05C8C">
              <w:fldChar w:fldCharType="end"/>
            </w:r>
            <w:r w:rsidRPr="00E05C8C">
              <w:fldChar w:fldCharType="begin"/>
            </w:r>
            <w:r w:rsidRPr="00E05C8C">
              <w:instrText xml:space="preserve"> SEQ Item \* ARABIC \s </w:instrText>
            </w:r>
            <w:r w:rsidRPr="00E05C8C">
              <w:fldChar w:fldCharType="begin"/>
            </w:r>
            <w:r w:rsidRPr="00E05C8C">
              <w:instrText xml:space="preserve"> IF </w:instrText>
            </w:r>
            <w:fldSimple w:instr=" STYLEREF &quot;Heading 6&quot; \l \n ">
              <w:r w:rsidR="00E136D5">
                <w:rPr>
                  <w:noProof/>
                </w:rPr>
                <w:instrText>0</w:instrText>
              </w:r>
            </w:fldSimple>
            <w:r w:rsidRPr="00E05C8C">
              <w:instrText xml:space="preserve"> = 0 "</w:instrText>
            </w:r>
            <w:r w:rsidRPr="00E05C8C">
              <w:fldChar w:fldCharType="begin"/>
            </w:r>
            <w:r w:rsidRPr="00E05C8C">
              <w:instrText xml:space="preserve"> IF </w:instrText>
            </w:r>
            <w:fldSimple w:instr=" STYLEREF &quot;Heading 1&quot; \l \n ">
              <w:r w:rsidR="00E136D5">
                <w:rPr>
                  <w:noProof/>
                </w:rPr>
                <w:instrText>5</w:instrText>
              </w:r>
            </w:fldSimple>
            <w:r w:rsidRPr="00E05C8C">
              <w:instrText xml:space="preserve"> = 0 "" "1" </w:instrText>
            </w:r>
            <w:r w:rsidRPr="00E05C8C">
              <w:fldChar w:fldCharType="separate"/>
            </w:r>
            <w:r w:rsidR="008C60A3" w:rsidRPr="00E05C8C">
              <w:rPr>
                <w:noProof/>
              </w:rPr>
              <w:instrText>1</w:instrText>
            </w:r>
            <w:r w:rsidRPr="00E05C8C">
              <w:fldChar w:fldCharType="end"/>
            </w:r>
            <w:r w:rsidRPr="00E05C8C">
              <w:instrText xml:space="preserve">" "6" </w:instrText>
            </w:r>
            <w:r w:rsidRPr="00E05C8C">
              <w:fldChar w:fldCharType="separate"/>
            </w:r>
            <w:r w:rsidR="008C60A3" w:rsidRPr="00E05C8C">
              <w:rPr>
                <w:noProof/>
              </w:rPr>
              <w:instrText>1</w:instrText>
            </w:r>
            <w:r w:rsidRPr="00E05C8C">
              <w:fldChar w:fldCharType="end"/>
            </w:r>
            <w:r w:rsidRPr="00E05C8C">
              <w:instrText xml:space="preserve"> </w:instrText>
            </w:r>
            <w:r w:rsidRPr="00E05C8C">
              <w:fldChar w:fldCharType="separate"/>
            </w:r>
            <w:r w:rsidR="00E136D5">
              <w:rPr>
                <w:noProof/>
              </w:rPr>
              <w:instrText>6</w:instrText>
            </w:r>
            <w:r w:rsidRPr="00E05C8C">
              <w:fldChar w:fldCharType="end"/>
            </w:r>
            <w:r w:rsidRPr="00E05C8C">
              <w:instrText xml:space="preserve">" "" </w:instrText>
            </w:r>
            <w:r w:rsidRPr="00E05C8C">
              <w:fldChar w:fldCharType="separate"/>
            </w:r>
            <w:bookmarkStart w:id="1156" w:name="_Caption7662"/>
            <w:bookmarkStart w:id="1157" w:name="_Caption1521"/>
            <w:bookmarkStart w:id="1158" w:name="_Caption4649"/>
            <w:bookmarkStart w:id="1159" w:name="_Caption0779"/>
            <w:bookmarkStart w:id="1160" w:name="_Caption1455"/>
            <w:bookmarkStart w:id="1161" w:name="_Caption6798"/>
            <w:bookmarkStart w:id="1162" w:name="_Caption7932"/>
            <w:bookmarkStart w:id="1163" w:name="_Caption2103"/>
            <w:bookmarkStart w:id="1164" w:name="_Caption3144"/>
            <w:bookmarkStart w:id="1165" w:name="_Caption5356"/>
            <w:bookmarkStart w:id="1166" w:name="_Caption7001"/>
            <w:bookmarkStart w:id="1167" w:name="_Caption5986"/>
            <w:bookmarkStart w:id="1168" w:name="_Caption6010"/>
            <w:bookmarkStart w:id="1169" w:name="_Caption7343"/>
            <w:bookmarkStart w:id="1170" w:name="_Caption5194"/>
            <w:bookmarkStart w:id="1171" w:name="_Caption7692"/>
            <w:bookmarkStart w:id="1172" w:name="_Caption4490"/>
            <w:bookmarkStart w:id="1173" w:name="_Caption8589"/>
            <w:bookmarkStart w:id="1174" w:name="_Caption7029"/>
            <w:bookmarkStart w:id="1175" w:name="_Caption9333"/>
            <w:bookmarkStart w:id="1176" w:name="_Caption6845"/>
            <w:bookmarkStart w:id="1177" w:name="_Caption7239"/>
            <w:bookmarkStart w:id="1178" w:name="_Caption1907"/>
            <w:bookmarkStart w:id="1179" w:name="_Caption6903"/>
            <w:bookmarkStart w:id="1180" w:name="_Caption6840"/>
            <w:bookmarkStart w:id="1181" w:name="_Caption1713"/>
            <w:bookmarkStart w:id="1182" w:name="_Caption8713"/>
            <w:bookmarkStart w:id="1183" w:name="_Caption9426"/>
            <w:bookmarkStart w:id="1184" w:name="_Caption8231"/>
            <w:bookmarkStart w:id="1185" w:name="_Caption9848"/>
            <w:bookmarkStart w:id="1186" w:name="_Caption6415"/>
            <w:bookmarkStart w:id="1187" w:name="_Caption3187"/>
            <w:bookmarkStart w:id="1188" w:name="_Caption6463"/>
            <w:bookmarkStart w:id="1189" w:name="_Caption2803"/>
            <w:bookmarkStart w:id="1190" w:name="_Caption2761"/>
            <w:bookmarkStart w:id="1191" w:name="_Caption5411"/>
            <w:bookmarkStart w:id="1192" w:name="_Caption6699"/>
            <w:bookmarkStart w:id="1193" w:name="_Caption5255"/>
            <w:bookmarkStart w:id="1194" w:name="_Caption7319"/>
            <w:bookmarkStart w:id="1195" w:name="_Caption8831"/>
            <w:bookmarkStart w:id="1196" w:name="_Caption6794"/>
            <w:bookmarkStart w:id="1197" w:name="_Caption5593"/>
            <w:bookmarkStart w:id="1198" w:name="_Caption6400"/>
            <w:bookmarkStart w:id="1199" w:name="_Caption1201"/>
            <w:bookmarkStart w:id="1200" w:name="_Caption7937"/>
            <w:bookmarkStart w:id="1201" w:name="_Caption8499"/>
            <w:bookmarkStart w:id="1202" w:name="_Caption6037"/>
            <w:bookmarkStart w:id="1203" w:name="_Caption3691"/>
            <w:bookmarkStart w:id="1204" w:name="_Caption9119"/>
            <w:bookmarkStart w:id="1205" w:name="_Caption9523"/>
            <w:bookmarkStart w:id="1206" w:name="_Caption6076"/>
            <w:bookmarkStart w:id="1207" w:name="_Caption1747"/>
            <w:bookmarkStart w:id="1208" w:name="_Caption5396"/>
            <w:bookmarkStart w:id="1209" w:name="_Caption7963"/>
            <w:bookmarkStart w:id="1210" w:name="_Caption4201"/>
            <w:bookmarkStart w:id="1211" w:name="_Caption1701"/>
            <w:bookmarkStart w:id="1212" w:name="_Caption5780"/>
            <w:bookmarkStart w:id="1213" w:name="_Caption8455"/>
            <w:bookmarkStart w:id="1214" w:name="_Caption7131"/>
            <w:bookmarkStart w:id="1215" w:name="_Caption8357"/>
            <w:bookmarkStart w:id="1216" w:name="_Caption1527"/>
            <w:bookmarkStart w:id="1217" w:name="_Caption9692"/>
            <w:bookmarkStart w:id="1218" w:name="_Caption2634"/>
            <w:bookmarkStart w:id="1219" w:name="_Caption1312"/>
            <w:bookmarkStart w:id="1220" w:name="_Toc178292580"/>
            <w:r w:rsidR="008C60A3">
              <w:rPr>
                <w:noProof/>
              </w:rPr>
              <w:t>5</w:t>
            </w:r>
            <w:r w:rsidR="008C60A3" w:rsidRPr="00E05C8C">
              <w:rPr>
                <w:noProof/>
              </w:rPr>
              <w:t>.</w:t>
            </w:r>
            <w:r w:rsidR="008C60A3">
              <w:rPr>
                <w:noProof/>
              </w:rPr>
              <w:t>6</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r w:rsidRPr="00E05C8C">
              <w:fldChar w:fldCharType="end"/>
            </w:r>
            <w:r w:rsidRPr="00E05C8C">
              <w:tab/>
            </w:r>
            <w:r w:rsidRPr="00E432D5">
              <w:t>Minimum operational demand challenges</w:t>
            </w:r>
            <w:r w:rsidRPr="00F13E41">
              <w:rPr>
                <w:rStyle w:val="FootnoteReference"/>
              </w:rPr>
              <w:footnoteReference w:id="112"/>
            </w:r>
            <w:bookmarkEnd w:id="1220"/>
          </w:p>
        </w:tc>
      </w:tr>
      <w:tr w:rsidR="00F13E41" w14:paraId="7B9D0283" w14:textId="77777777" w:rsidTr="003D5CF0">
        <w:tblPrEx>
          <w:tblBorders>
            <w:top w:val="none" w:sz="0" w:space="0" w:color="auto"/>
            <w:left w:val="none" w:sz="0" w:space="0" w:color="auto"/>
            <w:bottom w:val="none" w:sz="0" w:space="0" w:color="auto"/>
            <w:right w:val="none" w:sz="0" w:space="0" w:color="auto"/>
          </w:tblBorders>
          <w:shd w:val="clear" w:color="6F6652" w:fill="F1EFEA"/>
        </w:tblPrEx>
        <w:trPr>
          <w:cantSplit/>
        </w:trPr>
        <w:tc>
          <w:tcPr>
            <w:tcW w:w="7938" w:type="dxa"/>
            <w:shd w:val="clear" w:color="auto" w:fill="E9E8E5" w:themeFill="background2"/>
          </w:tcPr>
          <w:p w14:paraId="6204D437" w14:textId="77777777" w:rsidR="001F2683" w:rsidRPr="003C7B5B" w:rsidRDefault="001F2683" w:rsidP="001F2683">
            <w:pPr>
              <w:pStyle w:val="BodyText"/>
            </w:pPr>
            <w:r w:rsidRPr="003C7B5B">
              <w:t>High rooftop solar penetration can create challenges associated with minimum operational demand.</w:t>
            </w:r>
          </w:p>
          <w:p w14:paraId="6E4E3BA9" w14:textId="77777777" w:rsidR="001F2683" w:rsidRPr="003C7B5B" w:rsidRDefault="001F2683" w:rsidP="001F2683">
            <w:pPr>
              <w:pStyle w:val="ListBullet"/>
              <w:tabs>
                <w:tab w:val="clear" w:pos="284"/>
                <w:tab w:val="num" w:pos="282"/>
              </w:tabs>
              <w:ind w:left="282"/>
            </w:pPr>
            <w:r w:rsidRPr="003C7B5B">
              <w:t>Operational demand is the electricity demand of the power system, which needs to be met by grid</w:t>
            </w:r>
            <w:r w:rsidRPr="003C7B5B">
              <w:noBreakHyphen/>
              <w:t>scale generators (such as wind, solar, gas and coal).</w:t>
            </w:r>
          </w:p>
          <w:p w14:paraId="4A53C1FF" w14:textId="77777777" w:rsidR="001F2683" w:rsidRPr="003C7B5B" w:rsidRDefault="001F2683" w:rsidP="001F2683">
            <w:pPr>
              <w:pStyle w:val="ListBullet"/>
              <w:tabs>
                <w:tab w:val="clear" w:pos="284"/>
                <w:tab w:val="num" w:pos="282"/>
              </w:tabs>
              <w:ind w:left="282"/>
            </w:pPr>
            <w:r w:rsidRPr="003C7B5B">
              <w:t>In certain conditions — generally sunny (where rooftop solar generation is high) and mild (where consumption for heating and cooling is low) conditions — operational demand falls, which displaces gas and coal</w:t>
            </w:r>
            <w:r w:rsidRPr="003C7B5B">
              <w:noBreakHyphen/>
              <w:t>fired generators.</w:t>
            </w:r>
          </w:p>
          <w:p w14:paraId="3734B1FD" w14:textId="00A7BED8" w:rsidR="00F13E41" w:rsidRPr="00BF2F67" w:rsidRDefault="001F2683" w:rsidP="001F2683">
            <w:pPr>
              <w:pStyle w:val="BodyText"/>
            </w:pPr>
            <w:r w:rsidRPr="003C7B5B">
              <w:t>In addition to meeting electricity demand, these generators provide critical system security services. If AEMO is unable to source these critical system security services, it must intervene in the market to keep the grid in a secure operating state</w:t>
            </w:r>
            <w:r>
              <w:t>.</w:t>
            </w:r>
          </w:p>
        </w:tc>
      </w:tr>
      <w:tr w:rsidR="00F13E41" w14:paraId="43F454C5" w14:textId="77777777" w:rsidTr="003D5CF0">
        <w:tblPrEx>
          <w:tblBorders>
            <w:top w:val="none" w:sz="0" w:space="0" w:color="auto"/>
            <w:left w:val="none" w:sz="0" w:space="0" w:color="auto"/>
            <w:bottom w:val="none" w:sz="0" w:space="0" w:color="auto"/>
            <w:right w:val="none" w:sz="0" w:space="0" w:color="auto"/>
          </w:tblBorders>
          <w:shd w:val="clear" w:color="6F6652" w:fill="F1EFEA"/>
        </w:tblPrEx>
        <w:trPr>
          <w:cantSplit/>
          <w:trHeight w:hRule="exact" w:val="142"/>
        </w:trPr>
        <w:tc>
          <w:tcPr>
            <w:tcW w:w="7938" w:type="dxa"/>
            <w:tcBorders>
              <w:bottom w:val="single" w:sz="6" w:space="0" w:color="9B917E" w:themeColor="accent4"/>
            </w:tcBorders>
            <w:shd w:val="clear" w:color="auto" w:fill="E9E8E5" w:themeFill="background2"/>
          </w:tcPr>
          <w:p w14:paraId="517656FF" w14:textId="77777777" w:rsidR="00F13E41" w:rsidRDefault="00F13E41"/>
        </w:tc>
      </w:tr>
      <w:tr w:rsidR="00F13E41" w14:paraId="2CB6FB7B" w14:textId="77777777" w:rsidTr="003D5CF0">
        <w:tblPrEx>
          <w:tblBorders>
            <w:top w:val="none" w:sz="0" w:space="0" w:color="auto"/>
            <w:left w:val="none" w:sz="0" w:space="0" w:color="auto"/>
            <w:bottom w:val="none" w:sz="0" w:space="0" w:color="auto"/>
            <w:right w:val="none" w:sz="0" w:space="0" w:color="auto"/>
          </w:tblBorders>
          <w:shd w:val="clear" w:color="6F6652" w:fill="F1EFEA"/>
        </w:tblPrEx>
        <w:trPr>
          <w:cantSplit/>
          <w:trHeight w:hRule="exact" w:val="198"/>
        </w:trPr>
        <w:tc>
          <w:tcPr>
            <w:tcW w:w="7938" w:type="dxa"/>
            <w:tcBorders>
              <w:top w:val="single" w:sz="6" w:space="0" w:color="9B917E" w:themeColor="accent4"/>
            </w:tcBorders>
            <w:shd w:val="clear" w:color="6F6652" w:fill="auto"/>
          </w:tcPr>
          <w:p w14:paraId="0F64E522" w14:textId="77777777" w:rsidR="00F13E41" w:rsidRDefault="00F13E41"/>
        </w:tc>
      </w:tr>
    </w:tbl>
    <w:p w14:paraId="2911EB25" w14:textId="77777777" w:rsidR="001F2683" w:rsidRPr="003C7B5B" w:rsidRDefault="001F2683" w:rsidP="001F2683">
      <w:pPr>
        <w:pStyle w:val="BodyText"/>
      </w:pPr>
      <w:r w:rsidRPr="003C7B5B">
        <w:t>As part of the policy response to address this issue, the AEMC made a rule change in 2021 to allow DNSPs to charge a ‘two</w:t>
      </w:r>
      <w:r w:rsidRPr="003C7B5B">
        <w:noBreakHyphen/>
        <w:t>way tariff’, including a network usage charge applied to solar exports.</w:t>
      </w:r>
    </w:p>
    <w:p w14:paraId="2F76B05A" w14:textId="529AA48C" w:rsidR="001F2683" w:rsidRPr="007A716F" w:rsidRDefault="001F2683" w:rsidP="001F2683">
      <w:pPr>
        <w:pStyle w:val="ListBullet"/>
        <w:tabs>
          <w:tab w:val="num" w:pos="709"/>
        </w:tabs>
        <w:rPr>
          <w:szCs w:val="22"/>
        </w:rPr>
      </w:pPr>
      <w:r w:rsidRPr="007A716F">
        <w:t xml:space="preserve">To date, this rule change has been implemented in NSW (from 1 July 2024), but is expected to be implemented in </w:t>
      </w:r>
      <w:r w:rsidR="007A716F">
        <w:t xml:space="preserve">some </w:t>
      </w:r>
      <w:r w:rsidRPr="007A716F">
        <w:t>other states</w:t>
      </w:r>
      <w:r w:rsidRPr="007A716F">
        <w:rPr>
          <w:szCs w:val="22"/>
        </w:rPr>
        <w:t>.</w:t>
      </w:r>
    </w:p>
    <w:p w14:paraId="7758323A" w14:textId="77777777" w:rsidR="001F2683" w:rsidRPr="003C7B5B" w:rsidRDefault="001F2683" w:rsidP="001F2683">
      <w:pPr>
        <w:pStyle w:val="ListBullet"/>
        <w:tabs>
          <w:tab w:val="num" w:pos="709"/>
        </w:tabs>
      </w:pPr>
      <w:r w:rsidRPr="003C7B5B">
        <w:t>In NSW, Ausgrid introduced opt</w:t>
      </w:r>
      <w:r w:rsidRPr="003C7B5B">
        <w:noBreakHyphen/>
        <w:t>in two</w:t>
      </w:r>
      <w:r w:rsidRPr="003C7B5B">
        <w:noBreakHyphen/>
        <w:t>way tariff for new and existing residential and small business customers from July 2024. The two</w:t>
      </w:r>
      <w:r w:rsidRPr="003C7B5B">
        <w:noBreakHyphen/>
        <w:t>way tariff will apply to all of these customers from July 2025.</w:t>
      </w:r>
    </w:p>
    <w:p w14:paraId="0D8BCA7E" w14:textId="77777777" w:rsidR="001F2683" w:rsidRPr="003C7B5B" w:rsidRDefault="001F2683" w:rsidP="001F2683">
      <w:pPr>
        <w:pStyle w:val="ListBullet"/>
        <w:tabs>
          <w:tab w:val="num" w:pos="709"/>
        </w:tabs>
      </w:pPr>
      <w:r w:rsidRPr="003C7B5B">
        <w:t>The two</w:t>
      </w:r>
      <w:r w:rsidRPr="003C7B5B">
        <w:noBreakHyphen/>
        <w:t>way tariff applies as follows (although retailers can choose how they structure the two</w:t>
      </w:r>
      <w:r w:rsidRPr="003C7B5B">
        <w:noBreakHyphen/>
        <w:t>way tariff for customers):</w:t>
      </w:r>
      <w:r w:rsidRPr="003C7B5B">
        <w:rPr>
          <w:rStyle w:val="FootnoteReference"/>
        </w:rPr>
        <w:footnoteReference w:id="113"/>
      </w:r>
    </w:p>
    <w:p w14:paraId="46E3FB25" w14:textId="77777777" w:rsidR="001F2683" w:rsidRPr="003C7B5B" w:rsidRDefault="001F2683" w:rsidP="001F2683">
      <w:pPr>
        <w:pStyle w:val="ListBullet"/>
        <w:numPr>
          <w:ilvl w:val="1"/>
          <w:numId w:val="34"/>
        </w:numPr>
      </w:pPr>
      <w:r w:rsidRPr="003C7B5B">
        <w:t xml:space="preserve">customers are charged </w:t>
      </w:r>
      <w:r w:rsidRPr="00727A7B">
        <w:t>1.2 c/kWh</w:t>
      </w:r>
      <w:r w:rsidRPr="003C7B5B">
        <w:t xml:space="preserve"> for exports above a free threshold for solar exports during the peak export period (10am to 3pm)</w:t>
      </w:r>
    </w:p>
    <w:p w14:paraId="33269D33" w14:textId="77777777" w:rsidR="001F2683" w:rsidRPr="003C7B5B" w:rsidRDefault="001F2683" w:rsidP="001F2683">
      <w:pPr>
        <w:pStyle w:val="ListBullet"/>
        <w:numPr>
          <w:ilvl w:val="1"/>
          <w:numId w:val="34"/>
        </w:numPr>
      </w:pPr>
      <w:r w:rsidRPr="003C7B5B">
        <w:t xml:space="preserve">customers receive a payment or credit of </w:t>
      </w:r>
      <w:r w:rsidRPr="00727A7B">
        <w:t>2.3 c/kWh</w:t>
      </w:r>
      <w:r w:rsidRPr="003C7B5B">
        <w:t xml:space="preserve"> for the electricity exported during the peak demand period (4 pm to 9 pm).</w:t>
      </w:r>
    </w:p>
    <w:p w14:paraId="6B697070" w14:textId="77777777" w:rsidR="001F2683" w:rsidRPr="003C7B5B" w:rsidRDefault="001F2683" w:rsidP="001F2683">
      <w:pPr>
        <w:pStyle w:val="BodyText"/>
      </w:pPr>
      <w:r w:rsidRPr="003C7B5B">
        <w:t>Consistent with our general approach to estimating energy</w:t>
      </w:r>
      <w:r w:rsidRPr="003C7B5B">
        <w:noBreakHyphen/>
        <w:t>related costs and benefits based on market or regulated prices, we have included the network</w:t>
      </w:r>
      <w:r w:rsidRPr="003C7B5B">
        <w:noBreakHyphen/>
        <w:t>related costs associated with accommodating additional exports of rooftop solar in the CBA based on Ausgrid’s charges (although we do not include the impacts of the ‘free threshold’ in our calculations).</w:t>
      </w:r>
    </w:p>
    <w:p w14:paraId="470B5A65" w14:textId="77777777" w:rsidR="001F2683" w:rsidRDefault="001F2683" w:rsidP="001F2683">
      <w:pPr>
        <w:pStyle w:val="BodyText"/>
      </w:pPr>
      <w:r w:rsidRPr="003C7B5B">
        <w:t>Although Ausgrid’s two</w:t>
      </w:r>
      <w:r w:rsidRPr="003C7B5B">
        <w:noBreakHyphen/>
        <w:t>way pricing applies only in NSW, we apply the same approach across all jurisdictions on the basis that this is likely to be a reasonable estimate of network costs, regardless of whether two</w:t>
      </w:r>
      <w:r w:rsidRPr="003C7B5B">
        <w:noBreakHyphen/>
        <w:t>way pricing is actually implemented in other jurisdictions.</w:t>
      </w:r>
    </w:p>
    <w:p w14:paraId="1997A923" w14:textId="77777777" w:rsidR="001F2683" w:rsidRDefault="001F2683" w:rsidP="001F2683">
      <w:pPr>
        <w:pStyle w:val="Heading2"/>
      </w:pPr>
      <w:bookmarkStart w:id="1221" w:name="_Toc149060069"/>
      <w:bookmarkStart w:id="1222" w:name="_Toc177735101"/>
      <w:bookmarkStart w:id="1223" w:name="_Toc178292535"/>
      <w:r>
        <w:t>Impacts of least cost net zero carbon ready building provisions</w:t>
      </w:r>
      <w:bookmarkEnd w:id="1221"/>
      <w:bookmarkEnd w:id="1222"/>
      <w:bookmarkEnd w:id="1223"/>
    </w:p>
    <w:p w14:paraId="6A407263" w14:textId="77777777" w:rsidR="001F2683" w:rsidRPr="00844A6E" w:rsidRDefault="001F2683" w:rsidP="001F2683">
      <w:pPr>
        <w:pStyle w:val="BodyText"/>
        <w:rPr>
          <w:szCs w:val="22"/>
        </w:rPr>
      </w:pPr>
      <w:r w:rsidRPr="00844A6E">
        <w:rPr>
          <w:szCs w:val="22"/>
        </w:rPr>
        <w:t xml:space="preserve">In addition to the more stringent minimum energy efficiency standards and mandatory rooftop solar, Stringency </w:t>
      </w:r>
      <w:r w:rsidRPr="00844A6E">
        <w:rPr>
          <w:szCs w:val="22"/>
          <w:lang w:bidi="fa-IR"/>
        </w:rPr>
        <w:t xml:space="preserve">Level </w:t>
      </w:r>
      <w:r w:rsidRPr="00844A6E">
        <w:rPr>
          <w:szCs w:val="22"/>
        </w:rPr>
        <w:t xml:space="preserve">3 aims to achieve net zero buildings in a least cost way. </w:t>
      </w:r>
    </w:p>
    <w:p w14:paraId="45713587" w14:textId="77777777" w:rsidR="001F2683" w:rsidRPr="00844A6E" w:rsidRDefault="001F2683" w:rsidP="001F2683">
      <w:pPr>
        <w:pStyle w:val="BodyText"/>
        <w:rPr>
          <w:szCs w:val="22"/>
        </w:rPr>
      </w:pPr>
      <w:r w:rsidRPr="00844A6E">
        <w:rPr>
          <w:szCs w:val="22"/>
        </w:rPr>
        <w:t>As discussed above, Australia has committed to achieving net zero emissions by 2050. However, as most of the buildings constructed throughout the 2025</w:t>
      </w:r>
      <w:r w:rsidRPr="00844A6E">
        <w:rPr>
          <w:szCs w:val="22"/>
        </w:rPr>
        <w:noBreakHyphen/>
        <w:t>2034 regulatory period will still be operating in 2050, ongoing use of gas is inconsistent with the net zero target.</w:t>
      </w:r>
    </w:p>
    <w:p w14:paraId="231F55A9" w14:textId="77777777" w:rsidR="001F2683" w:rsidRPr="00844A6E" w:rsidRDefault="001F2683" w:rsidP="001F2683">
      <w:pPr>
        <w:pStyle w:val="BodyText"/>
        <w:rPr>
          <w:szCs w:val="22"/>
        </w:rPr>
      </w:pPr>
      <w:r w:rsidRPr="00844A6E">
        <w:rPr>
          <w:szCs w:val="22"/>
        </w:rPr>
        <w:t>Buildings that typically use both electricity and gas will have a choice to either:</w:t>
      </w:r>
    </w:p>
    <w:p w14:paraId="0425F12A" w14:textId="6B183069" w:rsidR="001F2683" w:rsidRPr="0099355E" w:rsidRDefault="005434AA" w:rsidP="001F2683">
      <w:pPr>
        <w:pStyle w:val="ListBullet"/>
        <w:tabs>
          <w:tab w:val="num" w:pos="709"/>
        </w:tabs>
      </w:pPr>
      <w:r>
        <w:t>m</w:t>
      </w:r>
      <w:r w:rsidR="001F2683" w:rsidRPr="0099355E">
        <w:t>ove to a fully electric building voluntarily at the time of construction (i.e. ‘electrify</w:t>
      </w:r>
      <w:r w:rsidR="001F2683" w:rsidRPr="00910439">
        <w:t xml:space="preserve"> </w:t>
      </w:r>
      <w:r w:rsidR="001F2683" w:rsidRPr="0099355E">
        <w:t>now’), or</w:t>
      </w:r>
    </w:p>
    <w:p w14:paraId="3EA197A6" w14:textId="1A061B31" w:rsidR="001F2683" w:rsidRPr="0099355E" w:rsidRDefault="005434AA" w:rsidP="001F2683">
      <w:pPr>
        <w:pStyle w:val="ListBullet"/>
        <w:tabs>
          <w:tab w:val="num" w:pos="709"/>
        </w:tabs>
      </w:pPr>
      <w:r>
        <w:t>c</w:t>
      </w:r>
      <w:r w:rsidR="001F2683" w:rsidRPr="0099355E">
        <w:t>hoose to use both electricity and gas (at least in the short term) apply a ‘dual fuel offset’ where additional solar can be added to effectively offset the use of gas in the period where there are still significant GHG emissions associated with electricity generation. This option also contains provisions to be ‘ready’ for future conversion to fully electric buildings in the future (i.e. reduce the cost of future electrification).</w:t>
      </w:r>
    </w:p>
    <w:p w14:paraId="58438868" w14:textId="77777777" w:rsidR="001F2683" w:rsidRDefault="001F2683" w:rsidP="001F2683">
      <w:pPr>
        <w:pStyle w:val="Heading3"/>
      </w:pPr>
      <w:r>
        <w:t>Future electrification scenario</w:t>
      </w:r>
    </w:p>
    <w:p w14:paraId="31D4D41A" w14:textId="77777777" w:rsidR="001F2683" w:rsidRPr="00844A6E" w:rsidRDefault="001F2683" w:rsidP="001F2683">
      <w:pPr>
        <w:pStyle w:val="BodyText"/>
        <w:rPr>
          <w:szCs w:val="22"/>
        </w:rPr>
      </w:pPr>
      <w:r w:rsidRPr="00844A6E">
        <w:rPr>
          <w:szCs w:val="22"/>
        </w:rPr>
        <w:t>The dual fuel offset is premised on dual fuel buildings converting to fully electric at some point in the future.</w:t>
      </w:r>
    </w:p>
    <w:p w14:paraId="4CD9A683" w14:textId="77777777" w:rsidR="001F2683" w:rsidRPr="00844A6E" w:rsidRDefault="001F2683" w:rsidP="001F2683">
      <w:pPr>
        <w:pStyle w:val="BodyText"/>
        <w:rPr>
          <w:szCs w:val="22"/>
        </w:rPr>
      </w:pPr>
      <w:r w:rsidRPr="00844A6E">
        <w:rPr>
          <w:szCs w:val="22"/>
        </w:rPr>
        <w:t>However, the timing and mechanism through which dual fuel buildings will convert to fully electric is currently unknown. Furthermore, the NCC has no control over existing buildings, so policies to encourage future conversion must be treated as external to the decision at hand (i.e. what changes should be made to the NCC).</w:t>
      </w:r>
    </w:p>
    <w:p w14:paraId="54D5CADA" w14:textId="77777777" w:rsidR="001F2683" w:rsidRPr="00844A6E" w:rsidRDefault="001F2683" w:rsidP="001F2683">
      <w:pPr>
        <w:pStyle w:val="BodyText"/>
        <w:rPr>
          <w:szCs w:val="22"/>
        </w:rPr>
      </w:pPr>
      <w:r w:rsidRPr="00844A6E">
        <w:rPr>
          <w:szCs w:val="22"/>
        </w:rPr>
        <w:t>Some states and territories are moving towards phasing out gas.</w:t>
      </w:r>
    </w:p>
    <w:p w14:paraId="28D3F02D" w14:textId="15622AE9" w:rsidR="001F2683" w:rsidRPr="00102FDE" w:rsidRDefault="001F2683" w:rsidP="001F2683">
      <w:pPr>
        <w:pStyle w:val="ListBullet"/>
        <w:tabs>
          <w:tab w:val="num" w:pos="709"/>
        </w:tabs>
      </w:pPr>
      <w:r w:rsidRPr="00102FDE">
        <w:t>The ACT will transition away from fossil fuel gas to renewable electricity by 2045.</w:t>
      </w:r>
      <w:r w:rsidRPr="00BD153F">
        <w:rPr>
          <w:rStyle w:val="FootnoteReference"/>
        </w:rPr>
        <w:footnoteReference w:id="114"/>
      </w:r>
      <w:r w:rsidRPr="00BD153F">
        <w:rPr>
          <w:rStyle w:val="FootnoteReference"/>
        </w:rPr>
        <w:t xml:space="preserve"> </w:t>
      </w:r>
      <w:r w:rsidRPr="00102FDE">
        <w:t>The Issues Paper had proposed an initial regulation prohibiting all new fossil gas mains connections in residential and commercial areas across the Territory.</w:t>
      </w:r>
      <w:r>
        <w:rPr>
          <w:rStyle w:val="FootnoteReference"/>
        </w:rPr>
        <w:footnoteReference w:id="115"/>
      </w:r>
    </w:p>
    <w:p w14:paraId="65B1C629" w14:textId="77777777" w:rsidR="001F2683" w:rsidRPr="00102FDE" w:rsidRDefault="001F2683" w:rsidP="001F2683">
      <w:pPr>
        <w:pStyle w:val="ListBullet"/>
        <w:tabs>
          <w:tab w:val="num" w:pos="709"/>
        </w:tabs>
      </w:pPr>
      <w:r w:rsidRPr="00102FDE">
        <w:t>A Victorian parliamentary committee has recommended the Victorian government consider a ban on gas connections in new homes to help accelerate the state’s transition to renewables.</w:t>
      </w:r>
      <w:r>
        <w:rPr>
          <w:rStyle w:val="FootnoteReference"/>
        </w:rPr>
        <w:footnoteReference w:id="116"/>
      </w:r>
      <w:r w:rsidRPr="00102FDE">
        <w:t xml:space="preserve"> The government has released Victoria’s Gas Substitution Roadmap which indicates that new residential homes should be all-electric from 1 January 2024. The government is continuing to engage and collaborate with the community and industry during the gas sector’s transition to net zero emissions.</w:t>
      </w:r>
      <w:r>
        <w:rPr>
          <w:rStyle w:val="FootnoteReference"/>
        </w:rPr>
        <w:footnoteReference w:id="117"/>
      </w:r>
      <w:r w:rsidRPr="00102FDE">
        <w:t xml:space="preserve"> That means that there is a possibility that some new commercial buildings built from 2025 to 2035 (the proposed period for evaluating the new buildings subject to changes made in NCC 2025) may have already been electrified, meaning there will be no need for the consideration for electrification allowances for the commercial buildings with full electrification. However, this is not clear at the moment. The recently published Roadmap update report simply reiterates ‘investigating options to progressively electrify all new and existing residential and most commercial buildings’.</w:t>
      </w:r>
      <w:r>
        <w:rPr>
          <w:rStyle w:val="FootnoteReference"/>
        </w:rPr>
        <w:footnoteReference w:id="118"/>
      </w:r>
    </w:p>
    <w:p w14:paraId="700C0E99" w14:textId="77777777" w:rsidR="001F2683" w:rsidRPr="00844A6E" w:rsidRDefault="001F2683" w:rsidP="001F2683">
      <w:pPr>
        <w:pStyle w:val="BodyText"/>
        <w:rPr>
          <w:szCs w:val="22"/>
        </w:rPr>
      </w:pPr>
      <w:r w:rsidRPr="00844A6E">
        <w:rPr>
          <w:szCs w:val="22"/>
        </w:rPr>
        <w:t>There has been no indication from the other states and territories that they intend to move in this direction, although this could change over time as ongoing use of gas is inconsistent with net zero emissions commitments.</w:t>
      </w:r>
    </w:p>
    <w:p w14:paraId="1998FF84" w14:textId="77777777" w:rsidR="001F2683" w:rsidRPr="00844A6E" w:rsidRDefault="001F2683" w:rsidP="001F2683">
      <w:pPr>
        <w:pStyle w:val="BodyText"/>
        <w:rPr>
          <w:szCs w:val="22"/>
        </w:rPr>
      </w:pPr>
      <w:r w:rsidRPr="00844A6E">
        <w:rPr>
          <w:szCs w:val="22"/>
        </w:rPr>
        <w:t>Stakeholders have also observed that electrification initiatives are possibly underway at the council level in other states. For example, CitySwitch, in partnership with cities of Sydney, Melbourne, Adelaide, Ballarat, Yarra, North Sydney Council, Waverley Council and NABERS, is helping office-based businesses reduce their carbon emissions including switching to 100 per cent renewables.</w:t>
      </w:r>
      <w:r w:rsidRPr="00BF553B">
        <w:rPr>
          <w:rStyle w:val="FootnoteReference"/>
        </w:rPr>
        <w:footnoteReference w:id="119"/>
      </w:r>
      <w:r w:rsidRPr="00BF553B">
        <w:rPr>
          <w:rStyle w:val="FootnoteReference"/>
        </w:rPr>
        <w:t xml:space="preserve"> </w:t>
      </w:r>
      <w:r w:rsidRPr="00844A6E">
        <w:rPr>
          <w:szCs w:val="22"/>
        </w:rPr>
        <w:t>Further data is required to construct a</w:t>
      </w:r>
      <w:r w:rsidRPr="0018551B">
        <w:t xml:space="preserve"> </w:t>
      </w:r>
      <w:r w:rsidRPr="00844A6E">
        <w:rPr>
          <w:szCs w:val="22"/>
        </w:rPr>
        <w:t>base case of electrification for these regions. However, it has been suggested that any electrification efforts are likely to be on a small scale.</w:t>
      </w:r>
    </w:p>
    <w:p w14:paraId="1D8F2F37" w14:textId="3A237C45" w:rsidR="001F2683" w:rsidRPr="00844A6E" w:rsidRDefault="001F2683" w:rsidP="001F2683">
      <w:pPr>
        <w:pStyle w:val="BodyText"/>
        <w:rPr>
          <w:szCs w:val="22"/>
        </w:rPr>
      </w:pPr>
      <w:r w:rsidRPr="00844A6E">
        <w:rPr>
          <w:szCs w:val="22"/>
        </w:rPr>
        <w:t xml:space="preserve">Although CBA should take into account any foreseeable future policy changes, most states have not given any </w:t>
      </w:r>
      <w:r w:rsidR="00553A0C">
        <w:rPr>
          <w:szCs w:val="22"/>
        </w:rPr>
        <w:t xml:space="preserve">public </w:t>
      </w:r>
      <w:r w:rsidRPr="00844A6E">
        <w:rPr>
          <w:szCs w:val="22"/>
        </w:rPr>
        <w:t>indication that they are moving in this direction (except ACT and Victoria), even though ongoing gas use is inconsistent with net zero targets. Our central case scenario therefore assumes ongoing use of gas in dual fuel buildings over the life of the building.</w:t>
      </w:r>
    </w:p>
    <w:p w14:paraId="191316AB" w14:textId="77777777" w:rsidR="001F2683" w:rsidRPr="00844A6E" w:rsidRDefault="001F2683" w:rsidP="001F2683">
      <w:pPr>
        <w:pStyle w:val="BodyText"/>
        <w:rPr>
          <w:szCs w:val="22"/>
        </w:rPr>
      </w:pPr>
      <w:r w:rsidRPr="00844A6E">
        <w:rPr>
          <w:szCs w:val="22"/>
        </w:rPr>
        <w:t>That said, it is also plausible that dual fuel buildings will be required to convert to fully electric in the future consistent with the overarching premise of Stringency Level 3 requirements. To obtain a more complete understanding of the potential impacts of Stringency Level 3, we also consider a scenario where dual fuel buildings are required to electrify in the future.</w:t>
      </w:r>
    </w:p>
    <w:p w14:paraId="0C594EC1" w14:textId="77777777" w:rsidR="001F2683" w:rsidRPr="00844A6E" w:rsidRDefault="001F2683" w:rsidP="001F2683">
      <w:pPr>
        <w:pStyle w:val="BodyText"/>
        <w:rPr>
          <w:szCs w:val="22"/>
        </w:rPr>
      </w:pPr>
      <w:r w:rsidRPr="00844A6E">
        <w:rPr>
          <w:szCs w:val="22"/>
        </w:rPr>
        <w:t>Under this scenario, the timing of future conversion is unclear; we assume that conversion occurs when the gas boiler needs replacing. For consistency with the assumptions in relation to the life of equipment, we assume this would occur after 20 years.</w:t>
      </w:r>
    </w:p>
    <w:p w14:paraId="592EF12B" w14:textId="77777777" w:rsidR="001F2683" w:rsidRDefault="001F2683" w:rsidP="001F2683">
      <w:pPr>
        <w:pStyle w:val="Heading3"/>
      </w:pPr>
      <w:r>
        <w:t>Impacts</w:t>
      </w:r>
    </w:p>
    <w:p w14:paraId="78E6DB28" w14:textId="77777777" w:rsidR="001F2683" w:rsidRPr="00844A6E" w:rsidRDefault="001F2683" w:rsidP="001F2683">
      <w:pPr>
        <w:pStyle w:val="BodyText"/>
        <w:rPr>
          <w:szCs w:val="22"/>
        </w:rPr>
      </w:pPr>
      <w:r w:rsidRPr="00844A6E">
        <w:rPr>
          <w:szCs w:val="22"/>
        </w:rPr>
        <w:t>The impacts of the net zero provisions will depend on factors such as:</w:t>
      </w:r>
    </w:p>
    <w:p w14:paraId="4B7273E2" w14:textId="77777777" w:rsidR="001F2683" w:rsidRPr="00835D6D" w:rsidRDefault="001F2683" w:rsidP="001F2683">
      <w:pPr>
        <w:pStyle w:val="ListBullet"/>
        <w:tabs>
          <w:tab w:val="num" w:pos="709"/>
        </w:tabs>
      </w:pPr>
      <w:r w:rsidRPr="00835D6D">
        <w:t>the choice of compliance approach (i.e. the dual fuel offset or the electrify now option);</w:t>
      </w:r>
    </w:p>
    <w:p w14:paraId="00D483BD" w14:textId="77777777" w:rsidR="001F2683" w:rsidRPr="00835D6D" w:rsidRDefault="001F2683" w:rsidP="001F2683">
      <w:pPr>
        <w:pStyle w:val="ListBullet"/>
        <w:tabs>
          <w:tab w:val="num" w:pos="709"/>
        </w:tabs>
      </w:pPr>
      <w:r w:rsidRPr="00835D6D">
        <w:t>the future electrification scenario (see discussion above).</w:t>
      </w:r>
    </w:p>
    <w:p w14:paraId="73CEACF1" w14:textId="77777777" w:rsidR="001F2683" w:rsidRPr="00844A6E" w:rsidRDefault="001F2683" w:rsidP="001F2683">
      <w:pPr>
        <w:pStyle w:val="BodyText"/>
        <w:rPr>
          <w:szCs w:val="22"/>
        </w:rPr>
      </w:pPr>
      <w:r w:rsidRPr="00844A6E">
        <w:rPr>
          <w:szCs w:val="22"/>
        </w:rPr>
        <w:t>The impacts could include the following:</w:t>
      </w:r>
    </w:p>
    <w:p w14:paraId="5ACD9E19" w14:textId="77777777" w:rsidR="001F2683" w:rsidRPr="00835D6D" w:rsidRDefault="001F2683" w:rsidP="001F2683">
      <w:pPr>
        <w:pStyle w:val="ListBullet"/>
        <w:tabs>
          <w:tab w:val="num" w:pos="709"/>
        </w:tabs>
      </w:pPr>
      <w:r w:rsidRPr="00835D6D">
        <w:t>the cost of complying with the net zero provisions, which could include:</w:t>
      </w:r>
    </w:p>
    <w:p w14:paraId="1D3716E7" w14:textId="77777777" w:rsidR="001F2683" w:rsidRPr="00844A6E" w:rsidRDefault="001F2683" w:rsidP="001F2683">
      <w:pPr>
        <w:pStyle w:val="ListBullet"/>
        <w:numPr>
          <w:ilvl w:val="1"/>
          <w:numId w:val="34"/>
        </w:numPr>
        <w:rPr>
          <w:szCs w:val="22"/>
        </w:rPr>
      </w:pPr>
      <w:r w:rsidRPr="00844A6E">
        <w:rPr>
          <w:szCs w:val="22"/>
        </w:rPr>
        <w:t>for the dual fuel offset options, the costs include:</w:t>
      </w:r>
    </w:p>
    <w:p w14:paraId="65764C05" w14:textId="77777777" w:rsidR="001F2683" w:rsidRPr="00844A6E" w:rsidRDefault="001F2683" w:rsidP="001F2683">
      <w:pPr>
        <w:pStyle w:val="ListBullet"/>
        <w:numPr>
          <w:ilvl w:val="2"/>
          <w:numId w:val="34"/>
        </w:numPr>
        <w:rPr>
          <w:szCs w:val="22"/>
        </w:rPr>
      </w:pPr>
      <w:r w:rsidRPr="00844A6E">
        <w:rPr>
          <w:szCs w:val="22"/>
        </w:rPr>
        <w:t>the cost of the additional solar (mostly ground</w:t>
      </w:r>
      <w:r w:rsidRPr="00844A6E">
        <w:rPr>
          <w:szCs w:val="22"/>
        </w:rPr>
        <w:noBreakHyphen/>
        <w:t>mounted solar);</w:t>
      </w:r>
    </w:p>
    <w:p w14:paraId="064F4D30" w14:textId="77777777" w:rsidR="001F2683" w:rsidRPr="00844A6E" w:rsidRDefault="001F2683" w:rsidP="001F2683">
      <w:pPr>
        <w:pStyle w:val="ListBullet"/>
        <w:numPr>
          <w:ilvl w:val="2"/>
          <w:numId w:val="34"/>
        </w:numPr>
        <w:rPr>
          <w:szCs w:val="22"/>
        </w:rPr>
      </w:pPr>
      <w:r w:rsidRPr="00844A6E">
        <w:rPr>
          <w:szCs w:val="22"/>
        </w:rPr>
        <w:t>the cost of the ‘electrification readiness’ measures;</w:t>
      </w:r>
    </w:p>
    <w:p w14:paraId="2B50D719" w14:textId="77777777" w:rsidR="001F2683" w:rsidRPr="00844A6E" w:rsidRDefault="001F2683" w:rsidP="001F2683">
      <w:pPr>
        <w:pStyle w:val="ListBullet"/>
        <w:numPr>
          <w:ilvl w:val="2"/>
          <w:numId w:val="34"/>
        </w:numPr>
        <w:rPr>
          <w:szCs w:val="22"/>
        </w:rPr>
      </w:pPr>
      <w:r w:rsidRPr="00844A6E">
        <w:rPr>
          <w:szCs w:val="22"/>
        </w:rPr>
        <w:t>any loss of aesthetic/amenity value from ground</w:t>
      </w:r>
      <w:r w:rsidRPr="00844A6E">
        <w:rPr>
          <w:szCs w:val="22"/>
        </w:rPr>
        <w:noBreakHyphen/>
        <w:t>mounted solar panels.</w:t>
      </w:r>
    </w:p>
    <w:p w14:paraId="57589772" w14:textId="77777777" w:rsidR="001F2683" w:rsidRPr="00844A6E" w:rsidRDefault="001F2683" w:rsidP="001F2683">
      <w:pPr>
        <w:pStyle w:val="ListBullet"/>
        <w:numPr>
          <w:ilvl w:val="1"/>
          <w:numId w:val="34"/>
        </w:numPr>
        <w:rPr>
          <w:szCs w:val="22"/>
        </w:rPr>
      </w:pPr>
      <w:r w:rsidRPr="00844A6E">
        <w:rPr>
          <w:szCs w:val="22"/>
        </w:rPr>
        <w:t>for the ‘electrify now’ option, the compliance costs would include the additional cost of fully</w:t>
      </w:r>
      <w:r w:rsidRPr="00844A6E">
        <w:rPr>
          <w:szCs w:val="22"/>
        </w:rPr>
        <w:noBreakHyphen/>
        <w:t>electric HVAC equipment.</w:t>
      </w:r>
    </w:p>
    <w:p w14:paraId="7CB6E78C" w14:textId="0BE322A6" w:rsidR="001F2683" w:rsidRPr="00D003B5" w:rsidRDefault="004E4EC6" w:rsidP="001F2683">
      <w:pPr>
        <w:pStyle w:val="ListBullet"/>
        <w:rPr>
          <w:szCs w:val="22"/>
        </w:rPr>
      </w:pPr>
      <w:r>
        <w:rPr>
          <w:szCs w:val="22"/>
        </w:rPr>
        <w:t>u</w:t>
      </w:r>
      <w:r w:rsidR="001F2683" w:rsidRPr="00D003B5">
        <w:rPr>
          <w:szCs w:val="22"/>
        </w:rPr>
        <w:t>nder a future electrification scenario:</w:t>
      </w:r>
    </w:p>
    <w:p w14:paraId="0FDDDEB9" w14:textId="23B4F0C8" w:rsidR="001F2683" w:rsidRPr="00844A6E" w:rsidRDefault="008B1F80" w:rsidP="001F2683">
      <w:pPr>
        <w:pStyle w:val="ListBullet"/>
        <w:numPr>
          <w:ilvl w:val="1"/>
          <w:numId w:val="34"/>
        </w:numPr>
        <w:rPr>
          <w:szCs w:val="22"/>
        </w:rPr>
      </w:pPr>
      <w:r>
        <w:rPr>
          <w:szCs w:val="22"/>
        </w:rPr>
        <w:t>t</w:t>
      </w:r>
      <w:r w:rsidR="001F2683" w:rsidRPr="00844A6E">
        <w:rPr>
          <w:szCs w:val="22"/>
        </w:rPr>
        <w:t>he cost of converting to fully electric would be lower (relative to the base case) under the dual fuel offset option;</w:t>
      </w:r>
    </w:p>
    <w:p w14:paraId="4DB6123C" w14:textId="6F85DE27" w:rsidR="001F2683" w:rsidRPr="00844A6E" w:rsidRDefault="008B1F80" w:rsidP="001F2683">
      <w:pPr>
        <w:pStyle w:val="ListBullet"/>
        <w:numPr>
          <w:ilvl w:val="1"/>
          <w:numId w:val="34"/>
        </w:numPr>
        <w:rPr>
          <w:szCs w:val="22"/>
        </w:rPr>
      </w:pPr>
      <w:r>
        <w:rPr>
          <w:szCs w:val="22"/>
        </w:rPr>
        <w:t>u</w:t>
      </w:r>
      <w:r w:rsidR="001F2683" w:rsidRPr="00844A6E">
        <w:rPr>
          <w:szCs w:val="22"/>
        </w:rPr>
        <w:t>nder the ‘electrify now’ option, there would be no need for future conversion.</w:t>
      </w:r>
    </w:p>
    <w:p w14:paraId="5CE65605" w14:textId="7DA87287" w:rsidR="001F2683" w:rsidRPr="00855BF2" w:rsidRDefault="008B1F80" w:rsidP="001F2683">
      <w:pPr>
        <w:pStyle w:val="ListBullet"/>
        <w:tabs>
          <w:tab w:val="num" w:pos="709"/>
        </w:tabs>
      </w:pPr>
      <w:r>
        <w:t>t</w:t>
      </w:r>
      <w:r w:rsidR="001F2683" w:rsidRPr="00855BF2">
        <w:t>he energy</w:t>
      </w:r>
      <w:r w:rsidR="001F2683" w:rsidRPr="00855BF2">
        <w:noBreakHyphen/>
        <w:t>related impacts would be as follows:</w:t>
      </w:r>
    </w:p>
    <w:p w14:paraId="0B7EEFF0" w14:textId="423EA8B1" w:rsidR="001F2683" w:rsidRPr="00844A6E" w:rsidRDefault="008B1F80" w:rsidP="001F2683">
      <w:pPr>
        <w:pStyle w:val="ListBullet"/>
        <w:numPr>
          <w:ilvl w:val="1"/>
          <w:numId w:val="34"/>
        </w:numPr>
        <w:rPr>
          <w:szCs w:val="22"/>
        </w:rPr>
      </w:pPr>
      <w:r>
        <w:rPr>
          <w:szCs w:val="22"/>
        </w:rPr>
        <w:t>u</w:t>
      </w:r>
      <w:r w:rsidR="001F2683" w:rsidRPr="00844A6E">
        <w:rPr>
          <w:szCs w:val="22"/>
        </w:rPr>
        <w:t>nder the ‘dual fuel offset’ option:</w:t>
      </w:r>
    </w:p>
    <w:p w14:paraId="1FC76FCE" w14:textId="77777777" w:rsidR="001F2683" w:rsidRPr="00844A6E" w:rsidRDefault="001F2683" w:rsidP="001F2683">
      <w:pPr>
        <w:pStyle w:val="ListBullet"/>
        <w:numPr>
          <w:ilvl w:val="2"/>
          <w:numId w:val="34"/>
        </w:numPr>
        <w:rPr>
          <w:szCs w:val="22"/>
        </w:rPr>
      </w:pPr>
      <w:r w:rsidRPr="00844A6E">
        <w:rPr>
          <w:szCs w:val="22"/>
        </w:rPr>
        <w:t>there would be more electricity generated on</w:t>
      </w:r>
      <w:r w:rsidRPr="00844A6E">
        <w:rPr>
          <w:szCs w:val="22"/>
        </w:rPr>
        <w:noBreakHyphen/>
        <w:t>site from the additional PV resulting in less energy consumer from the grid and more energy exported to the grid;</w:t>
      </w:r>
    </w:p>
    <w:p w14:paraId="4118EC5B" w14:textId="77777777" w:rsidR="001F2683" w:rsidRPr="00844A6E" w:rsidRDefault="001F2683" w:rsidP="001F2683">
      <w:pPr>
        <w:pStyle w:val="ListBullet"/>
        <w:numPr>
          <w:ilvl w:val="2"/>
          <w:numId w:val="34"/>
        </w:numPr>
        <w:rPr>
          <w:szCs w:val="22"/>
        </w:rPr>
      </w:pPr>
      <w:r w:rsidRPr="00844A6E">
        <w:rPr>
          <w:szCs w:val="22"/>
        </w:rPr>
        <w:t>the benefits would continue over the life of the building regardless of the future electrification scenario.</w:t>
      </w:r>
    </w:p>
    <w:p w14:paraId="74303393" w14:textId="02F13CED" w:rsidR="001F2683" w:rsidRPr="00844A6E" w:rsidRDefault="008B1F80" w:rsidP="001F2683">
      <w:pPr>
        <w:pStyle w:val="ListBullet"/>
        <w:numPr>
          <w:ilvl w:val="1"/>
          <w:numId w:val="34"/>
        </w:numPr>
        <w:rPr>
          <w:szCs w:val="22"/>
        </w:rPr>
      </w:pPr>
      <w:r>
        <w:rPr>
          <w:szCs w:val="22"/>
        </w:rPr>
        <w:t>u</w:t>
      </w:r>
      <w:r w:rsidR="001F2683" w:rsidRPr="00844A6E">
        <w:rPr>
          <w:szCs w:val="22"/>
        </w:rPr>
        <w:t>nder the ‘electrify now’ option, there would be:</w:t>
      </w:r>
    </w:p>
    <w:p w14:paraId="78378A68" w14:textId="77777777" w:rsidR="001F2683" w:rsidRPr="00844A6E" w:rsidRDefault="001F2683" w:rsidP="001F2683">
      <w:pPr>
        <w:pStyle w:val="ListBullet"/>
        <w:numPr>
          <w:ilvl w:val="2"/>
          <w:numId w:val="34"/>
        </w:numPr>
        <w:rPr>
          <w:szCs w:val="22"/>
        </w:rPr>
      </w:pPr>
      <w:r w:rsidRPr="00844A6E">
        <w:rPr>
          <w:szCs w:val="22"/>
        </w:rPr>
        <w:t>no gas consumption;</w:t>
      </w:r>
    </w:p>
    <w:p w14:paraId="05C5A94D" w14:textId="77777777" w:rsidR="001F2683" w:rsidRPr="00844A6E" w:rsidRDefault="001F2683" w:rsidP="001F2683">
      <w:pPr>
        <w:pStyle w:val="ListBullet"/>
        <w:numPr>
          <w:ilvl w:val="2"/>
          <w:numId w:val="34"/>
        </w:numPr>
        <w:rPr>
          <w:szCs w:val="22"/>
        </w:rPr>
      </w:pPr>
      <w:r w:rsidRPr="00844A6E">
        <w:rPr>
          <w:szCs w:val="22"/>
        </w:rPr>
        <w:t>this would be offset by higher electricity consumption.</w:t>
      </w:r>
    </w:p>
    <w:p w14:paraId="0AFCA9A5" w14:textId="59295080" w:rsidR="001F2683" w:rsidRPr="00844A6E" w:rsidRDefault="001F2683" w:rsidP="001F2683">
      <w:pPr>
        <w:pStyle w:val="BodyText"/>
        <w:rPr>
          <w:szCs w:val="22"/>
        </w:rPr>
      </w:pPr>
      <w:r w:rsidRPr="00844A6E">
        <w:rPr>
          <w:szCs w:val="22"/>
        </w:rPr>
        <w:t>It is also important that the future electrification assumption is applied consistently across the various stringencies (including the base case) so that the options are comparable under each scenario (see table </w:t>
      </w:r>
      <w:r>
        <w:rPr>
          <w:szCs w:val="22"/>
        </w:rPr>
        <w:fldChar w:fldCharType="begin"/>
      </w:r>
      <w:r>
        <w:rPr>
          <w:szCs w:val="22"/>
        </w:rPr>
        <w:instrText xml:space="preserve"> REF _Caption1664 </w:instrText>
      </w:r>
      <w:r>
        <w:rPr>
          <w:szCs w:val="22"/>
        </w:rPr>
        <w:fldChar w:fldCharType="separate"/>
      </w:r>
      <w:r w:rsidR="006E00A7">
        <w:rPr>
          <w:noProof/>
        </w:rPr>
        <w:t>5</w:t>
      </w:r>
      <w:r w:rsidR="006E00A7" w:rsidRPr="00695C93">
        <w:rPr>
          <w:noProof/>
        </w:rPr>
        <w:t>.</w:t>
      </w:r>
      <w:r w:rsidR="006E00A7">
        <w:rPr>
          <w:noProof/>
        </w:rPr>
        <w:t>7</w:t>
      </w:r>
      <w:r>
        <w:rPr>
          <w:szCs w:val="22"/>
        </w:rPr>
        <w:fldChar w:fldCharType="end"/>
      </w:r>
      <w:r w:rsidRPr="00844A6E">
        <w:rPr>
          <w:szCs w:val="22"/>
        </w:rPr>
        <w:t xml:space="preserve"> for a summary of the benefits and costs for each stringency level — including the base case — under each of the future electrification scenarios).</w:t>
      </w:r>
    </w:p>
    <w:p w14:paraId="4FBAD93D" w14:textId="137113CE" w:rsidR="001F2683" w:rsidRPr="00695C93" w:rsidRDefault="001F2683">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E136D5">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E136D5">
          <w:rPr>
            <w:noProof/>
          </w:rPr>
          <w:instrText>5</w:instrText>
        </w:r>
      </w:fldSimple>
      <w:r w:rsidRPr="00695C93">
        <w:instrText xml:space="preserve"> = 0 "" "</w:instrText>
      </w:r>
      <w:fldSimple w:instr=" STYLEREF &quot;Heading 1&quot; \l \n ">
        <w:r w:rsidR="00E136D5">
          <w:rPr>
            <w:noProof/>
          </w:rPr>
          <w:instrText>5</w:instrText>
        </w:r>
      </w:fldSimple>
      <w:r w:rsidRPr="00695C93">
        <w:instrText xml:space="preserve">." </w:instrText>
      </w:r>
      <w:r w:rsidRPr="00695C93">
        <w:fldChar w:fldCharType="separate"/>
      </w:r>
      <w:r w:rsidR="00E136D5">
        <w:rPr>
          <w:noProof/>
        </w:rPr>
        <w:instrText>5</w:instrText>
      </w:r>
      <w:r w:rsidR="00E136D5" w:rsidRPr="00695C93">
        <w:rPr>
          <w:noProof/>
        </w:rPr>
        <w:instrText>.</w:instrText>
      </w:r>
      <w:r w:rsidRPr="00695C93">
        <w:fldChar w:fldCharType="end"/>
      </w:r>
      <w:r w:rsidRPr="00695C93">
        <w:instrText>" "</w:instrText>
      </w:r>
      <w:fldSimple w:instr=" STYLEREF &quot;Heading 6&quot; \l \n ">
        <w:r>
          <w:rPr>
            <w:noProof/>
          </w:rPr>
          <w:instrText>A</w:instrText>
        </w:r>
      </w:fldSimple>
      <w:r w:rsidRPr="00695C93">
        <w:instrText xml:space="preserve">." </w:instrText>
      </w:r>
      <w:r w:rsidRPr="00695C93">
        <w:fldChar w:fldCharType="separate"/>
      </w:r>
      <w:r w:rsidR="008C60A3">
        <w:rPr>
          <w:noProof/>
        </w:rPr>
        <w:instrText>5</w:instrText>
      </w:r>
      <w:r w:rsidR="008C60A3"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E136D5">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E136D5">
          <w:rPr>
            <w:noProof/>
          </w:rPr>
          <w:instrText>5</w:instrText>
        </w:r>
      </w:fldSimple>
      <w:r w:rsidRPr="00695C93">
        <w:instrText xml:space="preserve"> = 0 "" "1" </w:instrText>
      </w:r>
      <w:r w:rsidRPr="00695C93">
        <w:fldChar w:fldCharType="separate"/>
      </w:r>
      <w:r w:rsidR="008C60A3" w:rsidRPr="00695C93">
        <w:rPr>
          <w:noProof/>
        </w:rPr>
        <w:instrText>1</w:instrText>
      </w:r>
      <w:r w:rsidRPr="00695C93">
        <w:fldChar w:fldCharType="end"/>
      </w:r>
      <w:r w:rsidRPr="00695C93">
        <w:instrText xml:space="preserve">" "6" </w:instrText>
      </w:r>
      <w:r w:rsidRPr="00695C93">
        <w:fldChar w:fldCharType="separate"/>
      </w:r>
      <w:r w:rsidR="008C60A3" w:rsidRPr="00695C93">
        <w:rPr>
          <w:noProof/>
        </w:rPr>
        <w:instrText>1</w:instrText>
      </w:r>
      <w:r w:rsidRPr="00695C93">
        <w:fldChar w:fldCharType="end"/>
      </w:r>
      <w:r w:rsidRPr="00695C93">
        <w:instrText xml:space="preserve"> </w:instrText>
      </w:r>
      <w:r w:rsidRPr="00695C93">
        <w:fldChar w:fldCharType="separate"/>
      </w:r>
      <w:r w:rsidR="00E136D5">
        <w:rPr>
          <w:noProof/>
        </w:rPr>
        <w:instrText>7</w:instrText>
      </w:r>
      <w:r w:rsidRPr="00695C93">
        <w:fldChar w:fldCharType="end"/>
      </w:r>
      <w:r w:rsidRPr="00695C93">
        <w:instrText xml:space="preserve">" "" </w:instrText>
      </w:r>
      <w:r w:rsidRPr="00695C93">
        <w:fldChar w:fldCharType="separate"/>
      </w:r>
      <w:bookmarkStart w:id="1224" w:name="_Caption4365"/>
      <w:bookmarkStart w:id="1225" w:name="_Caption9410"/>
      <w:bookmarkStart w:id="1226" w:name="_Caption7665"/>
      <w:bookmarkStart w:id="1227" w:name="_Caption0057"/>
      <w:bookmarkStart w:id="1228" w:name="_Caption1002"/>
      <w:bookmarkStart w:id="1229" w:name="_Caption9814"/>
      <w:bookmarkStart w:id="1230" w:name="_Caption0882"/>
      <w:bookmarkStart w:id="1231" w:name="_Caption4559"/>
      <w:bookmarkStart w:id="1232" w:name="_Caption1726"/>
      <w:bookmarkStart w:id="1233" w:name="_Caption4620"/>
      <w:bookmarkStart w:id="1234" w:name="_Caption4625"/>
      <w:bookmarkStart w:id="1235" w:name="_Caption8656"/>
      <w:bookmarkStart w:id="1236" w:name="_Caption9881"/>
      <w:bookmarkStart w:id="1237" w:name="_Caption7439"/>
      <w:bookmarkStart w:id="1238" w:name="_Caption1028"/>
      <w:bookmarkStart w:id="1239" w:name="_Caption1483"/>
      <w:bookmarkStart w:id="1240" w:name="_Caption8443"/>
      <w:bookmarkStart w:id="1241" w:name="_Caption1664"/>
      <w:bookmarkStart w:id="1242" w:name="_Caption6195"/>
      <w:bookmarkStart w:id="1243" w:name="_Caption7599"/>
      <w:bookmarkStart w:id="1244" w:name="_Caption6168"/>
      <w:bookmarkStart w:id="1245" w:name="_Caption4080"/>
      <w:bookmarkStart w:id="1246" w:name="_Caption2302"/>
      <w:bookmarkStart w:id="1247" w:name="_Caption7801"/>
      <w:bookmarkStart w:id="1248" w:name="_Caption3956"/>
      <w:bookmarkStart w:id="1249" w:name="_Caption3947"/>
      <w:bookmarkStart w:id="1250" w:name="_Caption2605"/>
      <w:bookmarkStart w:id="1251" w:name="_Caption2784"/>
      <w:bookmarkStart w:id="1252" w:name="_Caption3627"/>
      <w:bookmarkStart w:id="1253" w:name="_Caption9085"/>
      <w:bookmarkStart w:id="1254" w:name="_Caption7220"/>
      <w:bookmarkStart w:id="1255" w:name="_Caption9988"/>
      <w:bookmarkStart w:id="1256" w:name="_Caption1178"/>
      <w:bookmarkStart w:id="1257" w:name="_Caption0330"/>
      <w:bookmarkStart w:id="1258" w:name="_Caption0218"/>
      <w:bookmarkStart w:id="1259" w:name="_Caption9115"/>
      <w:bookmarkStart w:id="1260" w:name="_Caption8861"/>
      <w:bookmarkStart w:id="1261" w:name="_Caption0417"/>
      <w:bookmarkStart w:id="1262" w:name="_Caption1409"/>
      <w:bookmarkStart w:id="1263" w:name="_Caption9037"/>
      <w:bookmarkStart w:id="1264" w:name="_Caption5273"/>
      <w:bookmarkStart w:id="1265" w:name="_Caption7041"/>
      <w:bookmarkStart w:id="1266" w:name="_Caption1510"/>
      <w:bookmarkStart w:id="1267" w:name="_Caption3749"/>
      <w:bookmarkStart w:id="1268" w:name="_Caption7177"/>
      <w:bookmarkStart w:id="1269" w:name="_Caption5478"/>
      <w:bookmarkStart w:id="1270" w:name="_Caption3076"/>
      <w:bookmarkStart w:id="1271" w:name="_Caption4633"/>
      <w:bookmarkStart w:id="1272" w:name="_Caption8348"/>
      <w:bookmarkStart w:id="1273" w:name="_Caption2230"/>
      <w:bookmarkStart w:id="1274" w:name="_Caption3481"/>
      <w:bookmarkStart w:id="1275" w:name="_Caption4099"/>
      <w:bookmarkStart w:id="1276" w:name="_Caption7536"/>
      <w:bookmarkStart w:id="1277" w:name="_Caption3280"/>
      <w:bookmarkStart w:id="1278" w:name="_Caption9819"/>
      <w:bookmarkStart w:id="1279" w:name="_Caption7835"/>
      <w:bookmarkStart w:id="1280" w:name="_Caption4439"/>
      <w:bookmarkStart w:id="1281" w:name="_Caption1937"/>
      <w:bookmarkStart w:id="1282" w:name="_Caption9804"/>
      <w:bookmarkStart w:id="1283" w:name="_Caption9899"/>
      <w:bookmarkStart w:id="1284" w:name="_Caption7489"/>
      <w:bookmarkStart w:id="1285" w:name="_Caption2034"/>
      <w:bookmarkStart w:id="1286" w:name="_Caption8653"/>
      <w:bookmarkStart w:id="1287" w:name="_Toc178292581"/>
      <w:r w:rsidR="008C60A3">
        <w:rPr>
          <w:noProof/>
        </w:rPr>
        <w:t>5</w:t>
      </w:r>
      <w:r w:rsidR="008C60A3" w:rsidRPr="00695C93">
        <w:rPr>
          <w:noProof/>
        </w:rPr>
        <w:t>.</w:t>
      </w:r>
      <w:r w:rsidR="008C60A3">
        <w:rPr>
          <w:noProof/>
        </w:rPr>
        <w:t>7</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r w:rsidRPr="00695C93">
        <w:fldChar w:fldCharType="end"/>
      </w:r>
      <w:r w:rsidRPr="00695C93">
        <w:tab/>
      </w:r>
      <w:r w:rsidRPr="00E61ADA">
        <w:t>Electrification scenarios — benefits and costs</w:t>
      </w:r>
      <w:bookmarkEnd w:id="1287"/>
    </w:p>
    <w:tbl>
      <w:tblPr>
        <w:tblW w:w="0" w:type="auto"/>
        <w:tblLayout w:type="fixed"/>
        <w:tblLook w:val="0000" w:firstRow="0" w:lastRow="0" w:firstColumn="0" w:lastColumn="0" w:noHBand="0" w:noVBand="0"/>
        <w:tblCaption w:val="Table 4.10"/>
        <w:tblDescription w:val="Electrification scenarios — benefits and costs"/>
      </w:tblPr>
      <w:tblGrid>
        <w:gridCol w:w="1843"/>
        <w:gridCol w:w="3047"/>
        <w:gridCol w:w="3047"/>
      </w:tblGrid>
      <w:tr w:rsidR="001F2683" w:rsidRPr="00D83CB5" w14:paraId="28497CB7" w14:textId="77777777">
        <w:trPr>
          <w:tblHeader/>
        </w:trPr>
        <w:tc>
          <w:tcPr>
            <w:tcW w:w="1843" w:type="dxa"/>
            <w:tcBorders>
              <w:bottom w:val="single" w:sz="8" w:space="0" w:color="FFFFFF" w:themeColor="background1"/>
            </w:tcBorders>
            <w:shd w:val="clear" w:color="auto" w:fill="6F6652"/>
            <w:tcMar>
              <w:left w:w="57" w:type="dxa"/>
              <w:right w:w="57" w:type="dxa"/>
            </w:tcMar>
          </w:tcPr>
          <w:p w14:paraId="0CFC0A66" w14:textId="77777777" w:rsidR="001F2683" w:rsidRPr="00D83CB5" w:rsidRDefault="001F2683">
            <w:pPr>
              <w:pStyle w:val="TableTextColumnHeading"/>
            </w:pPr>
            <w:r>
              <w:t>Stringency</w:t>
            </w:r>
          </w:p>
        </w:tc>
        <w:tc>
          <w:tcPr>
            <w:tcW w:w="3047" w:type="dxa"/>
            <w:tcBorders>
              <w:bottom w:val="single" w:sz="8" w:space="0" w:color="FFFFFF" w:themeColor="background1"/>
            </w:tcBorders>
            <w:shd w:val="clear" w:color="auto" w:fill="6F6652"/>
            <w:tcMar>
              <w:left w:w="57" w:type="dxa"/>
              <w:right w:w="57" w:type="dxa"/>
            </w:tcMar>
          </w:tcPr>
          <w:p w14:paraId="3C27B3BC" w14:textId="77777777" w:rsidR="001F2683" w:rsidRPr="00D83CB5" w:rsidRDefault="001F2683">
            <w:pPr>
              <w:pStyle w:val="TableTextColumnHeading"/>
            </w:pPr>
            <w:r w:rsidRPr="00D83CB5">
              <w:t>No fu</w:t>
            </w:r>
            <w:r>
              <w:t>ture electrification scenario</w:t>
            </w:r>
          </w:p>
        </w:tc>
        <w:tc>
          <w:tcPr>
            <w:tcW w:w="3047" w:type="dxa"/>
            <w:tcBorders>
              <w:bottom w:val="single" w:sz="8" w:space="0" w:color="FFFFFF" w:themeColor="background1"/>
            </w:tcBorders>
            <w:shd w:val="clear" w:color="auto" w:fill="6F6652"/>
            <w:tcMar>
              <w:left w:w="57" w:type="dxa"/>
              <w:right w:w="57" w:type="dxa"/>
            </w:tcMar>
          </w:tcPr>
          <w:p w14:paraId="5A27147A" w14:textId="77777777" w:rsidR="001F2683" w:rsidRPr="00D83CB5" w:rsidRDefault="001F2683">
            <w:pPr>
              <w:pStyle w:val="TableTextColumnHeading"/>
            </w:pPr>
            <w:r>
              <w:t>Future electrification scenario</w:t>
            </w:r>
          </w:p>
        </w:tc>
      </w:tr>
      <w:tr w:rsidR="001F2683" w:rsidRPr="00D83CB5" w14:paraId="52E1CD5B" w14:textId="77777777">
        <w:tc>
          <w:tcPr>
            <w:tcW w:w="184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423DA4" w14:textId="77777777" w:rsidR="001F2683" w:rsidRPr="00D83CB5" w:rsidRDefault="001F2683">
            <w:pPr>
              <w:pStyle w:val="TableTextEntries"/>
            </w:pPr>
            <w:r>
              <w:t>NCC 2</w:t>
            </w:r>
            <w:r w:rsidRPr="00D83CB5">
              <w:t>022 (base case)</w:t>
            </w:r>
          </w:p>
        </w:tc>
        <w:tc>
          <w:tcPr>
            <w:tcW w:w="304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6438927" w14:textId="77777777" w:rsidR="001F2683" w:rsidRDefault="001F2683">
            <w:pPr>
              <w:pStyle w:val="TableListBullet"/>
            </w:pPr>
            <w:r>
              <w:t>Energy consumption based on NCC 2022.</w:t>
            </w:r>
          </w:p>
          <w:p w14:paraId="77F18F6E" w14:textId="77777777" w:rsidR="001F2683" w:rsidRPr="00D83CB5" w:rsidRDefault="001F2683">
            <w:pPr>
              <w:pStyle w:val="TableListBullet"/>
            </w:pPr>
            <w:r>
              <w:t>Costs based on dual fuel installation with like</w:t>
            </w:r>
            <w:r>
              <w:noBreakHyphen/>
              <w:t>for</w:t>
            </w:r>
            <w:r>
              <w:noBreakHyphen/>
              <w:t>like replacement over life of the building.</w:t>
            </w:r>
          </w:p>
        </w:tc>
        <w:tc>
          <w:tcPr>
            <w:tcW w:w="304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9186F3E" w14:textId="77777777" w:rsidR="001F2683" w:rsidRDefault="001F2683">
            <w:pPr>
              <w:pStyle w:val="TableListBullet"/>
            </w:pPr>
            <w:r>
              <w:t>Energy consumption based on:</w:t>
            </w:r>
          </w:p>
          <w:p w14:paraId="09704FCE" w14:textId="77777777" w:rsidR="001F2683" w:rsidRDefault="001F2683">
            <w:pPr>
              <w:pStyle w:val="TableListBullet2"/>
            </w:pPr>
            <w:r>
              <w:t>NCC 2022 for first 20 years.</w:t>
            </w:r>
          </w:p>
          <w:p w14:paraId="34B240BE" w14:textId="77777777" w:rsidR="001F2683" w:rsidRDefault="001F2683">
            <w:pPr>
              <w:pStyle w:val="TableListBullet2"/>
            </w:pPr>
            <w:r>
              <w:t>A fully-electric building with NCC 2022 levels of energy efficiency thereafter.</w:t>
            </w:r>
          </w:p>
          <w:p w14:paraId="356A87A0" w14:textId="77777777" w:rsidR="001F2683" w:rsidRPr="00D83CB5" w:rsidRDefault="001F2683">
            <w:pPr>
              <w:pStyle w:val="TableListBullet"/>
            </w:pPr>
            <w:r>
              <w:t>Future conversion costs (unplanned).</w:t>
            </w:r>
          </w:p>
        </w:tc>
      </w:tr>
      <w:tr w:rsidR="001F2683" w:rsidRPr="00D83CB5" w14:paraId="43A94696" w14:textId="77777777">
        <w:tc>
          <w:tcPr>
            <w:tcW w:w="184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8FF9CB" w14:textId="77777777" w:rsidR="001F2683" w:rsidRPr="00D83CB5" w:rsidRDefault="001F2683">
            <w:pPr>
              <w:pStyle w:val="TableTextEntries"/>
            </w:pPr>
            <w:r>
              <w:t xml:space="preserve">NCC 2025 Stringency </w:t>
            </w:r>
            <w:r>
              <w:rPr>
                <w:lang w:bidi="fa-IR"/>
              </w:rPr>
              <w:t xml:space="preserve">Level </w:t>
            </w:r>
            <w:r>
              <w:t>1</w:t>
            </w:r>
          </w:p>
        </w:tc>
        <w:tc>
          <w:tcPr>
            <w:tcW w:w="304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D6EC381" w14:textId="77777777" w:rsidR="001F2683" w:rsidRDefault="001F2683">
            <w:pPr>
              <w:pStyle w:val="TableListBullet"/>
            </w:pPr>
            <w:r>
              <w:t>Energy consumption based on NCC 2025 stringency with dual fuel.</w:t>
            </w:r>
          </w:p>
          <w:p w14:paraId="3D4EEEC6" w14:textId="77777777" w:rsidR="001F2683" w:rsidRPr="00D83CB5" w:rsidRDefault="001F2683">
            <w:pPr>
              <w:pStyle w:val="TableListBullet"/>
            </w:pPr>
            <w:r>
              <w:t>Costs based on dual fuel installation with like</w:t>
            </w:r>
            <w:r>
              <w:noBreakHyphen/>
              <w:t>for</w:t>
            </w:r>
            <w:r>
              <w:noBreakHyphen/>
              <w:t>like replacement over life of the building.</w:t>
            </w:r>
          </w:p>
        </w:tc>
        <w:tc>
          <w:tcPr>
            <w:tcW w:w="304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82B03A4" w14:textId="77777777" w:rsidR="001F2683" w:rsidRDefault="001F2683">
            <w:pPr>
              <w:pStyle w:val="TableListBullet"/>
            </w:pPr>
            <w:r>
              <w:t>Energy consumption based on:</w:t>
            </w:r>
          </w:p>
          <w:p w14:paraId="453758A9" w14:textId="77777777" w:rsidR="001F2683" w:rsidRDefault="001F2683">
            <w:pPr>
              <w:pStyle w:val="TableListBullet2"/>
            </w:pPr>
            <w:r>
              <w:t>NCC 20222 with dual fuel for first 20 years.</w:t>
            </w:r>
          </w:p>
          <w:p w14:paraId="77511A11" w14:textId="77777777" w:rsidR="001F2683" w:rsidRDefault="001F2683">
            <w:pPr>
              <w:pStyle w:val="TableListBullet2"/>
            </w:pPr>
            <w:r>
              <w:t>A fully-electric building with NCC 2025 levels of energy efficiency thereafter.</w:t>
            </w:r>
          </w:p>
          <w:p w14:paraId="7D61F3BC" w14:textId="77777777" w:rsidR="001F2683" w:rsidRDefault="001F2683">
            <w:pPr>
              <w:pStyle w:val="TableListBullet"/>
            </w:pPr>
            <w:r>
              <w:t>Costs include:</w:t>
            </w:r>
          </w:p>
          <w:p w14:paraId="31D0735A" w14:textId="77777777" w:rsidR="001F2683" w:rsidRDefault="001F2683">
            <w:pPr>
              <w:pStyle w:val="TableListBullet2"/>
            </w:pPr>
            <w:r>
              <w:t>Initial installation of dual fuel equipment.</w:t>
            </w:r>
          </w:p>
          <w:p w14:paraId="24E60782" w14:textId="77777777" w:rsidR="001F2683" w:rsidRDefault="001F2683">
            <w:pPr>
              <w:pStyle w:val="TableListBullet2"/>
            </w:pPr>
            <w:r>
              <w:t>Future conversion costs (unplanned) after 20 years.</w:t>
            </w:r>
          </w:p>
          <w:p w14:paraId="27BAC877" w14:textId="77777777" w:rsidR="001F2683" w:rsidRPr="00D83CB5" w:rsidRDefault="001F2683">
            <w:pPr>
              <w:pStyle w:val="TableListBullet2"/>
            </w:pPr>
            <w:r>
              <w:t>Replacement of all</w:t>
            </w:r>
            <w:r>
              <w:noBreakHyphen/>
              <w:t>electric equipment over remaining life of building.</w:t>
            </w:r>
          </w:p>
        </w:tc>
      </w:tr>
      <w:tr w:rsidR="001F2683" w:rsidRPr="00D83CB5" w14:paraId="2B14BD3B" w14:textId="77777777">
        <w:tc>
          <w:tcPr>
            <w:tcW w:w="184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005BBA9" w14:textId="77777777" w:rsidR="001F2683" w:rsidRPr="00D83CB5" w:rsidRDefault="001F2683">
            <w:pPr>
              <w:pStyle w:val="TableTextEntries"/>
            </w:pPr>
            <w:r>
              <w:t xml:space="preserve">NCC 2025: Stringency </w:t>
            </w:r>
            <w:r>
              <w:rPr>
                <w:lang w:bidi="fa-IR"/>
              </w:rPr>
              <w:t xml:space="preserve">Level </w:t>
            </w:r>
            <w:r>
              <w:t>2</w:t>
            </w:r>
          </w:p>
        </w:tc>
        <w:tc>
          <w:tcPr>
            <w:tcW w:w="304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FD3411" w14:textId="77777777" w:rsidR="001F2683" w:rsidRDefault="001F2683">
            <w:pPr>
              <w:pStyle w:val="TableListBullet"/>
            </w:pPr>
            <w:r>
              <w:t>Energy consumption/export based on NCC 2025 stringency (dual fuel) with PV.</w:t>
            </w:r>
          </w:p>
          <w:p w14:paraId="3AC31258" w14:textId="77777777" w:rsidR="001F2683" w:rsidRPr="00D83CB5" w:rsidRDefault="001F2683">
            <w:pPr>
              <w:pStyle w:val="TableListBullet"/>
            </w:pPr>
            <w:r>
              <w:t>Costs based on dual fuel installation with like</w:t>
            </w:r>
            <w:r>
              <w:noBreakHyphen/>
              <w:t>for</w:t>
            </w:r>
            <w:r>
              <w:noBreakHyphen/>
              <w:t>like replacement over life of the building.</w:t>
            </w:r>
          </w:p>
        </w:tc>
        <w:tc>
          <w:tcPr>
            <w:tcW w:w="304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8A38D36" w14:textId="77777777" w:rsidR="001F2683" w:rsidRDefault="001F2683">
            <w:pPr>
              <w:pStyle w:val="TableListBullet"/>
            </w:pPr>
            <w:r>
              <w:t>Energy consumption based on:</w:t>
            </w:r>
          </w:p>
          <w:p w14:paraId="656D4940" w14:textId="77777777" w:rsidR="001F2683" w:rsidRDefault="001F2683">
            <w:pPr>
              <w:pStyle w:val="TableListBullet2"/>
            </w:pPr>
            <w:r>
              <w:t>NCC 2022 with dual fuel with PV for first 20 years.</w:t>
            </w:r>
          </w:p>
          <w:p w14:paraId="2CA00706" w14:textId="77777777" w:rsidR="001F2683" w:rsidRDefault="001F2683">
            <w:pPr>
              <w:pStyle w:val="TableListBullet2"/>
            </w:pPr>
            <w:r>
              <w:t>a fully-electric building with NCC 2022 levels of energy efficiency and PV thereafter.</w:t>
            </w:r>
          </w:p>
          <w:p w14:paraId="123A44CE" w14:textId="77777777" w:rsidR="001F2683" w:rsidRDefault="001F2683">
            <w:pPr>
              <w:pStyle w:val="TableListBullet"/>
            </w:pPr>
            <w:r>
              <w:t>Costs include:</w:t>
            </w:r>
          </w:p>
          <w:p w14:paraId="606E3B38" w14:textId="77777777" w:rsidR="001F2683" w:rsidRDefault="001F2683">
            <w:pPr>
              <w:pStyle w:val="TableListBullet2"/>
            </w:pPr>
            <w:r>
              <w:t>Initial installation of dual fuel equipment.</w:t>
            </w:r>
          </w:p>
          <w:p w14:paraId="7FE2CFDF" w14:textId="77777777" w:rsidR="001F2683" w:rsidRDefault="001F2683">
            <w:pPr>
              <w:pStyle w:val="TableListBullet2"/>
            </w:pPr>
            <w:r>
              <w:t>Future conversion costs (unplanned) after 20 years.</w:t>
            </w:r>
          </w:p>
          <w:p w14:paraId="3B4D99DE" w14:textId="77777777" w:rsidR="001F2683" w:rsidRPr="00D83CB5" w:rsidRDefault="001F2683">
            <w:pPr>
              <w:pStyle w:val="TableListBullet2"/>
            </w:pPr>
            <w:r>
              <w:t>Replacement of all</w:t>
            </w:r>
            <w:r>
              <w:noBreakHyphen/>
              <w:t>electric equipment over remaining life of building.</w:t>
            </w:r>
          </w:p>
        </w:tc>
      </w:tr>
      <w:tr w:rsidR="001F2683" w:rsidRPr="00D83CB5" w14:paraId="783299F5" w14:textId="77777777">
        <w:tc>
          <w:tcPr>
            <w:tcW w:w="184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AC4345" w14:textId="77777777" w:rsidR="001F2683" w:rsidRPr="00D83CB5" w:rsidRDefault="001F2683">
            <w:pPr>
              <w:pStyle w:val="TableTextEntries"/>
            </w:pPr>
            <w:r>
              <w:t xml:space="preserve">NCC 2025: Stringency </w:t>
            </w:r>
            <w:r>
              <w:rPr>
                <w:lang w:bidi="fa-IR"/>
              </w:rPr>
              <w:t xml:space="preserve">Level </w:t>
            </w:r>
            <w:r>
              <w:t>3 — dual fuel choice</w:t>
            </w:r>
          </w:p>
        </w:tc>
        <w:tc>
          <w:tcPr>
            <w:tcW w:w="304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9D88CE" w14:textId="77777777" w:rsidR="001F2683" w:rsidRDefault="001F2683">
            <w:pPr>
              <w:pStyle w:val="TableListBullet"/>
            </w:pPr>
            <w:r>
              <w:t>Energy consumption/export based on NCC 2025 stringency (dual fuel) with additional PV.</w:t>
            </w:r>
          </w:p>
          <w:p w14:paraId="52961F66" w14:textId="77777777" w:rsidR="001F2683" w:rsidRDefault="001F2683">
            <w:pPr>
              <w:pStyle w:val="TableListBullet"/>
            </w:pPr>
            <w:r>
              <w:t>Costs include:</w:t>
            </w:r>
          </w:p>
          <w:p w14:paraId="643F80B7" w14:textId="77777777" w:rsidR="001F2683" w:rsidRDefault="001F2683">
            <w:pPr>
              <w:pStyle w:val="TableListBullet2"/>
            </w:pPr>
            <w:r>
              <w:t>dual fuel installation with like</w:t>
            </w:r>
            <w:r>
              <w:noBreakHyphen/>
              <w:t>for</w:t>
            </w:r>
            <w:r>
              <w:noBreakHyphen/>
              <w:t>like replacement over life of the building.</w:t>
            </w:r>
          </w:p>
          <w:p w14:paraId="7339E590" w14:textId="77777777" w:rsidR="001F2683" w:rsidRDefault="001F2683">
            <w:pPr>
              <w:pStyle w:val="TableListBullet2"/>
            </w:pPr>
            <w:r>
              <w:t>additional PV (dual fuel offset).</w:t>
            </w:r>
          </w:p>
          <w:p w14:paraId="0F28B389" w14:textId="77777777" w:rsidR="001F2683" w:rsidRPr="00D83CB5" w:rsidRDefault="001F2683">
            <w:pPr>
              <w:pStyle w:val="TableListBullet2"/>
            </w:pPr>
            <w:r>
              <w:t>cost of electrification readiness.</w:t>
            </w:r>
          </w:p>
        </w:tc>
        <w:tc>
          <w:tcPr>
            <w:tcW w:w="304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77C49BD" w14:textId="77777777" w:rsidR="001F2683" w:rsidRDefault="001F2683">
            <w:pPr>
              <w:pStyle w:val="TableListBullet"/>
            </w:pPr>
            <w:r>
              <w:t>Energy consumption based on:</w:t>
            </w:r>
          </w:p>
          <w:p w14:paraId="6625AFA0" w14:textId="77777777" w:rsidR="001F2683" w:rsidRDefault="001F2683">
            <w:pPr>
              <w:pStyle w:val="TableListBullet2"/>
            </w:pPr>
            <w:r>
              <w:t>NCC 2022 with dual fuel with additional PV for first 20 years.</w:t>
            </w:r>
          </w:p>
          <w:p w14:paraId="4ECF7068" w14:textId="77777777" w:rsidR="001F2683" w:rsidRDefault="001F2683">
            <w:pPr>
              <w:pStyle w:val="TableListBullet2"/>
            </w:pPr>
            <w:r>
              <w:t>a fully-electric building with NCC 2022 levels of energy efficiency and additional PV thereafter.</w:t>
            </w:r>
          </w:p>
          <w:p w14:paraId="0718131C" w14:textId="77777777" w:rsidR="001F2683" w:rsidRDefault="001F2683">
            <w:pPr>
              <w:pStyle w:val="TableListBullet"/>
            </w:pPr>
            <w:r>
              <w:t>Costs include:</w:t>
            </w:r>
          </w:p>
          <w:p w14:paraId="41A1DE08" w14:textId="77777777" w:rsidR="001F2683" w:rsidRDefault="001F2683">
            <w:pPr>
              <w:pStyle w:val="TableListBullet2"/>
            </w:pPr>
            <w:r>
              <w:t>Initial installation of dual fuel equipment.</w:t>
            </w:r>
          </w:p>
          <w:p w14:paraId="79CFAFF8" w14:textId="77777777" w:rsidR="001F2683" w:rsidRDefault="001F2683">
            <w:pPr>
              <w:pStyle w:val="TableListBullet2"/>
            </w:pPr>
            <w:r>
              <w:t>Future conversion costs (planned) after 20 years.</w:t>
            </w:r>
          </w:p>
          <w:p w14:paraId="2F9EBFD8" w14:textId="77777777" w:rsidR="001F2683" w:rsidRPr="00D83CB5" w:rsidRDefault="001F2683">
            <w:pPr>
              <w:pStyle w:val="TableListBullet2"/>
            </w:pPr>
            <w:r>
              <w:t>Replacement of all</w:t>
            </w:r>
            <w:r>
              <w:noBreakHyphen/>
              <w:t>electric equipment over remaining life of building.</w:t>
            </w:r>
          </w:p>
        </w:tc>
      </w:tr>
      <w:tr w:rsidR="001F2683" w:rsidRPr="00D83CB5" w14:paraId="0389E02F" w14:textId="77777777">
        <w:tc>
          <w:tcPr>
            <w:tcW w:w="1843" w:type="dxa"/>
            <w:tcBorders>
              <w:top w:val="single" w:sz="8" w:space="0" w:color="FFFFFF" w:themeColor="background1"/>
              <w:bottom w:val="single" w:sz="6" w:space="0" w:color="6F6652"/>
            </w:tcBorders>
            <w:shd w:val="clear" w:color="auto" w:fill="E9E8E5" w:themeFill="background2"/>
            <w:tcMar>
              <w:left w:w="57" w:type="dxa"/>
              <w:right w:w="57" w:type="dxa"/>
            </w:tcMar>
          </w:tcPr>
          <w:p w14:paraId="484939B3" w14:textId="77777777" w:rsidR="001F2683" w:rsidRPr="00D83CB5" w:rsidRDefault="001F2683">
            <w:pPr>
              <w:pStyle w:val="TableTextEntries"/>
            </w:pPr>
            <w:r>
              <w:t xml:space="preserve">NCC 2025: Stringency </w:t>
            </w:r>
            <w:r>
              <w:rPr>
                <w:lang w:bidi="fa-IR"/>
              </w:rPr>
              <w:t xml:space="preserve">Level </w:t>
            </w:r>
            <w:r>
              <w:t>3 — electrification choice</w:t>
            </w:r>
          </w:p>
        </w:tc>
        <w:tc>
          <w:tcPr>
            <w:tcW w:w="3047" w:type="dxa"/>
            <w:tcBorders>
              <w:top w:val="single" w:sz="8" w:space="0" w:color="FFFFFF" w:themeColor="background1"/>
              <w:bottom w:val="single" w:sz="6" w:space="0" w:color="6F6652"/>
            </w:tcBorders>
            <w:shd w:val="clear" w:color="auto" w:fill="E9E8E5" w:themeFill="background2"/>
            <w:tcMar>
              <w:left w:w="57" w:type="dxa"/>
              <w:right w:w="57" w:type="dxa"/>
            </w:tcMar>
          </w:tcPr>
          <w:p w14:paraId="3C375EDF" w14:textId="77777777" w:rsidR="001F2683" w:rsidRDefault="001F2683">
            <w:pPr>
              <w:pStyle w:val="TableListBullet"/>
            </w:pPr>
            <w:r>
              <w:t>Energy consumption/export based on all-electric building with PV.</w:t>
            </w:r>
          </w:p>
          <w:p w14:paraId="333F587F" w14:textId="77777777" w:rsidR="001F2683" w:rsidRPr="00D83CB5" w:rsidRDefault="001F2683">
            <w:pPr>
              <w:pStyle w:val="TableListBullet"/>
            </w:pPr>
            <w:r>
              <w:t>Costs include additional cost of all-electric equipment (including replacement costs over life of building).</w:t>
            </w:r>
          </w:p>
        </w:tc>
        <w:tc>
          <w:tcPr>
            <w:tcW w:w="3047" w:type="dxa"/>
            <w:tcBorders>
              <w:top w:val="single" w:sz="8" w:space="0" w:color="FFFFFF" w:themeColor="background1"/>
              <w:bottom w:val="single" w:sz="6" w:space="0" w:color="6F6652"/>
            </w:tcBorders>
            <w:shd w:val="clear" w:color="auto" w:fill="E9E8E5" w:themeFill="background2"/>
            <w:tcMar>
              <w:left w:w="57" w:type="dxa"/>
              <w:right w:w="57" w:type="dxa"/>
            </w:tcMar>
          </w:tcPr>
          <w:p w14:paraId="2032BE8E" w14:textId="77777777" w:rsidR="001F2683" w:rsidRDefault="001F2683">
            <w:pPr>
              <w:pStyle w:val="TableListBullet"/>
            </w:pPr>
            <w:r>
              <w:t>Energy consumption/export based on all-electric building with PV (no conversion required).</w:t>
            </w:r>
          </w:p>
          <w:p w14:paraId="55C50CD3" w14:textId="77777777" w:rsidR="001F2683" w:rsidRPr="00D83CB5" w:rsidRDefault="001F2683">
            <w:pPr>
              <w:pStyle w:val="TableListBullet"/>
            </w:pPr>
            <w:r>
              <w:t>Costs include additional cost of all-electric equipment (including replacement costs over life of building).</w:t>
            </w:r>
          </w:p>
        </w:tc>
      </w:tr>
    </w:tbl>
    <w:p w14:paraId="5B6A2345" w14:textId="77777777" w:rsidR="001F2683" w:rsidRDefault="001F2683" w:rsidP="001F2683">
      <w:pPr>
        <w:pStyle w:val="Source"/>
      </w:pPr>
      <w:r w:rsidRPr="00D83CB5">
        <w:rPr>
          <w:i/>
        </w:rPr>
        <w:t>Source:</w:t>
      </w:r>
      <w:r w:rsidRPr="00D83CB5">
        <w:t xml:space="preserve"> </w:t>
      </w:r>
      <w:r>
        <w:t>CIE.</w:t>
      </w:r>
    </w:p>
    <w:p w14:paraId="11D7F0C0" w14:textId="77777777" w:rsidR="001F2683" w:rsidRPr="00844A6E" w:rsidRDefault="001F2683" w:rsidP="001F2683">
      <w:pPr>
        <w:pStyle w:val="BodyText"/>
        <w:rPr>
          <w:szCs w:val="22"/>
          <w:lang w:eastAsia="en-US"/>
        </w:rPr>
      </w:pPr>
      <w:r w:rsidRPr="00844A6E">
        <w:rPr>
          <w:szCs w:val="22"/>
          <w:lang w:eastAsia="en-US"/>
        </w:rPr>
        <w:t>It is clear from table </w:t>
      </w:r>
      <w:r w:rsidRPr="00844A6E">
        <w:rPr>
          <w:szCs w:val="22"/>
          <w:lang w:eastAsia="en-US"/>
        </w:rPr>
        <w:fldChar w:fldCharType="begin" w:fldLock="1"/>
      </w:r>
      <w:r w:rsidRPr="00844A6E">
        <w:rPr>
          <w:szCs w:val="22"/>
          <w:lang w:eastAsia="en-US"/>
        </w:rPr>
        <w:instrText xml:space="preserve"> REF _Caption2519 </w:instrText>
      </w:r>
      <w:r w:rsidRPr="00844A6E">
        <w:rPr>
          <w:szCs w:val="22"/>
          <w:lang w:eastAsia="en-US"/>
        </w:rPr>
        <w:fldChar w:fldCharType="separate"/>
      </w:r>
      <w:r w:rsidRPr="00844A6E">
        <w:rPr>
          <w:noProof/>
          <w:szCs w:val="22"/>
        </w:rPr>
        <w:t>4.7</w:t>
      </w:r>
      <w:r w:rsidRPr="00844A6E">
        <w:rPr>
          <w:szCs w:val="22"/>
          <w:lang w:eastAsia="en-US"/>
        </w:rPr>
        <w:fldChar w:fldCharType="end"/>
      </w:r>
      <w:r w:rsidRPr="00844A6E">
        <w:rPr>
          <w:szCs w:val="22"/>
          <w:lang w:eastAsia="en-US"/>
        </w:rPr>
        <w:t xml:space="preserve"> that the impacts will be significantly different depending on the choice of the dual fuel offset or the electrify now response. This is likely to depend on factors such as:</w:t>
      </w:r>
    </w:p>
    <w:p w14:paraId="243BB1B2" w14:textId="77777777" w:rsidR="001F2683" w:rsidRDefault="001F2683" w:rsidP="001F2683">
      <w:pPr>
        <w:pStyle w:val="ListBullet"/>
        <w:tabs>
          <w:tab w:val="num" w:pos="709"/>
        </w:tabs>
      </w:pPr>
      <w:r w:rsidRPr="00844A6E">
        <w:t>the relative cost of each approach</w:t>
      </w:r>
      <w:r>
        <w:t xml:space="preserve"> (our modelling suggests that the benefit</w:t>
      </w:r>
      <w:r>
        <w:noBreakHyphen/>
        <w:t>cost ratio is better for the duel fuel offset option).</w:t>
      </w:r>
    </w:p>
    <w:p w14:paraId="211CB921" w14:textId="77777777" w:rsidR="001F2683" w:rsidRPr="00BF10E0" w:rsidRDefault="001F2683" w:rsidP="001F2683">
      <w:pPr>
        <w:pStyle w:val="ListBullet"/>
        <w:tabs>
          <w:tab w:val="num" w:pos="709"/>
        </w:tabs>
      </w:pPr>
      <w:r w:rsidRPr="00BF10E0">
        <w:t>the feasibility of installing ground</w:t>
      </w:r>
      <w:r w:rsidRPr="00BF10E0">
        <w:noBreakHyphen/>
        <w:t>mounted solar (this may not be possible in CBD</w:t>
      </w:r>
      <w:r w:rsidRPr="00BF10E0">
        <w:noBreakHyphen/>
        <w:t>type areas where space and shading are likely to limit).</w:t>
      </w:r>
    </w:p>
    <w:p w14:paraId="65F6FB0E" w14:textId="77777777" w:rsidR="001F2683" w:rsidRDefault="001F2683" w:rsidP="001F2683">
      <w:pPr>
        <w:pStyle w:val="BodyText"/>
        <w:rPr>
          <w:szCs w:val="22"/>
          <w:lang w:eastAsia="en-US"/>
        </w:rPr>
      </w:pPr>
      <w:r w:rsidRPr="00844A6E">
        <w:rPr>
          <w:szCs w:val="22"/>
          <w:lang w:eastAsia="en-US"/>
        </w:rPr>
        <w:t xml:space="preserve">In the </w:t>
      </w:r>
      <w:r>
        <w:rPr>
          <w:szCs w:val="22"/>
          <w:lang w:eastAsia="en-US"/>
        </w:rPr>
        <w:t>CRIS,</w:t>
      </w:r>
      <w:r w:rsidRPr="00844A6E">
        <w:rPr>
          <w:szCs w:val="22"/>
          <w:lang w:eastAsia="en-US"/>
        </w:rPr>
        <w:t xml:space="preserve"> we assume the choice of approach is split 50:50 across the two options.</w:t>
      </w:r>
      <w:r>
        <w:rPr>
          <w:szCs w:val="22"/>
          <w:lang w:eastAsia="en-US"/>
        </w:rPr>
        <w:t xml:space="preserve"> However, stakeholder feedback reinforced concerns about the practicality of ground</w:t>
      </w:r>
      <w:r>
        <w:rPr>
          <w:szCs w:val="22"/>
          <w:lang w:eastAsia="en-US"/>
        </w:rPr>
        <w:noBreakHyphen/>
        <w:t>mounted solar in many (or most) circumstances, as well as the associated aesthetic/amenity costs.</w:t>
      </w:r>
    </w:p>
    <w:p w14:paraId="4F0A40A5" w14:textId="77777777" w:rsidR="001F2683" w:rsidRDefault="001F2683" w:rsidP="001F2683">
      <w:pPr>
        <w:pStyle w:val="BodyText"/>
        <w:rPr>
          <w:szCs w:val="22"/>
          <w:lang w:eastAsia="en-US"/>
        </w:rPr>
      </w:pPr>
      <w:r>
        <w:rPr>
          <w:szCs w:val="22"/>
          <w:lang w:eastAsia="en-US"/>
        </w:rPr>
        <w:t>Reflecting this feedback from stakeholders, the DRIS modelling assumes:</w:t>
      </w:r>
    </w:p>
    <w:p w14:paraId="575EDDBF" w14:textId="77777777" w:rsidR="001F2683" w:rsidRDefault="001F2683" w:rsidP="001F2683">
      <w:pPr>
        <w:pStyle w:val="ListBullet"/>
        <w:tabs>
          <w:tab w:val="num" w:pos="709"/>
        </w:tabs>
      </w:pPr>
      <w:r>
        <w:t>the ‘electrify now’ option would be used for 90 per cent of the affected buildings</w:t>
      </w:r>
    </w:p>
    <w:p w14:paraId="6D6DC020" w14:textId="77777777" w:rsidR="001F2683" w:rsidRPr="00844A6E" w:rsidRDefault="001F2683" w:rsidP="001F2683">
      <w:pPr>
        <w:pStyle w:val="ListBullet"/>
        <w:tabs>
          <w:tab w:val="num" w:pos="709"/>
        </w:tabs>
      </w:pPr>
      <w:r>
        <w:t>the duel fuel offset option would be used for 10 per cent of affected buildings.</w:t>
      </w:r>
    </w:p>
    <w:p w14:paraId="2670805D" w14:textId="77777777" w:rsidR="001F2683" w:rsidRDefault="001F2683" w:rsidP="001F2683">
      <w:pPr>
        <w:pStyle w:val="Heading3"/>
      </w:pPr>
      <w:r>
        <w:t>Key differences from DeltaQ’s building-level CBA results</w:t>
      </w:r>
    </w:p>
    <w:p w14:paraId="44F949A0" w14:textId="77777777" w:rsidR="001F2683" w:rsidRPr="00844A6E" w:rsidRDefault="001F2683" w:rsidP="001F2683">
      <w:pPr>
        <w:pStyle w:val="BodyText"/>
        <w:rPr>
          <w:szCs w:val="22"/>
        </w:rPr>
      </w:pPr>
      <w:r w:rsidRPr="00844A6E">
        <w:rPr>
          <w:szCs w:val="22"/>
        </w:rPr>
        <w:t>Although DeltaQ’s building-level modelling is a key input into the building</w:t>
      </w:r>
      <w:r w:rsidRPr="00844A6E">
        <w:rPr>
          <w:szCs w:val="22"/>
        </w:rPr>
        <w:noBreakHyphen/>
        <w:t>level CBA results that feed into the aggregate estimates and are based on the same parameters and used many of the same inputs, there are some key differences as follows:</w:t>
      </w:r>
    </w:p>
    <w:p w14:paraId="2A8A50CC" w14:textId="77777777" w:rsidR="001F2683" w:rsidRPr="00BF10E0" w:rsidRDefault="001F2683" w:rsidP="001F2683">
      <w:pPr>
        <w:pStyle w:val="ListBullet"/>
        <w:tabs>
          <w:tab w:val="num" w:pos="709"/>
        </w:tabs>
      </w:pPr>
      <w:r w:rsidRPr="00BF10E0">
        <w:t>Our estimates incorporate voluntary uptake of rooftop solar into the base case:</w:t>
      </w:r>
    </w:p>
    <w:p w14:paraId="174A7B80" w14:textId="77777777" w:rsidR="001F2683" w:rsidRPr="00844A6E" w:rsidRDefault="001F2683" w:rsidP="001F2683">
      <w:pPr>
        <w:pStyle w:val="ListBullet"/>
        <w:numPr>
          <w:ilvl w:val="1"/>
          <w:numId w:val="34"/>
        </w:numPr>
        <w:rPr>
          <w:szCs w:val="22"/>
        </w:rPr>
      </w:pPr>
      <w:r w:rsidRPr="00844A6E">
        <w:rPr>
          <w:szCs w:val="22"/>
        </w:rPr>
        <w:t>Our base case is therefore a weighted average of:</w:t>
      </w:r>
    </w:p>
    <w:p w14:paraId="1F70ABBA" w14:textId="77777777" w:rsidR="001F2683" w:rsidRPr="00844A6E" w:rsidRDefault="001F2683" w:rsidP="001F2683">
      <w:pPr>
        <w:pStyle w:val="ListBullet"/>
        <w:numPr>
          <w:ilvl w:val="2"/>
          <w:numId w:val="34"/>
        </w:numPr>
        <w:rPr>
          <w:szCs w:val="22"/>
        </w:rPr>
      </w:pPr>
      <w:r w:rsidRPr="00844A6E">
        <w:rPr>
          <w:szCs w:val="22"/>
        </w:rPr>
        <w:t>buildings built to comply with NCC 2022 (with no rooftop solar); and</w:t>
      </w:r>
    </w:p>
    <w:p w14:paraId="4078CA53" w14:textId="77777777" w:rsidR="001F2683" w:rsidRPr="00844A6E" w:rsidRDefault="001F2683" w:rsidP="001F2683">
      <w:pPr>
        <w:pStyle w:val="ListBullet"/>
        <w:numPr>
          <w:ilvl w:val="2"/>
          <w:numId w:val="34"/>
        </w:numPr>
        <w:rPr>
          <w:szCs w:val="22"/>
        </w:rPr>
      </w:pPr>
      <w:r w:rsidRPr="00844A6E">
        <w:rPr>
          <w:szCs w:val="22"/>
        </w:rPr>
        <w:t>buildings built to comply with NCC 2022 with rooftop solar added.</w:t>
      </w:r>
    </w:p>
    <w:p w14:paraId="74F69E20" w14:textId="77777777" w:rsidR="001F2683" w:rsidRPr="00844A6E" w:rsidRDefault="001F2683" w:rsidP="001F2683">
      <w:pPr>
        <w:pStyle w:val="ListBullet"/>
        <w:numPr>
          <w:ilvl w:val="1"/>
          <w:numId w:val="34"/>
        </w:numPr>
        <w:rPr>
          <w:szCs w:val="22"/>
        </w:rPr>
      </w:pPr>
      <w:r w:rsidRPr="00844A6E">
        <w:rPr>
          <w:szCs w:val="22"/>
        </w:rPr>
        <w:t>By contrast, DeltaQ’s base case assumes no rooftop solar (as rooftop solar is not mandatory under NCC 2022).</w:t>
      </w:r>
    </w:p>
    <w:p w14:paraId="341D38DF" w14:textId="77777777" w:rsidR="001F2683" w:rsidRPr="00BF10E0" w:rsidRDefault="001F2683" w:rsidP="001F2683">
      <w:pPr>
        <w:pStyle w:val="ListBullet"/>
        <w:tabs>
          <w:tab w:val="num" w:pos="709"/>
        </w:tabs>
      </w:pPr>
      <w:r w:rsidRPr="00BF10E0">
        <w:t>Our estimates of the avoided electricity</w:t>
      </w:r>
      <w:r w:rsidRPr="00BF10E0">
        <w:noBreakHyphen/>
        <w:t>related costs incorporate:</w:t>
      </w:r>
    </w:p>
    <w:p w14:paraId="601B979B" w14:textId="77777777" w:rsidR="001F2683" w:rsidRPr="00844A6E" w:rsidRDefault="001F2683" w:rsidP="001F2683">
      <w:pPr>
        <w:pStyle w:val="ListBullet"/>
        <w:numPr>
          <w:ilvl w:val="1"/>
          <w:numId w:val="34"/>
        </w:numPr>
        <w:rPr>
          <w:szCs w:val="22"/>
        </w:rPr>
      </w:pPr>
      <w:r w:rsidRPr="00844A6E">
        <w:rPr>
          <w:szCs w:val="22"/>
        </w:rPr>
        <w:t>pricing variations across states and territories (DeltaQ’s results are based on a weighted average price at the national level).</w:t>
      </w:r>
    </w:p>
    <w:p w14:paraId="1D93F1EC" w14:textId="77777777" w:rsidR="001F2683" w:rsidRPr="00844A6E" w:rsidRDefault="001F2683" w:rsidP="001F2683">
      <w:pPr>
        <w:pStyle w:val="ListBullet"/>
        <w:numPr>
          <w:ilvl w:val="1"/>
          <w:numId w:val="34"/>
        </w:numPr>
        <w:rPr>
          <w:szCs w:val="22"/>
        </w:rPr>
      </w:pPr>
      <w:r w:rsidRPr="00844A6E">
        <w:rPr>
          <w:szCs w:val="22"/>
        </w:rPr>
        <w:t>time</w:t>
      </w:r>
      <w:r w:rsidRPr="00844A6E">
        <w:rPr>
          <w:szCs w:val="22"/>
        </w:rPr>
        <w:noBreakHyphen/>
        <w:t xml:space="preserve">based variation in prices by hourly interval across the year (the details of time of use estimation and information sources are provided in appendix </w:t>
      </w:r>
      <w:r w:rsidRPr="00844A6E">
        <w:rPr>
          <w:szCs w:val="22"/>
        </w:rPr>
        <w:fldChar w:fldCharType="begin" w:fldLock="1"/>
      </w:r>
      <w:r w:rsidRPr="00844A6E">
        <w:rPr>
          <w:szCs w:val="22"/>
        </w:rPr>
        <w:instrText xml:space="preserve"> REF _Ref149038575 \n \h </w:instrText>
      </w:r>
      <w:r w:rsidRPr="00844A6E">
        <w:rPr>
          <w:szCs w:val="22"/>
        </w:rPr>
      </w:r>
      <w:r w:rsidRPr="00844A6E">
        <w:rPr>
          <w:szCs w:val="22"/>
        </w:rPr>
        <w:fldChar w:fldCharType="separate"/>
      </w:r>
      <w:r w:rsidRPr="00844A6E">
        <w:rPr>
          <w:szCs w:val="22"/>
        </w:rPr>
        <w:t>B</w:t>
      </w:r>
      <w:r w:rsidRPr="00844A6E">
        <w:rPr>
          <w:szCs w:val="22"/>
        </w:rPr>
        <w:fldChar w:fldCharType="end"/>
      </w:r>
      <w:r w:rsidRPr="00844A6E">
        <w:rPr>
          <w:szCs w:val="22"/>
        </w:rPr>
        <w:t>).</w:t>
      </w:r>
    </w:p>
    <w:p w14:paraId="4FB4B1B1" w14:textId="77777777" w:rsidR="001F2683" w:rsidRPr="00BF10E0" w:rsidRDefault="001F2683" w:rsidP="001F2683">
      <w:pPr>
        <w:pStyle w:val="ListBullet"/>
        <w:tabs>
          <w:tab w:val="num" w:pos="709"/>
        </w:tabs>
      </w:pPr>
      <w:r w:rsidRPr="00BF10E0">
        <w:t>Our building</w:t>
      </w:r>
      <w:r w:rsidRPr="00BF10E0">
        <w:noBreakHyphen/>
        <w:t xml:space="preserve">level estimates reflect expected changes in the expected costs and benefits depending on the year of construction. </w:t>
      </w:r>
    </w:p>
    <w:p w14:paraId="6211ADAA" w14:textId="77777777" w:rsidR="001F2683" w:rsidRPr="00844A6E" w:rsidRDefault="001F2683" w:rsidP="001F2683">
      <w:pPr>
        <w:pStyle w:val="ListBullet"/>
        <w:numPr>
          <w:ilvl w:val="1"/>
          <w:numId w:val="34"/>
        </w:numPr>
        <w:rPr>
          <w:szCs w:val="22"/>
          <w:lang w:eastAsia="en-US"/>
        </w:rPr>
      </w:pPr>
      <w:r w:rsidRPr="00844A6E">
        <w:rPr>
          <w:szCs w:val="22"/>
          <w:lang w:eastAsia="en-US"/>
        </w:rPr>
        <w:t>As the CBA covers the period from 2025 to 2034, the costs and benefits vary over time, reflecting expected changes in:</w:t>
      </w:r>
    </w:p>
    <w:p w14:paraId="5B402ED8" w14:textId="77777777" w:rsidR="001F2683" w:rsidRPr="00844A6E" w:rsidRDefault="001F2683" w:rsidP="001F2683">
      <w:pPr>
        <w:pStyle w:val="ListBullet"/>
        <w:numPr>
          <w:ilvl w:val="2"/>
          <w:numId w:val="34"/>
        </w:numPr>
        <w:rPr>
          <w:szCs w:val="22"/>
          <w:lang w:eastAsia="en-US"/>
        </w:rPr>
      </w:pPr>
      <w:r w:rsidRPr="00844A6E">
        <w:rPr>
          <w:szCs w:val="22"/>
          <w:lang w:eastAsia="en-US"/>
        </w:rPr>
        <w:t>energy prices</w:t>
      </w:r>
    </w:p>
    <w:p w14:paraId="4851F760" w14:textId="77777777" w:rsidR="001F2683" w:rsidRPr="00844A6E" w:rsidRDefault="001F2683" w:rsidP="001F2683">
      <w:pPr>
        <w:pStyle w:val="ListBullet"/>
        <w:numPr>
          <w:ilvl w:val="2"/>
          <w:numId w:val="34"/>
        </w:numPr>
        <w:rPr>
          <w:szCs w:val="22"/>
          <w:lang w:eastAsia="en-US"/>
        </w:rPr>
      </w:pPr>
      <w:r w:rsidRPr="00844A6E">
        <w:rPr>
          <w:szCs w:val="22"/>
          <w:lang w:eastAsia="en-US"/>
        </w:rPr>
        <w:t>the GHG emissions</w:t>
      </w:r>
      <w:r w:rsidRPr="00844A6E">
        <w:rPr>
          <w:szCs w:val="22"/>
          <w:lang w:eastAsia="en-US"/>
        </w:rPr>
        <w:noBreakHyphen/>
        <w:t>intensity of electricity generation</w:t>
      </w:r>
    </w:p>
    <w:p w14:paraId="0B8BEEBA" w14:textId="77777777" w:rsidR="001F2683" w:rsidRPr="00844A6E" w:rsidRDefault="001F2683" w:rsidP="001F2683">
      <w:pPr>
        <w:pStyle w:val="ListBullet"/>
        <w:numPr>
          <w:ilvl w:val="2"/>
          <w:numId w:val="34"/>
        </w:numPr>
        <w:rPr>
          <w:szCs w:val="22"/>
          <w:lang w:eastAsia="en-US"/>
        </w:rPr>
      </w:pPr>
      <w:r w:rsidRPr="00844A6E">
        <w:rPr>
          <w:szCs w:val="22"/>
          <w:lang w:eastAsia="en-US"/>
        </w:rPr>
        <w:t>the social cost of carbon</w:t>
      </w:r>
    </w:p>
    <w:p w14:paraId="125208AD" w14:textId="77777777" w:rsidR="001F2683" w:rsidRPr="00844A6E" w:rsidRDefault="001F2683" w:rsidP="001F2683">
      <w:pPr>
        <w:pStyle w:val="ListBullet"/>
        <w:numPr>
          <w:ilvl w:val="1"/>
          <w:numId w:val="34"/>
        </w:numPr>
        <w:rPr>
          <w:szCs w:val="22"/>
          <w:lang w:eastAsia="en-US"/>
        </w:rPr>
      </w:pPr>
      <w:r w:rsidRPr="00844A6E">
        <w:rPr>
          <w:szCs w:val="22"/>
          <w:lang w:eastAsia="en-US"/>
        </w:rPr>
        <w:t>By contrast, DeltaQ’s building</w:t>
      </w:r>
      <w:r w:rsidRPr="00844A6E">
        <w:rPr>
          <w:szCs w:val="22"/>
          <w:lang w:eastAsia="en-US"/>
        </w:rPr>
        <w:noBreakHyphen/>
        <w:t>level CBA results reflect buildings constructed in 2025.</w:t>
      </w:r>
    </w:p>
    <w:p w14:paraId="702383AD" w14:textId="77777777" w:rsidR="001F2683" w:rsidRDefault="001F2683" w:rsidP="001F2683">
      <w:pPr>
        <w:pStyle w:val="Heading2"/>
      </w:pPr>
      <w:bookmarkStart w:id="1288" w:name="_Toc149060070"/>
      <w:bookmarkStart w:id="1289" w:name="_Toc177735102"/>
      <w:bookmarkStart w:id="1290" w:name="_Toc178292536"/>
      <w:r>
        <w:t>Impacts of mandating electric vehicle charging facilities</w:t>
      </w:r>
      <w:bookmarkEnd w:id="1288"/>
      <w:bookmarkEnd w:id="1289"/>
      <w:bookmarkEnd w:id="1290"/>
    </w:p>
    <w:p w14:paraId="1D7F71D8" w14:textId="178503F7" w:rsidR="001F2683" w:rsidRPr="00844A6E" w:rsidRDefault="001F2683" w:rsidP="001F2683">
      <w:pPr>
        <w:pStyle w:val="BodyText"/>
        <w:rPr>
          <w:szCs w:val="22"/>
        </w:rPr>
      </w:pPr>
      <w:r w:rsidRPr="00844A6E">
        <w:rPr>
          <w:szCs w:val="22"/>
        </w:rPr>
        <w:t xml:space="preserve">The proposed changes to the NCC in relation to </w:t>
      </w:r>
      <w:r w:rsidR="007C46F5">
        <w:rPr>
          <w:szCs w:val="22"/>
        </w:rPr>
        <w:t>EV</w:t>
      </w:r>
      <w:r w:rsidRPr="00844A6E">
        <w:rPr>
          <w:szCs w:val="22"/>
        </w:rPr>
        <w:t>s are expected to be related to the provision of charging facilities at some commercial buildings, including:</w:t>
      </w:r>
    </w:p>
    <w:p w14:paraId="3D3F37D2" w14:textId="3F413C26" w:rsidR="001F2683" w:rsidRPr="00BF10E0" w:rsidRDefault="001F2683" w:rsidP="001F2683">
      <w:pPr>
        <w:pStyle w:val="ListBullet"/>
        <w:tabs>
          <w:tab w:val="num" w:pos="709"/>
        </w:tabs>
      </w:pPr>
      <w:r w:rsidRPr="00BF10E0">
        <w:t>hotels</w:t>
      </w:r>
      <w:r w:rsidR="009365F3">
        <w:t>,</w:t>
      </w:r>
    </w:p>
    <w:p w14:paraId="3D4D50A6" w14:textId="279C181E" w:rsidR="001F2683" w:rsidRPr="00BF10E0" w:rsidRDefault="001F2683" w:rsidP="001F2683">
      <w:pPr>
        <w:pStyle w:val="ListBullet"/>
        <w:tabs>
          <w:tab w:val="num" w:pos="709"/>
        </w:tabs>
      </w:pPr>
      <w:r w:rsidRPr="00BF10E0">
        <w:t>offices</w:t>
      </w:r>
      <w:r w:rsidR="005D316C">
        <w:t>,</w:t>
      </w:r>
    </w:p>
    <w:p w14:paraId="5A1BD695" w14:textId="1876E7FE" w:rsidR="001F2683" w:rsidRPr="00BF10E0" w:rsidRDefault="001F2683" w:rsidP="001F2683">
      <w:pPr>
        <w:pStyle w:val="ListBullet"/>
        <w:tabs>
          <w:tab w:val="num" w:pos="709"/>
        </w:tabs>
      </w:pPr>
      <w:r w:rsidRPr="00BF10E0">
        <w:t>factories</w:t>
      </w:r>
      <w:r w:rsidR="005D316C">
        <w:t>,</w:t>
      </w:r>
    </w:p>
    <w:p w14:paraId="7903E9A4" w14:textId="50DF1525" w:rsidR="001F2683" w:rsidRPr="00BF10E0" w:rsidRDefault="001F2683" w:rsidP="001F2683">
      <w:pPr>
        <w:pStyle w:val="ListBullet"/>
        <w:tabs>
          <w:tab w:val="num" w:pos="709"/>
        </w:tabs>
      </w:pPr>
      <w:r w:rsidRPr="00BF10E0">
        <w:t>warehouses</w:t>
      </w:r>
      <w:r w:rsidR="005D316C">
        <w:t>,</w:t>
      </w:r>
    </w:p>
    <w:p w14:paraId="26273EC7" w14:textId="4DB12C8B" w:rsidR="001F2683" w:rsidRPr="00BF10E0" w:rsidRDefault="001F2683" w:rsidP="001F2683">
      <w:pPr>
        <w:pStyle w:val="ListBullet"/>
        <w:tabs>
          <w:tab w:val="num" w:pos="709"/>
        </w:tabs>
      </w:pPr>
      <w:r w:rsidRPr="00BF10E0">
        <w:t>hospitals</w:t>
      </w:r>
      <w:r w:rsidR="005D316C">
        <w:t>, and</w:t>
      </w:r>
    </w:p>
    <w:p w14:paraId="4AA0180E" w14:textId="77777777" w:rsidR="001F2683" w:rsidRPr="00BF10E0" w:rsidRDefault="001F2683" w:rsidP="001F2683">
      <w:pPr>
        <w:pStyle w:val="ListBullet"/>
        <w:tabs>
          <w:tab w:val="num" w:pos="709"/>
        </w:tabs>
      </w:pPr>
      <w:r w:rsidRPr="00BF10E0">
        <w:t>aged care facilities.</w:t>
      </w:r>
    </w:p>
    <w:p w14:paraId="7AC7C107" w14:textId="7494F206" w:rsidR="001F2683" w:rsidRPr="00844A6E" w:rsidRDefault="001F2683" w:rsidP="001F2683">
      <w:pPr>
        <w:pStyle w:val="BodyText"/>
        <w:rPr>
          <w:szCs w:val="22"/>
        </w:rPr>
      </w:pPr>
      <w:r w:rsidRPr="00844A6E">
        <w:rPr>
          <w:szCs w:val="22"/>
        </w:rPr>
        <w:t>Uptake of EVs is widely seen as an essential component of reducing transport GHG emissions to reach aggregate net zero emissions by 2050. E</w:t>
      </w:r>
      <w:r w:rsidR="002118EB">
        <w:rPr>
          <w:szCs w:val="22"/>
        </w:rPr>
        <w:t>V</w:t>
      </w:r>
      <w:r w:rsidRPr="00844A6E">
        <w:rPr>
          <w:szCs w:val="22"/>
        </w:rPr>
        <w:t xml:space="preserve"> sales in Australia are lower than in many other comparable countries, but are increasing rapidly (in percentage terms). EVs are estimated to have made up around 8 per cent of new car sales in Australia in 2023 — double the share observed in 2022.</w:t>
      </w:r>
      <w:r w:rsidRPr="00A4291F">
        <w:rPr>
          <w:rStyle w:val="FootnoteReference"/>
        </w:rPr>
        <w:footnoteReference w:id="120"/>
      </w:r>
      <w:r w:rsidRPr="00A4291F">
        <w:rPr>
          <w:rStyle w:val="FootnoteReference"/>
        </w:rPr>
        <w:t xml:space="preserve"> </w:t>
      </w:r>
    </w:p>
    <w:p w14:paraId="5C45119E" w14:textId="77777777" w:rsidR="001F2683" w:rsidRPr="00844A6E" w:rsidRDefault="001F2683" w:rsidP="001F2683">
      <w:pPr>
        <w:pStyle w:val="BodyText"/>
        <w:rPr>
          <w:szCs w:val="22"/>
        </w:rPr>
      </w:pPr>
      <w:r w:rsidRPr="00844A6E">
        <w:rPr>
          <w:szCs w:val="22"/>
        </w:rPr>
        <w:t>All Australian states and territories have agreed to the National Electric Vehicle Strategy framework and key areas for national collaboration to ensure a national approach to EVs. This builds on existing Commonwealth and state governments’ policy measures in place to encourage the uptake of EVs.</w:t>
      </w:r>
    </w:p>
    <w:p w14:paraId="60C1BFC6" w14:textId="65186EA3" w:rsidR="001F2683" w:rsidRPr="00844A6E" w:rsidRDefault="001F2683" w:rsidP="001F2683">
      <w:pPr>
        <w:pStyle w:val="BodyText"/>
        <w:rPr>
          <w:szCs w:val="22"/>
        </w:rPr>
      </w:pPr>
      <w:r w:rsidRPr="00844A6E">
        <w:rPr>
          <w:szCs w:val="22"/>
        </w:rPr>
        <w:t xml:space="preserve">The availability of charging facilities has been identified as a key barrier to widespread uptake of </w:t>
      </w:r>
      <w:r w:rsidR="00B768A9">
        <w:rPr>
          <w:szCs w:val="22"/>
        </w:rPr>
        <w:t>EV</w:t>
      </w:r>
      <w:r w:rsidRPr="00844A6E">
        <w:rPr>
          <w:szCs w:val="22"/>
        </w:rPr>
        <w:t>s in Australia (along with high purchase price, limited supply and beliefs regarding vehicle range and charging time). This interdependence between EV adoption and charging station investment is referred to as an ‘indirect network effect’ (or the chicken and the egg problem): the benefit of adoption/investment on one side of the market increases with the network size of the other side of the market.</w:t>
      </w:r>
      <w:r w:rsidRPr="00A4291F">
        <w:rPr>
          <w:rStyle w:val="FootnoteReference"/>
        </w:rPr>
        <w:footnoteReference w:id="121"/>
      </w:r>
    </w:p>
    <w:p w14:paraId="03E705EB" w14:textId="3AA66704" w:rsidR="001F2683" w:rsidRPr="00EB7689" w:rsidRDefault="001F2683" w:rsidP="001F2683">
      <w:pPr>
        <w:pStyle w:val="ListBullet"/>
        <w:tabs>
          <w:tab w:val="num" w:pos="709"/>
        </w:tabs>
      </w:pPr>
      <w:r w:rsidRPr="00EB7689">
        <w:t xml:space="preserve">Even when EV owners can charge their vehicles overnight at home, some consumers still worry about running out of electricity before reaching their destination. This ‘range anxiety’ limits adoption of </w:t>
      </w:r>
      <w:r w:rsidR="00B768A9">
        <w:t>EV</w:t>
      </w:r>
      <w:r w:rsidRPr="00EB7689">
        <w:t>s, especially when public charging stations are scarce.</w:t>
      </w:r>
    </w:p>
    <w:p w14:paraId="50DACCEE" w14:textId="77777777" w:rsidR="001F2683" w:rsidRPr="00EB7689" w:rsidRDefault="001F2683" w:rsidP="001F2683">
      <w:pPr>
        <w:pStyle w:val="ListBullet"/>
        <w:tabs>
          <w:tab w:val="num" w:pos="709"/>
        </w:tabs>
      </w:pPr>
      <w:r w:rsidRPr="00EB7689">
        <w:t>At the same time, private investors have less incentive to build charging stations if the size of the EV fleet and the market potential are small.</w:t>
      </w:r>
    </w:p>
    <w:p w14:paraId="74F4A804" w14:textId="77777777" w:rsidR="001F2683" w:rsidRPr="00844A6E" w:rsidRDefault="001F2683" w:rsidP="001F2683">
      <w:pPr>
        <w:pStyle w:val="BodyText"/>
        <w:rPr>
          <w:szCs w:val="22"/>
        </w:rPr>
      </w:pPr>
      <w:r w:rsidRPr="00844A6E">
        <w:rPr>
          <w:szCs w:val="22"/>
        </w:rPr>
        <w:t>Governments are co-investing with industry to roll out networks of public highway and metropolitan fast charging stations. The availability of destination charging facilities where the car is parked for a period of time (such as office buildings or shopping centres) is also an important factor to encourage EV uptake.</w:t>
      </w:r>
    </w:p>
    <w:p w14:paraId="68DE8E52" w14:textId="77777777" w:rsidR="001F2683" w:rsidRPr="00844A6E" w:rsidRDefault="001F2683" w:rsidP="001F2683">
      <w:pPr>
        <w:pStyle w:val="BodyText"/>
        <w:rPr>
          <w:szCs w:val="22"/>
        </w:rPr>
      </w:pPr>
      <w:r w:rsidRPr="00844A6E">
        <w:rPr>
          <w:szCs w:val="22"/>
        </w:rPr>
        <w:t>The benefits of mandating EV charging facilities could be measured through:</w:t>
      </w:r>
    </w:p>
    <w:p w14:paraId="3D06DD25" w14:textId="77777777" w:rsidR="001F2683" w:rsidRPr="00EB7689" w:rsidRDefault="001F2683" w:rsidP="001F2683">
      <w:pPr>
        <w:pStyle w:val="ListBullet"/>
        <w:tabs>
          <w:tab w:val="num" w:pos="709"/>
        </w:tabs>
      </w:pPr>
      <w:r w:rsidRPr="00EB7689">
        <w:t>additional consumer surplus to</w:t>
      </w:r>
    </w:p>
    <w:p w14:paraId="4B5EA9DC" w14:textId="77777777" w:rsidR="001F2683" w:rsidRPr="00844A6E" w:rsidRDefault="001F2683" w:rsidP="001F2683">
      <w:pPr>
        <w:pStyle w:val="ListBullet"/>
        <w:numPr>
          <w:ilvl w:val="1"/>
          <w:numId w:val="34"/>
        </w:numPr>
        <w:rPr>
          <w:szCs w:val="22"/>
        </w:rPr>
      </w:pPr>
      <w:r w:rsidRPr="00844A6E">
        <w:rPr>
          <w:szCs w:val="22"/>
        </w:rPr>
        <w:t>consumers using EVs in the base case, and</w:t>
      </w:r>
    </w:p>
    <w:p w14:paraId="09A73976" w14:textId="77777777" w:rsidR="001F2683" w:rsidRPr="00844A6E" w:rsidRDefault="001F2683" w:rsidP="001F2683">
      <w:pPr>
        <w:pStyle w:val="ListBullet"/>
        <w:numPr>
          <w:ilvl w:val="1"/>
          <w:numId w:val="34"/>
        </w:numPr>
        <w:rPr>
          <w:szCs w:val="22"/>
        </w:rPr>
      </w:pPr>
      <w:r w:rsidRPr="00844A6E">
        <w:rPr>
          <w:szCs w:val="22"/>
        </w:rPr>
        <w:t>consumers induced to use EVs (using the rule of one half)</w:t>
      </w:r>
    </w:p>
    <w:p w14:paraId="6F5423DA" w14:textId="77777777" w:rsidR="001F2683" w:rsidRPr="00EB7689" w:rsidRDefault="001F2683" w:rsidP="001F2683">
      <w:pPr>
        <w:pStyle w:val="ListBullet"/>
        <w:tabs>
          <w:tab w:val="num" w:pos="709"/>
        </w:tabs>
      </w:pPr>
      <w:r w:rsidRPr="00EB7689">
        <w:t>GHG emissions avoided due to induced substitution from internal combustion vehicles to EVs;</w:t>
      </w:r>
    </w:p>
    <w:p w14:paraId="09F0670C" w14:textId="77777777" w:rsidR="001F2683" w:rsidRPr="00EB7689" w:rsidRDefault="001F2683" w:rsidP="001F2683">
      <w:pPr>
        <w:pStyle w:val="ListBullet"/>
        <w:tabs>
          <w:tab w:val="num" w:pos="709"/>
        </w:tabs>
      </w:pPr>
      <w:r w:rsidRPr="00EB7689">
        <w:t>Air pollution avoided due to induced substitution from internal combustion vehicles to EVs.</w:t>
      </w:r>
    </w:p>
    <w:p w14:paraId="66ADECC8" w14:textId="77777777" w:rsidR="001F2683" w:rsidRPr="00844A6E" w:rsidRDefault="001F2683" w:rsidP="001F2683">
      <w:pPr>
        <w:pStyle w:val="BodyText"/>
        <w:rPr>
          <w:szCs w:val="22"/>
        </w:rPr>
      </w:pPr>
      <w:r w:rsidRPr="00844A6E">
        <w:rPr>
          <w:szCs w:val="22"/>
        </w:rPr>
        <w:t>Benefits to building owners in terms of increased demand for their buildings are reflected in the consumer surplus measures listed above.</w:t>
      </w:r>
    </w:p>
    <w:p w14:paraId="3961A20D" w14:textId="402FFDA6" w:rsidR="001F2683" w:rsidRPr="00844A6E" w:rsidRDefault="001F2683" w:rsidP="001F2683">
      <w:pPr>
        <w:pStyle w:val="BodyText"/>
        <w:rPr>
          <w:szCs w:val="22"/>
        </w:rPr>
      </w:pPr>
      <w:r w:rsidRPr="00844A6E">
        <w:rPr>
          <w:szCs w:val="22"/>
        </w:rPr>
        <w:t xml:space="preserve">Previous CIE work has quantified consumers’ willingness to pay for various characteristics of </w:t>
      </w:r>
      <w:r w:rsidR="00B768A9">
        <w:rPr>
          <w:szCs w:val="22"/>
        </w:rPr>
        <w:t>EV</w:t>
      </w:r>
      <w:r w:rsidRPr="00844A6E">
        <w:rPr>
          <w:szCs w:val="22"/>
        </w:rPr>
        <w:t>s (such as price, range and operating costs) and the supporting infrastructure (such as availability of charging stations along highways and at destinations, such as shopping centres) through a stated preference survey.</w:t>
      </w:r>
      <w:r w:rsidRPr="00A4291F">
        <w:rPr>
          <w:rStyle w:val="FootnoteReference"/>
        </w:rPr>
        <w:footnoteReference w:id="122"/>
      </w:r>
      <w:r w:rsidRPr="00A4291F">
        <w:rPr>
          <w:rStyle w:val="FootnoteReference"/>
        </w:rPr>
        <w:t xml:space="preserve"> </w:t>
      </w:r>
      <w:r w:rsidRPr="00844A6E">
        <w:rPr>
          <w:szCs w:val="22"/>
        </w:rPr>
        <w:t xml:space="preserve">This work provides insight into the extent to which availability of charging facilities at commercial building destinations (such as offices and shopping centres) could benefit EV users and affect uptake of EVs, relative to the base case (i.e. with no requirement for charging facilities at commercial buildings). While a more recent study would be ideal, the range of charging availability levels used in the survey are suitable for the forecasts developed in this CRIS and we are not aware of a more recent Australian study quantifying the charging-infrastructure-availability elasticity of demand for EVs. We are also unaware of any evidence indicating this elasticity is likely to have changed over the past five years. </w:t>
      </w:r>
    </w:p>
    <w:p w14:paraId="7192AE0D" w14:textId="77777777" w:rsidR="001F2683" w:rsidRPr="00844A6E" w:rsidRDefault="001F2683" w:rsidP="001F2683">
      <w:pPr>
        <w:pStyle w:val="BodyText"/>
        <w:rPr>
          <w:szCs w:val="22"/>
        </w:rPr>
      </w:pPr>
      <w:r w:rsidRPr="00844A6E">
        <w:rPr>
          <w:szCs w:val="22"/>
        </w:rPr>
        <w:t>In addition to costs associated with installation of the facilities, stakeholders have indicated that higher load/capacity requirements for charging stations would lead to increased electricity demand. The industry is actively developing a load management system, which is anticipated to mitigate the impact of this cost increase.</w:t>
      </w:r>
    </w:p>
    <w:p w14:paraId="232C270E" w14:textId="77777777" w:rsidR="001F2683" w:rsidRPr="00844A6E" w:rsidRDefault="001F2683" w:rsidP="001F2683">
      <w:pPr>
        <w:pStyle w:val="BodyText"/>
        <w:rPr>
          <w:rFonts w:eastAsia="SimSun"/>
          <w:szCs w:val="22"/>
          <w:lang w:val="en-US"/>
        </w:rPr>
      </w:pPr>
      <w:r w:rsidRPr="00844A6E">
        <w:rPr>
          <w:rFonts w:eastAsia="SimSun"/>
          <w:szCs w:val="22"/>
          <w:lang w:val="en-US"/>
        </w:rPr>
        <w:t>Furthermore, charging facilities may pose a fire risk, particularly during the charging process. While data on EV fires are relatively scarce due to the early stage of uptake, it is</w:t>
      </w:r>
      <w:r>
        <w:rPr>
          <w:rFonts w:eastAsia="SimSun"/>
          <w:lang w:val="en-US"/>
        </w:rPr>
        <w:t xml:space="preserve"> </w:t>
      </w:r>
      <w:r w:rsidRPr="00844A6E">
        <w:rPr>
          <w:rFonts w:eastAsia="SimSun"/>
          <w:szCs w:val="22"/>
          <w:lang w:val="en-US"/>
        </w:rPr>
        <w:t>believed that EV fires are rare and less frequent than petrol and diesel vehicles.</w:t>
      </w:r>
      <w:r w:rsidRPr="00A4291F">
        <w:rPr>
          <w:rStyle w:val="FootnoteReference"/>
        </w:rPr>
        <w:footnoteReference w:id="123"/>
      </w:r>
      <w:r w:rsidRPr="00A4291F">
        <w:rPr>
          <w:rStyle w:val="FootnoteReference"/>
        </w:rPr>
        <w:t xml:space="preserve"> </w:t>
      </w:r>
      <w:r w:rsidRPr="00844A6E">
        <w:rPr>
          <w:rFonts w:eastAsia="SimSun"/>
          <w:szCs w:val="22"/>
          <w:lang w:val="en-US"/>
        </w:rPr>
        <w:t>Nevertheless, the current state of battery technology renders them difficult to extinguish once ignited, meaning the expected damage may be high. Consequently, additional expenses may be necessary to mitigate this risk, such as implementing structural reinforcements and providing extra buffer space to allow for physical isolation.</w:t>
      </w:r>
    </w:p>
    <w:p w14:paraId="6FE30126" w14:textId="77777777" w:rsidR="001F2683" w:rsidRPr="00844A6E" w:rsidRDefault="001F2683" w:rsidP="001F2683">
      <w:pPr>
        <w:pStyle w:val="BodyText"/>
        <w:rPr>
          <w:rFonts w:eastAsia="SimSun"/>
          <w:szCs w:val="22"/>
          <w:lang w:val="en-US"/>
        </w:rPr>
      </w:pPr>
      <w:r w:rsidRPr="00844A6E">
        <w:rPr>
          <w:rFonts w:eastAsia="SimSun"/>
          <w:szCs w:val="22"/>
          <w:lang w:val="en-US"/>
        </w:rPr>
        <w:t>The ABCB engaged EV FireSafe to investigate EV risks and published an advisory note to support the safer installation and use of EV chargers. As a result, this CRIS will not separately quantify the costs of mitigating fire risk of EV charging.</w:t>
      </w:r>
    </w:p>
    <w:p w14:paraId="72B0106E" w14:textId="3071F4F9" w:rsidR="001F2683" w:rsidRDefault="001F2683" w:rsidP="001F2683">
      <w:pPr>
        <w:pStyle w:val="Heading3"/>
      </w:pPr>
      <w:r>
        <w:t>EV take up in the base case</w:t>
      </w:r>
    </w:p>
    <w:p w14:paraId="67732F17" w14:textId="49287436" w:rsidR="001F2683" w:rsidRPr="001F2683" w:rsidRDefault="001F2683" w:rsidP="001F2683">
      <w:pPr>
        <w:pStyle w:val="BodyText"/>
        <w:rPr>
          <w:szCs w:val="22"/>
        </w:rPr>
      </w:pPr>
      <w:r w:rsidRPr="001F2683">
        <w:rPr>
          <w:szCs w:val="22"/>
        </w:rPr>
        <w:t>The CSIRO</w:t>
      </w:r>
      <w:r w:rsidRPr="001F2683" w:rsidDel="00F00E13">
        <w:rPr>
          <w:szCs w:val="22"/>
        </w:rPr>
        <w:t xml:space="preserve"> </w:t>
      </w:r>
      <w:r w:rsidRPr="001F2683">
        <w:rPr>
          <w:szCs w:val="22"/>
        </w:rPr>
        <w:t xml:space="preserve">provided AEMO with </w:t>
      </w:r>
      <w:r w:rsidR="00B768A9">
        <w:rPr>
          <w:szCs w:val="22"/>
        </w:rPr>
        <w:t>EV</w:t>
      </w:r>
      <w:r w:rsidRPr="001F2683">
        <w:rPr>
          <w:szCs w:val="22"/>
        </w:rPr>
        <w:t xml:space="preserve"> sales and fleet share projections up to 2050, encompassing four scenarios.</w:t>
      </w:r>
      <w:r w:rsidRPr="00A4291F">
        <w:rPr>
          <w:rStyle w:val="FootnoteReference"/>
        </w:rPr>
        <w:footnoteReference w:id="124"/>
      </w:r>
      <w:r w:rsidRPr="00A4291F">
        <w:rPr>
          <w:rStyle w:val="FootnoteReference"/>
        </w:rPr>
        <w:t xml:space="preserve"> </w:t>
      </w:r>
      <w:r w:rsidRPr="001F2683">
        <w:rPr>
          <w:szCs w:val="22"/>
        </w:rPr>
        <w:t>Among these scenarios, the Progressive Change scenario represents the slowest uptake, while the Hydrogen Export scenario exhibits the swiftest uptake (chart </w:t>
      </w:r>
      <w:r w:rsidRPr="001F2683">
        <w:rPr>
          <w:szCs w:val="22"/>
        </w:rPr>
        <w:fldChar w:fldCharType="begin"/>
      </w:r>
      <w:r w:rsidRPr="001F2683">
        <w:rPr>
          <w:szCs w:val="22"/>
        </w:rPr>
        <w:instrText xml:space="preserve"> REF _Caption3470 </w:instrText>
      </w:r>
      <w:r>
        <w:rPr>
          <w:szCs w:val="22"/>
        </w:rPr>
        <w:instrText xml:space="preserve"> \* MERGEFORMAT </w:instrText>
      </w:r>
      <w:r w:rsidRPr="001F2683">
        <w:rPr>
          <w:szCs w:val="22"/>
        </w:rPr>
        <w:fldChar w:fldCharType="separate"/>
      </w:r>
      <w:r w:rsidR="006E00A7">
        <w:rPr>
          <w:noProof/>
        </w:rPr>
        <w:t>5</w:t>
      </w:r>
      <w:r w:rsidR="006E00A7" w:rsidRPr="00695C93">
        <w:rPr>
          <w:noProof/>
        </w:rPr>
        <w:t>.</w:t>
      </w:r>
      <w:r w:rsidR="006E00A7">
        <w:rPr>
          <w:noProof/>
        </w:rPr>
        <w:t>8</w:t>
      </w:r>
      <w:r w:rsidRPr="001F2683">
        <w:rPr>
          <w:szCs w:val="22"/>
        </w:rPr>
        <w:fldChar w:fldCharType="end"/>
      </w:r>
      <w:r w:rsidRPr="001F2683">
        <w:rPr>
          <w:szCs w:val="22"/>
        </w:rPr>
        <w:t xml:space="preserve"> and </w:t>
      </w:r>
      <w:r w:rsidRPr="001F2683">
        <w:rPr>
          <w:szCs w:val="22"/>
        </w:rPr>
        <w:fldChar w:fldCharType="begin"/>
      </w:r>
      <w:r w:rsidRPr="001F2683">
        <w:rPr>
          <w:szCs w:val="22"/>
        </w:rPr>
        <w:instrText xml:space="preserve"> REF _Caption5011 </w:instrText>
      </w:r>
      <w:r>
        <w:rPr>
          <w:szCs w:val="22"/>
        </w:rPr>
        <w:instrText xml:space="preserve"> \* MERGEFORMAT </w:instrText>
      </w:r>
      <w:r w:rsidRPr="001F2683">
        <w:rPr>
          <w:szCs w:val="22"/>
        </w:rPr>
        <w:fldChar w:fldCharType="separate"/>
      </w:r>
      <w:r w:rsidR="006E00A7">
        <w:rPr>
          <w:noProof/>
        </w:rPr>
        <w:t>5</w:t>
      </w:r>
      <w:r w:rsidR="006E00A7" w:rsidRPr="00695C93">
        <w:rPr>
          <w:noProof/>
        </w:rPr>
        <w:t>.</w:t>
      </w:r>
      <w:r w:rsidR="006E00A7">
        <w:rPr>
          <w:noProof/>
        </w:rPr>
        <w:t>9</w:t>
      </w:r>
      <w:r w:rsidRPr="001F2683">
        <w:rPr>
          <w:szCs w:val="22"/>
        </w:rPr>
        <w:fldChar w:fldCharType="end"/>
      </w:r>
      <w:r w:rsidRPr="001F2683">
        <w:rPr>
          <w:szCs w:val="22"/>
        </w:rPr>
        <w:t>).</w:t>
      </w:r>
    </w:p>
    <w:p w14:paraId="48E26B2F" w14:textId="1E62BB4C" w:rsidR="001F2683" w:rsidRPr="00844A6E" w:rsidRDefault="001F2683" w:rsidP="001F2683">
      <w:pPr>
        <w:pStyle w:val="BodyText"/>
        <w:rPr>
          <w:szCs w:val="22"/>
        </w:rPr>
      </w:pPr>
      <w:r w:rsidRPr="001F2683">
        <w:rPr>
          <w:szCs w:val="22"/>
        </w:rPr>
        <w:t xml:space="preserve">For our analysis, we choose the Step Change scenario as the central case. According to this scenario, EV sales are anticipated to account for 99 per cent of all new vehicle sales by 2042 (chart </w:t>
      </w:r>
      <w:r w:rsidRPr="001F2683">
        <w:rPr>
          <w:szCs w:val="22"/>
        </w:rPr>
        <w:fldChar w:fldCharType="begin"/>
      </w:r>
      <w:r w:rsidRPr="001F2683">
        <w:rPr>
          <w:szCs w:val="22"/>
        </w:rPr>
        <w:instrText xml:space="preserve"> REF _Caption0083 </w:instrText>
      </w:r>
      <w:r>
        <w:rPr>
          <w:szCs w:val="22"/>
        </w:rPr>
        <w:instrText xml:space="preserve"> \* MERGEFORMAT </w:instrText>
      </w:r>
      <w:r w:rsidRPr="001F2683">
        <w:rPr>
          <w:szCs w:val="22"/>
        </w:rPr>
        <w:fldChar w:fldCharType="separate"/>
      </w:r>
      <w:r w:rsidR="006E00A7">
        <w:rPr>
          <w:noProof/>
        </w:rPr>
        <w:t>5</w:t>
      </w:r>
      <w:r w:rsidR="006E00A7" w:rsidRPr="00695C93">
        <w:rPr>
          <w:noProof/>
        </w:rPr>
        <w:t>.</w:t>
      </w:r>
      <w:r w:rsidR="006E00A7">
        <w:rPr>
          <w:noProof/>
        </w:rPr>
        <w:t>8</w:t>
      </w:r>
      <w:r w:rsidRPr="001F2683">
        <w:rPr>
          <w:szCs w:val="22"/>
        </w:rPr>
        <w:fldChar w:fldCharType="end"/>
      </w:r>
      <w:r w:rsidRPr="001F2683">
        <w:rPr>
          <w:szCs w:val="22"/>
        </w:rPr>
        <w:t xml:space="preserve">), with EVs making up 99 per cent of the entire fleet by 2050 (chart </w:t>
      </w:r>
      <w:r w:rsidRPr="001F2683">
        <w:rPr>
          <w:szCs w:val="22"/>
        </w:rPr>
        <w:fldChar w:fldCharType="begin"/>
      </w:r>
      <w:r w:rsidRPr="001F2683">
        <w:rPr>
          <w:szCs w:val="22"/>
        </w:rPr>
        <w:instrText xml:space="preserve"> REF _Caption9258 </w:instrText>
      </w:r>
      <w:r>
        <w:rPr>
          <w:szCs w:val="22"/>
        </w:rPr>
        <w:instrText xml:space="preserve"> \* MERGEFORMAT </w:instrText>
      </w:r>
      <w:r w:rsidRPr="001F2683">
        <w:rPr>
          <w:szCs w:val="22"/>
        </w:rPr>
        <w:fldChar w:fldCharType="separate"/>
      </w:r>
      <w:r w:rsidR="006E00A7">
        <w:rPr>
          <w:noProof/>
        </w:rPr>
        <w:t>5</w:t>
      </w:r>
      <w:r w:rsidR="006E00A7" w:rsidRPr="00695C93">
        <w:rPr>
          <w:noProof/>
        </w:rPr>
        <w:t>.</w:t>
      </w:r>
      <w:r w:rsidR="006E00A7">
        <w:rPr>
          <w:noProof/>
        </w:rPr>
        <w:t>9</w:t>
      </w:r>
      <w:r w:rsidRPr="001F2683">
        <w:rPr>
          <w:szCs w:val="22"/>
        </w:rPr>
        <w:fldChar w:fldCharType="end"/>
      </w:r>
      <w:r w:rsidRPr="001F2683">
        <w:rPr>
          <w:szCs w:val="22"/>
        </w:rPr>
        <w:t>).</w:t>
      </w:r>
    </w:p>
    <w:p w14:paraId="762216AE" w14:textId="2188B191" w:rsidR="001F2683" w:rsidRPr="00695C93" w:rsidRDefault="001F2683">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E136D5">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E136D5">
          <w:rPr>
            <w:noProof/>
          </w:rPr>
          <w:instrText>5</w:instrText>
        </w:r>
      </w:fldSimple>
      <w:r w:rsidRPr="00695C93">
        <w:instrText xml:space="preserve"> = 0 "" "</w:instrText>
      </w:r>
      <w:fldSimple w:instr=" STYLEREF &quot;Heading 1&quot; \l \n ">
        <w:r w:rsidR="00E136D5">
          <w:rPr>
            <w:noProof/>
          </w:rPr>
          <w:instrText>5</w:instrText>
        </w:r>
      </w:fldSimple>
      <w:r w:rsidRPr="00695C93">
        <w:instrText xml:space="preserve">." </w:instrText>
      </w:r>
      <w:r w:rsidRPr="00695C93">
        <w:fldChar w:fldCharType="separate"/>
      </w:r>
      <w:r w:rsidR="00E136D5">
        <w:rPr>
          <w:noProof/>
        </w:rPr>
        <w:instrText>5</w:instrText>
      </w:r>
      <w:r w:rsidR="00E136D5" w:rsidRPr="00695C93">
        <w:rPr>
          <w:noProof/>
        </w:rPr>
        <w:instrText>.</w:instrText>
      </w:r>
      <w:r w:rsidRPr="00695C93">
        <w:fldChar w:fldCharType="end"/>
      </w:r>
      <w:r w:rsidRPr="00695C93">
        <w:instrText>" "</w:instrText>
      </w:r>
      <w:fldSimple w:instr=" STYLEREF &quot;Heading 6&quot; \l \n ">
        <w:r>
          <w:rPr>
            <w:noProof/>
          </w:rPr>
          <w:instrText>A</w:instrText>
        </w:r>
      </w:fldSimple>
      <w:r w:rsidRPr="00695C93">
        <w:instrText xml:space="preserve">." </w:instrText>
      </w:r>
      <w:r w:rsidRPr="00695C93">
        <w:fldChar w:fldCharType="separate"/>
      </w:r>
      <w:r w:rsidR="008C60A3">
        <w:rPr>
          <w:noProof/>
        </w:rPr>
        <w:instrText>5</w:instrText>
      </w:r>
      <w:r w:rsidR="008C60A3"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E136D5">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E136D5">
          <w:rPr>
            <w:noProof/>
          </w:rPr>
          <w:instrText>5</w:instrText>
        </w:r>
      </w:fldSimple>
      <w:r w:rsidRPr="00695C93">
        <w:instrText xml:space="preserve"> = 0 "" "1" </w:instrText>
      </w:r>
      <w:r w:rsidRPr="00695C93">
        <w:fldChar w:fldCharType="separate"/>
      </w:r>
      <w:r w:rsidR="008C60A3" w:rsidRPr="00695C93">
        <w:rPr>
          <w:noProof/>
        </w:rPr>
        <w:instrText>1</w:instrText>
      </w:r>
      <w:r w:rsidRPr="00695C93">
        <w:fldChar w:fldCharType="end"/>
      </w:r>
      <w:r w:rsidRPr="00695C93">
        <w:instrText xml:space="preserve">" "6" </w:instrText>
      </w:r>
      <w:r w:rsidRPr="00695C93">
        <w:fldChar w:fldCharType="separate"/>
      </w:r>
      <w:r w:rsidR="008C60A3" w:rsidRPr="00695C93">
        <w:rPr>
          <w:noProof/>
        </w:rPr>
        <w:instrText>1</w:instrText>
      </w:r>
      <w:r w:rsidRPr="00695C93">
        <w:fldChar w:fldCharType="end"/>
      </w:r>
      <w:r w:rsidRPr="00695C93">
        <w:instrText xml:space="preserve"> </w:instrText>
      </w:r>
      <w:r w:rsidRPr="00695C93">
        <w:fldChar w:fldCharType="separate"/>
      </w:r>
      <w:r w:rsidR="00E136D5">
        <w:rPr>
          <w:noProof/>
        </w:rPr>
        <w:instrText>8</w:instrText>
      </w:r>
      <w:r w:rsidRPr="00695C93">
        <w:fldChar w:fldCharType="end"/>
      </w:r>
      <w:r w:rsidRPr="00695C93">
        <w:instrText xml:space="preserve">" "" </w:instrText>
      </w:r>
      <w:r w:rsidRPr="00695C93">
        <w:fldChar w:fldCharType="separate"/>
      </w:r>
      <w:bookmarkStart w:id="1293" w:name="_Caption5364"/>
      <w:bookmarkStart w:id="1294" w:name="_Caption2993"/>
      <w:bookmarkStart w:id="1295" w:name="_Caption2726"/>
      <w:bookmarkStart w:id="1296" w:name="_Caption1273"/>
      <w:bookmarkStart w:id="1297" w:name="_Caption8718"/>
      <w:bookmarkStart w:id="1298" w:name="_Caption3250"/>
      <w:bookmarkStart w:id="1299" w:name="_Caption1070"/>
      <w:bookmarkStart w:id="1300" w:name="_Caption1889"/>
      <w:bookmarkStart w:id="1301" w:name="_Caption7226"/>
      <w:bookmarkStart w:id="1302" w:name="_Caption5420"/>
      <w:bookmarkStart w:id="1303" w:name="_Caption8311"/>
      <w:bookmarkStart w:id="1304" w:name="_Caption2678"/>
      <w:bookmarkStart w:id="1305" w:name="_Caption0464"/>
      <w:bookmarkStart w:id="1306" w:name="_Caption5906"/>
      <w:bookmarkStart w:id="1307" w:name="_Caption0083"/>
      <w:bookmarkStart w:id="1308" w:name="_Caption2768"/>
      <w:bookmarkStart w:id="1309" w:name="_Caption3470"/>
      <w:bookmarkStart w:id="1310" w:name="_Caption0921"/>
      <w:bookmarkStart w:id="1311" w:name="_Caption0189"/>
      <w:bookmarkStart w:id="1312" w:name="_Caption0628"/>
      <w:bookmarkStart w:id="1313" w:name="_Caption7285"/>
      <w:bookmarkStart w:id="1314" w:name="_Caption2236"/>
      <w:bookmarkStart w:id="1315" w:name="_Caption4294"/>
      <w:bookmarkStart w:id="1316" w:name="_Caption4571"/>
      <w:bookmarkStart w:id="1317" w:name="_Caption8246"/>
      <w:bookmarkStart w:id="1318" w:name="_Caption4954"/>
      <w:bookmarkStart w:id="1319" w:name="_Caption1782"/>
      <w:bookmarkStart w:id="1320" w:name="_Caption3616"/>
      <w:bookmarkStart w:id="1321" w:name="_Caption7763"/>
      <w:bookmarkStart w:id="1322" w:name="_Caption9532"/>
      <w:bookmarkStart w:id="1323" w:name="_Caption4102"/>
      <w:bookmarkStart w:id="1324" w:name="_Caption4183"/>
      <w:bookmarkStart w:id="1325" w:name="_Caption5957"/>
      <w:bookmarkStart w:id="1326" w:name="_Caption3142"/>
      <w:bookmarkStart w:id="1327" w:name="_Caption6555"/>
      <w:bookmarkStart w:id="1328" w:name="_Caption4764"/>
      <w:bookmarkStart w:id="1329" w:name="_Caption1124"/>
      <w:bookmarkStart w:id="1330" w:name="_Caption7740"/>
      <w:bookmarkStart w:id="1331" w:name="_Caption9652"/>
      <w:bookmarkStart w:id="1332" w:name="_Caption6234"/>
      <w:bookmarkStart w:id="1333" w:name="_Caption2382"/>
      <w:bookmarkStart w:id="1334" w:name="_Caption3993"/>
      <w:bookmarkStart w:id="1335" w:name="_Caption9756"/>
      <w:bookmarkStart w:id="1336" w:name="_Caption9965"/>
      <w:bookmarkStart w:id="1337" w:name="_Caption9028"/>
      <w:bookmarkStart w:id="1338" w:name="_Caption2432"/>
      <w:bookmarkStart w:id="1339" w:name="_Caption5554"/>
      <w:bookmarkStart w:id="1340" w:name="_Caption1872"/>
      <w:bookmarkStart w:id="1341" w:name="_Caption6867"/>
      <w:bookmarkStart w:id="1342" w:name="_Caption3588"/>
      <w:bookmarkStart w:id="1343" w:name="_Caption9705"/>
      <w:bookmarkStart w:id="1344" w:name="_Caption1341"/>
      <w:bookmarkStart w:id="1345" w:name="_Caption4936"/>
      <w:bookmarkStart w:id="1346" w:name="_Caption9873"/>
      <w:bookmarkStart w:id="1347" w:name="_Caption9625"/>
      <w:bookmarkStart w:id="1348" w:name="_Caption8818"/>
      <w:bookmarkStart w:id="1349" w:name="_Caption7918"/>
      <w:bookmarkStart w:id="1350" w:name="_Caption6238"/>
      <w:bookmarkStart w:id="1351" w:name="_Caption9769"/>
      <w:bookmarkStart w:id="1352" w:name="_Caption8148"/>
      <w:bookmarkStart w:id="1353" w:name="_Caption8812"/>
      <w:bookmarkStart w:id="1354" w:name="_Caption6237"/>
      <w:bookmarkStart w:id="1355" w:name="_Toc178292582"/>
      <w:r w:rsidR="008C60A3">
        <w:rPr>
          <w:noProof/>
        </w:rPr>
        <w:t>5</w:t>
      </w:r>
      <w:r w:rsidR="008C60A3" w:rsidRPr="00695C93">
        <w:rPr>
          <w:noProof/>
        </w:rPr>
        <w:t>.</w:t>
      </w:r>
      <w:r w:rsidR="008C60A3">
        <w:rPr>
          <w:noProof/>
        </w:rPr>
        <w:t>8</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r w:rsidRPr="00695C93">
        <w:fldChar w:fldCharType="end"/>
      </w:r>
      <w:r w:rsidRPr="00695C93">
        <w:tab/>
      </w:r>
      <w:r w:rsidRPr="00E61ADA">
        <w:t>Projected EV sales share</w:t>
      </w:r>
      <w:bookmarkEnd w:id="1355"/>
    </w:p>
    <w:p w14:paraId="0C490666" w14:textId="77777777" w:rsidR="001F2683" w:rsidRPr="00CC168A" w:rsidRDefault="001F2683" w:rsidP="001F2683">
      <w:pPr>
        <w:pStyle w:val="Subtitlebox"/>
      </w:pPr>
      <w:r w:rsidRPr="0033769A">
        <w:rPr>
          <w:noProof/>
        </w:rPr>
        <w:drawing>
          <wp:inline distT="0" distB="0" distL="0" distR="0" wp14:anchorId="2488B44E" wp14:editId="4713E0FD">
            <wp:extent cx="4960620" cy="2508885"/>
            <wp:effectExtent l="76200" t="76200" r="68580" b="81915"/>
            <wp:docPr id="1923572860" name="Picture 1923572860" descr="Chart 5.8 - EV sales as a share of total vehicle sales under different scenarios projected out to 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572860" name="Picture 1923572860" descr="Chart 5.8 - EV sales as a share of total vehicle sales under different scenarios projected out to 2050"/>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r="1252"/>
                    <a:stretch/>
                  </pic:blipFill>
                  <pic:spPr bwMode="auto">
                    <a:xfrm>
                      <a:off x="0" y="0"/>
                      <a:ext cx="4960620" cy="2508885"/>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68872AFA" w14:textId="77777777" w:rsidR="001F2683" w:rsidRPr="0098035D" w:rsidRDefault="001F2683" w:rsidP="001F2683">
      <w:pPr>
        <w:pStyle w:val="Source"/>
      </w:pPr>
      <w:r>
        <w:rPr>
          <w:i/>
        </w:rPr>
        <w:t>Data source</w:t>
      </w:r>
      <w:r w:rsidRPr="00A67576">
        <w:rPr>
          <w:i/>
        </w:rPr>
        <w:t>:</w:t>
      </w:r>
      <w:r>
        <w:t xml:space="preserve"> Graham (2022), Table B.1, 9.59.</w:t>
      </w:r>
    </w:p>
    <w:p w14:paraId="15AD8F9A" w14:textId="7FFF370B" w:rsidR="001F2683" w:rsidRPr="00695C93" w:rsidRDefault="001F2683">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E136D5">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E136D5">
          <w:rPr>
            <w:noProof/>
          </w:rPr>
          <w:instrText>5</w:instrText>
        </w:r>
      </w:fldSimple>
      <w:r w:rsidRPr="00695C93">
        <w:instrText xml:space="preserve"> = 0 "" "</w:instrText>
      </w:r>
      <w:fldSimple w:instr=" STYLEREF &quot;Heading 1&quot; \l \n ">
        <w:r w:rsidR="00E136D5">
          <w:rPr>
            <w:noProof/>
          </w:rPr>
          <w:instrText>5</w:instrText>
        </w:r>
      </w:fldSimple>
      <w:r w:rsidRPr="00695C93">
        <w:instrText xml:space="preserve">." </w:instrText>
      </w:r>
      <w:r w:rsidRPr="00695C93">
        <w:fldChar w:fldCharType="separate"/>
      </w:r>
      <w:r w:rsidR="00E136D5">
        <w:rPr>
          <w:noProof/>
        </w:rPr>
        <w:instrText>5</w:instrText>
      </w:r>
      <w:r w:rsidR="00E136D5" w:rsidRPr="00695C93">
        <w:rPr>
          <w:noProof/>
        </w:rPr>
        <w:instrText>.</w:instrText>
      </w:r>
      <w:r w:rsidRPr="00695C93">
        <w:fldChar w:fldCharType="end"/>
      </w:r>
      <w:r w:rsidRPr="00695C93">
        <w:instrText>" "</w:instrText>
      </w:r>
      <w:fldSimple w:instr=" STYLEREF &quot;Heading 6&quot; \l \n ">
        <w:r>
          <w:rPr>
            <w:noProof/>
          </w:rPr>
          <w:instrText>A</w:instrText>
        </w:r>
      </w:fldSimple>
      <w:r w:rsidRPr="00695C93">
        <w:instrText xml:space="preserve">." </w:instrText>
      </w:r>
      <w:r w:rsidRPr="00695C93">
        <w:fldChar w:fldCharType="separate"/>
      </w:r>
      <w:r w:rsidR="008C60A3">
        <w:rPr>
          <w:noProof/>
        </w:rPr>
        <w:instrText>5</w:instrText>
      </w:r>
      <w:r w:rsidR="008C60A3"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E136D5">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E136D5">
          <w:rPr>
            <w:noProof/>
          </w:rPr>
          <w:instrText>5</w:instrText>
        </w:r>
      </w:fldSimple>
      <w:r w:rsidRPr="00695C93">
        <w:instrText xml:space="preserve"> = 0 "" "1" </w:instrText>
      </w:r>
      <w:r w:rsidRPr="00695C93">
        <w:fldChar w:fldCharType="separate"/>
      </w:r>
      <w:r w:rsidR="008C60A3" w:rsidRPr="00695C93">
        <w:rPr>
          <w:noProof/>
        </w:rPr>
        <w:instrText>1</w:instrText>
      </w:r>
      <w:r w:rsidRPr="00695C93">
        <w:fldChar w:fldCharType="end"/>
      </w:r>
      <w:r w:rsidRPr="00695C93">
        <w:instrText xml:space="preserve">" "6" </w:instrText>
      </w:r>
      <w:r w:rsidRPr="00695C93">
        <w:fldChar w:fldCharType="separate"/>
      </w:r>
      <w:r w:rsidR="008C60A3" w:rsidRPr="00695C93">
        <w:rPr>
          <w:noProof/>
        </w:rPr>
        <w:instrText>1</w:instrText>
      </w:r>
      <w:r w:rsidRPr="00695C93">
        <w:fldChar w:fldCharType="end"/>
      </w:r>
      <w:r w:rsidRPr="00695C93">
        <w:instrText xml:space="preserve"> </w:instrText>
      </w:r>
      <w:r w:rsidRPr="00695C93">
        <w:fldChar w:fldCharType="separate"/>
      </w:r>
      <w:r w:rsidR="00E136D5">
        <w:rPr>
          <w:noProof/>
        </w:rPr>
        <w:instrText>9</w:instrText>
      </w:r>
      <w:r w:rsidRPr="00695C93">
        <w:fldChar w:fldCharType="end"/>
      </w:r>
      <w:r w:rsidRPr="00695C93">
        <w:instrText xml:space="preserve">" "" </w:instrText>
      </w:r>
      <w:r w:rsidRPr="00695C93">
        <w:fldChar w:fldCharType="separate"/>
      </w:r>
      <w:bookmarkStart w:id="1356" w:name="_Caption4388"/>
      <w:bookmarkStart w:id="1357" w:name="_Caption2098"/>
      <w:bookmarkStart w:id="1358" w:name="_Caption1724"/>
      <w:bookmarkStart w:id="1359" w:name="_Caption0418"/>
      <w:bookmarkStart w:id="1360" w:name="_Caption2177"/>
      <w:bookmarkStart w:id="1361" w:name="_Caption6068"/>
      <w:bookmarkStart w:id="1362" w:name="_Caption6691"/>
      <w:bookmarkStart w:id="1363" w:name="_Caption6095"/>
      <w:bookmarkStart w:id="1364" w:name="_Caption1351"/>
      <w:bookmarkStart w:id="1365" w:name="_Caption6300"/>
      <w:bookmarkStart w:id="1366" w:name="_Caption2863"/>
      <w:bookmarkStart w:id="1367" w:name="_Caption6711"/>
      <w:bookmarkStart w:id="1368" w:name="_Caption9370"/>
      <w:bookmarkStart w:id="1369" w:name="_Caption9258"/>
      <w:bookmarkStart w:id="1370" w:name="_Caption7280"/>
      <w:bookmarkStart w:id="1371" w:name="_Caption5011"/>
      <w:bookmarkStart w:id="1372" w:name="_Caption1695"/>
      <w:bookmarkStart w:id="1373" w:name="_Caption2055"/>
      <w:bookmarkStart w:id="1374" w:name="_Caption7732"/>
      <w:bookmarkStart w:id="1375" w:name="_Caption1936"/>
      <w:bookmarkStart w:id="1376" w:name="_Caption6537"/>
      <w:bookmarkStart w:id="1377" w:name="_Caption9779"/>
      <w:bookmarkStart w:id="1378" w:name="_Caption2946"/>
      <w:bookmarkStart w:id="1379" w:name="_Caption7414"/>
      <w:bookmarkStart w:id="1380" w:name="_Caption8006"/>
      <w:bookmarkStart w:id="1381" w:name="_Caption8052"/>
      <w:bookmarkStart w:id="1382" w:name="_Caption7443"/>
      <w:bookmarkStart w:id="1383" w:name="_Caption7059"/>
      <w:bookmarkStart w:id="1384" w:name="_Caption7696"/>
      <w:bookmarkStart w:id="1385" w:name="_Caption2136"/>
      <w:bookmarkStart w:id="1386" w:name="_Caption5825"/>
      <w:bookmarkStart w:id="1387" w:name="_Caption7200"/>
      <w:bookmarkStart w:id="1388" w:name="_Caption3927"/>
      <w:bookmarkStart w:id="1389" w:name="_Caption5172"/>
      <w:bookmarkStart w:id="1390" w:name="_Caption7678"/>
      <w:bookmarkStart w:id="1391" w:name="_Caption8462"/>
      <w:bookmarkStart w:id="1392" w:name="_Caption1658"/>
      <w:bookmarkStart w:id="1393" w:name="_Caption9342"/>
      <w:bookmarkStart w:id="1394" w:name="_Caption2496"/>
      <w:bookmarkStart w:id="1395" w:name="_Caption2002"/>
      <w:bookmarkStart w:id="1396" w:name="_Caption5505"/>
      <w:bookmarkStart w:id="1397" w:name="_Caption1109"/>
      <w:bookmarkStart w:id="1398" w:name="_Caption4389"/>
      <w:bookmarkStart w:id="1399" w:name="_Caption3663"/>
      <w:bookmarkStart w:id="1400" w:name="_Caption5050"/>
      <w:bookmarkStart w:id="1401" w:name="_Caption5611"/>
      <w:bookmarkStart w:id="1402" w:name="_Caption1922"/>
      <w:bookmarkStart w:id="1403" w:name="_Caption5677"/>
      <w:bookmarkStart w:id="1404" w:name="_Caption0112"/>
      <w:bookmarkStart w:id="1405" w:name="_Caption4229"/>
      <w:bookmarkStart w:id="1406" w:name="_Caption3017"/>
      <w:bookmarkStart w:id="1407" w:name="_Caption0650"/>
      <w:bookmarkStart w:id="1408" w:name="_Caption1665"/>
      <w:bookmarkStart w:id="1409" w:name="_Caption4212"/>
      <w:bookmarkStart w:id="1410" w:name="_Caption2990"/>
      <w:bookmarkStart w:id="1411" w:name="_Caption8885"/>
      <w:bookmarkStart w:id="1412" w:name="_Caption5527"/>
      <w:bookmarkStart w:id="1413" w:name="_Caption2647"/>
      <w:bookmarkStart w:id="1414" w:name="_Caption3467"/>
      <w:bookmarkStart w:id="1415" w:name="_Caption9449"/>
      <w:bookmarkStart w:id="1416" w:name="_Caption3537"/>
      <w:bookmarkStart w:id="1417" w:name="_Caption2218"/>
      <w:bookmarkStart w:id="1418" w:name="_Toc178292583"/>
      <w:r w:rsidR="008C60A3">
        <w:rPr>
          <w:noProof/>
        </w:rPr>
        <w:t>5</w:t>
      </w:r>
      <w:r w:rsidR="008C60A3" w:rsidRPr="00695C93">
        <w:rPr>
          <w:noProof/>
        </w:rPr>
        <w:t>.</w:t>
      </w:r>
      <w:r w:rsidR="008C60A3">
        <w:rPr>
          <w:noProof/>
        </w:rPr>
        <w:t>9</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r w:rsidRPr="00695C93">
        <w:fldChar w:fldCharType="end"/>
      </w:r>
      <w:r w:rsidRPr="00695C93">
        <w:tab/>
      </w:r>
      <w:r w:rsidRPr="00E61ADA">
        <w:t>Projected EV fleet share</w:t>
      </w:r>
      <w:bookmarkEnd w:id="1418"/>
    </w:p>
    <w:p w14:paraId="57E9642E" w14:textId="77777777" w:rsidR="001F2683" w:rsidRPr="00CC168A" w:rsidRDefault="001F2683" w:rsidP="001F2683">
      <w:pPr>
        <w:pStyle w:val="Subtitlebox"/>
      </w:pPr>
      <w:r w:rsidRPr="00446CD6">
        <w:rPr>
          <w:noProof/>
        </w:rPr>
        <w:drawing>
          <wp:inline distT="0" distB="0" distL="0" distR="0" wp14:anchorId="538C5AC0" wp14:editId="675B4326">
            <wp:extent cx="4953000" cy="2503805"/>
            <wp:effectExtent l="76200" t="76200" r="76200" b="67945"/>
            <wp:docPr id="1848170979" name="Picture 1848170979" descr="Chart 5.9 - EVs as a share of the total vehicle fleet under different scenarios projected out to 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170979" name="Picture 1848170979" descr="Chart 5.9 - EVs as a share of the total vehicle fleet under different scenarios projected out to 2050"/>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r="1404"/>
                    <a:stretch/>
                  </pic:blipFill>
                  <pic:spPr bwMode="auto">
                    <a:xfrm>
                      <a:off x="0" y="0"/>
                      <a:ext cx="4953000" cy="2503805"/>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2FB52655" w14:textId="77777777" w:rsidR="001F2683" w:rsidRDefault="001F2683" w:rsidP="001F2683">
      <w:pPr>
        <w:pStyle w:val="Source"/>
      </w:pPr>
      <w:r>
        <w:rPr>
          <w:i/>
        </w:rPr>
        <w:t>Data source</w:t>
      </w:r>
      <w:r w:rsidRPr="00A67576">
        <w:rPr>
          <w:i/>
        </w:rPr>
        <w:t>:</w:t>
      </w:r>
      <w:r>
        <w:t xml:space="preserve"> Graham (2022), Table B.2, p.60</w:t>
      </w:r>
    </w:p>
    <w:p w14:paraId="1A6DC21C" w14:textId="1E23D61F" w:rsidR="001F2683" w:rsidRPr="00844A6E" w:rsidRDefault="001F2683" w:rsidP="001F2683">
      <w:pPr>
        <w:pStyle w:val="BodyText"/>
        <w:rPr>
          <w:szCs w:val="22"/>
        </w:rPr>
      </w:pPr>
      <w:r w:rsidRPr="00844A6E">
        <w:rPr>
          <w:szCs w:val="22"/>
        </w:rPr>
        <w:t>More details of EV assumptions and methodology are provided in the appendix</w:t>
      </w:r>
      <w:r>
        <w:rPr>
          <w:szCs w:val="22"/>
        </w:rPr>
        <w:t xml:space="preserve"> D</w:t>
      </w:r>
      <w:r w:rsidRPr="00844A6E">
        <w:rPr>
          <w:szCs w:val="22"/>
        </w:rPr>
        <w:t>.</w:t>
      </w:r>
    </w:p>
    <w:p w14:paraId="7FBC5B39" w14:textId="77777777" w:rsidR="001F2683" w:rsidRDefault="001F2683" w:rsidP="001F2683">
      <w:pPr>
        <w:pStyle w:val="Heading2"/>
        <w:rPr>
          <w:lang w:bidi="fa-IR"/>
        </w:rPr>
      </w:pPr>
      <w:bookmarkStart w:id="1419" w:name="_Toc177735103"/>
      <w:bookmarkStart w:id="1420" w:name="_Toc178292537"/>
      <w:r>
        <w:rPr>
          <w:lang w:bidi="fa-IR"/>
        </w:rPr>
        <w:t>Other impacts</w:t>
      </w:r>
      <w:bookmarkEnd w:id="1419"/>
      <w:bookmarkEnd w:id="1420"/>
    </w:p>
    <w:p w14:paraId="78049C9B" w14:textId="77777777" w:rsidR="001F2683" w:rsidRDefault="001F2683" w:rsidP="001F2683">
      <w:pPr>
        <w:pStyle w:val="Heading3"/>
        <w:rPr>
          <w:lang w:bidi="fa-IR"/>
        </w:rPr>
      </w:pPr>
      <w:r>
        <w:rPr>
          <w:lang w:bidi="fa-IR"/>
        </w:rPr>
        <w:t>Training and transition costs</w:t>
      </w:r>
    </w:p>
    <w:p w14:paraId="63F8CCBC" w14:textId="77777777" w:rsidR="001F2683" w:rsidRDefault="001F2683" w:rsidP="001F2683">
      <w:pPr>
        <w:pStyle w:val="BodyText"/>
        <w:rPr>
          <w:lang w:bidi="fa-IR"/>
        </w:rPr>
      </w:pPr>
      <w:r>
        <w:rPr>
          <w:lang w:bidi="fa-IR"/>
        </w:rPr>
        <w:t>As the proposed changes to the NCC are significant, both government and industry would incur some one-off costs associated with raising awareness of the changes and retraining.</w:t>
      </w:r>
    </w:p>
    <w:p w14:paraId="5AD32DD3" w14:textId="77777777" w:rsidR="001F2683" w:rsidRDefault="001F2683" w:rsidP="001F2683">
      <w:pPr>
        <w:pStyle w:val="Heading4"/>
        <w:rPr>
          <w:lang w:bidi="fa-IR"/>
        </w:rPr>
      </w:pPr>
      <w:r>
        <w:rPr>
          <w:lang w:bidi="fa-IR"/>
        </w:rPr>
        <w:t>Costs to government</w:t>
      </w:r>
    </w:p>
    <w:p w14:paraId="7291D636" w14:textId="77777777" w:rsidR="001F2683" w:rsidRDefault="001F2683" w:rsidP="001F2683">
      <w:pPr>
        <w:pStyle w:val="BodyText"/>
        <w:rPr>
          <w:lang w:bidi="fa-IR"/>
        </w:rPr>
      </w:pPr>
      <w:r>
        <w:rPr>
          <w:lang w:bidi="fa-IR"/>
        </w:rPr>
        <w:t>Costs to the government are estimated at $250 000, consisting of</w:t>
      </w:r>
    </w:p>
    <w:p w14:paraId="5FD3B84C" w14:textId="77777777" w:rsidR="001F2683" w:rsidRDefault="001F2683" w:rsidP="001F2683">
      <w:pPr>
        <w:pStyle w:val="ListBullet"/>
        <w:tabs>
          <w:tab w:val="num" w:pos="709"/>
        </w:tabs>
      </w:pPr>
      <w:r>
        <w:t>$150 000 for developing education energy efficiency materials such as a handbook, case studies or calculators;</w:t>
      </w:r>
    </w:p>
    <w:p w14:paraId="58521DFD" w14:textId="77777777" w:rsidR="001F2683" w:rsidRDefault="001F2683" w:rsidP="001F2683">
      <w:pPr>
        <w:pStyle w:val="ListBullet"/>
        <w:tabs>
          <w:tab w:val="num" w:pos="709"/>
        </w:tabs>
      </w:pPr>
      <w:r>
        <w:t>$60 000 for ongoing maintenance costs for education materials; and</w:t>
      </w:r>
    </w:p>
    <w:p w14:paraId="61555FB4" w14:textId="77777777" w:rsidR="001F2683" w:rsidRDefault="001F2683" w:rsidP="001F2683">
      <w:pPr>
        <w:pStyle w:val="ListBullet"/>
        <w:tabs>
          <w:tab w:val="num" w:pos="709"/>
        </w:tabs>
      </w:pPr>
      <w:r>
        <w:t>$40 000 for communication such as organisation information sessions (such as live stream costs)</w:t>
      </w:r>
    </w:p>
    <w:p w14:paraId="234572B4" w14:textId="77777777" w:rsidR="001F2683" w:rsidRDefault="001F2683" w:rsidP="001F2683">
      <w:pPr>
        <w:pStyle w:val="Heading4"/>
        <w:rPr>
          <w:lang w:bidi="fa-IR"/>
        </w:rPr>
      </w:pPr>
      <w:r>
        <w:rPr>
          <w:lang w:bidi="fa-IR"/>
        </w:rPr>
        <w:t>Costs to industry</w:t>
      </w:r>
    </w:p>
    <w:p w14:paraId="3A4E35F6" w14:textId="77777777" w:rsidR="001F2683" w:rsidRDefault="001F2683" w:rsidP="001F2683">
      <w:pPr>
        <w:pStyle w:val="BodyText"/>
      </w:pPr>
      <w:r>
        <w:t>Industry stakeholders will also incur one</w:t>
      </w:r>
      <w:r>
        <w:noBreakHyphen/>
        <w:t>off costs associated with familiarising themselves with the new code requirements, including:</w:t>
      </w:r>
    </w:p>
    <w:p w14:paraId="6578FEA6" w14:textId="77777777" w:rsidR="001F2683" w:rsidRDefault="001F2683" w:rsidP="001F2683">
      <w:pPr>
        <w:pStyle w:val="ListBullet"/>
        <w:tabs>
          <w:tab w:val="num" w:pos="709"/>
        </w:tabs>
      </w:pPr>
      <w:r>
        <w:t>the time costs associated with familiarising themselves with the relevant aspects of the new code</w:t>
      </w:r>
    </w:p>
    <w:p w14:paraId="6DCE0FCD" w14:textId="77777777" w:rsidR="001F2683" w:rsidRDefault="001F2683" w:rsidP="001F2683">
      <w:pPr>
        <w:pStyle w:val="ListBullet"/>
        <w:tabs>
          <w:tab w:val="num" w:pos="709"/>
        </w:tabs>
      </w:pPr>
      <w:r>
        <w:t>any fees associated with attending associated professional development seminars.</w:t>
      </w:r>
    </w:p>
    <w:p w14:paraId="15412216" w14:textId="4961048A" w:rsidR="001F2683" w:rsidRDefault="001F2683" w:rsidP="001F2683">
      <w:pPr>
        <w:pStyle w:val="BodyText"/>
        <w:rPr>
          <w:lang w:bidi="fa-IR"/>
        </w:rPr>
      </w:pPr>
      <w:r>
        <w:rPr>
          <w:lang w:bidi="fa-IR"/>
        </w:rPr>
        <w:t xml:space="preserve">These costs are estimated at around $15.7 million (table </w:t>
      </w:r>
      <w:r>
        <w:rPr>
          <w:lang w:bidi="fa-IR"/>
        </w:rPr>
        <w:fldChar w:fldCharType="begin"/>
      </w:r>
      <w:r>
        <w:rPr>
          <w:lang w:bidi="fa-IR"/>
        </w:rPr>
        <w:instrText xml:space="preserve"> REF _Caption7340 </w:instrText>
      </w:r>
      <w:r>
        <w:rPr>
          <w:lang w:bidi="fa-IR"/>
        </w:rPr>
        <w:fldChar w:fldCharType="separate"/>
      </w:r>
      <w:r w:rsidR="006E00A7">
        <w:rPr>
          <w:noProof/>
        </w:rPr>
        <w:t>5</w:t>
      </w:r>
      <w:r w:rsidR="006E00A7" w:rsidRPr="00695C93">
        <w:rPr>
          <w:noProof/>
        </w:rPr>
        <w:t>.</w:t>
      </w:r>
      <w:r w:rsidR="006E00A7">
        <w:rPr>
          <w:noProof/>
        </w:rPr>
        <w:t>10</w:t>
      </w:r>
      <w:r>
        <w:rPr>
          <w:lang w:bidi="fa-IR"/>
        </w:rPr>
        <w:fldChar w:fldCharType="end"/>
      </w:r>
      <w:r>
        <w:rPr>
          <w:lang w:bidi="fa-IR"/>
        </w:rPr>
        <w:t>). Details on our approach to estimating these costs are provided below.</w:t>
      </w:r>
    </w:p>
    <w:p w14:paraId="43E81743" w14:textId="4CA5501A" w:rsidR="001F2683" w:rsidRPr="00695C93" w:rsidRDefault="001F2683">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E136D5">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E136D5">
          <w:rPr>
            <w:noProof/>
          </w:rPr>
          <w:instrText>5</w:instrText>
        </w:r>
      </w:fldSimple>
      <w:r w:rsidRPr="00695C93">
        <w:instrText xml:space="preserve"> = 0 "" "</w:instrText>
      </w:r>
      <w:fldSimple w:instr=" STYLEREF &quot;Heading 1&quot; \l \n ">
        <w:r w:rsidR="00E136D5">
          <w:rPr>
            <w:noProof/>
          </w:rPr>
          <w:instrText>5</w:instrText>
        </w:r>
      </w:fldSimple>
      <w:r w:rsidRPr="00695C93">
        <w:instrText xml:space="preserve">." </w:instrText>
      </w:r>
      <w:r w:rsidRPr="00695C93">
        <w:fldChar w:fldCharType="separate"/>
      </w:r>
      <w:r w:rsidR="00E136D5">
        <w:rPr>
          <w:noProof/>
        </w:rPr>
        <w:instrText>5</w:instrText>
      </w:r>
      <w:r w:rsidR="00E136D5" w:rsidRPr="00695C93">
        <w:rPr>
          <w:noProof/>
        </w:rPr>
        <w:instrText>.</w:instrText>
      </w:r>
      <w:r w:rsidRPr="00695C93">
        <w:fldChar w:fldCharType="end"/>
      </w:r>
      <w:r w:rsidRPr="00695C93">
        <w:instrText>" "</w:instrText>
      </w:r>
      <w:fldSimple w:instr=" STYLEREF &quot;Heading 6&quot; \l \n ">
        <w:r>
          <w:rPr>
            <w:noProof/>
          </w:rPr>
          <w:instrText>A</w:instrText>
        </w:r>
      </w:fldSimple>
      <w:r w:rsidRPr="00695C93">
        <w:instrText xml:space="preserve">." </w:instrText>
      </w:r>
      <w:r w:rsidRPr="00695C93">
        <w:fldChar w:fldCharType="separate"/>
      </w:r>
      <w:r w:rsidR="008C60A3">
        <w:rPr>
          <w:noProof/>
        </w:rPr>
        <w:instrText>5</w:instrText>
      </w:r>
      <w:r w:rsidR="008C60A3"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E136D5">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E136D5">
          <w:rPr>
            <w:noProof/>
          </w:rPr>
          <w:instrText>5</w:instrText>
        </w:r>
      </w:fldSimple>
      <w:r w:rsidRPr="00695C93">
        <w:instrText xml:space="preserve"> = 0 "" "1" </w:instrText>
      </w:r>
      <w:r w:rsidRPr="00695C93">
        <w:fldChar w:fldCharType="separate"/>
      </w:r>
      <w:r w:rsidR="008C60A3" w:rsidRPr="00695C93">
        <w:rPr>
          <w:noProof/>
        </w:rPr>
        <w:instrText>1</w:instrText>
      </w:r>
      <w:r w:rsidRPr="00695C93">
        <w:fldChar w:fldCharType="end"/>
      </w:r>
      <w:r w:rsidRPr="00695C93">
        <w:instrText xml:space="preserve">" "6" </w:instrText>
      </w:r>
      <w:r w:rsidRPr="00695C93">
        <w:fldChar w:fldCharType="separate"/>
      </w:r>
      <w:r w:rsidR="008C60A3" w:rsidRPr="00695C93">
        <w:rPr>
          <w:noProof/>
        </w:rPr>
        <w:instrText>1</w:instrText>
      </w:r>
      <w:r w:rsidRPr="00695C93">
        <w:fldChar w:fldCharType="end"/>
      </w:r>
      <w:r w:rsidRPr="00695C93">
        <w:instrText xml:space="preserve"> </w:instrText>
      </w:r>
      <w:r w:rsidRPr="00695C93">
        <w:fldChar w:fldCharType="separate"/>
      </w:r>
      <w:r w:rsidR="00E136D5">
        <w:rPr>
          <w:noProof/>
        </w:rPr>
        <w:instrText>10</w:instrText>
      </w:r>
      <w:r w:rsidRPr="00695C93">
        <w:fldChar w:fldCharType="end"/>
      </w:r>
      <w:r w:rsidRPr="00695C93">
        <w:instrText xml:space="preserve">" "" </w:instrText>
      </w:r>
      <w:r w:rsidRPr="00695C93">
        <w:fldChar w:fldCharType="separate"/>
      </w:r>
      <w:bookmarkStart w:id="1421" w:name="_Caption3007"/>
      <w:bookmarkStart w:id="1422" w:name="_Caption2032"/>
      <w:bookmarkStart w:id="1423" w:name="_Caption3153"/>
      <w:bookmarkStart w:id="1424" w:name="_Caption8562"/>
      <w:bookmarkStart w:id="1425" w:name="_Caption8678"/>
      <w:bookmarkStart w:id="1426" w:name="_Caption9699"/>
      <w:bookmarkStart w:id="1427" w:name="_Caption6330"/>
      <w:bookmarkStart w:id="1428" w:name="_Caption0821"/>
      <w:bookmarkStart w:id="1429" w:name="_Caption1631"/>
      <w:bookmarkStart w:id="1430" w:name="_Caption8970"/>
      <w:bookmarkStart w:id="1431" w:name="_Caption1861"/>
      <w:bookmarkStart w:id="1432" w:name="_Caption9137"/>
      <w:bookmarkStart w:id="1433" w:name="_Caption7340"/>
      <w:bookmarkStart w:id="1434" w:name="_Caption1308"/>
      <w:bookmarkStart w:id="1435" w:name="_Caption5102"/>
      <w:bookmarkStart w:id="1436" w:name="_Caption9159"/>
      <w:bookmarkStart w:id="1437" w:name="_Caption8780"/>
      <w:bookmarkStart w:id="1438" w:name="_Caption9805"/>
      <w:bookmarkStart w:id="1439" w:name="_Caption4334"/>
      <w:bookmarkStart w:id="1440" w:name="_Caption1539"/>
      <w:bookmarkStart w:id="1441" w:name="_Caption3413"/>
      <w:bookmarkStart w:id="1442" w:name="_Caption8759"/>
      <w:bookmarkStart w:id="1443" w:name="_Caption7804"/>
      <w:bookmarkStart w:id="1444" w:name="_Caption7100"/>
      <w:bookmarkStart w:id="1445" w:name="_Caption5240"/>
      <w:bookmarkStart w:id="1446" w:name="_Caption6434"/>
      <w:bookmarkStart w:id="1447" w:name="_Caption2687"/>
      <w:bookmarkStart w:id="1448" w:name="_Caption3461"/>
      <w:bookmarkStart w:id="1449" w:name="_Caption1857"/>
      <w:bookmarkStart w:id="1450" w:name="_Caption7097"/>
      <w:bookmarkStart w:id="1451" w:name="_Caption3685"/>
      <w:bookmarkStart w:id="1452" w:name="_Caption4713"/>
      <w:bookmarkStart w:id="1453" w:name="_Caption0056"/>
      <w:bookmarkStart w:id="1454" w:name="_Caption5350"/>
      <w:bookmarkStart w:id="1455" w:name="_Caption6621"/>
      <w:bookmarkStart w:id="1456" w:name="_Caption3391"/>
      <w:bookmarkStart w:id="1457" w:name="_Caption7749"/>
      <w:bookmarkStart w:id="1458" w:name="_Caption1149"/>
      <w:bookmarkStart w:id="1459" w:name="_Caption7833"/>
      <w:bookmarkStart w:id="1460" w:name="_Caption3196"/>
      <w:bookmarkStart w:id="1461" w:name="_Caption5183"/>
      <w:bookmarkStart w:id="1462" w:name="_Caption0764"/>
      <w:bookmarkStart w:id="1463" w:name="_Caption4593"/>
      <w:bookmarkStart w:id="1464" w:name="_Caption0507"/>
      <w:bookmarkStart w:id="1465" w:name="_Caption9176"/>
      <w:bookmarkStart w:id="1466" w:name="_Caption1345"/>
      <w:bookmarkStart w:id="1467" w:name="_Caption2966"/>
      <w:bookmarkStart w:id="1468" w:name="_Caption9730"/>
      <w:bookmarkStart w:id="1469" w:name="_Caption8888"/>
      <w:bookmarkStart w:id="1470" w:name="_Caption2823"/>
      <w:bookmarkStart w:id="1471" w:name="_Caption9878"/>
      <w:bookmarkStart w:id="1472" w:name="_Caption0380"/>
      <w:bookmarkStart w:id="1473" w:name="_Caption1977"/>
      <w:bookmarkStart w:id="1474" w:name="_Caption0364"/>
      <w:bookmarkStart w:id="1475" w:name="_Caption2373"/>
      <w:bookmarkStart w:id="1476" w:name="_Caption4963"/>
      <w:bookmarkStart w:id="1477" w:name="_Caption9092"/>
      <w:bookmarkStart w:id="1478" w:name="_Caption9227"/>
      <w:bookmarkStart w:id="1479" w:name="_Toc178292584"/>
      <w:r w:rsidR="008C60A3">
        <w:rPr>
          <w:noProof/>
        </w:rPr>
        <w:t>5</w:t>
      </w:r>
      <w:r w:rsidR="008C60A3" w:rsidRPr="00695C93">
        <w:rPr>
          <w:noProof/>
        </w:rPr>
        <w:t>.</w:t>
      </w:r>
      <w:r w:rsidR="008C60A3">
        <w:rPr>
          <w:noProof/>
        </w:rPr>
        <w:t>10</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r w:rsidRPr="00695C93">
        <w:fldChar w:fldCharType="end"/>
      </w:r>
      <w:r w:rsidRPr="00695C93">
        <w:tab/>
      </w:r>
      <w:r w:rsidRPr="00E61ADA">
        <w:t>Estimated training costs incurred by industry</w:t>
      </w:r>
      <w:bookmarkEnd w:id="1479"/>
    </w:p>
    <w:tbl>
      <w:tblPr>
        <w:tblW w:w="7937" w:type="dxa"/>
        <w:tblLook w:val="04A0" w:firstRow="1" w:lastRow="0" w:firstColumn="1" w:lastColumn="0" w:noHBand="0" w:noVBand="1"/>
      </w:tblPr>
      <w:tblGrid>
        <w:gridCol w:w="3269"/>
        <w:gridCol w:w="1164"/>
        <w:gridCol w:w="1164"/>
        <w:gridCol w:w="1170"/>
        <w:gridCol w:w="1170"/>
      </w:tblGrid>
      <w:tr w:rsidR="001F2683" w:rsidRPr="002560BD" w14:paraId="03BB5DA5" w14:textId="77777777">
        <w:trPr>
          <w:trHeight w:val="504"/>
        </w:trPr>
        <w:tc>
          <w:tcPr>
            <w:tcW w:w="3269" w:type="dxa"/>
            <w:shd w:val="clear" w:color="auto" w:fill="6F6652"/>
            <w:noWrap/>
            <w:tcMar>
              <w:left w:w="57" w:type="dxa"/>
              <w:right w:w="57" w:type="dxa"/>
            </w:tcMar>
            <w:hideMark/>
          </w:tcPr>
          <w:p w14:paraId="2BA8B5AF" w14:textId="77777777" w:rsidR="001F2683" w:rsidRPr="002560BD" w:rsidRDefault="001F2683">
            <w:pPr>
              <w:pStyle w:val="TableDataColumnHeading"/>
              <w:jc w:val="left"/>
            </w:pPr>
          </w:p>
        </w:tc>
        <w:tc>
          <w:tcPr>
            <w:tcW w:w="1164" w:type="dxa"/>
            <w:shd w:val="clear" w:color="auto" w:fill="6F6652"/>
            <w:tcMar>
              <w:left w:w="57" w:type="dxa"/>
              <w:right w:w="57" w:type="dxa"/>
            </w:tcMar>
            <w:hideMark/>
          </w:tcPr>
          <w:p w14:paraId="024ED4A4" w14:textId="77777777" w:rsidR="001F2683" w:rsidRPr="00BE70FC" w:rsidRDefault="001F2683">
            <w:pPr>
              <w:pStyle w:val="TableDataColumnHeading"/>
              <w:rPr>
                <w:szCs w:val="16"/>
              </w:rPr>
            </w:pPr>
            <w:r w:rsidRPr="00BE70FC">
              <w:rPr>
                <w:szCs w:val="16"/>
              </w:rPr>
              <w:t>Number affected</w:t>
            </w:r>
            <w:r w:rsidRPr="00BE70FC">
              <w:rPr>
                <w:rStyle w:val="NoteLabel"/>
                <w:color w:val="C3BCB1" w:themeColor="accent4" w:themeTint="99"/>
                <w:sz w:val="16"/>
              </w:rPr>
              <w:t xml:space="preserve"> </w:t>
            </w:r>
            <w:r w:rsidRPr="00B36CFD">
              <w:rPr>
                <w:rStyle w:val="NoteLabel"/>
                <w:color w:val="FFFFFF" w:themeColor="background1"/>
                <w:sz w:val="16"/>
              </w:rPr>
              <w:t>a</w:t>
            </w:r>
          </w:p>
        </w:tc>
        <w:tc>
          <w:tcPr>
            <w:tcW w:w="1164" w:type="dxa"/>
            <w:shd w:val="clear" w:color="auto" w:fill="6F6652"/>
            <w:tcMar>
              <w:left w:w="57" w:type="dxa"/>
              <w:right w:w="57" w:type="dxa"/>
            </w:tcMar>
            <w:hideMark/>
          </w:tcPr>
          <w:p w14:paraId="254057CB" w14:textId="77777777" w:rsidR="001F2683" w:rsidRPr="00BE70FC" w:rsidRDefault="001F2683">
            <w:pPr>
              <w:pStyle w:val="TableDataColumnHeading"/>
              <w:rPr>
                <w:szCs w:val="16"/>
              </w:rPr>
            </w:pPr>
            <w:r w:rsidRPr="00BE70FC">
              <w:rPr>
                <w:szCs w:val="16"/>
              </w:rPr>
              <w:t xml:space="preserve">Seminar </w:t>
            </w:r>
            <w:r w:rsidRPr="00BE70FC">
              <w:rPr>
                <w:szCs w:val="16"/>
              </w:rPr>
              <w:br/>
              <w:t>fee</w:t>
            </w:r>
            <w:r w:rsidRPr="00B36CFD">
              <w:rPr>
                <w:rStyle w:val="NoteLabel"/>
                <w:color w:val="FFFFFF" w:themeColor="background1"/>
                <w:sz w:val="16"/>
              </w:rPr>
              <w:t xml:space="preserve"> b</w:t>
            </w:r>
          </w:p>
        </w:tc>
        <w:tc>
          <w:tcPr>
            <w:tcW w:w="1170" w:type="dxa"/>
            <w:shd w:val="clear" w:color="auto" w:fill="6F6652"/>
            <w:tcMar>
              <w:left w:w="57" w:type="dxa"/>
              <w:right w:w="57" w:type="dxa"/>
            </w:tcMar>
            <w:hideMark/>
          </w:tcPr>
          <w:p w14:paraId="3074D3C7" w14:textId="77777777" w:rsidR="001F2683" w:rsidRPr="00BE70FC" w:rsidRDefault="001F2683">
            <w:pPr>
              <w:pStyle w:val="TableDataColumnHeading"/>
              <w:rPr>
                <w:szCs w:val="16"/>
              </w:rPr>
            </w:pPr>
            <w:r w:rsidRPr="00BE70FC">
              <w:rPr>
                <w:szCs w:val="16"/>
              </w:rPr>
              <w:t xml:space="preserve">Time </w:t>
            </w:r>
            <w:r w:rsidRPr="00BE70FC">
              <w:rPr>
                <w:szCs w:val="16"/>
              </w:rPr>
              <w:br/>
              <w:t>cost</w:t>
            </w:r>
            <w:r w:rsidRPr="00B36CFD">
              <w:rPr>
                <w:rStyle w:val="NoteLabel"/>
                <w:color w:val="FFFFFF" w:themeColor="background1"/>
                <w:sz w:val="16"/>
              </w:rPr>
              <w:t xml:space="preserve"> c</w:t>
            </w:r>
          </w:p>
        </w:tc>
        <w:tc>
          <w:tcPr>
            <w:tcW w:w="1170" w:type="dxa"/>
            <w:shd w:val="clear" w:color="auto" w:fill="6F6652"/>
            <w:tcMar>
              <w:left w:w="57" w:type="dxa"/>
              <w:right w:w="57" w:type="dxa"/>
            </w:tcMar>
            <w:hideMark/>
          </w:tcPr>
          <w:p w14:paraId="0CED3949" w14:textId="77777777" w:rsidR="001F2683" w:rsidRPr="00BE70FC" w:rsidRDefault="001F2683">
            <w:pPr>
              <w:pStyle w:val="TableDataColumnHeading"/>
              <w:rPr>
                <w:szCs w:val="16"/>
              </w:rPr>
            </w:pPr>
            <w:r w:rsidRPr="00BE70FC">
              <w:rPr>
                <w:szCs w:val="16"/>
              </w:rPr>
              <w:t>Total</w:t>
            </w:r>
          </w:p>
        </w:tc>
      </w:tr>
      <w:tr w:rsidR="001F2683" w:rsidRPr="002560BD" w14:paraId="00EF72BA" w14:textId="77777777">
        <w:trPr>
          <w:trHeight w:val="252"/>
        </w:trPr>
        <w:tc>
          <w:tcPr>
            <w:tcW w:w="3269" w:type="dxa"/>
            <w:tcBorders>
              <w:bottom w:val="single" w:sz="8" w:space="0" w:color="FFFFFF" w:themeColor="background1"/>
            </w:tcBorders>
            <w:noWrap/>
            <w:tcMar>
              <w:left w:w="57" w:type="dxa"/>
              <w:right w:w="57" w:type="dxa"/>
            </w:tcMar>
            <w:hideMark/>
          </w:tcPr>
          <w:p w14:paraId="4604384A" w14:textId="77777777" w:rsidR="001F2683" w:rsidRPr="002560BD" w:rsidRDefault="001F2683">
            <w:pPr>
              <w:pStyle w:val="TableUnit"/>
              <w:jc w:val="left"/>
            </w:pPr>
          </w:p>
        </w:tc>
        <w:tc>
          <w:tcPr>
            <w:tcW w:w="1164" w:type="dxa"/>
            <w:tcBorders>
              <w:bottom w:val="single" w:sz="8" w:space="0" w:color="FFFFFF" w:themeColor="background1"/>
            </w:tcBorders>
            <w:noWrap/>
            <w:tcMar>
              <w:left w:w="57" w:type="dxa"/>
              <w:right w:w="57" w:type="dxa"/>
            </w:tcMar>
            <w:hideMark/>
          </w:tcPr>
          <w:p w14:paraId="2AF05550" w14:textId="77777777" w:rsidR="001F2683" w:rsidRPr="002560BD" w:rsidRDefault="001F2683">
            <w:pPr>
              <w:pStyle w:val="TableUnit"/>
            </w:pPr>
            <w:r w:rsidRPr="002560BD">
              <w:t>No.</w:t>
            </w:r>
          </w:p>
        </w:tc>
        <w:tc>
          <w:tcPr>
            <w:tcW w:w="1164" w:type="dxa"/>
            <w:tcBorders>
              <w:bottom w:val="single" w:sz="8" w:space="0" w:color="FFFFFF" w:themeColor="background1"/>
            </w:tcBorders>
            <w:noWrap/>
            <w:tcMar>
              <w:left w:w="57" w:type="dxa"/>
              <w:right w:w="57" w:type="dxa"/>
            </w:tcMar>
            <w:hideMark/>
          </w:tcPr>
          <w:p w14:paraId="61059D27" w14:textId="77777777" w:rsidR="001F2683" w:rsidRPr="002560BD" w:rsidRDefault="001F2683">
            <w:pPr>
              <w:pStyle w:val="TableUnit"/>
            </w:pPr>
            <w:r w:rsidRPr="002560BD">
              <w:t>$'000</w:t>
            </w:r>
          </w:p>
        </w:tc>
        <w:tc>
          <w:tcPr>
            <w:tcW w:w="1170" w:type="dxa"/>
            <w:tcBorders>
              <w:bottom w:val="single" w:sz="8" w:space="0" w:color="FFFFFF" w:themeColor="background1"/>
            </w:tcBorders>
            <w:noWrap/>
            <w:tcMar>
              <w:left w:w="57" w:type="dxa"/>
              <w:right w:w="57" w:type="dxa"/>
            </w:tcMar>
            <w:hideMark/>
          </w:tcPr>
          <w:p w14:paraId="2F6AB8C3" w14:textId="77777777" w:rsidR="001F2683" w:rsidRPr="002560BD" w:rsidRDefault="001F2683">
            <w:pPr>
              <w:pStyle w:val="TableUnit"/>
            </w:pPr>
            <w:r w:rsidRPr="002560BD">
              <w:t>$'000</w:t>
            </w:r>
          </w:p>
        </w:tc>
        <w:tc>
          <w:tcPr>
            <w:tcW w:w="1170" w:type="dxa"/>
            <w:tcBorders>
              <w:bottom w:val="single" w:sz="8" w:space="0" w:color="FFFFFF" w:themeColor="background1"/>
            </w:tcBorders>
            <w:noWrap/>
            <w:tcMar>
              <w:left w:w="57" w:type="dxa"/>
              <w:right w:w="57" w:type="dxa"/>
            </w:tcMar>
            <w:hideMark/>
          </w:tcPr>
          <w:p w14:paraId="2C3ED148" w14:textId="77777777" w:rsidR="001F2683" w:rsidRPr="002560BD" w:rsidRDefault="001F2683">
            <w:pPr>
              <w:pStyle w:val="TableUnit"/>
            </w:pPr>
            <w:r w:rsidRPr="002560BD">
              <w:t>$'000</w:t>
            </w:r>
          </w:p>
        </w:tc>
      </w:tr>
      <w:tr w:rsidR="001F2683" w:rsidRPr="002560BD" w14:paraId="33F7B22D" w14:textId="77777777">
        <w:trPr>
          <w:trHeight w:val="252"/>
        </w:trPr>
        <w:tc>
          <w:tcPr>
            <w:tcW w:w="3269"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7D110C8E" w14:textId="77777777" w:rsidR="001F2683" w:rsidRPr="002560BD" w:rsidRDefault="001F2683">
            <w:pPr>
              <w:pStyle w:val="TableDataEntries"/>
              <w:jc w:val="left"/>
            </w:pPr>
            <w:r w:rsidRPr="002560BD">
              <w:t>Specialist - energy efficiency</w:t>
            </w:r>
          </w:p>
        </w:tc>
        <w:tc>
          <w:tcPr>
            <w:tcW w:w="1164"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21B8C44" w14:textId="77777777" w:rsidR="001F2683" w:rsidRPr="002560BD" w:rsidRDefault="001F2683">
            <w:pPr>
              <w:pStyle w:val="TableDataEntries"/>
            </w:pPr>
            <w:r w:rsidRPr="002560BD">
              <w:t>311</w:t>
            </w:r>
          </w:p>
        </w:tc>
        <w:tc>
          <w:tcPr>
            <w:tcW w:w="1164"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5E0C247" w14:textId="77777777" w:rsidR="001F2683" w:rsidRPr="002560BD" w:rsidRDefault="001F2683">
            <w:pPr>
              <w:pStyle w:val="TableDataEntries"/>
            </w:pPr>
            <w:r w:rsidRPr="002560BD">
              <w:t>15.56</w:t>
            </w:r>
          </w:p>
        </w:tc>
        <w:tc>
          <w:tcPr>
            <w:tcW w:w="1170"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5A89F2C3" w14:textId="77777777" w:rsidR="001F2683" w:rsidRPr="002560BD" w:rsidRDefault="001F2683">
            <w:pPr>
              <w:pStyle w:val="TableDataEntries"/>
            </w:pPr>
            <w:r w:rsidRPr="002560BD">
              <w:t>184.03</w:t>
            </w:r>
          </w:p>
        </w:tc>
        <w:tc>
          <w:tcPr>
            <w:tcW w:w="1170"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7932FBED" w14:textId="77777777" w:rsidR="001F2683" w:rsidRPr="002560BD" w:rsidRDefault="001F2683">
            <w:pPr>
              <w:pStyle w:val="TableDataEntries"/>
            </w:pPr>
            <w:r w:rsidRPr="002560BD">
              <w:t>199.59</w:t>
            </w:r>
          </w:p>
        </w:tc>
      </w:tr>
      <w:tr w:rsidR="001F2683" w:rsidRPr="002560BD" w14:paraId="4D7BD873" w14:textId="77777777">
        <w:trPr>
          <w:trHeight w:val="252"/>
        </w:trPr>
        <w:tc>
          <w:tcPr>
            <w:tcW w:w="3269"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07B4496" w14:textId="77777777" w:rsidR="001F2683" w:rsidRPr="002560BD" w:rsidRDefault="001F2683">
            <w:pPr>
              <w:pStyle w:val="TableDataEntries"/>
              <w:jc w:val="left"/>
            </w:pPr>
            <w:r w:rsidRPr="002560BD">
              <w:t>Architecture and design</w:t>
            </w:r>
          </w:p>
        </w:tc>
        <w:tc>
          <w:tcPr>
            <w:tcW w:w="1164"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5402F8F8" w14:textId="77777777" w:rsidR="001F2683" w:rsidRPr="002560BD" w:rsidRDefault="001F2683">
            <w:pPr>
              <w:pStyle w:val="TableDataEntries"/>
            </w:pPr>
            <w:r w:rsidRPr="002560BD">
              <w:t>8,776</w:t>
            </w:r>
          </w:p>
        </w:tc>
        <w:tc>
          <w:tcPr>
            <w:tcW w:w="1164"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1163111" w14:textId="77777777" w:rsidR="001F2683" w:rsidRPr="002560BD" w:rsidRDefault="001F2683">
            <w:pPr>
              <w:pStyle w:val="TableDataEntries"/>
            </w:pPr>
            <w:r w:rsidRPr="002560BD">
              <w:t>438.81</w:t>
            </w:r>
          </w:p>
        </w:tc>
        <w:tc>
          <w:tcPr>
            <w:tcW w:w="1170"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B650D07" w14:textId="77777777" w:rsidR="001F2683" w:rsidRPr="002560BD" w:rsidRDefault="001F2683">
            <w:pPr>
              <w:pStyle w:val="TableDataEntries"/>
            </w:pPr>
            <w:r w:rsidRPr="002560BD">
              <w:t>7,039.27</w:t>
            </w:r>
          </w:p>
        </w:tc>
        <w:tc>
          <w:tcPr>
            <w:tcW w:w="1170"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0EB193B2" w14:textId="77777777" w:rsidR="001F2683" w:rsidRPr="002560BD" w:rsidRDefault="001F2683">
            <w:pPr>
              <w:pStyle w:val="TableDataEntries"/>
            </w:pPr>
            <w:r w:rsidRPr="002560BD">
              <w:t>7,478.08</w:t>
            </w:r>
          </w:p>
        </w:tc>
      </w:tr>
      <w:tr w:rsidR="001F2683" w:rsidRPr="002560BD" w14:paraId="04241E72" w14:textId="77777777">
        <w:trPr>
          <w:trHeight w:val="252"/>
        </w:trPr>
        <w:tc>
          <w:tcPr>
            <w:tcW w:w="3269"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32B83E1" w14:textId="77777777" w:rsidR="001F2683" w:rsidRPr="002560BD" w:rsidRDefault="001F2683">
            <w:pPr>
              <w:pStyle w:val="TableDataEntries"/>
              <w:jc w:val="left"/>
            </w:pPr>
            <w:r w:rsidRPr="002560BD">
              <w:t>Engineering</w:t>
            </w:r>
          </w:p>
        </w:tc>
        <w:tc>
          <w:tcPr>
            <w:tcW w:w="1164"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576F08E2" w14:textId="77777777" w:rsidR="001F2683" w:rsidRPr="002560BD" w:rsidRDefault="001F2683">
            <w:pPr>
              <w:pStyle w:val="TableDataEntries"/>
            </w:pPr>
            <w:r w:rsidRPr="002560BD">
              <w:t>3,388</w:t>
            </w:r>
          </w:p>
        </w:tc>
        <w:tc>
          <w:tcPr>
            <w:tcW w:w="1164"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59B49E24" w14:textId="77777777" w:rsidR="001F2683" w:rsidRPr="002560BD" w:rsidRDefault="001F2683">
            <w:pPr>
              <w:pStyle w:val="TableDataEntries"/>
            </w:pPr>
            <w:r w:rsidRPr="002560BD">
              <w:t>169.41</w:t>
            </w:r>
          </w:p>
        </w:tc>
        <w:tc>
          <w:tcPr>
            <w:tcW w:w="1170"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0123B555" w14:textId="77777777" w:rsidR="001F2683" w:rsidRPr="002560BD" w:rsidRDefault="001F2683">
            <w:pPr>
              <w:pStyle w:val="TableDataEntries"/>
            </w:pPr>
            <w:r w:rsidRPr="002560BD">
              <w:t>2,093.07</w:t>
            </w:r>
          </w:p>
        </w:tc>
        <w:tc>
          <w:tcPr>
            <w:tcW w:w="1170"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51F020B8" w14:textId="77777777" w:rsidR="001F2683" w:rsidRPr="002560BD" w:rsidRDefault="001F2683">
            <w:pPr>
              <w:pStyle w:val="TableDataEntries"/>
            </w:pPr>
            <w:r w:rsidRPr="002560BD">
              <w:t>2,262.49</w:t>
            </w:r>
          </w:p>
        </w:tc>
      </w:tr>
      <w:tr w:rsidR="001F2683" w:rsidRPr="002560BD" w14:paraId="2331A6E8" w14:textId="77777777">
        <w:trPr>
          <w:trHeight w:val="252"/>
        </w:trPr>
        <w:tc>
          <w:tcPr>
            <w:tcW w:w="3269"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78B0B40F" w14:textId="77777777" w:rsidR="001F2683" w:rsidRPr="002560BD" w:rsidRDefault="001F2683">
            <w:pPr>
              <w:pStyle w:val="TableDataEntries"/>
              <w:jc w:val="left"/>
            </w:pPr>
            <w:r w:rsidRPr="002560BD">
              <w:t>Certification/Surveying</w:t>
            </w:r>
          </w:p>
        </w:tc>
        <w:tc>
          <w:tcPr>
            <w:tcW w:w="1164"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DF88994" w14:textId="77777777" w:rsidR="001F2683" w:rsidRPr="002560BD" w:rsidRDefault="001F2683">
            <w:pPr>
              <w:pStyle w:val="TableDataEntries"/>
            </w:pPr>
            <w:r w:rsidRPr="002560BD">
              <w:t>2,437</w:t>
            </w:r>
          </w:p>
        </w:tc>
        <w:tc>
          <w:tcPr>
            <w:tcW w:w="1164"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32C2BC6C" w14:textId="77777777" w:rsidR="001F2683" w:rsidRPr="002560BD" w:rsidRDefault="001F2683">
            <w:pPr>
              <w:pStyle w:val="TableDataEntries"/>
            </w:pPr>
            <w:r w:rsidRPr="002560BD">
              <w:t>121.85</w:t>
            </w:r>
          </w:p>
        </w:tc>
        <w:tc>
          <w:tcPr>
            <w:tcW w:w="1170"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73C343E9" w14:textId="77777777" w:rsidR="001F2683" w:rsidRPr="002560BD" w:rsidRDefault="001F2683">
            <w:pPr>
              <w:pStyle w:val="TableDataEntries"/>
            </w:pPr>
            <w:r w:rsidRPr="002560BD">
              <w:t>1,477.26</w:t>
            </w:r>
          </w:p>
        </w:tc>
        <w:tc>
          <w:tcPr>
            <w:tcW w:w="1170"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5114931" w14:textId="77777777" w:rsidR="001F2683" w:rsidRPr="002560BD" w:rsidRDefault="001F2683">
            <w:pPr>
              <w:pStyle w:val="TableDataEntries"/>
            </w:pPr>
            <w:r w:rsidRPr="002560BD">
              <w:t>1,599.11</w:t>
            </w:r>
          </w:p>
        </w:tc>
      </w:tr>
      <w:tr w:rsidR="001F2683" w:rsidRPr="002560BD" w14:paraId="1C417DD4" w14:textId="77777777">
        <w:trPr>
          <w:trHeight w:val="252"/>
        </w:trPr>
        <w:tc>
          <w:tcPr>
            <w:tcW w:w="3269"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2DCDE69" w14:textId="77777777" w:rsidR="001F2683" w:rsidRPr="002560BD" w:rsidRDefault="001F2683">
            <w:pPr>
              <w:pStyle w:val="TableDataEntries"/>
              <w:jc w:val="left"/>
            </w:pPr>
            <w:r w:rsidRPr="002560BD">
              <w:t>Building Commercial and Residential</w:t>
            </w:r>
          </w:p>
        </w:tc>
        <w:tc>
          <w:tcPr>
            <w:tcW w:w="1164"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E4D2A9A" w14:textId="77777777" w:rsidR="001F2683" w:rsidRPr="002560BD" w:rsidRDefault="001F2683">
            <w:pPr>
              <w:pStyle w:val="TableDataEntries"/>
            </w:pPr>
            <w:r w:rsidRPr="002560BD">
              <w:t>4,400</w:t>
            </w:r>
          </w:p>
        </w:tc>
        <w:tc>
          <w:tcPr>
            <w:tcW w:w="1164"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61682238" w14:textId="77777777" w:rsidR="001F2683" w:rsidRPr="002560BD" w:rsidRDefault="001F2683">
            <w:pPr>
              <w:pStyle w:val="TableDataEntries"/>
            </w:pPr>
            <w:r w:rsidRPr="002560BD">
              <w:t>220.00</w:t>
            </w:r>
          </w:p>
        </w:tc>
        <w:tc>
          <w:tcPr>
            <w:tcW w:w="1170"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72F5BB19" w14:textId="77777777" w:rsidR="001F2683" w:rsidRPr="002560BD" w:rsidRDefault="001F2683">
            <w:pPr>
              <w:pStyle w:val="TableDataEntries"/>
            </w:pPr>
            <w:r w:rsidRPr="002560BD">
              <w:t>2,404.85</w:t>
            </w:r>
          </w:p>
        </w:tc>
        <w:tc>
          <w:tcPr>
            <w:tcW w:w="1170"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5817987B" w14:textId="77777777" w:rsidR="001F2683" w:rsidRPr="002560BD" w:rsidRDefault="001F2683">
            <w:pPr>
              <w:pStyle w:val="TableDataEntries"/>
            </w:pPr>
            <w:r w:rsidRPr="002560BD">
              <w:t>2,624.85</w:t>
            </w:r>
          </w:p>
        </w:tc>
      </w:tr>
      <w:tr w:rsidR="001F2683" w:rsidRPr="002560BD" w14:paraId="65586FC5" w14:textId="77777777">
        <w:trPr>
          <w:trHeight w:val="252"/>
        </w:trPr>
        <w:tc>
          <w:tcPr>
            <w:tcW w:w="3269"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784EB03" w14:textId="77777777" w:rsidR="001F2683" w:rsidRPr="002560BD" w:rsidRDefault="001F2683">
            <w:pPr>
              <w:pStyle w:val="TableDataEntries"/>
              <w:jc w:val="left"/>
            </w:pPr>
            <w:r w:rsidRPr="002560BD">
              <w:t>Building Commercial</w:t>
            </w:r>
          </w:p>
        </w:tc>
        <w:tc>
          <w:tcPr>
            <w:tcW w:w="1164"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61388005" w14:textId="77777777" w:rsidR="001F2683" w:rsidRPr="002560BD" w:rsidRDefault="001F2683">
            <w:pPr>
              <w:pStyle w:val="TableDataEntries"/>
            </w:pPr>
            <w:r w:rsidRPr="002560BD">
              <w:t>2,497</w:t>
            </w:r>
          </w:p>
        </w:tc>
        <w:tc>
          <w:tcPr>
            <w:tcW w:w="1164"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F9426EB" w14:textId="77777777" w:rsidR="001F2683" w:rsidRPr="002560BD" w:rsidRDefault="001F2683">
            <w:pPr>
              <w:pStyle w:val="TableDataEntries"/>
            </w:pPr>
            <w:r w:rsidRPr="002560BD">
              <w:t>124.85</w:t>
            </w:r>
          </w:p>
        </w:tc>
        <w:tc>
          <w:tcPr>
            <w:tcW w:w="1170"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01A5DCD1" w14:textId="77777777" w:rsidR="001F2683" w:rsidRPr="002560BD" w:rsidRDefault="001F2683">
            <w:pPr>
              <w:pStyle w:val="TableDataEntries"/>
            </w:pPr>
            <w:r w:rsidRPr="002560BD">
              <w:t>1,364.77</w:t>
            </w:r>
          </w:p>
        </w:tc>
        <w:tc>
          <w:tcPr>
            <w:tcW w:w="1170"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5314F06D" w14:textId="77777777" w:rsidR="001F2683" w:rsidRPr="002560BD" w:rsidRDefault="001F2683">
            <w:pPr>
              <w:pStyle w:val="TableDataEntries"/>
            </w:pPr>
            <w:r w:rsidRPr="002560BD">
              <w:t>1,489.62</w:t>
            </w:r>
          </w:p>
        </w:tc>
      </w:tr>
      <w:tr w:rsidR="001F2683" w:rsidRPr="002560BD" w14:paraId="3742424D" w14:textId="77777777">
        <w:trPr>
          <w:trHeight w:val="252"/>
        </w:trPr>
        <w:tc>
          <w:tcPr>
            <w:tcW w:w="3269" w:type="dxa"/>
            <w:tcBorders>
              <w:top w:val="single" w:sz="8" w:space="0" w:color="FFFFFF" w:themeColor="background1"/>
              <w:bottom w:val="single" w:sz="6" w:space="0" w:color="6F6652"/>
            </w:tcBorders>
            <w:shd w:val="clear" w:color="auto" w:fill="C2DADB" w:themeFill="accent6" w:themeFillTint="99"/>
            <w:noWrap/>
            <w:tcMar>
              <w:left w:w="57" w:type="dxa"/>
              <w:right w:w="57" w:type="dxa"/>
            </w:tcMar>
            <w:hideMark/>
          </w:tcPr>
          <w:p w14:paraId="0CC4CCA2" w14:textId="77777777" w:rsidR="001F2683" w:rsidRPr="002560BD" w:rsidRDefault="001F2683">
            <w:pPr>
              <w:pStyle w:val="TableDataEntries"/>
              <w:jc w:val="left"/>
              <w:rPr>
                <w:rFonts w:ascii="Franklin Gothic Demi" w:hAnsi="Franklin Gothic Demi"/>
              </w:rPr>
            </w:pPr>
            <w:r w:rsidRPr="002560BD">
              <w:rPr>
                <w:rFonts w:ascii="Franklin Gothic Demi" w:hAnsi="Franklin Gothic Demi"/>
              </w:rPr>
              <w:t>Total</w:t>
            </w:r>
          </w:p>
        </w:tc>
        <w:tc>
          <w:tcPr>
            <w:tcW w:w="1164" w:type="dxa"/>
            <w:tcBorders>
              <w:top w:val="single" w:sz="8" w:space="0" w:color="FFFFFF" w:themeColor="background1"/>
              <w:bottom w:val="single" w:sz="6" w:space="0" w:color="6F6652"/>
            </w:tcBorders>
            <w:shd w:val="clear" w:color="auto" w:fill="C2DADB" w:themeFill="accent6" w:themeFillTint="99"/>
            <w:noWrap/>
            <w:tcMar>
              <w:left w:w="57" w:type="dxa"/>
              <w:right w:w="57" w:type="dxa"/>
            </w:tcMar>
            <w:hideMark/>
          </w:tcPr>
          <w:p w14:paraId="74EB2430" w14:textId="77777777" w:rsidR="001F2683" w:rsidRPr="002560BD" w:rsidRDefault="001F2683">
            <w:pPr>
              <w:pStyle w:val="TableDataEntries"/>
              <w:rPr>
                <w:rFonts w:ascii="Franklin Gothic Demi" w:hAnsi="Franklin Gothic Demi"/>
              </w:rPr>
            </w:pPr>
            <w:r w:rsidRPr="002560BD">
              <w:rPr>
                <w:rFonts w:ascii="Franklin Gothic Demi" w:hAnsi="Franklin Gothic Demi"/>
              </w:rPr>
              <w:t>21,810</w:t>
            </w:r>
          </w:p>
        </w:tc>
        <w:tc>
          <w:tcPr>
            <w:tcW w:w="1164" w:type="dxa"/>
            <w:tcBorders>
              <w:top w:val="single" w:sz="8" w:space="0" w:color="FFFFFF" w:themeColor="background1"/>
              <w:bottom w:val="single" w:sz="6" w:space="0" w:color="6F6652"/>
            </w:tcBorders>
            <w:shd w:val="clear" w:color="auto" w:fill="C2DADB" w:themeFill="accent6" w:themeFillTint="99"/>
            <w:noWrap/>
            <w:tcMar>
              <w:left w:w="57" w:type="dxa"/>
              <w:right w:w="57" w:type="dxa"/>
            </w:tcMar>
            <w:hideMark/>
          </w:tcPr>
          <w:p w14:paraId="7BD82E42" w14:textId="77777777" w:rsidR="001F2683" w:rsidRPr="002560BD" w:rsidRDefault="001F2683">
            <w:pPr>
              <w:pStyle w:val="TableDataEntries"/>
              <w:rPr>
                <w:rFonts w:ascii="Franklin Gothic Demi" w:hAnsi="Franklin Gothic Demi"/>
              </w:rPr>
            </w:pPr>
            <w:r w:rsidRPr="002560BD">
              <w:rPr>
                <w:rFonts w:ascii="Franklin Gothic Demi" w:hAnsi="Franklin Gothic Demi"/>
              </w:rPr>
              <w:t>1,090.49</w:t>
            </w:r>
          </w:p>
        </w:tc>
        <w:tc>
          <w:tcPr>
            <w:tcW w:w="1170" w:type="dxa"/>
            <w:tcBorders>
              <w:top w:val="single" w:sz="8" w:space="0" w:color="FFFFFF" w:themeColor="background1"/>
              <w:bottom w:val="single" w:sz="6" w:space="0" w:color="6F6652"/>
            </w:tcBorders>
            <w:shd w:val="clear" w:color="auto" w:fill="C2DADB" w:themeFill="accent6" w:themeFillTint="99"/>
            <w:noWrap/>
            <w:tcMar>
              <w:left w:w="57" w:type="dxa"/>
              <w:right w:w="57" w:type="dxa"/>
            </w:tcMar>
            <w:hideMark/>
          </w:tcPr>
          <w:p w14:paraId="2F739EAD" w14:textId="77777777" w:rsidR="001F2683" w:rsidRPr="002560BD" w:rsidRDefault="001F2683">
            <w:pPr>
              <w:pStyle w:val="TableDataEntries"/>
              <w:rPr>
                <w:rFonts w:ascii="Franklin Gothic Demi" w:hAnsi="Franklin Gothic Demi"/>
              </w:rPr>
            </w:pPr>
            <w:r w:rsidRPr="002560BD">
              <w:rPr>
                <w:rFonts w:ascii="Franklin Gothic Demi" w:hAnsi="Franklin Gothic Demi"/>
              </w:rPr>
              <w:t>14,563.25</w:t>
            </w:r>
          </w:p>
        </w:tc>
        <w:tc>
          <w:tcPr>
            <w:tcW w:w="1170" w:type="dxa"/>
            <w:tcBorders>
              <w:top w:val="single" w:sz="8" w:space="0" w:color="FFFFFF" w:themeColor="background1"/>
              <w:bottom w:val="single" w:sz="6" w:space="0" w:color="6F6652"/>
            </w:tcBorders>
            <w:shd w:val="clear" w:color="auto" w:fill="C2DADB" w:themeFill="accent6" w:themeFillTint="99"/>
            <w:noWrap/>
            <w:tcMar>
              <w:left w:w="57" w:type="dxa"/>
              <w:right w:w="57" w:type="dxa"/>
            </w:tcMar>
            <w:hideMark/>
          </w:tcPr>
          <w:p w14:paraId="019B20B4" w14:textId="77777777" w:rsidR="001F2683" w:rsidRPr="002560BD" w:rsidRDefault="001F2683">
            <w:pPr>
              <w:pStyle w:val="TableDataEntries"/>
              <w:rPr>
                <w:rFonts w:ascii="Franklin Gothic Demi" w:hAnsi="Franklin Gothic Demi"/>
              </w:rPr>
            </w:pPr>
            <w:r w:rsidRPr="002560BD">
              <w:rPr>
                <w:rFonts w:ascii="Franklin Gothic Demi" w:hAnsi="Franklin Gothic Demi"/>
              </w:rPr>
              <w:t>15,653.74</w:t>
            </w:r>
          </w:p>
        </w:tc>
      </w:tr>
    </w:tbl>
    <w:p w14:paraId="03F6648F" w14:textId="46C322C7" w:rsidR="001F2683" w:rsidRPr="00E4232C" w:rsidRDefault="001F2683" w:rsidP="001F2683">
      <w:pPr>
        <w:pStyle w:val="Note"/>
      </w:pPr>
      <w:r w:rsidRPr="00463A20">
        <w:rPr>
          <w:rStyle w:val="NoteLabel"/>
          <w:color w:val="4F493D" w:themeColor="accent4" w:themeShade="80"/>
        </w:rPr>
        <w:t xml:space="preserve">a </w:t>
      </w:r>
      <w:r>
        <w:t>Based on the number of NCC subscribers assuming that the proposed changes will affect around 43.8 per cent of subscribers, based on share from input</w:t>
      </w:r>
      <w:r>
        <w:noBreakHyphen/>
        <w:t>output tables (see table </w:t>
      </w:r>
      <w:fldSimple w:instr=" REF _Caption3007 ">
        <w:r w:rsidR="006E00A7">
          <w:rPr>
            <w:noProof/>
          </w:rPr>
          <w:t>5</w:t>
        </w:r>
        <w:r w:rsidR="006E00A7" w:rsidRPr="00695C93">
          <w:rPr>
            <w:noProof/>
          </w:rPr>
          <w:t>.</w:t>
        </w:r>
        <w:r w:rsidR="006E00A7">
          <w:rPr>
            <w:noProof/>
          </w:rPr>
          <w:t>10</w:t>
        </w:r>
      </w:fldSimple>
      <w:r>
        <w:t xml:space="preserve"> below). </w:t>
      </w:r>
      <w:r w:rsidRPr="00463A20">
        <w:rPr>
          <w:rStyle w:val="NoteLabel"/>
          <w:color w:val="4F493D" w:themeColor="accent4" w:themeShade="80"/>
        </w:rPr>
        <w:t>b</w:t>
      </w:r>
      <w:r>
        <w:t xml:space="preserve"> Assumes seminar fees of $50 per subscriber. </w:t>
      </w:r>
      <w:r w:rsidRPr="00463A20">
        <w:rPr>
          <w:rStyle w:val="NoteLabel"/>
          <w:color w:val="4F493D" w:themeColor="accent4" w:themeShade="80"/>
        </w:rPr>
        <w:t>c</w:t>
      </w:r>
      <w:r>
        <w:t xml:space="preserve"> Assumes 10 hours per affected stakeholder (see below for details). Time values are in table </w:t>
      </w:r>
      <w:fldSimple w:instr=" REF _Caption2920 ">
        <w:r w:rsidR="006E00A7">
          <w:rPr>
            <w:noProof/>
          </w:rPr>
          <w:t>5</w:t>
        </w:r>
        <w:r w:rsidR="006E00A7" w:rsidRPr="00695C93">
          <w:rPr>
            <w:noProof/>
          </w:rPr>
          <w:t>.</w:t>
        </w:r>
        <w:r w:rsidR="006E00A7">
          <w:rPr>
            <w:noProof/>
          </w:rPr>
          <w:t>4</w:t>
        </w:r>
      </w:fldSimple>
      <w:r>
        <w:t xml:space="preserve"> below).</w:t>
      </w:r>
    </w:p>
    <w:p w14:paraId="1E7C8610" w14:textId="77777777" w:rsidR="001F2683" w:rsidRDefault="001F2683" w:rsidP="001F2683">
      <w:pPr>
        <w:pStyle w:val="Source"/>
        <w:rPr>
          <w:lang w:bidi="fa-IR"/>
        </w:rPr>
      </w:pPr>
      <w:r w:rsidRPr="002560BD">
        <w:rPr>
          <w:i/>
          <w:lang w:bidi="fa-IR"/>
        </w:rPr>
        <w:t>Source:</w:t>
      </w:r>
      <w:r>
        <w:rPr>
          <w:lang w:bidi="fa-IR"/>
        </w:rPr>
        <w:t xml:space="preserve"> CIE estimates</w:t>
      </w:r>
    </w:p>
    <w:p w14:paraId="2A2FCB90" w14:textId="3E4FDF57" w:rsidR="001F2683" w:rsidRDefault="001F2683" w:rsidP="001F2683">
      <w:pPr>
        <w:pStyle w:val="BodyText"/>
        <w:rPr>
          <w:lang w:bidi="fa-IR"/>
        </w:rPr>
      </w:pPr>
      <w:r>
        <w:rPr>
          <w:lang w:eastAsia="en-US"/>
        </w:rPr>
        <w:t xml:space="preserve">These costs are allocated across jurisdictions based on the share of employment of the relevant professions in each jurisdiction (based on 2021 Census data) (table </w:t>
      </w:r>
      <w:r>
        <w:rPr>
          <w:lang w:eastAsia="en-US"/>
        </w:rPr>
        <w:fldChar w:fldCharType="begin"/>
      </w:r>
      <w:r>
        <w:rPr>
          <w:lang w:eastAsia="en-US"/>
        </w:rPr>
        <w:instrText xml:space="preserve"> REF _Caption4050 </w:instrText>
      </w:r>
      <w:r>
        <w:rPr>
          <w:lang w:eastAsia="en-US"/>
        </w:rPr>
        <w:fldChar w:fldCharType="separate"/>
      </w:r>
      <w:r w:rsidR="006E00A7">
        <w:rPr>
          <w:noProof/>
        </w:rPr>
        <w:t>5</w:t>
      </w:r>
      <w:r w:rsidR="006E00A7" w:rsidRPr="00695C93">
        <w:rPr>
          <w:noProof/>
        </w:rPr>
        <w:t>.</w:t>
      </w:r>
      <w:r w:rsidR="006E00A7">
        <w:rPr>
          <w:noProof/>
        </w:rPr>
        <w:t>11</w:t>
      </w:r>
      <w:r>
        <w:rPr>
          <w:lang w:eastAsia="en-US"/>
        </w:rPr>
        <w:fldChar w:fldCharType="end"/>
      </w:r>
      <w:r>
        <w:rPr>
          <w:lang w:eastAsia="en-US"/>
        </w:rPr>
        <w:t>).</w:t>
      </w:r>
    </w:p>
    <w:p w14:paraId="75CAAEEF" w14:textId="6725CAE0" w:rsidR="001F2683" w:rsidRPr="00695C93" w:rsidRDefault="001F2683">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E136D5">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E136D5">
          <w:rPr>
            <w:noProof/>
          </w:rPr>
          <w:instrText>5</w:instrText>
        </w:r>
      </w:fldSimple>
      <w:r w:rsidRPr="00695C93">
        <w:instrText xml:space="preserve"> = 0 "" "</w:instrText>
      </w:r>
      <w:fldSimple w:instr=" STYLEREF &quot;Heading 1&quot; \l \n ">
        <w:r w:rsidR="00E136D5">
          <w:rPr>
            <w:noProof/>
          </w:rPr>
          <w:instrText>5</w:instrText>
        </w:r>
      </w:fldSimple>
      <w:r w:rsidRPr="00695C93">
        <w:instrText xml:space="preserve">." </w:instrText>
      </w:r>
      <w:r w:rsidRPr="00695C93">
        <w:fldChar w:fldCharType="separate"/>
      </w:r>
      <w:r w:rsidR="00E136D5">
        <w:rPr>
          <w:noProof/>
        </w:rPr>
        <w:instrText>5</w:instrText>
      </w:r>
      <w:r w:rsidR="00E136D5" w:rsidRPr="00695C93">
        <w:rPr>
          <w:noProof/>
        </w:rPr>
        <w:instrText>.</w:instrText>
      </w:r>
      <w:r w:rsidRPr="00695C93">
        <w:fldChar w:fldCharType="end"/>
      </w:r>
      <w:r w:rsidRPr="00695C93">
        <w:instrText>" "</w:instrText>
      </w:r>
      <w:fldSimple w:instr=" STYLEREF &quot;Heading 6&quot; \l \n ">
        <w:r>
          <w:rPr>
            <w:noProof/>
          </w:rPr>
          <w:instrText>A</w:instrText>
        </w:r>
      </w:fldSimple>
      <w:r w:rsidRPr="00695C93">
        <w:instrText xml:space="preserve">." </w:instrText>
      </w:r>
      <w:r w:rsidRPr="00695C93">
        <w:fldChar w:fldCharType="separate"/>
      </w:r>
      <w:r w:rsidR="008C60A3">
        <w:rPr>
          <w:noProof/>
        </w:rPr>
        <w:instrText>5</w:instrText>
      </w:r>
      <w:r w:rsidR="008C60A3"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E136D5">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E136D5">
          <w:rPr>
            <w:noProof/>
          </w:rPr>
          <w:instrText>5</w:instrText>
        </w:r>
      </w:fldSimple>
      <w:r w:rsidRPr="00695C93">
        <w:instrText xml:space="preserve"> = 0 "" "1" </w:instrText>
      </w:r>
      <w:r w:rsidRPr="00695C93">
        <w:fldChar w:fldCharType="separate"/>
      </w:r>
      <w:r w:rsidR="008C60A3" w:rsidRPr="00695C93">
        <w:rPr>
          <w:noProof/>
        </w:rPr>
        <w:instrText>1</w:instrText>
      </w:r>
      <w:r w:rsidRPr="00695C93">
        <w:fldChar w:fldCharType="end"/>
      </w:r>
      <w:r w:rsidRPr="00695C93">
        <w:instrText xml:space="preserve">" "6" </w:instrText>
      </w:r>
      <w:r w:rsidRPr="00695C93">
        <w:fldChar w:fldCharType="separate"/>
      </w:r>
      <w:r w:rsidR="008C60A3" w:rsidRPr="00695C93">
        <w:rPr>
          <w:noProof/>
        </w:rPr>
        <w:instrText>1</w:instrText>
      </w:r>
      <w:r w:rsidRPr="00695C93">
        <w:fldChar w:fldCharType="end"/>
      </w:r>
      <w:r w:rsidRPr="00695C93">
        <w:instrText xml:space="preserve"> </w:instrText>
      </w:r>
      <w:r w:rsidRPr="00695C93">
        <w:fldChar w:fldCharType="separate"/>
      </w:r>
      <w:r w:rsidR="00E136D5">
        <w:rPr>
          <w:noProof/>
        </w:rPr>
        <w:instrText>11</w:instrText>
      </w:r>
      <w:r w:rsidRPr="00695C93">
        <w:fldChar w:fldCharType="end"/>
      </w:r>
      <w:r w:rsidRPr="00695C93">
        <w:instrText xml:space="preserve">" "" </w:instrText>
      </w:r>
      <w:r w:rsidRPr="00695C93">
        <w:fldChar w:fldCharType="separate"/>
      </w:r>
      <w:bookmarkStart w:id="1480" w:name="_Caption8550"/>
      <w:bookmarkStart w:id="1481" w:name="_Caption8334"/>
      <w:bookmarkStart w:id="1482" w:name="_Caption3812"/>
      <w:bookmarkStart w:id="1483" w:name="_Caption0973"/>
      <w:bookmarkStart w:id="1484" w:name="_Caption3008"/>
      <w:bookmarkStart w:id="1485" w:name="_Caption1581"/>
      <w:bookmarkStart w:id="1486" w:name="_Caption7843"/>
      <w:bookmarkStart w:id="1487" w:name="_Caption8036"/>
      <w:bookmarkStart w:id="1488" w:name="_Caption3610"/>
      <w:bookmarkStart w:id="1489" w:name="_Caption8304"/>
      <w:bookmarkStart w:id="1490" w:name="_Caption7523"/>
      <w:bookmarkStart w:id="1491" w:name="_Caption4050"/>
      <w:bookmarkStart w:id="1492" w:name="_Caption3428"/>
      <w:bookmarkStart w:id="1493" w:name="_Caption3551"/>
      <w:bookmarkStart w:id="1494" w:name="_Caption0336"/>
      <w:bookmarkStart w:id="1495" w:name="_Caption1656"/>
      <w:bookmarkStart w:id="1496" w:name="_Caption2051"/>
      <w:bookmarkStart w:id="1497" w:name="_Caption5039"/>
      <w:bookmarkStart w:id="1498" w:name="_Caption7513"/>
      <w:bookmarkStart w:id="1499" w:name="_Caption3635"/>
      <w:bookmarkStart w:id="1500" w:name="_Caption5232"/>
      <w:bookmarkStart w:id="1501" w:name="_Caption9293"/>
      <w:bookmarkStart w:id="1502" w:name="_Caption4066"/>
      <w:bookmarkStart w:id="1503" w:name="_Caption4574"/>
      <w:bookmarkStart w:id="1504" w:name="_Caption2610"/>
      <w:bookmarkStart w:id="1505" w:name="_Caption8037"/>
      <w:bookmarkStart w:id="1506" w:name="_Caption4757"/>
      <w:bookmarkStart w:id="1507" w:name="_Caption4677"/>
      <w:bookmarkStart w:id="1508" w:name="_Caption1537"/>
      <w:bookmarkStart w:id="1509" w:name="_Caption5322"/>
      <w:bookmarkStart w:id="1510" w:name="_Caption8319"/>
      <w:bookmarkStart w:id="1511" w:name="_Caption2683"/>
      <w:bookmarkStart w:id="1512" w:name="_Caption4239"/>
      <w:bookmarkStart w:id="1513" w:name="_Caption7327"/>
      <w:bookmarkStart w:id="1514" w:name="_Caption6901"/>
      <w:bookmarkStart w:id="1515" w:name="_Caption8602"/>
      <w:bookmarkStart w:id="1516" w:name="_Caption1019"/>
      <w:bookmarkStart w:id="1517" w:name="_Caption6983"/>
      <w:bookmarkStart w:id="1518" w:name="_Caption2813"/>
      <w:bookmarkStart w:id="1519" w:name="_Caption3675"/>
      <w:bookmarkStart w:id="1520" w:name="_Caption0520"/>
      <w:bookmarkStart w:id="1521" w:name="_Caption0616"/>
      <w:bookmarkStart w:id="1522" w:name="_Caption1238"/>
      <w:bookmarkStart w:id="1523" w:name="_Caption2577"/>
      <w:bookmarkStart w:id="1524" w:name="_Caption6893"/>
      <w:bookmarkStart w:id="1525" w:name="_Caption9211"/>
      <w:bookmarkStart w:id="1526" w:name="_Caption5809"/>
      <w:bookmarkStart w:id="1527" w:name="_Caption2720"/>
      <w:bookmarkStart w:id="1528" w:name="_Caption4336"/>
      <w:bookmarkStart w:id="1529" w:name="_Caption1969"/>
      <w:bookmarkStart w:id="1530" w:name="_Caption4537"/>
      <w:bookmarkStart w:id="1531" w:name="_Caption7341"/>
      <w:bookmarkStart w:id="1532" w:name="_Caption5501"/>
      <w:bookmarkStart w:id="1533" w:name="_Caption0565"/>
      <w:bookmarkStart w:id="1534" w:name="_Caption0813"/>
      <w:bookmarkStart w:id="1535" w:name="_Caption5884"/>
      <w:bookmarkStart w:id="1536" w:name="_Caption6782"/>
      <w:bookmarkStart w:id="1537" w:name="_Caption8404"/>
      <w:bookmarkStart w:id="1538" w:name="_Toc178292585"/>
      <w:r w:rsidR="008C60A3">
        <w:rPr>
          <w:noProof/>
        </w:rPr>
        <w:t>5</w:t>
      </w:r>
      <w:r w:rsidR="008C60A3" w:rsidRPr="00695C93">
        <w:rPr>
          <w:noProof/>
        </w:rPr>
        <w:t>.</w:t>
      </w:r>
      <w:r w:rsidR="008C60A3">
        <w:rPr>
          <w:noProof/>
        </w:rPr>
        <w:t>11</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r w:rsidRPr="00695C93">
        <w:fldChar w:fldCharType="end"/>
      </w:r>
      <w:r w:rsidRPr="00695C93">
        <w:tab/>
      </w:r>
      <w:r w:rsidRPr="00E61ADA">
        <w:t>Allocation of training costs across jurisdictions</w:t>
      </w:r>
      <w:bookmarkEnd w:id="1538"/>
    </w:p>
    <w:tbl>
      <w:tblPr>
        <w:tblW w:w="7937" w:type="dxa"/>
        <w:tblLook w:val="04A0" w:firstRow="1" w:lastRow="0" w:firstColumn="1" w:lastColumn="0" w:noHBand="0" w:noVBand="1"/>
      </w:tblPr>
      <w:tblGrid>
        <w:gridCol w:w="5845"/>
        <w:gridCol w:w="2092"/>
      </w:tblGrid>
      <w:tr w:rsidR="001F2683" w:rsidRPr="006D6A6B" w14:paraId="4E105A80" w14:textId="77777777" w:rsidTr="00D730DF">
        <w:trPr>
          <w:trHeight w:val="252"/>
          <w:tblHeader/>
        </w:trPr>
        <w:tc>
          <w:tcPr>
            <w:tcW w:w="5845" w:type="dxa"/>
            <w:shd w:val="clear" w:color="auto" w:fill="6F6652"/>
            <w:noWrap/>
            <w:tcMar>
              <w:left w:w="57" w:type="dxa"/>
              <w:right w:w="57" w:type="dxa"/>
            </w:tcMar>
            <w:hideMark/>
          </w:tcPr>
          <w:p w14:paraId="7F5A781C" w14:textId="77777777" w:rsidR="001F2683" w:rsidRPr="006D6A6B" w:rsidRDefault="001F2683">
            <w:pPr>
              <w:pStyle w:val="TableDataColumnHeading"/>
              <w:jc w:val="left"/>
            </w:pPr>
          </w:p>
        </w:tc>
        <w:tc>
          <w:tcPr>
            <w:tcW w:w="2092" w:type="dxa"/>
            <w:shd w:val="clear" w:color="auto" w:fill="6F6652"/>
            <w:noWrap/>
            <w:tcMar>
              <w:left w:w="57" w:type="dxa"/>
              <w:right w:w="57" w:type="dxa"/>
            </w:tcMar>
            <w:hideMark/>
          </w:tcPr>
          <w:p w14:paraId="4CBEC820" w14:textId="77777777" w:rsidR="001F2683" w:rsidRPr="00BE70FC" w:rsidRDefault="001F2683">
            <w:pPr>
              <w:pStyle w:val="TableDataColumnHeading"/>
              <w:rPr>
                <w:szCs w:val="16"/>
              </w:rPr>
            </w:pPr>
            <w:r w:rsidRPr="00BE70FC">
              <w:rPr>
                <w:szCs w:val="16"/>
              </w:rPr>
              <w:t>Costs to industry</w:t>
            </w:r>
          </w:p>
        </w:tc>
      </w:tr>
      <w:tr w:rsidR="001F2683" w:rsidRPr="006D6A6B" w14:paraId="43F73A35" w14:textId="77777777" w:rsidTr="00D730DF">
        <w:trPr>
          <w:trHeight w:val="252"/>
          <w:tblHeader/>
        </w:trPr>
        <w:tc>
          <w:tcPr>
            <w:tcW w:w="5845" w:type="dxa"/>
            <w:tcBorders>
              <w:bottom w:val="single" w:sz="8" w:space="0" w:color="FFFFFF" w:themeColor="background1"/>
            </w:tcBorders>
            <w:noWrap/>
            <w:tcMar>
              <w:left w:w="57" w:type="dxa"/>
              <w:right w:w="57" w:type="dxa"/>
            </w:tcMar>
            <w:hideMark/>
          </w:tcPr>
          <w:p w14:paraId="646CC966" w14:textId="77777777" w:rsidR="001F2683" w:rsidRPr="006D6A6B" w:rsidRDefault="001F2683">
            <w:pPr>
              <w:pStyle w:val="TableUnit"/>
              <w:jc w:val="left"/>
            </w:pPr>
          </w:p>
        </w:tc>
        <w:tc>
          <w:tcPr>
            <w:tcW w:w="2092" w:type="dxa"/>
            <w:tcBorders>
              <w:bottom w:val="single" w:sz="8" w:space="0" w:color="FFFFFF" w:themeColor="background1"/>
            </w:tcBorders>
            <w:noWrap/>
            <w:tcMar>
              <w:left w:w="57" w:type="dxa"/>
              <w:right w:w="57" w:type="dxa"/>
            </w:tcMar>
            <w:hideMark/>
          </w:tcPr>
          <w:p w14:paraId="3C773349" w14:textId="77777777" w:rsidR="001F2683" w:rsidRPr="006D6A6B" w:rsidRDefault="001F2683">
            <w:pPr>
              <w:pStyle w:val="TableUnit"/>
            </w:pPr>
            <w:r w:rsidRPr="006D6A6B">
              <w:t>$ '000</w:t>
            </w:r>
          </w:p>
        </w:tc>
      </w:tr>
      <w:tr w:rsidR="001F2683" w:rsidRPr="006D6A6B" w14:paraId="4548E3BE" w14:textId="77777777">
        <w:trPr>
          <w:trHeight w:val="252"/>
        </w:trPr>
        <w:tc>
          <w:tcPr>
            <w:tcW w:w="584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7E80D00D" w14:textId="77777777" w:rsidR="001F2683" w:rsidRPr="006D6A6B" w:rsidRDefault="001F2683">
            <w:pPr>
              <w:pStyle w:val="TableDataEntries"/>
              <w:jc w:val="left"/>
            </w:pPr>
            <w:r w:rsidRPr="006D6A6B">
              <w:t>New South Wales</w:t>
            </w:r>
          </w:p>
        </w:tc>
        <w:tc>
          <w:tcPr>
            <w:tcW w:w="209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EBA89E5" w14:textId="77777777" w:rsidR="001F2683" w:rsidRPr="006D6A6B" w:rsidRDefault="001F2683">
            <w:pPr>
              <w:pStyle w:val="TableDataEntries"/>
            </w:pPr>
            <w:r w:rsidRPr="006D6A6B">
              <w:t>4,732.19</w:t>
            </w:r>
          </w:p>
        </w:tc>
      </w:tr>
      <w:tr w:rsidR="001F2683" w:rsidRPr="006D6A6B" w14:paraId="45D4CA81" w14:textId="77777777">
        <w:trPr>
          <w:trHeight w:val="252"/>
        </w:trPr>
        <w:tc>
          <w:tcPr>
            <w:tcW w:w="584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855C9CA" w14:textId="77777777" w:rsidR="001F2683" w:rsidRPr="006D6A6B" w:rsidRDefault="001F2683">
            <w:pPr>
              <w:pStyle w:val="TableDataEntries"/>
              <w:jc w:val="left"/>
            </w:pPr>
            <w:r w:rsidRPr="006D6A6B">
              <w:t>Victoria</w:t>
            </w:r>
          </w:p>
        </w:tc>
        <w:tc>
          <w:tcPr>
            <w:tcW w:w="209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E2B1516" w14:textId="77777777" w:rsidR="001F2683" w:rsidRPr="006D6A6B" w:rsidRDefault="001F2683">
            <w:pPr>
              <w:pStyle w:val="TableDataEntries"/>
            </w:pPr>
            <w:r w:rsidRPr="006D6A6B">
              <w:t>4,168.08</w:t>
            </w:r>
          </w:p>
        </w:tc>
      </w:tr>
      <w:tr w:rsidR="001F2683" w:rsidRPr="006D6A6B" w14:paraId="6DD5DFB2" w14:textId="77777777">
        <w:trPr>
          <w:trHeight w:val="252"/>
        </w:trPr>
        <w:tc>
          <w:tcPr>
            <w:tcW w:w="584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0F6984B8" w14:textId="77777777" w:rsidR="001F2683" w:rsidRPr="006D6A6B" w:rsidRDefault="001F2683">
            <w:pPr>
              <w:pStyle w:val="TableDataEntries"/>
              <w:jc w:val="left"/>
            </w:pPr>
            <w:r w:rsidRPr="006D6A6B">
              <w:t>Queensland</w:t>
            </w:r>
          </w:p>
        </w:tc>
        <w:tc>
          <w:tcPr>
            <w:tcW w:w="209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5E152FC1" w14:textId="77777777" w:rsidR="001F2683" w:rsidRPr="006D6A6B" w:rsidRDefault="001F2683">
            <w:pPr>
              <w:pStyle w:val="TableDataEntries"/>
            </w:pPr>
            <w:r w:rsidRPr="006D6A6B">
              <w:t>3,422.98</w:t>
            </w:r>
          </w:p>
        </w:tc>
      </w:tr>
      <w:tr w:rsidR="001F2683" w:rsidRPr="006D6A6B" w14:paraId="76C94A9D" w14:textId="77777777">
        <w:trPr>
          <w:trHeight w:val="252"/>
        </w:trPr>
        <w:tc>
          <w:tcPr>
            <w:tcW w:w="584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0F38EAC" w14:textId="77777777" w:rsidR="001F2683" w:rsidRPr="006D6A6B" w:rsidRDefault="001F2683">
            <w:pPr>
              <w:pStyle w:val="TableDataEntries"/>
              <w:jc w:val="left"/>
            </w:pPr>
            <w:r w:rsidRPr="006D6A6B">
              <w:t>South Australia</w:t>
            </w:r>
          </w:p>
        </w:tc>
        <w:tc>
          <w:tcPr>
            <w:tcW w:w="209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5AB5429C" w14:textId="77777777" w:rsidR="001F2683" w:rsidRPr="006D6A6B" w:rsidRDefault="001F2683">
            <w:pPr>
              <w:pStyle w:val="TableDataEntries"/>
            </w:pPr>
            <w:r w:rsidRPr="006D6A6B">
              <w:t>1,039.71</w:t>
            </w:r>
          </w:p>
        </w:tc>
      </w:tr>
      <w:tr w:rsidR="001F2683" w:rsidRPr="006D6A6B" w14:paraId="120DE5D9" w14:textId="77777777">
        <w:trPr>
          <w:trHeight w:val="252"/>
        </w:trPr>
        <w:tc>
          <w:tcPr>
            <w:tcW w:w="584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340511D" w14:textId="77777777" w:rsidR="001F2683" w:rsidRPr="006D6A6B" w:rsidRDefault="001F2683">
            <w:pPr>
              <w:pStyle w:val="TableDataEntries"/>
              <w:jc w:val="left"/>
            </w:pPr>
            <w:r w:rsidRPr="006D6A6B">
              <w:t>Western Australia</w:t>
            </w:r>
          </w:p>
        </w:tc>
        <w:tc>
          <w:tcPr>
            <w:tcW w:w="209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7574848C" w14:textId="77777777" w:rsidR="001F2683" w:rsidRPr="006D6A6B" w:rsidRDefault="001F2683">
            <w:pPr>
              <w:pStyle w:val="TableDataEntries"/>
            </w:pPr>
            <w:r w:rsidRPr="006D6A6B">
              <w:t>1,462.46</w:t>
            </w:r>
          </w:p>
        </w:tc>
      </w:tr>
      <w:tr w:rsidR="001F2683" w:rsidRPr="006D6A6B" w14:paraId="47BCDDF9" w14:textId="77777777">
        <w:trPr>
          <w:trHeight w:val="252"/>
        </w:trPr>
        <w:tc>
          <w:tcPr>
            <w:tcW w:w="584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3A377A64" w14:textId="77777777" w:rsidR="001F2683" w:rsidRPr="006D6A6B" w:rsidRDefault="001F2683">
            <w:pPr>
              <w:pStyle w:val="TableDataEntries"/>
              <w:jc w:val="left"/>
            </w:pPr>
            <w:r w:rsidRPr="006D6A6B">
              <w:t>Tasmania</w:t>
            </w:r>
          </w:p>
        </w:tc>
        <w:tc>
          <w:tcPr>
            <w:tcW w:w="209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7D5F2FE2" w14:textId="77777777" w:rsidR="001F2683" w:rsidRPr="006D6A6B" w:rsidRDefault="001F2683">
            <w:pPr>
              <w:pStyle w:val="TableDataEntries"/>
            </w:pPr>
            <w:r w:rsidRPr="006D6A6B">
              <w:t>231.19</w:t>
            </w:r>
          </w:p>
        </w:tc>
      </w:tr>
      <w:tr w:rsidR="001F2683" w:rsidRPr="006D6A6B" w14:paraId="000A77B4" w14:textId="77777777">
        <w:trPr>
          <w:trHeight w:val="252"/>
        </w:trPr>
        <w:tc>
          <w:tcPr>
            <w:tcW w:w="584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339C7073" w14:textId="77777777" w:rsidR="001F2683" w:rsidRPr="006D6A6B" w:rsidRDefault="001F2683">
            <w:pPr>
              <w:pStyle w:val="TableDataEntries"/>
              <w:jc w:val="left"/>
            </w:pPr>
            <w:r w:rsidRPr="006D6A6B">
              <w:t>ACT</w:t>
            </w:r>
          </w:p>
        </w:tc>
        <w:tc>
          <w:tcPr>
            <w:tcW w:w="209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392C133" w14:textId="77777777" w:rsidR="001F2683" w:rsidRPr="006D6A6B" w:rsidRDefault="001F2683">
            <w:pPr>
              <w:pStyle w:val="TableDataEntries"/>
            </w:pPr>
            <w:r w:rsidRPr="006D6A6B">
              <w:t>483.52</w:t>
            </w:r>
          </w:p>
        </w:tc>
      </w:tr>
      <w:tr w:rsidR="001F2683" w:rsidRPr="006D6A6B" w14:paraId="7458A18E" w14:textId="77777777">
        <w:trPr>
          <w:trHeight w:val="252"/>
        </w:trPr>
        <w:tc>
          <w:tcPr>
            <w:tcW w:w="584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C9EF462" w14:textId="77777777" w:rsidR="001F2683" w:rsidRPr="006D6A6B" w:rsidRDefault="001F2683">
            <w:pPr>
              <w:pStyle w:val="TableDataEntries"/>
              <w:jc w:val="left"/>
            </w:pPr>
            <w:r w:rsidRPr="006D6A6B">
              <w:t>Northern Territory</w:t>
            </w:r>
          </w:p>
        </w:tc>
        <w:tc>
          <w:tcPr>
            <w:tcW w:w="209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69120BB9" w14:textId="77777777" w:rsidR="001F2683" w:rsidRPr="006D6A6B" w:rsidRDefault="001F2683">
            <w:pPr>
              <w:pStyle w:val="TableDataEntries"/>
            </w:pPr>
            <w:r w:rsidRPr="006D6A6B">
              <w:t>113.61</w:t>
            </w:r>
          </w:p>
        </w:tc>
      </w:tr>
      <w:tr w:rsidR="001F2683" w:rsidRPr="006A7C8F" w14:paraId="689D2FAD" w14:textId="77777777">
        <w:trPr>
          <w:trHeight w:val="252"/>
        </w:trPr>
        <w:tc>
          <w:tcPr>
            <w:tcW w:w="5845" w:type="dxa"/>
            <w:tcBorders>
              <w:top w:val="single" w:sz="8" w:space="0" w:color="FFFFFF" w:themeColor="background1"/>
              <w:bottom w:val="single" w:sz="6" w:space="0" w:color="6F6652"/>
            </w:tcBorders>
            <w:shd w:val="clear" w:color="auto" w:fill="C2DADB" w:themeFill="accent6" w:themeFillTint="99"/>
            <w:noWrap/>
            <w:tcMar>
              <w:left w:w="57" w:type="dxa"/>
              <w:right w:w="57" w:type="dxa"/>
            </w:tcMar>
            <w:hideMark/>
          </w:tcPr>
          <w:p w14:paraId="073AAD44" w14:textId="77777777" w:rsidR="001F2683" w:rsidRPr="006A7C8F" w:rsidRDefault="001F2683">
            <w:pPr>
              <w:pStyle w:val="TableDataEntries"/>
              <w:jc w:val="left"/>
              <w:rPr>
                <w:rFonts w:ascii="Franklin Gothic Demi" w:hAnsi="Franklin Gothic Demi"/>
              </w:rPr>
            </w:pPr>
            <w:r w:rsidRPr="006A7C8F">
              <w:rPr>
                <w:rFonts w:ascii="Franklin Gothic Demi" w:hAnsi="Franklin Gothic Demi"/>
              </w:rPr>
              <w:t>Total</w:t>
            </w:r>
          </w:p>
        </w:tc>
        <w:tc>
          <w:tcPr>
            <w:tcW w:w="2092" w:type="dxa"/>
            <w:tcBorders>
              <w:top w:val="single" w:sz="8" w:space="0" w:color="FFFFFF" w:themeColor="background1"/>
              <w:bottom w:val="single" w:sz="6" w:space="0" w:color="6F6652"/>
            </w:tcBorders>
            <w:shd w:val="clear" w:color="auto" w:fill="C2DADB" w:themeFill="accent6" w:themeFillTint="99"/>
            <w:noWrap/>
            <w:tcMar>
              <w:left w:w="57" w:type="dxa"/>
              <w:right w:w="57" w:type="dxa"/>
            </w:tcMar>
            <w:hideMark/>
          </w:tcPr>
          <w:p w14:paraId="7115B3BC" w14:textId="77777777" w:rsidR="001F2683" w:rsidRPr="006A7C8F" w:rsidRDefault="001F2683">
            <w:pPr>
              <w:pStyle w:val="TableDataEntries"/>
              <w:rPr>
                <w:rFonts w:ascii="Franklin Gothic Demi" w:hAnsi="Franklin Gothic Demi"/>
              </w:rPr>
            </w:pPr>
            <w:r w:rsidRPr="006A7C8F">
              <w:rPr>
                <w:rFonts w:ascii="Franklin Gothic Demi" w:hAnsi="Franklin Gothic Demi"/>
              </w:rPr>
              <w:t>15,653.74</w:t>
            </w:r>
          </w:p>
        </w:tc>
      </w:tr>
    </w:tbl>
    <w:p w14:paraId="713AEDC4" w14:textId="77777777" w:rsidR="001F2683" w:rsidRDefault="001F2683" w:rsidP="001F2683">
      <w:pPr>
        <w:pStyle w:val="Source"/>
        <w:rPr>
          <w:lang w:bidi="fa-IR"/>
        </w:rPr>
      </w:pPr>
      <w:r w:rsidRPr="006D6A6B">
        <w:rPr>
          <w:i/>
          <w:lang w:bidi="fa-IR"/>
        </w:rPr>
        <w:t>Source:</w:t>
      </w:r>
      <w:r>
        <w:rPr>
          <w:lang w:bidi="fa-IR"/>
        </w:rPr>
        <w:t xml:space="preserve"> ABS 2021 Census, CIE</w:t>
      </w:r>
    </w:p>
    <w:p w14:paraId="7CC063F2" w14:textId="77777777" w:rsidR="001F2683" w:rsidRDefault="001F2683" w:rsidP="001F2683">
      <w:pPr>
        <w:pStyle w:val="Heading5"/>
        <w:rPr>
          <w:lang w:bidi="fa-IR"/>
        </w:rPr>
      </w:pPr>
      <w:r>
        <w:rPr>
          <w:lang w:bidi="fa-IR"/>
        </w:rPr>
        <w:t>Industry stakeholders directly affected by the proposed changes</w:t>
      </w:r>
    </w:p>
    <w:p w14:paraId="7BC742E8" w14:textId="77777777" w:rsidR="001F2683" w:rsidRDefault="001F2683" w:rsidP="001F2683">
      <w:pPr>
        <w:pStyle w:val="BodyText"/>
      </w:pPr>
      <w:r>
        <w:t>Stakeholders that will be directly affected by the proposed changes to the code (i.e. those that will need to be familiar with some or all of the detail of the changes) are estimated according to the NCC subscription data. These stakeholders who may be affected are working in the following sectors:</w:t>
      </w:r>
    </w:p>
    <w:p w14:paraId="265EB232" w14:textId="77777777" w:rsidR="001F2683" w:rsidRDefault="001F2683" w:rsidP="001F2683">
      <w:pPr>
        <w:pStyle w:val="ListBullet"/>
        <w:tabs>
          <w:tab w:val="num" w:pos="709"/>
        </w:tabs>
      </w:pPr>
      <w:r>
        <w:t>Specialist – energy efficiency;</w:t>
      </w:r>
    </w:p>
    <w:p w14:paraId="19E70201" w14:textId="77777777" w:rsidR="001F2683" w:rsidRDefault="001F2683" w:rsidP="001F2683">
      <w:pPr>
        <w:pStyle w:val="ListBullet"/>
        <w:tabs>
          <w:tab w:val="num" w:pos="709"/>
        </w:tabs>
      </w:pPr>
      <w:r>
        <w:t>Architecture and design;</w:t>
      </w:r>
    </w:p>
    <w:p w14:paraId="4E44B209" w14:textId="77777777" w:rsidR="001F2683" w:rsidRDefault="001F2683" w:rsidP="001F2683">
      <w:pPr>
        <w:pStyle w:val="ListBullet"/>
        <w:tabs>
          <w:tab w:val="num" w:pos="709"/>
        </w:tabs>
      </w:pPr>
      <w:r>
        <w:t>Engineering;</w:t>
      </w:r>
    </w:p>
    <w:p w14:paraId="3C6EDCA9" w14:textId="77777777" w:rsidR="001F2683" w:rsidRDefault="001F2683" w:rsidP="001F2683">
      <w:pPr>
        <w:pStyle w:val="ListBullet"/>
        <w:tabs>
          <w:tab w:val="num" w:pos="709"/>
        </w:tabs>
      </w:pPr>
      <w:r>
        <w:t>Certification and surveying;</w:t>
      </w:r>
    </w:p>
    <w:p w14:paraId="04140DA0" w14:textId="77777777" w:rsidR="001F2683" w:rsidRDefault="001F2683" w:rsidP="001F2683">
      <w:pPr>
        <w:pStyle w:val="ListBullet"/>
        <w:tabs>
          <w:tab w:val="num" w:pos="709"/>
        </w:tabs>
      </w:pPr>
      <w:r>
        <w:t>Building commercial and residential; and</w:t>
      </w:r>
    </w:p>
    <w:p w14:paraId="105B5884" w14:textId="77777777" w:rsidR="001F2683" w:rsidRDefault="001F2683" w:rsidP="001F2683">
      <w:pPr>
        <w:pStyle w:val="ListBullet"/>
        <w:tabs>
          <w:tab w:val="num" w:pos="709"/>
        </w:tabs>
      </w:pPr>
      <w:r>
        <w:t>Building commercial.</w:t>
      </w:r>
    </w:p>
    <w:p w14:paraId="1B5F8BEF" w14:textId="12E08550" w:rsidR="001F2683" w:rsidRDefault="001F2683" w:rsidP="001F2683">
      <w:pPr>
        <w:pStyle w:val="BodyText"/>
      </w:pPr>
      <w:r>
        <w:t>There are 46 614 subscribers in these sectors. However, not all these users are involved in the construction of commercial buildings. We use the information in ABS input-output tables to estimate those working with commercial buildings. To allocate the number of NCC subscribers between non</w:t>
      </w:r>
      <w:r>
        <w:noBreakHyphen/>
        <w:t>residential and residential buildings, we use the share of the relevant sectors (construction services; and p</w:t>
      </w:r>
      <w:r w:rsidRPr="003C6018">
        <w:t>rofessional, scientific and technical services</w:t>
      </w:r>
      <w:r>
        <w:t>) used in non</w:t>
      </w:r>
      <w:r>
        <w:noBreakHyphen/>
        <w:t>residential building construction sector as share of total building construction. The share is about 43.8 per cent. It is then estimated that 21 810 stakeholders will be directly impacted (table </w:t>
      </w:r>
      <w:fldSimple w:instr=" REF _Caption7883 ">
        <w:r w:rsidR="006E00A7">
          <w:rPr>
            <w:noProof/>
          </w:rPr>
          <w:t>5</w:t>
        </w:r>
        <w:r w:rsidR="006E00A7" w:rsidRPr="00695C93">
          <w:rPr>
            <w:noProof/>
          </w:rPr>
          <w:t>.</w:t>
        </w:r>
        <w:r w:rsidR="006E00A7">
          <w:rPr>
            <w:noProof/>
          </w:rPr>
          <w:t>12</w:t>
        </w:r>
      </w:fldSimple>
      <w:r>
        <w:t xml:space="preserve">). </w:t>
      </w:r>
    </w:p>
    <w:p w14:paraId="55BE70A7" w14:textId="2B7542F9" w:rsidR="001F2683" w:rsidRPr="00695C93" w:rsidRDefault="001F2683">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E136D5">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E136D5">
          <w:rPr>
            <w:noProof/>
          </w:rPr>
          <w:instrText>5</w:instrText>
        </w:r>
      </w:fldSimple>
      <w:r w:rsidRPr="00695C93">
        <w:instrText xml:space="preserve"> = 0 "" "</w:instrText>
      </w:r>
      <w:fldSimple w:instr=" STYLEREF &quot;Heading 1&quot; \l \n ">
        <w:r w:rsidR="00E136D5">
          <w:rPr>
            <w:noProof/>
          </w:rPr>
          <w:instrText>5</w:instrText>
        </w:r>
      </w:fldSimple>
      <w:r w:rsidRPr="00695C93">
        <w:instrText xml:space="preserve">." </w:instrText>
      </w:r>
      <w:r w:rsidRPr="00695C93">
        <w:fldChar w:fldCharType="separate"/>
      </w:r>
      <w:r w:rsidR="00E136D5">
        <w:rPr>
          <w:noProof/>
        </w:rPr>
        <w:instrText>5</w:instrText>
      </w:r>
      <w:r w:rsidR="00E136D5" w:rsidRPr="00695C93">
        <w:rPr>
          <w:noProof/>
        </w:rPr>
        <w:instrText>.</w:instrText>
      </w:r>
      <w:r w:rsidRPr="00695C93">
        <w:fldChar w:fldCharType="end"/>
      </w:r>
      <w:r w:rsidRPr="00695C93">
        <w:instrText>" "</w:instrText>
      </w:r>
      <w:fldSimple w:instr=" STYLEREF &quot;Heading 6&quot; \l \n ">
        <w:r>
          <w:rPr>
            <w:noProof/>
          </w:rPr>
          <w:instrText>A</w:instrText>
        </w:r>
      </w:fldSimple>
      <w:r w:rsidRPr="00695C93">
        <w:instrText xml:space="preserve">." </w:instrText>
      </w:r>
      <w:r w:rsidRPr="00695C93">
        <w:fldChar w:fldCharType="separate"/>
      </w:r>
      <w:r w:rsidR="008C60A3">
        <w:rPr>
          <w:noProof/>
        </w:rPr>
        <w:instrText>5</w:instrText>
      </w:r>
      <w:r w:rsidR="008C60A3"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E136D5">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E136D5">
          <w:rPr>
            <w:noProof/>
          </w:rPr>
          <w:instrText>5</w:instrText>
        </w:r>
      </w:fldSimple>
      <w:r w:rsidRPr="00695C93">
        <w:instrText xml:space="preserve"> = 0 "" "1" </w:instrText>
      </w:r>
      <w:r w:rsidRPr="00695C93">
        <w:fldChar w:fldCharType="separate"/>
      </w:r>
      <w:r w:rsidR="008C60A3" w:rsidRPr="00695C93">
        <w:rPr>
          <w:noProof/>
        </w:rPr>
        <w:instrText>1</w:instrText>
      </w:r>
      <w:r w:rsidRPr="00695C93">
        <w:fldChar w:fldCharType="end"/>
      </w:r>
      <w:r w:rsidRPr="00695C93">
        <w:instrText xml:space="preserve">" "6" </w:instrText>
      </w:r>
      <w:r w:rsidRPr="00695C93">
        <w:fldChar w:fldCharType="separate"/>
      </w:r>
      <w:r w:rsidR="008C60A3" w:rsidRPr="00695C93">
        <w:rPr>
          <w:noProof/>
        </w:rPr>
        <w:instrText>1</w:instrText>
      </w:r>
      <w:r w:rsidRPr="00695C93">
        <w:fldChar w:fldCharType="end"/>
      </w:r>
      <w:r w:rsidRPr="00695C93">
        <w:instrText xml:space="preserve"> </w:instrText>
      </w:r>
      <w:r w:rsidRPr="00695C93">
        <w:fldChar w:fldCharType="separate"/>
      </w:r>
      <w:r w:rsidR="00E136D5">
        <w:rPr>
          <w:noProof/>
        </w:rPr>
        <w:instrText>12</w:instrText>
      </w:r>
      <w:r w:rsidRPr="00695C93">
        <w:fldChar w:fldCharType="end"/>
      </w:r>
      <w:r w:rsidRPr="00695C93">
        <w:instrText xml:space="preserve">" "" </w:instrText>
      </w:r>
      <w:r w:rsidRPr="00695C93">
        <w:fldChar w:fldCharType="separate"/>
      </w:r>
      <w:bookmarkStart w:id="1539" w:name="_Caption8175"/>
      <w:bookmarkStart w:id="1540" w:name="_Caption3888"/>
      <w:bookmarkStart w:id="1541" w:name="_Caption0287"/>
      <w:bookmarkStart w:id="1542" w:name="_Caption4071"/>
      <w:bookmarkStart w:id="1543" w:name="_Caption0592"/>
      <w:bookmarkStart w:id="1544" w:name="_Caption7743"/>
      <w:bookmarkStart w:id="1545" w:name="_Caption9298"/>
      <w:bookmarkStart w:id="1546" w:name="_Caption9851"/>
      <w:bookmarkStart w:id="1547" w:name="_Caption8162"/>
      <w:bookmarkStart w:id="1548" w:name="_Caption4992"/>
      <w:bookmarkStart w:id="1549" w:name="_Caption7883"/>
      <w:bookmarkStart w:id="1550" w:name="_Caption4166"/>
      <w:bookmarkStart w:id="1551" w:name="_Caption4634"/>
      <w:bookmarkStart w:id="1552" w:name="_Caption1509"/>
      <w:bookmarkStart w:id="1553" w:name="_Caption4894"/>
      <w:bookmarkStart w:id="1554" w:name="_Caption6681"/>
      <w:bookmarkStart w:id="1555" w:name="_Caption2666"/>
      <w:bookmarkStart w:id="1556" w:name="_Caption4909"/>
      <w:bookmarkStart w:id="1557" w:name="_Caption9866"/>
      <w:bookmarkStart w:id="1558" w:name="_Caption2498"/>
      <w:bookmarkStart w:id="1559" w:name="_Caption5281"/>
      <w:bookmarkStart w:id="1560" w:name="_Caption3399"/>
      <w:bookmarkStart w:id="1561" w:name="_Caption7191"/>
      <w:bookmarkStart w:id="1562" w:name="_Caption8677"/>
      <w:bookmarkStart w:id="1563" w:name="_Caption7387"/>
      <w:bookmarkStart w:id="1564" w:name="_Caption8375"/>
      <w:bookmarkStart w:id="1565" w:name="_Caption9614"/>
      <w:bookmarkStart w:id="1566" w:name="_Caption5337"/>
      <w:bookmarkStart w:id="1567" w:name="_Caption1763"/>
      <w:bookmarkStart w:id="1568" w:name="_Caption8771"/>
      <w:bookmarkStart w:id="1569" w:name="_Caption5735"/>
      <w:bookmarkStart w:id="1570" w:name="_Caption8116"/>
      <w:bookmarkStart w:id="1571" w:name="_Caption9990"/>
      <w:bookmarkStart w:id="1572" w:name="_Caption8296"/>
      <w:bookmarkStart w:id="1573" w:name="_Caption1207"/>
      <w:bookmarkStart w:id="1574" w:name="_Caption9480"/>
      <w:bookmarkStart w:id="1575" w:name="_Caption7874"/>
      <w:bookmarkStart w:id="1576" w:name="_Caption3782"/>
      <w:bookmarkStart w:id="1577" w:name="_Caption2709"/>
      <w:bookmarkStart w:id="1578" w:name="_Caption1765"/>
      <w:bookmarkStart w:id="1579" w:name="_Caption7106"/>
      <w:bookmarkStart w:id="1580" w:name="_Caption5206"/>
      <w:bookmarkStart w:id="1581" w:name="_Caption5224"/>
      <w:bookmarkStart w:id="1582" w:name="_Caption3255"/>
      <w:bookmarkStart w:id="1583" w:name="_Caption0215"/>
      <w:bookmarkStart w:id="1584" w:name="_Caption1398"/>
      <w:bookmarkStart w:id="1585" w:name="_Caption5043"/>
      <w:bookmarkStart w:id="1586" w:name="_Caption8716"/>
      <w:bookmarkStart w:id="1587" w:name="_Caption4898"/>
      <w:bookmarkStart w:id="1588" w:name="_Caption7621"/>
      <w:bookmarkStart w:id="1589" w:name="_Caption7615"/>
      <w:bookmarkStart w:id="1590" w:name="_Caption7961"/>
      <w:bookmarkStart w:id="1591" w:name="_Caption0585"/>
      <w:bookmarkStart w:id="1592" w:name="_Caption1372"/>
      <w:bookmarkStart w:id="1593" w:name="_Caption4112"/>
      <w:bookmarkStart w:id="1594" w:name="_Caption3837"/>
      <w:bookmarkStart w:id="1595" w:name="_Toc178292586"/>
      <w:r w:rsidR="008C60A3">
        <w:rPr>
          <w:noProof/>
        </w:rPr>
        <w:t>5</w:t>
      </w:r>
      <w:r w:rsidR="008C60A3" w:rsidRPr="00695C93">
        <w:rPr>
          <w:noProof/>
        </w:rPr>
        <w:t>.</w:t>
      </w:r>
      <w:r w:rsidR="008C60A3">
        <w:rPr>
          <w:noProof/>
        </w:rPr>
        <w:t>12</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r w:rsidRPr="00695C93">
        <w:fldChar w:fldCharType="end"/>
      </w:r>
      <w:r w:rsidRPr="00695C93">
        <w:tab/>
      </w:r>
      <w:r w:rsidRPr="00E61ADA">
        <w:t>Estimated number of stakeholders directly affected by proposed changes</w:t>
      </w:r>
      <w:bookmarkEnd w:id="1595"/>
    </w:p>
    <w:tbl>
      <w:tblPr>
        <w:tblW w:w="7937" w:type="dxa"/>
        <w:tblLook w:val="04A0" w:firstRow="1" w:lastRow="0" w:firstColumn="1" w:lastColumn="0" w:noHBand="0" w:noVBand="1"/>
      </w:tblPr>
      <w:tblGrid>
        <w:gridCol w:w="2835"/>
        <w:gridCol w:w="1843"/>
        <w:gridCol w:w="1559"/>
        <w:gridCol w:w="1700"/>
      </w:tblGrid>
      <w:tr w:rsidR="001F2683" w:rsidRPr="008711B5" w14:paraId="64A2D1DA" w14:textId="77777777">
        <w:trPr>
          <w:trHeight w:val="541"/>
          <w:tblHeader/>
        </w:trPr>
        <w:tc>
          <w:tcPr>
            <w:tcW w:w="2835" w:type="dxa"/>
            <w:shd w:val="clear" w:color="auto" w:fill="6F6652"/>
            <w:noWrap/>
            <w:tcMar>
              <w:left w:w="57" w:type="dxa"/>
              <w:right w:w="57" w:type="dxa"/>
            </w:tcMar>
            <w:hideMark/>
          </w:tcPr>
          <w:p w14:paraId="2E13E4B2" w14:textId="77777777" w:rsidR="001F2683" w:rsidRPr="008711B5" w:rsidRDefault="001F2683">
            <w:pPr>
              <w:pStyle w:val="TableDataColumnHeading"/>
              <w:jc w:val="left"/>
            </w:pPr>
          </w:p>
        </w:tc>
        <w:tc>
          <w:tcPr>
            <w:tcW w:w="1843" w:type="dxa"/>
            <w:shd w:val="clear" w:color="auto" w:fill="6F6652"/>
            <w:tcMar>
              <w:left w:w="57" w:type="dxa"/>
              <w:right w:w="57" w:type="dxa"/>
            </w:tcMar>
            <w:hideMark/>
          </w:tcPr>
          <w:p w14:paraId="4C395E19" w14:textId="77777777" w:rsidR="001F2683" w:rsidRPr="00BE70FC" w:rsidRDefault="001F2683">
            <w:pPr>
              <w:pStyle w:val="TableDataColumnHeading"/>
              <w:rPr>
                <w:szCs w:val="16"/>
              </w:rPr>
            </w:pPr>
            <w:r w:rsidRPr="00BE70FC">
              <w:rPr>
                <w:szCs w:val="16"/>
              </w:rPr>
              <w:t>Number of NCC subscribers</w:t>
            </w:r>
          </w:p>
        </w:tc>
        <w:tc>
          <w:tcPr>
            <w:tcW w:w="1559" w:type="dxa"/>
            <w:shd w:val="clear" w:color="auto" w:fill="6F6652"/>
            <w:tcMar>
              <w:left w:w="57" w:type="dxa"/>
              <w:right w:w="57" w:type="dxa"/>
            </w:tcMar>
            <w:hideMark/>
          </w:tcPr>
          <w:p w14:paraId="4FDBD254" w14:textId="77777777" w:rsidR="001F2683" w:rsidRPr="00BE70FC" w:rsidRDefault="001F2683">
            <w:pPr>
              <w:pStyle w:val="TableDataColumnHeading"/>
              <w:rPr>
                <w:szCs w:val="16"/>
              </w:rPr>
            </w:pPr>
            <w:r w:rsidRPr="00BE70FC">
              <w:rPr>
                <w:szCs w:val="16"/>
              </w:rPr>
              <w:t>Non-residential building share</w:t>
            </w:r>
          </w:p>
        </w:tc>
        <w:tc>
          <w:tcPr>
            <w:tcW w:w="1700" w:type="dxa"/>
            <w:shd w:val="clear" w:color="auto" w:fill="6F6652"/>
            <w:tcMar>
              <w:left w:w="57" w:type="dxa"/>
              <w:right w:w="57" w:type="dxa"/>
            </w:tcMar>
            <w:hideMark/>
          </w:tcPr>
          <w:p w14:paraId="3F20B3E9" w14:textId="77777777" w:rsidR="001F2683" w:rsidRPr="00BE70FC" w:rsidRDefault="001F2683">
            <w:pPr>
              <w:pStyle w:val="TableDataColumnHeading"/>
              <w:rPr>
                <w:szCs w:val="16"/>
              </w:rPr>
            </w:pPr>
            <w:r w:rsidRPr="00BE70FC">
              <w:rPr>
                <w:szCs w:val="16"/>
              </w:rPr>
              <w:t>Estimated number of affected stakeholders</w:t>
            </w:r>
          </w:p>
        </w:tc>
      </w:tr>
      <w:tr w:rsidR="001F2683" w:rsidRPr="008711B5" w14:paraId="69BD9DD9" w14:textId="77777777">
        <w:trPr>
          <w:trHeight w:val="252"/>
          <w:tblHeader/>
        </w:trPr>
        <w:tc>
          <w:tcPr>
            <w:tcW w:w="2835" w:type="dxa"/>
            <w:tcBorders>
              <w:bottom w:val="single" w:sz="8" w:space="0" w:color="FFFFFF" w:themeColor="background1"/>
            </w:tcBorders>
            <w:noWrap/>
            <w:tcMar>
              <w:left w:w="57" w:type="dxa"/>
              <w:right w:w="57" w:type="dxa"/>
            </w:tcMar>
            <w:hideMark/>
          </w:tcPr>
          <w:p w14:paraId="55597ABA" w14:textId="77777777" w:rsidR="001F2683" w:rsidRPr="008711B5" w:rsidRDefault="001F2683">
            <w:pPr>
              <w:pStyle w:val="TableDataEntries"/>
              <w:jc w:val="left"/>
            </w:pPr>
          </w:p>
        </w:tc>
        <w:tc>
          <w:tcPr>
            <w:tcW w:w="1843" w:type="dxa"/>
            <w:tcBorders>
              <w:bottom w:val="single" w:sz="8" w:space="0" w:color="FFFFFF" w:themeColor="background1"/>
            </w:tcBorders>
            <w:tcMar>
              <w:left w:w="57" w:type="dxa"/>
              <w:right w:w="57" w:type="dxa"/>
            </w:tcMar>
            <w:hideMark/>
          </w:tcPr>
          <w:p w14:paraId="64C605F0" w14:textId="77777777" w:rsidR="001F2683" w:rsidRPr="008711B5" w:rsidRDefault="001F2683">
            <w:pPr>
              <w:pStyle w:val="TableDataEntries"/>
            </w:pPr>
            <w:r w:rsidRPr="008711B5">
              <w:t>No.</w:t>
            </w:r>
          </w:p>
        </w:tc>
        <w:tc>
          <w:tcPr>
            <w:tcW w:w="1559" w:type="dxa"/>
            <w:tcBorders>
              <w:bottom w:val="single" w:sz="8" w:space="0" w:color="FFFFFF" w:themeColor="background1"/>
            </w:tcBorders>
            <w:tcMar>
              <w:left w:w="57" w:type="dxa"/>
              <w:right w:w="57" w:type="dxa"/>
            </w:tcMar>
            <w:hideMark/>
          </w:tcPr>
          <w:p w14:paraId="1BDEB642" w14:textId="77777777" w:rsidR="001F2683" w:rsidRPr="008711B5" w:rsidRDefault="001F2683">
            <w:pPr>
              <w:pStyle w:val="TableDataEntries"/>
            </w:pPr>
            <w:r w:rsidRPr="008711B5">
              <w:t>%</w:t>
            </w:r>
          </w:p>
        </w:tc>
        <w:tc>
          <w:tcPr>
            <w:tcW w:w="1700" w:type="dxa"/>
            <w:tcBorders>
              <w:bottom w:val="single" w:sz="8" w:space="0" w:color="FFFFFF" w:themeColor="background1"/>
            </w:tcBorders>
            <w:tcMar>
              <w:left w:w="57" w:type="dxa"/>
              <w:right w:w="57" w:type="dxa"/>
            </w:tcMar>
            <w:hideMark/>
          </w:tcPr>
          <w:p w14:paraId="4A02D54C" w14:textId="77777777" w:rsidR="001F2683" w:rsidRPr="008711B5" w:rsidRDefault="001F2683">
            <w:pPr>
              <w:pStyle w:val="TableDataEntries"/>
            </w:pPr>
            <w:r w:rsidRPr="008711B5">
              <w:t>No.</w:t>
            </w:r>
          </w:p>
        </w:tc>
      </w:tr>
      <w:tr w:rsidR="001F2683" w:rsidRPr="008711B5" w14:paraId="243C024B" w14:textId="77777777">
        <w:trPr>
          <w:trHeight w:val="252"/>
        </w:trPr>
        <w:tc>
          <w:tcPr>
            <w:tcW w:w="283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A5D747C" w14:textId="77777777" w:rsidR="001F2683" w:rsidRPr="008711B5" w:rsidRDefault="001F2683">
            <w:pPr>
              <w:pStyle w:val="TableDataEntries"/>
              <w:jc w:val="left"/>
            </w:pPr>
            <w:r w:rsidRPr="008711B5">
              <w:t>Specialist - energy efficiency</w:t>
            </w:r>
          </w:p>
        </w:tc>
        <w:tc>
          <w:tcPr>
            <w:tcW w:w="1843"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5E4A8D0A" w14:textId="77777777" w:rsidR="001F2683" w:rsidRPr="008711B5" w:rsidRDefault="001F2683">
            <w:pPr>
              <w:pStyle w:val="TableDataEntries"/>
            </w:pPr>
            <w:r w:rsidRPr="008711B5">
              <w:t>711</w:t>
            </w:r>
          </w:p>
        </w:tc>
        <w:tc>
          <w:tcPr>
            <w:tcW w:w="1559"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6D11AA39" w14:textId="77777777" w:rsidR="001F2683" w:rsidRPr="008711B5" w:rsidRDefault="001F2683">
            <w:pPr>
              <w:pStyle w:val="TableDataEntries"/>
            </w:pPr>
            <w:r w:rsidRPr="008711B5">
              <w:t>43.8</w:t>
            </w:r>
          </w:p>
        </w:tc>
        <w:tc>
          <w:tcPr>
            <w:tcW w:w="1700"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59BC34A2" w14:textId="77777777" w:rsidR="001F2683" w:rsidRPr="008711B5" w:rsidRDefault="001F2683">
            <w:pPr>
              <w:pStyle w:val="TableDataEntries"/>
            </w:pPr>
            <w:r w:rsidRPr="008711B5">
              <w:t>311</w:t>
            </w:r>
          </w:p>
        </w:tc>
      </w:tr>
      <w:tr w:rsidR="001F2683" w:rsidRPr="008711B5" w14:paraId="10E3EBDD" w14:textId="77777777">
        <w:trPr>
          <w:trHeight w:val="252"/>
        </w:trPr>
        <w:tc>
          <w:tcPr>
            <w:tcW w:w="283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D30D01D" w14:textId="77777777" w:rsidR="001F2683" w:rsidRPr="008711B5" w:rsidRDefault="001F2683">
            <w:pPr>
              <w:pStyle w:val="TableDataEntries"/>
              <w:jc w:val="left"/>
            </w:pPr>
            <w:r w:rsidRPr="008711B5">
              <w:t>Architecture and design</w:t>
            </w:r>
          </w:p>
        </w:tc>
        <w:tc>
          <w:tcPr>
            <w:tcW w:w="1843"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4ACAC58" w14:textId="77777777" w:rsidR="001F2683" w:rsidRPr="008711B5" w:rsidRDefault="001F2683">
            <w:pPr>
              <w:pStyle w:val="TableDataEntries"/>
            </w:pPr>
            <w:r w:rsidRPr="008711B5">
              <w:t>20,048</w:t>
            </w:r>
          </w:p>
        </w:tc>
        <w:tc>
          <w:tcPr>
            <w:tcW w:w="1559"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F5C9492" w14:textId="77777777" w:rsidR="001F2683" w:rsidRPr="008711B5" w:rsidRDefault="001F2683">
            <w:pPr>
              <w:pStyle w:val="TableDataEntries"/>
            </w:pPr>
            <w:r w:rsidRPr="008711B5">
              <w:t>43.8</w:t>
            </w:r>
          </w:p>
        </w:tc>
        <w:tc>
          <w:tcPr>
            <w:tcW w:w="1700"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0DBC6E66" w14:textId="77777777" w:rsidR="001F2683" w:rsidRPr="008711B5" w:rsidRDefault="001F2683">
            <w:pPr>
              <w:pStyle w:val="TableDataEntries"/>
            </w:pPr>
            <w:r w:rsidRPr="008711B5">
              <w:t>8,776</w:t>
            </w:r>
          </w:p>
        </w:tc>
      </w:tr>
      <w:tr w:rsidR="001F2683" w:rsidRPr="008711B5" w14:paraId="1B621A3D" w14:textId="77777777">
        <w:trPr>
          <w:trHeight w:val="252"/>
        </w:trPr>
        <w:tc>
          <w:tcPr>
            <w:tcW w:w="283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2DC4897" w14:textId="77777777" w:rsidR="001F2683" w:rsidRPr="008711B5" w:rsidRDefault="001F2683">
            <w:pPr>
              <w:pStyle w:val="TableDataEntries"/>
              <w:jc w:val="left"/>
            </w:pPr>
            <w:r w:rsidRPr="008711B5">
              <w:t>Engineering</w:t>
            </w:r>
          </w:p>
        </w:tc>
        <w:tc>
          <w:tcPr>
            <w:tcW w:w="1843"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7D99163" w14:textId="77777777" w:rsidR="001F2683" w:rsidRPr="008711B5" w:rsidRDefault="001F2683">
            <w:pPr>
              <w:pStyle w:val="TableDataEntries"/>
            </w:pPr>
            <w:r w:rsidRPr="008711B5">
              <w:t>7,740</w:t>
            </w:r>
          </w:p>
        </w:tc>
        <w:tc>
          <w:tcPr>
            <w:tcW w:w="1559"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60AB5635" w14:textId="77777777" w:rsidR="001F2683" w:rsidRPr="008711B5" w:rsidRDefault="001F2683">
            <w:pPr>
              <w:pStyle w:val="TableDataEntries"/>
            </w:pPr>
            <w:r w:rsidRPr="008711B5">
              <w:t>43.8</w:t>
            </w:r>
          </w:p>
        </w:tc>
        <w:tc>
          <w:tcPr>
            <w:tcW w:w="1700"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81727E4" w14:textId="77777777" w:rsidR="001F2683" w:rsidRPr="008711B5" w:rsidRDefault="001F2683">
            <w:pPr>
              <w:pStyle w:val="TableDataEntries"/>
            </w:pPr>
            <w:r w:rsidRPr="008711B5">
              <w:t>3,388</w:t>
            </w:r>
          </w:p>
        </w:tc>
      </w:tr>
      <w:tr w:rsidR="001F2683" w:rsidRPr="008711B5" w14:paraId="413EEB12" w14:textId="77777777">
        <w:trPr>
          <w:trHeight w:val="252"/>
        </w:trPr>
        <w:tc>
          <w:tcPr>
            <w:tcW w:w="283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D9569C8" w14:textId="77777777" w:rsidR="001F2683" w:rsidRPr="008711B5" w:rsidRDefault="001F2683">
            <w:pPr>
              <w:pStyle w:val="TableDataEntries"/>
              <w:jc w:val="left"/>
            </w:pPr>
            <w:r w:rsidRPr="008711B5">
              <w:t>Certification/Surveying</w:t>
            </w:r>
          </w:p>
        </w:tc>
        <w:tc>
          <w:tcPr>
            <w:tcW w:w="1843"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0807EC69" w14:textId="77777777" w:rsidR="001F2683" w:rsidRPr="008711B5" w:rsidRDefault="001F2683">
            <w:pPr>
              <w:pStyle w:val="TableDataEntries"/>
            </w:pPr>
            <w:r w:rsidRPr="008711B5">
              <w:t>5,567</w:t>
            </w:r>
          </w:p>
        </w:tc>
        <w:tc>
          <w:tcPr>
            <w:tcW w:w="1559"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330527F3" w14:textId="77777777" w:rsidR="001F2683" w:rsidRPr="008711B5" w:rsidRDefault="001F2683">
            <w:pPr>
              <w:pStyle w:val="TableDataEntries"/>
            </w:pPr>
            <w:r w:rsidRPr="008711B5">
              <w:t>43.8</w:t>
            </w:r>
          </w:p>
        </w:tc>
        <w:tc>
          <w:tcPr>
            <w:tcW w:w="1700"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67DA6AC5" w14:textId="77777777" w:rsidR="001F2683" w:rsidRPr="008711B5" w:rsidRDefault="001F2683">
            <w:pPr>
              <w:pStyle w:val="TableDataEntries"/>
            </w:pPr>
            <w:r w:rsidRPr="008711B5">
              <w:t>2,437</w:t>
            </w:r>
          </w:p>
        </w:tc>
      </w:tr>
      <w:tr w:rsidR="001F2683" w:rsidRPr="008711B5" w14:paraId="0A52B938" w14:textId="77777777">
        <w:trPr>
          <w:trHeight w:val="252"/>
        </w:trPr>
        <w:tc>
          <w:tcPr>
            <w:tcW w:w="283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5CCF3C6" w14:textId="77777777" w:rsidR="001F2683" w:rsidRPr="008711B5" w:rsidRDefault="001F2683">
            <w:pPr>
              <w:pStyle w:val="TableDataEntries"/>
              <w:jc w:val="left"/>
            </w:pPr>
            <w:r w:rsidRPr="008711B5">
              <w:t>Building Commercial and Residential</w:t>
            </w:r>
          </w:p>
        </w:tc>
        <w:tc>
          <w:tcPr>
            <w:tcW w:w="1843"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2B0AB6D" w14:textId="77777777" w:rsidR="001F2683" w:rsidRPr="008711B5" w:rsidRDefault="001F2683">
            <w:pPr>
              <w:pStyle w:val="TableDataEntries"/>
            </w:pPr>
            <w:r w:rsidRPr="008711B5">
              <w:t>10,051</w:t>
            </w:r>
          </w:p>
        </w:tc>
        <w:tc>
          <w:tcPr>
            <w:tcW w:w="1559"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0EAD4CCB" w14:textId="77777777" w:rsidR="001F2683" w:rsidRPr="008711B5" w:rsidRDefault="001F2683">
            <w:pPr>
              <w:pStyle w:val="TableDataEntries"/>
            </w:pPr>
            <w:r w:rsidRPr="008711B5">
              <w:t>43.8</w:t>
            </w:r>
          </w:p>
        </w:tc>
        <w:tc>
          <w:tcPr>
            <w:tcW w:w="1700"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967B335" w14:textId="77777777" w:rsidR="001F2683" w:rsidRPr="008711B5" w:rsidRDefault="001F2683">
            <w:pPr>
              <w:pStyle w:val="TableDataEntries"/>
            </w:pPr>
            <w:r w:rsidRPr="008711B5">
              <w:t>4,400</w:t>
            </w:r>
          </w:p>
        </w:tc>
      </w:tr>
      <w:tr w:rsidR="001F2683" w:rsidRPr="008711B5" w14:paraId="3E035049" w14:textId="77777777">
        <w:trPr>
          <w:trHeight w:val="252"/>
        </w:trPr>
        <w:tc>
          <w:tcPr>
            <w:tcW w:w="283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2985F54" w14:textId="77777777" w:rsidR="001F2683" w:rsidRPr="008711B5" w:rsidRDefault="001F2683">
            <w:pPr>
              <w:pStyle w:val="TableDataEntries"/>
              <w:jc w:val="left"/>
            </w:pPr>
            <w:r w:rsidRPr="008711B5">
              <w:t>Building Commercial</w:t>
            </w:r>
          </w:p>
        </w:tc>
        <w:tc>
          <w:tcPr>
            <w:tcW w:w="1843"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A8DE604" w14:textId="77777777" w:rsidR="001F2683" w:rsidRPr="008711B5" w:rsidRDefault="001F2683">
            <w:pPr>
              <w:pStyle w:val="TableDataEntries"/>
            </w:pPr>
            <w:r w:rsidRPr="008711B5">
              <w:t>2,497</w:t>
            </w:r>
          </w:p>
        </w:tc>
        <w:tc>
          <w:tcPr>
            <w:tcW w:w="1559"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0BE12C0" w14:textId="77777777" w:rsidR="001F2683" w:rsidRPr="008711B5" w:rsidRDefault="001F2683">
            <w:pPr>
              <w:pStyle w:val="TableDataEntries"/>
            </w:pPr>
            <w:r w:rsidRPr="008711B5">
              <w:t>100.0</w:t>
            </w:r>
          </w:p>
        </w:tc>
        <w:tc>
          <w:tcPr>
            <w:tcW w:w="1700"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56E22DC9" w14:textId="77777777" w:rsidR="001F2683" w:rsidRPr="008711B5" w:rsidRDefault="001F2683">
            <w:pPr>
              <w:pStyle w:val="TableDataEntries"/>
            </w:pPr>
            <w:r w:rsidRPr="008711B5">
              <w:t>2,497</w:t>
            </w:r>
          </w:p>
        </w:tc>
      </w:tr>
      <w:tr w:rsidR="001F2683" w:rsidRPr="0050550F" w14:paraId="45B0D0A4" w14:textId="77777777">
        <w:trPr>
          <w:trHeight w:val="252"/>
        </w:trPr>
        <w:tc>
          <w:tcPr>
            <w:tcW w:w="2835" w:type="dxa"/>
            <w:tcBorders>
              <w:top w:val="single" w:sz="8" w:space="0" w:color="FFFFFF" w:themeColor="background1"/>
              <w:bottom w:val="single" w:sz="6" w:space="0" w:color="6F6652"/>
            </w:tcBorders>
            <w:shd w:val="clear" w:color="auto" w:fill="C2DADB" w:themeFill="accent6" w:themeFillTint="99"/>
            <w:noWrap/>
            <w:tcMar>
              <w:left w:w="57" w:type="dxa"/>
              <w:right w:w="57" w:type="dxa"/>
            </w:tcMar>
            <w:hideMark/>
          </w:tcPr>
          <w:p w14:paraId="202BD950" w14:textId="77777777" w:rsidR="001F2683" w:rsidRPr="0050550F" w:rsidRDefault="001F2683">
            <w:pPr>
              <w:pStyle w:val="TableDataEntries"/>
              <w:jc w:val="left"/>
              <w:rPr>
                <w:rFonts w:ascii="Franklin Gothic Demi" w:hAnsi="Franklin Gothic Demi"/>
              </w:rPr>
            </w:pPr>
            <w:r w:rsidRPr="0050550F">
              <w:rPr>
                <w:rFonts w:ascii="Franklin Gothic Demi" w:hAnsi="Franklin Gothic Demi"/>
              </w:rPr>
              <w:t>Total</w:t>
            </w:r>
          </w:p>
        </w:tc>
        <w:tc>
          <w:tcPr>
            <w:tcW w:w="1843" w:type="dxa"/>
            <w:tcBorders>
              <w:top w:val="single" w:sz="8" w:space="0" w:color="FFFFFF" w:themeColor="background1"/>
              <w:bottom w:val="single" w:sz="6" w:space="0" w:color="6F6652"/>
            </w:tcBorders>
            <w:shd w:val="clear" w:color="auto" w:fill="C2DADB" w:themeFill="accent6" w:themeFillTint="99"/>
            <w:noWrap/>
            <w:tcMar>
              <w:left w:w="57" w:type="dxa"/>
              <w:right w:w="57" w:type="dxa"/>
            </w:tcMar>
            <w:hideMark/>
          </w:tcPr>
          <w:p w14:paraId="4D3C8EE7" w14:textId="77777777" w:rsidR="001F2683" w:rsidRPr="0050550F" w:rsidRDefault="001F2683">
            <w:pPr>
              <w:pStyle w:val="TableDataEntries"/>
              <w:rPr>
                <w:rFonts w:ascii="Franklin Gothic Demi" w:hAnsi="Franklin Gothic Demi"/>
              </w:rPr>
            </w:pPr>
            <w:r w:rsidRPr="0050550F">
              <w:rPr>
                <w:rFonts w:ascii="Franklin Gothic Demi" w:hAnsi="Franklin Gothic Demi"/>
              </w:rPr>
              <w:t>46,614</w:t>
            </w:r>
          </w:p>
        </w:tc>
        <w:tc>
          <w:tcPr>
            <w:tcW w:w="1559" w:type="dxa"/>
            <w:tcBorders>
              <w:top w:val="single" w:sz="8" w:space="0" w:color="FFFFFF" w:themeColor="background1"/>
              <w:bottom w:val="single" w:sz="6" w:space="0" w:color="6F6652"/>
            </w:tcBorders>
            <w:shd w:val="clear" w:color="auto" w:fill="C2DADB" w:themeFill="accent6" w:themeFillTint="99"/>
            <w:noWrap/>
            <w:tcMar>
              <w:left w:w="57" w:type="dxa"/>
              <w:right w:w="57" w:type="dxa"/>
            </w:tcMar>
            <w:hideMark/>
          </w:tcPr>
          <w:p w14:paraId="274320A4" w14:textId="77777777" w:rsidR="001F2683" w:rsidRPr="0050550F" w:rsidRDefault="001F2683">
            <w:pPr>
              <w:pStyle w:val="TableDataEntries"/>
              <w:rPr>
                <w:rFonts w:ascii="Franklin Gothic Demi" w:hAnsi="Franklin Gothic Demi"/>
              </w:rPr>
            </w:pPr>
          </w:p>
        </w:tc>
        <w:tc>
          <w:tcPr>
            <w:tcW w:w="1700" w:type="dxa"/>
            <w:tcBorders>
              <w:top w:val="single" w:sz="8" w:space="0" w:color="FFFFFF" w:themeColor="background1"/>
              <w:bottom w:val="single" w:sz="6" w:space="0" w:color="6F6652"/>
            </w:tcBorders>
            <w:shd w:val="clear" w:color="auto" w:fill="C2DADB" w:themeFill="accent6" w:themeFillTint="99"/>
            <w:noWrap/>
            <w:tcMar>
              <w:left w:w="57" w:type="dxa"/>
              <w:right w:w="57" w:type="dxa"/>
            </w:tcMar>
            <w:hideMark/>
          </w:tcPr>
          <w:p w14:paraId="5547FC8F" w14:textId="77777777" w:rsidR="001F2683" w:rsidRPr="0050550F" w:rsidRDefault="001F2683">
            <w:pPr>
              <w:pStyle w:val="TableDataEntries"/>
              <w:rPr>
                <w:rFonts w:ascii="Franklin Gothic Demi" w:hAnsi="Franklin Gothic Demi"/>
              </w:rPr>
            </w:pPr>
            <w:r w:rsidRPr="0050550F">
              <w:rPr>
                <w:rFonts w:ascii="Franklin Gothic Demi" w:hAnsi="Franklin Gothic Demi"/>
              </w:rPr>
              <w:t>21,810</w:t>
            </w:r>
          </w:p>
        </w:tc>
      </w:tr>
    </w:tbl>
    <w:p w14:paraId="2B41037D" w14:textId="77777777" w:rsidR="001F2683" w:rsidRDefault="001F2683" w:rsidP="001F2683">
      <w:pPr>
        <w:pStyle w:val="Source"/>
        <w:rPr>
          <w:lang w:bidi="fa-IR"/>
        </w:rPr>
      </w:pPr>
      <w:r w:rsidRPr="008711B5">
        <w:rPr>
          <w:i/>
          <w:lang w:bidi="fa-IR"/>
        </w:rPr>
        <w:t>Source:</w:t>
      </w:r>
      <w:r>
        <w:rPr>
          <w:lang w:bidi="fa-IR"/>
        </w:rPr>
        <w:t xml:space="preserve"> ABCB, ABS, CIE</w:t>
      </w:r>
    </w:p>
    <w:p w14:paraId="782F9910" w14:textId="77777777" w:rsidR="001F2683" w:rsidRDefault="001F2683" w:rsidP="001F2683">
      <w:pPr>
        <w:pStyle w:val="Heading5"/>
        <w:rPr>
          <w:lang w:bidi="fa-IR"/>
        </w:rPr>
      </w:pPr>
      <w:r>
        <w:rPr>
          <w:lang w:bidi="fa-IR"/>
        </w:rPr>
        <w:t>Estimated costs incurred by each stakeholder</w:t>
      </w:r>
    </w:p>
    <w:p w14:paraId="55100607" w14:textId="77777777" w:rsidR="001F2683" w:rsidRDefault="001F2683" w:rsidP="001F2683">
      <w:pPr>
        <w:pStyle w:val="BodyText"/>
        <w:rPr>
          <w:lang w:bidi="fa-IR"/>
        </w:rPr>
      </w:pPr>
      <w:r>
        <w:rPr>
          <w:lang w:bidi="fa-IR"/>
        </w:rPr>
        <w:t>It is assumed that each stakeholder directly affected would require 10 hours to familiarise themselves with the relevant changes to the NCC, including attending relevant seminars or workshops.</w:t>
      </w:r>
    </w:p>
    <w:p w14:paraId="62C42743" w14:textId="112933BC" w:rsidR="001F2683" w:rsidRDefault="001F2683" w:rsidP="001F2683">
      <w:pPr>
        <w:pStyle w:val="BodyText"/>
        <w:rPr>
          <w:lang w:bidi="fa-IR"/>
        </w:rPr>
      </w:pPr>
      <w:r>
        <w:rPr>
          <w:lang w:bidi="fa-IR"/>
        </w:rPr>
        <w:t>Time costs are valued based on indicative hourly costs for the relevant professions (table</w:t>
      </w:r>
      <w:r w:rsidR="00EB7BAA">
        <w:rPr>
          <w:lang w:bidi="fa-IR"/>
        </w:rPr>
        <w:t xml:space="preserve"> </w:t>
      </w:r>
      <w:r w:rsidR="00EB7BAA">
        <w:rPr>
          <w:lang w:bidi="fa-IR"/>
        </w:rPr>
        <w:fldChar w:fldCharType="begin"/>
      </w:r>
      <w:r w:rsidR="00EB7BAA">
        <w:rPr>
          <w:lang w:bidi="fa-IR"/>
        </w:rPr>
        <w:instrText xml:space="preserve"> REF _Caption7582 </w:instrText>
      </w:r>
      <w:r w:rsidR="00EB7BAA">
        <w:rPr>
          <w:lang w:bidi="fa-IR"/>
        </w:rPr>
        <w:fldChar w:fldCharType="separate"/>
      </w:r>
      <w:r w:rsidR="006E00A7">
        <w:rPr>
          <w:noProof/>
        </w:rPr>
        <w:t>5</w:t>
      </w:r>
      <w:r w:rsidR="006E00A7" w:rsidRPr="00695C93">
        <w:rPr>
          <w:noProof/>
        </w:rPr>
        <w:t>.</w:t>
      </w:r>
      <w:r w:rsidR="006E00A7">
        <w:rPr>
          <w:noProof/>
        </w:rPr>
        <w:t>13</w:t>
      </w:r>
      <w:r w:rsidR="00EB7BAA">
        <w:rPr>
          <w:lang w:bidi="fa-IR"/>
        </w:rPr>
        <w:fldChar w:fldCharType="end"/>
      </w:r>
      <w:r>
        <w:rPr>
          <w:lang w:bidi="fa-IR"/>
        </w:rPr>
        <w:t>), assuming:</w:t>
      </w:r>
    </w:p>
    <w:p w14:paraId="1A2324B0" w14:textId="77777777" w:rsidR="001F2683" w:rsidRDefault="001F2683" w:rsidP="001F2683">
      <w:pPr>
        <w:pStyle w:val="ListBullet"/>
        <w:tabs>
          <w:tab w:val="num" w:pos="709"/>
        </w:tabs>
      </w:pPr>
      <w:r>
        <w:t>a 25 per cent loading for on-costs (such as payroll tax, superannuation etc.) is added to annual salary estimates;</w:t>
      </w:r>
    </w:p>
    <w:p w14:paraId="51432444" w14:textId="77777777" w:rsidR="001F2683" w:rsidRDefault="001F2683" w:rsidP="001F2683">
      <w:pPr>
        <w:pStyle w:val="ListBullet"/>
        <w:tabs>
          <w:tab w:val="num" w:pos="709"/>
        </w:tabs>
      </w:pPr>
      <w:r>
        <w:t>230 working days per year; and</w:t>
      </w:r>
    </w:p>
    <w:p w14:paraId="17D3249D" w14:textId="77777777" w:rsidR="001F2683" w:rsidRDefault="001F2683" w:rsidP="001F2683">
      <w:pPr>
        <w:pStyle w:val="ListBullet"/>
        <w:tabs>
          <w:tab w:val="num" w:pos="709"/>
        </w:tabs>
      </w:pPr>
      <w:r>
        <w:t>7.5 hours per working day.</w:t>
      </w:r>
    </w:p>
    <w:p w14:paraId="134220F5" w14:textId="7ACE6E8A" w:rsidR="001F2683" w:rsidRPr="00695C93" w:rsidRDefault="001F2683">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E136D5">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E136D5">
          <w:rPr>
            <w:noProof/>
          </w:rPr>
          <w:instrText>5</w:instrText>
        </w:r>
      </w:fldSimple>
      <w:r w:rsidRPr="00695C93">
        <w:instrText xml:space="preserve"> = 0 "" "</w:instrText>
      </w:r>
      <w:fldSimple w:instr=" STYLEREF &quot;Heading 1&quot; \l \n ">
        <w:r w:rsidR="00E136D5">
          <w:rPr>
            <w:noProof/>
          </w:rPr>
          <w:instrText>5</w:instrText>
        </w:r>
      </w:fldSimple>
      <w:r w:rsidRPr="00695C93">
        <w:instrText xml:space="preserve">." </w:instrText>
      </w:r>
      <w:r w:rsidRPr="00695C93">
        <w:fldChar w:fldCharType="separate"/>
      </w:r>
      <w:r w:rsidR="00E136D5">
        <w:rPr>
          <w:noProof/>
        </w:rPr>
        <w:instrText>5</w:instrText>
      </w:r>
      <w:r w:rsidR="00E136D5" w:rsidRPr="00695C93">
        <w:rPr>
          <w:noProof/>
        </w:rPr>
        <w:instrText>.</w:instrText>
      </w:r>
      <w:r w:rsidRPr="00695C93">
        <w:fldChar w:fldCharType="end"/>
      </w:r>
      <w:r w:rsidRPr="00695C93">
        <w:instrText>" "</w:instrText>
      </w:r>
      <w:fldSimple w:instr=" STYLEREF &quot;Heading 6&quot; \l \n ">
        <w:r>
          <w:rPr>
            <w:noProof/>
          </w:rPr>
          <w:instrText>A</w:instrText>
        </w:r>
      </w:fldSimple>
      <w:r w:rsidRPr="00695C93">
        <w:instrText xml:space="preserve">." </w:instrText>
      </w:r>
      <w:r w:rsidRPr="00695C93">
        <w:fldChar w:fldCharType="separate"/>
      </w:r>
      <w:r w:rsidR="008C60A3">
        <w:rPr>
          <w:noProof/>
        </w:rPr>
        <w:instrText>5</w:instrText>
      </w:r>
      <w:r w:rsidR="008C60A3"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E136D5">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E136D5">
          <w:rPr>
            <w:noProof/>
          </w:rPr>
          <w:instrText>5</w:instrText>
        </w:r>
      </w:fldSimple>
      <w:r w:rsidRPr="00695C93">
        <w:instrText xml:space="preserve"> = 0 "" "1" </w:instrText>
      </w:r>
      <w:r w:rsidRPr="00695C93">
        <w:fldChar w:fldCharType="separate"/>
      </w:r>
      <w:r w:rsidR="008C60A3" w:rsidRPr="00695C93">
        <w:rPr>
          <w:noProof/>
        </w:rPr>
        <w:instrText>1</w:instrText>
      </w:r>
      <w:r w:rsidRPr="00695C93">
        <w:fldChar w:fldCharType="end"/>
      </w:r>
      <w:r w:rsidRPr="00695C93">
        <w:instrText xml:space="preserve">" "6" </w:instrText>
      </w:r>
      <w:r w:rsidRPr="00695C93">
        <w:fldChar w:fldCharType="separate"/>
      </w:r>
      <w:r w:rsidR="008C60A3" w:rsidRPr="00695C93">
        <w:rPr>
          <w:noProof/>
        </w:rPr>
        <w:instrText>1</w:instrText>
      </w:r>
      <w:r w:rsidRPr="00695C93">
        <w:fldChar w:fldCharType="end"/>
      </w:r>
      <w:r w:rsidRPr="00695C93">
        <w:instrText xml:space="preserve"> </w:instrText>
      </w:r>
      <w:r w:rsidRPr="00695C93">
        <w:fldChar w:fldCharType="separate"/>
      </w:r>
      <w:r w:rsidR="00E136D5">
        <w:rPr>
          <w:noProof/>
        </w:rPr>
        <w:instrText>13</w:instrText>
      </w:r>
      <w:r w:rsidRPr="00695C93">
        <w:fldChar w:fldCharType="end"/>
      </w:r>
      <w:r w:rsidRPr="00695C93">
        <w:instrText xml:space="preserve">" "" </w:instrText>
      </w:r>
      <w:r w:rsidRPr="00695C93">
        <w:fldChar w:fldCharType="separate"/>
      </w:r>
      <w:bookmarkStart w:id="1596" w:name="_Caption7392"/>
      <w:bookmarkStart w:id="1597" w:name="_Caption4275"/>
      <w:bookmarkStart w:id="1598" w:name="_Caption9072"/>
      <w:bookmarkStart w:id="1599" w:name="_Caption8583"/>
      <w:bookmarkStart w:id="1600" w:name="_Caption8456"/>
      <w:bookmarkStart w:id="1601" w:name="_Caption6247"/>
      <w:bookmarkStart w:id="1602" w:name="_Caption5173"/>
      <w:bookmarkStart w:id="1603" w:name="_Caption4404"/>
      <w:bookmarkStart w:id="1604" w:name="_Caption7161"/>
      <w:bookmarkStart w:id="1605" w:name="_Caption7582"/>
      <w:bookmarkStart w:id="1606" w:name="_Caption0511"/>
      <w:bookmarkStart w:id="1607" w:name="_Caption4395"/>
      <w:bookmarkStart w:id="1608" w:name="_Caption4606"/>
      <w:bookmarkStart w:id="1609" w:name="_Caption6364"/>
      <w:bookmarkStart w:id="1610" w:name="_Caption9098"/>
      <w:bookmarkStart w:id="1611" w:name="_Caption9863"/>
      <w:bookmarkStart w:id="1612" w:name="_Caption3907"/>
      <w:bookmarkStart w:id="1613" w:name="_Caption0654"/>
      <w:bookmarkStart w:id="1614" w:name="_Caption5422"/>
      <w:bookmarkStart w:id="1615" w:name="_Caption8979"/>
      <w:bookmarkStart w:id="1616" w:name="_Caption6924"/>
      <w:bookmarkStart w:id="1617" w:name="_Caption4145"/>
      <w:bookmarkStart w:id="1618" w:name="_Caption4445"/>
      <w:bookmarkStart w:id="1619" w:name="_Caption0658"/>
      <w:bookmarkStart w:id="1620" w:name="_Caption9937"/>
      <w:bookmarkStart w:id="1621" w:name="_Caption8266"/>
      <w:bookmarkStart w:id="1622" w:name="_Caption1359"/>
      <w:bookmarkStart w:id="1623" w:name="_Caption1309"/>
      <w:bookmarkStart w:id="1624" w:name="_Caption0293"/>
      <w:bookmarkStart w:id="1625" w:name="_Caption2677"/>
      <w:bookmarkStart w:id="1626" w:name="_Caption8156"/>
      <w:bookmarkStart w:id="1627" w:name="_Caption8616"/>
      <w:bookmarkStart w:id="1628" w:name="_Caption2101"/>
      <w:bookmarkStart w:id="1629" w:name="_Caption4709"/>
      <w:bookmarkStart w:id="1630" w:name="_Caption1366"/>
      <w:bookmarkStart w:id="1631" w:name="_Caption2386"/>
      <w:bookmarkStart w:id="1632" w:name="_Caption7413"/>
      <w:bookmarkStart w:id="1633" w:name="_Caption4311"/>
      <w:bookmarkStart w:id="1634" w:name="_Caption5504"/>
      <w:bookmarkStart w:id="1635" w:name="_Caption4650"/>
      <w:bookmarkStart w:id="1636" w:name="_Caption2790"/>
      <w:bookmarkStart w:id="1637" w:name="_Caption8749"/>
      <w:bookmarkStart w:id="1638" w:name="_Caption6898"/>
      <w:bookmarkStart w:id="1639" w:name="_Caption6583"/>
      <w:bookmarkStart w:id="1640" w:name="_Caption8875"/>
      <w:bookmarkStart w:id="1641" w:name="_Caption3351"/>
      <w:bookmarkStart w:id="1642" w:name="_Caption3415"/>
      <w:bookmarkStart w:id="1643" w:name="_Caption1160"/>
      <w:bookmarkStart w:id="1644" w:name="_Caption3989"/>
      <w:bookmarkStart w:id="1645" w:name="_Caption0819"/>
      <w:bookmarkStart w:id="1646" w:name="_Caption7213"/>
      <w:bookmarkStart w:id="1647" w:name="_Caption0626"/>
      <w:bookmarkStart w:id="1648" w:name="_Caption0321"/>
      <w:bookmarkStart w:id="1649" w:name="_Caption9412"/>
      <w:bookmarkStart w:id="1650" w:name="_Caption8537"/>
      <w:bookmarkStart w:id="1651" w:name="_Toc178292587"/>
      <w:r w:rsidR="008C60A3">
        <w:rPr>
          <w:noProof/>
        </w:rPr>
        <w:t>5</w:t>
      </w:r>
      <w:r w:rsidR="008C60A3" w:rsidRPr="00695C93">
        <w:rPr>
          <w:noProof/>
        </w:rPr>
        <w:t>.</w:t>
      </w:r>
      <w:r w:rsidR="008C60A3">
        <w:rPr>
          <w:noProof/>
        </w:rPr>
        <w:t>13</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r w:rsidRPr="00695C93">
        <w:fldChar w:fldCharType="end"/>
      </w:r>
      <w:r w:rsidRPr="00695C93">
        <w:tab/>
      </w:r>
      <w:r w:rsidRPr="00E61ADA">
        <w:t>Indicative salaries for relevant professions</w:t>
      </w:r>
      <w:bookmarkEnd w:id="1651"/>
    </w:p>
    <w:tbl>
      <w:tblPr>
        <w:tblW w:w="7956" w:type="dxa"/>
        <w:tblLayout w:type="fixed"/>
        <w:tblLook w:val="04A0" w:firstRow="1" w:lastRow="0" w:firstColumn="1" w:lastColumn="0" w:noHBand="0" w:noVBand="1"/>
      </w:tblPr>
      <w:tblGrid>
        <w:gridCol w:w="3062"/>
        <w:gridCol w:w="1191"/>
        <w:gridCol w:w="1234"/>
        <w:gridCol w:w="1234"/>
        <w:gridCol w:w="1235"/>
      </w:tblGrid>
      <w:tr w:rsidR="001F2683" w:rsidRPr="00006323" w14:paraId="754EA94A" w14:textId="77777777">
        <w:trPr>
          <w:trHeight w:val="783"/>
        </w:trPr>
        <w:tc>
          <w:tcPr>
            <w:tcW w:w="3062" w:type="dxa"/>
            <w:shd w:val="clear" w:color="auto" w:fill="6F6652"/>
            <w:noWrap/>
            <w:tcMar>
              <w:left w:w="57" w:type="dxa"/>
              <w:right w:w="57" w:type="dxa"/>
            </w:tcMar>
            <w:hideMark/>
          </w:tcPr>
          <w:p w14:paraId="794891BD" w14:textId="77777777" w:rsidR="001F2683" w:rsidRPr="00006323" w:rsidRDefault="001F2683">
            <w:pPr>
              <w:pStyle w:val="TableDataColumnHeading"/>
              <w:jc w:val="left"/>
            </w:pPr>
          </w:p>
        </w:tc>
        <w:tc>
          <w:tcPr>
            <w:tcW w:w="1191" w:type="dxa"/>
            <w:shd w:val="clear" w:color="auto" w:fill="6F6652"/>
            <w:tcMar>
              <w:left w:w="57" w:type="dxa"/>
              <w:right w:w="57" w:type="dxa"/>
            </w:tcMar>
            <w:hideMark/>
          </w:tcPr>
          <w:p w14:paraId="700BFCCA" w14:textId="77777777" w:rsidR="001F2683" w:rsidRPr="00BE70FC" w:rsidRDefault="001F2683">
            <w:pPr>
              <w:pStyle w:val="TableDataColumnHeading"/>
              <w:rPr>
                <w:szCs w:val="16"/>
              </w:rPr>
            </w:pPr>
            <w:r w:rsidRPr="00BE70FC">
              <w:rPr>
                <w:szCs w:val="16"/>
              </w:rPr>
              <w:t xml:space="preserve">Annual </w:t>
            </w:r>
            <w:r>
              <w:rPr>
                <w:szCs w:val="16"/>
              </w:rPr>
              <w:br/>
            </w:r>
            <w:r w:rsidRPr="00BE70FC">
              <w:rPr>
                <w:szCs w:val="16"/>
              </w:rPr>
              <w:t>salary</w:t>
            </w:r>
            <w:r w:rsidRPr="00112359">
              <w:rPr>
                <w:rStyle w:val="NoteLabel"/>
                <w:color w:val="A09473" w:themeColor="accent3" w:themeShade="BF"/>
              </w:rPr>
              <w:t xml:space="preserve"> </w:t>
            </w:r>
            <w:r w:rsidRPr="00321EDB">
              <w:rPr>
                <w:rStyle w:val="NoteLabel"/>
                <w:color w:val="FFFFFF" w:themeColor="background1"/>
              </w:rPr>
              <w:t>a</w:t>
            </w:r>
          </w:p>
        </w:tc>
        <w:tc>
          <w:tcPr>
            <w:tcW w:w="1234" w:type="dxa"/>
            <w:shd w:val="clear" w:color="auto" w:fill="6F6652"/>
            <w:tcMar>
              <w:left w:w="57" w:type="dxa"/>
              <w:right w:w="57" w:type="dxa"/>
            </w:tcMar>
            <w:hideMark/>
          </w:tcPr>
          <w:p w14:paraId="16EDB869" w14:textId="77777777" w:rsidR="001F2683" w:rsidRPr="00BE70FC" w:rsidRDefault="001F2683">
            <w:pPr>
              <w:pStyle w:val="TableDataColumnHeading"/>
              <w:rPr>
                <w:szCs w:val="16"/>
              </w:rPr>
            </w:pPr>
            <w:r w:rsidRPr="00BE70FC">
              <w:rPr>
                <w:szCs w:val="16"/>
              </w:rPr>
              <w:t xml:space="preserve">Annual salary including </w:t>
            </w:r>
            <w:r>
              <w:rPr>
                <w:szCs w:val="16"/>
              </w:rPr>
              <w:br/>
            </w:r>
            <w:r w:rsidRPr="00BE70FC">
              <w:rPr>
                <w:szCs w:val="16"/>
              </w:rPr>
              <w:t>on-costs</w:t>
            </w:r>
            <w:r w:rsidRPr="00321EDB">
              <w:rPr>
                <w:rStyle w:val="NoteLabel"/>
                <w:color w:val="FFFFFF" w:themeColor="background1"/>
              </w:rPr>
              <w:t xml:space="preserve"> b</w:t>
            </w:r>
          </w:p>
        </w:tc>
        <w:tc>
          <w:tcPr>
            <w:tcW w:w="1234" w:type="dxa"/>
            <w:shd w:val="clear" w:color="auto" w:fill="6F6652"/>
            <w:tcMar>
              <w:left w:w="57" w:type="dxa"/>
              <w:right w:w="57" w:type="dxa"/>
            </w:tcMar>
            <w:hideMark/>
          </w:tcPr>
          <w:p w14:paraId="38C864B1" w14:textId="77777777" w:rsidR="001F2683" w:rsidRPr="00BE70FC" w:rsidRDefault="001F2683">
            <w:pPr>
              <w:pStyle w:val="TableDataColumnHeading"/>
              <w:rPr>
                <w:szCs w:val="16"/>
              </w:rPr>
            </w:pPr>
            <w:r w:rsidRPr="00BE70FC">
              <w:rPr>
                <w:szCs w:val="16"/>
              </w:rPr>
              <w:t xml:space="preserve">Daily salary (including </w:t>
            </w:r>
            <w:r>
              <w:rPr>
                <w:szCs w:val="16"/>
              </w:rPr>
              <w:br/>
            </w:r>
            <w:r w:rsidRPr="00BE70FC">
              <w:rPr>
                <w:szCs w:val="16"/>
              </w:rPr>
              <w:t>on-costs)</w:t>
            </w:r>
            <w:r w:rsidRPr="00321EDB">
              <w:rPr>
                <w:rStyle w:val="NoteLabel"/>
                <w:color w:val="FFFFFF" w:themeColor="background1"/>
              </w:rPr>
              <w:t xml:space="preserve"> c</w:t>
            </w:r>
          </w:p>
        </w:tc>
        <w:tc>
          <w:tcPr>
            <w:tcW w:w="1235" w:type="dxa"/>
            <w:shd w:val="clear" w:color="auto" w:fill="6F6652"/>
            <w:tcMar>
              <w:left w:w="57" w:type="dxa"/>
              <w:right w:w="57" w:type="dxa"/>
            </w:tcMar>
            <w:hideMark/>
          </w:tcPr>
          <w:p w14:paraId="7ACBBE40" w14:textId="77777777" w:rsidR="001F2683" w:rsidRPr="00BE70FC" w:rsidRDefault="001F2683">
            <w:pPr>
              <w:pStyle w:val="TableDataColumnHeading"/>
              <w:rPr>
                <w:szCs w:val="16"/>
              </w:rPr>
            </w:pPr>
            <w:r w:rsidRPr="00BE70FC">
              <w:rPr>
                <w:szCs w:val="16"/>
              </w:rPr>
              <w:t>Hourly salary (including</w:t>
            </w:r>
            <w:r>
              <w:rPr>
                <w:szCs w:val="16"/>
              </w:rPr>
              <w:br/>
            </w:r>
            <w:r w:rsidRPr="00BE70FC">
              <w:rPr>
                <w:szCs w:val="16"/>
              </w:rPr>
              <w:t xml:space="preserve"> on-costs)</w:t>
            </w:r>
            <w:r w:rsidRPr="00321EDB">
              <w:rPr>
                <w:rStyle w:val="NoteLabel"/>
                <w:color w:val="FFFFFF" w:themeColor="background1"/>
              </w:rPr>
              <w:t xml:space="preserve"> d</w:t>
            </w:r>
          </w:p>
        </w:tc>
      </w:tr>
      <w:tr w:rsidR="001F2683" w:rsidRPr="00006323" w14:paraId="03885B42" w14:textId="77777777">
        <w:trPr>
          <w:trHeight w:val="252"/>
        </w:trPr>
        <w:tc>
          <w:tcPr>
            <w:tcW w:w="3062" w:type="dxa"/>
            <w:tcBorders>
              <w:bottom w:val="single" w:sz="8" w:space="0" w:color="FFFFFF" w:themeColor="background1"/>
            </w:tcBorders>
            <w:noWrap/>
            <w:tcMar>
              <w:left w:w="57" w:type="dxa"/>
              <w:right w:w="57" w:type="dxa"/>
            </w:tcMar>
            <w:hideMark/>
          </w:tcPr>
          <w:p w14:paraId="65C16874" w14:textId="77777777" w:rsidR="001F2683" w:rsidRPr="00006323" w:rsidRDefault="001F2683">
            <w:pPr>
              <w:pStyle w:val="TableUnit"/>
              <w:jc w:val="left"/>
            </w:pPr>
          </w:p>
        </w:tc>
        <w:tc>
          <w:tcPr>
            <w:tcW w:w="1191" w:type="dxa"/>
            <w:tcBorders>
              <w:bottom w:val="single" w:sz="8" w:space="0" w:color="FFFFFF" w:themeColor="background1"/>
            </w:tcBorders>
            <w:noWrap/>
            <w:tcMar>
              <w:left w:w="57" w:type="dxa"/>
              <w:right w:w="57" w:type="dxa"/>
            </w:tcMar>
            <w:hideMark/>
          </w:tcPr>
          <w:p w14:paraId="47D10B9F" w14:textId="77777777" w:rsidR="001F2683" w:rsidRPr="00006323" w:rsidRDefault="001F2683">
            <w:pPr>
              <w:pStyle w:val="TableUnit"/>
            </w:pPr>
            <w:r w:rsidRPr="00006323">
              <w:t>$</w:t>
            </w:r>
          </w:p>
        </w:tc>
        <w:tc>
          <w:tcPr>
            <w:tcW w:w="1234" w:type="dxa"/>
            <w:tcBorders>
              <w:bottom w:val="single" w:sz="8" w:space="0" w:color="FFFFFF" w:themeColor="background1"/>
            </w:tcBorders>
            <w:noWrap/>
            <w:tcMar>
              <w:left w:w="57" w:type="dxa"/>
              <w:right w:w="57" w:type="dxa"/>
            </w:tcMar>
            <w:hideMark/>
          </w:tcPr>
          <w:p w14:paraId="39B7B8AA" w14:textId="77777777" w:rsidR="001F2683" w:rsidRPr="00006323" w:rsidRDefault="001F2683">
            <w:pPr>
              <w:pStyle w:val="TableUnit"/>
            </w:pPr>
            <w:r w:rsidRPr="00006323">
              <w:t>$</w:t>
            </w:r>
          </w:p>
        </w:tc>
        <w:tc>
          <w:tcPr>
            <w:tcW w:w="1234" w:type="dxa"/>
            <w:tcBorders>
              <w:bottom w:val="single" w:sz="8" w:space="0" w:color="FFFFFF" w:themeColor="background1"/>
            </w:tcBorders>
            <w:noWrap/>
            <w:tcMar>
              <w:left w:w="57" w:type="dxa"/>
              <w:right w:w="57" w:type="dxa"/>
            </w:tcMar>
            <w:hideMark/>
          </w:tcPr>
          <w:p w14:paraId="58342CCB" w14:textId="77777777" w:rsidR="001F2683" w:rsidRPr="00006323" w:rsidRDefault="001F2683">
            <w:pPr>
              <w:pStyle w:val="TableUnit"/>
            </w:pPr>
            <w:r w:rsidRPr="00006323">
              <w:t>$</w:t>
            </w:r>
          </w:p>
        </w:tc>
        <w:tc>
          <w:tcPr>
            <w:tcW w:w="1235" w:type="dxa"/>
            <w:tcBorders>
              <w:bottom w:val="single" w:sz="8" w:space="0" w:color="FFFFFF" w:themeColor="background1"/>
            </w:tcBorders>
            <w:noWrap/>
            <w:tcMar>
              <w:left w:w="57" w:type="dxa"/>
              <w:right w:w="57" w:type="dxa"/>
            </w:tcMar>
            <w:hideMark/>
          </w:tcPr>
          <w:p w14:paraId="64A75C2F" w14:textId="77777777" w:rsidR="001F2683" w:rsidRPr="00006323" w:rsidRDefault="001F2683">
            <w:pPr>
              <w:pStyle w:val="TableUnit"/>
            </w:pPr>
            <w:r w:rsidRPr="00006323">
              <w:t>$</w:t>
            </w:r>
          </w:p>
        </w:tc>
      </w:tr>
      <w:tr w:rsidR="001F2683" w:rsidRPr="00006323" w14:paraId="20A2A46A" w14:textId="77777777">
        <w:trPr>
          <w:trHeight w:val="252"/>
        </w:trPr>
        <w:tc>
          <w:tcPr>
            <w:tcW w:w="306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121A0D6" w14:textId="77777777" w:rsidR="001F2683" w:rsidRPr="00006323" w:rsidRDefault="001F2683">
            <w:pPr>
              <w:pStyle w:val="TableDataEntries"/>
              <w:jc w:val="left"/>
            </w:pPr>
            <w:r w:rsidRPr="00006323">
              <w:t>Architect</w:t>
            </w:r>
          </w:p>
        </w:tc>
        <w:tc>
          <w:tcPr>
            <w:tcW w:w="1191"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223EB84" w14:textId="77777777" w:rsidR="001F2683" w:rsidRPr="00006323" w:rsidRDefault="001F2683">
            <w:pPr>
              <w:pStyle w:val="TableDataEntries"/>
            </w:pPr>
            <w:r w:rsidRPr="00006323">
              <w:t>110,687</w:t>
            </w:r>
          </w:p>
        </w:tc>
        <w:tc>
          <w:tcPr>
            <w:tcW w:w="1234"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570EDC27" w14:textId="77777777" w:rsidR="001F2683" w:rsidRPr="00006323" w:rsidRDefault="001F2683">
            <w:pPr>
              <w:pStyle w:val="TableDataEntries"/>
            </w:pPr>
            <w:r w:rsidRPr="00006323">
              <w:t>138,359</w:t>
            </w:r>
          </w:p>
        </w:tc>
        <w:tc>
          <w:tcPr>
            <w:tcW w:w="1234"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70209CA8" w14:textId="77777777" w:rsidR="001F2683" w:rsidRPr="00006323" w:rsidRDefault="001F2683">
            <w:pPr>
              <w:pStyle w:val="TableDataEntries"/>
            </w:pPr>
            <w:r w:rsidRPr="00006323">
              <w:t>601.56</w:t>
            </w:r>
          </w:p>
        </w:tc>
        <w:tc>
          <w:tcPr>
            <w:tcW w:w="123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E26C6BA" w14:textId="77777777" w:rsidR="001F2683" w:rsidRPr="00006323" w:rsidRDefault="001F2683">
            <w:pPr>
              <w:pStyle w:val="TableDataEntries"/>
            </w:pPr>
            <w:r w:rsidRPr="00006323">
              <w:t>80.21</w:t>
            </w:r>
          </w:p>
        </w:tc>
      </w:tr>
      <w:tr w:rsidR="001F2683" w:rsidRPr="00006323" w14:paraId="6E0C8B30" w14:textId="77777777">
        <w:trPr>
          <w:trHeight w:val="252"/>
        </w:trPr>
        <w:tc>
          <w:tcPr>
            <w:tcW w:w="306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A8A3DFE" w14:textId="77777777" w:rsidR="001F2683" w:rsidRPr="00006323" w:rsidRDefault="001F2683">
            <w:pPr>
              <w:pStyle w:val="TableDataEntries"/>
              <w:jc w:val="left"/>
            </w:pPr>
            <w:r w:rsidRPr="00006323">
              <w:t>Service engineer</w:t>
            </w:r>
          </w:p>
        </w:tc>
        <w:tc>
          <w:tcPr>
            <w:tcW w:w="1191"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478F7B0" w14:textId="77777777" w:rsidR="001F2683" w:rsidRPr="00006323" w:rsidRDefault="001F2683">
            <w:pPr>
              <w:pStyle w:val="TableDataEntries"/>
            </w:pPr>
            <w:r w:rsidRPr="00006323">
              <w:t>85,248</w:t>
            </w:r>
          </w:p>
        </w:tc>
        <w:tc>
          <w:tcPr>
            <w:tcW w:w="1234"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6FC3008A" w14:textId="77777777" w:rsidR="001F2683" w:rsidRPr="00006323" w:rsidRDefault="001F2683">
            <w:pPr>
              <w:pStyle w:val="TableDataEntries"/>
            </w:pPr>
            <w:r w:rsidRPr="00006323">
              <w:t>106,560</w:t>
            </w:r>
          </w:p>
        </w:tc>
        <w:tc>
          <w:tcPr>
            <w:tcW w:w="1234"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6F893AA" w14:textId="77777777" w:rsidR="001F2683" w:rsidRPr="00006323" w:rsidRDefault="001F2683">
            <w:pPr>
              <w:pStyle w:val="TableDataEntries"/>
            </w:pPr>
            <w:r w:rsidRPr="00006323">
              <w:t>463.30</w:t>
            </w:r>
          </w:p>
        </w:tc>
        <w:tc>
          <w:tcPr>
            <w:tcW w:w="123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9459908" w14:textId="77777777" w:rsidR="001F2683" w:rsidRPr="00006323" w:rsidRDefault="001F2683">
            <w:pPr>
              <w:pStyle w:val="TableDataEntries"/>
            </w:pPr>
            <w:r w:rsidRPr="00006323">
              <w:t>61.77</w:t>
            </w:r>
          </w:p>
        </w:tc>
      </w:tr>
      <w:tr w:rsidR="001F2683" w:rsidRPr="00006323" w14:paraId="3D3C3CFB" w14:textId="77777777">
        <w:trPr>
          <w:trHeight w:val="252"/>
        </w:trPr>
        <w:tc>
          <w:tcPr>
            <w:tcW w:w="306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7244B4FC" w14:textId="77777777" w:rsidR="001F2683" w:rsidRPr="00006323" w:rsidRDefault="001F2683">
            <w:pPr>
              <w:pStyle w:val="TableDataEntries"/>
              <w:jc w:val="left"/>
            </w:pPr>
            <w:r w:rsidRPr="00006323">
              <w:t>Building surveyors</w:t>
            </w:r>
          </w:p>
        </w:tc>
        <w:tc>
          <w:tcPr>
            <w:tcW w:w="1191"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50E00DD3" w14:textId="77777777" w:rsidR="001F2683" w:rsidRPr="00006323" w:rsidRDefault="001F2683">
            <w:pPr>
              <w:pStyle w:val="TableDataEntries"/>
            </w:pPr>
            <w:r w:rsidRPr="00006323">
              <w:t>83,652</w:t>
            </w:r>
          </w:p>
        </w:tc>
        <w:tc>
          <w:tcPr>
            <w:tcW w:w="1234"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3E7F2F3E" w14:textId="77777777" w:rsidR="001F2683" w:rsidRPr="00006323" w:rsidRDefault="001F2683">
            <w:pPr>
              <w:pStyle w:val="TableDataEntries"/>
            </w:pPr>
            <w:r w:rsidRPr="00006323">
              <w:t>104,565</w:t>
            </w:r>
          </w:p>
        </w:tc>
        <w:tc>
          <w:tcPr>
            <w:tcW w:w="1234"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30444454" w14:textId="77777777" w:rsidR="001F2683" w:rsidRPr="00006323" w:rsidRDefault="001F2683">
            <w:pPr>
              <w:pStyle w:val="TableDataEntries"/>
            </w:pPr>
            <w:r w:rsidRPr="00006323">
              <w:t>454.63</w:t>
            </w:r>
          </w:p>
        </w:tc>
        <w:tc>
          <w:tcPr>
            <w:tcW w:w="123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5FE0615" w14:textId="77777777" w:rsidR="001F2683" w:rsidRPr="00006323" w:rsidRDefault="001F2683">
            <w:pPr>
              <w:pStyle w:val="TableDataEntries"/>
            </w:pPr>
            <w:r w:rsidRPr="00006323">
              <w:t>60.62</w:t>
            </w:r>
          </w:p>
        </w:tc>
      </w:tr>
      <w:tr w:rsidR="001F2683" w:rsidRPr="00006323" w14:paraId="50C458F0" w14:textId="77777777">
        <w:trPr>
          <w:trHeight w:val="252"/>
        </w:trPr>
        <w:tc>
          <w:tcPr>
            <w:tcW w:w="306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AFC2B7F" w14:textId="77777777" w:rsidR="001F2683" w:rsidRPr="00006323" w:rsidRDefault="001F2683">
            <w:pPr>
              <w:pStyle w:val="TableDataEntries"/>
              <w:jc w:val="left"/>
            </w:pPr>
            <w:r w:rsidRPr="00006323">
              <w:t>Energy consultant</w:t>
            </w:r>
          </w:p>
        </w:tc>
        <w:tc>
          <w:tcPr>
            <w:tcW w:w="1191"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71D7776" w14:textId="77777777" w:rsidR="001F2683" w:rsidRPr="00006323" w:rsidRDefault="001F2683">
            <w:pPr>
              <w:pStyle w:val="TableDataEntries"/>
            </w:pPr>
            <w:r w:rsidRPr="00006323">
              <w:t>81,593</w:t>
            </w:r>
          </w:p>
        </w:tc>
        <w:tc>
          <w:tcPr>
            <w:tcW w:w="1234"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507CB8EA" w14:textId="77777777" w:rsidR="001F2683" w:rsidRPr="00006323" w:rsidRDefault="001F2683">
            <w:pPr>
              <w:pStyle w:val="TableDataEntries"/>
            </w:pPr>
            <w:r w:rsidRPr="00006323">
              <w:t>101,991</w:t>
            </w:r>
          </w:p>
        </w:tc>
        <w:tc>
          <w:tcPr>
            <w:tcW w:w="1234"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5BCEDB0C" w14:textId="77777777" w:rsidR="001F2683" w:rsidRPr="00006323" w:rsidRDefault="001F2683">
            <w:pPr>
              <w:pStyle w:val="TableDataEntries"/>
            </w:pPr>
            <w:r w:rsidRPr="00006323">
              <w:t>443.44</w:t>
            </w:r>
          </w:p>
        </w:tc>
        <w:tc>
          <w:tcPr>
            <w:tcW w:w="123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9B646BC" w14:textId="77777777" w:rsidR="001F2683" w:rsidRPr="00006323" w:rsidRDefault="001F2683">
            <w:pPr>
              <w:pStyle w:val="TableDataEntries"/>
            </w:pPr>
            <w:r w:rsidRPr="00006323">
              <w:t>59.13</w:t>
            </w:r>
          </w:p>
        </w:tc>
      </w:tr>
      <w:tr w:rsidR="001F2683" w:rsidRPr="00006323" w14:paraId="61215798" w14:textId="77777777">
        <w:trPr>
          <w:trHeight w:val="252"/>
        </w:trPr>
        <w:tc>
          <w:tcPr>
            <w:tcW w:w="3062" w:type="dxa"/>
            <w:tcBorders>
              <w:top w:val="single" w:sz="8" w:space="0" w:color="FFFFFF" w:themeColor="background1"/>
              <w:bottom w:val="single" w:sz="6" w:space="0" w:color="6F6652"/>
            </w:tcBorders>
            <w:shd w:val="clear" w:color="auto" w:fill="E9E8E5" w:themeFill="background2"/>
            <w:noWrap/>
            <w:tcMar>
              <w:left w:w="57" w:type="dxa"/>
              <w:right w:w="57" w:type="dxa"/>
            </w:tcMar>
            <w:hideMark/>
          </w:tcPr>
          <w:p w14:paraId="1794C356" w14:textId="77777777" w:rsidR="001F2683" w:rsidRPr="00006323" w:rsidRDefault="001F2683">
            <w:pPr>
              <w:pStyle w:val="TableDataEntries"/>
              <w:jc w:val="left"/>
            </w:pPr>
            <w:r w:rsidRPr="00006323">
              <w:t>Builder</w:t>
            </w:r>
          </w:p>
        </w:tc>
        <w:tc>
          <w:tcPr>
            <w:tcW w:w="1191" w:type="dxa"/>
            <w:tcBorders>
              <w:top w:val="single" w:sz="8" w:space="0" w:color="FFFFFF" w:themeColor="background1"/>
              <w:bottom w:val="single" w:sz="6" w:space="0" w:color="6F6652"/>
            </w:tcBorders>
            <w:shd w:val="clear" w:color="auto" w:fill="E9E8E5" w:themeFill="background2"/>
            <w:noWrap/>
            <w:tcMar>
              <w:left w:w="57" w:type="dxa"/>
              <w:right w:w="57" w:type="dxa"/>
            </w:tcMar>
            <w:hideMark/>
          </w:tcPr>
          <w:p w14:paraId="41166D0B" w14:textId="77777777" w:rsidR="001F2683" w:rsidRPr="00006323" w:rsidRDefault="001F2683">
            <w:pPr>
              <w:pStyle w:val="TableDataEntries"/>
            </w:pPr>
            <w:r w:rsidRPr="00006323">
              <w:t>75,426</w:t>
            </w:r>
          </w:p>
        </w:tc>
        <w:tc>
          <w:tcPr>
            <w:tcW w:w="1234" w:type="dxa"/>
            <w:tcBorders>
              <w:top w:val="single" w:sz="8" w:space="0" w:color="FFFFFF" w:themeColor="background1"/>
              <w:bottom w:val="single" w:sz="6" w:space="0" w:color="6F6652"/>
            </w:tcBorders>
            <w:shd w:val="clear" w:color="auto" w:fill="E9E8E5" w:themeFill="background2"/>
            <w:noWrap/>
            <w:tcMar>
              <w:left w:w="57" w:type="dxa"/>
              <w:right w:w="57" w:type="dxa"/>
            </w:tcMar>
            <w:hideMark/>
          </w:tcPr>
          <w:p w14:paraId="14621EAF" w14:textId="77777777" w:rsidR="001F2683" w:rsidRPr="00006323" w:rsidRDefault="001F2683">
            <w:pPr>
              <w:pStyle w:val="TableDataEntries"/>
            </w:pPr>
            <w:r w:rsidRPr="00006323">
              <w:t>94,282</w:t>
            </w:r>
          </w:p>
        </w:tc>
        <w:tc>
          <w:tcPr>
            <w:tcW w:w="1234" w:type="dxa"/>
            <w:tcBorders>
              <w:top w:val="single" w:sz="8" w:space="0" w:color="FFFFFF" w:themeColor="background1"/>
              <w:bottom w:val="single" w:sz="6" w:space="0" w:color="6F6652"/>
            </w:tcBorders>
            <w:shd w:val="clear" w:color="auto" w:fill="E9E8E5" w:themeFill="background2"/>
            <w:noWrap/>
            <w:tcMar>
              <w:left w:w="57" w:type="dxa"/>
              <w:right w:w="57" w:type="dxa"/>
            </w:tcMar>
            <w:hideMark/>
          </w:tcPr>
          <w:p w14:paraId="133FD154" w14:textId="77777777" w:rsidR="001F2683" w:rsidRPr="00006323" w:rsidRDefault="001F2683">
            <w:pPr>
              <w:pStyle w:val="TableDataEntries"/>
            </w:pPr>
            <w:r w:rsidRPr="00006323">
              <w:t>409.92</w:t>
            </w:r>
          </w:p>
        </w:tc>
        <w:tc>
          <w:tcPr>
            <w:tcW w:w="1235" w:type="dxa"/>
            <w:tcBorders>
              <w:top w:val="single" w:sz="8" w:space="0" w:color="FFFFFF" w:themeColor="background1"/>
              <w:bottom w:val="single" w:sz="6" w:space="0" w:color="6F6652"/>
            </w:tcBorders>
            <w:shd w:val="clear" w:color="auto" w:fill="E9E8E5" w:themeFill="background2"/>
            <w:noWrap/>
            <w:tcMar>
              <w:left w:w="57" w:type="dxa"/>
              <w:right w:w="57" w:type="dxa"/>
            </w:tcMar>
            <w:hideMark/>
          </w:tcPr>
          <w:p w14:paraId="124E4E5F" w14:textId="77777777" w:rsidR="001F2683" w:rsidRPr="00006323" w:rsidRDefault="001F2683">
            <w:pPr>
              <w:pStyle w:val="TableDataEntries"/>
            </w:pPr>
            <w:r w:rsidRPr="00006323">
              <w:t>54.66</w:t>
            </w:r>
          </w:p>
        </w:tc>
      </w:tr>
    </w:tbl>
    <w:p w14:paraId="572A4E30" w14:textId="77777777" w:rsidR="001F2683" w:rsidRPr="00E4232C" w:rsidRDefault="001F2683" w:rsidP="001F2683">
      <w:pPr>
        <w:pStyle w:val="Note"/>
      </w:pPr>
      <w:r w:rsidRPr="00321EDB">
        <w:rPr>
          <w:rStyle w:val="NoteLabel"/>
          <w:color w:val="6E644B" w:themeColor="accent3" w:themeShade="80"/>
        </w:rPr>
        <w:t>a</w:t>
      </w:r>
      <w:r>
        <w:t xml:space="preserve"> including bonus; </w:t>
      </w:r>
      <w:r w:rsidRPr="00321EDB">
        <w:rPr>
          <w:rStyle w:val="NoteLabel"/>
          <w:color w:val="6E644B" w:themeColor="accent3" w:themeShade="80"/>
        </w:rPr>
        <w:t xml:space="preserve">b </w:t>
      </w:r>
      <w:r>
        <w:t xml:space="preserve">including 25% loading for on-costs; </w:t>
      </w:r>
      <w:r w:rsidRPr="00321EDB">
        <w:rPr>
          <w:rStyle w:val="NoteLabel"/>
          <w:color w:val="6E644B" w:themeColor="accent3" w:themeShade="80"/>
        </w:rPr>
        <w:t>c</w:t>
      </w:r>
      <w:r>
        <w:t xml:space="preserve"> 230 working days per year; </w:t>
      </w:r>
      <w:r w:rsidRPr="00321EDB">
        <w:rPr>
          <w:rStyle w:val="NoteLabel"/>
          <w:color w:val="6E644B" w:themeColor="accent3" w:themeShade="80"/>
        </w:rPr>
        <w:t>d</w:t>
      </w:r>
      <w:r>
        <w:t xml:space="preserve"> 7.5 hours per working day</w:t>
      </w:r>
    </w:p>
    <w:p w14:paraId="0D067DD4" w14:textId="77777777" w:rsidR="001F2683" w:rsidRDefault="001F2683" w:rsidP="001F2683">
      <w:pPr>
        <w:pStyle w:val="Source"/>
        <w:rPr>
          <w:lang w:bidi="fa-IR"/>
        </w:rPr>
      </w:pPr>
      <w:r w:rsidRPr="00006323">
        <w:rPr>
          <w:i/>
          <w:lang w:bidi="fa-IR"/>
        </w:rPr>
        <w:t>Source:</w:t>
      </w:r>
      <w:r>
        <w:rPr>
          <w:lang w:bidi="fa-IR"/>
        </w:rPr>
        <w:t xml:space="preserve"> </w:t>
      </w:r>
      <w:r>
        <w:t>Association of Consulting Architects; payscale website (www.payscale.com)</w:t>
      </w:r>
    </w:p>
    <w:p w14:paraId="4359ABCB" w14:textId="77777777" w:rsidR="00EB7BAA" w:rsidRDefault="00EB7BAA" w:rsidP="00EB7BAA">
      <w:pPr>
        <w:pStyle w:val="Heading1"/>
      </w:pPr>
      <w:bookmarkStart w:id="1652" w:name="_Ref155625427"/>
      <w:bookmarkStart w:id="1653" w:name="_Toc177735104"/>
      <w:bookmarkStart w:id="1654" w:name="_Toc178292538"/>
      <w:r>
        <w:t>Building-level impacts</w:t>
      </w:r>
      <w:bookmarkEnd w:id="1652"/>
      <w:bookmarkEnd w:id="1653"/>
      <w:bookmarkEnd w:id="1654"/>
    </w:p>
    <w:p w14:paraId="6220742B" w14:textId="77777777" w:rsidR="00EB7BAA" w:rsidRPr="00844A6E" w:rsidRDefault="00EB7BAA" w:rsidP="00EB7BAA">
      <w:pPr>
        <w:pStyle w:val="BodyText"/>
        <w:rPr>
          <w:szCs w:val="22"/>
        </w:rPr>
      </w:pPr>
      <w:r w:rsidRPr="00844A6E">
        <w:rPr>
          <w:szCs w:val="22"/>
        </w:rPr>
        <w:t>The evaluation of building-level impacts is derived from a comprehensive analysis that incorporates the findings of energy modelling, alongside previously provided information on energy pricing, emission valuation and baseline uptake of solar PV systems. More specifically, the building-level impacts encompass:</w:t>
      </w:r>
    </w:p>
    <w:p w14:paraId="12158544" w14:textId="77777777" w:rsidR="00EB7BAA" w:rsidRPr="001765B6" w:rsidRDefault="00EB7BAA" w:rsidP="00EB7BAA">
      <w:pPr>
        <w:pStyle w:val="ListBullet"/>
        <w:tabs>
          <w:tab w:val="num" w:pos="709"/>
        </w:tabs>
      </w:pPr>
      <w:r w:rsidRPr="001765B6">
        <w:t>the modelled changes in energy consumption and emissions; and</w:t>
      </w:r>
    </w:p>
    <w:p w14:paraId="5EA64DE7" w14:textId="77777777" w:rsidR="00EB7BAA" w:rsidRPr="001765B6" w:rsidRDefault="00EB7BAA" w:rsidP="00EB7BAA">
      <w:pPr>
        <w:pStyle w:val="ListBullet"/>
        <w:tabs>
          <w:tab w:val="num" w:pos="709"/>
        </w:tabs>
      </w:pPr>
      <w:r w:rsidRPr="001765B6">
        <w:t>CBA outcomes at the building level, quantifying energy-related cost savings and changes in construction cost per square metre of floor space.</w:t>
      </w:r>
    </w:p>
    <w:p w14:paraId="2D078CB5" w14:textId="77777777" w:rsidR="00EB7BAA" w:rsidRPr="00844A6E" w:rsidRDefault="00EB7BAA" w:rsidP="00EB7BAA">
      <w:pPr>
        <w:pStyle w:val="BodyText"/>
        <w:rPr>
          <w:szCs w:val="22"/>
        </w:rPr>
      </w:pPr>
      <w:r w:rsidRPr="00844A6E">
        <w:rPr>
          <w:szCs w:val="22"/>
        </w:rPr>
        <w:t>These building-level impacts serves as the foundation for the aggregate impacts, which will be presented in the next chapter. Moreover, the outcomes at the building level plays a crucial role in elucidating the aggregate results.</w:t>
      </w:r>
    </w:p>
    <w:p w14:paraId="15ADC3EA" w14:textId="77777777" w:rsidR="00EB7BAA" w:rsidRDefault="00EB7BAA" w:rsidP="00EB7BAA">
      <w:pPr>
        <w:pStyle w:val="Heading2"/>
      </w:pPr>
      <w:bookmarkStart w:id="1655" w:name="_Toc177735105"/>
      <w:bookmarkStart w:id="1656" w:name="_Toc178292539"/>
      <w:r>
        <w:t>Building</w:t>
      </w:r>
      <w:r>
        <w:noBreakHyphen/>
        <w:t>level energy modelling</w:t>
      </w:r>
      <w:bookmarkEnd w:id="1655"/>
      <w:bookmarkEnd w:id="1656"/>
    </w:p>
    <w:p w14:paraId="46419869" w14:textId="77777777" w:rsidR="00EB7BAA" w:rsidRPr="00844A6E" w:rsidRDefault="00EB7BAA" w:rsidP="00EB7BAA">
      <w:pPr>
        <w:pStyle w:val="BodyText"/>
        <w:rPr>
          <w:szCs w:val="22"/>
        </w:rPr>
      </w:pPr>
      <w:r w:rsidRPr="00844A6E">
        <w:rPr>
          <w:szCs w:val="22"/>
        </w:rPr>
        <w:t xml:space="preserve">As mentioned in the previous chapter, the impact analysis including CBA is based on building level impacts modelled by DeltaQ. </w:t>
      </w:r>
    </w:p>
    <w:p w14:paraId="5D80DB05" w14:textId="77777777" w:rsidR="00EB7BAA" w:rsidRPr="00844A6E" w:rsidRDefault="00EB7BAA" w:rsidP="00EB7BAA">
      <w:pPr>
        <w:pStyle w:val="BodyText"/>
        <w:rPr>
          <w:szCs w:val="22"/>
        </w:rPr>
      </w:pPr>
      <w:r w:rsidRPr="00844A6E">
        <w:rPr>
          <w:szCs w:val="22"/>
        </w:rPr>
        <w:t xml:space="preserve">DeltaQ estimates the changes in: </w:t>
      </w:r>
    </w:p>
    <w:p w14:paraId="335F37B8" w14:textId="77777777" w:rsidR="00EB7BAA" w:rsidRPr="00577583" w:rsidRDefault="00EB7BAA" w:rsidP="00EB7BAA">
      <w:pPr>
        <w:pStyle w:val="ListBullet"/>
        <w:tabs>
          <w:tab w:val="num" w:pos="709"/>
        </w:tabs>
      </w:pPr>
      <w:r w:rsidRPr="00577583">
        <w:t xml:space="preserve">energy consumption </w:t>
      </w:r>
    </w:p>
    <w:p w14:paraId="66E94CB5" w14:textId="77777777" w:rsidR="00EB7BAA" w:rsidRPr="00577583" w:rsidRDefault="00EB7BAA" w:rsidP="00EB7BAA">
      <w:pPr>
        <w:pStyle w:val="ListBullet"/>
        <w:tabs>
          <w:tab w:val="num" w:pos="709"/>
        </w:tabs>
      </w:pPr>
      <w:r w:rsidRPr="00577583">
        <w:t xml:space="preserve">GHG emissions, and </w:t>
      </w:r>
    </w:p>
    <w:p w14:paraId="1F30A4CE" w14:textId="77777777" w:rsidR="00EB7BAA" w:rsidRPr="00577583" w:rsidRDefault="00EB7BAA" w:rsidP="00EB7BAA">
      <w:pPr>
        <w:pStyle w:val="ListBullet"/>
        <w:tabs>
          <w:tab w:val="num" w:pos="709"/>
        </w:tabs>
      </w:pPr>
      <w:r w:rsidRPr="00577583">
        <w:t>capital</w:t>
      </w:r>
      <w:r w:rsidRPr="00577583">
        <w:noBreakHyphen/>
        <w:t>related costs (including both building envelope, HVAC equipment and solar PV systems)</w:t>
      </w:r>
    </w:p>
    <w:p w14:paraId="282F3FA4" w14:textId="77777777" w:rsidR="00EB7BAA" w:rsidRPr="00844A6E" w:rsidRDefault="00EB7BAA" w:rsidP="00EB7BAA">
      <w:pPr>
        <w:pStyle w:val="BodyText"/>
        <w:rPr>
          <w:szCs w:val="22"/>
        </w:rPr>
      </w:pPr>
      <w:r w:rsidRPr="00844A6E">
        <w:rPr>
          <w:szCs w:val="22"/>
        </w:rPr>
        <w:t>DeltaQ has modelled these key variables:</w:t>
      </w:r>
    </w:p>
    <w:p w14:paraId="37A93106" w14:textId="77777777" w:rsidR="00EB7BAA" w:rsidRPr="007332B0" w:rsidRDefault="00EB7BAA" w:rsidP="00EB7BAA">
      <w:pPr>
        <w:pStyle w:val="ListBullet"/>
        <w:tabs>
          <w:tab w:val="num" w:pos="709"/>
        </w:tabs>
      </w:pPr>
      <w:r w:rsidRPr="007332B0">
        <w:t>for each the three proposed stringency levels</w:t>
      </w:r>
    </w:p>
    <w:p w14:paraId="70CA80BA" w14:textId="77777777" w:rsidR="00EB7BAA" w:rsidRPr="007332B0" w:rsidRDefault="00EB7BAA" w:rsidP="00EB7BAA">
      <w:pPr>
        <w:pStyle w:val="ListBullet"/>
        <w:tabs>
          <w:tab w:val="num" w:pos="709"/>
        </w:tabs>
      </w:pPr>
      <w:r w:rsidRPr="007332B0">
        <w:t>for 10 building archetypes:</w:t>
      </w:r>
    </w:p>
    <w:p w14:paraId="23B95FB3" w14:textId="77777777" w:rsidR="00EB7BAA" w:rsidRPr="00844A6E" w:rsidRDefault="00EB7BAA" w:rsidP="00EB7BAA">
      <w:pPr>
        <w:pStyle w:val="ListBullet"/>
        <w:numPr>
          <w:ilvl w:val="1"/>
          <w:numId w:val="34"/>
        </w:numPr>
        <w:rPr>
          <w:szCs w:val="22"/>
        </w:rPr>
      </w:pPr>
      <w:r w:rsidRPr="00844A6E">
        <w:rPr>
          <w:szCs w:val="22"/>
        </w:rPr>
        <w:t>Hotels (C3HL)</w:t>
      </w:r>
    </w:p>
    <w:p w14:paraId="199920E2" w14:textId="77777777" w:rsidR="00EB7BAA" w:rsidRPr="00844A6E" w:rsidRDefault="00EB7BAA" w:rsidP="00EB7BAA">
      <w:pPr>
        <w:pStyle w:val="ListBullet"/>
        <w:numPr>
          <w:ilvl w:val="1"/>
          <w:numId w:val="34"/>
        </w:numPr>
        <w:rPr>
          <w:szCs w:val="22"/>
        </w:rPr>
      </w:pPr>
      <w:r w:rsidRPr="00844A6E">
        <w:rPr>
          <w:rFonts w:hint="eastAsia"/>
          <w:szCs w:val="22"/>
        </w:rPr>
        <w:t>Motels (C3HS)</w:t>
      </w:r>
    </w:p>
    <w:p w14:paraId="228F4330" w14:textId="77777777" w:rsidR="00EB7BAA" w:rsidRPr="00844A6E" w:rsidRDefault="00EB7BAA" w:rsidP="00EB7BAA">
      <w:pPr>
        <w:pStyle w:val="ListBullet"/>
        <w:numPr>
          <w:ilvl w:val="1"/>
          <w:numId w:val="34"/>
        </w:numPr>
        <w:rPr>
          <w:szCs w:val="22"/>
        </w:rPr>
      </w:pPr>
      <w:r w:rsidRPr="00844A6E">
        <w:rPr>
          <w:rFonts w:hint="eastAsia"/>
          <w:szCs w:val="22"/>
        </w:rPr>
        <w:t>Large office building (C5OL)</w:t>
      </w:r>
    </w:p>
    <w:p w14:paraId="6D114E0B" w14:textId="77777777" w:rsidR="00EB7BAA" w:rsidRPr="00844A6E" w:rsidRDefault="00EB7BAA" w:rsidP="00EB7BAA">
      <w:pPr>
        <w:pStyle w:val="ListBullet"/>
        <w:numPr>
          <w:ilvl w:val="1"/>
          <w:numId w:val="34"/>
        </w:numPr>
        <w:rPr>
          <w:szCs w:val="22"/>
        </w:rPr>
      </w:pPr>
      <w:r w:rsidRPr="00844A6E">
        <w:rPr>
          <w:rFonts w:hint="eastAsia"/>
          <w:szCs w:val="22"/>
        </w:rPr>
        <w:t>Medium office building (C5OM)</w:t>
      </w:r>
    </w:p>
    <w:p w14:paraId="4BEBF262" w14:textId="77777777" w:rsidR="00EB7BAA" w:rsidRPr="00844A6E" w:rsidRDefault="00EB7BAA" w:rsidP="00EB7BAA">
      <w:pPr>
        <w:pStyle w:val="ListBullet"/>
        <w:numPr>
          <w:ilvl w:val="1"/>
          <w:numId w:val="34"/>
        </w:numPr>
        <w:rPr>
          <w:szCs w:val="22"/>
        </w:rPr>
      </w:pPr>
      <w:r w:rsidRPr="00844A6E">
        <w:rPr>
          <w:rFonts w:hint="eastAsia"/>
          <w:szCs w:val="22"/>
        </w:rPr>
        <w:t>Small office building (C5OS)</w:t>
      </w:r>
    </w:p>
    <w:p w14:paraId="35BE7324" w14:textId="77777777" w:rsidR="00EB7BAA" w:rsidRPr="00844A6E" w:rsidRDefault="00EB7BAA" w:rsidP="00EB7BAA">
      <w:pPr>
        <w:pStyle w:val="ListBullet"/>
        <w:numPr>
          <w:ilvl w:val="1"/>
          <w:numId w:val="34"/>
        </w:numPr>
        <w:rPr>
          <w:szCs w:val="22"/>
        </w:rPr>
      </w:pPr>
      <w:r w:rsidRPr="00844A6E">
        <w:rPr>
          <w:rFonts w:hint="eastAsia"/>
          <w:szCs w:val="22"/>
        </w:rPr>
        <w:t>Big box retail (C6RL)</w:t>
      </w:r>
    </w:p>
    <w:p w14:paraId="6654083D" w14:textId="77777777" w:rsidR="00EB7BAA" w:rsidRPr="00844A6E" w:rsidRDefault="00EB7BAA" w:rsidP="00EB7BAA">
      <w:pPr>
        <w:pStyle w:val="ListBullet"/>
        <w:numPr>
          <w:ilvl w:val="1"/>
          <w:numId w:val="34"/>
        </w:numPr>
        <w:rPr>
          <w:szCs w:val="22"/>
        </w:rPr>
      </w:pPr>
      <w:r w:rsidRPr="00844A6E">
        <w:rPr>
          <w:rFonts w:hint="eastAsia"/>
          <w:szCs w:val="22"/>
        </w:rPr>
        <w:t>Strip shops (C6RS)</w:t>
      </w:r>
    </w:p>
    <w:p w14:paraId="40CCF609" w14:textId="77777777" w:rsidR="00EB7BAA" w:rsidRPr="00844A6E" w:rsidRDefault="00EB7BAA" w:rsidP="00EB7BAA">
      <w:pPr>
        <w:pStyle w:val="ListBullet"/>
        <w:numPr>
          <w:ilvl w:val="1"/>
          <w:numId w:val="34"/>
        </w:numPr>
        <w:rPr>
          <w:szCs w:val="22"/>
        </w:rPr>
      </w:pPr>
      <w:r w:rsidRPr="00844A6E">
        <w:rPr>
          <w:rFonts w:hint="eastAsia"/>
          <w:szCs w:val="22"/>
        </w:rPr>
        <w:t>Large hospital ward (C9A)</w:t>
      </w:r>
    </w:p>
    <w:p w14:paraId="12078400" w14:textId="77777777" w:rsidR="00EB7BAA" w:rsidRPr="00844A6E" w:rsidRDefault="00EB7BAA" w:rsidP="00EB7BAA">
      <w:pPr>
        <w:pStyle w:val="ListBullet"/>
        <w:numPr>
          <w:ilvl w:val="1"/>
          <w:numId w:val="34"/>
        </w:numPr>
        <w:rPr>
          <w:szCs w:val="22"/>
        </w:rPr>
      </w:pPr>
      <w:r w:rsidRPr="00844A6E">
        <w:rPr>
          <w:rFonts w:hint="eastAsia"/>
          <w:szCs w:val="22"/>
        </w:rPr>
        <w:t>School classroom block (C9B)</w:t>
      </w:r>
    </w:p>
    <w:p w14:paraId="455FA77A" w14:textId="77777777" w:rsidR="00EB7BAA" w:rsidRPr="00844A6E" w:rsidRDefault="00EB7BAA" w:rsidP="00EB7BAA">
      <w:pPr>
        <w:pStyle w:val="ListBullet"/>
        <w:numPr>
          <w:ilvl w:val="1"/>
          <w:numId w:val="34"/>
        </w:numPr>
        <w:rPr>
          <w:szCs w:val="22"/>
        </w:rPr>
      </w:pPr>
      <w:r w:rsidRPr="00844A6E">
        <w:rPr>
          <w:szCs w:val="22"/>
        </w:rPr>
        <w:t xml:space="preserve">Small hospital (C9AS) which can be applied to </w:t>
      </w:r>
      <w:r w:rsidRPr="00844A6E">
        <w:rPr>
          <w:rFonts w:hint="eastAsia"/>
          <w:szCs w:val="22"/>
        </w:rPr>
        <w:t>Aged care facility (C9C)</w:t>
      </w:r>
      <w:r>
        <w:rPr>
          <w:szCs w:val="22"/>
        </w:rPr>
        <w:t>.</w:t>
      </w:r>
      <w:r w:rsidRPr="00A4291F">
        <w:rPr>
          <w:rStyle w:val="FootnoteReference"/>
        </w:rPr>
        <w:footnoteReference w:id="125"/>
      </w:r>
    </w:p>
    <w:p w14:paraId="01A8C4FF" w14:textId="77777777" w:rsidR="00EB7BAA" w:rsidRPr="00482565" w:rsidRDefault="00EB7BAA" w:rsidP="00EB7BAA">
      <w:pPr>
        <w:pStyle w:val="ListBullet"/>
        <w:tabs>
          <w:tab w:val="num" w:pos="709"/>
        </w:tabs>
      </w:pPr>
      <w:r w:rsidRPr="00482565">
        <w:t xml:space="preserve">in 8 climate zones (see appendix E for details). </w:t>
      </w:r>
    </w:p>
    <w:p w14:paraId="429A1DAA" w14:textId="7EBC7651" w:rsidR="00EB7BAA" w:rsidRDefault="00EB7BAA" w:rsidP="00EB7BAA">
      <w:pPr>
        <w:pStyle w:val="BodyText"/>
        <w:rPr>
          <w:szCs w:val="22"/>
        </w:rPr>
      </w:pPr>
      <w:r>
        <w:rPr>
          <w:szCs w:val="22"/>
        </w:rPr>
        <w:t xml:space="preserve">For several NCC building classes (hotels, office buildings and retail buildings) multiple archetypes have been modelled, reflecting different sizes and types of buildings within each NCC class. The DRIS CBA the assumed composition (based on the limited information available — see appendix </w:t>
      </w:r>
      <w:r w:rsidR="003E34FE">
        <w:rPr>
          <w:szCs w:val="22"/>
        </w:rPr>
        <w:t>F</w:t>
      </w:r>
      <w:r>
        <w:rPr>
          <w:szCs w:val="22"/>
        </w:rPr>
        <w:t xml:space="preserve"> for further details) of new floor space across the different modelled archetypes are shown in table </w:t>
      </w:r>
      <w:r>
        <w:rPr>
          <w:szCs w:val="22"/>
        </w:rPr>
        <w:fldChar w:fldCharType="begin"/>
      </w:r>
      <w:r>
        <w:rPr>
          <w:szCs w:val="22"/>
        </w:rPr>
        <w:instrText xml:space="preserve"> REF _Caption8133 </w:instrText>
      </w:r>
      <w:r>
        <w:rPr>
          <w:szCs w:val="22"/>
        </w:rPr>
        <w:fldChar w:fldCharType="separate"/>
      </w:r>
      <w:r w:rsidR="006E00A7">
        <w:rPr>
          <w:noProof/>
        </w:rPr>
        <w:t>6</w:t>
      </w:r>
      <w:r w:rsidR="006E00A7" w:rsidRPr="00695C93">
        <w:rPr>
          <w:noProof/>
        </w:rPr>
        <w:t>.</w:t>
      </w:r>
      <w:r w:rsidR="006E00A7">
        <w:rPr>
          <w:noProof/>
        </w:rPr>
        <w:t>1</w:t>
      </w:r>
      <w:r>
        <w:rPr>
          <w:szCs w:val="22"/>
        </w:rPr>
        <w:fldChar w:fldCharType="end"/>
      </w:r>
      <w:r>
        <w:rPr>
          <w:szCs w:val="22"/>
        </w:rPr>
        <w:t>. Note that the CRIS assumed a more even distribution of floor space across the different size categories.</w:t>
      </w:r>
    </w:p>
    <w:p w14:paraId="5442C2FF" w14:textId="10727BDC" w:rsidR="00EB7BAA" w:rsidRPr="00695C93" w:rsidRDefault="00EB7BAA">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E136D5">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E136D5">
          <w:rPr>
            <w:noProof/>
          </w:rPr>
          <w:instrText>6</w:instrText>
        </w:r>
      </w:fldSimple>
      <w:r w:rsidRPr="00695C93">
        <w:instrText xml:space="preserve"> = 0 "" "</w:instrText>
      </w:r>
      <w:fldSimple w:instr=" STYLEREF &quot;Heading 1&quot; \l \n ">
        <w:r w:rsidR="00E136D5">
          <w:rPr>
            <w:noProof/>
          </w:rPr>
          <w:instrText>6</w:instrText>
        </w:r>
      </w:fldSimple>
      <w:r w:rsidRPr="00695C93">
        <w:instrText xml:space="preserve">." </w:instrText>
      </w:r>
      <w:r w:rsidRPr="00695C93">
        <w:fldChar w:fldCharType="separate"/>
      </w:r>
      <w:r w:rsidR="00E136D5">
        <w:rPr>
          <w:noProof/>
        </w:rPr>
        <w:instrText>6</w:instrText>
      </w:r>
      <w:r w:rsidR="00E136D5" w:rsidRPr="00695C93">
        <w:rPr>
          <w:noProof/>
        </w:rPr>
        <w:instrText>.</w:instrText>
      </w:r>
      <w:r w:rsidRPr="00695C93">
        <w:fldChar w:fldCharType="end"/>
      </w:r>
      <w:r w:rsidRPr="00695C93">
        <w:instrText>" "</w:instrText>
      </w:r>
      <w:fldSimple w:instr=" STYLEREF &quot;Heading 6&quot; \l \n ">
        <w:r>
          <w:rPr>
            <w:noProof/>
          </w:rPr>
          <w:instrText>A</w:instrText>
        </w:r>
      </w:fldSimple>
      <w:r w:rsidRPr="00695C93">
        <w:instrText xml:space="preserve">." </w:instrText>
      </w:r>
      <w:r w:rsidRPr="00695C93">
        <w:fldChar w:fldCharType="separate"/>
      </w:r>
      <w:r w:rsidR="008C60A3">
        <w:rPr>
          <w:noProof/>
        </w:rPr>
        <w:instrText>6</w:instrText>
      </w:r>
      <w:r w:rsidR="008C60A3"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E136D5">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E136D5">
          <w:rPr>
            <w:noProof/>
          </w:rPr>
          <w:instrText>6</w:instrText>
        </w:r>
      </w:fldSimple>
      <w:r w:rsidRPr="00695C93">
        <w:instrText xml:space="preserve"> = 0 "" "1" </w:instrText>
      </w:r>
      <w:r w:rsidRPr="00695C93">
        <w:fldChar w:fldCharType="separate"/>
      </w:r>
      <w:r w:rsidR="008C60A3" w:rsidRPr="00695C93">
        <w:rPr>
          <w:noProof/>
        </w:rPr>
        <w:instrText>1</w:instrText>
      </w:r>
      <w:r w:rsidRPr="00695C93">
        <w:fldChar w:fldCharType="end"/>
      </w:r>
      <w:r w:rsidRPr="00695C93">
        <w:instrText xml:space="preserve">" "6" </w:instrText>
      </w:r>
      <w:r w:rsidRPr="00695C93">
        <w:fldChar w:fldCharType="separate"/>
      </w:r>
      <w:r w:rsidR="008C60A3" w:rsidRPr="00695C93">
        <w:rPr>
          <w:noProof/>
        </w:rPr>
        <w:instrText>1</w:instrText>
      </w:r>
      <w:r w:rsidRPr="00695C93">
        <w:fldChar w:fldCharType="end"/>
      </w:r>
      <w:r w:rsidRPr="00695C93">
        <w:instrText xml:space="preserve"> </w:instrText>
      </w:r>
      <w:r w:rsidRPr="00695C93">
        <w:fldChar w:fldCharType="separate"/>
      </w:r>
      <w:r w:rsidR="00E136D5">
        <w:rPr>
          <w:noProof/>
        </w:rPr>
        <w:instrText>1</w:instrText>
      </w:r>
      <w:r w:rsidRPr="00695C93">
        <w:fldChar w:fldCharType="end"/>
      </w:r>
      <w:r w:rsidRPr="00695C93">
        <w:instrText xml:space="preserve">" "" </w:instrText>
      </w:r>
      <w:r w:rsidRPr="00695C93">
        <w:fldChar w:fldCharType="separate"/>
      </w:r>
      <w:bookmarkStart w:id="1657" w:name="_Caption4478"/>
      <w:bookmarkStart w:id="1658" w:name="_Caption5763"/>
      <w:bookmarkStart w:id="1659" w:name="_Caption2911"/>
      <w:bookmarkStart w:id="1660" w:name="_Caption8810"/>
      <w:bookmarkStart w:id="1661" w:name="_Caption2291"/>
      <w:bookmarkStart w:id="1662" w:name="_Caption6480"/>
      <w:bookmarkStart w:id="1663" w:name="_Caption5271"/>
      <w:bookmarkStart w:id="1664" w:name="_Caption5450"/>
      <w:bookmarkStart w:id="1665" w:name="_Caption0491"/>
      <w:bookmarkStart w:id="1666" w:name="_Caption3738"/>
      <w:bookmarkStart w:id="1667" w:name="_Caption6436"/>
      <w:bookmarkStart w:id="1668" w:name="_Caption8586"/>
      <w:bookmarkStart w:id="1669" w:name="_Caption8434"/>
      <w:bookmarkStart w:id="1670" w:name="_Caption4733"/>
      <w:bookmarkStart w:id="1671" w:name="_Caption9438"/>
      <w:bookmarkStart w:id="1672" w:name="_Caption2020"/>
      <w:bookmarkStart w:id="1673" w:name="_Caption1707"/>
      <w:bookmarkStart w:id="1674" w:name="_Caption2974"/>
      <w:bookmarkStart w:id="1675" w:name="_Caption2566"/>
      <w:bookmarkStart w:id="1676" w:name="_Caption1844"/>
      <w:bookmarkStart w:id="1677" w:name="_Caption1447"/>
      <w:bookmarkStart w:id="1678" w:name="_Caption2333"/>
      <w:bookmarkStart w:id="1679" w:name="_Caption2635"/>
      <w:bookmarkStart w:id="1680" w:name="_Caption2488"/>
      <w:bookmarkStart w:id="1681" w:name="_Caption2351"/>
      <w:bookmarkStart w:id="1682" w:name="_Caption9193"/>
      <w:bookmarkStart w:id="1683" w:name="_Caption1254"/>
      <w:bookmarkStart w:id="1684" w:name="_Caption3085"/>
      <w:bookmarkStart w:id="1685" w:name="_Caption3948"/>
      <w:bookmarkStart w:id="1686" w:name="_Caption7986"/>
      <w:bookmarkStart w:id="1687" w:name="_Caption9940"/>
      <w:bookmarkStart w:id="1688" w:name="_Caption4971"/>
      <w:bookmarkStart w:id="1689" w:name="_Caption9506"/>
      <w:bookmarkStart w:id="1690" w:name="_Caption6562"/>
      <w:bookmarkStart w:id="1691" w:name="_Caption6349"/>
      <w:bookmarkStart w:id="1692" w:name="_Caption9918"/>
      <w:bookmarkStart w:id="1693" w:name="_Caption6026"/>
      <w:bookmarkStart w:id="1694" w:name="_Caption5634"/>
      <w:bookmarkStart w:id="1695" w:name="_Caption9568"/>
      <w:bookmarkStart w:id="1696" w:name="_Caption7733"/>
      <w:bookmarkStart w:id="1697" w:name="_Caption3881"/>
      <w:bookmarkStart w:id="1698" w:name="_Caption6021"/>
      <w:bookmarkStart w:id="1699" w:name="_Caption4690"/>
      <w:bookmarkStart w:id="1700" w:name="_Caption1834"/>
      <w:bookmarkStart w:id="1701" w:name="_Caption5263"/>
      <w:bookmarkStart w:id="1702" w:name="_Caption8133"/>
      <w:bookmarkStart w:id="1703" w:name="_Caption3402"/>
      <w:bookmarkStart w:id="1704" w:name="_Caption3143"/>
      <w:bookmarkStart w:id="1705" w:name="_Caption5326"/>
      <w:bookmarkStart w:id="1706" w:name="_Caption4437"/>
      <w:bookmarkStart w:id="1707" w:name="_Caption8450"/>
      <w:bookmarkStart w:id="1708" w:name="_Caption0755"/>
      <w:bookmarkStart w:id="1709" w:name="_Caption9486"/>
      <w:bookmarkStart w:id="1710" w:name="_Caption3766"/>
      <w:bookmarkStart w:id="1711" w:name="_Toc178292588"/>
      <w:r w:rsidR="008C60A3">
        <w:rPr>
          <w:noProof/>
        </w:rPr>
        <w:t>6</w:t>
      </w:r>
      <w:r w:rsidR="008C60A3" w:rsidRPr="00695C93">
        <w:rPr>
          <w:noProof/>
        </w:rPr>
        <w:t>.</w:t>
      </w:r>
      <w:r w:rsidR="008C60A3">
        <w:rPr>
          <w:noProof/>
        </w:rPr>
        <w:t>1</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r w:rsidRPr="00695C93">
        <w:fldChar w:fldCharType="end"/>
      </w:r>
      <w:r w:rsidRPr="00695C93">
        <w:tab/>
      </w:r>
      <w:r w:rsidRPr="00E61ADA">
        <w:t>Composition of new floor space — selected building classes</w:t>
      </w:r>
      <w:bookmarkEnd w:id="1711"/>
    </w:p>
    <w:tbl>
      <w:tblPr>
        <w:tblW w:w="0" w:type="auto"/>
        <w:tblLayout w:type="fixed"/>
        <w:tblLook w:val="0000" w:firstRow="0" w:lastRow="0" w:firstColumn="0" w:lastColumn="0" w:noHBand="0" w:noVBand="0"/>
      </w:tblPr>
      <w:tblGrid>
        <w:gridCol w:w="1881"/>
        <w:gridCol w:w="1881"/>
        <w:gridCol w:w="1882"/>
        <w:gridCol w:w="2293"/>
      </w:tblGrid>
      <w:tr w:rsidR="00EB7BAA" w14:paraId="55DB322A" w14:textId="77777777">
        <w:trPr>
          <w:trHeight w:val="245"/>
        </w:trPr>
        <w:tc>
          <w:tcPr>
            <w:tcW w:w="1881" w:type="dxa"/>
            <w:shd w:val="clear" w:color="auto" w:fill="6F6652"/>
            <w:tcMar>
              <w:left w:w="57" w:type="dxa"/>
              <w:right w:w="57" w:type="dxa"/>
            </w:tcMar>
          </w:tcPr>
          <w:p w14:paraId="7D0179D0" w14:textId="77777777" w:rsidR="00EB7BAA" w:rsidRDefault="00EB7BAA">
            <w:pPr>
              <w:pStyle w:val="TableDataColumnHeading"/>
              <w:jc w:val="left"/>
            </w:pPr>
            <w:r>
              <w:t>Size</w:t>
            </w:r>
          </w:p>
        </w:tc>
        <w:tc>
          <w:tcPr>
            <w:tcW w:w="1881" w:type="dxa"/>
            <w:shd w:val="clear" w:color="auto" w:fill="6F6652"/>
            <w:tcMar>
              <w:left w:w="57" w:type="dxa"/>
              <w:right w:w="57" w:type="dxa"/>
            </w:tcMar>
          </w:tcPr>
          <w:p w14:paraId="3CAB0C63" w14:textId="77777777" w:rsidR="00EB7BAA" w:rsidRDefault="00EB7BAA">
            <w:pPr>
              <w:pStyle w:val="TableDataColumnHeading"/>
            </w:pPr>
            <w:r>
              <w:t>Hotels</w:t>
            </w:r>
          </w:p>
        </w:tc>
        <w:tc>
          <w:tcPr>
            <w:tcW w:w="1882" w:type="dxa"/>
            <w:shd w:val="clear" w:color="auto" w:fill="6F6652"/>
            <w:tcMar>
              <w:left w:w="57" w:type="dxa"/>
              <w:right w:w="57" w:type="dxa"/>
            </w:tcMar>
          </w:tcPr>
          <w:p w14:paraId="0906F421" w14:textId="77777777" w:rsidR="00EB7BAA" w:rsidRDefault="00EB7BAA">
            <w:pPr>
              <w:pStyle w:val="TableDataColumnHeading"/>
            </w:pPr>
            <w:r>
              <w:t>Office buildings</w:t>
            </w:r>
          </w:p>
        </w:tc>
        <w:tc>
          <w:tcPr>
            <w:tcW w:w="2293" w:type="dxa"/>
            <w:shd w:val="clear" w:color="auto" w:fill="6F6652"/>
            <w:tcMar>
              <w:left w:w="57" w:type="dxa"/>
              <w:right w:w="57" w:type="dxa"/>
            </w:tcMar>
          </w:tcPr>
          <w:p w14:paraId="6AD0585F" w14:textId="77777777" w:rsidR="00EB7BAA" w:rsidRDefault="00EB7BAA">
            <w:pPr>
              <w:pStyle w:val="TableDataColumnHeading"/>
            </w:pPr>
            <w:r>
              <w:t>Retail buildings</w:t>
            </w:r>
          </w:p>
        </w:tc>
      </w:tr>
      <w:tr w:rsidR="00EB7BAA" w14:paraId="08701AFA" w14:textId="77777777">
        <w:trPr>
          <w:trHeight w:val="245"/>
        </w:trPr>
        <w:tc>
          <w:tcPr>
            <w:tcW w:w="1881" w:type="dxa"/>
            <w:tcBorders>
              <w:bottom w:val="single" w:sz="8" w:space="0" w:color="FFFFFF" w:themeColor="background1"/>
            </w:tcBorders>
            <w:tcMar>
              <w:left w:w="57" w:type="dxa"/>
              <w:right w:w="57" w:type="dxa"/>
            </w:tcMar>
          </w:tcPr>
          <w:p w14:paraId="552066A0" w14:textId="77777777" w:rsidR="00EB7BAA" w:rsidRDefault="00EB7BAA">
            <w:pPr>
              <w:pStyle w:val="TableUnit"/>
              <w:jc w:val="left"/>
            </w:pPr>
          </w:p>
        </w:tc>
        <w:tc>
          <w:tcPr>
            <w:tcW w:w="1881" w:type="dxa"/>
            <w:tcBorders>
              <w:bottom w:val="single" w:sz="8" w:space="0" w:color="FFFFFF" w:themeColor="background1"/>
            </w:tcBorders>
            <w:tcMar>
              <w:left w:w="57" w:type="dxa"/>
              <w:right w:w="57" w:type="dxa"/>
            </w:tcMar>
          </w:tcPr>
          <w:p w14:paraId="570DDB25" w14:textId="77777777" w:rsidR="00EB7BAA" w:rsidRDefault="00EB7BAA">
            <w:pPr>
              <w:pStyle w:val="TableUnit"/>
            </w:pPr>
            <w:r>
              <w:t>Per cent</w:t>
            </w:r>
          </w:p>
        </w:tc>
        <w:tc>
          <w:tcPr>
            <w:tcW w:w="1882" w:type="dxa"/>
            <w:tcBorders>
              <w:bottom w:val="single" w:sz="8" w:space="0" w:color="FFFFFF" w:themeColor="background1"/>
            </w:tcBorders>
            <w:tcMar>
              <w:left w:w="57" w:type="dxa"/>
              <w:right w:w="57" w:type="dxa"/>
            </w:tcMar>
          </w:tcPr>
          <w:p w14:paraId="499CFE2C" w14:textId="77777777" w:rsidR="00EB7BAA" w:rsidRDefault="00EB7BAA">
            <w:pPr>
              <w:pStyle w:val="TableUnit"/>
            </w:pPr>
            <w:r>
              <w:t>Per cent</w:t>
            </w:r>
          </w:p>
        </w:tc>
        <w:tc>
          <w:tcPr>
            <w:tcW w:w="2293" w:type="dxa"/>
            <w:tcBorders>
              <w:bottom w:val="single" w:sz="8" w:space="0" w:color="FFFFFF" w:themeColor="background1"/>
            </w:tcBorders>
            <w:tcMar>
              <w:left w:w="57" w:type="dxa"/>
              <w:right w:w="57" w:type="dxa"/>
            </w:tcMar>
          </w:tcPr>
          <w:p w14:paraId="26CFAEC2" w14:textId="77777777" w:rsidR="00EB7BAA" w:rsidRDefault="00EB7BAA">
            <w:pPr>
              <w:pStyle w:val="TableUnit"/>
            </w:pPr>
            <w:r>
              <w:t>Per cent</w:t>
            </w:r>
          </w:p>
        </w:tc>
      </w:tr>
      <w:tr w:rsidR="00EB7BAA" w14:paraId="3347993D" w14:textId="77777777">
        <w:trPr>
          <w:trHeight w:val="245"/>
        </w:trPr>
        <w:tc>
          <w:tcPr>
            <w:tcW w:w="1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C79BC5" w14:textId="77777777" w:rsidR="00EB7BAA" w:rsidRDefault="00EB7BAA">
            <w:pPr>
              <w:pStyle w:val="TableDataEntries"/>
              <w:jc w:val="left"/>
            </w:pPr>
            <w:r>
              <w:t>Small</w:t>
            </w:r>
          </w:p>
        </w:tc>
        <w:tc>
          <w:tcPr>
            <w:tcW w:w="1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7AFC230" w14:textId="77777777" w:rsidR="00EB7BAA" w:rsidRDefault="00EB7BAA">
            <w:pPr>
              <w:pStyle w:val="TableDataEntries"/>
            </w:pPr>
            <w:r>
              <w:t xml:space="preserve"> 10</w:t>
            </w:r>
          </w:p>
        </w:tc>
        <w:tc>
          <w:tcPr>
            <w:tcW w:w="1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CB97B4F" w14:textId="77777777" w:rsidR="00EB7BAA" w:rsidRDefault="00EB7BAA">
            <w:pPr>
              <w:pStyle w:val="TableDataEntries"/>
            </w:pPr>
            <w:r>
              <w:t xml:space="preserve"> 10</w:t>
            </w:r>
          </w:p>
        </w:tc>
        <w:tc>
          <w:tcPr>
            <w:tcW w:w="22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2BC77AB" w14:textId="77777777" w:rsidR="00EB7BAA" w:rsidRDefault="00EB7BAA">
            <w:pPr>
              <w:pStyle w:val="TableDataEntries"/>
            </w:pPr>
            <w:r>
              <w:t xml:space="preserve"> 40</w:t>
            </w:r>
          </w:p>
        </w:tc>
      </w:tr>
      <w:tr w:rsidR="00EB7BAA" w14:paraId="5110311B" w14:textId="77777777">
        <w:trPr>
          <w:trHeight w:val="245"/>
        </w:trPr>
        <w:tc>
          <w:tcPr>
            <w:tcW w:w="1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CE82E3" w14:textId="77777777" w:rsidR="00EB7BAA" w:rsidRDefault="00EB7BAA">
            <w:pPr>
              <w:pStyle w:val="TableDataEntries"/>
              <w:jc w:val="left"/>
            </w:pPr>
            <w:r>
              <w:t>Medium</w:t>
            </w:r>
          </w:p>
        </w:tc>
        <w:tc>
          <w:tcPr>
            <w:tcW w:w="1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9803479" w14:textId="77777777" w:rsidR="00EB7BAA" w:rsidRDefault="00EB7BAA">
            <w:pPr>
              <w:pStyle w:val="TableDataEntries"/>
            </w:pPr>
            <w:r>
              <w:t xml:space="preserve"> n.a.</w:t>
            </w:r>
          </w:p>
        </w:tc>
        <w:tc>
          <w:tcPr>
            <w:tcW w:w="1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66A0962" w14:textId="77777777" w:rsidR="00EB7BAA" w:rsidRDefault="00EB7BAA">
            <w:pPr>
              <w:pStyle w:val="TableDataEntries"/>
            </w:pPr>
            <w:r>
              <w:t xml:space="preserve"> 25</w:t>
            </w:r>
          </w:p>
        </w:tc>
        <w:tc>
          <w:tcPr>
            <w:tcW w:w="22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CF6BF27" w14:textId="77777777" w:rsidR="00EB7BAA" w:rsidRDefault="00EB7BAA">
            <w:pPr>
              <w:pStyle w:val="TableDataEntries"/>
            </w:pPr>
            <w:r>
              <w:t>n.a.</w:t>
            </w:r>
          </w:p>
        </w:tc>
      </w:tr>
      <w:tr w:rsidR="00EB7BAA" w14:paraId="79A3644A" w14:textId="77777777">
        <w:trPr>
          <w:trHeight w:val="245"/>
        </w:trPr>
        <w:tc>
          <w:tcPr>
            <w:tcW w:w="1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538AF0C" w14:textId="77777777" w:rsidR="00EB7BAA" w:rsidRDefault="00EB7BAA">
            <w:pPr>
              <w:pStyle w:val="TableDataEntries"/>
              <w:jc w:val="left"/>
            </w:pPr>
            <w:r>
              <w:t>Large</w:t>
            </w:r>
          </w:p>
        </w:tc>
        <w:tc>
          <w:tcPr>
            <w:tcW w:w="1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A06230" w14:textId="77777777" w:rsidR="00EB7BAA" w:rsidRDefault="00EB7BAA">
            <w:pPr>
              <w:pStyle w:val="TableDataEntries"/>
            </w:pPr>
            <w:r>
              <w:t xml:space="preserve"> 90</w:t>
            </w:r>
          </w:p>
        </w:tc>
        <w:tc>
          <w:tcPr>
            <w:tcW w:w="1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E3849C" w14:textId="77777777" w:rsidR="00EB7BAA" w:rsidRDefault="00EB7BAA">
            <w:pPr>
              <w:pStyle w:val="TableDataEntries"/>
            </w:pPr>
            <w:r>
              <w:t xml:space="preserve"> 65</w:t>
            </w:r>
          </w:p>
        </w:tc>
        <w:tc>
          <w:tcPr>
            <w:tcW w:w="22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4631EDA" w14:textId="77777777" w:rsidR="00EB7BAA" w:rsidRDefault="00EB7BAA">
            <w:pPr>
              <w:pStyle w:val="TableDataEntries"/>
            </w:pPr>
            <w:r>
              <w:t xml:space="preserve"> 60</w:t>
            </w:r>
          </w:p>
        </w:tc>
      </w:tr>
      <w:tr w:rsidR="00EB7BAA" w:rsidRPr="00810A1F" w14:paraId="116B22C3" w14:textId="77777777">
        <w:trPr>
          <w:trHeight w:val="245"/>
        </w:trPr>
        <w:tc>
          <w:tcPr>
            <w:tcW w:w="1881"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C4B5596" w14:textId="77777777" w:rsidR="00EB7BAA" w:rsidRPr="00810A1F" w:rsidRDefault="00EB7BAA">
            <w:pPr>
              <w:pStyle w:val="TableDataEntries"/>
              <w:jc w:val="left"/>
              <w:rPr>
                <w:rFonts w:ascii="Franklin Gothic Demi" w:hAnsi="Franklin Gothic Demi"/>
              </w:rPr>
            </w:pPr>
            <w:r w:rsidRPr="00810A1F">
              <w:rPr>
                <w:rFonts w:ascii="Franklin Gothic Demi" w:hAnsi="Franklin Gothic Demi"/>
              </w:rPr>
              <w:t>Total</w:t>
            </w:r>
          </w:p>
        </w:tc>
        <w:tc>
          <w:tcPr>
            <w:tcW w:w="1881"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411F01C8" w14:textId="77777777" w:rsidR="00EB7BAA" w:rsidRPr="00810A1F" w:rsidRDefault="00EB7BAA">
            <w:pPr>
              <w:pStyle w:val="TableDataEntries"/>
              <w:rPr>
                <w:rFonts w:ascii="Franklin Gothic Demi" w:hAnsi="Franklin Gothic Demi"/>
              </w:rPr>
            </w:pPr>
            <w:r w:rsidRPr="00810A1F">
              <w:rPr>
                <w:rFonts w:ascii="Franklin Gothic Demi" w:hAnsi="Franklin Gothic Demi"/>
              </w:rPr>
              <w:t xml:space="preserve"> 100</w:t>
            </w:r>
          </w:p>
        </w:tc>
        <w:tc>
          <w:tcPr>
            <w:tcW w:w="1882"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D942887" w14:textId="77777777" w:rsidR="00EB7BAA" w:rsidRPr="00810A1F" w:rsidRDefault="00EB7BAA">
            <w:pPr>
              <w:pStyle w:val="TableDataEntries"/>
              <w:rPr>
                <w:rFonts w:ascii="Franklin Gothic Demi" w:hAnsi="Franklin Gothic Demi"/>
              </w:rPr>
            </w:pPr>
            <w:r w:rsidRPr="00810A1F">
              <w:rPr>
                <w:rFonts w:ascii="Franklin Gothic Demi" w:hAnsi="Franklin Gothic Demi"/>
              </w:rPr>
              <w:t xml:space="preserve"> 100</w:t>
            </w:r>
          </w:p>
        </w:tc>
        <w:tc>
          <w:tcPr>
            <w:tcW w:w="229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7E398D7" w14:textId="77777777" w:rsidR="00EB7BAA" w:rsidRPr="00810A1F" w:rsidRDefault="00EB7BAA">
            <w:pPr>
              <w:pStyle w:val="TableDataEntries"/>
              <w:rPr>
                <w:rFonts w:ascii="Franklin Gothic Demi" w:hAnsi="Franklin Gothic Demi"/>
              </w:rPr>
            </w:pPr>
            <w:r w:rsidRPr="00810A1F">
              <w:rPr>
                <w:rFonts w:ascii="Franklin Gothic Demi" w:hAnsi="Franklin Gothic Demi"/>
              </w:rPr>
              <w:t xml:space="preserve"> 100</w:t>
            </w:r>
          </w:p>
        </w:tc>
      </w:tr>
    </w:tbl>
    <w:p w14:paraId="56213E39" w14:textId="77777777" w:rsidR="00EB7BAA" w:rsidRDefault="00EB7BAA" w:rsidP="00EB7BAA">
      <w:pPr>
        <w:pStyle w:val="Source"/>
      </w:pPr>
      <w:r>
        <w:rPr>
          <w:i/>
        </w:rPr>
        <w:t>Source</w:t>
      </w:r>
      <w:r w:rsidRPr="00E4232C">
        <w:rPr>
          <w:i/>
        </w:rPr>
        <w:t>:</w:t>
      </w:r>
      <w:r>
        <w:t xml:space="preserve"> See appendix E for further details.</w:t>
      </w:r>
    </w:p>
    <w:p w14:paraId="545CF110" w14:textId="77777777" w:rsidR="00EB7BAA" w:rsidRPr="00844A6E" w:rsidRDefault="00EB7BAA" w:rsidP="00EB7BAA">
      <w:pPr>
        <w:pStyle w:val="BodyText"/>
        <w:rPr>
          <w:szCs w:val="22"/>
        </w:rPr>
      </w:pPr>
      <w:r w:rsidRPr="00844A6E">
        <w:rPr>
          <w:szCs w:val="22"/>
        </w:rPr>
        <w:t xml:space="preserve">Based on DeltaQ modelling results, changes in energy-related costs are estimated using state specific time of use price information. </w:t>
      </w:r>
    </w:p>
    <w:p w14:paraId="0C98E349" w14:textId="77777777" w:rsidR="00EB7BAA" w:rsidRDefault="00EB7BAA" w:rsidP="00EB7BAA">
      <w:pPr>
        <w:pStyle w:val="Heading2"/>
        <w:rPr>
          <w:lang w:bidi="fa-IR"/>
        </w:rPr>
      </w:pPr>
      <w:bookmarkStart w:id="1712" w:name="_Toc177735106"/>
      <w:bookmarkStart w:id="1713" w:name="_Toc178292540"/>
      <w:r>
        <w:rPr>
          <w:lang w:bidi="fa-IR"/>
        </w:rPr>
        <w:t>Stringency Level 1: Cost-effective energy efficiency without mandated on-site PV</w:t>
      </w:r>
      <w:bookmarkEnd w:id="1712"/>
      <w:bookmarkEnd w:id="1713"/>
    </w:p>
    <w:p w14:paraId="60540D48" w14:textId="77777777" w:rsidR="00EB7BAA" w:rsidRDefault="00EB7BAA" w:rsidP="00EB7BAA">
      <w:pPr>
        <w:pStyle w:val="Heading3"/>
        <w:rPr>
          <w:lang w:bidi="fa-IR"/>
        </w:rPr>
      </w:pPr>
      <w:r>
        <w:rPr>
          <w:lang w:bidi="fa-IR"/>
        </w:rPr>
        <w:t>Modelled changes in energy consumption and emissions</w:t>
      </w:r>
    </w:p>
    <w:p w14:paraId="138E71FA" w14:textId="29AF6796" w:rsidR="00EB7BAA" w:rsidRPr="00844A6E" w:rsidRDefault="00EB7BAA" w:rsidP="00EB7BAA">
      <w:pPr>
        <w:pStyle w:val="BodyText"/>
        <w:rPr>
          <w:szCs w:val="22"/>
          <w:lang w:bidi="fa-IR"/>
        </w:rPr>
      </w:pPr>
      <w:r w:rsidRPr="00844A6E">
        <w:rPr>
          <w:szCs w:val="22"/>
          <w:lang w:bidi="fa-IR"/>
        </w:rPr>
        <w:t xml:space="preserve">Table </w:t>
      </w:r>
      <w:r w:rsidR="003E34FE">
        <w:rPr>
          <w:szCs w:val="22"/>
          <w:lang w:bidi="fa-IR"/>
        </w:rPr>
        <w:t>6.2</w:t>
      </w:r>
      <w:r w:rsidRPr="00844A6E">
        <w:rPr>
          <w:szCs w:val="22"/>
          <w:lang w:bidi="fa-IR"/>
        </w:rPr>
        <w:t xml:space="preserve"> summarises the percentage change in electricity and gas consumption and </w:t>
      </w:r>
      <w:r w:rsidRPr="00844A6E">
        <w:rPr>
          <w:szCs w:val="22"/>
        </w:rPr>
        <w:t xml:space="preserve">GHG </w:t>
      </w:r>
      <w:r w:rsidRPr="00844A6E">
        <w:rPr>
          <w:szCs w:val="22"/>
          <w:lang w:bidi="fa-IR"/>
        </w:rPr>
        <w:t>emissions under Stringency Level 1 for each archetype and climate zone compared to the reference case (NCC 2022), modelled by DeltaQ.</w:t>
      </w:r>
    </w:p>
    <w:p w14:paraId="5AB75019" w14:textId="77777777" w:rsidR="00EB7BAA" w:rsidRDefault="00EB7BAA" w:rsidP="00EB7BAA">
      <w:pPr>
        <w:pStyle w:val="BodyText"/>
        <w:rPr>
          <w:szCs w:val="22"/>
          <w:lang w:bidi="fa-IR"/>
        </w:rPr>
      </w:pPr>
      <w:r w:rsidRPr="00844A6E">
        <w:rPr>
          <w:szCs w:val="22"/>
          <w:lang w:bidi="fa-IR"/>
        </w:rPr>
        <w:t>Note that for each building archetype and climate zone, DeltaQ’s modelling compares a building built to meet the proposed requirements under NCC 2025 with a NCC 2022</w:t>
      </w:r>
      <w:r w:rsidRPr="00844A6E">
        <w:rPr>
          <w:szCs w:val="22"/>
          <w:lang w:bidi="fa-IR"/>
        </w:rPr>
        <w:noBreakHyphen/>
        <w:t>compliant building. However, as discussed above, the base case used for the CRIS modelling incorporates voluntary uptake of rooftop solar.</w:t>
      </w:r>
    </w:p>
    <w:p w14:paraId="3EF1D1DC" w14:textId="03EA54AE" w:rsidR="00EB7BAA" w:rsidRPr="00695C93" w:rsidRDefault="00EB7BAA">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E136D5">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E136D5">
          <w:rPr>
            <w:noProof/>
          </w:rPr>
          <w:instrText>6</w:instrText>
        </w:r>
      </w:fldSimple>
      <w:r w:rsidRPr="00695C93">
        <w:instrText xml:space="preserve"> = 0 "" "</w:instrText>
      </w:r>
      <w:fldSimple w:instr=" STYLEREF &quot;Heading 1&quot; \l \n ">
        <w:r w:rsidR="00E136D5">
          <w:rPr>
            <w:noProof/>
          </w:rPr>
          <w:instrText>6</w:instrText>
        </w:r>
      </w:fldSimple>
      <w:r w:rsidRPr="00695C93">
        <w:instrText xml:space="preserve">." </w:instrText>
      </w:r>
      <w:r w:rsidRPr="00695C93">
        <w:fldChar w:fldCharType="separate"/>
      </w:r>
      <w:r w:rsidR="00E136D5">
        <w:rPr>
          <w:noProof/>
        </w:rPr>
        <w:instrText>6</w:instrText>
      </w:r>
      <w:r w:rsidR="00E136D5" w:rsidRPr="00695C93">
        <w:rPr>
          <w:noProof/>
        </w:rPr>
        <w:instrText>.</w:instrText>
      </w:r>
      <w:r w:rsidRPr="00695C93">
        <w:fldChar w:fldCharType="end"/>
      </w:r>
      <w:r w:rsidRPr="00695C93">
        <w:instrText>" "</w:instrText>
      </w:r>
      <w:fldSimple w:instr=" STYLEREF &quot;Heading 6&quot; \l \n ">
        <w:r>
          <w:rPr>
            <w:noProof/>
          </w:rPr>
          <w:instrText>A</w:instrText>
        </w:r>
      </w:fldSimple>
      <w:r w:rsidRPr="00695C93">
        <w:instrText xml:space="preserve">." </w:instrText>
      </w:r>
      <w:r w:rsidRPr="00695C93">
        <w:fldChar w:fldCharType="separate"/>
      </w:r>
      <w:r w:rsidR="008C60A3">
        <w:rPr>
          <w:noProof/>
        </w:rPr>
        <w:instrText>6</w:instrText>
      </w:r>
      <w:r w:rsidR="008C60A3"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E136D5">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E136D5">
          <w:rPr>
            <w:noProof/>
          </w:rPr>
          <w:instrText>6</w:instrText>
        </w:r>
      </w:fldSimple>
      <w:r w:rsidRPr="00695C93">
        <w:instrText xml:space="preserve"> = 0 "" "1" </w:instrText>
      </w:r>
      <w:r w:rsidRPr="00695C93">
        <w:fldChar w:fldCharType="separate"/>
      </w:r>
      <w:r w:rsidR="008C60A3" w:rsidRPr="00695C93">
        <w:rPr>
          <w:noProof/>
        </w:rPr>
        <w:instrText>1</w:instrText>
      </w:r>
      <w:r w:rsidRPr="00695C93">
        <w:fldChar w:fldCharType="end"/>
      </w:r>
      <w:r w:rsidRPr="00695C93">
        <w:instrText xml:space="preserve">" "6" </w:instrText>
      </w:r>
      <w:r w:rsidRPr="00695C93">
        <w:fldChar w:fldCharType="separate"/>
      </w:r>
      <w:r w:rsidR="008C60A3" w:rsidRPr="00695C93">
        <w:rPr>
          <w:noProof/>
        </w:rPr>
        <w:instrText>1</w:instrText>
      </w:r>
      <w:r w:rsidRPr="00695C93">
        <w:fldChar w:fldCharType="end"/>
      </w:r>
      <w:r w:rsidRPr="00695C93">
        <w:instrText xml:space="preserve"> </w:instrText>
      </w:r>
      <w:r w:rsidRPr="00695C93">
        <w:fldChar w:fldCharType="separate"/>
      </w:r>
      <w:r w:rsidR="00E136D5">
        <w:rPr>
          <w:noProof/>
        </w:rPr>
        <w:instrText>2</w:instrText>
      </w:r>
      <w:r w:rsidRPr="00695C93">
        <w:fldChar w:fldCharType="end"/>
      </w:r>
      <w:r w:rsidRPr="00695C93">
        <w:instrText xml:space="preserve">" "" </w:instrText>
      </w:r>
      <w:r w:rsidRPr="00695C93">
        <w:fldChar w:fldCharType="separate"/>
      </w:r>
      <w:bookmarkStart w:id="1714" w:name="_Caption1722"/>
      <w:bookmarkStart w:id="1715" w:name="_Caption3092"/>
      <w:bookmarkStart w:id="1716" w:name="_Caption7117"/>
      <w:bookmarkStart w:id="1717" w:name="_Caption3074"/>
      <w:bookmarkStart w:id="1718" w:name="_Caption6697"/>
      <w:bookmarkStart w:id="1719" w:name="_Caption0204"/>
      <w:bookmarkStart w:id="1720" w:name="_Caption3615"/>
      <w:bookmarkStart w:id="1721" w:name="_Caption7012"/>
      <w:bookmarkStart w:id="1722" w:name="_Caption1279"/>
      <w:bookmarkStart w:id="1723" w:name="_Caption6596"/>
      <w:bookmarkStart w:id="1724" w:name="_Caption3165"/>
      <w:bookmarkStart w:id="1725" w:name="_Caption2778"/>
      <w:bookmarkStart w:id="1726" w:name="_Caption1638"/>
      <w:bookmarkStart w:id="1727" w:name="_Caption1086"/>
      <w:bookmarkStart w:id="1728" w:name="_Caption5781"/>
      <w:bookmarkStart w:id="1729" w:name="_Caption1552"/>
      <w:bookmarkStart w:id="1730" w:name="_Caption1534"/>
      <w:bookmarkStart w:id="1731" w:name="_Caption0263"/>
      <w:bookmarkStart w:id="1732" w:name="_Caption9763"/>
      <w:bookmarkStart w:id="1733" w:name="_Caption2978"/>
      <w:bookmarkStart w:id="1734" w:name="_Caption9178"/>
      <w:bookmarkStart w:id="1735" w:name="_Caption4149"/>
      <w:bookmarkStart w:id="1736" w:name="_Caption1033"/>
      <w:bookmarkStart w:id="1737" w:name="_Caption6186"/>
      <w:bookmarkStart w:id="1738" w:name="_Caption1176"/>
      <w:bookmarkStart w:id="1739" w:name="_Caption3598"/>
      <w:bookmarkStart w:id="1740" w:name="_Caption8370"/>
      <w:bookmarkStart w:id="1741" w:name="_Caption7464"/>
      <w:bookmarkStart w:id="1742" w:name="_Caption8836"/>
      <w:bookmarkStart w:id="1743" w:name="_Caption0936"/>
      <w:bookmarkStart w:id="1744" w:name="_Caption3372"/>
      <w:bookmarkStart w:id="1745" w:name="_Caption1619"/>
      <w:bookmarkStart w:id="1746" w:name="_Caption1668"/>
      <w:bookmarkStart w:id="1747" w:name="_Caption9313"/>
      <w:bookmarkStart w:id="1748" w:name="_Caption0728"/>
      <w:bookmarkStart w:id="1749" w:name="_Caption7888"/>
      <w:bookmarkStart w:id="1750" w:name="_Caption0313"/>
      <w:bookmarkStart w:id="1751" w:name="_Caption0694"/>
      <w:bookmarkStart w:id="1752" w:name="_Caption6191"/>
      <w:bookmarkStart w:id="1753" w:name="_Caption8267"/>
      <w:bookmarkStart w:id="1754" w:name="_Caption3668"/>
      <w:bookmarkStart w:id="1755" w:name="_Caption7837"/>
      <w:bookmarkStart w:id="1756" w:name="_Caption5225"/>
      <w:bookmarkStart w:id="1757" w:name="_Caption5613"/>
      <w:bookmarkStart w:id="1758" w:name="_Caption7160"/>
      <w:bookmarkStart w:id="1759" w:name="_Caption0599"/>
      <w:bookmarkStart w:id="1760" w:name="_Caption8097"/>
      <w:bookmarkStart w:id="1761" w:name="_Caption9131"/>
      <w:bookmarkStart w:id="1762" w:name="_Caption9483"/>
      <w:bookmarkStart w:id="1763" w:name="_Caption0480"/>
      <w:bookmarkStart w:id="1764" w:name="_Caption1422"/>
      <w:bookmarkStart w:id="1765" w:name="_Caption4333"/>
      <w:bookmarkStart w:id="1766" w:name="_Caption3449"/>
      <w:bookmarkStart w:id="1767" w:name="_Toc178292589"/>
      <w:r w:rsidR="008C60A3">
        <w:rPr>
          <w:noProof/>
        </w:rPr>
        <w:t>6</w:t>
      </w:r>
      <w:r w:rsidR="008C60A3" w:rsidRPr="00695C93">
        <w:rPr>
          <w:noProof/>
        </w:rPr>
        <w:t>.</w:t>
      </w:r>
      <w:r w:rsidR="008C60A3">
        <w:rPr>
          <w:noProof/>
        </w:rPr>
        <w:t>2</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r w:rsidRPr="00695C93">
        <w:fldChar w:fldCharType="end"/>
      </w:r>
      <w:r w:rsidRPr="00695C93">
        <w:tab/>
      </w:r>
      <w:r w:rsidRPr="00E61ADA">
        <w:t>Modelled energy consumption and emissions change – Stringency Level 1</w:t>
      </w:r>
      <w:bookmarkEnd w:id="1767"/>
    </w:p>
    <w:tbl>
      <w:tblPr>
        <w:tblW w:w="7937" w:type="dxa"/>
        <w:tblLook w:val="04A0" w:firstRow="1" w:lastRow="0" w:firstColumn="1" w:lastColumn="0" w:noHBand="0" w:noVBand="1"/>
        <w:tblCaption w:val="Table 5.1"/>
        <w:tblDescription w:val="Modelled energy consumption and emissions change – Stringency Level 1"/>
      </w:tblPr>
      <w:tblGrid>
        <w:gridCol w:w="937"/>
        <w:gridCol w:w="875"/>
        <w:gridCol w:w="875"/>
        <w:gridCol w:w="875"/>
        <w:gridCol w:w="875"/>
        <w:gridCol w:w="875"/>
        <w:gridCol w:w="875"/>
        <w:gridCol w:w="875"/>
        <w:gridCol w:w="875"/>
      </w:tblGrid>
      <w:tr w:rsidR="00EB7BAA" w:rsidRPr="00CF1166" w14:paraId="51C9A6A2" w14:textId="77777777">
        <w:trPr>
          <w:trHeight w:val="252"/>
          <w:tblHeader/>
        </w:trPr>
        <w:tc>
          <w:tcPr>
            <w:tcW w:w="937" w:type="dxa"/>
            <w:shd w:val="clear" w:color="auto" w:fill="6F6652"/>
            <w:noWrap/>
            <w:tcMar>
              <w:left w:w="57" w:type="dxa"/>
              <w:right w:w="57" w:type="dxa"/>
            </w:tcMar>
            <w:hideMark/>
          </w:tcPr>
          <w:p w14:paraId="7277B6FE" w14:textId="77777777" w:rsidR="00EB7BAA" w:rsidRPr="00CF1166" w:rsidRDefault="00EB7BAA">
            <w:pPr>
              <w:pStyle w:val="TableDataColumnHeading"/>
              <w:jc w:val="left"/>
            </w:pPr>
            <w:r>
              <w:t>Fuel or emissions</w:t>
            </w:r>
          </w:p>
        </w:tc>
        <w:tc>
          <w:tcPr>
            <w:tcW w:w="875" w:type="dxa"/>
            <w:shd w:val="clear" w:color="auto" w:fill="6F6652"/>
            <w:noWrap/>
            <w:tcMar>
              <w:left w:w="57" w:type="dxa"/>
              <w:right w:w="57" w:type="dxa"/>
            </w:tcMar>
            <w:hideMark/>
          </w:tcPr>
          <w:p w14:paraId="75B42901" w14:textId="77777777" w:rsidR="00EB7BAA" w:rsidRDefault="00EB7BAA">
            <w:pPr>
              <w:pStyle w:val="TableDataColumnHeading"/>
              <w:rPr>
                <w:sz w:val="18"/>
              </w:rPr>
            </w:pPr>
            <w:r w:rsidRPr="00611528">
              <w:rPr>
                <w:sz w:val="18"/>
              </w:rPr>
              <w:t>CZ1</w:t>
            </w:r>
            <w:r>
              <w:rPr>
                <w:sz w:val="18"/>
              </w:rPr>
              <w:t xml:space="preserve"> </w:t>
            </w:r>
          </w:p>
          <w:p w14:paraId="1B95F996" w14:textId="77777777" w:rsidR="00EB7BAA" w:rsidRPr="00611528" w:rsidRDefault="00EB7BAA">
            <w:pPr>
              <w:pStyle w:val="TableDataColumnHeading"/>
              <w:rPr>
                <w:sz w:val="18"/>
              </w:rPr>
            </w:pPr>
            <w:r>
              <w:rPr>
                <w:sz w:val="18"/>
              </w:rPr>
              <w:t>(%)</w:t>
            </w:r>
          </w:p>
        </w:tc>
        <w:tc>
          <w:tcPr>
            <w:tcW w:w="875" w:type="dxa"/>
            <w:shd w:val="clear" w:color="auto" w:fill="6F6652"/>
            <w:noWrap/>
            <w:tcMar>
              <w:left w:w="57" w:type="dxa"/>
              <w:right w:w="57" w:type="dxa"/>
            </w:tcMar>
            <w:hideMark/>
          </w:tcPr>
          <w:p w14:paraId="6394AA75" w14:textId="77777777" w:rsidR="00EB7BAA" w:rsidRDefault="00EB7BAA">
            <w:pPr>
              <w:pStyle w:val="TableDataColumnHeading"/>
              <w:rPr>
                <w:sz w:val="18"/>
              </w:rPr>
            </w:pPr>
            <w:r w:rsidRPr="00611528">
              <w:rPr>
                <w:sz w:val="18"/>
              </w:rPr>
              <w:t>CZ</w:t>
            </w:r>
            <w:r>
              <w:rPr>
                <w:sz w:val="18"/>
              </w:rPr>
              <w:t xml:space="preserve">2 </w:t>
            </w:r>
          </w:p>
          <w:p w14:paraId="595C48D5" w14:textId="77777777" w:rsidR="00EB7BAA" w:rsidRPr="00611528" w:rsidRDefault="00EB7BAA">
            <w:pPr>
              <w:pStyle w:val="TableDataColumnHeading"/>
              <w:rPr>
                <w:sz w:val="18"/>
              </w:rPr>
            </w:pPr>
            <w:r>
              <w:rPr>
                <w:sz w:val="18"/>
              </w:rPr>
              <w:t>(%)</w:t>
            </w:r>
          </w:p>
        </w:tc>
        <w:tc>
          <w:tcPr>
            <w:tcW w:w="875" w:type="dxa"/>
            <w:shd w:val="clear" w:color="auto" w:fill="6F6652"/>
            <w:noWrap/>
            <w:tcMar>
              <w:left w:w="57" w:type="dxa"/>
              <w:right w:w="57" w:type="dxa"/>
            </w:tcMar>
            <w:hideMark/>
          </w:tcPr>
          <w:p w14:paraId="4462F6A9" w14:textId="77777777" w:rsidR="00EB7BAA" w:rsidRDefault="00EB7BAA">
            <w:pPr>
              <w:pStyle w:val="TableDataColumnHeading"/>
              <w:rPr>
                <w:sz w:val="18"/>
              </w:rPr>
            </w:pPr>
            <w:r w:rsidRPr="00611528">
              <w:rPr>
                <w:sz w:val="18"/>
              </w:rPr>
              <w:t>CZ</w:t>
            </w:r>
            <w:r>
              <w:rPr>
                <w:sz w:val="18"/>
              </w:rPr>
              <w:t xml:space="preserve">3 </w:t>
            </w:r>
          </w:p>
          <w:p w14:paraId="239D7EB9" w14:textId="77777777" w:rsidR="00EB7BAA" w:rsidRPr="00611528" w:rsidRDefault="00EB7BAA">
            <w:pPr>
              <w:pStyle w:val="TableDataColumnHeading"/>
              <w:rPr>
                <w:sz w:val="18"/>
              </w:rPr>
            </w:pPr>
            <w:r>
              <w:rPr>
                <w:sz w:val="18"/>
              </w:rPr>
              <w:t>(%)</w:t>
            </w:r>
          </w:p>
        </w:tc>
        <w:tc>
          <w:tcPr>
            <w:tcW w:w="875" w:type="dxa"/>
            <w:shd w:val="clear" w:color="auto" w:fill="6F6652"/>
            <w:noWrap/>
            <w:tcMar>
              <w:left w:w="57" w:type="dxa"/>
              <w:right w:w="57" w:type="dxa"/>
            </w:tcMar>
            <w:hideMark/>
          </w:tcPr>
          <w:p w14:paraId="6C134410" w14:textId="77777777" w:rsidR="00EB7BAA" w:rsidRDefault="00EB7BAA">
            <w:pPr>
              <w:pStyle w:val="TableDataColumnHeading"/>
              <w:rPr>
                <w:sz w:val="18"/>
              </w:rPr>
            </w:pPr>
            <w:r w:rsidRPr="00611528">
              <w:rPr>
                <w:sz w:val="18"/>
              </w:rPr>
              <w:t>CZ</w:t>
            </w:r>
            <w:r>
              <w:rPr>
                <w:sz w:val="18"/>
              </w:rPr>
              <w:t xml:space="preserve">4 </w:t>
            </w:r>
          </w:p>
          <w:p w14:paraId="3A27173E" w14:textId="77777777" w:rsidR="00EB7BAA" w:rsidRPr="00611528" w:rsidRDefault="00EB7BAA">
            <w:pPr>
              <w:pStyle w:val="TableDataColumnHeading"/>
              <w:rPr>
                <w:sz w:val="18"/>
              </w:rPr>
            </w:pPr>
            <w:r>
              <w:rPr>
                <w:sz w:val="18"/>
              </w:rPr>
              <w:t>(%)</w:t>
            </w:r>
          </w:p>
        </w:tc>
        <w:tc>
          <w:tcPr>
            <w:tcW w:w="875" w:type="dxa"/>
            <w:shd w:val="clear" w:color="auto" w:fill="6F6652"/>
            <w:noWrap/>
            <w:tcMar>
              <w:left w:w="57" w:type="dxa"/>
              <w:right w:w="57" w:type="dxa"/>
            </w:tcMar>
            <w:hideMark/>
          </w:tcPr>
          <w:p w14:paraId="08B38210" w14:textId="77777777" w:rsidR="00EB7BAA" w:rsidRDefault="00EB7BAA">
            <w:pPr>
              <w:pStyle w:val="TableDataColumnHeading"/>
              <w:rPr>
                <w:sz w:val="18"/>
              </w:rPr>
            </w:pPr>
            <w:r w:rsidRPr="00611528">
              <w:rPr>
                <w:sz w:val="18"/>
              </w:rPr>
              <w:t>CZ</w:t>
            </w:r>
            <w:r>
              <w:rPr>
                <w:sz w:val="18"/>
              </w:rPr>
              <w:t xml:space="preserve">5 </w:t>
            </w:r>
          </w:p>
          <w:p w14:paraId="69915FCD" w14:textId="77777777" w:rsidR="00EB7BAA" w:rsidRPr="00611528" w:rsidRDefault="00EB7BAA">
            <w:pPr>
              <w:pStyle w:val="TableDataColumnHeading"/>
              <w:rPr>
                <w:sz w:val="18"/>
              </w:rPr>
            </w:pPr>
            <w:r>
              <w:rPr>
                <w:sz w:val="18"/>
              </w:rPr>
              <w:t>(%)</w:t>
            </w:r>
          </w:p>
        </w:tc>
        <w:tc>
          <w:tcPr>
            <w:tcW w:w="875" w:type="dxa"/>
            <w:shd w:val="clear" w:color="auto" w:fill="6F6652"/>
            <w:noWrap/>
            <w:tcMar>
              <w:left w:w="57" w:type="dxa"/>
              <w:right w:w="57" w:type="dxa"/>
            </w:tcMar>
            <w:hideMark/>
          </w:tcPr>
          <w:p w14:paraId="091519F6" w14:textId="77777777" w:rsidR="00EB7BAA" w:rsidRDefault="00EB7BAA">
            <w:pPr>
              <w:pStyle w:val="TableDataColumnHeading"/>
              <w:rPr>
                <w:sz w:val="18"/>
              </w:rPr>
            </w:pPr>
            <w:r w:rsidRPr="00611528">
              <w:rPr>
                <w:sz w:val="18"/>
              </w:rPr>
              <w:t>CZ</w:t>
            </w:r>
            <w:r>
              <w:rPr>
                <w:sz w:val="18"/>
              </w:rPr>
              <w:t xml:space="preserve">6 </w:t>
            </w:r>
          </w:p>
          <w:p w14:paraId="0991A7B8" w14:textId="77777777" w:rsidR="00EB7BAA" w:rsidRPr="00611528" w:rsidRDefault="00EB7BAA">
            <w:pPr>
              <w:pStyle w:val="TableDataColumnHeading"/>
              <w:rPr>
                <w:sz w:val="18"/>
              </w:rPr>
            </w:pPr>
            <w:r>
              <w:rPr>
                <w:sz w:val="18"/>
              </w:rPr>
              <w:t>(%)</w:t>
            </w:r>
          </w:p>
        </w:tc>
        <w:tc>
          <w:tcPr>
            <w:tcW w:w="875" w:type="dxa"/>
            <w:shd w:val="clear" w:color="auto" w:fill="6F6652"/>
            <w:noWrap/>
            <w:tcMar>
              <w:left w:w="57" w:type="dxa"/>
              <w:right w:w="57" w:type="dxa"/>
            </w:tcMar>
            <w:hideMark/>
          </w:tcPr>
          <w:p w14:paraId="33DBFDE9" w14:textId="77777777" w:rsidR="00EB7BAA" w:rsidRDefault="00EB7BAA">
            <w:pPr>
              <w:pStyle w:val="TableDataColumnHeading"/>
              <w:rPr>
                <w:sz w:val="18"/>
              </w:rPr>
            </w:pPr>
            <w:r w:rsidRPr="00611528">
              <w:rPr>
                <w:sz w:val="18"/>
              </w:rPr>
              <w:t>CZ</w:t>
            </w:r>
            <w:r>
              <w:rPr>
                <w:sz w:val="18"/>
              </w:rPr>
              <w:t xml:space="preserve">7 </w:t>
            </w:r>
          </w:p>
          <w:p w14:paraId="19A892BD" w14:textId="77777777" w:rsidR="00EB7BAA" w:rsidRPr="00611528" w:rsidRDefault="00EB7BAA">
            <w:pPr>
              <w:pStyle w:val="TableDataColumnHeading"/>
              <w:rPr>
                <w:sz w:val="18"/>
              </w:rPr>
            </w:pPr>
            <w:r>
              <w:rPr>
                <w:sz w:val="18"/>
              </w:rPr>
              <w:t>(%)</w:t>
            </w:r>
          </w:p>
        </w:tc>
        <w:tc>
          <w:tcPr>
            <w:tcW w:w="875" w:type="dxa"/>
            <w:shd w:val="clear" w:color="auto" w:fill="6F6652"/>
            <w:noWrap/>
            <w:tcMar>
              <w:left w:w="57" w:type="dxa"/>
              <w:right w:w="57" w:type="dxa"/>
            </w:tcMar>
            <w:hideMark/>
          </w:tcPr>
          <w:p w14:paraId="73120DE3" w14:textId="77777777" w:rsidR="00EB7BAA" w:rsidRDefault="00EB7BAA">
            <w:pPr>
              <w:pStyle w:val="TableDataColumnHeading"/>
              <w:rPr>
                <w:sz w:val="18"/>
              </w:rPr>
            </w:pPr>
            <w:r w:rsidRPr="00611528">
              <w:rPr>
                <w:sz w:val="18"/>
              </w:rPr>
              <w:t>CZ</w:t>
            </w:r>
            <w:r>
              <w:rPr>
                <w:sz w:val="18"/>
              </w:rPr>
              <w:t xml:space="preserve">8 </w:t>
            </w:r>
          </w:p>
          <w:p w14:paraId="16ABA445" w14:textId="77777777" w:rsidR="00EB7BAA" w:rsidRPr="00611528" w:rsidRDefault="00EB7BAA">
            <w:pPr>
              <w:pStyle w:val="TableDataColumnHeading"/>
              <w:rPr>
                <w:sz w:val="18"/>
              </w:rPr>
            </w:pPr>
            <w:r>
              <w:rPr>
                <w:sz w:val="18"/>
              </w:rPr>
              <w:t>(%)</w:t>
            </w:r>
          </w:p>
        </w:tc>
      </w:tr>
      <w:tr w:rsidR="00EB7BAA" w:rsidRPr="00492AD6" w14:paraId="60495E1E" w14:textId="77777777">
        <w:trPr>
          <w:trHeight w:val="252"/>
        </w:trPr>
        <w:tc>
          <w:tcPr>
            <w:tcW w:w="1812" w:type="dxa"/>
            <w:gridSpan w:val="2"/>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hideMark/>
          </w:tcPr>
          <w:p w14:paraId="6D985333" w14:textId="03E7BA3B" w:rsidR="00EB7BAA" w:rsidRPr="00492AD6" w:rsidRDefault="00A706C5">
            <w:pPr>
              <w:pStyle w:val="TableHeading1"/>
              <w:rPr>
                <w:color w:val="000000" w:themeColor="text1"/>
              </w:rPr>
            </w:pPr>
            <w:r w:rsidRPr="00492AD6">
              <w:rPr>
                <w:color w:val="000000" w:themeColor="text1"/>
              </w:rPr>
              <w:t>Hotels (C3HL)</w:t>
            </w: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hideMark/>
          </w:tcPr>
          <w:p w14:paraId="07BCC238"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hideMark/>
          </w:tcPr>
          <w:p w14:paraId="6F738707"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hideMark/>
          </w:tcPr>
          <w:p w14:paraId="3E100996"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hideMark/>
          </w:tcPr>
          <w:p w14:paraId="084C84A8"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hideMark/>
          </w:tcPr>
          <w:p w14:paraId="7A89C73E"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hideMark/>
          </w:tcPr>
          <w:p w14:paraId="12AD87CB"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hideMark/>
          </w:tcPr>
          <w:p w14:paraId="263F2A60" w14:textId="77777777" w:rsidR="00EB7BAA" w:rsidRPr="00492AD6" w:rsidRDefault="00EB7BAA">
            <w:pPr>
              <w:pStyle w:val="TableHeading1"/>
              <w:rPr>
                <w:rFonts w:ascii="Times New Roman" w:hAnsi="Times New Roman"/>
                <w:color w:val="000000" w:themeColor="text1"/>
                <w:sz w:val="20"/>
                <w:szCs w:val="20"/>
              </w:rPr>
            </w:pPr>
          </w:p>
        </w:tc>
      </w:tr>
      <w:tr w:rsidR="00EB7BAA" w:rsidRPr="00492AD6" w14:paraId="20ABD53A"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79AC9C68" w14:textId="77777777" w:rsidR="00EB7BAA" w:rsidRPr="00492AD6" w:rsidRDefault="00EB7BAA">
            <w:pPr>
              <w:pStyle w:val="TableDataEntries"/>
              <w:jc w:val="left"/>
              <w:rPr>
                <w:color w:val="000000" w:themeColor="text1"/>
              </w:rPr>
            </w:pPr>
            <w:r w:rsidRPr="00492AD6">
              <w:rPr>
                <w:color w:val="000000" w:themeColor="text1"/>
              </w:rPr>
              <w:t xml:space="preserve">   Electricity</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DF9371E" w14:textId="77777777" w:rsidR="00EB7BAA" w:rsidRPr="00492AD6" w:rsidRDefault="00EB7BAA">
            <w:pPr>
              <w:pStyle w:val="TableDataEntries"/>
              <w:rPr>
                <w:color w:val="000000" w:themeColor="text1"/>
              </w:rPr>
            </w:pPr>
            <w:r w:rsidRPr="00053F31">
              <w:t>-14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CC46520" w14:textId="77777777" w:rsidR="00EB7BAA" w:rsidRPr="00492AD6" w:rsidRDefault="00EB7BAA">
            <w:pPr>
              <w:pStyle w:val="TableDataEntries"/>
              <w:rPr>
                <w:rFonts w:ascii="Times New Roman" w:hAnsi="Times New Roman"/>
                <w:color w:val="000000" w:themeColor="text1"/>
                <w:sz w:val="20"/>
                <w:szCs w:val="20"/>
              </w:rPr>
            </w:pPr>
            <w:r w:rsidRPr="00053F31">
              <w:t>-20</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5682D67" w14:textId="77777777" w:rsidR="00EB7BAA" w:rsidRPr="00492AD6" w:rsidRDefault="00EB7BAA">
            <w:pPr>
              <w:pStyle w:val="TableDataEntries"/>
              <w:rPr>
                <w:rFonts w:ascii="Times New Roman" w:hAnsi="Times New Roman"/>
                <w:color w:val="000000" w:themeColor="text1"/>
                <w:sz w:val="20"/>
                <w:szCs w:val="20"/>
              </w:rPr>
            </w:pPr>
            <w:r w:rsidRPr="00053F31">
              <w:t>-17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8A2ABC5" w14:textId="77777777" w:rsidR="00EB7BAA" w:rsidRPr="00492AD6" w:rsidRDefault="00EB7BAA">
            <w:pPr>
              <w:pStyle w:val="TableDataEntries"/>
              <w:rPr>
                <w:rFonts w:ascii="Times New Roman" w:hAnsi="Times New Roman"/>
                <w:color w:val="000000" w:themeColor="text1"/>
                <w:sz w:val="20"/>
                <w:szCs w:val="20"/>
              </w:rPr>
            </w:pPr>
            <w:r w:rsidRPr="00053F31">
              <w:t>-13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3A49F39" w14:textId="77777777" w:rsidR="00EB7BAA" w:rsidRPr="00492AD6" w:rsidRDefault="00EB7BAA">
            <w:pPr>
              <w:pStyle w:val="TableDataEntries"/>
              <w:rPr>
                <w:rFonts w:ascii="Times New Roman" w:hAnsi="Times New Roman"/>
                <w:color w:val="000000" w:themeColor="text1"/>
                <w:sz w:val="20"/>
                <w:szCs w:val="20"/>
              </w:rPr>
            </w:pPr>
            <w:r w:rsidRPr="00053F31">
              <w:t>-19</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D7D34D0" w14:textId="77777777" w:rsidR="00EB7BAA" w:rsidRPr="00492AD6" w:rsidRDefault="00EB7BAA">
            <w:pPr>
              <w:pStyle w:val="TableDataEntries"/>
              <w:rPr>
                <w:rFonts w:ascii="Times New Roman" w:hAnsi="Times New Roman"/>
                <w:color w:val="000000" w:themeColor="text1"/>
                <w:sz w:val="20"/>
                <w:szCs w:val="20"/>
              </w:rPr>
            </w:pPr>
            <w:r w:rsidRPr="00053F31">
              <w:t>-14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75FC0A3" w14:textId="77777777" w:rsidR="00EB7BAA" w:rsidRPr="00492AD6" w:rsidRDefault="00EB7BAA">
            <w:pPr>
              <w:pStyle w:val="TableDataEntries"/>
              <w:rPr>
                <w:rFonts w:ascii="Times New Roman" w:hAnsi="Times New Roman"/>
                <w:color w:val="000000" w:themeColor="text1"/>
                <w:sz w:val="20"/>
                <w:szCs w:val="20"/>
              </w:rPr>
            </w:pPr>
            <w:r w:rsidRPr="00053F31">
              <w:t>-15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F6E2C71" w14:textId="77777777" w:rsidR="00EB7BAA" w:rsidRPr="00492AD6" w:rsidRDefault="00EB7BAA">
            <w:pPr>
              <w:pStyle w:val="TableDataEntries"/>
              <w:rPr>
                <w:rFonts w:ascii="Times New Roman" w:hAnsi="Times New Roman"/>
                <w:color w:val="000000" w:themeColor="text1"/>
                <w:sz w:val="20"/>
                <w:szCs w:val="20"/>
              </w:rPr>
            </w:pPr>
            <w:r w:rsidRPr="00053F31">
              <w:t>-7</w:t>
            </w:r>
          </w:p>
        </w:tc>
      </w:tr>
      <w:tr w:rsidR="00EB7BAA" w:rsidRPr="00492AD6" w14:paraId="76924DCB"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7B1FD44E" w14:textId="77777777" w:rsidR="00EB7BAA" w:rsidRPr="00492AD6" w:rsidRDefault="00EB7BAA">
            <w:pPr>
              <w:pStyle w:val="TableDataEntries"/>
              <w:jc w:val="left"/>
              <w:rPr>
                <w:color w:val="000000" w:themeColor="text1"/>
              </w:rPr>
            </w:pPr>
            <w:r w:rsidRPr="00492AD6">
              <w:rPr>
                <w:color w:val="000000" w:themeColor="text1"/>
              </w:rPr>
              <w:t xml:space="preserve">   Gas</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F20A40F" w14:textId="77777777" w:rsidR="00EB7BAA" w:rsidRPr="00492AD6" w:rsidRDefault="00EB7BAA">
            <w:pPr>
              <w:pStyle w:val="TableDataEntries"/>
              <w:rPr>
                <w:color w:val="000000" w:themeColor="text1"/>
              </w:rPr>
            </w:pPr>
            <w:r w:rsidRPr="00053F31">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2428054" w14:textId="77777777" w:rsidR="00EB7BAA" w:rsidRPr="00492AD6" w:rsidRDefault="00EB7BAA">
            <w:pPr>
              <w:pStyle w:val="TableDataEntries"/>
              <w:rPr>
                <w:rFonts w:ascii="Times New Roman" w:hAnsi="Times New Roman"/>
                <w:color w:val="000000" w:themeColor="text1"/>
                <w:sz w:val="20"/>
                <w:szCs w:val="20"/>
              </w:rPr>
            </w:pPr>
            <w:r w:rsidRPr="00053F31">
              <w:t>44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C420F26" w14:textId="77777777" w:rsidR="00EB7BAA" w:rsidRPr="00492AD6" w:rsidRDefault="00EB7BAA">
            <w:pPr>
              <w:pStyle w:val="TableDataEntries"/>
              <w:rPr>
                <w:rFonts w:ascii="Times New Roman" w:hAnsi="Times New Roman"/>
                <w:color w:val="000000" w:themeColor="text1"/>
                <w:sz w:val="20"/>
                <w:szCs w:val="20"/>
              </w:rPr>
            </w:pPr>
            <w:r w:rsidRPr="00053F31">
              <w:t>12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D4C0FBB" w14:textId="77777777" w:rsidR="00EB7BAA" w:rsidRPr="00492AD6" w:rsidRDefault="00EB7BAA">
            <w:pPr>
              <w:pStyle w:val="TableDataEntries"/>
              <w:rPr>
                <w:rFonts w:ascii="Times New Roman" w:hAnsi="Times New Roman"/>
                <w:color w:val="000000" w:themeColor="text1"/>
                <w:sz w:val="20"/>
                <w:szCs w:val="20"/>
              </w:rPr>
            </w:pPr>
            <w:r w:rsidRPr="00053F31">
              <w:t>8</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A043434" w14:textId="77777777" w:rsidR="00EB7BAA" w:rsidRPr="00492AD6" w:rsidRDefault="00EB7BAA">
            <w:pPr>
              <w:pStyle w:val="TableDataEntries"/>
              <w:rPr>
                <w:rFonts w:ascii="Times New Roman" w:hAnsi="Times New Roman"/>
                <w:color w:val="000000" w:themeColor="text1"/>
                <w:sz w:val="20"/>
                <w:szCs w:val="20"/>
              </w:rPr>
            </w:pPr>
            <w:r w:rsidRPr="00053F31">
              <w:t>33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E537C5E" w14:textId="77777777" w:rsidR="00EB7BAA" w:rsidRPr="00492AD6" w:rsidRDefault="00EB7BAA">
            <w:pPr>
              <w:pStyle w:val="TableDataEntries"/>
              <w:rPr>
                <w:rFonts w:ascii="Times New Roman" w:hAnsi="Times New Roman"/>
                <w:color w:val="000000" w:themeColor="text1"/>
                <w:sz w:val="20"/>
                <w:szCs w:val="20"/>
              </w:rPr>
            </w:pPr>
            <w:r w:rsidRPr="00053F31">
              <w:t>23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3D6F4F1" w14:textId="77777777" w:rsidR="00EB7BAA" w:rsidRPr="00492AD6" w:rsidRDefault="00EB7BAA">
            <w:pPr>
              <w:pStyle w:val="TableDataEntries"/>
              <w:rPr>
                <w:rFonts w:ascii="Times New Roman" w:hAnsi="Times New Roman"/>
                <w:color w:val="000000" w:themeColor="text1"/>
                <w:sz w:val="20"/>
                <w:szCs w:val="20"/>
              </w:rPr>
            </w:pPr>
            <w:r w:rsidRPr="00053F31">
              <w:t>12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87FB6BE" w14:textId="77777777" w:rsidR="00EB7BAA" w:rsidRPr="00492AD6" w:rsidRDefault="00EB7BAA">
            <w:pPr>
              <w:pStyle w:val="TableDataEntries"/>
              <w:rPr>
                <w:rFonts w:ascii="Times New Roman" w:hAnsi="Times New Roman"/>
                <w:color w:val="000000" w:themeColor="text1"/>
                <w:sz w:val="20"/>
                <w:szCs w:val="20"/>
              </w:rPr>
            </w:pPr>
            <w:r w:rsidRPr="00053F31">
              <w:t>11</w:t>
            </w:r>
          </w:p>
        </w:tc>
      </w:tr>
      <w:tr w:rsidR="00EB7BAA" w:rsidRPr="00492AD6" w14:paraId="7B14D161"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65BF5C7B" w14:textId="77777777" w:rsidR="00EB7BAA" w:rsidRPr="00492AD6" w:rsidRDefault="00EB7BAA">
            <w:pPr>
              <w:pStyle w:val="TableDataEntries"/>
              <w:jc w:val="left"/>
              <w:rPr>
                <w:color w:val="000000" w:themeColor="text1"/>
              </w:rPr>
            </w:pPr>
            <w:r w:rsidRPr="00492AD6">
              <w:rPr>
                <w:color w:val="000000" w:themeColor="text1"/>
              </w:rPr>
              <w:t xml:space="preserve">   GHG</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94BBEB6" w14:textId="77777777" w:rsidR="00EB7BAA" w:rsidRPr="00492AD6" w:rsidRDefault="00EB7BAA">
            <w:pPr>
              <w:pStyle w:val="TableDataEntries"/>
              <w:rPr>
                <w:color w:val="000000" w:themeColor="text1"/>
              </w:rPr>
            </w:pPr>
            <w:r w:rsidRPr="00053F31">
              <w:t>-14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9E038C3" w14:textId="77777777" w:rsidR="00EB7BAA" w:rsidRPr="00492AD6" w:rsidRDefault="00EB7BAA">
            <w:pPr>
              <w:pStyle w:val="TableDataEntries"/>
              <w:rPr>
                <w:rFonts w:ascii="Times New Roman" w:hAnsi="Times New Roman"/>
                <w:color w:val="000000" w:themeColor="text1"/>
                <w:sz w:val="20"/>
                <w:szCs w:val="20"/>
              </w:rPr>
            </w:pPr>
            <w:r w:rsidRPr="00053F31">
              <w:t>-16</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9EE795D" w14:textId="77777777" w:rsidR="00EB7BAA" w:rsidRPr="00492AD6" w:rsidRDefault="00EB7BAA">
            <w:pPr>
              <w:pStyle w:val="TableDataEntries"/>
              <w:rPr>
                <w:rFonts w:ascii="Times New Roman" w:hAnsi="Times New Roman"/>
                <w:color w:val="000000" w:themeColor="text1"/>
                <w:sz w:val="20"/>
                <w:szCs w:val="20"/>
              </w:rPr>
            </w:pPr>
            <w:r w:rsidRPr="00053F31">
              <w:t>-12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CB2CD89" w14:textId="77777777" w:rsidR="00EB7BAA" w:rsidRPr="00492AD6" w:rsidRDefault="00EB7BAA">
            <w:pPr>
              <w:pStyle w:val="TableDataEntries"/>
              <w:rPr>
                <w:rFonts w:ascii="Times New Roman" w:hAnsi="Times New Roman"/>
                <w:color w:val="000000" w:themeColor="text1"/>
                <w:sz w:val="20"/>
                <w:szCs w:val="20"/>
              </w:rPr>
            </w:pPr>
            <w:r w:rsidRPr="00053F31">
              <w:t>-3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283D80F" w14:textId="77777777" w:rsidR="00EB7BAA" w:rsidRPr="00492AD6" w:rsidRDefault="00EB7BAA">
            <w:pPr>
              <w:pStyle w:val="TableDataEntries"/>
              <w:rPr>
                <w:rFonts w:ascii="Times New Roman" w:hAnsi="Times New Roman"/>
                <w:color w:val="000000" w:themeColor="text1"/>
                <w:sz w:val="20"/>
                <w:szCs w:val="20"/>
              </w:rPr>
            </w:pPr>
            <w:r w:rsidRPr="00053F31">
              <w:t>-11</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704A8BD" w14:textId="77777777" w:rsidR="00EB7BAA" w:rsidRPr="00492AD6" w:rsidRDefault="00EB7BAA">
            <w:pPr>
              <w:pStyle w:val="TableDataEntries"/>
              <w:rPr>
                <w:rFonts w:ascii="Times New Roman" w:hAnsi="Times New Roman"/>
                <w:color w:val="000000" w:themeColor="text1"/>
                <w:sz w:val="20"/>
                <w:szCs w:val="20"/>
              </w:rPr>
            </w:pPr>
            <w:r w:rsidRPr="00053F31">
              <w:t>1</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8CA4D14" w14:textId="77777777" w:rsidR="00EB7BAA" w:rsidRPr="00492AD6" w:rsidRDefault="00EB7BAA">
            <w:pPr>
              <w:pStyle w:val="TableDataEntries"/>
              <w:rPr>
                <w:rFonts w:ascii="Times New Roman" w:hAnsi="Times New Roman"/>
                <w:color w:val="000000" w:themeColor="text1"/>
                <w:sz w:val="20"/>
                <w:szCs w:val="20"/>
              </w:rPr>
            </w:pPr>
            <w:r w:rsidRPr="00053F31">
              <w:t>0</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3FBB9D4" w14:textId="77777777" w:rsidR="00EB7BAA" w:rsidRPr="00492AD6" w:rsidRDefault="00EB7BAA">
            <w:pPr>
              <w:pStyle w:val="TableDataEntries"/>
              <w:rPr>
                <w:rFonts w:ascii="Times New Roman" w:hAnsi="Times New Roman"/>
                <w:color w:val="000000" w:themeColor="text1"/>
                <w:sz w:val="20"/>
                <w:szCs w:val="20"/>
              </w:rPr>
            </w:pPr>
            <w:r w:rsidRPr="00053F31">
              <w:t>6</w:t>
            </w:r>
          </w:p>
        </w:tc>
      </w:tr>
      <w:tr w:rsidR="00EB7BAA" w:rsidRPr="00492AD6" w14:paraId="3BF7EE90" w14:textId="77777777">
        <w:trPr>
          <w:trHeight w:val="252"/>
        </w:trPr>
        <w:tc>
          <w:tcPr>
            <w:tcW w:w="1812" w:type="dxa"/>
            <w:gridSpan w:val="2"/>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79E8EC81" w14:textId="062124F9" w:rsidR="00EB7BAA" w:rsidRPr="00492AD6" w:rsidRDefault="00A706C5">
            <w:pPr>
              <w:pStyle w:val="TableHeading1"/>
              <w:rPr>
                <w:color w:val="000000" w:themeColor="text1"/>
              </w:rPr>
            </w:pPr>
            <w:r w:rsidRPr="00492AD6">
              <w:rPr>
                <w:color w:val="000000" w:themeColor="text1"/>
              </w:rPr>
              <w:t>Motels (C3HS)</w:t>
            </w: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77C6000E"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01FD0835"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63309B1D"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5ABB9AC7"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6A2D9CB5"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72E1B27A"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5788F3A5" w14:textId="77777777" w:rsidR="00EB7BAA" w:rsidRPr="00492AD6" w:rsidRDefault="00EB7BAA">
            <w:pPr>
              <w:pStyle w:val="TableHeading1"/>
              <w:rPr>
                <w:rFonts w:ascii="Times New Roman" w:hAnsi="Times New Roman"/>
                <w:color w:val="000000" w:themeColor="text1"/>
                <w:sz w:val="20"/>
                <w:szCs w:val="20"/>
              </w:rPr>
            </w:pPr>
          </w:p>
        </w:tc>
      </w:tr>
      <w:tr w:rsidR="00EB7BAA" w:rsidRPr="00492AD6" w14:paraId="05ABA87E"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3187DA30" w14:textId="77777777" w:rsidR="00EB7BAA" w:rsidRPr="00492AD6" w:rsidRDefault="00EB7BAA">
            <w:pPr>
              <w:pStyle w:val="TableDataEntries"/>
              <w:jc w:val="left"/>
              <w:rPr>
                <w:color w:val="000000" w:themeColor="text1"/>
              </w:rPr>
            </w:pPr>
            <w:r w:rsidRPr="00492AD6">
              <w:rPr>
                <w:color w:val="000000" w:themeColor="text1"/>
              </w:rPr>
              <w:t xml:space="preserve">   Electricity</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3CA2F0A" w14:textId="77777777" w:rsidR="00EB7BAA" w:rsidRPr="00492AD6" w:rsidRDefault="00EB7BAA">
            <w:pPr>
              <w:pStyle w:val="TableDataEntries"/>
              <w:rPr>
                <w:color w:val="000000" w:themeColor="text1"/>
              </w:rPr>
            </w:pPr>
            <w:r w:rsidRPr="00053F31">
              <w:t>-21</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E7B770A" w14:textId="77777777" w:rsidR="00EB7BAA" w:rsidRPr="00492AD6" w:rsidRDefault="00EB7BAA">
            <w:pPr>
              <w:pStyle w:val="TableDataEntries"/>
              <w:rPr>
                <w:rFonts w:ascii="Times New Roman" w:hAnsi="Times New Roman"/>
                <w:color w:val="000000" w:themeColor="text1"/>
                <w:sz w:val="20"/>
                <w:szCs w:val="20"/>
              </w:rPr>
            </w:pPr>
            <w:r w:rsidRPr="00053F31">
              <w:t>-15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1927D65" w14:textId="77777777" w:rsidR="00EB7BAA" w:rsidRPr="00492AD6" w:rsidRDefault="00EB7BAA">
            <w:pPr>
              <w:pStyle w:val="TableDataEntries"/>
              <w:rPr>
                <w:rFonts w:ascii="Times New Roman" w:hAnsi="Times New Roman"/>
                <w:color w:val="000000" w:themeColor="text1"/>
                <w:sz w:val="20"/>
                <w:szCs w:val="20"/>
              </w:rPr>
            </w:pPr>
            <w:r w:rsidRPr="00053F31">
              <w:t>-14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BE15F77" w14:textId="77777777" w:rsidR="00EB7BAA" w:rsidRPr="00492AD6" w:rsidRDefault="00EB7BAA">
            <w:pPr>
              <w:pStyle w:val="TableDataEntries"/>
              <w:rPr>
                <w:rFonts w:ascii="Times New Roman" w:hAnsi="Times New Roman"/>
                <w:color w:val="000000" w:themeColor="text1"/>
                <w:sz w:val="20"/>
                <w:szCs w:val="20"/>
              </w:rPr>
            </w:pPr>
            <w:r w:rsidRPr="00053F31">
              <w:t>-12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0180E8D" w14:textId="77777777" w:rsidR="00EB7BAA" w:rsidRPr="00492AD6" w:rsidRDefault="00EB7BAA">
            <w:pPr>
              <w:pStyle w:val="TableDataEntries"/>
              <w:rPr>
                <w:rFonts w:ascii="Times New Roman" w:hAnsi="Times New Roman"/>
                <w:color w:val="000000" w:themeColor="text1"/>
                <w:sz w:val="20"/>
                <w:szCs w:val="20"/>
              </w:rPr>
            </w:pPr>
            <w:r w:rsidRPr="00053F31">
              <w:t>-20</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5F32B84" w14:textId="77777777" w:rsidR="00EB7BAA" w:rsidRPr="00492AD6" w:rsidRDefault="00EB7BAA">
            <w:pPr>
              <w:pStyle w:val="TableDataEntries"/>
              <w:rPr>
                <w:rFonts w:ascii="Times New Roman" w:hAnsi="Times New Roman"/>
                <w:color w:val="000000" w:themeColor="text1"/>
                <w:sz w:val="20"/>
                <w:szCs w:val="20"/>
              </w:rPr>
            </w:pPr>
            <w:r w:rsidRPr="00053F31">
              <w:t>-12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CD916D5" w14:textId="77777777" w:rsidR="00EB7BAA" w:rsidRPr="00492AD6" w:rsidRDefault="00EB7BAA">
            <w:pPr>
              <w:pStyle w:val="TableDataEntries"/>
              <w:rPr>
                <w:rFonts w:ascii="Times New Roman" w:hAnsi="Times New Roman"/>
                <w:color w:val="000000" w:themeColor="text1"/>
                <w:sz w:val="20"/>
                <w:szCs w:val="20"/>
              </w:rPr>
            </w:pPr>
            <w:r w:rsidRPr="00053F31">
              <w:t>-13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F4DC5D8" w14:textId="77777777" w:rsidR="00EB7BAA" w:rsidRPr="00492AD6" w:rsidRDefault="00EB7BAA">
            <w:pPr>
              <w:pStyle w:val="TableDataEntries"/>
              <w:rPr>
                <w:rFonts w:ascii="Times New Roman" w:hAnsi="Times New Roman"/>
                <w:color w:val="000000" w:themeColor="text1"/>
                <w:sz w:val="20"/>
                <w:szCs w:val="20"/>
              </w:rPr>
            </w:pPr>
            <w:r w:rsidRPr="00053F31">
              <w:t>-7</w:t>
            </w:r>
          </w:p>
        </w:tc>
      </w:tr>
      <w:tr w:rsidR="00EB7BAA" w:rsidRPr="00492AD6" w14:paraId="2E3C908D"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56BA605" w14:textId="77777777" w:rsidR="00EB7BAA" w:rsidRPr="00492AD6" w:rsidRDefault="00EB7BAA">
            <w:pPr>
              <w:pStyle w:val="TableDataEntries"/>
              <w:jc w:val="left"/>
              <w:rPr>
                <w:color w:val="000000" w:themeColor="text1"/>
              </w:rPr>
            </w:pPr>
            <w:r w:rsidRPr="00492AD6">
              <w:rPr>
                <w:color w:val="000000" w:themeColor="text1"/>
              </w:rPr>
              <w:t xml:space="preserve">   Gas</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DCCC2CB" w14:textId="77777777" w:rsidR="00EB7BAA" w:rsidRPr="00492AD6" w:rsidRDefault="00EB7BAA">
            <w:pPr>
              <w:pStyle w:val="TableDataEntries"/>
              <w:rPr>
                <w:color w:val="000000" w:themeColor="text1"/>
              </w:rPr>
            </w:pPr>
            <w:r w:rsidRPr="00053F31">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359A955" w14:textId="77777777" w:rsidR="00EB7BAA" w:rsidRPr="00492AD6" w:rsidRDefault="00EB7BAA">
            <w:pPr>
              <w:pStyle w:val="TableDataEntries"/>
              <w:rPr>
                <w:rFonts w:ascii="Times New Roman" w:hAnsi="Times New Roman"/>
                <w:color w:val="000000" w:themeColor="text1"/>
                <w:sz w:val="20"/>
                <w:szCs w:val="20"/>
              </w:rPr>
            </w:pPr>
            <w:r w:rsidRPr="00053F31">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1C1F593" w14:textId="77777777" w:rsidR="00EB7BAA" w:rsidRPr="00492AD6" w:rsidRDefault="00EB7BAA">
            <w:pPr>
              <w:pStyle w:val="TableDataEntries"/>
              <w:rPr>
                <w:rFonts w:ascii="Times New Roman" w:hAnsi="Times New Roman"/>
                <w:color w:val="000000" w:themeColor="text1"/>
                <w:sz w:val="20"/>
                <w:szCs w:val="20"/>
              </w:rPr>
            </w:pPr>
            <w:r w:rsidRPr="00053F31">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8F6DE1F" w14:textId="77777777" w:rsidR="00EB7BAA" w:rsidRPr="00492AD6" w:rsidRDefault="00EB7BAA">
            <w:pPr>
              <w:pStyle w:val="TableDataEntries"/>
              <w:rPr>
                <w:rFonts w:ascii="Times New Roman" w:hAnsi="Times New Roman"/>
                <w:color w:val="000000" w:themeColor="text1"/>
                <w:sz w:val="20"/>
                <w:szCs w:val="20"/>
              </w:rPr>
            </w:pPr>
            <w:r w:rsidRPr="00053F31">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1B41D4F" w14:textId="77777777" w:rsidR="00EB7BAA" w:rsidRPr="00492AD6" w:rsidRDefault="00EB7BAA">
            <w:pPr>
              <w:pStyle w:val="TableDataEntries"/>
              <w:rPr>
                <w:rFonts w:ascii="Times New Roman" w:hAnsi="Times New Roman"/>
                <w:color w:val="000000" w:themeColor="text1"/>
                <w:sz w:val="20"/>
                <w:szCs w:val="20"/>
              </w:rPr>
            </w:pPr>
            <w:r w:rsidRPr="00053F31">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5D53591" w14:textId="77777777" w:rsidR="00EB7BAA" w:rsidRPr="00492AD6" w:rsidRDefault="00EB7BAA">
            <w:pPr>
              <w:pStyle w:val="TableDataEntries"/>
              <w:rPr>
                <w:rFonts w:ascii="Times New Roman" w:hAnsi="Times New Roman"/>
                <w:color w:val="000000" w:themeColor="text1"/>
                <w:sz w:val="20"/>
                <w:szCs w:val="20"/>
              </w:rPr>
            </w:pPr>
            <w:r w:rsidRPr="00053F31">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F74DBA9" w14:textId="77777777" w:rsidR="00EB7BAA" w:rsidRPr="00492AD6" w:rsidRDefault="00EB7BAA">
            <w:pPr>
              <w:pStyle w:val="TableDataEntries"/>
              <w:rPr>
                <w:rFonts w:ascii="Times New Roman" w:hAnsi="Times New Roman"/>
                <w:color w:val="000000" w:themeColor="text1"/>
                <w:sz w:val="20"/>
                <w:szCs w:val="20"/>
              </w:rPr>
            </w:pPr>
            <w:r w:rsidRPr="00053F31">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11BB005" w14:textId="77777777" w:rsidR="00EB7BAA" w:rsidRPr="00492AD6" w:rsidRDefault="00EB7BAA">
            <w:pPr>
              <w:pStyle w:val="TableDataEntries"/>
              <w:rPr>
                <w:rFonts w:ascii="Times New Roman" w:hAnsi="Times New Roman"/>
                <w:color w:val="000000" w:themeColor="text1"/>
                <w:sz w:val="20"/>
                <w:szCs w:val="20"/>
              </w:rPr>
            </w:pPr>
            <w:r w:rsidRPr="00053F31">
              <w:t>n/a</w:t>
            </w:r>
          </w:p>
        </w:tc>
      </w:tr>
      <w:tr w:rsidR="00EB7BAA" w:rsidRPr="00492AD6" w14:paraId="3456354F"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648237CE" w14:textId="77777777" w:rsidR="00EB7BAA" w:rsidRPr="00492AD6" w:rsidRDefault="00EB7BAA">
            <w:pPr>
              <w:pStyle w:val="TableDataEntries"/>
              <w:jc w:val="left"/>
              <w:rPr>
                <w:color w:val="000000" w:themeColor="text1"/>
              </w:rPr>
            </w:pPr>
            <w:r w:rsidRPr="00492AD6">
              <w:rPr>
                <w:color w:val="000000" w:themeColor="text1"/>
              </w:rPr>
              <w:t xml:space="preserve">   GHG</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2A3B7B8" w14:textId="77777777" w:rsidR="00EB7BAA" w:rsidRPr="00492AD6" w:rsidRDefault="00EB7BAA">
            <w:pPr>
              <w:pStyle w:val="TableDataEntries"/>
              <w:rPr>
                <w:color w:val="000000" w:themeColor="text1"/>
              </w:rPr>
            </w:pPr>
            <w:r w:rsidRPr="00053F31">
              <w:t>-21</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DCBFE8A" w14:textId="77777777" w:rsidR="00EB7BAA" w:rsidRPr="00492AD6" w:rsidRDefault="00EB7BAA">
            <w:pPr>
              <w:pStyle w:val="TableDataEntries"/>
              <w:rPr>
                <w:rFonts w:ascii="Times New Roman" w:hAnsi="Times New Roman"/>
                <w:color w:val="000000" w:themeColor="text1"/>
                <w:sz w:val="20"/>
                <w:szCs w:val="20"/>
              </w:rPr>
            </w:pPr>
            <w:r w:rsidRPr="00053F31">
              <w:t>-15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5F0AECD" w14:textId="77777777" w:rsidR="00EB7BAA" w:rsidRPr="00492AD6" w:rsidRDefault="00EB7BAA">
            <w:pPr>
              <w:pStyle w:val="TableDataEntries"/>
              <w:rPr>
                <w:rFonts w:ascii="Times New Roman" w:hAnsi="Times New Roman"/>
                <w:color w:val="000000" w:themeColor="text1"/>
                <w:sz w:val="20"/>
                <w:szCs w:val="20"/>
              </w:rPr>
            </w:pPr>
            <w:r w:rsidRPr="00053F31">
              <w:t>-14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D6ED0ED" w14:textId="77777777" w:rsidR="00EB7BAA" w:rsidRPr="00492AD6" w:rsidRDefault="00EB7BAA">
            <w:pPr>
              <w:pStyle w:val="TableDataEntries"/>
              <w:rPr>
                <w:rFonts w:ascii="Times New Roman" w:hAnsi="Times New Roman"/>
                <w:color w:val="000000" w:themeColor="text1"/>
                <w:sz w:val="20"/>
                <w:szCs w:val="20"/>
              </w:rPr>
            </w:pPr>
            <w:r w:rsidRPr="00053F31">
              <w:t>-12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F5207DC" w14:textId="77777777" w:rsidR="00EB7BAA" w:rsidRPr="00492AD6" w:rsidRDefault="00EB7BAA">
            <w:pPr>
              <w:pStyle w:val="TableDataEntries"/>
              <w:rPr>
                <w:rFonts w:ascii="Times New Roman" w:hAnsi="Times New Roman"/>
                <w:color w:val="000000" w:themeColor="text1"/>
                <w:sz w:val="20"/>
                <w:szCs w:val="20"/>
              </w:rPr>
            </w:pPr>
            <w:r w:rsidRPr="00053F31">
              <w:t>-20</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904751E" w14:textId="77777777" w:rsidR="00EB7BAA" w:rsidRPr="00492AD6" w:rsidRDefault="00EB7BAA">
            <w:pPr>
              <w:pStyle w:val="TableDataEntries"/>
              <w:rPr>
                <w:rFonts w:ascii="Times New Roman" w:hAnsi="Times New Roman"/>
                <w:color w:val="000000" w:themeColor="text1"/>
                <w:sz w:val="20"/>
                <w:szCs w:val="20"/>
              </w:rPr>
            </w:pPr>
            <w:r w:rsidRPr="00053F31">
              <w:t>-12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B0DAC7C" w14:textId="77777777" w:rsidR="00EB7BAA" w:rsidRPr="00492AD6" w:rsidRDefault="00EB7BAA">
            <w:pPr>
              <w:pStyle w:val="TableDataEntries"/>
              <w:rPr>
                <w:rFonts w:ascii="Times New Roman" w:hAnsi="Times New Roman"/>
                <w:color w:val="000000" w:themeColor="text1"/>
                <w:sz w:val="20"/>
                <w:szCs w:val="20"/>
              </w:rPr>
            </w:pPr>
            <w:r w:rsidRPr="00053F31">
              <w:t>-13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69EC772" w14:textId="77777777" w:rsidR="00EB7BAA" w:rsidRPr="00492AD6" w:rsidRDefault="00EB7BAA">
            <w:pPr>
              <w:pStyle w:val="TableDataEntries"/>
              <w:rPr>
                <w:rFonts w:ascii="Times New Roman" w:hAnsi="Times New Roman"/>
                <w:color w:val="000000" w:themeColor="text1"/>
                <w:sz w:val="20"/>
                <w:szCs w:val="20"/>
              </w:rPr>
            </w:pPr>
            <w:r w:rsidRPr="00053F31">
              <w:t>-7</w:t>
            </w:r>
          </w:p>
        </w:tc>
      </w:tr>
      <w:tr w:rsidR="00EB7BAA" w:rsidRPr="00492AD6" w14:paraId="680E3312" w14:textId="77777777">
        <w:trPr>
          <w:trHeight w:val="252"/>
        </w:trPr>
        <w:tc>
          <w:tcPr>
            <w:tcW w:w="2687" w:type="dxa"/>
            <w:gridSpan w:val="3"/>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hideMark/>
          </w:tcPr>
          <w:p w14:paraId="6F45797C" w14:textId="0C2DA64E" w:rsidR="00EB7BAA" w:rsidRPr="00492AD6" w:rsidRDefault="00A706C5">
            <w:pPr>
              <w:pStyle w:val="TableHeading1"/>
              <w:rPr>
                <w:rFonts w:ascii="Times New Roman" w:hAnsi="Times New Roman"/>
                <w:color w:val="000000" w:themeColor="text1"/>
                <w:sz w:val="20"/>
                <w:szCs w:val="20"/>
              </w:rPr>
            </w:pPr>
            <w:r w:rsidRPr="00492AD6">
              <w:rPr>
                <w:color w:val="000000" w:themeColor="text1"/>
              </w:rPr>
              <w:t>Large office building (C5OL)</w:t>
            </w: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vAlign w:val="bottom"/>
          </w:tcPr>
          <w:p w14:paraId="57527E69"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vAlign w:val="bottom"/>
          </w:tcPr>
          <w:p w14:paraId="12C85F6F"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vAlign w:val="bottom"/>
          </w:tcPr>
          <w:p w14:paraId="2C01DE45"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vAlign w:val="bottom"/>
          </w:tcPr>
          <w:p w14:paraId="5EB8D8B4"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vAlign w:val="bottom"/>
          </w:tcPr>
          <w:p w14:paraId="745E50D9"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vAlign w:val="bottom"/>
          </w:tcPr>
          <w:p w14:paraId="61507E67" w14:textId="77777777" w:rsidR="00EB7BAA" w:rsidRPr="00492AD6" w:rsidRDefault="00EB7BAA">
            <w:pPr>
              <w:pStyle w:val="TableHeading1"/>
              <w:rPr>
                <w:rFonts w:ascii="Times New Roman" w:hAnsi="Times New Roman"/>
                <w:color w:val="000000" w:themeColor="text1"/>
                <w:sz w:val="20"/>
                <w:szCs w:val="20"/>
              </w:rPr>
            </w:pPr>
          </w:p>
        </w:tc>
      </w:tr>
      <w:tr w:rsidR="00EB7BAA" w:rsidRPr="00492AD6" w14:paraId="481CE427"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03CA2AD6" w14:textId="77777777" w:rsidR="00EB7BAA" w:rsidRPr="00492AD6" w:rsidRDefault="00EB7BAA">
            <w:pPr>
              <w:pStyle w:val="TableDataEntries"/>
              <w:jc w:val="left"/>
              <w:rPr>
                <w:color w:val="000000" w:themeColor="text1"/>
              </w:rPr>
            </w:pPr>
            <w:r w:rsidRPr="00492AD6">
              <w:rPr>
                <w:color w:val="000000" w:themeColor="text1"/>
              </w:rPr>
              <w:t xml:space="preserve">   Electricity</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DD9F96D" w14:textId="77777777" w:rsidR="00EB7BAA" w:rsidRPr="00492AD6" w:rsidRDefault="00EB7BAA">
            <w:pPr>
              <w:pStyle w:val="TableDataEntries"/>
              <w:rPr>
                <w:color w:val="000000" w:themeColor="text1"/>
              </w:rPr>
            </w:pPr>
            <w:r w:rsidRPr="00220574">
              <w:t>-17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E42D8D0" w14:textId="77777777" w:rsidR="00EB7BAA" w:rsidRPr="00492AD6" w:rsidRDefault="00EB7BAA">
            <w:pPr>
              <w:pStyle w:val="TableDataEntries"/>
              <w:rPr>
                <w:color w:val="000000" w:themeColor="text1"/>
              </w:rPr>
            </w:pPr>
            <w:r w:rsidRPr="00220574">
              <w:t>-23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584741C" w14:textId="77777777" w:rsidR="00EB7BAA" w:rsidRPr="00492AD6" w:rsidRDefault="00EB7BAA">
            <w:pPr>
              <w:pStyle w:val="TableDataEntries"/>
              <w:rPr>
                <w:color w:val="000000" w:themeColor="text1"/>
              </w:rPr>
            </w:pPr>
            <w:r w:rsidRPr="00220574">
              <w:t>-23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5673A20" w14:textId="77777777" w:rsidR="00EB7BAA" w:rsidRPr="00492AD6" w:rsidRDefault="00EB7BAA">
            <w:pPr>
              <w:pStyle w:val="TableDataEntries"/>
              <w:rPr>
                <w:color w:val="000000" w:themeColor="text1"/>
              </w:rPr>
            </w:pPr>
            <w:r w:rsidRPr="00220574">
              <w:t>-19</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42DC34D" w14:textId="77777777" w:rsidR="00EB7BAA" w:rsidRPr="00492AD6" w:rsidRDefault="00EB7BAA">
            <w:pPr>
              <w:pStyle w:val="TableDataEntries"/>
              <w:rPr>
                <w:color w:val="000000" w:themeColor="text1"/>
              </w:rPr>
            </w:pPr>
            <w:r w:rsidRPr="00220574">
              <w:t>-21</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AAA4D79" w14:textId="77777777" w:rsidR="00EB7BAA" w:rsidRPr="00492AD6" w:rsidRDefault="00EB7BAA">
            <w:pPr>
              <w:pStyle w:val="TableDataEntries"/>
              <w:rPr>
                <w:color w:val="000000" w:themeColor="text1"/>
              </w:rPr>
            </w:pPr>
            <w:r w:rsidRPr="00220574">
              <w:t>-19</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26ACF09" w14:textId="77777777" w:rsidR="00EB7BAA" w:rsidRPr="00492AD6" w:rsidRDefault="00EB7BAA">
            <w:pPr>
              <w:pStyle w:val="TableDataEntries"/>
              <w:rPr>
                <w:color w:val="000000" w:themeColor="text1"/>
              </w:rPr>
            </w:pPr>
            <w:r w:rsidRPr="00220574">
              <w:t>-19</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69548F7" w14:textId="77777777" w:rsidR="00EB7BAA" w:rsidRPr="00492AD6" w:rsidRDefault="00EB7BAA">
            <w:pPr>
              <w:pStyle w:val="TableDataEntries"/>
              <w:rPr>
                <w:color w:val="000000" w:themeColor="text1"/>
              </w:rPr>
            </w:pPr>
            <w:r w:rsidRPr="00220574">
              <w:t>-18</w:t>
            </w:r>
          </w:p>
        </w:tc>
      </w:tr>
      <w:tr w:rsidR="00EB7BAA" w:rsidRPr="00492AD6" w14:paraId="5E0F18FB"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7697D65" w14:textId="77777777" w:rsidR="00EB7BAA" w:rsidRPr="00492AD6" w:rsidRDefault="00EB7BAA">
            <w:pPr>
              <w:pStyle w:val="TableDataEntries"/>
              <w:jc w:val="left"/>
              <w:rPr>
                <w:color w:val="000000" w:themeColor="text1"/>
              </w:rPr>
            </w:pPr>
            <w:r w:rsidRPr="00492AD6">
              <w:rPr>
                <w:color w:val="000000" w:themeColor="text1"/>
              </w:rPr>
              <w:t xml:space="preserve">   Gas</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4FC3B45" w14:textId="77777777" w:rsidR="00EB7BAA" w:rsidRPr="00492AD6" w:rsidRDefault="00EB7BAA">
            <w:pPr>
              <w:pStyle w:val="TableDataEntries"/>
              <w:rPr>
                <w:color w:val="000000" w:themeColor="text1"/>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B7AAD05" w14:textId="77777777" w:rsidR="00EB7BAA" w:rsidRPr="00492AD6" w:rsidRDefault="00EB7BAA">
            <w:pPr>
              <w:pStyle w:val="TableDataEntries"/>
              <w:rPr>
                <w:color w:val="000000" w:themeColor="text1"/>
              </w:rPr>
            </w:pPr>
            <w:r w:rsidRPr="00220574">
              <w:t>-4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C4C6252" w14:textId="77777777" w:rsidR="00EB7BAA" w:rsidRPr="00492AD6" w:rsidRDefault="00EB7BAA">
            <w:pPr>
              <w:pStyle w:val="TableDataEntries"/>
              <w:rPr>
                <w:color w:val="000000" w:themeColor="text1"/>
              </w:rPr>
            </w:pPr>
            <w:r w:rsidRPr="00220574">
              <w:t>-16</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964C4E6" w14:textId="77777777" w:rsidR="00EB7BAA" w:rsidRPr="00492AD6" w:rsidRDefault="00EB7BAA">
            <w:pPr>
              <w:pStyle w:val="TableDataEntries"/>
              <w:rPr>
                <w:color w:val="000000" w:themeColor="text1"/>
              </w:rPr>
            </w:pPr>
            <w:r w:rsidRPr="00220574">
              <w:t>-2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9E26E9E" w14:textId="77777777" w:rsidR="00EB7BAA" w:rsidRPr="00492AD6" w:rsidRDefault="00EB7BAA">
            <w:pPr>
              <w:pStyle w:val="TableDataEntries"/>
              <w:rPr>
                <w:color w:val="000000" w:themeColor="text1"/>
              </w:rPr>
            </w:pPr>
            <w:r w:rsidRPr="00220574">
              <w:t>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EBA6CAE" w14:textId="77777777" w:rsidR="00EB7BAA" w:rsidRPr="00492AD6" w:rsidRDefault="00EB7BAA">
            <w:pPr>
              <w:pStyle w:val="TableDataEntries"/>
              <w:rPr>
                <w:color w:val="000000" w:themeColor="text1"/>
              </w:rPr>
            </w:pPr>
            <w:r w:rsidRPr="00220574">
              <w:t>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0E81B69" w14:textId="77777777" w:rsidR="00EB7BAA" w:rsidRPr="00492AD6" w:rsidRDefault="00EB7BAA">
            <w:pPr>
              <w:pStyle w:val="TableDataEntries"/>
              <w:rPr>
                <w:color w:val="000000" w:themeColor="text1"/>
              </w:rPr>
            </w:pPr>
            <w:r w:rsidRPr="00220574">
              <w:t>-3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37080EF" w14:textId="77777777" w:rsidR="00EB7BAA" w:rsidRPr="00492AD6" w:rsidRDefault="00EB7BAA">
            <w:pPr>
              <w:pStyle w:val="TableDataEntries"/>
              <w:rPr>
                <w:color w:val="000000" w:themeColor="text1"/>
              </w:rPr>
            </w:pPr>
            <w:r w:rsidRPr="00220574">
              <w:t>9</w:t>
            </w:r>
          </w:p>
        </w:tc>
      </w:tr>
      <w:tr w:rsidR="00EB7BAA" w:rsidRPr="00492AD6" w14:paraId="7808D9D5"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043E2BF4" w14:textId="77777777" w:rsidR="00EB7BAA" w:rsidRPr="00492AD6" w:rsidRDefault="00EB7BAA">
            <w:pPr>
              <w:pStyle w:val="TableDataEntries"/>
              <w:jc w:val="left"/>
              <w:rPr>
                <w:color w:val="000000" w:themeColor="text1"/>
              </w:rPr>
            </w:pPr>
            <w:r w:rsidRPr="00492AD6">
              <w:rPr>
                <w:color w:val="000000" w:themeColor="text1"/>
              </w:rPr>
              <w:t xml:space="preserve">   GHG</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028F027" w14:textId="77777777" w:rsidR="00EB7BAA" w:rsidRPr="00492AD6" w:rsidRDefault="00EB7BAA">
            <w:pPr>
              <w:pStyle w:val="TableDataEntries"/>
              <w:rPr>
                <w:color w:val="000000" w:themeColor="text1"/>
              </w:rPr>
            </w:pPr>
            <w:r w:rsidRPr="00220574">
              <w:t>-17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D91F112" w14:textId="77777777" w:rsidR="00EB7BAA" w:rsidRPr="00492AD6" w:rsidRDefault="00EB7BAA">
            <w:pPr>
              <w:pStyle w:val="TableDataEntries"/>
              <w:rPr>
                <w:color w:val="000000" w:themeColor="text1"/>
              </w:rPr>
            </w:pPr>
            <w:r w:rsidRPr="00220574">
              <w:t>-22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2D9FE68" w14:textId="77777777" w:rsidR="00EB7BAA" w:rsidRPr="00492AD6" w:rsidRDefault="00EB7BAA">
            <w:pPr>
              <w:pStyle w:val="TableDataEntries"/>
              <w:rPr>
                <w:color w:val="000000" w:themeColor="text1"/>
              </w:rPr>
            </w:pPr>
            <w:r w:rsidRPr="00220574">
              <w:t>-22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0019E79" w14:textId="77777777" w:rsidR="00EB7BAA" w:rsidRPr="00492AD6" w:rsidRDefault="00EB7BAA">
            <w:pPr>
              <w:pStyle w:val="TableDataEntries"/>
              <w:rPr>
                <w:color w:val="000000" w:themeColor="text1"/>
              </w:rPr>
            </w:pPr>
            <w:r w:rsidRPr="00220574">
              <w:t>-14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9292E65" w14:textId="77777777" w:rsidR="00EB7BAA" w:rsidRPr="00492AD6" w:rsidRDefault="00EB7BAA">
            <w:pPr>
              <w:pStyle w:val="TableDataEntries"/>
              <w:rPr>
                <w:color w:val="000000" w:themeColor="text1"/>
              </w:rPr>
            </w:pPr>
            <w:r w:rsidRPr="00220574">
              <w:t>-20</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BE5D080" w14:textId="77777777" w:rsidR="00EB7BAA" w:rsidRPr="00492AD6" w:rsidRDefault="00EB7BAA">
            <w:pPr>
              <w:pStyle w:val="TableDataEntries"/>
              <w:rPr>
                <w:color w:val="000000" w:themeColor="text1"/>
              </w:rPr>
            </w:pPr>
            <w:r w:rsidRPr="00220574">
              <w:t>-14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A7C7233" w14:textId="77777777" w:rsidR="00EB7BAA" w:rsidRPr="00492AD6" w:rsidRDefault="00EB7BAA">
            <w:pPr>
              <w:pStyle w:val="TableDataEntries"/>
              <w:rPr>
                <w:color w:val="000000" w:themeColor="text1"/>
              </w:rPr>
            </w:pPr>
            <w:r w:rsidRPr="00220574">
              <w:t>-13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335F51A" w14:textId="77777777" w:rsidR="00EB7BAA" w:rsidRPr="00492AD6" w:rsidRDefault="00EB7BAA">
            <w:pPr>
              <w:pStyle w:val="TableDataEntries"/>
              <w:rPr>
                <w:color w:val="000000" w:themeColor="text1"/>
              </w:rPr>
            </w:pPr>
            <w:r w:rsidRPr="00220574">
              <w:t>-1</w:t>
            </w:r>
          </w:p>
        </w:tc>
      </w:tr>
      <w:tr w:rsidR="00EB7BAA" w:rsidRPr="00492AD6" w14:paraId="10DCC89E" w14:textId="77777777">
        <w:trPr>
          <w:trHeight w:val="252"/>
        </w:trPr>
        <w:tc>
          <w:tcPr>
            <w:tcW w:w="2687" w:type="dxa"/>
            <w:gridSpan w:val="3"/>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5166BA0A" w14:textId="0889800C" w:rsidR="00EB7BAA" w:rsidRPr="00492AD6" w:rsidRDefault="00A706C5">
            <w:pPr>
              <w:pStyle w:val="TableHeading1"/>
              <w:rPr>
                <w:rFonts w:ascii="Times New Roman" w:hAnsi="Times New Roman"/>
                <w:color w:val="000000" w:themeColor="text1"/>
                <w:sz w:val="20"/>
                <w:szCs w:val="20"/>
              </w:rPr>
            </w:pPr>
            <w:r w:rsidRPr="00492AD6">
              <w:rPr>
                <w:color w:val="000000" w:themeColor="text1"/>
              </w:rPr>
              <w:t>Medium office building (C5OM)</w:t>
            </w: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6CFBF403"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18CD03E3"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0C1AEB6B"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7FC61413"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6CFD238C"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46499B6F" w14:textId="77777777" w:rsidR="00EB7BAA" w:rsidRPr="00492AD6" w:rsidRDefault="00EB7BAA">
            <w:pPr>
              <w:pStyle w:val="TableHeading1"/>
              <w:rPr>
                <w:rFonts w:ascii="Times New Roman" w:hAnsi="Times New Roman"/>
                <w:color w:val="000000" w:themeColor="text1"/>
                <w:sz w:val="20"/>
                <w:szCs w:val="20"/>
              </w:rPr>
            </w:pPr>
          </w:p>
        </w:tc>
      </w:tr>
      <w:tr w:rsidR="00EB7BAA" w:rsidRPr="00492AD6" w14:paraId="5D90827C"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01092055" w14:textId="77777777" w:rsidR="00EB7BAA" w:rsidRPr="00492AD6" w:rsidRDefault="00EB7BAA">
            <w:pPr>
              <w:pStyle w:val="TableDataEntries"/>
              <w:jc w:val="left"/>
              <w:rPr>
                <w:color w:val="000000" w:themeColor="text1"/>
              </w:rPr>
            </w:pPr>
            <w:r w:rsidRPr="00492AD6">
              <w:rPr>
                <w:color w:val="000000" w:themeColor="text1"/>
              </w:rPr>
              <w:t xml:space="preserve">   Electricity</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62A0291" w14:textId="77777777" w:rsidR="00EB7BAA" w:rsidRPr="00492AD6" w:rsidRDefault="00EB7BAA">
            <w:pPr>
              <w:pStyle w:val="TableDataEntries"/>
              <w:rPr>
                <w:color w:val="000000" w:themeColor="text1"/>
              </w:rPr>
            </w:pPr>
            <w:r w:rsidRPr="00220574">
              <w:t>-29</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4B15C88" w14:textId="77777777" w:rsidR="00EB7BAA" w:rsidRPr="00492AD6" w:rsidRDefault="00EB7BAA">
            <w:pPr>
              <w:pStyle w:val="TableDataEntries"/>
              <w:rPr>
                <w:color w:val="000000" w:themeColor="text1"/>
              </w:rPr>
            </w:pPr>
            <w:r w:rsidRPr="00220574">
              <w:t>-29</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33782E8" w14:textId="77777777" w:rsidR="00EB7BAA" w:rsidRPr="00492AD6" w:rsidRDefault="00EB7BAA">
            <w:pPr>
              <w:pStyle w:val="TableDataEntries"/>
              <w:rPr>
                <w:color w:val="000000" w:themeColor="text1"/>
              </w:rPr>
            </w:pPr>
            <w:r w:rsidRPr="00220574">
              <w:t>-37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3A5CC48" w14:textId="77777777" w:rsidR="00EB7BAA" w:rsidRPr="00492AD6" w:rsidRDefault="00EB7BAA">
            <w:pPr>
              <w:pStyle w:val="TableDataEntries"/>
              <w:rPr>
                <w:color w:val="000000" w:themeColor="text1"/>
              </w:rPr>
            </w:pPr>
            <w:r w:rsidRPr="00220574">
              <w:t>-31</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A9AC35E" w14:textId="77777777" w:rsidR="00EB7BAA" w:rsidRPr="00492AD6" w:rsidRDefault="00EB7BAA">
            <w:pPr>
              <w:pStyle w:val="TableDataEntries"/>
              <w:rPr>
                <w:color w:val="000000" w:themeColor="text1"/>
              </w:rPr>
            </w:pPr>
            <w:r w:rsidRPr="00220574">
              <w:t>-31</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E45C57E" w14:textId="77777777" w:rsidR="00EB7BAA" w:rsidRPr="00492AD6" w:rsidRDefault="00EB7BAA">
            <w:pPr>
              <w:pStyle w:val="TableDataEntries"/>
              <w:rPr>
                <w:color w:val="000000" w:themeColor="text1"/>
              </w:rPr>
            </w:pPr>
            <w:r w:rsidRPr="00220574">
              <w:t>-28</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5B62C2B" w14:textId="77777777" w:rsidR="00EB7BAA" w:rsidRPr="00492AD6" w:rsidRDefault="00EB7BAA">
            <w:pPr>
              <w:pStyle w:val="TableDataEntries"/>
              <w:rPr>
                <w:color w:val="000000" w:themeColor="text1"/>
              </w:rPr>
            </w:pPr>
            <w:r w:rsidRPr="00220574">
              <w:t>-24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8C94CB4" w14:textId="77777777" w:rsidR="00EB7BAA" w:rsidRPr="00492AD6" w:rsidRDefault="00EB7BAA">
            <w:pPr>
              <w:pStyle w:val="TableDataEntries"/>
              <w:rPr>
                <w:color w:val="000000" w:themeColor="text1"/>
              </w:rPr>
            </w:pPr>
            <w:r w:rsidRPr="00220574">
              <w:t>-18</w:t>
            </w:r>
          </w:p>
        </w:tc>
      </w:tr>
      <w:tr w:rsidR="00EB7BAA" w:rsidRPr="00492AD6" w14:paraId="690A459D"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0BEABADF" w14:textId="77777777" w:rsidR="00EB7BAA" w:rsidRPr="00492AD6" w:rsidRDefault="00EB7BAA">
            <w:pPr>
              <w:pStyle w:val="TableDataEntries"/>
              <w:jc w:val="left"/>
              <w:rPr>
                <w:color w:val="000000" w:themeColor="text1"/>
              </w:rPr>
            </w:pPr>
            <w:r w:rsidRPr="00492AD6">
              <w:rPr>
                <w:color w:val="000000" w:themeColor="text1"/>
              </w:rPr>
              <w:t xml:space="preserve">   Gas</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70FBF19" w14:textId="77777777" w:rsidR="00EB7BAA" w:rsidRPr="00492AD6" w:rsidRDefault="00EB7BAA">
            <w:pPr>
              <w:pStyle w:val="TableDataEntries"/>
              <w:rPr>
                <w:color w:val="000000" w:themeColor="text1"/>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22303DD" w14:textId="77777777" w:rsidR="00EB7BAA" w:rsidRPr="00492AD6" w:rsidRDefault="00EB7BAA">
            <w:pPr>
              <w:pStyle w:val="TableDataEntries"/>
              <w:rPr>
                <w:color w:val="000000" w:themeColor="text1"/>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45810B2" w14:textId="77777777" w:rsidR="00EB7BAA" w:rsidRPr="00492AD6" w:rsidRDefault="00EB7BAA">
            <w:pPr>
              <w:pStyle w:val="TableDataEntries"/>
              <w:rPr>
                <w:color w:val="000000" w:themeColor="text1"/>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1856D95" w14:textId="77777777" w:rsidR="00EB7BAA" w:rsidRPr="00492AD6" w:rsidRDefault="00EB7BAA">
            <w:pPr>
              <w:pStyle w:val="TableDataEntries"/>
              <w:rPr>
                <w:color w:val="000000" w:themeColor="text1"/>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6C9BCB5" w14:textId="77777777" w:rsidR="00EB7BAA" w:rsidRPr="00492AD6" w:rsidRDefault="00EB7BAA">
            <w:pPr>
              <w:pStyle w:val="TableDataEntries"/>
              <w:rPr>
                <w:color w:val="000000" w:themeColor="text1"/>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4591B7D" w14:textId="77777777" w:rsidR="00EB7BAA" w:rsidRPr="00492AD6" w:rsidRDefault="00EB7BAA">
            <w:pPr>
              <w:pStyle w:val="TableDataEntries"/>
              <w:rPr>
                <w:color w:val="000000" w:themeColor="text1"/>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9803292" w14:textId="77777777" w:rsidR="00EB7BAA" w:rsidRPr="00492AD6" w:rsidRDefault="00EB7BAA">
            <w:pPr>
              <w:pStyle w:val="TableDataEntries"/>
              <w:rPr>
                <w:color w:val="000000" w:themeColor="text1"/>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620F2A9" w14:textId="77777777" w:rsidR="00EB7BAA" w:rsidRPr="00492AD6" w:rsidRDefault="00EB7BAA">
            <w:pPr>
              <w:pStyle w:val="TableDataEntries"/>
              <w:rPr>
                <w:color w:val="000000" w:themeColor="text1"/>
              </w:rPr>
            </w:pPr>
            <w:r w:rsidRPr="00220574">
              <w:t>n/a</w:t>
            </w:r>
          </w:p>
        </w:tc>
      </w:tr>
      <w:tr w:rsidR="00EB7BAA" w:rsidRPr="00492AD6" w14:paraId="46549633"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A1D7A91" w14:textId="77777777" w:rsidR="00EB7BAA" w:rsidRPr="00492AD6" w:rsidRDefault="00EB7BAA">
            <w:pPr>
              <w:pStyle w:val="TableDataEntries"/>
              <w:jc w:val="left"/>
              <w:rPr>
                <w:color w:val="000000" w:themeColor="text1"/>
              </w:rPr>
            </w:pPr>
            <w:r w:rsidRPr="00492AD6">
              <w:rPr>
                <w:color w:val="000000" w:themeColor="text1"/>
              </w:rPr>
              <w:t xml:space="preserve">   GHG</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7F3E10B" w14:textId="77777777" w:rsidR="00EB7BAA" w:rsidRPr="00492AD6" w:rsidRDefault="00EB7BAA">
            <w:pPr>
              <w:pStyle w:val="TableDataEntries"/>
              <w:rPr>
                <w:color w:val="000000" w:themeColor="text1"/>
              </w:rPr>
            </w:pPr>
            <w:r w:rsidRPr="00220574">
              <w:t>-29</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20D5112" w14:textId="77777777" w:rsidR="00EB7BAA" w:rsidRPr="00492AD6" w:rsidRDefault="00EB7BAA">
            <w:pPr>
              <w:pStyle w:val="TableDataEntries"/>
              <w:rPr>
                <w:color w:val="000000" w:themeColor="text1"/>
              </w:rPr>
            </w:pPr>
            <w:r w:rsidRPr="00220574">
              <w:t>-29</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3EBCC80" w14:textId="77777777" w:rsidR="00EB7BAA" w:rsidRPr="00492AD6" w:rsidRDefault="00EB7BAA">
            <w:pPr>
              <w:pStyle w:val="TableDataEntries"/>
              <w:rPr>
                <w:color w:val="000000" w:themeColor="text1"/>
              </w:rPr>
            </w:pPr>
            <w:r w:rsidRPr="00220574">
              <w:t>-37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810FD61" w14:textId="77777777" w:rsidR="00EB7BAA" w:rsidRPr="00492AD6" w:rsidRDefault="00EB7BAA">
            <w:pPr>
              <w:pStyle w:val="TableDataEntries"/>
              <w:rPr>
                <w:color w:val="000000" w:themeColor="text1"/>
              </w:rPr>
            </w:pPr>
            <w:r w:rsidRPr="00220574">
              <w:t>-31</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ED53287" w14:textId="77777777" w:rsidR="00EB7BAA" w:rsidRPr="00492AD6" w:rsidRDefault="00EB7BAA">
            <w:pPr>
              <w:pStyle w:val="TableDataEntries"/>
              <w:rPr>
                <w:color w:val="000000" w:themeColor="text1"/>
              </w:rPr>
            </w:pPr>
            <w:r w:rsidRPr="00220574">
              <w:t>-31</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400390A" w14:textId="77777777" w:rsidR="00EB7BAA" w:rsidRPr="00492AD6" w:rsidRDefault="00EB7BAA">
            <w:pPr>
              <w:pStyle w:val="TableDataEntries"/>
              <w:rPr>
                <w:color w:val="000000" w:themeColor="text1"/>
              </w:rPr>
            </w:pPr>
            <w:r w:rsidRPr="00220574">
              <w:t>-28</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798FFDC" w14:textId="77777777" w:rsidR="00EB7BAA" w:rsidRPr="00492AD6" w:rsidRDefault="00EB7BAA">
            <w:pPr>
              <w:pStyle w:val="TableDataEntries"/>
              <w:rPr>
                <w:color w:val="000000" w:themeColor="text1"/>
              </w:rPr>
            </w:pPr>
            <w:r w:rsidRPr="00220574">
              <w:t>-24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39C82D9" w14:textId="77777777" w:rsidR="00EB7BAA" w:rsidRPr="00492AD6" w:rsidRDefault="00EB7BAA">
            <w:pPr>
              <w:pStyle w:val="TableDataEntries"/>
              <w:rPr>
                <w:color w:val="000000" w:themeColor="text1"/>
              </w:rPr>
            </w:pPr>
            <w:r w:rsidRPr="00220574">
              <w:t>-18</w:t>
            </w:r>
          </w:p>
        </w:tc>
      </w:tr>
      <w:tr w:rsidR="00EB7BAA" w:rsidRPr="00492AD6" w14:paraId="0EC873ED" w14:textId="77777777">
        <w:trPr>
          <w:trHeight w:val="252"/>
        </w:trPr>
        <w:tc>
          <w:tcPr>
            <w:tcW w:w="2687" w:type="dxa"/>
            <w:gridSpan w:val="3"/>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46084045" w14:textId="143D8E25" w:rsidR="00EB7BAA" w:rsidRPr="00492AD6" w:rsidRDefault="00A706C5">
            <w:pPr>
              <w:pStyle w:val="TableHeading1"/>
              <w:rPr>
                <w:rFonts w:ascii="Times New Roman" w:hAnsi="Times New Roman"/>
                <w:color w:val="000000" w:themeColor="text1"/>
                <w:sz w:val="20"/>
                <w:szCs w:val="20"/>
              </w:rPr>
            </w:pPr>
            <w:r w:rsidRPr="00492AD6">
              <w:rPr>
                <w:color w:val="000000" w:themeColor="text1"/>
              </w:rPr>
              <w:t>Small office building (C5OS)</w:t>
            </w: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459663F1"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3584FC54"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49D0EBF2"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6EF87D0D"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4DE24944"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7D21A51E" w14:textId="77777777" w:rsidR="00EB7BAA" w:rsidRPr="00492AD6" w:rsidRDefault="00EB7BAA">
            <w:pPr>
              <w:pStyle w:val="TableHeading1"/>
              <w:rPr>
                <w:rFonts w:ascii="Times New Roman" w:hAnsi="Times New Roman"/>
                <w:color w:val="000000" w:themeColor="text1"/>
                <w:sz w:val="20"/>
                <w:szCs w:val="20"/>
              </w:rPr>
            </w:pPr>
          </w:p>
        </w:tc>
      </w:tr>
      <w:tr w:rsidR="00EB7BAA" w:rsidRPr="00492AD6" w14:paraId="6BA447C3"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3B1400AC" w14:textId="77777777" w:rsidR="00EB7BAA" w:rsidRPr="00492AD6" w:rsidRDefault="00EB7BAA">
            <w:pPr>
              <w:pStyle w:val="TableDataEntries"/>
              <w:jc w:val="left"/>
              <w:rPr>
                <w:color w:val="000000" w:themeColor="text1"/>
              </w:rPr>
            </w:pPr>
            <w:r w:rsidRPr="00492AD6">
              <w:rPr>
                <w:color w:val="000000" w:themeColor="text1"/>
              </w:rPr>
              <w:t xml:space="preserve">   Electricity</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96A9B75" w14:textId="77777777" w:rsidR="00EB7BAA" w:rsidRPr="00492AD6" w:rsidRDefault="00EB7BAA">
            <w:pPr>
              <w:pStyle w:val="TableDataEntries"/>
              <w:rPr>
                <w:color w:val="000000" w:themeColor="text1"/>
              </w:rPr>
            </w:pPr>
            <w:r w:rsidRPr="00220574">
              <w:t>-17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9DA8A3B" w14:textId="77777777" w:rsidR="00EB7BAA" w:rsidRPr="00492AD6" w:rsidRDefault="00EB7BAA">
            <w:pPr>
              <w:pStyle w:val="TableDataEntries"/>
              <w:rPr>
                <w:rFonts w:ascii="Times New Roman" w:hAnsi="Times New Roman"/>
                <w:color w:val="000000" w:themeColor="text1"/>
                <w:sz w:val="20"/>
                <w:szCs w:val="20"/>
              </w:rPr>
            </w:pPr>
            <w:r w:rsidRPr="00220574">
              <w:t>-7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FF5D226" w14:textId="77777777" w:rsidR="00EB7BAA" w:rsidRPr="00492AD6" w:rsidRDefault="00EB7BAA">
            <w:pPr>
              <w:pStyle w:val="TableDataEntries"/>
              <w:rPr>
                <w:rFonts w:ascii="Times New Roman" w:hAnsi="Times New Roman"/>
                <w:color w:val="000000" w:themeColor="text1"/>
                <w:sz w:val="20"/>
                <w:szCs w:val="20"/>
              </w:rPr>
            </w:pPr>
            <w:r w:rsidRPr="00220574">
              <w:t>-22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48BD80C" w14:textId="77777777" w:rsidR="00EB7BAA" w:rsidRPr="00492AD6" w:rsidRDefault="00EB7BAA">
            <w:pPr>
              <w:pStyle w:val="TableDataEntries"/>
              <w:rPr>
                <w:rFonts w:ascii="Times New Roman" w:hAnsi="Times New Roman"/>
                <w:color w:val="000000" w:themeColor="text1"/>
                <w:sz w:val="20"/>
                <w:szCs w:val="20"/>
              </w:rPr>
            </w:pPr>
            <w:r w:rsidRPr="00220574">
              <w:t>-17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3EBE87B" w14:textId="77777777" w:rsidR="00EB7BAA" w:rsidRPr="00492AD6" w:rsidRDefault="00EB7BAA">
            <w:pPr>
              <w:pStyle w:val="TableDataEntries"/>
              <w:rPr>
                <w:rFonts w:ascii="Times New Roman" w:hAnsi="Times New Roman"/>
                <w:color w:val="000000" w:themeColor="text1"/>
                <w:sz w:val="20"/>
                <w:szCs w:val="20"/>
              </w:rPr>
            </w:pPr>
            <w:r w:rsidRPr="00220574">
              <w:t>-20</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C4258EE" w14:textId="77777777" w:rsidR="00EB7BAA" w:rsidRPr="00492AD6" w:rsidRDefault="00EB7BAA">
            <w:pPr>
              <w:pStyle w:val="TableDataEntries"/>
              <w:rPr>
                <w:rFonts w:ascii="Times New Roman" w:hAnsi="Times New Roman"/>
                <w:color w:val="000000" w:themeColor="text1"/>
                <w:sz w:val="20"/>
                <w:szCs w:val="20"/>
              </w:rPr>
            </w:pPr>
            <w:r w:rsidRPr="00220574">
              <w:t>-19</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85A564F" w14:textId="77777777" w:rsidR="00EB7BAA" w:rsidRPr="00492AD6" w:rsidRDefault="00EB7BAA">
            <w:pPr>
              <w:pStyle w:val="TableDataEntries"/>
              <w:rPr>
                <w:rFonts w:ascii="Times New Roman" w:hAnsi="Times New Roman"/>
                <w:color w:val="000000" w:themeColor="text1"/>
                <w:sz w:val="20"/>
                <w:szCs w:val="20"/>
              </w:rPr>
            </w:pPr>
            <w:r w:rsidRPr="00220574">
              <w:t>-14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CAE0936" w14:textId="77777777" w:rsidR="00EB7BAA" w:rsidRPr="00492AD6" w:rsidRDefault="00EB7BAA">
            <w:pPr>
              <w:pStyle w:val="TableDataEntries"/>
              <w:rPr>
                <w:rFonts w:ascii="Times New Roman" w:hAnsi="Times New Roman"/>
                <w:color w:val="000000" w:themeColor="text1"/>
                <w:sz w:val="20"/>
                <w:szCs w:val="20"/>
              </w:rPr>
            </w:pPr>
            <w:r w:rsidRPr="00220574">
              <w:t>-18</w:t>
            </w:r>
          </w:p>
        </w:tc>
      </w:tr>
      <w:tr w:rsidR="00EB7BAA" w:rsidRPr="00492AD6" w14:paraId="6D32BB44"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861FA74" w14:textId="77777777" w:rsidR="00EB7BAA" w:rsidRPr="00492AD6" w:rsidRDefault="00EB7BAA">
            <w:pPr>
              <w:pStyle w:val="TableDataEntries"/>
              <w:jc w:val="left"/>
              <w:rPr>
                <w:color w:val="000000" w:themeColor="text1"/>
              </w:rPr>
            </w:pPr>
            <w:r w:rsidRPr="00492AD6">
              <w:rPr>
                <w:color w:val="000000" w:themeColor="text1"/>
              </w:rPr>
              <w:t xml:space="preserve">   Gas</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1D1FC4D" w14:textId="77777777" w:rsidR="00EB7BAA" w:rsidRPr="00492AD6" w:rsidRDefault="00EB7BAA">
            <w:pPr>
              <w:pStyle w:val="TableDataEntries"/>
              <w:rPr>
                <w:color w:val="000000" w:themeColor="text1"/>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FC8C660" w14:textId="77777777" w:rsidR="00EB7BAA" w:rsidRPr="00492AD6" w:rsidRDefault="00EB7BAA">
            <w:pPr>
              <w:pStyle w:val="TableDataEntries"/>
              <w:rPr>
                <w:rFonts w:ascii="Times New Roman" w:hAnsi="Times New Roman"/>
                <w:color w:val="000000" w:themeColor="text1"/>
                <w:sz w:val="20"/>
                <w:szCs w:val="20"/>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46F37C2" w14:textId="77777777" w:rsidR="00EB7BAA" w:rsidRPr="00492AD6" w:rsidRDefault="00EB7BAA">
            <w:pPr>
              <w:pStyle w:val="TableDataEntries"/>
              <w:rPr>
                <w:rFonts w:ascii="Times New Roman" w:hAnsi="Times New Roman"/>
                <w:color w:val="000000" w:themeColor="text1"/>
                <w:sz w:val="20"/>
                <w:szCs w:val="20"/>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9BAC0A7" w14:textId="77777777" w:rsidR="00EB7BAA" w:rsidRPr="00492AD6" w:rsidRDefault="00EB7BAA">
            <w:pPr>
              <w:pStyle w:val="TableDataEntries"/>
              <w:rPr>
                <w:rFonts w:ascii="Times New Roman" w:hAnsi="Times New Roman"/>
                <w:color w:val="000000" w:themeColor="text1"/>
                <w:sz w:val="20"/>
                <w:szCs w:val="20"/>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C7DA2D4" w14:textId="77777777" w:rsidR="00EB7BAA" w:rsidRPr="00492AD6" w:rsidRDefault="00EB7BAA">
            <w:pPr>
              <w:pStyle w:val="TableDataEntries"/>
              <w:rPr>
                <w:rFonts w:ascii="Times New Roman" w:hAnsi="Times New Roman"/>
                <w:color w:val="000000" w:themeColor="text1"/>
                <w:sz w:val="20"/>
                <w:szCs w:val="20"/>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ADC88E5" w14:textId="77777777" w:rsidR="00EB7BAA" w:rsidRPr="00492AD6" w:rsidRDefault="00EB7BAA">
            <w:pPr>
              <w:pStyle w:val="TableDataEntries"/>
              <w:rPr>
                <w:rFonts w:ascii="Times New Roman" w:hAnsi="Times New Roman"/>
                <w:color w:val="000000" w:themeColor="text1"/>
                <w:sz w:val="20"/>
                <w:szCs w:val="20"/>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97C5F8E" w14:textId="77777777" w:rsidR="00EB7BAA" w:rsidRPr="00492AD6" w:rsidRDefault="00EB7BAA">
            <w:pPr>
              <w:pStyle w:val="TableDataEntries"/>
              <w:rPr>
                <w:rFonts w:ascii="Times New Roman" w:hAnsi="Times New Roman"/>
                <w:color w:val="000000" w:themeColor="text1"/>
                <w:sz w:val="20"/>
                <w:szCs w:val="20"/>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36AA46D" w14:textId="77777777" w:rsidR="00EB7BAA" w:rsidRPr="00492AD6" w:rsidRDefault="00EB7BAA">
            <w:pPr>
              <w:pStyle w:val="TableDataEntries"/>
              <w:rPr>
                <w:rFonts w:ascii="Times New Roman" w:hAnsi="Times New Roman"/>
                <w:color w:val="000000" w:themeColor="text1"/>
                <w:sz w:val="20"/>
                <w:szCs w:val="20"/>
              </w:rPr>
            </w:pPr>
            <w:r w:rsidRPr="00220574">
              <w:t>n/a</w:t>
            </w:r>
          </w:p>
        </w:tc>
      </w:tr>
      <w:tr w:rsidR="00EB7BAA" w:rsidRPr="00492AD6" w14:paraId="41CA264B"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E471F75" w14:textId="77777777" w:rsidR="00EB7BAA" w:rsidRPr="00492AD6" w:rsidRDefault="00EB7BAA">
            <w:pPr>
              <w:pStyle w:val="TableDataEntries"/>
              <w:jc w:val="left"/>
              <w:rPr>
                <w:color w:val="000000" w:themeColor="text1"/>
              </w:rPr>
            </w:pPr>
            <w:r w:rsidRPr="00492AD6">
              <w:rPr>
                <w:color w:val="000000" w:themeColor="text1"/>
              </w:rPr>
              <w:t xml:space="preserve">   GHG</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98E99CF" w14:textId="77777777" w:rsidR="00EB7BAA" w:rsidRPr="00492AD6" w:rsidRDefault="00EB7BAA">
            <w:pPr>
              <w:pStyle w:val="TableDataEntries"/>
              <w:rPr>
                <w:color w:val="000000" w:themeColor="text1"/>
              </w:rPr>
            </w:pPr>
            <w:r w:rsidRPr="00220574">
              <w:t>-17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EAF468F" w14:textId="77777777" w:rsidR="00EB7BAA" w:rsidRPr="00492AD6" w:rsidRDefault="00EB7BAA">
            <w:pPr>
              <w:pStyle w:val="TableDataEntries"/>
              <w:rPr>
                <w:rFonts w:ascii="Times New Roman" w:hAnsi="Times New Roman"/>
                <w:color w:val="000000" w:themeColor="text1"/>
                <w:sz w:val="20"/>
                <w:szCs w:val="20"/>
              </w:rPr>
            </w:pPr>
            <w:r w:rsidRPr="00220574">
              <w:t>-7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532A3CD" w14:textId="77777777" w:rsidR="00EB7BAA" w:rsidRPr="00492AD6" w:rsidRDefault="00EB7BAA">
            <w:pPr>
              <w:pStyle w:val="TableDataEntries"/>
              <w:rPr>
                <w:rFonts w:ascii="Times New Roman" w:hAnsi="Times New Roman"/>
                <w:color w:val="000000" w:themeColor="text1"/>
                <w:sz w:val="20"/>
                <w:szCs w:val="20"/>
              </w:rPr>
            </w:pPr>
            <w:r w:rsidRPr="00220574">
              <w:t>-22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2C2F718" w14:textId="77777777" w:rsidR="00EB7BAA" w:rsidRPr="00492AD6" w:rsidRDefault="00EB7BAA">
            <w:pPr>
              <w:pStyle w:val="TableDataEntries"/>
              <w:rPr>
                <w:rFonts w:ascii="Times New Roman" w:hAnsi="Times New Roman"/>
                <w:color w:val="000000" w:themeColor="text1"/>
                <w:sz w:val="20"/>
                <w:szCs w:val="20"/>
              </w:rPr>
            </w:pPr>
            <w:r w:rsidRPr="00220574">
              <w:t>-17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C8E24DD" w14:textId="77777777" w:rsidR="00EB7BAA" w:rsidRPr="00492AD6" w:rsidRDefault="00EB7BAA">
            <w:pPr>
              <w:pStyle w:val="TableDataEntries"/>
              <w:rPr>
                <w:rFonts w:ascii="Times New Roman" w:hAnsi="Times New Roman"/>
                <w:color w:val="000000" w:themeColor="text1"/>
                <w:sz w:val="20"/>
                <w:szCs w:val="20"/>
              </w:rPr>
            </w:pPr>
            <w:r w:rsidRPr="00220574">
              <w:t>-20</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429279F" w14:textId="77777777" w:rsidR="00EB7BAA" w:rsidRPr="00492AD6" w:rsidRDefault="00EB7BAA">
            <w:pPr>
              <w:pStyle w:val="TableDataEntries"/>
              <w:rPr>
                <w:rFonts w:ascii="Times New Roman" w:hAnsi="Times New Roman"/>
                <w:color w:val="000000" w:themeColor="text1"/>
                <w:sz w:val="20"/>
                <w:szCs w:val="20"/>
              </w:rPr>
            </w:pPr>
            <w:r w:rsidRPr="00220574">
              <w:t>-19</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9E1E9FB" w14:textId="77777777" w:rsidR="00EB7BAA" w:rsidRPr="00492AD6" w:rsidRDefault="00EB7BAA">
            <w:pPr>
              <w:pStyle w:val="TableDataEntries"/>
              <w:rPr>
                <w:rFonts w:ascii="Times New Roman" w:hAnsi="Times New Roman"/>
                <w:color w:val="000000" w:themeColor="text1"/>
                <w:sz w:val="20"/>
                <w:szCs w:val="20"/>
              </w:rPr>
            </w:pPr>
            <w:r w:rsidRPr="00220574">
              <w:t>-14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ADA3FB1" w14:textId="77777777" w:rsidR="00EB7BAA" w:rsidRPr="00492AD6" w:rsidRDefault="00EB7BAA">
            <w:pPr>
              <w:pStyle w:val="TableDataEntries"/>
              <w:rPr>
                <w:rFonts w:ascii="Times New Roman" w:hAnsi="Times New Roman"/>
                <w:color w:val="000000" w:themeColor="text1"/>
                <w:sz w:val="20"/>
                <w:szCs w:val="20"/>
              </w:rPr>
            </w:pPr>
            <w:r w:rsidRPr="00220574">
              <w:t>-18</w:t>
            </w:r>
          </w:p>
        </w:tc>
      </w:tr>
      <w:tr w:rsidR="00EB7BAA" w:rsidRPr="00492AD6" w14:paraId="155D94A9" w14:textId="77777777">
        <w:trPr>
          <w:trHeight w:val="252"/>
        </w:trPr>
        <w:tc>
          <w:tcPr>
            <w:tcW w:w="1812" w:type="dxa"/>
            <w:gridSpan w:val="2"/>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452B983C" w14:textId="71892F8C" w:rsidR="00EB7BAA" w:rsidRPr="00492AD6" w:rsidRDefault="00A706C5">
            <w:pPr>
              <w:pStyle w:val="TableHeading1"/>
              <w:rPr>
                <w:color w:val="000000" w:themeColor="text1"/>
              </w:rPr>
            </w:pPr>
            <w:r w:rsidRPr="00492AD6">
              <w:rPr>
                <w:color w:val="000000" w:themeColor="text1"/>
              </w:rPr>
              <w:t>Big box retail (C6RL)</w:t>
            </w: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347C0D3E"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1614CD08"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370A66A7"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2510D7BB"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1230EA37"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79960C2E"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0C5E3680" w14:textId="77777777" w:rsidR="00EB7BAA" w:rsidRPr="00492AD6" w:rsidRDefault="00EB7BAA">
            <w:pPr>
              <w:pStyle w:val="TableHeading1"/>
              <w:rPr>
                <w:rFonts w:ascii="Times New Roman" w:hAnsi="Times New Roman"/>
                <w:color w:val="000000" w:themeColor="text1"/>
                <w:sz w:val="20"/>
                <w:szCs w:val="20"/>
              </w:rPr>
            </w:pPr>
          </w:p>
        </w:tc>
      </w:tr>
      <w:tr w:rsidR="00EB7BAA" w:rsidRPr="00492AD6" w14:paraId="56430C12"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21CC7CC" w14:textId="77777777" w:rsidR="00EB7BAA" w:rsidRPr="00492AD6" w:rsidRDefault="00EB7BAA">
            <w:pPr>
              <w:pStyle w:val="TableDataEntries"/>
              <w:jc w:val="left"/>
              <w:rPr>
                <w:color w:val="000000" w:themeColor="text1"/>
              </w:rPr>
            </w:pPr>
            <w:r w:rsidRPr="00492AD6">
              <w:rPr>
                <w:color w:val="000000" w:themeColor="text1"/>
              </w:rPr>
              <w:t xml:space="preserve">   Electricity</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529C3FC" w14:textId="77777777" w:rsidR="00EB7BAA" w:rsidRPr="00492AD6" w:rsidRDefault="00EB7BAA">
            <w:pPr>
              <w:pStyle w:val="TableDataEntries"/>
              <w:rPr>
                <w:color w:val="000000" w:themeColor="text1"/>
              </w:rPr>
            </w:pPr>
            <w:r w:rsidRPr="00220574">
              <w:t>-24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E508373" w14:textId="77777777" w:rsidR="00EB7BAA" w:rsidRPr="00492AD6" w:rsidRDefault="00EB7BAA">
            <w:pPr>
              <w:pStyle w:val="TableDataEntries"/>
              <w:rPr>
                <w:rFonts w:ascii="Times New Roman" w:hAnsi="Times New Roman"/>
                <w:color w:val="000000" w:themeColor="text1"/>
                <w:sz w:val="20"/>
                <w:szCs w:val="20"/>
              </w:rPr>
            </w:pPr>
            <w:r w:rsidRPr="00220574">
              <w:t>-28</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1CF91A4" w14:textId="77777777" w:rsidR="00EB7BAA" w:rsidRPr="00492AD6" w:rsidRDefault="00EB7BAA">
            <w:pPr>
              <w:pStyle w:val="TableDataEntries"/>
              <w:rPr>
                <w:rFonts w:ascii="Times New Roman" w:hAnsi="Times New Roman"/>
                <w:color w:val="000000" w:themeColor="text1"/>
                <w:sz w:val="20"/>
                <w:szCs w:val="20"/>
              </w:rPr>
            </w:pPr>
            <w:r w:rsidRPr="00220574">
              <w:t>-32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31329A0" w14:textId="77777777" w:rsidR="00EB7BAA" w:rsidRPr="00492AD6" w:rsidRDefault="00EB7BAA">
            <w:pPr>
              <w:pStyle w:val="TableDataEntries"/>
              <w:rPr>
                <w:rFonts w:ascii="Times New Roman" w:hAnsi="Times New Roman"/>
                <w:color w:val="000000" w:themeColor="text1"/>
                <w:sz w:val="20"/>
                <w:szCs w:val="20"/>
              </w:rPr>
            </w:pPr>
            <w:r w:rsidRPr="00220574">
              <w:t>-20</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130D24B" w14:textId="77777777" w:rsidR="00EB7BAA" w:rsidRPr="00492AD6" w:rsidRDefault="00EB7BAA">
            <w:pPr>
              <w:pStyle w:val="TableDataEntries"/>
              <w:rPr>
                <w:rFonts w:ascii="Times New Roman" w:hAnsi="Times New Roman"/>
                <w:color w:val="000000" w:themeColor="text1"/>
                <w:sz w:val="20"/>
                <w:szCs w:val="20"/>
              </w:rPr>
            </w:pPr>
            <w:r w:rsidRPr="00220574">
              <w:t>-25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90041B0" w14:textId="77777777" w:rsidR="00EB7BAA" w:rsidRPr="00492AD6" w:rsidRDefault="00EB7BAA">
            <w:pPr>
              <w:pStyle w:val="TableDataEntries"/>
              <w:rPr>
                <w:rFonts w:ascii="Times New Roman" w:hAnsi="Times New Roman"/>
                <w:color w:val="000000" w:themeColor="text1"/>
                <w:sz w:val="20"/>
                <w:szCs w:val="20"/>
              </w:rPr>
            </w:pPr>
            <w:r w:rsidRPr="00220574">
              <w:t>-13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9E4F0DA" w14:textId="77777777" w:rsidR="00EB7BAA" w:rsidRPr="00492AD6" w:rsidRDefault="00EB7BAA">
            <w:pPr>
              <w:pStyle w:val="TableDataEntries"/>
              <w:rPr>
                <w:rFonts w:ascii="Times New Roman" w:hAnsi="Times New Roman"/>
                <w:color w:val="000000" w:themeColor="text1"/>
                <w:sz w:val="20"/>
                <w:szCs w:val="20"/>
              </w:rPr>
            </w:pPr>
            <w:r w:rsidRPr="00220574">
              <w:t>-21</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EF8B4F5" w14:textId="77777777" w:rsidR="00EB7BAA" w:rsidRPr="00492AD6" w:rsidRDefault="00EB7BAA">
            <w:pPr>
              <w:pStyle w:val="TableDataEntries"/>
              <w:rPr>
                <w:rFonts w:ascii="Times New Roman" w:hAnsi="Times New Roman"/>
                <w:color w:val="000000" w:themeColor="text1"/>
                <w:sz w:val="20"/>
                <w:szCs w:val="20"/>
              </w:rPr>
            </w:pPr>
            <w:r w:rsidRPr="00220574">
              <w:t>-16</w:t>
            </w:r>
          </w:p>
        </w:tc>
      </w:tr>
      <w:tr w:rsidR="00EB7BAA" w:rsidRPr="00492AD6" w14:paraId="2BE3F3D6"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6532EC1F" w14:textId="77777777" w:rsidR="00EB7BAA" w:rsidRPr="00492AD6" w:rsidRDefault="00EB7BAA">
            <w:pPr>
              <w:pStyle w:val="TableDataEntries"/>
              <w:jc w:val="left"/>
              <w:rPr>
                <w:color w:val="000000" w:themeColor="text1"/>
              </w:rPr>
            </w:pPr>
            <w:r w:rsidRPr="00492AD6">
              <w:rPr>
                <w:color w:val="000000" w:themeColor="text1"/>
              </w:rPr>
              <w:t xml:space="preserve">   Gas</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D995C71" w14:textId="77777777" w:rsidR="00EB7BAA" w:rsidRPr="00492AD6" w:rsidRDefault="00EB7BAA">
            <w:pPr>
              <w:pStyle w:val="TableDataEntries"/>
              <w:rPr>
                <w:color w:val="000000" w:themeColor="text1"/>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F7C4C92" w14:textId="77777777" w:rsidR="00EB7BAA" w:rsidRPr="00492AD6" w:rsidRDefault="00EB7BAA">
            <w:pPr>
              <w:pStyle w:val="TableDataEntries"/>
              <w:rPr>
                <w:rFonts w:ascii="Times New Roman" w:hAnsi="Times New Roman"/>
                <w:color w:val="000000" w:themeColor="text1"/>
                <w:sz w:val="20"/>
                <w:szCs w:val="20"/>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E9237B5" w14:textId="77777777" w:rsidR="00EB7BAA" w:rsidRPr="00492AD6" w:rsidRDefault="00EB7BAA">
            <w:pPr>
              <w:pStyle w:val="TableDataEntries"/>
              <w:rPr>
                <w:rFonts w:ascii="Times New Roman" w:hAnsi="Times New Roman"/>
                <w:color w:val="000000" w:themeColor="text1"/>
                <w:sz w:val="20"/>
                <w:szCs w:val="20"/>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A6FFD35" w14:textId="77777777" w:rsidR="00EB7BAA" w:rsidRPr="00492AD6" w:rsidRDefault="00EB7BAA">
            <w:pPr>
              <w:pStyle w:val="TableDataEntries"/>
              <w:rPr>
                <w:rFonts w:ascii="Times New Roman" w:hAnsi="Times New Roman"/>
                <w:color w:val="000000" w:themeColor="text1"/>
                <w:sz w:val="20"/>
                <w:szCs w:val="20"/>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551CE05" w14:textId="77777777" w:rsidR="00EB7BAA" w:rsidRPr="00492AD6" w:rsidRDefault="00EB7BAA">
            <w:pPr>
              <w:pStyle w:val="TableDataEntries"/>
              <w:rPr>
                <w:rFonts w:ascii="Times New Roman" w:hAnsi="Times New Roman"/>
                <w:color w:val="000000" w:themeColor="text1"/>
                <w:sz w:val="20"/>
                <w:szCs w:val="20"/>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E5961A4" w14:textId="77777777" w:rsidR="00EB7BAA" w:rsidRPr="00492AD6" w:rsidRDefault="00EB7BAA">
            <w:pPr>
              <w:pStyle w:val="TableDataEntries"/>
              <w:rPr>
                <w:rFonts w:ascii="Times New Roman" w:hAnsi="Times New Roman"/>
                <w:color w:val="000000" w:themeColor="text1"/>
                <w:sz w:val="20"/>
                <w:szCs w:val="20"/>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603C9E3" w14:textId="77777777" w:rsidR="00EB7BAA" w:rsidRPr="00492AD6" w:rsidRDefault="00EB7BAA">
            <w:pPr>
              <w:pStyle w:val="TableDataEntries"/>
              <w:rPr>
                <w:rFonts w:ascii="Times New Roman" w:hAnsi="Times New Roman"/>
                <w:color w:val="000000" w:themeColor="text1"/>
                <w:sz w:val="20"/>
                <w:szCs w:val="20"/>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A64E64E" w14:textId="77777777" w:rsidR="00EB7BAA" w:rsidRPr="00492AD6" w:rsidRDefault="00EB7BAA">
            <w:pPr>
              <w:pStyle w:val="TableDataEntries"/>
              <w:rPr>
                <w:rFonts w:ascii="Times New Roman" w:hAnsi="Times New Roman"/>
                <w:color w:val="000000" w:themeColor="text1"/>
                <w:sz w:val="20"/>
                <w:szCs w:val="20"/>
              </w:rPr>
            </w:pPr>
            <w:r w:rsidRPr="00220574">
              <w:t>n/a</w:t>
            </w:r>
          </w:p>
        </w:tc>
      </w:tr>
      <w:tr w:rsidR="00EB7BAA" w:rsidRPr="00492AD6" w14:paraId="5BD7D360"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630E26BE" w14:textId="77777777" w:rsidR="00EB7BAA" w:rsidRPr="00492AD6" w:rsidRDefault="00EB7BAA">
            <w:pPr>
              <w:pStyle w:val="TableDataEntries"/>
              <w:jc w:val="left"/>
              <w:rPr>
                <w:color w:val="000000" w:themeColor="text1"/>
              </w:rPr>
            </w:pPr>
            <w:r w:rsidRPr="00492AD6">
              <w:rPr>
                <w:color w:val="000000" w:themeColor="text1"/>
              </w:rPr>
              <w:t xml:space="preserve">   GHG</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0F1243C" w14:textId="77777777" w:rsidR="00EB7BAA" w:rsidRPr="00492AD6" w:rsidRDefault="00EB7BAA">
            <w:pPr>
              <w:pStyle w:val="TableDataEntries"/>
              <w:rPr>
                <w:color w:val="000000" w:themeColor="text1"/>
              </w:rPr>
            </w:pPr>
            <w:r w:rsidRPr="00220574">
              <w:t>-24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E07EA24" w14:textId="77777777" w:rsidR="00EB7BAA" w:rsidRPr="00492AD6" w:rsidRDefault="00EB7BAA">
            <w:pPr>
              <w:pStyle w:val="TableDataEntries"/>
              <w:rPr>
                <w:rFonts w:ascii="Times New Roman" w:hAnsi="Times New Roman"/>
                <w:color w:val="000000" w:themeColor="text1"/>
                <w:sz w:val="20"/>
                <w:szCs w:val="20"/>
              </w:rPr>
            </w:pPr>
            <w:r w:rsidRPr="00220574">
              <w:t>-28</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0AE207A" w14:textId="77777777" w:rsidR="00EB7BAA" w:rsidRPr="00492AD6" w:rsidRDefault="00EB7BAA">
            <w:pPr>
              <w:pStyle w:val="TableDataEntries"/>
              <w:rPr>
                <w:rFonts w:ascii="Times New Roman" w:hAnsi="Times New Roman"/>
                <w:color w:val="000000" w:themeColor="text1"/>
                <w:sz w:val="20"/>
                <w:szCs w:val="20"/>
              </w:rPr>
            </w:pPr>
            <w:r w:rsidRPr="00220574">
              <w:t>-32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320A10B" w14:textId="77777777" w:rsidR="00EB7BAA" w:rsidRPr="00492AD6" w:rsidRDefault="00EB7BAA">
            <w:pPr>
              <w:pStyle w:val="TableDataEntries"/>
              <w:rPr>
                <w:rFonts w:ascii="Times New Roman" w:hAnsi="Times New Roman"/>
                <w:color w:val="000000" w:themeColor="text1"/>
                <w:sz w:val="20"/>
                <w:szCs w:val="20"/>
              </w:rPr>
            </w:pPr>
            <w:r w:rsidRPr="00220574">
              <w:t>-20</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5CEE9BC" w14:textId="77777777" w:rsidR="00EB7BAA" w:rsidRPr="00492AD6" w:rsidRDefault="00EB7BAA">
            <w:pPr>
              <w:pStyle w:val="TableDataEntries"/>
              <w:rPr>
                <w:rFonts w:ascii="Times New Roman" w:hAnsi="Times New Roman"/>
                <w:color w:val="000000" w:themeColor="text1"/>
                <w:sz w:val="20"/>
                <w:szCs w:val="20"/>
              </w:rPr>
            </w:pPr>
            <w:r w:rsidRPr="00220574">
              <w:t>-25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DE97BE4" w14:textId="77777777" w:rsidR="00EB7BAA" w:rsidRPr="00492AD6" w:rsidRDefault="00EB7BAA">
            <w:pPr>
              <w:pStyle w:val="TableDataEntries"/>
              <w:rPr>
                <w:rFonts w:ascii="Times New Roman" w:hAnsi="Times New Roman"/>
                <w:color w:val="000000" w:themeColor="text1"/>
                <w:sz w:val="20"/>
                <w:szCs w:val="20"/>
              </w:rPr>
            </w:pPr>
            <w:r w:rsidRPr="00220574">
              <w:t>-13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142D0EE" w14:textId="77777777" w:rsidR="00EB7BAA" w:rsidRPr="00492AD6" w:rsidRDefault="00EB7BAA">
            <w:pPr>
              <w:pStyle w:val="TableDataEntries"/>
              <w:rPr>
                <w:rFonts w:ascii="Times New Roman" w:hAnsi="Times New Roman"/>
                <w:color w:val="000000" w:themeColor="text1"/>
                <w:sz w:val="20"/>
                <w:szCs w:val="20"/>
              </w:rPr>
            </w:pPr>
            <w:r w:rsidRPr="00220574">
              <w:t>-21</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B55F654" w14:textId="77777777" w:rsidR="00EB7BAA" w:rsidRPr="00492AD6" w:rsidRDefault="00EB7BAA">
            <w:pPr>
              <w:pStyle w:val="TableDataEntries"/>
              <w:rPr>
                <w:rFonts w:ascii="Times New Roman" w:hAnsi="Times New Roman"/>
                <w:color w:val="000000" w:themeColor="text1"/>
                <w:sz w:val="20"/>
                <w:szCs w:val="20"/>
              </w:rPr>
            </w:pPr>
            <w:r w:rsidRPr="00220574">
              <w:t>-16</w:t>
            </w:r>
          </w:p>
        </w:tc>
      </w:tr>
      <w:tr w:rsidR="00EB7BAA" w:rsidRPr="00492AD6" w14:paraId="1819A318" w14:textId="77777777">
        <w:trPr>
          <w:trHeight w:val="252"/>
        </w:trPr>
        <w:tc>
          <w:tcPr>
            <w:tcW w:w="1812" w:type="dxa"/>
            <w:gridSpan w:val="2"/>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5EF737BD" w14:textId="5D5CD44C" w:rsidR="00EB7BAA" w:rsidRPr="00492AD6" w:rsidRDefault="00A706C5">
            <w:pPr>
              <w:pStyle w:val="TableHeading1"/>
              <w:rPr>
                <w:color w:val="000000" w:themeColor="text1"/>
              </w:rPr>
            </w:pPr>
            <w:r w:rsidRPr="00492AD6">
              <w:rPr>
                <w:color w:val="000000" w:themeColor="text1"/>
              </w:rPr>
              <w:t>Strip shops (C6RS)</w:t>
            </w: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4D222CBF"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331B7920"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40027D04"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3A82EBBA"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4B9A2047"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72D5183C"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740FAAD5" w14:textId="77777777" w:rsidR="00EB7BAA" w:rsidRPr="00492AD6" w:rsidRDefault="00EB7BAA">
            <w:pPr>
              <w:pStyle w:val="TableHeading1"/>
              <w:rPr>
                <w:rFonts w:ascii="Times New Roman" w:hAnsi="Times New Roman"/>
                <w:color w:val="000000" w:themeColor="text1"/>
                <w:sz w:val="20"/>
                <w:szCs w:val="20"/>
              </w:rPr>
            </w:pPr>
          </w:p>
        </w:tc>
      </w:tr>
      <w:tr w:rsidR="00EB7BAA" w:rsidRPr="00492AD6" w14:paraId="6CCFE2EF"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A9290FC" w14:textId="77777777" w:rsidR="00EB7BAA" w:rsidRPr="00492AD6" w:rsidRDefault="00EB7BAA">
            <w:pPr>
              <w:pStyle w:val="TableDataEntries"/>
              <w:jc w:val="left"/>
              <w:rPr>
                <w:color w:val="000000" w:themeColor="text1"/>
              </w:rPr>
            </w:pPr>
            <w:r w:rsidRPr="00492AD6">
              <w:rPr>
                <w:color w:val="000000" w:themeColor="text1"/>
              </w:rPr>
              <w:t xml:space="preserve">   Electricity</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3D0CF0A" w14:textId="77777777" w:rsidR="00EB7BAA" w:rsidRPr="00492AD6" w:rsidRDefault="00EB7BAA">
            <w:pPr>
              <w:pStyle w:val="TableDataEntries"/>
              <w:rPr>
                <w:color w:val="000000" w:themeColor="text1"/>
              </w:rPr>
            </w:pPr>
            <w:r w:rsidRPr="00220574">
              <w:t>-32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CA39504" w14:textId="77777777" w:rsidR="00EB7BAA" w:rsidRPr="00492AD6" w:rsidRDefault="00EB7BAA">
            <w:pPr>
              <w:pStyle w:val="TableDataEntries"/>
              <w:rPr>
                <w:rFonts w:ascii="Times New Roman" w:hAnsi="Times New Roman"/>
                <w:color w:val="000000" w:themeColor="text1"/>
                <w:sz w:val="20"/>
                <w:szCs w:val="20"/>
              </w:rPr>
            </w:pPr>
            <w:r w:rsidRPr="00220574">
              <w:t>-32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A9880E2" w14:textId="77777777" w:rsidR="00EB7BAA" w:rsidRPr="00492AD6" w:rsidRDefault="00EB7BAA">
            <w:pPr>
              <w:pStyle w:val="TableDataEntries"/>
              <w:rPr>
                <w:rFonts w:ascii="Times New Roman" w:hAnsi="Times New Roman"/>
                <w:color w:val="000000" w:themeColor="text1"/>
                <w:sz w:val="20"/>
                <w:szCs w:val="20"/>
              </w:rPr>
            </w:pPr>
            <w:r w:rsidRPr="00220574">
              <w:t>-38</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795546A" w14:textId="77777777" w:rsidR="00EB7BAA" w:rsidRPr="00492AD6" w:rsidRDefault="00EB7BAA">
            <w:pPr>
              <w:pStyle w:val="TableDataEntries"/>
              <w:rPr>
                <w:rFonts w:ascii="Times New Roman" w:hAnsi="Times New Roman"/>
                <w:color w:val="000000" w:themeColor="text1"/>
                <w:sz w:val="20"/>
                <w:szCs w:val="20"/>
              </w:rPr>
            </w:pPr>
            <w:r w:rsidRPr="00220574">
              <w:t>-30</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6D43927" w14:textId="77777777" w:rsidR="00EB7BAA" w:rsidRPr="00492AD6" w:rsidRDefault="00EB7BAA">
            <w:pPr>
              <w:pStyle w:val="TableDataEntries"/>
              <w:rPr>
                <w:rFonts w:ascii="Times New Roman" w:hAnsi="Times New Roman"/>
                <w:color w:val="000000" w:themeColor="text1"/>
                <w:sz w:val="20"/>
                <w:szCs w:val="20"/>
              </w:rPr>
            </w:pPr>
            <w:r w:rsidRPr="00220574">
              <w:t>-31</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6A1746B" w14:textId="77777777" w:rsidR="00EB7BAA" w:rsidRPr="00492AD6" w:rsidRDefault="00EB7BAA">
            <w:pPr>
              <w:pStyle w:val="TableDataEntries"/>
              <w:rPr>
                <w:rFonts w:ascii="Times New Roman" w:hAnsi="Times New Roman"/>
                <w:color w:val="000000" w:themeColor="text1"/>
                <w:sz w:val="20"/>
                <w:szCs w:val="20"/>
              </w:rPr>
            </w:pPr>
            <w:r w:rsidRPr="00220574">
              <w:t>-24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AFC1241" w14:textId="77777777" w:rsidR="00EB7BAA" w:rsidRPr="00492AD6" w:rsidRDefault="00EB7BAA">
            <w:pPr>
              <w:pStyle w:val="TableDataEntries"/>
              <w:rPr>
                <w:rFonts w:ascii="Times New Roman" w:hAnsi="Times New Roman"/>
                <w:color w:val="000000" w:themeColor="text1"/>
                <w:sz w:val="20"/>
                <w:szCs w:val="20"/>
              </w:rPr>
            </w:pPr>
            <w:r w:rsidRPr="00220574">
              <w:t>-22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354F1E0" w14:textId="77777777" w:rsidR="00EB7BAA" w:rsidRPr="00492AD6" w:rsidRDefault="00EB7BAA">
            <w:pPr>
              <w:pStyle w:val="TableDataEntries"/>
              <w:rPr>
                <w:rFonts w:ascii="Times New Roman" w:hAnsi="Times New Roman"/>
                <w:color w:val="000000" w:themeColor="text1"/>
                <w:sz w:val="20"/>
                <w:szCs w:val="20"/>
              </w:rPr>
            </w:pPr>
            <w:r w:rsidRPr="00220574">
              <w:t>-17</w:t>
            </w:r>
          </w:p>
        </w:tc>
      </w:tr>
      <w:tr w:rsidR="00EB7BAA" w:rsidRPr="00492AD6" w14:paraId="38399E7A"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7E41CC61" w14:textId="77777777" w:rsidR="00EB7BAA" w:rsidRPr="00492AD6" w:rsidRDefault="00EB7BAA">
            <w:pPr>
              <w:pStyle w:val="TableDataEntries"/>
              <w:jc w:val="left"/>
              <w:rPr>
                <w:color w:val="000000" w:themeColor="text1"/>
              </w:rPr>
            </w:pPr>
            <w:r w:rsidRPr="00492AD6">
              <w:rPr>
                <w:color w:val="000000" w:themeColor="text1"/>
              </w:rPr>
              <w:t xml:space="preserve">   Gas</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D4AA930" w14:textId="77777777" w:rsidR="00EB7BAA" w:rsidRPr="00492AD6" w:rsidRDefault="00EB7BAA">
            <w:pPr>
              <w:pStyle w:val="TableDataEntries"/>
              <w:rPr>
                <w:color w:val="000000" w:themeColor="text1"/>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4496B54" w14:textId="77777777" w:rsidR="00EB7BAA" w:rsidRPr="00492AD6" w:rsidRDefault="00EB7BAA">
            <w:pPr>
              <w:pStyle w:val="TableDataEntries"/>
              <w:rPr>
                <w:rFonts w:ascii="Times New Roman" w:hAnsi="Times New Roman"/>
                <w:color w:val="000000" w:themeColor="text1"/>
                <w:sz w:val="20"/>
                <w:szCs w:val="20"/>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FA76E00" w14:textId="77777777" w:rsidR="00EB7BAA" w:rsidRPr="00492AD6" w:rsidRDefault="00EB7BAA">
            <w:pPr>
              <w:pStyle w:val="TableDataEntries"/>
              <w:rPr>
                <w:rFonts w:ascii="Times New Roman" w:hAnsi="Times New Roman"/>
                <w:color w:val="000000" w:themeColor="text1"/>
                <w:sz w:val="20"/>
                <w:szCs w:val="20"/>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533D2D7" w14:textId="77777777" w:rsidR="00EB7BAA" w:rsidRPr="00492AD6" w:rsidRDefault="00EB7BAA">
            <w:pPr>
              <w:pStyle w:val="TableDataEntries"/>
              <w:rPr>
                <w:rFonts w:ascii="Times New Roman" w:hAnsi="Times New Roman"/>
                <w:color w:val="000000" w:themeColor="text1"/>
                <w:sz w:val="20"/>
                <w:szCs w:val="20"/>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02C379C" w14:textId="77777777" w:rsidR="00EB7BAA" w:rsidRPr="00492AD6" w:rsidRDefault="00EB7BAA">
            <w:pPr>
              <w:pStyle w:val="TableDataEntries"/>
              <w:rPr>
                <w:rFonts w:ascii="Times New Roman" w:hAnsi="Times New Roman"/>
                <w:color w:val="000000" w:themeColor="text1"/>
                <w:sz w:val="20"/>
                <w:szCs w:val="20"/>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B5E034F" w14:textId="77777777" w:rsidR="00EB7BAA" w:rsidRPr="00492AD6" w:rsidRDefault="00EB7BAA">
            <w:pPr>
              <w:pStyle w:val="TableDataEntries"/>
              <w:rPr>
                <w:rFonts w:ascii="Times New Roman" w:hAnsi="Times New Roman"/>
                <w:color w:val="000000" w:themeColor="text1"/>
                <w:sz w:val="20"/>
                <w:szCs w:val="20"/>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0B1CAEA" w14:textId="77777777" w:rsidR="00EB7BAA" w:rsidRPr="00492AD6" w:rsidRDefault="00EB7BAA">
            <w:pPr>
              <w:pStyle w:val="TableDataEntries"/>
              <w:rPr>
                <w:rFonts w:ascii="Times New Roman" w:hAnsi="Times New Roman"/>
                <w:color w:val="000000" w:themeColor="text1"/>
                <w:sz w:val="20"/>
                <w:szCs w:val="20"/>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FC2335F" w14:textId="77777777" w:rsidR="00EB7BAA" w:rsidRPr="00492AD6" w:rsidRDefault="00EB7BAA">
            <w:pPr>
              <w:pStyle w:val="TableDataEntries"/>
              <w:rPr>
                <w:rFonts w:ascii="Times New Roman" w:hAnsi="Times New Roman"/>
                <w:color w:val="000000" w:themeColor="text1"/>
                <w:sz w:val="20"/>
                <w:szCs w:val="20"/>
              </w:rPr>
            </w:pPr>
            <w:r w:rsidRPr="00220574">
              <w:t>n/a</w:t>
            </w:r>
          </w:p>
        </w:tc>
      </w:tr>
      <w:tr w:rsidR="00EB7BAA" w:rsidRPr="00492AD6" w14:paraId="2C1379EB"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581756E" w14:textId="77777777" w:rsidR="00EB7BAA" w:rsidRPr="00492AD6" w:rsidRDefault="00EB7BAA">
            <w:pPr>
              <w:pStyle w:val="TableDataEntries"/>
              <w:jc w:val="left"/>
              <w:rPr>
                <w:color w:val="000000" w:themeColor="text1"/>
              </w:rPr>
            </w:pPr>
            <w:r w:rsidRPr="00492AD6">
              <w:rPr>
                <w:color w:val="000000" w:themeColor="text1"/>
              </w:rPr>
              <w:t xml:space="preserve">   GHG</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282BEE6" w14:textId="77777777" w:rsidR="00EB7BAA" w:rsidRPr="00492AD6" w:rsidRDefault="00EB7BAA">
            <w:pPr>
              <w:pStyle w:val="TableDataEntries"/>
              <w:rPr>
                <w:color w:val="000000" w:themeColor="text1"/>
              </w:rPr>
            </w:pPr>
            <w:r w:rsidRPr="00220574">
              <w:t>-32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CE25167" w14:textId="77777777" w:rsidR="00EB7BAA" w:rsidRPr="00492AD6" w:rsidRDefault="00EB7BAA">
            <w:pPr>
              <w:pStyle w:val="TableDataEntries"/>
              <w:rPr>
                <w:rFonts w:ascii="Times New Roman" w:hAnsi="Times New Roman"/>
                <w:color w:val="000000" w:themeColor="text1"/>
                <w:sz w:val="20"/>
                <w:szCs w:val="20"/>
              </w:rPr>
            </w:pPr>
            <w:r w:rsidRPr="00220574">
              <w:t>-32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15999B5" w14:textId="77777777" w:rsidR="00EB7BAA" w:rsidRPr="00492AD6" w:rsidRDefault="00EB7BAA">
            <w:pPr>
              <w:pStyle w:val="TableDataEntries"/>
              <w:rPr>
                <w:rFonts w:ascii="Times New Roman" w:hAnsi="Times New Roman"/>
                <w:color w:val="000000" w:themeColor="text1"/>
                <w:sz w:val="20"/>
                <w:szCs w:val="20"/>
              </w:rPr>
            </w:pPr>
            <w:r w:rsidRPr="00220574">
              <w:t>-38</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56AA4EC" w14:textId="77777777" w:rsidR="00EB7BAA" w:rsidRPr="00492AD6" w:rsidRDefault="00EB7BAA">
            <w:pPr>
              <w:pStyle w:val="TableDataEntries"/>
              <w:rPr>
                <w:rFonts w:ascii="Times New Roman" w:hAnsi="Times New Roman"/>
                <w:color w:val="000000" w:themeColor="text1"/>
                <w:sz w:val="20"/>
                <w:szCs w:val="20"/>
              </w:rPr>
            </w:pPr>
            <w:r w:rsidRPr="00220574">
              <w:t>-30</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745C85A" w14:textId="77777777" w:rsidR="00EB7BAA" w:rsidRPr="00492AD6" w:rsidRDefault="00EB7BAA">
            <w:pPr>
              <w:pStyle w:val="TableDataEntries"/>
              <w:rPr>
                <w:rFonts w:ascii="Times New Roman" w:hAnsi="Times New Roman"/>
                <w:color w:val="000000" w:themeColor="text1"/>
                <w:sz w:val="20"/>
                <w:szCs w:val="20"/>
              </w:rPr>
            </w:pPr>
            <w:r w:rsidRPr="00220574">
              <w:t>-31</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B23FDA3" w14:textId="77777777" w:rsidR="00EB7BAA" w:rsidRPr="00492AD6" w:rsidRDefault="00EB7BAA">
            <w:pPr>
              <w:pStyle w:val="TableDataEntries"/>
              <w:rPr>
                <w:rFonts w:ascii="Times New Roman" w:hAnsi="Times New Roman"/>
                <w:color w:val="000000" w:themeColor="text1"/>
                <w:sz w:val="20"/>
                <w:szCs w:val="20"/>
              </w:rPr>
            </w:pPr>
            <w:r w:rsidRPr="00220574">
              <w:t>-24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EC620FE" w14:textId="77777777" w:rsidR="00EB7BAA" w:rsidRPr="00492AD6" w:rsidRDefault="00EB7BAA">
            <w:pPr>
              <w:pStyle w:val="TableDataEntries"/>
              <w:rPr>
                <w:rFonts w:ascii="Times New Roman" w:hAnsi="Times New Roman"/>
                <w:color w:val="000000" w:themeColor="text1"/>
                <w:sz w:val="20"/>
                <w:szCs w:val="20"/>
              </w:rPr>
            </w:pPr>
            <w:r w:rsidRPr="00220574">
              <w:t>-22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1EC94C1" w14:textId="77777777" w:rsidR="00EB7BAA" w:rsidRPr="00492AD6" w:rsidRDefault="00EB7BAA">
            <w:pPr>
              <w:pStyle w:val="TableDataEntries"/>
              <w:rPr>
                <w:rFonts w:ascii="Times New Roman" w:hAnsi="Times New Roman"/>
                <w:color w:val="000000" w:themeColor="text1"/>
                <w:sz w:val="20"/>
                <w:szCs w:val="20"/>
              </w:rPr>
            </w:pPr>
            <w:r w:rsidRPr="00220574">
              <w:t>-17</w:t>
            </w:r>
          </w:p>
        </w:tc>
      </w:tr>
      <w:tr w:rsidR="00EB7BAA" w:rsidRPr="00492AD6" w14:paraId="266F8405" w14:textId="77777777">
        <w:trPr>
          <w:trHeight w:val="252"/>
        </w:trPr>
        <w:tc>
          <w:tcPr>
            <w:tcW w:w="2687" w:type="dxa"/>
            <w:gridSpan w:val="3"/>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58A681FA" w14:textId="04FE8772" w:rsidR="00EB7BAA" w:rsidRPr="00492AD6" w:rsidRDefault="00965732">
            <w:pPr>
              <w:pStyle w:val="TableHeading1"/>
              <w:rPr>
                <w:rFonts w:ascii="Times New Roman" w:hAnsi="Times New Roman"/>
                <w:color w:val="000000" w:themeColor="text1"/>
                <w:sz w:val="20"/>
                <w:szCs w:val="20"/>
              </w:rPr>
            </w:pPr>
            <w:r w:rsidRPr="00492AD6">
              <w:rPr>
                <w:color w:val="000000" w:themeColor="text1"/>
              </w:rPr>
              <w:t>Large hospital ward (C9A)</w:t>
            </w: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06D528F1"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3A906637"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50AE1C74"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42866B20"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39C8946D"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5EF2DF5B" w14:textId="77777777" w:rsidR="00EB7BAA" w:rsidRPr="00492AD6" w:rsidRDefault="00EB7BAA">
            <w:pPr>
              <w:pStyle w:val="TableHeading1"/>
              <w:rPr>
                <w:rFonts w:ascii="Times New Roman" w:hAnsi="Times New Roman"/>
                <w:color w:val="000000" w:themeColor="text1"/>
                <w:sz w:val="20"/>
                <w:szCs w:val="20"/>
              </w:rPr>
            </w:pPr>
          </w:p>
        </w:tc>
      </w:tr>
      <w:tr w:rsidR="00EB7BAA" w:rsidRPr="00492AD6" w14:paraId="3872F1AA"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F28851E" w14:textId="77777777" w:rsidR="00EB7BAA" w:rsidRPr="00492AD6" w:rsidRDefault="00EB7BAA">
            <w:pPr>
              <w:pStyle w:val="TableDataEntries"/>
              <w:jc w:val="left"/>
              <w:rPr>
                <w:color w:val="000000" w:themeColor="text1"/>
              </w:rPr>
            </w:pPr>
            <w:r w:rsidRPr="00492AD6">
              <w:rPr>
                <w:color w:val="000000" w:themeColor="text1"/>
              </w:rPr>
              <w:t xml:space="preserve">   Electricity</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0878672" w14:textId="77777777" w:rsidR="00EB7BAA" w:rsidRPr="00492AD6" w:rsidRDefault="00EB7BAA">
            <w:pPr>
              <w:pStyle w:val="TableDataEntries"/>
              <w:rPr>
                <w:color w:val="000000" w:themeColor="text1"/>
              </w:rPr>
            </w:pPr>
            <w:r w:rsidRPr="00220574">
              <w:t>-16</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A3DA63F" w14:textId="77777777" w:rsidR="00EB7BAA" w:rsidRPr="00492AD6" w:rsidRDefault="00EB7BAA">
            <w:pPr>
              <w:pStyle w:val="TableDataEntries"/>
              <w:rPr>
                <w:color w:val="000000" w:themeColor="text1"/>
              </w:rPr>
            </w:pPr>
            <w:r w:rsidRPr="00220574">
              <w:t>-7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A1F88D7" w14:textId="77777777" w:rsidR="00EB7BAA" w:rsidRPr="00492AD6" w:rsidRDefault="00EB7BAA">
            <w:pPr>
              <w:pStyle w:val="TableDataEntries"/>
              <w:rPr>
                <w:color w:val="000000" w:themeColor="text1"/>
              </w:rPr>
            </w:pPr>
            <w:r w:rsidRPr="00220574">
              <w:t>-14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6D184A9" w14:textId="77777777" w:rsidR="00EB7BAA" w:rsidRPr="00492AD6" w:rsidRDefault="00EB7BAA">
            <w:pPr>
              <w:pStyle w:val="TableDataEntries"/>
              <w:rPr>
                <w:color w:val="000000" w:themeColor="text1"/>
              </w:rPr>
            </w:pPr>
            <w:r w:rsidRPr="00220574">
              <w:t>-5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EDB1818" w14:textId="77777777" w:rsidR="00EB7BAA" w:rsidRPr="00492AD6" w:rsidRDefault="00EB7BAA">
            <w:pPr>
              <w:pStyle w:val="TableDataEntries"/>
              <w:rPr>
                <w:color w:val="000000" w:themeColor="text1"/>
              </w:rPr>
            </w:pPr>
            <w:r w:rsidRPr="00220574">
              <w:t>-10</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6381C3F" w14:textId="77777777" w:rsidR="00EB7BAA" w:rsidRPr="00492AD6" w:rsidRDefault="00EB7BAA">
            <w:pPr>
              <w:pStyle w:val="TableDataEntries"/>
              <w:rPr>
                <w:color w:val="000000" w:themeColor="text1"/>
              </w:rPr>
            </w:pPr>
            <w:r w:rsidRPr="00220574">
              <w:t>-3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1A07A53" w14:textId="77777777" w:rsidR="00EB7BAA" w:rsidRPr="00492AD6" w:rsidRDefault="00EB7BAA">
            <w:pPr>
              <w:pStyle w:val="TableDataEntries"/>
              <w:rPr>
                <w:color w:val="000000" w:themeColor="text1"/>
              </w:rPr>
            </w:pPr>
            <w:r w:rsidRPr="00220574">
              <w:t>-4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4818909" w14:textId="77777777" w:rsidR="00EB7BAA" w:rsidRPr="00492AD6" w:rsidRDefault="00EB7BAA">
            <w:pPr>
              <w:pStyle w:val="TableDataEntries"/>
              <w:rPr>
                <w:color w:val="000000" w:themeColor="text1"/>
              </w:rPr>
            </w:pPr>
            <w:r w:rsidRPr="00220574">
              <w:t>-2</w:t>
            </w:r>
          </w:p>
        </w:tc>
      </w:tr>
      <w:tr w:rsidR="00EB7BAA" w:rsidRPr="00492AD6" w14:paraId="0F47902A"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CADE6F8" w14:textId="77777777" w:rsidR="00EB7BAA" w:rsidRPr="00492AD6" w:rsidRDefault="00EB7BAA">
            <w:pPr>
              <w:pStyle w:val="TableDataEntries"/>
              <w:jc w:val="left"/>
              <w:rPr>
                <w:color w:val="000000" w:themeColor="text1"/>
              </w:rPr>
            </w:pPr>
            <w:r w:rsidRPr="00492AD6">
              <w:rPr>
                <w:color w:val="000000" w:themeColor="text1"/>
              </w:rPr>
              <w:t xml:space="preserve">   Gas</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6827443" w14:textId="77777777" w:rsidR="00EB7BAA" w:rsidRPr="00492AD6" w:rsidRDefault="00EB7BAA">
            <w:pPr>
              <w:pStyle w:val="TableDataEntries"/>
              <w:rPr>
                <w:color w:val="000000" w:themeColor="text1"/>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5B302B5" w14:textId="77777777" w:rsidR="00EB7BAA" w:rsidRPr="00492AD6" w:rsidRDefault="00EB7BAA">
            <w:pPr>
              <w:pStyle w:val="TableDataEntries"/>
              <w:rPr>
                <w:color w:val="000000" w:themeColor="text1"/>
              </w:rPr>
            </w:pPr>
            <w:r w:rsidRPr="00220574">
              <w:t>-2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F7BC7D2" w14:textId="77777777" w:rsidR="00EB7BAA" w:rsidRPr="00492AD6" w:rsidRDefault="00EB7BAA">
            <w:pPr>
              <w:pStyle w:val="TableDataEntries"/>
              <w:rPr>
                <w:color w:val="000000" w:themeColor="text1"/>
              </w:rPr>
            </w:pPr>
            <w:r w:rsidRPr="00220574">
              <w:t>-37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AADBD0B" w14:textId="77777777" w:rsidR="00EB7BAA" w:rsidRPr="00492AD6" w:rsidRDefault="00EB7BAA">
            <w:pPr>
              <w:pStyle w:val="TableDataEntries"/>
              <w:rPr>
                <w:color w:val="000000" w:themeColor="text1"/>
              </w:rPr>
            </w:pPr>
            <w:r w:rsidRPr="00220574">
              <w:t>14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63A55A4" w14:textId="77777777" w:rsidR="00EB7BAA" w:rsidRPr="00492AD6" w:rsidRDefault="00EB7BAA">
            <w:pPr>
              <w:pStyle w:val="TableDataEntries"/>
              <w:rPr>
                <w:color w:val="000000" w:themeColor="text1"/>
              </w:rPr>
            </w:pPr>
            <w:r w:rsidRPr="00220574">
              <w:t>43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6F45E27" w14:textId="77777777" w:rsidR="00EB7BAA" w:rsidRPr="00492AD6" w:rsidRDefault="00EB7BAA">
            <w:pPr>
              <w:pStyle w:val="TableDataEntries"/>
              <w:rPr>
                <w:color w:val="000000" w:themeColor="text1"/>
              </w:rPr>
            </w:pPr>
            <w:r w:rsidRPr="00220574">
              <w:t>25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7CCD575" w14:textId="77777777" w:rsidR="00EB7BAA" w:rsidRPr="00492AD6" w:rsidRDefault="00EB7BAA">
            <w:pPr>
              <w:pStyle w:val="TableDataEntries"/>
              <w:rPr>
                <w:color w:val="000000" w:themeColor="text1"/>
              </w:rPr>
            </w:pPr>
            <w:r w:rsidRPr="00220574">
              <w:t>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825DACB" w14:textId="77777777" w:rsidR="00EB7BAA" w:rsidRPr="00492AD6" w:rsidRDefault="00EB7BAA">
            <w:pPr>
              <w:pStyle w:val="TableDataEntries"/>
              <w:rPr>
                <w:color w:val="000000" w:themeColor="text1"/>
              </w:rPr>
            </w:pPr>
            <w:r w:rsidRPr="00220574">
              <w:t>10</w:t>
            </w:r>
          </w:p>
        </w:tc>
      </w:tr>
      <w:tr w:rsidR="00EB7BAA" w:rsidRPr="00492AD6" w14:paraId="6C50C35F"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7725CBF" w14:textId="77777777" w:rsidR="00EB7BAA" w:rsidRPr="00492AD6" w:rsidRDefault="00EB7BAA">
            <w:pPr>
              <w:pStyle w:val="TableDataEntries"/>
              <w:jc w:val="left"/>
              <w:rPr>
                <w:color w:val="000000" w:themeColor="text1"/>
              </w:rPr>
            </w:pPr>
            <w:r w:rsidRPr="00492AD6">
              <w:rPr>
                <w:color w:val="000000" w:themeColor="text1"/>
              </w:rPr>
              <w:t xml:space="preserve">   GHG</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95CDBCA" w14:textId="77777777" w:rsidR="00EB7BAA" w:rsidRPr="00492AD6" w:rsidRDefault="00EB7BAA">
            <w:pPr>
              <w:pStyle w:val="TableDataEntries"/>
              <w:rPr>
                <w:color w:val="000000" w:themeColor="text1"/>
              </w:rPr>
            </w:pPr>
            <w:r w:rsidRPr="00220574">
              <w:t>-16</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A688409" w14:textId="77777777" w:rsidR="00EB7BAA" w:rsidRPr="00492AD6" w:rsidRDefault="00EB7BAA">
            <w:pPr>
              <w:pStyle w:val="TableDataEntries"/>
              <w:rPr>
                <w:color w:val="000000" w:themeColor="text1"/>
              </w:rPr>
            </w:pPr>
            <w:r w:rsidRPr="00220574">
              <w:t>-7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69E3B31" w14:textId="77777777" w:rsidR="00EB7BAA" w:rsidRPr="00492AD6" w:rsidRDefault="00EB7BAA">
            <w:pPr>
              <w:pStyle w:val="TableDataEntries"/>
              <w:rPr>
                <w:color w:val="000000" w:themeColor="text1"/>
              </w:rPr>
            </w:pPr>
            <w:r w:rsidRPr="00220574">
              <w:t>-18</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F518C30" w14:textId="77777777" w:rsidR="00EB7BAA" w:rsidRPr="00492AD6" w:rsidRDefault="00EB7BAA">
            <w:pPr>
              <w:pStyle w:val="TableDataEntries"/>
              <w:rPr>
                <w:color w:val="000000" w:themeColor="text1"/>
              </w:rPr>
            </w:pPr>
            <w:r w:rsidRPr="00220574">
              <w:t>0</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67BC88F" w14:textId="77777777" w:rsidR="00EB7BAA" w:rsidRPr="00492AD6" w:rsidRDefault="00EB7BAA">
            <w:pPr>
              <w:pStyle w:val="TableDataEntries"/>
              <w:rPr>
                <w:color w:val="000000" w:themeColor="text1"/>
              </w:rPr>
            </w:pPr>
            <w:r w:rsidRPr="00220574">
              <w:t>-9</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5C9D57E" w14:textId="77777777" w:rsidR="00EB7BAA" w:rsidRPr="00492AD6" w:rsidRDefault="00EB7BAA">
            <w:pPr>
              <w:pStyle w:val="TableDataEntries"/>
              <w:rPr>
                <w:color w:val="000000" w:themeColor="text1"/>
              </w:rPr>
            </w:pPr>
            <w:r w:rsidRPr="00220574">
              <w:t>1</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B0FF773" w14:textId="77777777" w:rsidR="00EB7BAA" w:rsidRPr="00492AD6" w:rsidRDefault="00EB7BAA">
            <w:pPr>
              <w:pStyle w:val="TableDataEntries"/>
              <w:rPr>
                <w:color w:val="000000" w:themeColor="text1"/>
              </w:rPr>
            </w:pPr>
            <w:r w:rsidRPr="00220574">
              <w:t>-1</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E94C4DA" w14:textId="77777777" w:rsidR="00EB7BAA" w:rsidRPr="00492AD6" w:rsidRDefault="00EB7BAA">
            <w:pPr>
              <w:pStyle w:val="TableDataEntries"/>
              <w:rPr>
                <w:color w:val="000000" w:themeColor="text1"/>
              </w:rPr>
            </w:pPr>
            <w:r w:rsidRPr="00220574">
              <w:t>5</w:t>
            </w:r>
          </w:p>
        </w:tc>
      </w:tr>
      <w:tr w:rsidR="00EB7BAA" w:rsidRPr="00492AD6" w14:paraId="249F9185" w14:textId="77777777">
        <w:trPr>
          <w:trHeight w:val="252"/>
        </w:trPr>
        <w:tc>
          <w:tcPr>
            <w:tcW w:w="2687" w:type="dxa"/>
            <w:gridSpan w:val="3"/>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39DE1CD5" w14:textId="7C51AF80" w:rsidR="00EB7BAA" w:rsidRPr="00492AD6" w:rsidRDefault="00A706C5">
            <w:pPr>
              <w:pStyle w:val="TableHeading1"/>
              <w:rPr>
                <w:rFonts w:ascii="Times New Roman" w:hAnsi="Times New Roman"/>
                <w:color w:val="000000" w:themeColor="text1"/>
                <w:sz w:val="20"/>
                <w:szCs w:val="20"/>
              </w:rPr>
            </w:pPr>
            <w:r w:rsidRPr="00492AD6">
              <w:rPr>
                <w:color w:val="000000" w:themeColor="text1"/>
              </w:rPr>
              <w:t>School classroom block (C9B)</w:t>
            </w: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1904F6D7"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6E7E5950"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00354FA6"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183D30E7"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7E89DE17"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0A1A0E34" w14:textId="77777777" w:rsidR="00EB7BAA" w:rsidRPr="00492AD6" w:rsidRDefault="00EB7BAA">
            <w:pPr>
              <w:pStyle w:val="TableHeading1"/>
              <w:rPr>
                <w:rFonts w:ascii="Times New Roman" w:hAnsi="Times New Roman"/>
                <w:color w:val="000000" w:themeColor="text1"/>
                <w:sz w:val="20"/>
                <w:szCs w:val="20"/>
              </w:rPr>
            </w:pPr>
          </w:p>
        </w:tc>
      </w:tr>
      <w:tr w:rsidR="00EB7BAA" w:rsidRPr="00492AD6" w14:paraId="1C836C24"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89E70BD" w14:textId="77777777" w:rsidR="00EB7BAA" w:rsidRPr="00492AD6" w:rsidRDefault="00EB7BAA">
            <w:pPr>
              <w:pStyle w:val="TableDataEntries"/>
              <w:jc w:val="left"/>
              <w:rPr>
                <w:color w:val="000000" w:themeColor="text1"/>
              </w:rPr>
            </w:pPr>
            <w:r w:rsidRPr="00492AD6">
              <w:rPr>
                <w:color w:val="000000" w:themeColor="text1"/>
              </w:rPr>
              <w:t xml:space="preserve">   Electricity</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157B8D6" w14:textId="77777777" w:rsidR="00EB7BAA" w:rsidRPr="00492AD6" w:rsidRDefault="00EB7BAA">
            <w:pPr>
              <w:pStyle w:val="TableDataEntries"/>
              <w:rPr>
                <w:color w:val="000000" w:themeColor="text1"/>
              </w:rPr>
            </w:pPr>
            <w:r w:rsidRPr="00220574">
              <w:t>-13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D5AA9BA" w14:textId="77777777" w:rsidR="00EB7BAA" w:rsidRPr="00492AD6" w:rsidRDefault="00EB7BAA">
            <w:pPr>
              <w:pStyle w:val="TableDataEntries"/>
              <w:rPr>
                <w:rFonts w:ascii="Times New Roman" w:hAnsi="Times New Roman"/>
                <w:color w:val="000000" w:themeColor="text1"/>
                <w:sz w:val="20"/>
                <w:szCs w:val="20"/>
              </w:rPr>
            </w:pPr>
            <w:r w:rsidRPr="00220574">
              <w:t>-19</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A2E496B" w14:textId="77777777" w:rsidR="00EB7BAA" w:rsidRPr="00492AD6" w:rsidRDefault="00EB7BAA">
            <w:pPr>
              <w:pStyle w:val="TableDataEntries"/>
              <w:rPr>
                <w:rFonts w:ascii="Times New Roman" w:hAnsi="Times New Roman"/>
                <w:color w:val="000000" w:themeColor="text1"/>
                <w:sz w:val="20"/>
                <w:szCs w:val="20"/>
              </w:rPr>
            </w:pPr>
            <w:r w:rsidRPr="00220574">
              <w:t>-17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CC369A8" w14:textId="77777777" w:rsidR="00EB7BAA" w:rsidRPr="00492AD6" w:rsidRDefault="00EB7BAA">
            <w:pPr>
              <w:pStyle w:val="TableDataEntries"/>
              <w:rPr>
                <w:rFonts w:ascii="Times New Roman" w:hAnsi="Times New Roman"/>
                <w:color w:val="000000" w:themeColor="text1"/>
                <w:sz w:val="20"/>
                <w:szCs w:val="20"/>
              </w:rPr>
            </w:pPr>
            <w:r w:rsidRPr="00220574">
              <w:t>-15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FB93F6E" w14:textId="77777777" w:rsidR="00EB7BAA" w:rsidRPr="00492AD6" w:rsidRDefault="00EB7BAA">
            <w:pPr>
              <w:pStyle w:val="TableDataEntries"/>
              <w:rPr>
                <w:rFonts w:ascii="Times New Roman" w:hAnsi="Times New Roman"/>
                <w:color w:val="000000" w:themeColor="text1"/>
                <w:sz w:val="20"/>
                <w:szCs w:val="20"/>
              </w:rPr>
            </w:pPr>
            <w:r w:rsidRPr="00220574">
              <w:t>-19</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0C319EF" w14:textId="77777777" w:rsidR="00EB7BAA" w:rsidRPr="00492AD6" w:rsidRDefault="00EB7BAA">
            <w:pPr>
              <w:pStyle w:val="TableDataEntries"/>
              <w:rPr>
                <w:rFonts w:ascii="Times New Roman" w:hAnsi="Times New Roman"/>
                <w:color w:val="000000" w:themeColor="text1"/>
                <w:sz w:val="20"/>
                <w:szCs w:val="20"/>
              </w:rPr>
            </w:pPr>
            <w:r w:rsidRPr="00220574">
              <w:t>-17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7C6976C" w14:textId="77777777" w:rsidR="00EB7BAA" w:rsidRPr="00492AD6" w:rsidRDefault="00EB7BAA">
            <w:pPr>
              <w:pStyle w:val="TableDataEntries"/>
              <w:rPr>
                <w:rFonts w:ascii="Times New Roman" w:hAnsi="Times New Roman"/>
                <w:color w:val="000000" w:themeColor="text1"/>
                <w:sz w:val="20"/>
                <w:szCs w:val="20"/>
              </w:rPr>
            </w:pPr>
            <w:r w:rsidRPr="00220574">
              <w:t>-14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8AC13E1" w14:textId="77777777" w:rsidR="00EB7BAA" w:rsidRPr="00492AD6" w:rsidRDefault="00EB7BAA">
            <w:pPr>
              <w:pStyle w:val="TableDataEntries"/>
              <w:rPr>
                <w:rFonts w:ascii="Times New Roman" w:hAnsi="Times New Roman"/>
                <w:color w:val="000000" w:themeColor="text1"/>
                <w:sz w:val="20"/>
                <w:szCs w:val="20"/>
              </w:rPr>
            </w:pPr>
            <w:r w:rsidRPr="00220574">
              <w:t>-10</w:t>
            </w:r>
          </w:p>
        </w:tc>
      </w:tr>
      <w:tr w:rsidR="00EB7BAA" w:rsidRPr="00492AD6" w14:paraId="1DA83172"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78D86CE7" w14:textId="77777777" w:rsidR="00EB7BAA" w:rsidRPr="00492AD6" w:rsidRDefault="00EB7BAA">
            <w:pPr>
              <w:pStyle w:val="TableDataEntries"/>
              <w:jc w:val="left"/>
              <w:rPr>
                <w:color w:val="000000" w:themeColor="text1"/>
              </w:rPr>
            </w:pPr>
            <w:r w:rsidRPr="00492AD6">
              <w:rPr>
                <w:color w:val="000000" w:themeColor="text1"/>
              </w:rPr>
              <w:t xml:space="preserve">   Gas</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1D6D33B" w14:textId="77777777" w:rsidR="00EB7BAA" w:rsidRPr="00492AD6" w:rsidRDefault="00EB7BAA">
            <w:pPr>
              <w:pStyle w:val="TableDataEntries"/>
              <w:rPr>
                <w:color w:val="000000" w:themeColor="text1"/>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97234E8" w14:textId="77777777" w:rsidR="00EB7BAA" w:rsidRPr="00492AD6" w:rsidRDefault="00EB7BAA">
            <w:pPr>
              <w:pStyle w:val="TableDataEntries"/>
              <w:rPr>
                <w:rFonts w:ascii="Times New Roman" w:hAnsi="Times New Roman"/>
                <w:color w:val="000000" w:themeColor="text1"/>
                <w:sz w:val="20"/>
                <w:szCs w:val="20"/>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D648425" w14:textId="77777777" w:rsidR="00EB7BAA" w:rsidRPr="00492AD6" w:rsidRDefault="00EB7BAA">
            <w:pPr>
              <w:pStyle w:val="TableDataEntries"/>
              <w:rPr>
                <w:rFonts w:ascii="Times New Roman" w:hAnsi="Times New Roman"/>
                <w:color w:val="000000" w:themeColor="text1"/>
                <w:sz w:val="20"/>
                <w:szCs w:val="20"/>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42E4D71" w14:textId="77777777" w:rsidR="00EB7BAA" w:rsidRPr="00492AD6" w:rsidRDefault="00EB7BAA">
            <w:pPr>
              <w:pStyle w:val="TableDataEntries"/>
              <w:rPr>
                <w:rFonts w:ascii="Times New Roman" w:hAnsi="Times New Roman"/>
                <w:color w:val="000000" w:themeColor="text1"/>
                <w:sz w:val="20"/>
                <w:szCs w:val="20"/>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F5DC544" w14:textId="77777777" w:rsidR="00EB7BAA" w:rsidRPr="00492AD6" w:rsidRDefault="00EB7BAA">
            <w:pPr>
              <w:pStyle w:val="TableDataEntries"/>
              <w:rPr>
                <w:rFonts w:ascii="Times New Roman" w:hAnsi="Times New Roman"/>
                <w:color w:val="000000" w:themeColor="text1"/>
                <w:sz w:val="20"/>
                <w:szCs w:val="20"/>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B6573AF" w14:textId="77777777" w:rsidR="00EB7BAA" w:rsidRPr="00492AD6" w:rsidRDefault="00EB7BAA">
            <w:pPr>
              <w:pStyle w:val="TableDataEntries"/>
              <w:rPr>
                <w:rFonts w:ascii="Times New Roman" w:hAnsi="Times New Roman"/>
                <w:color w:val="000000" w:themeColor="text1"/>
                <w:sz w:val="20"/>
                <w:szCs w:val="20"/>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E13B9F9" w14:textId="77777777" w:rsidR="00EB7BAA" w:rsidRPr="00492AD6" w:rsidRDefault="00EB7BAA">
            <w:pPr>
              <w:pStyle w:val="TableDataEntries"/>
              <w:rPr>
                <w:rFonts w:ascii="Times New Roman" w:hAnsi="Times New Roman"/>
                <w:color w:val="000000" w:themeColor="text1"/>
                <w:sz w:val="20"/>
                <w:szCs w:val="20"/>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5D23E2D" w14:textId="77777777" w:rsidR="00EB7BAA" w:rsidRPr="00492AD6" w:rsidRDefault="00EB7BAA">
            <w:pPr>
              <w:pStyle w:val="TableDataEntries"/>
              <w:rPr>
                <w:rFonts w:ascii="Times New Roman" w:hAnsi="Times New Roman"/>
                <w:color w:val="000000" w:themeColor="text1"/>
                <w:sz w:val="20"/>
                <w:szCs w:val="20"/>
              </w:rPr>
            </w:pPr>
            <w:r w:rsidRPr="00220574">
              <w:t>n/a</w:t>
            </w:r>
          </w:p>
        </w:tc>
      </w:tr>
      <w:tr w:rsidR="00EB7BAA" w:rsidRPr="00492AD6" w14:paraId="2B87BE09"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587DA7DF" w14:textId="77777777" w:rsidR="00EB7BAA" w:rsidRPr="00492AD6" w:rsidRDefault="00EB7BAA">
            <w:pPr>
              <w:pStyle w:val="TableDataEntries"/>
              <w:jc w:val="left"/>
              <w:rPr>
                <w:color w:val="000000" w:themeColor="text1"/>
              </w:rPr>
            </w:pPr>
            <w:r w:rsidRPr="00492AD6">
              <w:rPr>
                <w:color w:val="000000" w:themeColor="text1"/>
              </w:rPr>
              <w:t xml:space="preserve">   GHG</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79DFE76" w14:textId="77777777" w:rsidR="00EB7BAA" w:rsidRPr="00492AD6" w:rsidRDefault="00EB7BAA">
            <w:pPr>
              <w:pStyle w:val="TableDataEntries"/>
              <w:rPr>
                <w:color w:val="000000" w:themeColor="text1"/>
              </w:rPr>
            </w:pPr>
            <w:r w:rsidRPr="00220574">
              <w:t>-13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337D6A6" w14:textId="77777777" w:rsidR="00EB7BAA" w:rsidRPr="00492AD6" w:rsidRDefault="00EB7BAA">
            <w:pPr>
              <w:pStyle w:val="TableDataEntries"/>
              <w:rPr>
                <w:rFonts w:ascii="Times New Roman" w:hAnsi="Times New Roman"/>
                <w:color w:val="000000" w:themeColor="text1"/>
                <w:sz w:val="20"/>
                <w:szCs w:val="20"/>
              </w:rPr>
            </w:pPr>
            <w:r w:rsidRPr="00220574">
              <w:t>-19</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03279B9" w14:textId="77777777" w:rsidR="00EB7BAA" w:rsidRPr="00492AD6" w:rsidRDefault="00EB7BAA">
            <w:pPr>
              <w:pStyle w:val="TableDataEntries"/>
              <w:rPr>
                <w:rFonts w:ascii="Times New Roman" w:hAnsi="Times New Roman"/>
                <w:color w:val="000000" w:themeColor="text1"/>
                <w:sz w:val="20"/>
                <w:szCs w:val="20"/>
              </w:rPr>
            </w:pPr>
            <w:r w:rsidRPr="00220574">
              <w:t>-17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B745266" w14:textId="77777777" w:rsidR="00EB7BAA" w:rsidRPr="00492AD6" w:rsidRDefault="00EB7BAA">
            <w:pPr>
              <w:pStyle w:val="TableDataEntries"/>
              <w:rPr>
                <w:rFonts w:ascii="Times New Roman" w:hAnsi="Times New Roman"/>
                <w:color w:val="000000" w:themeColor="text1"/>
                <w:sz w:val="20"/>
                <w:szCs w:val="20"/>
              </w:rPr>
            </w:pPr>
            <w:r w:rsidRPr="00220574">
              <w:t>-15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889E2A2" w14:textId="77777777" w:rsidR="00EB7BAA" w:rsidRPr="00492AD6" w:rsidRDefault="00EB7BAA">
            <w:pPr>
              <w:pStyle w:val="TableDataEntries"/>
              <w:rPr>
                <w:rFonts w:ascii="Times New Roman" w:hAnsi="Times New Roman"/>
                <w:color w:val="000000" w:themeColor="text1"/>
                <w:sz w:val="20"/>
                <w:szCs w:val="20"/>
              </w:rPr>
            </w:pPr>
            <w:r w:rsidRPr="00220574">
              <w:t>-19</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CC81EF7" w14:textId="77777777" w:rsidR="00EB7BAA" w:rsidRPr="00492AD6" w:rsidRDefault="00EB7BAA">
            <w:pPr>
              <w:pStyle w:val="TableDataEntries"/>
              <w:rPr>
                <w:rFonts w:ascii="Times New Roman" w:hAnsi="Times New Roman"/>
                <w:color w:val="000000" w:themeColor="text1"/>
                <w:sz w:val="20"/>
                <w:szCs w:val="20"/>
              </w:rPr>
            </w:pPr>
            <w:r w:rsidRPr="00220574">
              <w:t>-17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458D9D3" w14:textId="77777777" w:rsidR="00EB7BAA" w:rsidRPr="00492AD6" w:rsidRDefault="00EB7BAA">
            <w:pPr>
              <w:pStyle w:val="TableDataEntries"/>
              <w:rPr>
                <w:rFonts w:ascii="Times New Roman" w:hAnsi="Times New Roman"/>
                <w:color w:val="000000" w:themeColor="text1"/>
                <w:sz w:val="20"/>
                <w:szCs w:val="20"/>
              </w:rPr>
            </w:pPr>
            <w:r w:rsidRPr="00220574">
              <w:t>-14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FA9434D" w14:textId="77777777" w:rsidR="00EB7BAA" w:rsidRPr="00492AD6" w:rsidRDefault="00EB7BAA">
            <w:pPr>
              <w:pStyle w:val="TableDataEntries"/>
              <w:rPr>
                <w:rFonts w:ascii="Times New Roman" w:hAnsi="Times New Roman"/>
                <w:color w:val="000000" w:themeColor="text1"/>
                <w:sz w:val="20"/>
                <w:szCs w:val="20"/>
              </w:rPr>
            </w:pPr>
            <w:r w:rsidRPr="00220574">
              <w:t>-10</w:t>
            </w:r>
          </w:p>
        </w:tc>
      </w:tr>
      <w:tr w:rsidR="00EB7BAA" w:rsidRPr="00492AD6" w14:paraId="768D4873" w14:textId="77777777">
        <w:trPr>
          <w:trHeight w:val="252"/>
        </w:trPr>
        <w:tc>
          <w:tcPr>
            <w:tcW w:w="2687" w:type="dxa"/>
            <w:gridSpan w:val="3"/>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0107DA63" w14:textId="68D022B2" w:rsidR="00EB7BAA" w:rsidRPr="00492AD6" w:rsidRDefault="00FD6000">
            <w:pPr>
              <w:pStyle w:val="TableHeading1"/>
              <w:rPr>
                <w:rFonts w:ascii="Times New Roman" w:hAnsi="Times New Roman"/>
                <w:color w:val="000000" w:themeColor="text1"/>
                <w:sz w:val="20"/>
                <w:szCs w:val="20"/>
              </w:rPr>
            </w:pPr>
            <w:r w:rsidRPr="00492AD6">
              <w:rPr>
                <w:color w:val="000000" w:themeColor="text1"/>
              </w:rPr>
              <w:t>Small hospital (C9AS)</w:t>
            </w:r>
            <w:r w:rsidRPr="00492AD6">
              <w:rPr>
                <w:rStyle w:val="NoteLabel"/>
                <w:color w:val="000000" w:themeColor="text1"/>
              </w:rPr>
              <w:t xml:space="preserve"> a</w:t>
            </w: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2551AF61"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49C1E48C"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2E6998B4"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2413F846"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2D2868D4" w14:textId="77777777" w:rsidR="00EB7BAA" w:rsidRPr="00492AD6" w:rsidRDefault="00EB7BAA">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024A46DD" w14:textId="77777777" w:rsidR="00EB7BAA" w:rsidRPr="00492AD6" w:rsidRDefault="00EB7BAA">
            <w:pPr>
              <w:pStyle w:val="TableHeading1"/>
              <w:rPr>
                <w:rFonts w:ascii="Times New Roman" w:hAnsi="Times New Roman"/>
                <w:color w:val="000000" w:themeColor="text1"/>
                <w:sz w:val="20"/>
                <w:szCs w:val="20"/>
              </w:rPr>
            </w:pPr>
          </w:p>
        </w:tc>
      </w:tr>
      <w:tr w:rsidR="00EB7BAA" w:rsidRPr="00492AD6" w14:paraId="6735A976"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5215E84" w14:textId="77777777" w:rsidR="00EB7BAA" w:rsidRPr="00492AD6" w:rsidRDefault="00EB7BAA">
            <w:pPr>
              <w:pStyle w:val="TableDataEntries"/>
              <w:jc w:val="left"/>
              <w:rPr>
                <w:color w:val="000000" w:themeColor="text1"/>
              </w:rPr>
            </w:pPr>
            <w:r w:rsidRPr="00492AD6">
              <w:rPr>
                <w:color w:val="000000" w:themeColor="text1"/>
              </w:rPr>
              <w:t xml:space="preserve">   Electricity</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C33A661" w14:textId="77777777" w:rsidR="00EB7BAA" w:rsidRPr="00492AD6" w:rsidRDefault="00EB7BAA">
            <w:pPr>
              <w:pStyle w:val="TableDataEntries"/>
              <w:rPr>
                <w:color w:val="000000" w:themeColor="text1"/>
              </w:rPr>
            </w:pPr>
            <w:r w:rsidRPr="00220574">
              <w:t>-11</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4828219" w14:textId="77777777" w:rsidR="00EB7BAA" w:rsidRPr="00492AD6" w:rsidRDefault="00EB7BAA">
            <w:pPr>
              <w:pStyle w:val="TableDataEntries"/>
              <w:rPr>
                <w:color w:val="000000" w:themeColor="text1"/>
              </w:rPr>
            </w:pPr>
            <w:r w:rsidRPr="00220574">
              <w:t>-23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DC5CF07" w14:textId="77777777" w:rsidR="00EB7BAA" w:rsidRPr="00492AD6" w:rsidRDefault="00EB7BAA">
            <w:pPr>
              <w:pStyle w:val="TableDataEntries"/>
              <w:rPr>
                <w:color w:val="000000" w:themeColor="text1"/>
              </w:rPr>
            </w:pPr>
            <w:r w:rsidRPr="00220574">
              <w:t>-14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8A40021" w14:textId="77777777" w:rsidR="00EB7BAA" w:rsidRPr="00492AD6" w:rsidRDefault="00EB7BAA">
            <w:pPr>
              <w:pStyle w:val="TableDataEntries"/>
              <w:rPr>
                <w:color w:val="000000" w:themeColor="text1"/>
              </w:rPr>
            </w:pPr>
            <w:r w:rsidRPr="00220574">
              <w:t>-14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6A5E1DB" w14:textId="77777777" w:rsidR="00EB7BAA" w:rsidRPr="00492AD6" w:rsidRDefault="00EB7BAA">
            <w:pPr>
              <w:pStyle w:val="TableDataEntries"/>
              <w:rPr>
                <w:color w:val="000000" w:themeColor="text1"/>
              </w:rPr>
            </w:pPr>
            <w:r w:rsidRPr="00220574">
              <w:t>-20</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4D66FBD" w14:textId="77777777" w:rsidR="00EB7BAA" w:rsidRPr="00492AD6" w:rsidRDefault="00EB7BAA">
            <w:pPr>
              <w:pStyle w:val="TableDataEntries"/>
              <w:rPr>
                <w:color w:val="000000" w:themeColor="text1"/>
              </w:rPr>
            </w:pPr>
            <w:r w:rsidRPr="00220574">
              <w:t>-24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189960E" w14:textId="77777777" w:rsidR="00EB7BAA" w:rsidRPr="00492AD6" w:rsidRDefault="00EB7BAA">
            <w:pPr>
              <w:pStyle w:val="TableDataEntries"/>
              <w:rPr>
                <w:color w:val="000000" w:themeColor="text1"/>
              </w:rPr>
            </w:pPr>
            <w:r w:rsidRPr="00220574">
              <w:t>-12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64E5C3E" w14:textId="77777777" w:rsidR="00EB7BAA" w:rsidRPr="00492AD6" w:rsidRDefault="00EB7BAA">
            <w:pPr>
              <w:pStyle w:val="TableDataEntries"/>
              <w:rPr>
                <w:color w:val="000000" w:themeColor="text1"/>
              </w:rPr>
            </w:pPr>
            <w:r w:rsidRPr="00220574">
              <w:t>-13</w:t>
            </w:r>
          </w:p>
        </w:tc>
      </w:tr>
      <w:tr w:rsidR="00EB7BAA" w:rsidRPr="00492AD6" w14:paraId="7653AAED"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0B30623" w14:textId="77777777" w:rsidR="00EB7BAA" w:rsidRPr="00492AD6" w:rsidRDefault="00EB7BAA">
            <w:pPr>
              <w:pStyle w:val="TableDataEntries"/>
              <w:jc w:val="left"/>
              <w:rPr>
                <w:color w:val="000000" w:themeColor="text1"/>
              </w:rPr>
            </w:pPr>
            <w:r w:rsidRPr="00492AD6">
              <w:rPr>
                <w:color w:val="000000" w:themeColor="text1"/>
              </w:rPr>
              <w:t xml:space="preserve">   Gas</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EFF2044" w14:textId="77777777" w:rsidR="00EB7BAA" w:rsidRPr="00492AD6" w:rsidRDefault="00EB7BAA">
            <w:pPr>
              <w:pStyle w:val="TableDataEntries"/>
              <w:rPr>
                <w:color w:val="000000" w:themeColor="text1"/>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C85A958" w14:textId="77777777" w:rsidR="00EB7BAA" w:rsidRPr="00492AD6" w:rsidRDefault="00EB7BAA">
            <w:pPr>
              <w:pStyle w:val="TableDataEntries"/>
              <w:rPr>
                <w:color w:val="000000" w:themeColor="text1"/>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EBE6A3E" w14:textId="77777777" w:rsidR="00EB7BAA" w:rsidRPr="00492AD6" w:rsidRDefault="00EB7BAA">
            <w:pPr>
              <w:pStyle w:val="TableDataEntries"/>
              <w:rPr>
                <w:color w:val="000000" w:themeColor="text1"/>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9FE74C3" w14:textId="77777777" w:rsidR="00EB7BAA" w:rsidRPr="00492AD6" w:rsidRDefault="00EB7BAA">
            <w:pPr>
              <w:pStyle w:val="TableDataEntries"/>
              <w:rPr>
                <w:color w:val="000000" w:themeColor="text1"/>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1D22511" w14:textId="77777777" w:rsidR="00EB7BAA" w:rsidRPr="00492AD6" w:rsidRDefault="00EB7BAA">
            <w:pPr>
              <w:pStyle w:val="TableDataEntries"/>
              <w:rPr>
                <w:color w:val="000000" w:themeColor="text1"/>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5E50147" w14:textId="77777777" w:rsidR="00EB7BAA" w:rsidRPr="00492AD6" w:rsidRDefault="00EB7BAA">
            <w:pPr>
              <w:pStyle w:val="TableDataEntries"/>
              <w:rPr>
                <w:color w:val="000000" w:themeColor="text1"/>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D6EBD42" w14:textId="77777777" w:rsidR="00EB7BAA" w:rsidRPr="00492AD6" w:rsidRDefault="00EB7BAA">
            <w:pPr>
              <w:pStyle w:val="TableDataEntries"/>
              <w:rPr>
                <w:color w:val="000000" w:themeColor="text1"/>
              </w:rPr>
            </w:pPr>
            <w:r w:rsidRPr="0022057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C5F7D37" w14:textId="77777777" w:rsidR="00EB7BAA" w:rsidRPr="00492AD6" w:rsidRDefault="00EB7BAA">
            <w:pPr>
              <w:pStyle w:val="TableDataEntries"/>
              <w:rPr>
                <w:color w:val="000000" w:themeColor="text1"/>
              </w:rPr>
            </w:pPr>
            <w:r w:rsidRPr="00220574">
              <w:t>n/a</w:t>
            </w:r>
          </w:p>
        </w:tc>
      </w:tr>
      <w:tr w:rsidR="00EB7BAA" w:rsidRPr="00492AD6" w14:paraId="27AEFE1D" w14:textId="77777777">
        <w:trPr>
          <w:trHeight w:val="252"/>
        </w:trPr>
        <w:tc>
          <w:tcPr>
            <w:tcW w:w="937" w:type="dxa"/>
            <w:tcBorders>
              <w:top w:val="single" w:sz="8" w:space="0" w:color="FFFFFF" w:themeColor="background1"/>
              <w:bottom w:val="single" w:sz="6" w:space="0" w:color="6F6652"/>
            </w:tcBorders>
            <w:shd w:val="clear" w:color="auto" w:fill="E9E8E5" w:themeFill="background2"/>
            <w:noWrap/>
            <w:tcMar>
              <w:left w:w="57" w:type="dxa"/>
              <w:right w:w="57" w:type="dxa"/>
            </w:tcMar>
            <w:hideMark/>
          </w:tcPr>
          <w:p w14:paraId="02D1415C" w14:textId="77777777" w:rsidR="00EB7BAA" w:rsidRPr="00492AD6" w:rsidRDefault="00EB7BAA">
            <w:pPr>
              <w:pStyle w:val="TableDataEntries"/>
              <w:jc w:val="left"/>
              <w:rPr>
                <w:color w:val="000000" w:themeColor="text1"/>
              </w:rPr>
            </w:pPr>
            <w:r w:rsidRPr="00492AD6">
              <w:rPr>
                <w:color w:val="000000" w:themeColor="text1"/>
              </w:rPr>
              <w:t xml:space="preserve">   GHG</w:t>
            </w:r>
          </w:p>
        </w:tc>
        <w:tc>
          <w:tcPr>
            <w:tcW w:w="875"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30C51242" w14:textId="77777777" w:rsidR="00EB7BAA" w:rsidRPr="00492AD6" w:rsidRDefault="00EB7BAA">
            <w:pPr>
              <w:pStyle w:val="TableDataEntries"/>
              <w:rPr>
                <w:color w:val="000000" w:themeColor="text1"/>
              </w:rPr>
            </w:pPr>
            <w:r w:rsidRPr="00220574">
              <w:t>-11</w:t>
            </w:r>
          </w:p>
        </w:tc>
        <w:tc>
          <w:tcPr>
            <w:tcW w:w="875"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135A2B6C" w14:textId="77777777" w:rsidR="00EB7BAA" w:rsidRPr="00492AD6" w:rsidRDefault="00EB7BAA">
            <w:pPr>
              <w:pStyle w:val="TableDataEntries"/>
              <w:rPr>
                <w:color w:val="000000" w:themeColor="text1"/>
              </w:rPr>
            </w:pPr>
            <w:r w:rsidRPr="00220574">
              <w:t>-23</w:t>
            </w:r>
          </w:p>
        </w:tc>
        <w:tc>
          <w:tcPr>
            <w:tcW w:w="875"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0540969E" w14:textId="77777777" w:rsidR="00EB7BAA" w:rsidRPr="00492AD6" w:rsidRDefault="00EB7BAA">
            <w:pPr>
              <w:pStyle w:val="TableDataEntries"/>
              <w:rPr>
                <w:color w:val="000000" w:themeColor="text1"/>
              </w:rPr>
            </w:pPr>
            <w:r w:rsidRPr="00220574">
              <w:t>-14</w:t>
            </w:r>
          </w:p>
        </w:tc>
        <w:tc>
          <w:tcPr>
            <w:tcW w:w="875"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19DEF0B6" w14:textId="77777777" w:rsidR="00EB7BAA" w:rsidRPr="00492AD6" w:rsidRDefault="00EB7BAA">
            <w:pPr>
              <w:pStyle w:val="TableDataEntries"/>
              <w:rPr>
                <w:color w:val="000000" w:themeColor="text1"/>
              </w:rPr>
            </w:pPr>
            <w:r w:rsidRPr="00220574">
              <w:t>-14</w:t>
            </w:r>
          </w:p>
        </w:tc>
        <w:tc>
          <w:tcPr>
            <w:tcW w:w="875"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18C52A45" w14:textId="77777777" w:rsidR="00EB7BAA" w:rsidRPr="00492AD6" w:rsidRDefault="00EB7BAA">
            <w:pPr>
              <w:pStyle w:val="TableDataEntries"/>
              <w:rPr>
                <w:color w:val="000000" w:themeColor="text1"/>
              </w:rPr>
            </w:pPr>
            <w:r w:rsidRPr="00220574">
              <w:t>-20</w:t>
            </w:r>
          </w:p>
        </w:tc>
        <w:tc>
          <w:tcPr>
            <w:tcW w:w="875"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5EF35CBA" w14:textId="77777777" w:rsidR="00EB7BAA" w:rsidRPr="00492AD6" w:rsidRDefault="00EB7BAA">
            <w:pPr>
              <w:pStyle w:val="TableDataEntries"/>
              <w:rPr>
                <w:color w:val="000000" w:themeColor="text1"/>
              </w:rPr>
            </w:pPr>
            <w:r w:rsidRPr="00220574">
              <w:t>-24</w:t>
            </w:r>
          </w:p>
        </w:tc>
        <w:tc>
          <w:tcPr>
            <w:tcW w:w="875"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3939263C" w14:textId="77777777" w:rsidR="00EB7BAA" w:rsidRPr="00492AD6" w:rsidRDefault="00EB7BAA">
            <w:pPr>
              <w:pStyle w:val="TableDataEntries"/>
              <w:rPr>
                <w:color w:val="000000" w:themeColor="text1"/>
              </w:rPr>
            </w:pPr>
            <w:r w:rsidRPr="00220574">
              <w:t>-12</w:t>
            </w:r>
          </w:p>
        </w:tc>
        <w:tc>
          <w:tcPr>
            <w:tcW w:w="875"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607C9D64" w14:textId="77777777" w:rsidR="00EB7BAA" w:rsidRPr="00492AD6" w:rsidRDefault="00EB7BAA">
            <w:pPr>
              <w:pStyle w:val="TableDataEntries"/>
              <w:rPr>
                <w:color w:val="000000" w:themeColor="text1"/>
              </w:rPr>
            </w:pPr>
            <w:r w:rsidRPr="00220574">
              <w:t>-13</w:t>
            </w:r>
          </w:p>
        </w:tc>
      </w:tr>
    </w:tbl>
    <w:p w14:paraId="7F5770E1" w14:textId="77777777" w:rsidR="00EB7BAA" w:rsidRPr="00492AD6" w:rsidRDefault="00EB7BAA" w:rsidP="00EB7BAA">
      <w:pPr>
        <w:pStyle w:val="Note"/>
        <w:rPr>
          <w:color w:val="000000" w:themeColor="text1"/>
        </w:rPr>
      </w:pPr>
      <w:r w:rsidRPr="00492AD6">
        <w:rPr>
          <w:rStyle w:val="NoteLabel"/>
          <w:color w:val="000000" w:themeColor="text1"/>
        </w:rPr>
        <w:t>a</w:t>
      </w:r>
      <w:r w:rsidRPr="00492AD6">
        <w:rPr>
          <w:color w:val="000000" w:themeColor="text1"/>
        </w:rPr>
        <w:t xml:space="preserve"> Aged care facility (C9C) is modelled by DeltaQ as a small hospital (C9AS) because aged care building had very short HVAC running hours according to NCC 2022 schedules so wasn't an appropriate test bed.</w:t>
      </w:r>
    </w:p>
    <w:p w14:paraId="5892597A" w14:textId="77777777" w:rsidR="00EB7BAA" w:rsidRPr="00492AD6" w:rsidRDefault="00EB7BAA" w:rsidP="00EB7BAA">
      <w:pPr>
        <w:pStyle w:val="Note"/>
        <w:rPr>
          <w:color w:val="000000" w:themeColor="text1"/>
          <w:lang w:bidi="fa-IR"/>
        </w:rPr>
      </w:pPr>
      <w:r w:rsidRPr="00492AD6">
        <w:rPr>
          <w:i/>
          <w:color w:val="000000" w:themeColor="text1"/>
        </w:rPr>
        <w:t>Note:</w:t>
      </w:r>
      <w:r w:rsidRPr="00492AD6">
        <w:rPr>
          <w:color w:val="000000" w:themeColor="text1"/>
        </w:rPr>
        <w:t xml:space="preserve"> n/a. – not available, indicates no gas consumption in the baseline</w:t>
      </w:r>
    </w:p>
    <w:p w14:paraId="017F9356" w14:textId="77777777" w:rsidR="00EB7BAA" w:rsidRPr="00492AD6" w:rsidRDefault="00EB7BAA" w:rsidP="00EB7BAA">
      <w:pPr>
        <w:pStyle w:val="Source"/>
        <w:rPr>
          <w:color w:val="000000" w:themeColor="text1"/>
          <w:lang w:bidi="fa-IR"/>
        </w:rPr>
      </w:pPr>
      <w:r w:rsidRPr="00492AD6">
        <w:rPr>
          <w:i/>
          <w:color w:val="000000" w:themeColor="text1"/>
          <w:lang w:bidi="fa-IR"/>
        </w:rPr>
        <w:t>Source:</w:t>
      </w:r>
      <w:r w:rsidRPr="00492AD6">
        <w:rPr>
          <w:color w:val="000000" w:themeColor="text1"/>
          <w:lang w:bidi="fa-IR"/>
        </w:rPr>
        <w:t xml:space="preserve"> DeltaQ building level modelling</w:t>
      </w:r>
    </w:p>
    <w:p w14:paraId="33BE157A" w14:textId="77777777" w:rsidR="00EB7BAA" w:rsidRPr="00844A6E" w:rsidRDefault="00EB7BAA" w:rsidP="00EB7BAA">
      <w:pPr>
        <w:pStyle w:val="BodyText"/>
        <w:rPr>
          <w:szCs w:val="22"/>
          <w:lang w:bidi="fa-IR"/>
        </w:rPr>
      </w:pPr>
      <w:r w:rsidRPr="00844A6E">
        <w:rPr>
          <w:szCs w:val="22"/>
          <w:lang w:bidi="fa-IR"/>
        </w:rPr>
        <w:t>It should be noted that only three archetypes (C3HL, C5OL and C9A) are modelled as dual fuel buildings in the base case. The other seven modelled archetypes do not use gas and therefore there are no changes in gas consumption (entered as ‘n/a’ in the table). Gas is generally used for heating, and thus not relevant for Climate Zone 1.</w:t>
      </w:r>
    </w:p>
    <w:p w14:paraId="1E4AACFC" w14:textId="3C42FD8D" w:rsidR="00EB7BAA" w:rsidRPr="00844A6E" w:rsidRDefault="00EB7BAA" w:rsidP="00EB7BAA">
      <w:pPr>
        <w:pStyle w:val="BodyText"/>
        <w:rPr>
          <w:szCs w:val="22"/>
          <w:lang w:bidi="fa-IR"/>
        </w:rPr>
      </w:pPr>
      <w:r w:rsidRPr="00844A6E">
        <w:rPr>
          <w:szCs w:val="22"/>
          <w:lang w:bidi="fa-IR"/>
        </w:rPr>
        <w:t>As can be seen from the table</w:t>
      </w:r>
      <w:r w:rsidR="00CD5738">
        <w:rPr>
          <w:szCs w:val="22"/>
          <w:lang w:bidi="fa-IR"/>
        </w:rPr>
        <w:t xml:space="preserve"> above</w:t>
      </w:r>
      <w:r w:rsidRPr="00844A6E">
        <w:rPr>
          <w:szCs w:val="22"/>
          <w:lang w:bidi="fa-IR"/>
        </w:rPr>
        <w:t>, the proposed changes in energy efficiency provisions under Stringency Level 1 are estimated to have significant reductions in energy consumption and associated GHG emissions, compared to the reference case (NCC 2022). In most cases, the reduction is estimated to be between 10 and 20 per cent, highest reduction is generally seen in C6RS while lowest reduction in C9A.</w:t>
      </w:r>
    </w:p>
    <w:p w14:paraId="31DAF3D9" w14:textId="0B7890AC" w:rsidR="00EB7BAA" w:rsidRPr="00844A6E" w:rsidRDefault="00EB7BAA" w:rsidP="00EB7BAA">
      <w:pPr>
        <w:pStyle w:val="BodyText"/>
        <w:rPr>
          <w:szCs w:val="22"/>
          <w:lang w:bidi="fa-IR"/>
        </w:rPr>
      </w:pPr>
      <w:r w:rsidRPr="00844A6E">
        <w:rPr>
          <w:szCs w:val="22"/>
          <w:lang w:bidi="fa-IR"/>
        </w:rPr>
        <w:t>As discussed, the avoided electricity</w:t>
      </w:r>
      <w:r w:rsidRPr="00844A6E">
        <w:rPr>
          <w:szCs w:val="22"/>
          <w:lang w:bidi="fa-IR"/>
        </w:rPr>
        <w:noBreakHyphen/>
        <w:t>related costs also depend on the time of day those energy savings are expected to occur. The time of day that energy savings are expected to occur varies across different building archetypes, climate zones and seasons.</w:t>
      </w:r>
    </w:p>
    <w:p w14:paraId="37C99D6E" w14:textId="27A6C4AC" w:rsidR="00EB7BAA" w:rsidRPr="00844A6E" w:rsidRDefault="00EB7BAA" w:rsidP="00EB7BAA">
      <w:pPr>
        <w:pStyle w:val="BodyText"/>
        <w:rPr>
          <w:szCs w:val="22"/>
          <w:lang w:bidi="fa-IR"/>
        </w:rPr>
      </w:pPr>
      <w:r w:rsidRPr="00844A6E">
        <w:rPr>
          <w:szCs w:val="22"/>
          <w:lang w:bidi="fa-IR"/>
        </w:rPr>
        <w:t>Charts summarising electricity savings in each hourly interval across an average week in each of the four seasons (for selected building archetype and selected climate zone combination) are presented in appendix</w:t>
      </w:r>
      <w:r>
        <w:rPr>
          <w:szCs w:val="22"/>
          <w:lang w:bidi="fa-IR"/>
        </w:rPr>
        <w:t xml:space="preserve"> F</w:t>
      </w:r>
      <w:r w:rsidRPr="00844A6E">
        <w:rPr>
          <w:szCs w:val="22"/>
          <w:lang w:bidi="fa-IR"/>
        </w:rPr>
        <w:t>.</w:t>
      </w:r>
    </w:p>
    <w:p w14:paraId="4CA95762" w14:textId="77777777" w:rsidR="00EB7BAA" w:rsidRPr="00844A6E" w:rsidRDefault="00EB7BAA" w:rsidP="00EB7BAA">
      <w:pPr>
        <w:pStyle w:val="BodyText"/>
        <w:rPr>
          <w:szCs w:val="22"/>
          <w:lang w:bidi="fa-IR"/>
        </w:rPr>
      </w:pPr>
      <w:r w:rsidRPr="00844A6E">
        <w:rPr>
          <w:szCs w:val="22"/>
          <w:lang w:bidi="fa-IR"/>
        </w:rPr>
        <w:t>In some cases, gas consumption is modelled to increase. This is because the solar admittance measure reduces cooling needs, which achieves overall energy and emissions savings, but increases heating needs in winter. Therefore, some dual-fuel models showed an increase in gas use. This leads to an increase in gas costs in the CBA results (as this is a cost it is shown as a negative number in the CBA below).</w:t>
      </w:r>
    </w:p>
    <w:p w14:paraId="178A1CF3" w14:textId="77777777" w:rsidR="00EB7BAA" w:rsidRDefault="00EB7BAA" w:rsidP="00EB7BAA">
      <w:pPr>
        <w:pStyle w:val="Heading3"/>
        <w:numPr>
          <w:ilvl w:val="2"/>
          <w:numId w:val="0"/>
        </w:numPr>
        <w:rPr>
          <w:lang w:bidi="fa-IR"/>
        </w:rPr>
      </w:pPr>
      <w:r>
        <w:rPr>
          <w:lang w:bidi="fa-IR"/>
        </w:rPr>
        <w:t>Building</w:t>
      </w:r>
      <w:r>
        <w:rPr>
          <w:lang w:bidi="fa-IR"/>
        </w:rPr>
        <w:noBreakHyphen/>
        <w:t>level CBA</w:t>
      </w:r>
    </w:p>
    <w:p w14:paraId="288561A8" w14:textId="41A30D6B" w:rsidR="00EB7BAA" w:rsidRDefault="00EB7BAA" w:rsidP="00EB7BAA">
      <w:pPr>
        <w:pStyle w:val="BodyText"/>
        <w:rPr>
          <w:szCs w:val="22"/>
          <w:lang w:bidi="fa-IR"/>
        </w:rPr>
      </w:pPr>
      <w:r w:rsidRPr="00844A6E">
        <w:rPr>
          <w:szCs w:val="22"/>
          <w:lang w:bidi="fa-IR"/>
        </w:rPr>
        <w:t>The building</w:t>
      </w:r>
      <w:r w:rsidRPr="00844A6E">
        <w:rPr>
          <w:szCs w:val="22"/>
          <w:lang w:bidi="fa-IR"/>
        </w:rPr>
        <w:noBreakHyphen/>
        <w:t>level CBA for Stringency Level 1 for the large office building archetype (C5OL) for the climate zone that contains the capital city in each state is shown in table </w:t>
      </w:r>
      <w:r w:rsidR="006E5BA6">
        <w:rPr>
          <w:szCs w:val="22"/>
          <w:lang w:bidi="fa-IR"/>
        </w:rPr>
        <w:fldChar w:fldCharType="begin"/>
      </w:r>
      <w:r w:rsidR="006E5BA6">
        <w:rPr>
          <w:szCs w:val="22"/>
          <w:lang w:bidi="fa-IR"/>
        </w:rPr>
        <w:instrText xml:space="preserve"> REF _Caption2879 </w:instrText>
      </w:r>
      <w:r w:rsidR="006E5BA6">
        <w:rPr>
          <w:szCs w:val="22"/>
          <w:lang w:bidi="fa-IR"/>
        </w:rPr>
        <w:fldChar w:fldCharType="separate"/>
      </w:r>
      <w:r w:rsidR="006E00A7">
        <w:rPr>
          <w:noProof/>
        </w:rPr>
        <w:t>6</w:t>
      </w:r>
      <w:r w:rsidR="006E00A7" w:rsidRPr="006F0F88">
        <w:rPr>
          <w:noProof/>
        </w:rPr>
        <w:t>.</w:t>
      </w:r>
      <w:r w:rsidR="006E00A7">
        <w:rPr>
          <w:noProof/>
        </w:rPr>
        <w:t>3</w:t>
      </w:r>
      <w:r w:rsidR="006E5BA6">
        <w:rPr>
          <w:szCs w:val="22"/>
          <w:lang w:bidi="fa-IR"/>
        </w:rPr>
        <w:fldChar w:fldCharType="end"/>
      </w:r>
      <w:r w:rsidRPr="00844A6E">
        <w:rPr>
          <w:szCs w:val="22"/>
          <w:lang w:bidi="fa-IR"/>
        </w:rPr>
        <w:t>.</w:t>
      </w:r>
      <w:r w:rsidRPr="00A4291F">
        <w:rPr>
          <w:rStyle w:val="FootnoteReference"/>
        </w:rPr>
        <w:footnoteReference w:id="126"/>
      </w:r>
      <w:r w:rsidRPr="00A4291F">
        <w:rPr>
          <w:rStyle w:val="FootnoteReference"/>
        </w:rPr>
        <w:t xml:space="preserve"> </w:t>
      </w:r>
      <w:r w:rsidRPr="00844A6E">
        <w:rPr>
          <w:szCs w:val="22"/>
          <w:lang w:bidi="fa-IR"/>
        </w:rPr>
        <w:t>These estimates are presented in present value terms over the (assumed) 50-year life of the building using a discount rate of 5 per cent.</w:t>
      </w:r>
    </w:p>
    <w:p w14:paraId="6302A87E" w14:textId="4202F1E1" w:rsidR="006E5BA6" w:rsidRPr="006F0F88" w:rsidRDefault="006E5BA6" w:rsidP="006E5BA6">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E136D5">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136D5">
          <w:rPr>
            <w:noProof/>
          </w:rPr>
          <w:instrText>6</w:instrText>
        </w:r>
      </w:fldSimple>
      <w:r w:rsidRPr="006F0F88">
        <w:instrText xml:space="preserve"> = 0 "" "</w:instrText>
      </w:r>
      <w:fldSimple w:instr=" STYLEREF &quot;Heading 1&quot; \l \n ">
        <w:r w:rsidR="00E136D5">
          <w:rPr>
            <w:noProof/>
          </w:rPr>
          <w:instrText>6</w:instrText>
        </w:r>
      </w:fldSimple>
      <w:r w:rsidRPr="006F0F88">
        <w:instrText xml:space="preserve">." </w:instrText>
      </w:r>
      <w:r w:rsidRPr="006F0F88">
        <w:fldChar w:fldCharType="separate"/>
      </w:r>
      <w:r w:rsidR="00E136D5">
        <w:rPr>
          <w:noProof/>
        </w:rPr>
        <w:instrText>6</w:instrText>
      </w:r>
      <w:r w:rsidR="00E136D5"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6</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E136D5">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136D5">
          <w:rPr>
            <w:noProof/>
          </w:rPr>
          <w:instrText>6</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E136D5">
        <w:rPr>
          <w:noProof/>
        </w:rPr>
        <w:instrText>3</w:instrText>
      </w:r>
      <w:r w:rsidRPr="006F0F88">
        <w:fldChar w:fldCharType="end"/>
      </w:r>
      <w:r w:rsidRPr="006F0F88">
        <w:instrText xml:space="preserve">" "" </w:instrText>
      </w:r>
      <w:r w:rsidRPr="006F0F88">
        <w:fldChar w:fldCharType="separate"/>
      </w:r>
      <w:bookmarkStart w:id="1768" w:name="_Caption7166"/>
      <w:bookmarkStart w:id="1769" w:name="_Caption7627"/>
      <w:bookmarkStart w:id="1770" w:name="_Caption2662"/>
      <w:bookmarkStart w:id="1771" w:name="_Caption0524"/>
      <w:bookmarkStart w:id="1772" w:name="_Caption1277"/>
      <w:bookmarkStart w:id="1773" w:name="_Caption5510"/>
      <w:bookmarkStart w:id="1774" w:name="_Caption0963"/>
      <w:bookmarkStart w:id="1775" w:name="_Caption4821"/>
      <w:bookmarkStart w:id="1776" w:name="_Caption0784"/>
      <w:bookmarkStart w:id="1777" w:name="_Caption9387"/>
      <w:bookmarkStart w:id="1778" w:name="_Caption9079"/>
      <w:bookmarkStart w:id="1779" w:name="_Caption9645"/>
      <w:bookmarkStart w:id="1780" w:name="_Caption9855"/>
      <w:bookmarkStart w:id="1781" w:name="_Caption3281"/>
      <w:bookmarkStart w:id="1782" w:name="_Caption2688"/>
      <w:bookmarkStart w:id="1783" w:name="_Caption1965"/>
      <w:bookmarkStart w:id="1784" w:name="_Caption6109"/>
      <w:bookmarkStart w:id="1785" w:name="_Caption6654"/>
      <w:bookmarkStart w:id="1786" w:name="_Caption3484"/>
      <w:bookmarkStart w:id="1787" w:name="_Caption1607"/>
      <w:bookmarkStart w:id="1788" w:name="_Caption7096"/>
      <w:bookmarkStart w:id="1789" w:name="_Caption8078"/>
      <w:bookmarkStart w:id="1790" w:name="_Caption4056"/>
      <w:bookmarkStart w:id="1791" w:name="_Caption8527"/>
      <w:bookmarkStart w:id="1792" w:name="_Caption4077"/>
      <w:bookmarkStart w:id="1793" w:name="_Caption5807"/>
      <w:bookmarkStart w:id="1794" w:name="_Caption6399"/>
      <w:bookmarkStart w:id="1795" w:name="_Caption1047"/>
      <w:bookmarkStart w:id="1796" w:name="_Caption8238"/>
      <w:bookmarkStart w:id="1797" w:name="_Caption1021"/>
      <w:bookmarkStart w:id="1798" w:name="_Caption9173"/>
      <w:bookmarkStart w:id="1799" w:name="_Caption9994"/>
      <w:bookmarkStart w:id="1800" w:name="_Caption6591"/>
      <w:bookmarkStart w:id="1801" w:name="_Caption7157"/>
      <w:bookmarkStart w:id="1802" w:name="_Caption6967"/>
      <w:bookmarkStart w:id="1803" w:name="_Caption9066"/>
      <w:bookmarkStart w:id="1804" w:name="_Caption6205"/>
      <w:bookmarkStart w:id="1805" w:name="_Caption2233"/>
      <w:bookmarkStart w:id="1806" w:name="_Caption4546"/>
      <w:bookmarkStart w:id="1807" w:name="_Caption1353"/>
      <w:bookmarkStart w:id="1808" w:name="_Caption7649"/>
      <w:bookmarkStart w:id="1809" w:name="_Caption9110"/>
      <w:bookmarkStart w:id="1810" w:name="_Caption0343"/>
      <w:bookmarkStart w:id="1811" w:name="_Caption6448"/>
      <w:bookmarkStart w:id="1812" w:name="_Caption2879"/>
      <w:bookmarkStart w:id="1813" w:name="_Caption1008"/>
      <w:bookmarkStart w:id="1814" w:name="_Caption8541"/>
      <w:bookmarkStart w:id="1815" w:name="_Caption3531"/>
      <w:bookmarkStart w:id="1816" w:name="_Caption5398"/>
      <w:bookmarkStart w:id="1817" w:name="_Caption2490"/>
      <w:bookmarkStart w:id="1818" w:name="_Caption5845"/>
      <w:bookmarkStart w:id="1819" w:name="_Caption1151"/>
      <w:bookmarkStart w:id="1820" w:name="_Caption1231"/>
      <w:bookmarkStart w:id="1821" w:name="_Caption7751"/>
      <w:bookmarkStart w:id="1822" w:name="_Caption8048"/>
      <w:bookmarkStart w:id="1823" w:name="_Caption5835"/>
      <w:bookmarkStart w:id="1824" w:name="_Caption2035"/>
      <w:bookmarkStart w:id="1825" w:name="_Caption4776"/>
      <w:bookmarkStart w:id="1826" w:name="_Caption9073"/>
      <w:bookmarkStart w:id="1827" w:name="_Caption4621"/>
      <w:bookmarkStart w:id="1828" w:name="_Caption6312"/>
      <w:bookmarkStart w:id="1829" w:name="_Caption4811"/>
      <w:bookmarkStart w:id="1830" w:name="_Caption0022"/>
      <w:bookmarkStart w:id="1831" w:name="_Caption2096"/>
      <w:bookmarkStart w:id="1832" w:name="_Caption2586"/>
      <w:bookmarkStart w:id="1833" w:name="_Caption4843"/>
      <w:bookmarkStart w:id="1834" w:name="_Caption2923"/>
      <w:bookmarkStart w:id="1835" w:name="_Caption0383"/>
      <w:bookmarkStart w:id="1836" w:name="_Caption2987"/>
      <w:bookmarkStart w:id="1837" w:name="_Caption1620"/>
      <w:bookmarkStart w:id="1838" w:name="_Caption6079"/>
      <w:bookmarkStart w:id="1839" w:name="_Caption6172"/>
      <w:bookmarkStart w:id="1840" w:name="_Caption3654"/>
      <w:bookmarkStart w:id="1841" w:name="_Caption4833"/>
      <w:bookmarkStart w:id="1842" w:name="_Caption9411"/>
      <w:bookmarkStart w:id="1843" w:name="_Caption7206"/>
      <w:bookmarkStart w:id="1844" w:name="_Caption0155"/>
      <w:bookmarkStart w:id="1845" w:name="_Caption1516"/>
      <w:bookmarkStart w:id="1846" w:name="_Caption9466"/>
      <w:bookmarkStart w:id="1847" w:name="_Caption4778"/>
      <w:bookmarkStart w:id="1848" w:name="_Caption1723"/>
      <w:bookmarkStart w:id="1849" w:name="_Caption0644"/>
      <w:bookmarkStart w:id="1850" w:name="_Caption8976"/>
      <w:bookmarkStart w:id="1851" w:name="_Caption0428"/>
      <w:bookmarkStart w:id="1852" w:name="_Caption5621"/>
      <w:bookmarkStart w:id="1853" w:name="_Caption6607"/>
      <w:bookmarkStart w:id="1854" w:name="_Caption8618"/>
      <w:bookmarkStart w:id="1855" w:name="_Caption2362"/>
      <w:bookmarkStart w:id="1856" w:name="_Toc177735160"/>
      <w:bookmarkStart w:id="1857" w:name="_Toc178292590"/>
      <w:r w:rsidR="008C60A3">
        <w:rPr>
          <w:noProof/>
        </w:rPr>
        <w:t>6</w:t>
      </w:r>
      <w:r w:rsidR="008C60A3" w:rsidRPr="006F0F88">
        <w:rPr>
          <w:noProof/>
        </w:rPr>
        <w:t>.</w:t>
      </w:r>
      <w:r w:rsidR="008C60A3">
        <w:rPr>
          <w:noProof/>
        </w:rPr>
        <w:t>3</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r w:rsidRPr="006F0F88">
        <w:fldChar w:fldCharType="end"/>
      </w:r>
      <w:r w:rsidRPr="006F0F88">
        <w:tab/>
        <w:t>Building</w:t>
      </w:r>
      <w:r w:rsidRPr="006F0F88">
        <w:noBreakHyphen/>
        <w:t>level CBA for Stringency Level 1 — C5OL</w:t>
      </w:r>
      <w:bookmarkEnd w:id="1856"/>
      <w:bookmarkEnd w:id="1857"/>
    </w:p>
    <w:tbl>
      <w:tblPr>
        <w:tblW w:w="7940" w:type="dxa"/>
        <w:tblLayout w:type="fixed"/>
        <w:tblLook w:val="0000" w:firstRow="0" w:lastRow="0" w:firstColumn="0" w:lastColumn="0" w:noHBand="0" w:noVBand="0"/>
        <w:tblCaption w:val="Table 5.2"/>
        <w:tblDescription w:val="Building level CBA for Stringency Level 1 — C5OL"/>
      </w:tblPr>
      <w:tblGrid>
        <w:gridCol w:w="2416"/>
        <w:gridCol w:w="690"/>
        <w:gridCol w:w="691"/>
        <w:gridCol w:w="690"/>
        <w:gridCol w:w="691"/>
        <w:gridCol w:w="691"/>
        <w:gridCol w:w="690"/>
        <w:gridCol w:w="691"/>
        <w:gridCol w:w="690"/>
      </w:tblGrid>
      <w:tr w:rsidR="006E5BA6" w14:paraId="21E968AB" w14:textId="77777777">
        <w:trPr>
          <w:trHeight w:val="245"/>
          <w:tblHeader/>
        </w:trPr>
        <w:tc>
          <w:tcPr>
            <w:tcW w:w="2416" w:type="dxa"/>
            <w:shd w:val="clear" w:color="auto" w:fill="6F6652"/>
            <w:tcMar>
              <w:left w:w="57" w:type="dxa"/>
              <w:right w:w="57" w:type="dxa"/>
            </w:tcMar>
          </w:tcPr>
          <w:p w14:paraId="7806CC73" w14:textId="77777777" w:rsidR="006E5BA6" w:rsidRDefault="006E5BA6">
            <w:pPr>
              <w:pStyle w:val="TableDataColumnHeading"/>
              <w:jc w:val="left"/>
            </w:pPr>
            <w:r>
              <w:t>Impact</w:t>
            </w:r>
          </w:p>
        </w:tc>
        <w:tc>
          <w:tcPr>
            <w:tcW w:w="690" w:type="dxa"/>
            <w:shd w:val="clear" w:color="auto" w:fill="6F6652"/>
            <w:tcMar>
              <w:left w:w="57" w:type="dxa"/>
              <w:right w:w="57" w:type="dxa"/>
            </w:tcMar>
          </w:tcPr>
          <w:p w14:paraId="37DE6073" w14:textId="77777777" w:rsidR="006E5BA6" w:rsidRDefault="006E5BA6">
            <w:pPr>
              <w:pStyle w:val="TableDataColumnHeading"/>
            </w:pPr>
            <w:r>
              <w:t>NSW (CZ5)</w:t>
            </w:r>
          </w:p>
          <w:p w14:paraId="6926DB3D" w14:textId="77777777" w:rsidR="006E5BA6" w:rsidRDefault="006E5BA6">
            <w:pPr>
              <w:pStyle w:val="TableDataColumnHeading"/>
            </w:pPr>
            <w:r>
              <w:t>$ per m</w:t>
            </w:r>
            <w:r w:rsidRPr="005347E2">
              <w:rPr>
                <w:vertAlign w:val="superscript"/>
              </w:rPr>
              <w:t>2</w:t>
            </w:r>
          </w:p>
        </w:tc>
        <w:tc>
          <w:tcPr>
            <w:tcW w:w="691" w:type="dxa"/>
            <w:shd w:val="clear" w:color="auto" w:fill="6F6652"/>
            <w:tcMar>
              <w:left w:w="57" w:type="dxa"/>
              <w:right w:w="57" w:type="dxa"/>
            </w:tcMar>
          </w:tcPr>
          <w:p w14:paraId="12B5AD99" w14:textId="77777777" w:rsidR="006E5BA6" w:rsidRDefault="006E5BA6">
            <w:pPr>
              <w:pStyle w:val="TableDataColumnHeading"/>
            </w:pPr>
            <w:r>
              <w:t>VIC (CZ6)</w:t>
            </w:r>
          </w:p>
          <w:p w14:paraId="5ED1726A" w14:textId="77777777" w:rsidR="006E5BA6" w:rsidRDefault="006E5BA6">
            <w:pPr>
              <w:pStyle w:val="TableDataColumnHeading"/>
            </w:pPr>
            <w:r>
              <w:t>$ per m</w:t>
            </w:r>
            <w:r w:rsidRPr="005347E2">
              <w:rPr>
                <w:vertAlign w:val="superscript"/>
              </w:rPr>
              <w:t>2</w:t>
            </w:r>
          </w:p>
        </w:tc>
        <w:tc>
          <w:tcPr>
            <w:tcW w:w="690" w:type="dxa"/>
            <w:shd w:val="clear" w:color="auto" w:fill="6F6652"/>
            <w:tcMar>
              <w:left w:w="57" w:type="dxa"/>
              <w:right w:w="57" w:type="dxa"/>
            </w:tcMar>
          </w:tcPr>
          <w:p w14:paraId="241F3050" w14:textId="77777777" w:rsidR="006E5BA6" w:rsidRDefault="006E5BA6">
            <w:pPr>
              <w:pStyle w:val="TableDataColumnHeading"/>
            </w:pPr>
            <w:r>
              <w:t>QLD (CZ2)</w:t>
            </w:r>
          </w:p>
          <w:p w14:paraId="5B8D44CD" w14:textId="77777777" w:rsidR="006E5BA6" w:rsidRDefault="006E5BA6">
            <w:pPr>
              <w:pStyle w:val="TableDataColumnHeading"/>
            </w:pPr>
            <w:r>
              <w:t>$ per m</w:t>
            </w:r>
            <w:r w:rsidRPr="005347E2">
              <w:rPr>
                <w:vertAlign w:val="superscript"/>
              </w:rPr>
              <w:t>2</w:t>
            </w:r>
          </w:p>
        </w:tc>
        <w:tc>
          <w:tcPr>
            <w:tcW w:w="691" w:type="dxa"/>
            <w:shd w:val="clear" w:color="auto" w:fill="6F6652"/>
            <w:tcMar>
              <w:left w:w="57" w:type="dxa"/>
              <w:right w:w="57" w:type="dxa"/>
            </w:tcMar>
          </w:tcPr>
          <w:p w14:paraId="55956136" w14:textId="77777777" w:rsidR="006E5BA6" w:rsidRDefault="006E5BA6">
            <w:pPr>
              <w:pStyle w:val="TableDataColumnHeading"/>
            </w:pPr>
            <w:r>
              <w:t>WA (CZ5)</w:t>
            </w:r>
          </w:p>
          <w:p w14:paraId="5EBF2E4E" w14:textId="77777777" w:rsidR="006E5BA6" w:rsidRDefault="006E5BA6">
            <w:pPr>
              <w:pStyle w:val="TableDataColumnHeading"/>
            </w:pPr>
            <w:r>
              <w:t>$ per m</w:t>
            </w:r>
            <w:r w:rsidRPr="005347E2">
              <w:rPr>
                <w:vertAlign w:val="superscript"/>
              </w:rPr>
              <w:t>2</w:t>
            </w:r>
          </w:p>
        </w:tc>
        <w:tc>
          <w:tcPr>
            <w:tcW w:w="691" w:type="dxa"/>
            <w:shd w:val="clear" w:color="auto" w:fill="6F6652"/>
            <w:tcMar>
              <w:left w:w="57" w:type="dxa"/>
              <w:right w:w="57" w:type="dxa"/>
            </w:tcMar>
          </w:tcPr>
          <w:p w14:paraId="6760506F" w14:textId="77777777" w:rsidR="006E5BA6" w:rsidRDefault="006E5BA6">
            <w:pPr>
              <w:pStyle w:val="TableDataColumnHeading"/>
            </w:pPr>
            <w:r>
              <w:t>SA (CZ5)</w:t>
            </w:r>
          </w:p>
          <w:p w14:paraId="74FA93F4" w14:textId="77777777" w:rsidR="006E5BA6" w:rsidRDefault="006E5BA6">
            <w:pPr>
              <w:pStyle w:val="TableDataColumnHeading"/>
            </w:pPr>
            <w:r>
              <w:t>$ per m</w:t>
            </w:r>
            <w:r w:rsidRPr="005347E2">
              <w:rPr>
                <w:vertAlign w:val="superscript"/>
              </w:rPr>
              <w:t>2</w:t>
            </w:r>
          </w:p>
        </w:tc>
        <w:tc>
          <w:tcPr>
            <w:tcW w:w="690" w:type="dxa"/>
            <w:shd w:val="clear" w:color="auto" w:fill="6F6652"/>
            <w:tcMar>
              <w:left w:w="57" w:type="dxa"/>
              <w:right w:w="57" w:type="dxa"/>
            </w:tcMar>
          </w:tcPr>
          <w:p w14:paraId="4C0AEB7B" w14:textId="77777777" w:rsidR="006E5BA6" w:rsidRDefault="006E5BA6">
            <w:pPr>
              <w:pStyle w:val="TableDataColumnHeading"/>
            </w:pPr>
            <w:r>
              <w:t>TAS (CZ7)</w:t>
            </w:r>
          </w:p>
          <w:p w14:paraId="59F8A0A1" w14:textId="77777777" w:rsidR="006E5BA6" w:rsidRDefault="006E5BA6">
            <w:pPr>
              <w:pStyle w:val="TableDataColumnHeading"/>
            </w:pPr>
            <w:r>
              <w:t>$ per m</w:t>
            </w:r>
            <w:r w:rsidRPr="005347E2">
              <w:rPr>
                <w:vertAlign w:val="superscript"/>
              </w:rPr>
              <w:t>2</w:t>
            </w:r>
          </w:p>
        </w:tc>
        <w:tc>
          <w:tcPr>
            <w:tcW w:w="691" w:type="dxa"/>
            <w:shd w:val="clear" w:color="auto" w:fill="6F6652"/>
            <w:tcMar>
              <w:left w:w="57" w:type="dxa"/>
              <w:right w:w="57" w:type="dxa"/>
            </w:tcMar>
          </w:tcPr>
          <w:p w14:paraId="32371D40" w14:textId="77777777" w:rsidR="006E5BA6" w:rsidRDefault="006E5BA6">
            <w:pPr>
              <w:pStyle w:val="TableDataColumnHeading"/>
            </w:pPr>
            <w:r>
              <w:t>ACT (CZ7)</w:t>
            </w:r>
          </w:p>
          <w:p w14:paraId="0769F526" w14:textId="77777777" w:rsidR="006E5BA6" w:rsidRDefault="006E5BA6">
            <w:pPr>
              <w:pStyle w:val="TableDataColumnHeading"/>
            </w:pPr>
            <w:r>
              <w:t>$ per m</w:t>
            </w:r>
            <w:r w:rsidRPr="005347E2">
              <w:rPr>
                <w:vertAlign w:val="superscript"/>
              </w:rPr>
              <w:t>2</w:t>
            </w:r>
          </w:p>
        </w:tc>
        <w:tc>
          <w:tcPr>
            <w:tcW w:w="690" w:type="dxa"/>
            <w:shd w:val="clear" w:color="auto" w:fill="6F6652"/>
            <w:tcMar>
              <w:left w:w="57" w:type="dxa"/>
              <w:right w:w="57" w:type="dxa"/>
            </w:tcMar>
          </w:tcPr>
          <w:p w14:paraId="06EE5E91" w14:textId="77777777" w:rsidR="006E5BA6" w:rsidRDefault="006E5BA6">
            <w:pPr>
              <w:pStyle w:val="TableDataColumnHeading"/>
            </w:pPr>
            <w:r>
              <w:t>NT (CZ1)</w:t>
            </w:r>
          </w:p>
          <w:p w14:paraId="01AE9727" w14:textId="77777777" w:rsidR="006E5BA6" w:rsidRDefault="006E5BA6">
            <w:pPr>
              <w:pStyle w:val="TableDataColumnHeading"/>
            </w:pPr>
            <w:r>
              <w:t>$ per m</w:t>
            </w:r>
            <w:r w:rsidRPr="005347E2">
              <w:rPr>
                <w:vertAlign w:val="superscript"/>
              </w:rPr>
              <w:t>2</w:t>
            </w:r>
          </w:p>
        </w:tc>
      </w:tr>
      <w:tr w:rsidR="006E5BA6" w14:paraId="1096FA9D" w14:textId="77777777">
        <w:trPr>
          <w:trHeight w:val="245"/>
        </w:trPr>
        <w:tc>
          <w:tcPr>
            <w:tcW w:w="24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2613620" w14:textId="77777777" w:rsidR="006E5BA6" w:rsidRDefault="006E5BA6">
            <w:pPr>
              <w:pStyle w:val="TableDataEntries"/>
              <w:jc w:val="left"/>
            </w:pPr>
            <w:r>
              <w:t>Change in electricity network capacity costs</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66377A" w14:textId="5E9E3B65" w:rsidR="006E5BA6" w:rsidRDefault="006E5BA6">
            <w:pPr>
              <w:pStyle w:val="TableDataEntries"/>
            </w:pPr>
            <w:r>
              <w:t>6.01</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A6B1299" w14:textId="401F884E" w:rsidR="006E5BA6" w:rsidRDefault="006E5BA6">
            <w:pPr>
              <w:pStyle w:val="TableDataEntries"/>
            </w:pPr>
            <w:r>
              <w:t>2.07</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B531CD" w14:textId="3152A69F" w:rsidR="006E5BA6" w:rsidRDefault="006E5BA6">
            <w:pPr>
              <w:pStyle w:val="TableDataEntries"/>
            </w:pPr>
            <w:r>
              <w:t>7.38</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44647B" w14:textId="00DF1CE6" w:rsidR="006E5BA6" w:rsidRDefault="006E5BA6">
            <w:pPr>
              <w:pStyle w:val="TableDataEntries"/>
            </w:pPr>
            <w:r>
              <w:t>1.48</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CFA8CF" w14:textId="45A268A2" w:rsidR="006E5BA6" w:rsidRDefault="006E5BA6">
            <w:pPr>
              <w:pStyle w:val="TableDataEntries"/>
            </w:pPr>
            <w:r>
              <w:t>3.36</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58BFD25" w14:textId="24947CC0" w:rsidR="006E5BA6" w:rsidRDefault="006E5BA6">
            <w:pPr>
              <w:pStyle w:val="TableDataEntries"/>
            </w:pPr>
            <w:r>
              <w:t>7.40</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7B3628" w14:textId="01097F0A" w:rsidR="006E5BA6" w:rsidRDefault="006E5BA6">
            <w:pPr>
              <w:pStyle w:val="TableDataEntries"/>
            </w:pPr>
            <w:r>
              <w:t>3.37</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D95B79" w14:textId="1BD2E693" w:rsidR="006E5BA6" w:rsidRDefault="006E5BA6">
            <w:pPr>
              <w:pStyle w:val="TableDataEntries"/>
            </w:pPr>
            <w:r>
              <w:t>4.89</w:t>
            </w:r>
          </w:p>
        </w:tc>
      </w:tr>
      <w:tr w:rsidR="006E5BA6" w14:paraId="33A3432F" w14:textId="77777777">
        <w:trPr>
          <w:trHeight w:val="245"/>
        </w:trPr>
        <w:tc>
          <w:tcPr>
            <w:tcW w:w="24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B1921B8" w14:textId="77777777" w:rsidR="006E5BA6" w:rsidRDefault="006E5BA6">
            <w:pPr>
              <w:pStyle w:val="TableDataEntries"/>
              <w:jc w:val="left"/>
            </w:pPr>
            <w:r>
              <w:t>Change in electricity generation costs</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E2F4AA9" w14:textId="495E9CC6" w:rsidR="006E5BA6" w:rsidRDefault="006E5BA6">
            <w:pPr>
              <w:pStyle w:val="TableDataEntries"/>
            </w:pPr>
            <w:r>
              <w:t>12.34</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5025C9" w14:textId="2358F286" w:rsidR="006E5BA6" w:rsidRDefault="006E5BA6">
            <w:pPr>
              <w:pStyle w:val="TableDataEntries"/>
            </w:pPr>
            <w:r>
              <w:t>7.59</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8C67B8B" w14:textId="4EBB083A" w:rsidR="006E5BA6" w:rsidRDefault="006E5BA6">
            <w:pPr>
              <w:pStyle w:val="TableDataEntries"/>
            </w:pPr>
            <w:r>
              <w:t>13.39</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17E5013" w14:textId="02938292" w:rsidR="006E5BA6" w:rsidRDefault="006E5BA6">
            <w:pPr>
              <w:pStyle w:val="TableDataEntries"/>
            </w:pPr>
            <w:r>
              <w:t>7.58</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D2B4CE" w14:textId="02BB77E9" w:rsidR="006E5BA6" w:rsidRDefault="006E5BA6">
            <w:pPr>
              <w:pStyle w:val="TableDataEntries"/>
            </w:pPr>
            <w:r>
              <w:t>9.31</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6F1CC1" w14:textId="5EC9AF5F" w:rsidR="006E5BA6" w:rsidRDefault="006E5BA6">
            <w:pPr>
              <w:pStyle w:val="TableDataEntries"/>
            </w:pPr>
            <w:r>
              <w:t>7.80</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AECA64" w14:textId="5CE531D0" w:rsidR="006E5BA6" w:rsidRDefault="006E5BA6">
            <w:pPr>
              <w:pStyle w:val="TableDataEntries"/>
            </w:pPr>
            <w:r>
              <w:t>8.79</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0973399" w14:textId="3B035C88" w:rsidR="006E5BA6" w:rsidRDefault="006E5BA6">
            <w:pPr>
              <w:pStyle w:val="TableDataEntries"/>
            </w:pPr>
            <w:r>
              <w:t>22.12</w:t>
            </w:r>
          </w:p>
        </w:tc>
      </w:tr>
      <w:tr w:rsidR="006E5BA6" w14:paraId="50425285" w14:textId="77777777">
        <w:trPr>
          <w:trHeight w:val="245"/>
        </w:trPr>
        <w:tc>
          <w:tcPr>
            <w:tcW w:w="24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9552A4F" w14:textId="77777777" w:rsidR="006E5BA6" w:rsidRDefault="006E5BA6">
            <w:pPr>
              <w:pStyle w:val="TableDataEntries"/>
              <w:jc w:val="left"/>
            </w:pPr>
            <w:r>
              <w:t>Change in electricity network usage costs</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44D012" w14:textId="5B4B989B" w:rsidR="006E5BA6" w:rsidRDefault="006E5BA6">
            <w:pPr>
              <w:pStyle w:val="TableDataEntries"/>
            </w:pPr>
            <w:r>
              <w:t>6.78</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1EF254C" w14:textId="3B1678AE" w:rsidR="006E5BA6" w:rsidRDefault="006E5BA6">
            <w:pPr>
              <w:pStyle w:val="TableDataEntries"/>
            </w:pPr>
            <w:r>
              <w:t>7.18</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7697AC" w14:textId="414424EA" w:rsidR="006E5BA6" w:rsidRDefault="006E5BA6">
            <w:pPr>
              <w:pStyle w:val="TableDataEntries"/>
            </w:pPr>
            <w:r>
              <w:t>8.08</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A56AC3" w14:textId="00B36487" w:rsidR="006E5BA6" w:rsidRDefault="006E5BA6">
            <w:pPr>
              <w:pStyle w:val="TableDataEntries"/>
            </w:pPr>
            <w:r>
              <w:t>16.89</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FDAD67" w14:textId="71135144" w:rsidR="006E5BA6" w:rsidRDefault="006E5BA6">
            <w:pPr>
              <w:pStyle w:val="TableDataEntries"/>
            </w:pPr>
            <w:r>
              <w:t>19.33</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F23E35" w14:textId="5B8BB7DB" w:rsidR="006E5BA6" w:rsidRDefault="006E5BA6">
            <w:pPr>
              <w:pStyle w:val="TableDataEntries"/>
            </w:pPr>
            <w:r>
              <w:t>11.41</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0493F69" w14:textId="5674D417" w:rsidR="006E5BA6" w:rsidRDefault="006E5BA6">
            <w:pPr>
              <w:pStyle w:val="TableDataEntries"/>
            </w:pPr>
            <w:r>
              <w:t>6.91</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51275EA" w14:textId="2B102E1F" w:rsidR="006E5BA6" w:rsidRDefault="006E5BA6">
            <w:pPr>
              <w:pStyle w:val="TableDataEntries"/>
            </w:pPr>
            <w:r>
              <w:t>11.40</w:t>
            </w:r>
          </w:p>
        </w:tc>
      </w:tr>
      <w:tr w:rsidR="006E5BA6" w14:paraId="26973589" w14:textId="77777777">
        <w:trPr>
          <w:trHeight w:val="245"/>
        </w:trPr>
        <w:tc>
          <w:tcPr>
            <w:tcW w:w="24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B64A138" w14:textId="77777777" w:rsidR="006E5BA6" w:rsidRDefault="006E5BA6">
            <w:pPr>
              <w:pStyle w:val="TableDataEntries"/>
              <w:jc w:val="left"/>
            </w:pPr>
            <w:r>
              <w:t>Change in electricity retail costs</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E89A035" w14:textId="18BFC85C" w:rsidR="006E5BA6" w:rsidRDefault="006E5BA6">
            <w:pPr>
              <w:pStyle w:val="TableDataEntries"/>
            </w:pPr>
            <w:r>
              <w:t>3.77</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0D3FA4F" w14:textId="1FC5B97A" w:rsidR="006E5BA6" w:rsidRDefault="006E5BA6">
            <w:pPr>
              <w:pStyle w:val="TableDataEntries"/>
            </w:pPr>
            <w:r>
              <w:t>2.53</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F364F49" w14:textId="0686B9FA" w:rsidR="006E5BA6" w:rsidRDefault="006E5BA6">
            <w:pPr>
              <w:pStyle w:val="TableDataEntries"/>
            </w:pPr>
            <w:r>
              <w:t>4.33</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18C9244" w14:textId="0BC17A18" w:rsidR="006E5BA6" w:rsidRDefault="006E5BA6">
            <w:pPr>
              <w:pStyle w:val="TableDataEntries"/>
            </w:pPr>
            <w:r>
              <w:t>3.89</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D40B7A" w14:textId="7617153E" w:rsidR="006E5BA6" w:rsidRDefault="006E5BA6">
            <w:pPr>
              <w:pStyle w:val="TableDataEntries"/>
            </w:pPr>
            <w:r>
              <w:t>4.80</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9C919D2" w14:textId="2E6555C0" w:rsidR="006E5BA6" w:rsidRDefault="006E5BA6">
            <w:pPr>
              <w:pStyle w:val="TableDataEntries"/>
            </w:pPr>
            <w:r>
              <w:t>3.99</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F0403F" w14:textId="4D5B477A" w:rsidR="006E5BA6" w:rsidRDefault="006E5BA6">
            <w:pPr>
              <w:pStyle w:val="TableDataEntries"/>
            </w:pPr>
            <w:r>
              <w:t>2.86</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DD51C7" w14:textId="2FC3012B" w:rsidR="006E5BA6" w:rsidRDefault="006E5BA6">
            <w:pPr>
              <w:pStyle w:val="TableDataEntries"/>
            </w:pPr>
            <w:r>
              <w:t>5.76</w:t>
            </w:r>
          </w:p>
        </w:tc>
      </w:tr>
      <w:tr w:rsidR="006E5BA6" w14:paraId="6142DB0F" w14:textId="77777777">
        <w:trPr>
          <w:trHeight w:val="245"/>
        </w:trPr>
        <w:tc>
          <w:tcPr>
            <w:tcW w:w="24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1ED8504" w14:textId="77777777" w:rsidR="006E5BA6" w:rsidRDefault="006E5BA6">
            <w:pPr>
              <w:pStyle w:val="TableDataEntries"/>
              <w:jc w:val="left"/>
            </w:pPr>
            <w:r>
              <w:t>Value of electricity exported to the grid</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0149F6D" w14:textId="010DD73B" w:rsidR="006E5BA6" w:rsidRDefault="006E5BA6">
            <w:pPr>
              <w:pStyle w:val="TableDataEntries"/>
            </w:pPr>
            <w:r>
              <w:t>0.03</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235028D" w14:textId="17C19CB6" w:rsidR="006E5BA6" w:rsidRDefault="006E5BA6">
            <w:pPr>
              <w:pStyle w:val="TableDataEntries"/>
            </w:pPr>
            <w:r>
              <w:t>0.00</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AF888F" w14:textId="6337752B" w:rsidR="006E5BA6" w:rsidRDefault="006E5BA6">
            <w:pPr>
              <w:pStyle w:val="TableDataEntries"/>
            </w:pPr>
            <w:r>
              <w:t>0.01</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716854D" w14:textId="7475F6C6" w:rsidR="006E5BA6" w:rsidRDefault="006E5BA6">
            <w:pPr>
              <w:pStyle w:val="TableDataEntries"/>
            </w:pPr>
            <w:r>
              <w:t>0.</w:t>
            </w:r>
            <w:r w:rsidR="00F17175" w:rsidRPr="00BA4E7C">
              <w:t>02</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04D361" w14:textId="5E28E530" w:rsidR="006E5BA6" w:rsidRDefault="006E5BA6">
            <w:pPr>
              <w:pStyle w:val="TableDataEntries"/>
            </w:pPr>
            <w:r>
              <w:t>0.01</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22E2C78" w14:textId="653F80B0" w:rsidR="006E5BA6" w:rsidRDefault="006E5BA6">
            <w:pPr>
              <w:pStyle w:val="TableDataEntries"/>
            </w:pPr>
            <w:r>
              <w:t>0.02</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06CD794" w14:textId="2D35C234" w:rsidR="006E5BA6" w:rsidRDefault="006E5BA6">
            <w:pPr>
              <w:pStyle w:val="TableDataEntries"/>
            </w:pPr>
            <w:r>
              <w:t>0.01</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A971665" w14:textId="6FE8782C" w:rsidR="006E5BA6" w:rsidRDefault="006E5BA6">
            <w:pPr>
              <w:pStyle w:val="TableDataEntries"/>
            </w:pPr>
            <w:r>
              <w:t>0.11</w:t>
            </w:r>
          </w:p>
        </w:tc>
      </w:tr>
      <w:tr w:rsidR="006E5BA6" w14:paraId="0AAECCC8" w14:textId="77777777">
        <w:trPr>
          <w:trHeight w:val="245"/>
        </w:trPr>
        <w:tc>
          <w:tcPr>
            <w:tcW w:w="24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DABB65" w14:textId="77777777" w:rsidR="006E5BA6" w:rsidRDefault="006E5BA6">
            <w:pPr>
              <w:pStyle w:val="TableDataEntries"/>
              <w:jc w:val="left"/>
            </w:pPr>
            <w:r>
              <w:t>Electricity exports — network impacts</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53EF93" w14:textId="5CDE2CC5" w:rsidR="006E5BA6" w:rsidRDefault="006E5BA6">
            <w:pPr>
              <w:pStyle w:val="TableDataEntries"/>
              <w:rPr>
                <w:szCs w:val="16"/>
              </w:rPr>
            </w:pPr>
            <w:r>
              <w:t>-0.01</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51ACB19" w14:textId="0BA3B2A2" w:rsidR="006E5BA6" w:rsidRDefault="006E5BA6">
            <w:pPr>
              <w:pStyle w:val="TableDataEntries"/>
              <w:rPr>
                <w:szCs w:val="16"/>
              </w:rPr>
            </w:pPr>
            <w:r>
              <w:t>0.00</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FEE38C0" w14:textId="41EB0CCC" w:rsidR="006E5BA6" w:rsidRDefault="006E5BA6">
            <w:pPr>
              <w:pStyle w:val="TableDataEntries"/>
              <w:rPr>
                <w:szCs w:val="16"/>
              </w:rPr>
            </w:pPr>
            <w:r>
              <w:t>-0.01</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040035" w14:textId="2A6F595F" w:rsidR="006E5BA6" w:rsidRDefault="006E5BA6">
            <w:pPr>
              <w:pStyle w:val="TableDataEntries"/>
              <w:rPr>
                <w:szCs w:val="16"/>
              </w:rPr>
            </w:pPr>
            <w:r>
              <w:t>-0.01</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188BECE" w14:textId="64ADC081" w:rsidR="006E5BA6" w:rsidRDefault="006E5BA6">
            <w:pPr>
              <w:pStyle w:val="TableDataEntries"/>
              <w:rPr>
                <w:szCs w:val="16"/>
              </w:rPr>
            </w:pPr>
            <w:r>
              <w:t>-0.01</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0CBE99" w14:textId="54F14659" w:rsidR="006E5BA6" w:rsidRDefault="006E5BA6">
            <w:pPr>
              <w:pStyle w:val="TableDataEntries"/>
              <w:rPr>
                <w:szCs w:val="16"/>
              </w:rPr>
            </w:pPr>
            <w:r>
              <w:t>0.00</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1F8E4A7" w14:textId="6416C12B" w:rsidR="006E5BA6" w:rsidRDefault="006E5BA6">
            <w:pPr>
              <w:pStyle w:val="TableDataEntries"/>
              <w:rPr>
                <w:szCs w:val="16"/>
              </w:rPr>
            </w:pPr>
            <w:r>
              <w:t>0.00</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46891D1" w14:textId="351DC92C" w:rsidR="006E5BA6" w:rsidRDefault="006E5BA6">
            <w:pPr>
              <w:pStyle w:val="TableDataEntries"/>
              <w:rPr>
                <w:szCs w:val="16"/>
              </w:rPr>
            </w:pPr>
            <w:r>
              <w:t>-0.01</w:t>
            </w:r>
          </w:p>
        </w:tc>
      </w:tr>
      <w:tr w:rsidR="006E5BA6" w14:paraId="14EF4E3B" w14:textId="77777777">
        <w:trPr>
          <w:trHeight w:val="245"/>
        </w:trPr>
        <w:tc>
          <w:tcPr>
            <w:tcW w:w="24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EF2BD91" w14:textId="77777777" w:rsidR="006E5BA6" w:rsidRDefault="006E5BA6">
            <w:pPr>
              <w:pStyle w:val="TableDataEntries"/>
              <w:jc w:val="left"/>
            </w:pPr>
            <w:r>
              <w:t>Change in gas costs</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15F4441" w14:textId="790FF942" w:rsidR="006E5BA6" w:rsidRDefault="006E5BA6">
            <w:pPr>
              <w:pStyle w:val="TableDataEntries"/>
            </w:pPr>
            <w:r>
              <w:t>-0.07</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ECA770F" w14:textId="759C627A" w:rsidR="006E5BA6" w:rsidRDefault="006E5BA6">
            <w:pPr>
              <w:pStyle w:val="TableDataEntries"/>
            </w:pPr>
            <w:r>
              <w:t>-0.23</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846679E" w14:textId="00406F3F" w:rsidR="006E5BA6" w:rsidRDefault="006E5BA6">
            <w:pPr>
              <w:pStyle w:val="TableDataEntries"/>
            </w:pPr>
            <w:r>
              <w:t>0.02</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020B43" w14:textId="515B58B5" w:rsidR="006E5BA6" w:rsidRDefault="006E5BA6">
            <w:pPr>
              <w:pStyle w:val="TableDataEntries"/>
            </w:pPr>
            <w:r>
              <w:t>-0.07</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976F4A4" w14:textId="61BC3577" w:rsidR="006E5BA6" w:rsidRDefault="006E5BA6">
            <w:pPr>
              <w:pStyle w:val="TableDataEntries"/>
            </w:pPr>
            <w:r>
              <w:t>-0.08</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93EF41" w14:textId="40127D52" w:rsidR="006E5BA6" w:rsidRDefault="006E5BA6">
            <w:pPr>
              <w:pStyle w:val="TableDataEntries"/>
            </w:pPr>
            <w:r>
              <w:t>0.98</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4E4284" w14:textId="66206FD7" w:rsidR="006E5BA6" w:rsidRDefault="006E5BA6">
            <w:pPr>
              <w:pStyle w:val="TableDataEntries"/>
            </w:pPr>
            <w:r>
              <w:t>0.69</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E5A9ABF" w14:textId="1FB6B01C" w:rsidR="006E5BA6" w:rsidRDefault="006E5BA6">
            <w:pPr>
              <w:pStyle w:val="TableDataEntries"/>
            </w:pPr>
            <w:r>
              <w:t>0.00</w:t>
            </w:r>
          </w:p>
        </w:tc>
      </w:tr>
      <w:tr w:rsidR="006E5BA6" w14:paraId="0E838668" w14:textId="77777777">
        <w:trPr>
          <w:trHeight w:val="245"/>
        </w:trPr>
        <w:tc>
          <w:tcPr>
            <w:tcW w:w="24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98F3CB" w14:textId="77777777" w:rsidR="006E5BA6" w:rsidRDefault="006E5BA6">
            <w:pPr>
              <w:pStyle w:val="TableDataEntries"/>
              <w:jc w:val="left"/>
            </w:pPr>
            <w:r>
              <w:t>Change in GHG emission costs - electricity</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5CD7BB9" w14:textId="0D66FC46" w:rsidR="006E5BA6" w:rsidRDefault="006E5BA6">
            <w:pPr>
              <w:pStyle w:val="TableDataEntries"/>
            </w:pPr>
            <w:r>
              <w:t>6.86</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7106543" w14:textId="78CB9D9C" w:rsidR="006E5BA6" w:rsidRDefault="006E5BA6">
            <w:pPr>
              <w:pStyle w:val="TableDataEntries"/>
            </w:pPr>
            <w:r>
              <w:t>7.91</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B099B52" w14:textId="2A4A3543" w:rsidR="006E5BA6" w:rsidRDefault="006E5BA6">
            <w:pPr>
              <w:pStyle w:val="TableDataEntries"/>
            </w:pPr>
            <w:r>
              <w:t>20.62</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A988CC7" w14:textId="5C097C47" w:rsidR="006E5BA6" w:rsidRDefault="006E5BA6">
            <w:pPr>
              <w:pStyle w:val="TableDataEntries"/>
            </w:pPr>
            <w:r>
              <w:t>10.15</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95D8F07" w14:textId="36CCA270" w:rsidR="006E5BA6" w:rsidRDefault="006E5BA6">
            <w:pPr>
              <w:pStyle w:val="TableDataEntries"/>
            </w:pPr>
            <w:r>
              <w:t>7.37</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544C620" w14:textId="539D940F" w:rsidR="006E5BA6" w:rsidRDefault="006E5BA6">
            <w:pPr>
              <w:pStyle w:val="TableDataEntries"/>
            </w:pPr>
            <w:r>
              <w:t>0.66</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719783" w14:textId="16F9698A" w:rsidR="006E5BA6" w:rsidRDefault="006E5BA6">
            <w:pPr>
              <w:pStyle w:val="TableDataEntries"/>
            </w:pPr>
            <w:r>
              <w:t>4.50</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2CE46EC" w14:textId="6FE5CA9D" w:rsidR="006E5BA6" w:rsidRDefault="006E5BA6">
            <w:pPr>
              <w:pStyle w:val="TableDataEntries"/>
            </w:pPr>
            <w:r>
              <w:t>21.89</w:t>
            </w:r>
          </w:p>
        </w:tc>
      </w:tr>
      <w:tr w:rsidR="006E5BA6" w14:paraId="46AE14B8" w14:textId="77777777">
        <w:trPr>
          <w:trHeight w:val="245"/>
        </w:trPr>
        <w:tc>
          <w:tcPr>
            <w:tcW w:w="24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C7FFDF" w14:textId="77777777" w:rsidR="006E5BA6" w:rsidRDefault="006E5BA6">
            <w:pPr>
              <w:pStyle w:val="TableDataEntries"/>
              <w:jc w:val="left"/>
            </w:pPr>
            <w:r>
              <w:t>Change in GHG emission costs – exported electricity</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B001C7" w14:textId="1AA21E88" w:rsidR="006E5BA6" w:rsidRDefault="006E5BA6">
            <w:pPr>
              <w:pStyle w:val="TableDataEntries"/>
            </w:pPr>
            <w:r>
              <w:t>0.04</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840FB1E" w14:textId="5BA01601" w:rsidR="006E5BA6" w:rsidRDefault="006E5BA6">
            <w:pPr>
              <w:pStyle w:val="TableDataEntries"/>
            </w:pPr>
            <w:r>
              <w:t>0.03</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FEEA734" w14:textId="68F63477" w:rsidR="006E5BA6" w:rsidRDefault="006E5BA6">
            <w:pPr>
              <w:pStyle w:val="TableDataEntries"/>
            </w:pPr>
            <w:r>
              <w:t>0.06</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1917917" w14:textId="7E7CF8B7" w:rsidR="006E5BA6" w:rsidRDefault="006E5BA6">
            <w:pPr>
              <w:pStyle w:val="TableDataEntries"/>
            </w:pPr>
            <w:r>
              <w:t>0.</w:t>
            </w:r>
            <w:r w:rsidR="00F17175" w:rsidRPr="00BA4E7C">
              <w:t>06</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DF434B" w14:textId="11EFF7F3" w:rsidR="006E5BA6" w:rsidRDefault="006E5BA6">
            <w:pPr>
              <w:pStyle w:val="TableDataEntries"/>
            </w:pPr>
            <w:r>
              <w:t>0.05</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4256936" w14:textId="50FBB44A" w:rsidR="006E5BA6" w:rsidRDefault="006E5BA6">
            <w:pPr>
              <w:pStyle w:val="TableDataEntries"/>
            </w:pPr>
            <w:r>
              <w:t>0.00</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423C12" w14:textId="36F363E3" w:rsidR="006E5BA6" w:rsidRDefault="006E5BA6">
            <w:pPr>
              <w:pStyle w:val="TableDataEntries"/>
            </w:pPr>
            <w:r>
              <w:t>0.01</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A075754" w14:textId="21710C73" w:rsidR="006E5BA6" w:rsidRDefault="006E5BA6">
            <w:pPr>
              <w:pStyle w:val="TableDataEntries"/>
            </w:pPr>
            <w:r>
              <w:t>0.12</w:t>
            </w:r>
          </w:p>
        </w:tc>
      </w:tr>
      <w:tr w:rsidR="006E5BA6" w14:paraId="2FA936E2" w14:textId="77777777">
        <w:trPr>
          <w:trHeight w:val="245"/>
        </w:trPr>
        <w:tc>
          <w:tcPr>
            <w:tcW w:w="24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F5DC391" w14:textId="77777777" w:rsidR="006E5BA6" w:rsidRDefault="006E5BA6">
            <w:pPr>
              <w:pStyle w:val="TableDataEntries"/>
              <w:jc w:val="left"/>
            </w:pPr>
            <w:r>
              <w:t>Change in GHG emission costs - gas</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B245AA7" w14:textId="16D47753" w:rsidR="006E5BA6" w:rsidRDefault="006E5BA6">
            <w:pPr>
              <w:pStyle w:val="TableDataEntries"/>
            </w:pPr>
            <w:r>
              <w:t>-0.15</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CB6B5B9" w14:textId="4210A20C" w:rsidR="006E5BA6" w:rsidRDefault="006E5BA6">
            <w:pPr>
              <w:pStyle w:val="TableDataEntries"/>
            </w:pPr>
            <w:r>
              <w:t>-0.39</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8665A31" w14:textId="1E864F4A" w:rsidR="006E5BA6" w:rsidRDefault="006E5BA6">
            <w:pPr>
              <w:pStyle w:val="TableDataEntries"/>
            </w:pPr>
            <w:r>
              <w:t>0.04</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99ED780" w14:textId="1044CD43" w:rsidR="006E5BA6" w:rsidRDefault="006E5BA6">
            <w:pPr>
              <w:pStyle w:val="TableDataEntries"/>
            </w:pPr>
            <w:r>
              <w:t>-0.13</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DBE3133" w14:textId="5964645E" w:rsidR="006E5BA6" w:rsidRDefault="006E5BA6">
            <w:pPr>
              <w:pStyle w:val="TableDataEntries"/>
            </w:pPr>
            <w:r>
              <w:t>-0.14</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725A5A" w14:textId="61326381" w:rsidR="006E5BA6" w:rsidRDefault="006E5BA6">
            <w:pPr>
              <w:pStyle w:val="TableDataEntries"/>
            </w:pPr>
            <w:r>
              <w:t>1.23</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2010D08" w14:textId="22720118" w:rsidR="006E5BA6" w:rsidRDefault="006E5BA6">
            <w:pPr>
              <w:pStyle w:val="TableDataEntries"/>
            </w:pPr>
            <w:r>
              <w:t>1.43</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D5DB9AF" w14:textId="508D7494" w:rsidR="006E5BA6" w:rsidRDefault="006E5BA6">
            <w:pPr>
              <w:pStyle w:val="TableDataEntries"/>
            </w:pPr>
            <w:r>
              <w:t>0.00</w:t>
            </w:r>
          </w:p>
        </w:tc>
      </w:tr>
      <w:tr w:rsidR="006E5BA6" w14:paraId="655C14CE" w14:textId="77777777">
        <w:trPr>
          <w:trHeight w:val="245"/>
        </w:trPr>
        <w:tc>
          <w:tcPr>
            <w:tcW w:w="24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9AB3A72" w14:textId="77777777" w:rsidR="006E5BA6" w:rsidRDefault="006E5BA6">
            <w:pPr>
              <w:pStyle w:val="TableDataEntries"/>
              <w:jc w:val="left"/>
            </w:pPr>
            <w:r>
              <w:t>Change in capital</w:t>
            </w:r>
            <w:r>
              <w:noBreakHyphen/>
              <w:t>related costs</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EDDFB0" w14:textId="624E39FB" w:rsidR="006E5BA6" w:rsidRDefault="006E5BA6">
            <w:pPr>
              <w:pStyle w:val="TableDataEntries"/>
            </w:pPr>
            <w:r>
              <w:t>-19.41</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AB263A" w14:textId="7321D61B" w:rsidR="006E5BA6" w:rsidRDefault="006E5BA6">
            <w:pPr>
              <w:pStyle w:val="TableDataEntries"/>
            </w:pPr>
            <w:r>
              <w:t>-12.16</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E636E4" w14:textId="7E73D66D" w:rsidR="006E5BA6" w:rsidRDefault="006E5BA6">
            <w:pPr>
              <w:pStyle w:val="TableDataEntries"/>
            </w:pPr>
            <w:r>
              <w:t>-34.21</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2D4AF08" w14:textId="45AD84E0" w:rsidR="006E5BA6" w:rsidRDefault="006E5BA6">
            <w:pPr>
              <w:pStyle w:val="TableDataEntries"/>
            </w:pPr>
            <w:r>
              <w:t>-19.41</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44B9674" w14:textId="2D6191AD" w:rsidR="006E5BA6" w:rsidRDefault="006E5BA6">
            <w:pPr>
              <w:pStyle w:val="TableDataEntries"/>
            </w:pPr>
            <w:r>
              <w:t>-19.41</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2D7C419" w14:textId="0FF5F362" w:rsidR="006E5BA6" w:rsidRDefault="006E5BA6">
            <w:pPr>
              <w:pStyle w:val="TableDataEntries"/>
            </w:pPr>
            <w:r>
              <w:t>-14.98</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8AB28B" w14:textId="6F822410" w:rsidR="006E5BA6" w:rsidRDefault="006E5BA6">
            <w:pPr>
              <w:pStyle w:val="TableDataEntries"/>
            </w:pPr>
            <w:r>
              <w:t>-14.98</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F078EE" w14:textId="3472354F" w:rsidR="006E5BA6" w:rsidRDefault="006E5BA6">
            <w:pPr>
              <w:pStyle w:val="TableDataEntries"/>
            </w:pPr>
            <w:r>
              <w:t>-31.45</w:t>
            </w:r>
          </w:p>
        </w:tc>
      </w:tr>
      <w:tr w:rsidR="006E5BA6" w:rsidRPr="00C27E60" w14:paraId="2F577BB6" w14:textId="77777777">
        <w:trPr>
          <w:trHeight w:val="245"/>
        </w:trPr>
        <w:tc>
          <w:tcPr>
            <w:tcW w:w="2416"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8971494" w14:textId="77777777" w:rsidR="006E5BA6" w:rsidRPr="00C27E60" w:rsidRDefault="006E5BA6">
            <w:pPr>
              <w:pStyle w:val="TableDataEntries"/>
              <w:jc w:val="left"/>
              <w:rPr>
                <w:rFonts w:ascii="Franklin Gothic Demi" w:hAnsi="Franklin Gothic Demi"/>
              </w:rPr>
            </w:pPr>
            <w:r w:rsidRPr="00C27E60">
              <w:rPr>
                <w:rFonts w:ascii="Franklin Gothic Demi" w:hAnsi="Franklin Gothic Demi"/>
              </w:rPr>
              <w:t>Total</w:t>
            </w:r>
          </w:p>
        </w:tc>
        <w:tc>
          <w:tcPr>
            <w:tcW w:w="690"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76FD4143" w14:textId="277907A2" w:rsidR="006E5BA6" w:rsidRPr="00C27E60" w:rsidRDefault="006E5BA6">
            <w:pPr>
              <w:pStyle w:val="TableDataEntries"/>
              <w:rPr>
                <w:rFonts w:ascii="Franklin Gothic Demi" w:hAnsi="Franklin Gothic Demi"/>
              </w:rPr>
            </w:pPr>
            <w:r w:rsidRPr="00C27E60">
              <w:rPr>
                <w:rFonts w:ascii="Franklin Gothic Demi" w:hAnsi="Franklin Gothic Demi"/>
              </w:rPr>
              <w:t>16.19</w:t>
            </w:r>
          </w:p>
        </w:tc>
        <w:tc>
          <w:tcPr>
            <w:tcW w:w="691"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CBD9CD3" w14:textId="09CF4B69" w:rsidR="006E5BA6" w:rsidRPr="00C27E60" w:rsidRDefault="006E5BA6">
            <w:pPr>
              <w:pStyle w:val="TableDataEntries"/>
              <w:rPr>
                <w:rFonts w:ascii="Franklin Gothic Demi" w:hAnsi="Franklin Gothic Demi"/>
              </w:rPr>
            </w:pPr>
            <w:r w:rsidRPr="00C27E60">
              <w:rPr>
                <w:rFonts w:ascii="Franklin Gothic Demi" w:hAnsi="Franklin Gothic Demi"/>
              </w:rPr>
              <w:t>14.53</w:t>
            </w:r>
          </w:p>
        </w:tc>
        <w:tc>
          <w:tcPr>
            <w:tcW w:w="690"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413643A9" w14:textId="5FDA5E05" w:rsidR="006E5BA6" w:rsidRPr="00C27E60" w:rsidRDefault="006E5BA6">
            <w:pPr>
              <w:pStyle w:val="TableDataEntries"/>
              <w:rPr>
                <w:rFonts w:ascii="Franklin Gothic Demi" w:hAnsi="Franklin Gothic Demi"/>
              </w:rPr>
            </w:pPr>
            <w:r w:rsidRPr="00C27E60">
              <w:rPr>
                <w:rFonts w:ascii="Franklin Gothic Demi" w:hAnsi="Franklin Gothic Demi"/>
              </w:rPr>
              <w:t>19.71</w:t>
            </w:r>
          </w:p>
        </w:tc>
        <w:tc>
          <w:tcPr>
            <w:tcW w:w="691"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9CE91B8" w14:textId="10755865" w:rsidR="006E5BA6" w:rsidRPr="00C27E60" w:rsidRDefault="006E5BA6">
            <w:pPr>
              <w:pStyle w:val="TableDataEntries"/>
              <w:rPr>
                <w:rFonts w:ascii="Franklin Gothic Demi" w:hAnsi="Franklin Gothic Demi"/>
              </w:rPr>
            </w:pPr>
            <w:r w:rsidRPr="00C27E60">
              <w:rPr>
                <w:rFonts w:ascii="Franklin Gothic Demi" w:hAnsi="Franklin Gothic Demi"/>
              </w:rPr>
              <w:t>20.46</w:t>
            </w:r>
          </w:p>
        </w:tc>
        <w:tc>
          <w:tcPr>
            <w:tcW w:w="691"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4B92C30" w14:textId="4D83C87B" w:rsidR="006E5BA6" w:rsidRPr="00C27E60" w:rsidRDefault="006E5BA6">
            <w:pPr>
              <w:pStyle w:val="TableDataEntries"/>
              <w:rPr>
                <w:rFonts w:ascii="Franklin Gothic Demi" w:hAnsi="Franklin Gothic Demi"/>
              </w:rPr>
            </w:pPr>
            <w:r w:rsidRPr="00C27E60">
              <w:rPr>
                <w:rFonts w:ascii="Franklin Gothic Demi" w:hAnsi="Franklin Gothic Demi"/>
              </w:rPr>
              <w:t>24.57</w:t>
            </w:r>
          </w:p>
        </w:tc>
        <w:tc>
          <w:tcPr>
            <w:tcW w:w="690"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EE1204E" w14:textId="7970A043" w:rsidR="006E5BA6" w:rsidRPr="00C27E60" w:rsidRDefault="006E5BA6">
            <w:pPr>
              <w:pStyle w:val="TableDataEntries"/>
              <w:rPr>
                <w:rFonts w:ascii="Franklin Gothic Demi" w:hAnsi="Franklin Gothic Demi"/>
              </w:rPr>
            </w:pPr>
            <w:r w:rsidRPr="00C27E60">
              <w:rPr>
                <w:rFonts w:ascii="Franklin Gothic Demi" w:hAnsi="Franklin Gothic Demi"/>
              </w:rPr>
              <w:t>18.52</w:t>
            </w:r>
          </w:p>
        </w:tc>
        <w:tc>
          <w:tcPr>
            <w:tcW w:w="691"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DA11546" w14:textId="3A9BAA13" w:rsidR="006E5BA6" w:rsidRPr="00C27E60" w:rsidRDefault="006E5BA6">
            <w:pPr>
              <w:pStyle w:val="TableDataEntries"/>
              <w:rPr>
                <w:rFonts w:ascii="Franklin Gothic Demi" w:hAnsi="Franklin Gothic Demi"/>
              </w:rPr>
            </w:pPr>
            <w:r w:rsidRPr="00C27E60">
              <w:rPr>
                <w:rFonts w:ascii="Franklin Gothic Demi" w:hAnsi="Franklin Gothic Demi"/>
              </w:rPr>
              <w:t>13.58</w:t>
            </w:r>
          </w:p>
        </w:tc>
        <w:tc>
          <w:tcPr>
            <w:tcW w:w="690"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77B9D619" w14:textId="0782970C" w:rsidR="006E5BA6" w:rsidRPr="00C27E60" w:rsidRDefault="006E5BA6">
            <w:pPr>
              <w:pStyle w:val="TableDataEntries"/>
              <w:rPr>
                <w:rFonts w:ascii="Franklin Gothic Demi" w:hAnsi="Franklin Gothic Demi"/>
              </w:rPr>
            </w:pPr>
            <w:r w:rsidRPr="00C27E60">
              <w:rPr>
                <w:rFonts w:ascii="Franklin Gothic Demi" w:hAnsi="Franklin Gothic Demi"/>
              </w:rPr>
              <w:t>34.</w:t>
            </w:r>
            <w:r w:rsidR="00F17175" w:rsidRPr="00F17175">
              <w:rPr>
                <w:rFonts w:ascii="Franklin Gothic Demi" w:hAnsi="Franklin Gothic Demi"/>
              </w:rPr>
              <w:t>82</w:t>
            </w:r>
          </w:p>
        </w:tc>
      </w:tr>
    </w:tbl>
    <w:p w14:paraId="4A31CE0F" w14:textId="77777777" w:rsidR="006E5BA6" w:rsidRDefault="006E5BA6" w:rsidP="006E5BA6">
      <w:pPr>
        <w:pStyle w:val="Note"/>
        <w:rPr>
          <w:lang w:bidi="fa-IR"/>
        </w:rPr>
      </w:pPr>
      <w:r w:rsidRPr="007D1B4F">
        <w:rPr>
          <w:i/>
        </w:rPr>
        <w:t>Note:</w:t>
      </w:r>
      <w:r w:rsidRPr="00E879B8">
        <w:t xml:space="preserve"> </w:t>
      </w:r>
      <w:r>
        <w:t>Estimates presented in present value terms based on: buildings constructed in 2025 assuming a 50</w:t>
      </w:r>
      <w:r>
        <w:noBreakHyphen/>
        <w:t>year life, using a discount rate of 5 per cent.</w:t>
      </w:r>
    </w:p>
    <w:p w14:paraId="73BAE03A" w14:textId="77777777" w:rsidR="006E5BA6" w:rsidRDefault="006E5BA6" w:rsidP="006E5BA6">
      <w:pPr>
        <w:pStyle w:val="Source"/>
        <w:rPr>
          <w:lang w:bidi="fa-IR"/>
        </w:rPr>
      </w:pPr>
      <w:r w:rsidRPr="00B53FBD">
        <w:rPr>
          <w:i/>
          <w:lang w:bidi="fa-IR"/>
        </w:rPr>
        <w:t>Source:</w:t>
      </w:r>
      <w:r>
        <w:rPr>
          <w:lang w:bidi="fa-IR"/>
        </w:rPr>
        <w:t xml:space="preserve"> CIE based on DeltaQ modelling.</w:t>
      </w:r>
    </w:p>
    <w:p w14:paraId="6338F58C" w14:textId="3233A30B" w:rsidR="006E5BA6" w:rsidRDefault="006E5BA6" w:rsidP="006E5BA6">
      <w:pPr>
        <w:pStyle w:val="BodyText"/>
        <w:rPr>
          <w:szCs w:val="22"/>
          <w:lang w:bidi="fa-IR"/>
        </w:rPr>
      </w:pPr>
      <w:r w:rsidRPr="00844A6E">
        <w:rPr>
          <w:szCs w:val="22"/>
          <w:lang w:bidi="fa-IR"/>
        </w:rPr>
        <w:t>The net benefits for all archetypes for each state (capital city climate zone) are summarised in table </w:t>
      </w:r>
      <w:r>
        <w:rPr>
          <w:szCs w:val="22"/>
          <w:lang w:bidi="fa-IR"/>
        </w:rPr>
        <w:fldChar w:fldCharType="begin"/>
      </w:r>
      <w:r>
        <w:rPr>
          <w:szCs w:val="22"/>
          <w:lang w:bidi="fa-IR"/>
        </w:rPr>
        <w:instrText xml:space="preserve"> REF _Caption1428 </w:instrText>
      </w:r>
      <w:r>
        <w:rPr>
          <w:szCs w:val="22"/>
          <w:lang w:bidi="fa-IR"/>
        </w:rPr>
        <w:fldChar w:fldCharType="separate"/>
      </w:r>
      <w:r w:rsidR="006E00A7">
        <w:rPr>
          <w:noProof/>
        </w:rPr>
        <w:t>6</w:t>
      </w:r>
      <w:r w:rsidR="006E00A7" w:rsidRPr="006F0F88">
        <w:rPr>
          <w:noProof/>
        </w:rPr>
        <w:t>.</w:t>
      </w:r>
      <w:r w:rsidR="006E00A7">
        <w:rPr>
          <w:noProof/>
        </w:rPr>
        <w:t>4</w:t>
      </w:r>
      <w:r>
        <w:rPr>
          <w:szCs w:val="22"/>
          <w:lang w:bidi="fa-IR"/>
        </w:rPr>
        <w:fldChar w:fldCharType="end"/>
      </w:r>
      <w:r w:rsidRPr="00844A6E">
        <w:rPr>
          <w:szCs w:val="22"/>
          <w:lang w:bidi="fa-IR"/>
        </w:rPr>
        <w:t xml:space="preserve">. Detailed CBA results for each archetype are provided in appendix </w:t>
      </w:r>
      <w:r w:rsidR="00F0684E">
        <w:rPr>
          <w:szCs w:val="22"/>
          <w:lang w:bidi="fa-IR"/>
        </w:rPr>
        <w:t>H</w:t>
      </w:r>
      <w:r w:rsidRPr="00844A6E">
        <w:rPr>
          <w:szCs w:val="22"/>
          <w:lang w:bidi="fa-IR"/>
        </w:rPr>
        <w:t>. The proposed changes are estimated to deliver net benefits across all building archetypes.</w:t>
      </w:r>
    </w:p>
    <w:p w14:paraId="1B30EC08" w14:textId="373531C3" w:rsidR="006E5BA6" w:rsidRPr="006F0F88" w:rsidRDefault="006E5BA6" w:rsidP="006E5BA6">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E136D5">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136D5">
          <w:rPr>
            <w:noProof/>
          </w:rPr>
          <w:instrText>6</w:instrText>
        </w:r>
      </w:fldSimple>
      <w:r w:rsidRPr="006F0F88">
        <w:instrText xml:space="preserve"> = 0 "" "</w:instrText>
      </w:r>
      <w:fldSimple w:instr=" STYLEREF &quot;Heading 1&quot; \l \n ">
        <w:r w:rsidR="00E136D5">
          <w:rPr>
            <w:noProof/>
          </w:rPr>
          <w:instrText>6</w:instrText>
        </w:r>
      </w:fldSimple>
      <w:r w:rsidRPr="006F0F88">
        <w:instrText xml:space="preserve">." </w:instrText>
      </w:r>
      <w:r w:rsidRPr="006F0F88">
        <w:fldChar w:fldCharType="separate"/>
      </w:r>
      <w:r w:rsidR="00E136D5">
        <w:rPr>
          <w:noProof/>
        </w:rPr>
        <w:instrText>6</w:instrText>
      </w:r>
      <w:r w:rsidR="00E136D5"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6</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E136D5">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136D5">
          <w:rPr>
            <w:noProof/>
          </w:rPr>
          <w:instrText>6</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E136D5">
        <w:rPr>
          <w:noProof/>
        </w:rPr>
        <w:instrText>4</w:instrText>
      </w:r>
      <w:r w:rsidRPr="006F0F88">
        <w:fldChar w:fldCharType="end"/>
      </w:r>
      <w:r w:rsidRPr="006F0F88">
        <w:instrText xml:space="preserve">" "" </w:instrText>
      </w:r>
      <w:r w:rsidRPr="006F0F88">
        <w:fldChar w:fldCharType="separate"/>
      </w:r>
      <w:bookmarkStart w:id="1858" w:name="_Caption1267"/>
      <w:bookmarkStart w:id="1859" w:name="_Caption7800"/>
      <w:bookmarkStart w:id="1860" w:name="_Caption4198"/>
      <w:bookmarkStart w:id="1861" w:name="_Caption2447"/>
      <w:bookmarkStart w:id="1862" w:name="_Caption9331"/>
      <w:bookmarkStart w:id="1863" w:name="_Caption6511"/>
      <w:bookmarkStart w:id="1864" w:name="_Caption7051"/>
      <w:bookmarkStart w:id="1865" w:name="_Caption5569"/>
      <w:bookmarkStart w:id="1866" w:name="_Caption7878"/>
      <w:bookmarkStart w:id="1867" w:name="_Caption9563"/>
      <w:bookmarkStart w:id="1868" w:name="_Caption0066"/>
      <w:bookmarkStart w:id="1869" w:name="_Caption8724"/>
      <w:bookmarkStart w:id="1870" w:name="_Caption2244"/>
      <w:bookmarkStart w:id="1871" w:name="_Caption1959"/>
      <w:bookmarkStart w:id="1872" w:name="_Caption3376"/>
      <w:bookmarkStart w:id="1873" w:name="_Caption7995"/>
      <w:bookmarkStart w:id="1874" w:name="_Caption4876"/>
      <w:bookmarkStart w:id="1875" w:name="_Caption7027"/>
      <w:bookmarkStart w:id="1876" w:name="_Caption8033"/>
      <w:bookmarkStart w:id="1877" w:name="_Caption3850"/>
      <w:bookmarkStart w:id="1878" w:name="_Caption0555"/>
      <w:bookmarkStart w:id="1879" w:name="_Caption0082"/>
      <w:bookmarkStart w:id="1880" w:name="_Caption3031"/>
      <w:bookmarkStart w:id="1881" w:name="_Caption0262"/>
      <w:bookmarkStart w:id="1882" w:name="_Caption2880"/>
      <w:bookmarkStart w:id="1883" w:name="_Caption6035"/>
      <w:bookmarkStart w:id="1884" w:name="_Caption7164"/>
      <w:bookmarkStart w:id="1885" w:name="_Caption6284"/>
      <w:bookmarkStart w:id="1886" w:name="_Caption2849"/>
      <w:bookmarkStart w:id="1887" w:name="_Caption9329"/>
      <w:bookmarkStart w:id="1888" w:name="_Caption8959"/>
      <w:bookmarkStart w:id="1889" w:name="_Caption2376"/>
      <w:bookmarkStart w:id="1890" w:name="_Caption2772"/>
      <w:bookmarkStart w:id="1891" w:name="_Caption5197"/>
      <w:bookmarkStart w:id="1892" w:name="_Caption8414"/>
      <w:bookmarkStart w:id="1893" w:name="_Caption9172"/>
      <w:bookmarkStart w:id="1894" w:name="_Caption6658"/>
      <w:bookmarkStart w:id="1895" w:name="_Caption7185"/>
      <w:bookmarkStart w:id="1896" w:name="_Caption8764"/>
      <w:bookmarkStart w:id="1897" w:name="_Caption6160"/>
      <w:bookmarkStart w:id="1898" w:name="_Caption0469"/>
      <w:bookmarkStart w:id="1899" w:name="_Caption8108"/>
      <w:bookmarkStart w:id="1900" w:name="_Caption5150"/>
      <w:bookmarkStart w:id="1901" w:name="_Caption1428"/>
      <w:bookmarkStart w:id="1902" w:name="_Caption8540"/>
      <w:bookmarkStart w:id="1903" w:name="_Caption0257"/>
      <w:bookmarkStart w:id="1904" w:name="_Caption3427"/>
      <w:bookmarkStart w:id="1905" w:name="_Caption6490"/>
      <w:bookmarkStart w:id="1906" w:name="_Caption3606"/>
      <w:bookmarkStart w:id="1907" w:name="_Caption7492"/>
      <w:bookmarkStart w:id="1908" w:name="_Caption4188"/>
      <w:bookmarkStart w:id="1909" w:name="_Caption7815"/>
      <w:bookmarkStart w:id="1910" w:name="_Caption6632"/>
      <w:bookmarkStart w:id="1911" w:name="_Caption0620"/>
      <w:bookmarkStart w:id="1912" w:name="_Caption6456"/>
      <w:bookmarkStart w:id="1913" w:name="_Caption6829"/>
      <w:bookmarkStart w:id="1914" w:name="_Caption4765"/>
      <w:bookmarkStart w:id="1915" w:name="_Caption4950"/>
      <w:bookmarkStart w:id="1916" w:name="_Caption8043"/>
      <w:bookmarkStart w:id="1917" w:name="_Caption4648"/>
      <w:bookmarkStart w:id="1918" w:name="_Caption8954"/>
      <w:bookmarkStart w:id="1919" w:name="_Caption5518"/>
      <w:bookmarkStart w:id="1920" w:name="_Caption0328"/>
      <w:bookmarkStart w:id="1921" w:name="_Caption7594"/>
      <w:bookmarkStart w:id="1922" w:name="_Caption2865"/>
      <w:bookmarkStart w:id="1923" w:name="_Caption4998"/>
      <w:bookmarkStart w:id="1924" w:name="_Caption4838"/>
      <w:bookmarkStart w:id="1925" w:name="_Caption0042"/>
      <w:bookmarkStart w:id="1926" w:name="_Caption5125"/>
      <w:bookmarkStart w:id="1927" w:name="_Caption0873"/>
      <w:bookmarkStart w:id="1928" w:name="_Caption2970"/>
      <w:bookmarkStart w:id="1929" w:name="_Caption6229"/>
      <w:bookmarkStart w:id="1930" w:name="_Caption5427"/>
      <w:bookmarkStart w:id="1931" w:name="_Caption7026"/>
      <w:bookmarkStart w:id="1932" w:name="_Caption4652"/>
      <w:bookmarkStart w:id="1933" w:name="_Caption8299"/>
      <w:bookmarkStart w:id="1934" w:name="_Caption6579"/>
      <w:bookmarkStart w:id="1935" w:name="_Caption9368"/>
      <w:bookmarkStart w:id="1936" w:name="_Caption6880"/>
      <w:bookmarkStart w:id="1937" w:name="_Caption8277"/>
      <w:bookmarkStart w:id="1938" w:name="_Caption2114"/>
      <w:bookmarkStart w:id="1939" w:name="_Caption2195"/>
      <w:bookmarkStart w:id="1940" w:name="_Caption6838"/>
      <w:bookmarkStart w:id="1941" w:name="_Caption8323"/>
      <w:bookmarkStart w:id="1942" w:name="_Caption1144"/>
      <w:bookmarkStart w:id="1943" w:name="_Toc177735161"/>
      <w:bookmarkStart w:id="1944" w:name="_Toc178292591"/>
      <w:r w:rsidR="008C60A3">
        <w:rPr>
          <w:noProof/>
        </w:rPr>
        <w:t>6</w:t>
      </w:r>
      <w:r w:rsidR="008C60A3" w:rsidRPr="006F0F88">
        <w:rPr>
          <w:noProof/>
        </w:rPr>
        <w:t>.</w:t>
      </w:r>
      <w:r w:rsidR="008C60A3">
        <w:rPr>
          <w:noProof/>
        </w:rPr>
        <w:t>4</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r w:rsidRPr="006F0F88">
        <w:fldChar w:fldCharType="end"/>
      </w:r>
      <w:r w:rsidRPr="006F0F88">
        <w:tab/>
        <w:t>Building</w:t>
      </w:r>
      <w:r w:rsidRPr="006F0F88">
        <w:noBreakHyphen/>
        <w:t>level net benefits for Stringency Level 1 by archetype</w:t>
      </w:r>
      <w:bookmarkEnd w:id="1943"/>
      <w:bookmarkEnd w:id="1944"/>
    </w:p>
    <w:tbl>
      <w:tblPr>
        <w:tblW w:w="7940" w:type="dxa"/>
        <w:tblLayout w:type="fixed"/>
        <w:tblLook w:val="0000" w:firstRow="0" w:lastRow="0" w:firstColumn="0" w:lastColumn="0" w:noHBand="0" w:noVBand="0"/>
        <w:tblCaption w:val="Chart 5.3"/>
        <w:tblDescription w:val="Building level net benefits for Stringency Level 1 by archetype"/>
      </w:tblPr>
      <w:tblGrid>
        <w:gridCol w:w="851"/>
        <w:gridCol w:w="1010"/>
        <w:gridCol w:w="868"/>
        <w:gridCol w:w="869"/>
        <w:gridCol w:w="868"/>
        <w:gridCol w:w="868"/>
        <w:gridCol w:w="869"/>
        <w:gridCol w:w="868"/>
        <w:gridCol w:w="869"/>
      </w:tblGrid>
      <w:tr w:rsidR="006E5BA6" w14:paraId="1CE899B1" w14:textId="77777777">
        <w:trPr>
          <w:trHeight w:val="245"/>
          <w:tblHeader/>
        </w:trPr>
        <w:tc>
          <w:tcPr>
            <w:tcW w:w="851" w:type="dxa"/>
            <w:shd w:val="clear" w:color="auto" w:fill="6F6652"/>
            <w:tcMar>
              <w:left w:w="57" w:type="dxa"/>
              <w:right w:w="57" w:type="dxa"/>
            </w:tcMar>
          </w:tcPr>
          <w:p w14:paraId="3EDB9F29" w14:textId="77777777" w:rsidR="006E5BA6" w:rsidRDefault="006E5BA6">
            <w:pPr>
              <w:pStyle w:val="TableDataColumnHeading"/>
              <w:jc w:val="left"/>
            </w:pPr>
            <w:r>
              <w:t>Building</w:t>
            </w:r>
          </w:p>
        </w:tc>
        <w:tc>
          <w:tcPr>
            <w:tcW w:w="1010" w:type="dxa"/>
            <w:shd w:val="clear" w:color="auto" w:fill="6F6652"/>
            <w:tcMar>
              <w:left w:w="57" w:type="dxa"/>
              <w:right w:w="57" w:type="dxa"/>
            </w:tcMar>
          </w:tcPr>
          <w:p w14:paraId="0A75C0D7" w14:textId="77777777" w:rsidR="006E5BA6" w:rsidRDefault="006E5BA6">
            <w:pPr>
              <w:pStyle w:val="TableDataColumnHeading"/>
            </w:pPr>
            <w:r>
              <w:t>NSW (CZ5)</w:t>
            </w:r>
          </w:p>
          <w:p w14:paraId="62739C85" w14:textId="77777777" w:rsidR="006E5BA6" w:rsidRDefault="006E5BA6">
            <w:pPr>
              <w:pStyle w:val="TableDataColumnHeading"/>
            </w:pPr>
            <w:r>
              <w:t>$ per m</w:t>
            </w:r>
            <w:r w:rsidRPr="005347E2">
              <w:rPr>
                <w:vertAlign w:val="superscript"/>
              </w:rPr>
              <w:t>2</w:t>
            </w:r>
          </w:p>
        </w:tc>
        <w:tc>
          <w:tcPr>
            <w:tcW w:w="868" w:type="dxa"/>
            <w:shd w:val="clear" w:color="auto" w:fill="6F6652"/>
            <w:tcMar>
              <w:left w:w="57" w:type="dxa"/>
              <w:right w:w="57" w:type="dxa"/>
            </w:tcMar>
          </w:tcPr>
          <w:p w14:paraId="08487ECD" w14:textId="77777777" w:rsidR="006E5BA6" w:rsidRDefault="006E5BA6">
            <w:pPr>
              <w:pStyle w:val="TableDataColumnHeading"/>
            </w:pPr>
            <w:r>
              <w:t>VIC (CZ6)</w:t>
            </w:r>
          </w:p>
          <w:p w14:paraId="603521D6" w14:textId="77777777" w:rsidR="006E5BA6" w:rsidRDefault="006E5BA6">
            <w:pPr>
              <w:pStyle w:val="TableDataColumnHeading"/>
            </w:pPr>
            <w:r>
              <w:t>$ per m</w:t>
            </w:r>
            <w:r w:rsidRPr="005347E2">
              <w:rPr>
                <w:vertAlign w:val="superscript"/>
              </w:rPr>
              <w:t>2</w:t>
            </w:r>
          </w:p>
        </w:tc>
        <w:tc>
          <w:tcPr>
            <w:tcW w:w="869" w:type="dxa"/>
            <w:shd w:val="clear" w:color="auto" w:fill="6F6652"/>
            <w:tcMar>
              <w:left w:w="57" w:type="dxa"/>
              <w:right w:w="57" w:type="dxa"/>
            </w:tcMar>
          </w:tcPr>
          <w:p w14:paraId="716004C0" w14:textId="77777777" w:rsidR="006E5BA6" w:rsidRDefault="006E5BA6">
            <w:pPr>
              <w:pStyle w:val="TableDataColumnHeading"/>
            </w:pPr>
            <w:r>
              <w:t>QLD (CZ2)</w:t>
            </w:r>
          </w:p>
          <w:p w14:paraId="0BA33D2E" w14:textId="77777777" w:rsidR="006E5BA6" w:rsidRDefault="006E5BA6">
            <w:pPr>
              <w:pStyle w:val="TableDataColumnHeading"/>
            </w:pPr>
            <w:r>
              <w:t>$ per m</w:t>
            </w:r>
            <w:r w:rsidRPr="005347E2">
              <w:rPr>
                <w:vertAlign w:val="superscript"/>
              </w:rPr>
              <w:t>2</w:t>
            </w:r>
          </w:p>
        </w:tc>
        <w:tc>
          <w:tcPr>
            <w:tcW w:w="868" w:type="dxa"/>
            <w:shd w:val="clear" w:color="auto" w:fill="6F6652"/>
            <w:tcMar>
              <w:left w:w="57" w:type="dxa"/>
              <w:right w:w="57" w:type="dxa"/>
            </w:tcMar>
          </w:tcPr>
          <w:p w14:paraId="106EB1E8" w14:textId="77777777" w:rsidR="006E5BA6" w:rsidRDefault="006E5BA6">
            <w:pPr>
              <w:pStyle w:val="TableDataColumnHeading"/>
            </w:pPr>
            <w:r>
              <w:t>WA (CZ5)</w:t>
            </w:r>
          </w:p>
          <w:p w14:paraId="01ABBA7F" w14:textId="77777777" w:rsidR="006E5BA6" w:rsidRDefault="006E5BA6">
            <w:pPr>
              <w:pStyle w:val="TableDataColumnHeading"/>
            </w:pPr>
            <w:r>
              <w:t>$ per m</w:t>
            </w:r>
            <w:r w:rsidRPr="005347E2">
              <w:rPr>
                <w:vertAlign w:val="superscript"/>
              </w:rPr>
              <w:t>2</w:t>
            </w:r>
          </w:p>
        </w:tc>
        <w:tc>
          <w:tcPr>
            <w:tcW w:w="868" w:type="dxa"/>
            <w:shd w:val="clear" w:color="auto" w:fill="6F6652"/>
            <w:tcMar>
              <w:left w:w="57" w:type="dxa"/>
              <w:right w:w="57" w:type="dxa"/>
            </w:tcMar>
          </w:tcPr>
          <w:p w14:paraId="341E49DE" w14:textId="77777777" w:rsidR="006E5BA6" w:rsidRDefault="006E5BA6">
            <w:pPr>
              <w:pStyle w:val="TableDataColumnHeading"/>
            </w:pPr>
            <w:r>
              <w:t>SA (CZ5)</w:t>
            </w:r>
          </w:p>
          <w:p w14:paraId="0904982E" w14:textId="77777777" w:rsidR="006E5BA6" w:rsidRDefault="006E5BA6">
            <w:pPr>
              <w:pStyle w:val="TableDataColumnHeading"/>
            </w:pPr>
            <w:r>
              <w:t>$ per m</w:t>
            </w:r>
            <w:r w:rsidRPr="005347E2">
              <w:rPr>
                <w:vertAlign w:val="superscript"/>
              </w:rPr>
              <w:t>2</w:t>
            </w:r>
          </w:p>
        </w:tc>
        <w:tc>
          <w:tcPr>
            <w:tcW w:w="869" w:type="dxa"/>
            <w:shd w:val="clear" w:color="auto" w:fill="6F6652"/>
            <w:tcMar>
              <w:left w:w="57" w:type="dxa"/>
              <w:right w:w="57" w:type="dxa"/>
            </w:tcMar>
          </w:tcPr>
          <w:p w14:paraId="104ECE9E" w14:textId="77777777" w:rsidR="006E5BA6" w:rsidRDefault="006E5BA6">
            <w:pPr>
              <w:pStyle w:val="TableDataColumnHeading"/>
            </w:pPr>
            <w:r>
              <w:t>TAS (CZ7)</w:t>
            </w:r>
          </w:p>
          <w:p w14:paraId="3A5935D3" w14:textId="77777777" w:rsidR="006E5BA6" w:rsidRDefault="006E5BA6">
            <w:pPr>
              <w:pStyle w:val="TableDataColumnHeading"/>
            </w:pPr>
            <w:r>
              <w:t>$ per m</w:t>
            </w:r>
            <w:r w:rsidRPr="005347E2">
              <w:rPr>
                <w:vertAlign w:val="superscript"/>
              </w:rPr>
              <w:t>2</w:t>
            </w:r>
          </w:p>
        </w:tc>
        <w:tc>
          <w:tcPr>
            <w:tcW w:w="868" w:type="dxa"/>
            <w:shd w:val="clear" w:color="auto" w:fill="6F6652"/>
            <w:tcMar>
              <w:left w:w="57" w:type="dxa"/>
              <w:right w:w="57" w:type="dxa"/>
            </w:tcMar>
          </w:tcPr>
          <w:p w14:paraId="0B72C2DC" w14:textId="77777777" w:rsidR="006E5BA6" w:rsidRDefault="006E5BA6">
            <w:pPr>
              <w:pStyle w:val="TableDataColumnHeading"/>
            </w:pPr>
            <w:r>
              <w:t>ACT (CZ7)</w:t>
            </w:r>
          </w:p>
          <w:p w14:paraId="4CAA3847" w14:textId="77777777" w:rsidR="006E5BA6" w:rsidRDefault="006E5BA6">
            <w:pPr>
              <w:pStyle w:val="TableDataColumnHeading"/>
            </w:pPr>
            <w:r>
              <w:t>$ per m</w:t>
            </w:r>
            <w:r w:rsidRPr="005347E2">
              <w:rPr>
                <w:vertAlign w:val="superscript"/>
              </w:rPr>
              <w:t>2</w:t>
            </w:r>
          </w:p>
        </w:tc>
        <w:tc>
          <w:tcPr>
            <w:tcW w:w="869" w:type="dxa"/>
            <w:shd w:val="clear" w:color="auto" w:fill="6F6652"/>
            <w:tcMar>
              <w:left w:w="57" w:type="dxa"/>
              <w:right w:w="57" w:type="dxa"/>
            </w:tcMar>
          </w:tcPr>
          <w:p w14:paraId="393DEB23" w14:textId="77777777" w:rsidR="006E5BA6" w:rsidRDefault="006E5BA6">
            <w:pPr>
              <w:pStyle w:val="TableDataColumnHeading"/>
            </w:pPr>
            <w:r>
              <w:t>NT (CZ1)</w:t>
            </w:r>
          </w:p>
          <w:p w14:paraId="17727469" w14:textId="77777777" w:rsidR="006E5BA6" w:rsidRDefault="006E5BA6">
            <w:pPr>
              <w:pStyle w:val="TableDataColumnHeading"/>
            </w:pPr>
            <w:r>
              <w:t>$ per m</w:t>
            </w:r>
            <w:r w:rsidRPr="005347E2">
              <w:rPr>
                <w:vertAlign w:val="superscript"/>
              </w:rPr>
              <w:t>2</w:t>
            </w:r>
          </w:p>
        </w:tc>
      </w:tr>
      <w:tr w:rsidR="006E5BA6" w:rsidRPr="00492AD6" w14:paraId="32CEED8D" w14:textId="77777777">
        <w:trPr>
          <w:trHeight w:val="245"/>
        </w:trPr>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25CE1F6" w14:textId="64114E70" w:rsidR="006E5BA6" w:rsidRPr="00492AD6" w:rsidRDefault="006E5BA6">
            <w:pPr>
              <w:pStyle w:val="TableDataEntries"/>
              <w:jc w:val="left"/>
              <w:rPr>
                <w:color w:val="000000" w:themeColor="text1"/>
              </w:rPr>
            </w:pPr>
            <w:r w:rsidRPr="00B80C92">
              <w:t>C3HL</w:t>
            </w:r>
          </w:p>
        </w:tc>
        <w:tc>
          <w:tcPr>
            <w:tcW w:w="10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05558DB" w14:textId="68D779C7" w:rsidR="006E5BA6" w:rsidRPr="00492AD6" w:rsidRDefault="006E5BA6">
            <w:pPr>
              <w:pStyle w:val="TableDataEntries"/>
              <w:rPr>
                <w:color w:val="000000" w:themeColor="text1"/>
              </w:rPr>
            </w:pPr>
            <w:r w:rsidRPr="00BD2A7D">
              <w:t>60.89</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53EB621" w14:textId="7D7A918D" w:rsidR="006E5BA6" w:rsidRPr="00492AD6" w:rsidRDefault="006E5BA6">
            <w:pPr>
              <w:pStyle w:val="TableDataEntries"/>
              <w:rPr>
                <w:color w:val="000000" w:themeColor="text1"/>
              </w:rPr>
            </w:pPr>
            <w:r w:rsidRPr="00BD2A7D">
              <w:t>32.32</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1DDF166" w14:textId="3997F300" w:rsidR="006E5BA6" w:rsidRPr="00492AD6" w:rsidRDefault="006E5BA6">
            <w:pPr>
              <w:pStyle w:val="TableDataEntries"/>
              <w:rPr>
                <w:color w:val="000000" w:themeColor="text1"/>
              </w:rPr>
            </w:pPr>
            <w:r w:rsidRPr="00BD2A7D">
              <w:t>98.06</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A828EA1" w14:textId="0852E5D8" w:rsidR="006E5BA6" w:rsidRPr="00492AD6" w:rsidRDefault="006E5BA6">
            <w:pPr>
              <w:pStyle w:val="TableDataEntries"/>
              <w:rPr>
                <w:color w:val="000000" w:themeColor="text1"/>
              </w:rPr>
            </w:pPr>
            <w:r w:rsidRPr="00BD2A7D">
              <w:t>64.10</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A66F49" w14:textId="43F4DBCD" w:rsidR="006E5BA6" w:rsidRPr="00492AD6" w:rsidRDefault="006E5BA6">
            <w:pPr>
              <w:pStyle w:val="TableDataEntries"/>
              <w:rPr>
                <w:color w:val="000000" w:themeColor="text1"/>
              </w:rPr>
            </w:pPr>
            <w:r w:rsidRPr="00BD2A7D">
              <w:t>70.86</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5081139" w14:textId="74F86938" w:rsidR="006E5BA6" w:rsidRPr="00492AD6" w:rsidRDefault="006E5BA6">
            <w:pPr>
              <w:pStyle w:val="TableDataEntries"/>
              <w:rPr>
                <w:color w:val="000000" w:themeColor="text1"/>
              </w:rPr>
            </w:pPr>
            <w:r w:rsidRPr="00BD2A7D">
              <w:t>45.62</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89790C" w14:textId="2F51F402" w:rsidR="006E5BA6" w:rsidRPr="00492AD6" w:rsidRDefault="006E5BA6">
            <w:pPr>
              <w:pStyle w:val="TableDataEntries"/>
              <w:rPr>
                <w:color w:val="000000" w:themeColor="text1"/>
              </w:rPr>
            </w:pPr>
            <w:r w:rsidRPr="00BD2A7D">
              <w:t>40.83</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1F583D2" w14:textId="15943F2A" w:rsidR="006E5BA6" w:rsidRPr="00492AD6" w:rsidRDefault="006E5BA6">
            <w:pPr>
              <w:pStyle w:val="TableDataEntries"/>
              <w:rPr>
                <w:color w:val="000000" w:themeColor="text1"/>
              </w:rPr>
            </w:pPr>
            <w:r w:rsidRPr="00BD2A7D">
              <w:t>125.77</w:t>
            </w:r>
          </w:p>
        </w:tc>
      </w:tr>
      <w:tr w:rsidR="006E5BA6" w:rsidRPr="00492AD6" w14:paraId="57FD0C8E" w14:textId="77777777">
        <w:trPr>
          <w:trHeight w:val="245"/>
        </w:trPr>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77C0108" w14:textId="2766BE13" w:rsidR="006E5BA6" w:rsidRPr="00492AD6" w:rsidRDefault="006E5BA6">
            <w:pPr>
              <w:pStyle w:val="TableDataEntries"/>
              <w:jc w:val="left"/>
              <w:rPr>
                <w:color w:val="000000" w:themeColor="text1"/>
              </w:rPr>
            </w:pPr>
            <w:r w:rsidRPr="00B80C92">
              <w:t>C3HS</w:t>
            </w:r>
          </w:p>
        </w:tc>
        <w:tc>
          <w:tcPr>
            <w:tcW w:w="10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B405C54" w14:textId="4DC1BF25" w:rsidR="006E5BA6" w:rsidRPr="00492AD6" w:rsidRDefault="006E5BA6">
            <w:pPr>
              <w:pStyle w:val="TableDataEntries"/>
              <w:rPr>
                <w:color w:val="000000" w:themeColor="text1"/>
              </w:rPr>
            </w:pPr>
            <w:r w:rsidRPr="00BD2A7D">
              <w:t>105.03</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F230D35" w14:textId="47785AB4" w:rsidR="006E5BA6" w:rsidRPr="00492AD6" w:rsidRDefault="006E5BA6">
            <w:pPr>
              <w:pStyle w:val="TableDataEntries"/>
              <w:rPr>
                <w:color w:val="000000" w:themeColor="text1"/>
              </w:rPr>
            </w:pPr>
            <w:r w:rsidRPr="00BD2A7D">
              <w:t>62.88</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BE8C7C" w14:textId="7ED3057C" w:rsidR="006E5BA6" w:rsidRPr="00492AD6" w:rsidRDefault="006E5BA6">
            <w:pPr>
              <w:pStyle w:val="TableDataEntries"/>
              <w:rPr>
                <w:color w:val="000000" w:themeColor="text1"/>
              </w:rPr>
            </w:pPr>
            <w:r w:rsidRPr="00BD2A7D">
              <w:t>245.04</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F204FFB" w14:textId="3BDD1BBA" w:rsidR="006E5BA6" w:rsidRPr="00492AD6" w:rsidRDefault="006E5BA6">
            <w:pPr>
              <w:pStyle w:val="TableDataEntries"/>
              <w:rPr>
                <w:color w:val="000000" w:themeColor="text1"/>
              </w:rPr>
            </w:pPr>
            <w:r w:rsidRPr="00BD2A7D">
              <w:t>113.94</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5A92F57" w14:textId="650CB69E" w:rsidR="006E5BA6" w:rsidRPr="00492AD6" w:rsidRDefault="006E5BA6">
            <w:pPr>
              <w:pStyle w:val="TableDataEntries"/>
              <w:rPr>
                <w:color w:val="000000" w:themeColor="text1"/>
              </w:rPr>
            </w:pPr>
            <w:r w:rsidRPr="00BD2A7D">
              <w:t>121.</w:t>
            </w:r>
            <w:r w:rsidR="00415AC7" w:rsidRPr="00832659">
              <w:t>72</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68A10AB" w14:textId="69A38577" w:rsidR="006E5BA6" w:rsidRPr="00492AD6" w:rsidRDefault="006E5BA6">
            <w:pPr>
              <w:pStyle w:val="TableDataEntries"/>
              <w:rPr>
                <w:color w:val="000000" w:themeColor="text1"/>
              </w:rPr>
            </w:pPr>
            <w:r w:rsidRPr="00BD2A7D">
              <w:t>79.30</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AE57E6" w14:textId="6A55F21A" w:rsidR="006E5BA6" w:rsidRPr="00492AD6" w:rsidRDefault="006E5BA6">
            <w:pPr>
              <w:pStyle w:val="TableDataEntries"/>
              <w:rPr>
                <w:color w:val="000000" w:themeColor="text1"/>
              </w:rPr>
            </w:pPr>
            <w:r w:rsidRPr="00BD2A7D">
              <w:t>72.37</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06EDC10" w14:textId="71212856" w:rsidR="006E5BA6" w:rsidRPr="00492AD6" w:rsidRDefault="006E5BA6">
            <w:pPr>
              <w:pStyle w:val="TableDataEntries"/>
              <w:rPr>
                <w:color w:val="000000" w:themeColor="text1"/>
              </w:rPr>
            </w:pPr>
            <w:r w:rsidRPr="00BD2A7D">
              <w:t>248.94</w:t>
            </w:r>
          </w:p>
        </w:tc>
      </w:tr>
      <w:tr w:rsidR="006E5BA6" w:rsidRPr="00492AD6" w14:paraId="0A6D0E31" w14:textId="77777777">
        <w:trPr>
          <w:trHeight w:val="245"/>
        </w:trPr>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D78D03" w14:textId="6F85D4A5" w:rsidR="006E5BA6" w:rsidRPr="00492AD6" w:rsidRDefault="006E5BA6">
            <w:pPr>
              <w:pStyle w:val="TableDataEntries"/>
              <w:jc w:val="left"/>
              <w:rPr>
                <w:color w:val="000000" w:themeColor="text1"/>
              </w:rPr>
            </w:pPr>
            <w:r w:rsidRPr="00B80C92">
              <w:t>C5OL</w:t>
            </w:r>
          </w:p>
        </w:tc>
        <w:tc>
          <w:tcPr>
            <w:tcW w:w="10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549755E" w14:textId="1662B829" w:rsidR="006E5BA6" w:rsidRPr="00492AD6" w:rsidRDefault="006E5BA6">
            <w:pPr>
              <w:pStyle w:val="TableDataEntries"/>
              <w:rPr>
                <w:color w:val="000000" w:themeColor="text1"/>
              </w:rPr>
            </w:pPr>
            <w:r w:rsidRPr="00BD2A7D">
              <w:t>16.19</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2889B7" w14:textId="7C076B0A" w:rsidR="006E5BA6" w:rsidRPr="00492AD6" w:rsidRDefault="006E5BA6">
            <w:pPr>
              <w:pStyle w:val="TableDataEntries"/>
              <w:rPr>
                <w:color w:val="000000" w:themeColor="text1"/>
              </w:rPr>
            </w:pPr>
            <w:r>
              <w:t>14</w:t>
            </w:r>
            <w:r w:rsidRPr="00BD2A7D">
              <w:t>.53</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43800E9" w14:textId="47A1438A" w:rsidR="006E5BA6" w:rsidRPr="00492AD6" w:rsidRDefault="006E5BA6">
            <w:pPr>
              <w:pStyle w:val="TableDataEntries"/>
              <w:rPr>
                <w:color w:val="000000" w:themeColor="text1"/>
              </w:rPr>
            </w:pPr>
            <w:r w:rsidRPr="00BD2A7D">
              <w:t>19.71</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878C6F" w14:textId="3ACF1900" w:rsidR="006E5BA6" w:rsidRPr="00492AD6" w:rsidRDefault="006E5BA6">
            <w:pPr>
              <w:pStyle w:val="TableDataEntries"/>
              <w:rPr>
                <w:color w:val="000000" w:themeColor="text1"/>
              </w:rPr>
            </w:pPr>
            <w:r w:rsidRPr="00BD2A7D">
              <w:t>20.46</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237B75" w14:textId="0CC7C631" w:rsidR="006E5BA6" w:rsidRPr="00492AD6" w:rsidRDefault="006E5BA6">
            <w:pPr>
              <w:pStyle w:val="TableDataEntries"/>
              <w:rPr>
                <w:color w:val="000000" w:themeColor="text1"/>
              </w:rPr>
            </w:pPr>
            <w:r w:rsidRPr="00BD2A7D">
              <w:t>24.57</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43F82B" w14:textId="2A6BD194" w:rsidR="006E5BA6" w:rsidRPr="00492AD6" w:rsidRDefault="006E5BA6">
            <w:pPr>
              <w:pStyle w:val="TableDataEntries"/>
              <w:rPr>
                <w:color w:val="000000" w:themeColor="text1"/>
              </w:rPr>
            </w:pPr>
            <w:r w:rsidRPr="00BD2A7D">
              <w:t>18.52</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945A18" w14:textId="004356D7" w:rsidR="006E5BA6" w:rsidRPr="00492AD6" w:rsidRDefault="006E5BA6">
            <w:pPr>
              <w:pStyle w:val="TableDataEntries"/>
              <w:rPr>
                <w:color w:val="000000" w:themeColor="text1"/>
              </w:rPr>
            </w:pPr>
            <w:r w:rsidRPr="00BD2A7D">
              <w:t>13.58</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E5127B4" w14:textId="38DE7FE2" w:rsidR="006E5BA6" w:rsidRPr="00492AD6" w:rsidRDefault="006E5BA6">
            <w:pPr>
              <w:pStyle w:val="TableDataEntries"/>
              <w:rPr>
                <w:color w:val="000000" w:themeColor="text1"/>
              </w:rPr>
            </w:pPr>
            <w:r w:rsidRPr="00BD2A7D">
              <w:t>34.82</w:t>
            </w:r>
          </w:p>
        </w:tc>
      </w:tr>
      <w:tr w:rsidR="006E5BA6" w:rsidRPr="00492AD6" w14:paraId="5D0B77B6" w14:textId="77777777">
        <w:trPr>
          <w:trHeight w:val="245"/>
        </w:trPr>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4C63390" w14:textId="150D49A2" w:rsidR="006E5BA6" w:rsidRPr="00492AD6" w:rsidRDefault="006E5BA6">
            <w:pPr>
              <w:pStyle w:val="TableDataEntries"/>
              <w:jc w:val="left"/>
              <w:rPr>
                <w:color w:val="000000" w:themeColor="text1"/>
              </w:rPr>
            </w:pPr>
            <w:r w:rsidRPr="00B80C92">
              <w:t>C5OM</w:t>
            </w:r>
          </w:p>
        </w:tc>
        <w:tc>
          <w:tcPr>
            <w:tcW w:w="10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2B4D2EA" w14:textId="41CC6D21" w:rsidR="006E5BA6" w:rsidRPr="00492AD6" w:rsidRDefault="006E5BA6">
            <w:pPr>
              <w:pStyle w:val="TableDataEntries"/>
              <w:rPr>
                <w:color w:val="000000" w:themeColor="text1"/>
              </w:rPr>
            </w:pPr>
            <w:r>
              <w:t>57.24</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0C05F1" w14:textId="7B72A532" w:rsidR="006E5BA6" w:rsidRPr="00492AD6" w:rsidRDefault="006E5BA6">
            <w:pPr>
              <w:pStyle w:val="TableDataEntries"/>
              <w:rPr>
                <w:color w:val="000000" w:themeColor="text1"/>
              </w:rPr>
            </w:pPr>
            <w:r>
              <w:t>38.99</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E4CCB76" w14:textId="28239A2D" w:rsidR="006E5BA6" w:rsidRPr="00492AD6" w:rsidRDefault="006E5BA6">
            <w:pPr>
              <w:pStyle w:val="TableDataEntries"/>
              <w:rPr>
                <w:color w:val="000000" w:themeColor="text1"/>
              </w:rPr>
            </w:pPr>
            <w:r>
              <w:t>74.</w:t>
            </w:r>
            <w:r w:rsidR="00415AC7" w:rsidRPr="00832659">
              <w:t>22</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32650B3" w14:textId="09434953" w:rsidR="006E5BA6" w:rsidRPr="00492AD6" w:rsidRDefault="006E5BA6">
            <w:pPr>
              <w:pStyle w:val="TableDataEntries"/>
              <w:rPr>
                <w:color w:val="000000" w:themeColor="text1"/>
              </w:rPr>
            </w:pPr>
            <w:r>
              <w:t>63.88</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F2ACFB" w14:textId="18997582" w:rsidR="006E5BA6" w:rsidRPr="00492AD6" w:rsidRDefault="006E5BA6">
            <w:pPr>
              <w:pStyle w:val="TableDataEntries"/>
              <w:rPr>
                <w:color w:val="000000" w:themeColor="text1"/>
              </w:rPr>
            </w:pPr>
            <w:r>
              <w:t>70.32</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BE2FDBC" w14:textId="244255CA" w:rsidR="006E5BA6" w:rsidRPr="00492AD6" w:rsidRDefault="006E5BA6">
            <w:pPr>
              <w:pStyle w:val="TableDataEntries"/>
              <w:rPr>
                <w:color w:val="000000" w:themeColor="text1"/>
              </w:rPr>
            </w:pPr>
            <w:r>
              <w:t>61.18</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2D0C5C" w14:textId="37165718" w:rsidR="006E5BA6" w:rsidRPr="00492AD6" w:rsidRDefault="006E5BA6">
            <w:pPr>
              <w:pStyle w:val="TableDataEntries"/>
              <w:rPr>
                <w:color w:val="000000" w:themeColor="text1"/>
              </w:rPr>
            </w:pPr>
            <w:r>
              <w:t>43.28</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13FF0F4" w14:textId="076888A9" w:rsidR="006E5BA6" w:rsidRPr="00492AD6" w:rsidRDefault="006E5BA6">
            <w:pPr>
              <w:pStyle w:val="TableDataEntries"/>
              <w:rPr>
                <w:color w:val="000000" w:themeColor="text1"/>
              </w:rPr>
            </w:pPr>
            <w:r>
              <w:t>126.91</w:t>
            </w:r>
          </w:p>
        </w:tc>
      </w:tr>
      <w:tr w:rsidR="006E5BA6" w:rsidRPr="00492AD6" w14:paraId="2301F54F" w14:textId="77777777">
        <w:trPr>
          <w:trHeight w:val="245"/>
        </w:trPr>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BFC6E5D" w14:textId="14291DFF" w:rsidR="006E5BA6" w:rsidRPr="00492AD6" w:rsidRDefault="006E5BA6">
            <w:pPr>
              <w:pStyle w:val="TableDataEntries"/>
              <w:jc w:val="left"/>
              <w:rPr>
                <w:color w:val="000000" w:themeColor="text1"/>
              </w:rPr>
            </w:pPr>
            <w:r w:rsidRPr="00B80C92">
              <w:t>C5OS</w:t>
            </w:r>
          </w:p>
        </w:tc>
        <w:tc>
          <w:tcPr>
            <w:tcW w:w="10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22B92E" w14:textId="5BD7BE66" w:rsidR="006E5BA6" w:rsidRPr="00492AD6" w:rsidRDefault="006E5BA6">
            <w:pPr>
              <w:pStyle w:val="TableDataEntries"/>
              <w:rPr>
                <w:color w:val="000000" w:themeColor="text1"/>
              </w:rPr>
            </w:pPr>
            <w:r w:rsidRPr="00BD2A7D">
              <w:t>55.73</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26F9EB" w14:textId="46CD2E7C" w:rsidR="006E5BA6" w:rsidRPr="00492AD6" w:rsidRDefault="006E5BA6">
            <w:pPr>
              <w:pStyle w:val="TableDataEntries"/>
              <w:rPr>
                <w:color w:val="000000" w:themeColor="text1"/>
              </w:rPr>
            </w:pPr>
            <w:r w:rsidRPr="00BD2A7D">
              <w:t>64.</w:t>
            </w:r>
            <w:r w:rsidR="00415AC7" w:rsidRPr="00832659">
              <w:t>14</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34E8EE7" w14:textId="03FCEA24" w:rsidR="006E5BA6" w:rsidRPr="00492AD6" w:rsidRDefault="006E5BA6">
            <w:pPr>
              <w:pStyle w:val="TableDataEntries"/>
              <w:rPr>
                <w:color w:val="000000" w:themeColor="text1"/>
              </w:rPr>
            </w:pPr>
            <w:r w:rsidRPr="00BD2A7D">
              <w:t>37.35</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7CD084A" w14:textId="10894C09" w:rsidR="006E5BA6" w:rsidRPr="00492AD6" w:rsidRDefault="006E5BA6">
            <w:pPr>
              <w:pStyle w:val="TableDataEntries"/>
              <w:rPr>
                <w:color w:val="000000" w:themeColor="text1"/>
              </w:rPr>
            </w:pPr>
            <w:r w:rsidRPr="00BD2A7D">
              <w:t>55.64</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FC3C696" w14:textId="1597CF29" w:rsidR="006E5BA6" w:rsidRPr="00492AD6" w:rsidRDefault="006E5BA6">
            <w:pPr>
              <w:pStyle w:val="TableDataEntries"/>
              <w:rPr>
                <w:color w:val="000000" w:themeColor="text1"/>
              </w:rPr>
            </w:pPr>
            <w:r w:rsidRPr="00BD2A7D">
              <w:t>61.60</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4A6622C" w14:textId="371C00C5" w:rsidR="006E5BA6" w:rsidRPr="00492AD6" w:rsidRDefault="006E5BA6">
            <w:pPr>
              <w:pStyle w:val="TableDataEntries"/>
              <w:rPr>
                <w:color w:val="000000" w:themeColor="text1"/>
              </w:rPr>
            </w:pPr>
            <w:r w:rsidRPr="00BD2A7D">
              <w:t>62.06</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113197" w14:textId="32BF7FAA" w:rsidR="006E5BA6" w:rsidRPr="00492AD6" w:rsidRDefault="006E5BA6">
            <w:pPr>
              <w:pStyle w:val="TableDataEntries"/>
              <w:rPr>
                <w:color w:val="000000" w:themeColor="text1"/>
              </w:rPr>
            </w:pPr>
            <w:r w:rsidRPr="00BD2A7D">
              <w:t>43.44</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4A82E38" w14:textId="203AF761" w:rsidR="006E5BA6" w:rsidRPr="00492AD6" w:rsidRDefault="006E5BA6">
            <w:pPr>
              <w:pStyle w:val="TableDataEntries"/>
              <w:rPr>
                <w:color w:val="000000" w:themeColor="text1"/>
              </w:rPr>
            </w:pPr>
            <w:r w:rsidRPr="00BD2A7D">
              <w:t>113.46</w:t>
            </w:r>
          </w:p>
        </w:tc>
      </w:tr>
      <w:tr w:rsidR="006E5BA6" w:rsidRPr="00492AD6" w14:paraId="74234634" w14:textId="77777777">
        <w:trPr>
          <w:trHeight w:val="245"/>
        </w:trPr>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D2C9ECF" w14:textId="228FCBA2" w:rsidR="006E5BA6" w:rsidRPr="00492AD6" w:rsidRDefault="006E5BA6">
            <w:pPr>
              <w:pStyle w:val="TableDataEntries"/>
              <w:jc w:val="left"/>
              <w:rPr>
                <w:color w:val="000000" w:themeColor="text1"/>
              </w:rPr>
            </w:pPr>
            <w:r w:rsidRPr="00B80C92">
              <w:t>C6RL</w:t>
            </w:r>
          </w:p>
        </w:tc>
        <w:tc>
          <w:tcPr>
            <w:tcW w:w="10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3D52D23" w14:textId="366C518D" w:rsidR="006E5BA6" w:rsidRPr="00492AD6" w:rsidRDefault="006E5BA6">
            <w:pPr>
              <w:pStyle w:val="TableDataEntries"/>
              <w:rPr>
                <w:color w:val="000000" w:themeColor="text1"/>
              </w:rPr>
            </w:pPr>
            <w:r w:rsidRPr="00BD2A7D">
              <w:t>189.23</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316B90" w14:textId="1F99B7F5" w:rsidR="006E5BA6" w:rsidRPr="00492AD6" w:rsidRDefault="006E5BA6">
            <w:pPr>
              <w:pStyle w:val="TableDataEntries"/>
              <w:rPr>
                <w:color w:val="000000" w:themeColor="text1"/>
              </w:rPr>
            </w:pPr>
            <w:r w:rsidRPr="00BD2A7D">
              <w:t>56.68</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F8309A" w14:textId="278BE67E" w:rsidR="006E5BA6" w:rsidRPr="00492AD6" w:rsidRDefault="006E5BA6">
            <w:pPr>
              <w:pStyle w:val="TableDataEntries"/>
              <w:rPr>
                <w:color w:val="000000" w:themeColor="text1"/>
              </w:rPr>
            </w:pPr>
            <w:r w:rsidRPr="00BD2A7D">
              <w:t>328.70</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6D741D" w14:textId="1ADF200A" w:rsidR="006E5BA6" w:rsidRPr="00492AD6" w:rsidRDefault="006E5BA6">
            <w:pPr>
              <w:pStyle w:val="TableDataEntries"/>
              <w:rPr>
                <w:color w:val="000000" w:themeColor="text1"/>
              </w:rPr>
            </w:pPr>
            <w:r w:rsidRPr="00BD2A7D">
              <w:t>208.35</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0C5327" w14:textId="3E28B004" w:rsidR="006E5BA6" w:rsidRPr="00492AD6" w:rsidRDefault="006E5BA6">
            <w:pPr>
              <w:pStyle w:val="TableDataEntries"/>
              <w:rPr>
                <w:color w:val="000000" w:themeColor="text1"/>
              </w:rPr>
            </w:pPr>
            <w:r w:rsidRPr="00BD2A7D">
              <w:t>234.12</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DED81B" w14:textId="179872C8" w:rsidR="006E5BA6" w:rsidRPr="00492AD6" w:rsidRDefault="006E5BA6">
            <w:pPr>
              <w:pStyle w:val="TableDataEntries"/>
              <w:rPr>
                <w:color w:val="000000" w:themeColor="text1"/>
              </w:rPr>
            </w:pPr>
            <w:r w:rsidRPr="00BD2A7D">
              <w:t>245.26</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B1574F4" w14:textId="707A2212" w:rsidR="006E5BA6" w:rsidRPr="00492AD6" w:rsidRDefault="006E5BA6">
            <w:pPr>
              <w:pStyle w:val="TableDataEntries"/>
              <w:rPr>
                <w:color w:val="000000" w:themeColor="text1"/>
              </w:rPr>
            </w:pPr>
            <w:r w:rsidRPr="00BD2A7D">
              <w:t>182.13</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3472C2" w14:textId="1D8CA3AB" w:rsidR="006E5BA6" w:rsidRPr="00492AD6" w:rsidRDefault="006E5BA6">
            <w:pPr>
              <w:pStyle w:val="TableDataEntries"/>
              <w:rPr>
                <w:color w:val="000000" w:themeColor="text1"/>
              </w:rPr>
            </w:pPr>
            <w:r w:rsidRPr="00BD2A7D">
              <w:t>404.51</w:t>
            </w:r>
          </w:p>
        </w:tc>
      </w:tr>
      <w:tr w:rsidR="006E5BA6" w:rsidRPr="00492AD6" w14:paraId="538F3AD8" w14:textId="77777777">
        <w:trPr>
          <w:trHeight w:val="245"/>
        </w:trPr>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492EE8" w14:textId="508BDA11" w:rsidR="006E5BA6" w:rsidRPr="00492AD6" w:rsidRDefault="006E5BA6">
            <w:pPr>
              <w:pStyle w:val="TableDataEntries"/>
              <w:jc w:val="left"/>
              <w:rPr>
                <w:color w:val="000000" w:themeColor="text1"/>
              </w:rPr>
            </w:pPr>
            <w:r w:rsidRPr="00B80C92">
              <w:t>C6RS</w:t>
            </w:r>
          </w:p>
        </w:tc>
        <w:tc>
          <w:tcPr>
            <w:tcW w:w="10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99310D" w14:textId="5F106606" w:rsidR="006E5BA6" w:rsidRPr="00492AD6" w:rsidRDefault="006E5BA6">
            <w:pPr>
              <w:pStyle w:val="TableDataEntries"/>
              <w:rPr>
                <w:color w:val="000000" w:themeColor="text1"/>
              </w:rPr>
            </w:pPr>
            <w:r w:rsidRPr="00BD2A7D">
              <w:t>276.91</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FBB775" w14:textId="576ED14D" w:rsidR="006E5BA6" w:rsidRPr="00492AD6" w:rsidRDefault="006E5BA6">
            <w:pPr>
              <w:pStyle w:val="TableDataEntries"/>
              <w:rPr>
                <w:color w:val="000000" w:themeColor="text1"/>
              </w:rPr>
            </w:pPr>
            <w:r w:rsidRPr="00BD2A7D">
              <w:t>203.29</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0B9E789" w14:textId="76E96EA7" w:rsidR="006E5BA6" w:rsidRPr="00492AD6" w:rsidRDefault="006E5BA6">
            <w:pPr>
              <w:pStyle w:val="TableDataEntries"/>
              <w:rPr>
                <w:color w:val="000000" w:themeColor="text1"/>
              </w:rPr>
            </w:pPr>
            <w:r w:rsidRPr="00BD2A7D">
              <w:t>418.59</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6F4390D" w14:textId="6359DD95" w:rsidR="006E5BA6" w:rsidRPr="00492AD6" w:rsidRDefault="006E5BA6">
            <w:pPr>
              <w:pStyle w:val="TableDataEntries"/>
              <w:rPr>
                <w:color w:val="000000" w:themeColor="text1"/>
              </w:rPr>
            </w:pPr>
            <w:r w:rsidRPr="00BD2A7D">
              <w:t>301.94</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23D901A" w14:textId="6C6A593F" w:rsidR="006E5BA6" w:rsidRPr="00492AD6" w:rsidRDefault="006E5BA6">
            <w:pPr>
              <w:pStyle w:val="TableDataEntries"/>
              <w:rPr>
                <w:color w:val="000000" w:themeColor="text1"/>
              </w:rPr>
            </w:pPr>
            <w:r w:rsidRPr="00BD2A7D">
              <w:t>328.60</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CDE9E6" w14:textId="4EA88F54" w:rsidR="006E5BA6" w:rsidRPr="00492AD6" w:rsidRDefault="006E5BA6">
            <w:pPr>
              <w:pStyle w:val="TableDataEntries"/>
              <w:rPr>
                <w:color w:val="000000" w:themeColor="text1"/>
              </w:rPr>
            </w:pPr>
            <w:r w:rsidRPr="00BD2A7D">
              <w:t>246.74</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C92D5BA" w14:textId="2175AE1E" w:rsidR="006E5BA6" w:rsidRPr="00492AD6" w:rsidRDefault="006E5BA6">
            <w:pPr>
              <w:pStyle w:val="TableDataEntries"/>
              <w:rPr>
                <w:color w:val="000000" w:themeColor="text1"/>
              </w:rPr>
            </w:pPr>
            <w:r w:rsidRPr="00BD2A7D">
              <w:t>190.69</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81E0AC1" w14:textId="78DE02CF" w:rsidR="006E5BA6" w:rsidRPr="00492AD6" w:rsidRDefault="006E5BA6">
            <w:pPr>
              <w:pStyle w:val="TableDataEntries"/>
              <w:rPr>
                <w:color w:val="000000" w:themeColor="text1"/>
              </w:rPr>
            </w:pPr>
            <w:r w:rsidRPr="00BD2A7D">
              <w:t>673.48</w:t>
            </w:r>
          </w:p>
        </w:tc>
      </w:tr>
      <w:tr w:rsidR="006E5BA6" w:rsidRPr="00492AD6" w14:paraId="384247AF" w14:textId="77777777">
        <w:trPr>
          <w:trHeight w:val="245"/>
        </w:trPr>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8D15B2B" w14:textId="4C659DD3" w:rsidR="006E5BA6" w:rsidRPr="00492AD6" w:rsidRDefault="006E5BA6">
            <w:pPr>
              <w:pStyle w:val="TableDataEntries"/>
              <w:jc w:val="left"/>
              <w:rPr>
                <w:color w:val="000000" w:themeColor="text1"/>
              </w:rPr>
            </w:pPr>
            <w:r w:rsidRPr="00B80C92">
              <w:t>C9A</w:t>
            </w:r>
          </w:p>
        </w:tc>
        <w:tc>
          <w:tcPr>
            <w:tcW w:w="10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A34D46" w14:textId="39E4F822" w:rsidR="006E5BA6" w:rsidRPr="00492AD6" w:rsidRDefault="006E5BA6">
            <w:pPr>
              <w:pStyle w:val="TableDataEntries"/>
              <w:rPr>
                <w:color w:val="000000" w:themeColor="text1"/>
              </w:rPr>
            </w:pPr>
            <w:r>
              <w:t>19.62</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D8494D" w14:textId="2138D8ED" w:rsidR="006E5BA6" w:rsidRPr="00492AD6" w:rsidRDefault="006E5BA6">
            <w:pPr>
              <w:pStyle w:val="TableDataEntries"/>
              <w:rPr>
                <w:color w:val="000000" w:themeColor="text1"/>
              </w:rPr>
            </w:pPr>
            <w:r>
              <w:t>1.92</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80E4C4" w14:textId="59D62178" w:rsidR="006E5BA6" w:rsidRPr="00492AD6" w:rsidRDefault="006E5BA6">
            <w:pPr>
              <w:pStyle w:val="TableDataEntries"/>
              <w:rPr>
                <w:color w:val="000000" w:themeColor="text1"/>
              </w:rPr>
            </w:pPr>
            <w:r>
              <w:t>17.00</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4D50C37" w14:textId="48743219" w:rsidR="006E5BA6" w:rsidRPr="00492AD6" w:rsidRDefault="006E5BA6">
            <w:pPr>
              <w:pStyle w:val="TableDataEntries"/>
              <w:rPr>
                <w:color w:val="000000" w:themeColor="text1"/>
              </w:rPr>
            </w:pPr>
            <w:r>
              <w:t>22.56</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429217" w14:textId="6187E26C" w:rsidR="006E5BA6" w:rsidRPr="00492AD6" w:rsidRDefault="006E5BA6">
            <w:pPr>
              <w:pStyle w:val="TableDataEntries"/>
              <w:rPr>
                <w:color w:val="000000" w:themeColor="text1"/>
              </w:rPr>
            </w:pPr>
            <w:r>
              <w:t>25.13</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0EB5CB8" w14:textId="48905529" w:rsidR="006E5BA6" w:rsidRPr="00492AD6" w:rsidRDefault="006E5BA6">
            <w:pPr>
              <w:pStyle w:val="TableDataEntries"/>
              <w:rPr>
                <w:color w:val="000000" w:themeColor="text1"/>
              </w:rPr>
            </w:pPr>
            <w:r>
              <w:t>5.62</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050A295" w14:textId="33F9D670" w:rsidR="006E5BA6" w:rsidRPr="00492AD6" w:rsidRDefault="006E5BA6">
            <w:pPr>
              <w:pStyle w:val="TableDataEntries"/>
              <w:rPr>
                <w:color w:val="000000" w:themeColor="text1"/>
              </w:rPr>
            </w:pPr>
            <w:r>
              <w:t>2.59</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07A20A0" w14:textId="460F789D" w:rsidR="006E5BA6" w:rsidRPr="00492AD6" w:rsidRDefault="006E5BA6">
            <w:pPr>
              <w:pStyle w:val="TableDataEntries"/>
              <w:rPr>
                <w:color w:val="000000" w:themeColor="text1"/>
              </w:rPr>
            </w:pPr>
            <w:r>
              <w:t>82.46</w:t>
            </w:r>
          </w:p>
        </w:tc>
      </w:tr>
      <w:tr w:rsidR="006E5BA6" w:rsidRPr="00492AD6" w14:paraId="7015D583" w14:textId="77777777">
        <w:trPr>
          <w:trHeight w:val="245"/>
        </w:trPr>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C4C8D5" w14:textId="52A4C395" w:rsidR="006E5BA6" w:rsidRPr="00492AD6" w:rsidRDefault="006E5BA6">
            <w:pPr>
              <w:pStyle w:val="TableDataEntries"/>
              <w:jc w:val="left"/>
              <w:rPr>
                <w:color w:val="000000" w:themeColor="text1"/>
              </w:rPr>
            </w:pPr>
            <w:r w:rsidRPr="00B80C92">
              <w:t>C9B</w:t>
            </w:r>
          </w:p>
        </w:tc>
        <w:tc>
          <w:tcPr>
            <w:tcW w:w="10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597F6D" w14:textId="346E6A98" w:rsidR="006E5BA6" w:rsidRPr="00492AD6" w:rsidRDefault="006E5BA6">
            <w:pPr>
              <w:pStyle w:val="TableDataEntries"/>
              <w:rPr>
                <w:color w:val="000000" w:themeColor="text1"/>
              </w:rPr>
            </w:pPr>
            <w:r>
              <w:t>62.16</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57A4F96" w14:textId="04139C8F" w:rsidR="006E5BA6" w:rsidRPr="00492AD6" w:rsidRDefault="006E5BA6">
            <w:pPr>
              <w:pStyle w:val="TableDataEntries"/>
              <w:rPr>
                <w:color w:val="000000" w:themeColor="text1"/>
              </w:rPr>
            </w:pPr>
            <w:r>
              <w:t>47.90</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04C2947" w14:textId="18C122DC" w:rsidR="006E5BA6" w:rsidRPr="00492AD6" w:rsidRDefault="006E5BA6">
            <w:pPr>
              <w:pStyle w:val="TableDataEntries"/>
              <w:rPr>
                <w:color w:val="000000" w:themeColor="text1"/>
              </w:rPr>
            </w:pPr>
            <w:r>
              <w:t>107.85</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4D83EF8" w14:textId="26A1E26B" w:rsidR="006E5BA6" w:rsidRPr="00492AD6" w:rsidRDefault="006E5BA6">
            <w:pPr>
              <w:pStyle w:val="TableDataEntries"/>
              <w:rPr>
                <w:color w:val="000000" w:themeColor="text1"/>
              </w:rPr>
            </w:pPr>
            <w:r>
              <w:t>62.22</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F47016" w14:textId="30DC9531" w:rsidR="006E5BA6" w:rsidRPr="00492AD6" w:rsidRDefault="006E5BA6">
            <w:pPr>
              <w:pStyle w:val="TableDataEntries"/>
              <w:rPr>
                <w:color w:val="000000" w:themeColor="text1"/>
              </w:rPr>
            </w:pPr>
            <w:r>
              <w:t>64.87</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A7CB41D" w14:textId="5315ADB2" w:rsidR="006E5BA6" w:rsidRPr="00492AD6" w:rsidRDefault="006E5BA6">
            <w:pPr>
              <w:pStyle w:val="TableDataEntries"/>
              <w:rPr>
                <w:color w:val="000000" w:themeColor="text1"/>
              </w:rPr>
            </w:pPr>
            <w:r>
              <w:t>66.37</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16983F" w14:textId="2A22BB3D" w:rsidR="006E5BA6" w:rsidRPr="00492AD6" w:rsidRDefault="006E5BA6">
            <w:pPr>
              <w:pStyle w:val="TableDataEntries"/>
              <w:rPr>
                <w:color w:val="000000" w:themeColor="text1"/>
              </w:rPr>
            </w:pPr>
            <w:r>
              <w:t>50.38</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6DB8F50" w14:textId="716020B6" w:rsidR="006E5BA6" w:rsidRPr="00492AD6" w:rsidRDefault="006E5BA6">
            <w:pPr>
              <w:pStyle w:val="TableDataEntries"/>
              <w:rPr>
                <w:color w:val="000000" w:themeColor="text1"/>
              </w:rPr>
            </w:pPr>
            <w:r>
              <w:t>104.83</w:t>
            </w:r>
          </w:p>
        </w:tc>
      </w:tr>
      <w:tr w:rsidR="006E5BA6" w:rsidRPr="00492AD6" w14:paraId="5AD80934" w14:textId="77777777">
        <w:trPr>
          <w:trHeight w:val="245"/>
        </w:trPr>
        <w:tc>
          <w:tcPr>
            <w:tcW w:w="851" w:type="dxa"/>
            <w:tcBorders>
              <w:top w:val="single" w:sz="8" w:space="0" w:color="FFFFFF" w:themeColor="background1"/>
              <w:bottom w:val="single" w:sz="6" w:space="0" w:color="6F6652"/>
            </w:tcBorders>
            <w:shd w:val="clear" w:color="auto" w:fill="E9E8E5" w:themeFill="background2"/>
            <w:tcMar>
              <w:left w:w="57" w:type="dxa"/>
              <w:right w:w="57" w:type="dxa"/>
            </w:tcMar>
          </w:tcPr>
          <w:p w14:paraId="10AD008C" w14:textId="7C512F0E" w:rsidR="006E5BA6" w:rsidRPr="00492AD6" w:rsidRDefault="006E5BA6">
            <w:pPr>
              <w:pStyle w:val="TableDataEntries"/>
              <w:jc w:val="left"/>
              <w:rPr>
                <w:rFonts w:ascii="Franklin Gothic Demi" w:hAnsi="Franklin Gothic Demi"/>
                <w:color w:val="000000" w:themeColor="text1"/>
              </w:rPr>
            </w:pPr>
            <w:r w:rsidRPr="00B80C92">
              <w:t>C9C</w:t>
            </w:r>
            <w:r>
              <w:t xml:space="preserve"> </w:t>
            </w:r>
            <w:r w:rsidRPr="00492AD6">
              <w:rPr>
                <w:rStyle w:val="NoteLabel"/>
                <w:color w:val="000000" w:themeColor="text1"/>
              </w:rPr>
              <w:t>a</w:t>
            </w:r>
          </w:p>
        </w:tc>
        <w:tc>
          <w:tcPr>
            <w:tcW w:w="1010" w:type="dxa"/>
            <w:tcBorders>
              <w:top w:val="single" w:sz="8" w:space="0" w:color="FFFFFF" w:themeColor="background1"/>
              <w:bottom w:val="single" w:sz="6" w:space="0" w:color="6F6652"/>
            </w:tcBorders>
            <w:shd w:val="clear" w:color="auto" w:fill="E9E8E5" w:themeFill="background2"/>
            <w:tcMar>
              <w:left w:w="57" w:type="dxa"/>
              <w:right w:w="57" w:type="dxa"/>
            </w:tcMar>
          </w:tcPr>
          <w:p w14:paraId="57FABB5F" w14:textId="4A97EABD" w:rsidR="006E5BA6" w:rsidRPr="00492AD6" w:rsidRDefault="006E5BA6">
            <w:pPr>
              <w:pStyle w:val="TableDataEntries"/>
              <w:rPr>
                <w:rFonts w:ascii="Franklin Gothic Demi" w:hAnsi="Franklin Gothic Demi"/>
                <w:color w:val="000000" w:themeColor="text1"/>
              </w:rPr>
            </w:pPr>
            <w:r>
              <w:t>51.34</w:t>
            </w:r>
          </w:p>
        </w:tc>
        <w:tc>
          <w:tcPr>
            <w:tcW w:w="868" w:type="dxa"/>
            <w:tcBorders>
              <w:top w:val="single" w:sz="8" w:space="0" w:color="FFFFFF" w:themeColor="background1"/>
              <w:bottom w:val="single" w:sz="6" w:space="0" w:color="6F6652"/>
            </w:tcBorders>
            <w:shd w:val="clear" w:color="auto" w:fill="E9E8E5" w:themeFill="background2"/>
            <w:tcMar>
              <w:left w:w="57" w:type="dxa"/>
              <w:right w:w="57" w:type="dxa"/>
            </w:tcMar>
          </w:tcPr>
          <w:p w14:paraId="48F31469" w14:textId="67EFF047" w:rsidR="006E5BA6" w:rsidRPr="00492AD6" w:rsidRDefault="006E5BA6">
            <w:pPr>
              <w:pStyle w:val="TableDataEntries"/>
              <w:rPr>
                <w:rFonts w:ascii="Franklin Gothic Demi" w:hAnsi="Franklin Gothic Demi"/>
                <w:color w:val="000000" w:themeColor="text1"/>
              </w:rPr>
            </w:pPr>
            <w:r>
              <w:t>143.65</w:t>
            </w:r>
          </w:p>
        </w:tc>
        <w:tc>
          <w:tcPr>
            <w:tcW w:w="869" w:type="dxa"/>
            <w:tcBorders>
              <w:top w:val="single" w:sz="8" w:space="0" w:color="FFFFFF" w:themeColor="background1"/>
              <w:bottom w:val="single" w:sz="6" w:space="0" w:color="6F6652"/>
            </w:tcBorders>
            <w:shd w:val="clear" w:color="auto" w:fill="E9E8E5" w:themeFill="background2"/>
            <w:tcMar>
              <w:left w:w="57" w:type="dxa"/>
              <w:right w:w="57" w:type="dxa"/>
            </w:tcMar>
          </w:tcPr>
          <w:p w14:paraId="3062E560" w14:textId="41C2EF83" w:rsidR="006E5BA6" w:rsidRPr="00492AD6" w:rsidRDefault="006E5BA6">
            <w:pPr>
              <w:pStyle w:val="TableDataEntries"/>
              <w:rPr>
                <w:rFonts w:ascii="Franklin Gothic Demi" w:hAnsi="Franklin Gothic Demi"/>
                <w:color w:val="000000" w:themeColor="text1"/>
              </w:rPr>
            </w:pPr>
            <w:r>
              <w:t>111.35</w:t>
            </w:r>
          </w:p>
        </w:tc>
        <w:tc>
          <w:tcPr>
            <w:tcW w:w="868" w:type="dxa"/>
            <w:tcBorders>
              <w:top w:val="single" w:sz="8" w:space="0" w:color="FFFFFF" w:themeColor="background1"/>
              <w:bottom w:val="single" w:sz="6" w:space="0" w:color="6F6652"/>
            </w:tcBorders>
            <w:shd w:val="clear" w:color="auto" w:fill="E9E8E5" w:themeFill="background2"/>
            <w:tcMar>
              <w:left w:w="57" w:type="dxa"/>
              <w:right w:w="57" w:type="dxa"/>
            </w:tcMar>
          </w:tcPr>
          <w:p w14:paraId="5D06568F" w14:textId="242B74F7" w:rsidR="006E5BA6" w:rsidRPr="00492AD6" w:rsidRDefault="006E5BA6">
            <w:pPr>
              <w:pStyle w:val="TableDataEntries"/>
              <w:rPr>
                <w:rFonts w:ascii="Franklin Gothic Demi" w:hAnsi="Franklin Gothic Demi"/>
                <w:color w:val="000000" w:themeColor="text1"/>
              </w:rPr>
            </w:pPr>
            <w:r>
              <w:t>56.63</w:t>
            </w:r>
          </w:p>
        </w:tc>
        <w:tc>
          <w:tcPr>
            <w:tcW w:w="868" w:type="dxa"/>
            <w:tcBorders>
              <w:top w:val="single" w:sz="8" w:space="0" w:color="FFFFFF" w:themeColor="background1"/>
              <w:bottom w:val="single" w:sz="6" w:space="0" w:color="6F6652"/>
            </w:tcBorders>
            <w:shd w:val="clear" w:color="auto" w:fill="E9E8E5" w:themeFill="background2"/>
            <w:tcMar>
              <w:left w:w="57" w:type="dxa"/>
              <w:right w:w="57" w:type="dxa"/>
            </w:tcMar>
          </w:tcPr>
          <w:p w14:paraId="57339F1D" w14:textId="6643B893" w:rsidR="006E5BA6" w:rsidRPr="00492AD6" w:rsidRDefault="006E5BA6">
            <w:pPr>
              <w:pStyle w:val="TableDataEntries"/>
              <w:rPr>
                <w:rFonts w:ascii="Franklin Gothic Demi" w:hAnsi="Franklin Gothic Demi"/>
                <w:color w:val="000000" w:themeColor="text1"/>
              </w:rPr>
            </w:pPr>
            <w:r>
              <w:t>59.81</w:t>
            </w:r>
          </w:p>
        </w:tc>
        <w:tc>
          <w:tcPr>
            <w:tcW w:w="869" w:type="dxa"/>
            <w:tcBorders>
              <w:top w:val="single" w:sz="8" w:space="0" w:color="FFFFFF" w:themeColor="background1"/>
              <w:bottom w:val="single" w:sz="6" w:space="0" w:color="6F6652"/>
            </w:tcBorders>
            <w:shd w:val="clear" w:color="auto" w:fill="E9E8E5" w:themeFill="background2"/>
            <w:tcMar>
              <w:left w:w="57" w:type="dxa"/>
              <w:right w:w="57" w:type="dxa"/>
            </w:tcMar>
          </w:tcPr>
          <w:p w14:paraId="726BFC57" w14:textId="3B895361" w:rsidR="006E5BA6" w:rsidRPr="00492AD6" w:rsidRDefault="006E5BA6">
            <w:pPr>
              <w:pStyle w:val="TableDataEntries"/>
              <w:rPr>
                <w:rFonts w:ascii="Franklin Gothic Demi" w:hAnsi="Franklin Gothic Demi"/>
                <w:color w:val="000000" w:themeColor="text1"/>
              </w:rPr>
            </w:pPr>
            <w:r>
              <w:t>51.72</w:t>
            </w:r>
          </w:p>
        </w:tc>
        <w:tc>
          <w:tcPr>
            <w:tcW w:w="868" w:type="dxa"/>
            <w:tcBorders>
              <w:top w:val="single" w:sz="8" w:space="0" w:color="FFFFFF" w:themeColor="background1"/>
              <w:bottom w:val="single" w:sz="6" w:space="0" w:color="6F6652"/>
            </w:tcBorders>
            <w:shd w:val="clear" w:color="auto" w:fill="E9E8E5" w:themeFill="background2"/>
            <w:tcMar>
              <w:left w:w="57" w:type="dxa"/>
              <w:right w:w="57" w:type="dxa"/>
            </w:tcMar>
          </w:tcPr>
          <w:p w14:paraId="33BC8985" w14:textId="10BD0ABD" w:rsidR="006E5BA6" w:rsidRPr="00492AD6" w:rsidRDefault="006E5BA6">
            <w:pPr>
              <w:pStyle w:val="TableDataEntries"/>
              <w:rPr>
                <w:rFonts w:ascii="Franklin Gothic Demi" w:hAnsi="Franklin Gothic Demi"/>
                <w:color w:val="000000" w:themeColor="text1"/>
              </w:rPr>
            </w:pPr>
            <w:r>
              <w:t>44.28</w:t>
            </w:r>
          </w:p>
        </w:tc>
        <w:tc>
          <w:tcPr>
            <w:tcW w:w="869" w:type="dxa"/>
            <w:tcBorders>
              <w:top w:val="single" w:sz="8" w:space="0" w:color="FFFFFF" w:themeColor="background1"/>
              <w:bottom w:val="single" w:sz="6" w:space="0" w:color="6F6652"/>
            </w:tcBorders>
            <w:shd w:val="clear" w:color="auto" w:fill="E9E8E5" w:themeFill="background2"/>
            <w:tcMar>
              <w:left w:w="57" w:type="dxa"/>
              <w:right w:w="57" w:type="dxa"/>
            </w:tcMar>
          </w:tcPr>
          <w:p w14:paraId="62F48D27" w14:textId="3941E8AF" w:rsidR="006E5BA6" w:rsidRPr="00492AD6" w:rsidRDefault="006E5BA6">
            <w:pPr>
              <w:pStyle w:val="TableDataEntries"/>
              <w:rPr>
                <w:rFonts w:ascii="Franklin Gothic Demi" w:hAnsi="Franklin Gothic Demi"/>
                <w:color w:val="000000" w:themeColor="text1"/>
              </w:rPr>
            </w:pPr>
            <w:r>
              <w:t>44.69</w:t>
            </w:r>
          </w:p>
        </w:tc>
      </w:tr>
    </w:tbl>
    <w:p w14:paraId="2CE5E948" w14:textId="77777777" w:rsidR="006E5BA6" w:rsidRPr="00492AD6" w:rsidRDefault="006E5BA6" w:rsidP="006E5BA6">
      <w:pPr>
        <w:pStyle w:val="Note"/>
        <w:rPr>
          <w:color w:val="000000" w:themeColor="text1"/>
        </w:rPr>
      </w:pPr>
      <w:r w:rsidRPr="00492AD6">
        <w:rPr>
          <w:rStyle w:val="NoteLabel"/>
          <w:color w:val="000000" w:themeColor="text1"/>
        </w:rPr>
        <w:t>a</w:t>
      </w:r>
      <w:r w:rsidRPr="00492AD6">
        <w:rPr>
          <w:color w:val="000000" w:themeColor="text1"/>
        </w:rPr>
        <w:t xml:space="preserve"> Aged care facility (C9C) is modelled by DeltaQ as a small hospital (C9AS) because aged care building had very short HVAC running hours according to NCC 2022 schedules so wasn’t an appropriate test bed.</w:t>
      </w:r>
    </w:p>
    <w:p w14:paraId="0B333D63" w14:textId="77777777" w:rsidR="006E5BA6" w:rsidRPr="00492AD6" w:rsidRDefault="006E5BA6" w:rsidP="006E5BA6">
      <w:pPr>
        <w:pStyle w:val="Note"/>
        <w:rPr>
          <w:color w:val="000000" w:themeColor="text1"/>
          <w:lang w:bidi="fa-IR"/>
        </w:rPr>
      </w:pPr>
      <w:r w:rsidRPr="00492AD6">
        <w:rPr>
          <w:i/>
          <w:color w:val="000000" w:themeColor="text1"/>
        </w:rPr>
        <w:t>Note:</w:t>
      </w:r>
      <w:r w:rsidRPr="00492AD6">
        <w:rPr>
          <w:color w:val="000000" w:themeColor="text1"/>
        </w:rPr>
        <w:t xml:space="preserve"> Estimates presented in present value terms based on: buildings constructed in 2025 assuming a 50</w:t>
      </w:r>
      <w:r w:rsidRPr="00492AD6">
        <w:rPr>
          <w:color w:val="000000" w:themeColor="text1"/>
        </w:rPr>
        <w:noBreakHyphen/>
        <w:t>year life, using a discount rate of 5 per cent.</w:t>
      </w:r>
    </w:p>
    <w:p w14:paraId="47C6A45B" w14:textId="77777777" w:rsidR="006E5BA6" w:rsidRPr="00492AD6" w:rsidRDefault="006E5BA6" w:rsidP="006E5BA6">
      <w:pPr>
        <w:pStyle w:val="Source"/>
        <w:rPr>
          <w:color w:val="000000" w:themeColor="text1"/>
          <w:lang w:bidi="fa-IR"/>
        </w:rPr>
      </w:pPr>
      <w:r w:rsidRPr="00492AD6">
        <w:rPr>
          <w:i/>
          <w:color w:val="000000" w:themeColor="text1"/>
          <w:lang w:bidi="fa-IR"/>
        </w:rPr>
        <w:t>Source:</w:t>
      </w:r>
      <w:r w:rsidRPr="00492AD6">
        <w:rPr>
          <w:color w:val="000000" w:themeColor="text1"/>
          <w:lang w:bidi="fa-IR"/>
        </w:rPr>
        <w:t xml:space="preserve"> CIE based on DeltaQ modelling.</w:t>
      </w:r>
    </w:p>
    <w:p w14:paraId="2A9C030A" w14:textId="77777777" w:rsidR="006E5BA6" w:rsidRDefault="006E5BA6" w:rsidP="006E5BA6">
      <w:pPr>
        <w:pStyle w:val="Heading3"/>
        <w:rPr>
          <w:lang w:bidi="fa-IR"/>
        </w:rPr>
      </w:pPr>
      <w:r>
        <w:rPr>
          <w:lang w:bidi="fa-IR"/>
        </w:rPr>
        <w:t>Change in energy</w:t>
      </w:r>
      <w:r>
        <w:rPr>
          <w:lang w:bidi="fa-IR"/>
        </w:rPr>
        <w:noBreakHyphen/>
        <w:t>related costs</w:t>
      </w:r>
    </w:p>
    <w:p w14:paraId="3E2D5127" w14:textId="77777777" w:rsidR="006E5BA6" w:rsidRPr="00844A6E" w:rsidRDefault="006E5BA6" w:rsidP="006E5BA6">
      <w:pPr>
        <w:pStyle w:val="BodyText"/>
        <w:rPr>
          <w:szCs w:val="22"/>
          <w:lang w:bidi="fa-IR"/>
        </w:rPr>
      </w:pPr>
      <w:r w:rsidRPr="00844A6E">
        <w:rPr>
          <w:szCs w:val="22"/>
          <w:lang w:bidi="fa-IR"/>
        </w:rPr>
        <w:t>As discussed above, the base case used for the CRIS modelling includes a mix of buildings that voluntarily install rooftop solar and those that do not. Compared with the base case, the increase in the minimum energy efficiency requirements would:</w:t>
      </w:r>
    </w:p>
    <w:p w14:paraId="6B8F19AF" w14:textId="77777777" w:rsidR="006E5BA6" w:rsidRPr="00F438AD" w:rsidRDefault="006E5BA6" w:rsidP="006E5BA6">
      <w:pPr>
        <w:pStyle w:val="ListBullet"/>
        <w:tabs>
          <w:tab w:val="num" w:pos="709"/>
        </w:tabs>
      </w:pPr>
      <w:r w:rsidRPr="00F438AD">
        <w:t>reduces the consumption of electricity from the grid in some periods</w:t>
      </w:r>
    </w:p>
    <w:p w14:paraId="6BD94A94" w14:textId="77777777" w:rsidR="006E5BA6" w:rsidRPr="00F438AD" w:rsidRDefault="006E5BA6" w:rsidP="006E5BA6">
      <w:pPr>
        <w:pStyle w:val="ListBullet"/>
        <w:tabs>
          <w:tab w:val="num" w:pos="709"/>
        </w:tabs>
      </w:pPr>
      <w:r w:rsidRPr="00F438AD">
        <w:t>change the amount of gas consumed — this varies across building archetypes and climate zones:</w:t>
      </w:r>
    </w:p>
    <w:p w14:paraId="0A0F0149" w14:textId="77777777" w:rsidR="006E5BA6" w:rsidRPr="00844A6E" w:rsidRDefault="006E5BA6" w:rsidP="006E5BA6">
      <w:pPr>
        <w:pStyle w:val="ListBullet"/>
        <w:numPr>
          <w:ilvl w:val="1"/>
          <w:numId w:val="34"/>
        </w:numPr>
        <w:rPr>
          <w:szCs w:val="22"/>
          <w:lang w:bidi="fa-IR"/>
        </w:rPr>
      </w:pPr>
      <w:r w:rsidRPr="00844A6E">
        <w:rPr>
          <w:szCs w:val="22"/>
          <w:lang w:bidi="fa-IR"/>
        </w:rPr>
        <w:t>for some building archetypes and climate zones gas consumption increases</w:t>
      </w:r>
    </w:p>
    <w:p w14:paraId="7CB1082F" w14:textId="77777777" w:rsidR="006E5BA6" w:rsidRPr="00844A6E" w:rsidRDefault="006E5BA6" w:rsidP="006E5BA6">
      <w:pPr>
        <w:pStyle w:val="ListBullet"/>
        <w:numPr>
          <w:ilvl w:val="1"/>
          <w:numId w:val="34"/>
        </w:numPr>
        <w:rPr>
          <w:szCs w:val="22"/>
          <w:lang w:bidi="fa-IR"/>
        </w:rPr>
      </w:pPr>
      <w:r w:rsidRPr="00844A6E">
        <w:rPr>
          <w:szCs w:val="22"/>
          <w:lang w:bidi="fa-IR"/>
        </w:rPr>
        <w:t>for other building archetypes and climate zones, gas consumption decreases.</w:t>
      </w:r>
    </w:p>
    <w:p w14:paraId="2E93FBE5" w14:textId="77777777" w:rsidR="006E5BA6" w:rsidRPr="00F438AD" w:rsidRDefault="006E5BA6" w:rsidP="006E5BA6">
      <w:pPr>
        <w:pStyle w:val="ListBullet"/>
        <w:tabs>
          <w:tab w:val="num" w:pos="709"/>
        </w:tabs>
      </w:pPr>
      <w:r w:rsidRPr="00F438AD">
        <w:t>increase the amount of electricity exported to the grid (due to reduced consumption on site) in some periods for those buildings that voluntarily install rooftop solar.</w:t>
      </w:r>
    </w:p>
    <w:p w14:paraId="7E334DBD" w14:textId="77777777" w:rsidR="006E5BA6" w:rsidRPr="00844A6E" w:rsidRDefault="006E5BA6" w:rsidP="006E5BA6">
      <w:pPr>
        <w:pStyle w:val="BodyText"/>
        <w:rPr>
          <w:szCs w:val="22"/>
          <w:lang w:bidi="fa-IR"/>
        </w:rPr>
      </w:pPr>
      <w:r w:rsidRPr="00844A6E">
        <w:rPr>
          <w:szCs w:val="22"/>
          <w:lang w:bidi="fa-IR"/>
        </w:rPr>
        <w:t xml:space="preserve">The value of the avoided costs depends on a range of factors, including: the marginal cost of generation in the relevant location during the relevant periods, the timing of the electricity savings relative to typical network peaks, network capacity and the </w:t>
      </w:r>
      <w:r w:rsidRPr="00844A6E">
        <w:rPr>
          <w:szCs w:val="22"/>
        </w:rPr>
        <w:t>GHG</w:t>
      </w:r>
      <w:r w:rsidRPr="00844A6E">
        <w:rPr>
          <w:szCs w:val="22"/>
          <w:lang w:bidi="fa-IR"/>
        </w:rPr>
        <w:t xml:space="preserve"> intensity of electricity in the relevant location.</w:t>
      </w:r>
    </w:p>
    <w:p w14:paraId="113A4BCA" w14:textId="77777777" w:rsidR="006E5BA6" w:rsidRPr="00844A6E" w:rsidRDefault="006E5BA6" w:rsidP="006E5BA6">
      <w:pPr>
        <w:pStyle w:val="BodyText"/>
        <w:rPr>
          <w:szCs w:val="22"/>
          <w:lang w:bidi="fa-IR"/>
        </w:rPr>
      </w:pPr>
      <w:r w:rsidRPr="00844A6E">
        <w:rPr>
          <w:szCs w:val="22"/>
          <w:lang w:bidi="fa-IR"/>
        </w:rPr>
        <w:t>Although these factors vary across regions, we estimate the change in energy</w:t>
      </w:r>
      <w:r w:rsidRPr="00844A6E">
        <w:rPr>
          <w:szCs w:val="22"/>
          <w:lang w:bidi="fa-IR"/>
        </w:rPr>
        <w:noBreakHyphen/>
        <w:t>related costs at the state level. These state</w:t>
      </w:r>
      <w:r w:rsidRPr="00844A6E">
        <w:rPr>
          <w:szCs w:val="22"/>
          <w:lang w:bidi="fa-IR"/>
        </w:rPr>
        <w:noBreakHyphen/>
        <w:t>level estimates capture state</w:t>
      </w:r>
      <w:r w:rsidRPr="00844A6E">
        <w:rPr>
          <w:szCs w:val="22"/>
          <w:lang w:bidi="fa-IR"/>
        </w:rPr>
        <w:noBreakHyphen/>
        <w:t>based variation in:</w:t>
      </w:r>
    </w:p>
    <w:p w14:paraId="047A4F3D" w14:textId="77777777" w:rsidR="006E5BA6" w:rsidRPr="00F438AD" w:rsidRDefault="006E5BA6" w:rsidP="006E5BA6">
      <w:pPr>
        <w:pStyle w:val="ListBullet"/>
        <w:tabs>
          <w:tab w:val="num" w:pos="709"/>
        </w:tabs>
      </w:pPr>
      <w:r w:rsidRPr="00F438AD">
        <w:t>the marginal cost of generation across states (as reflected in differences in the wholesale price);</w:t>
      </w:r>
    </w:p>
    <w:p w14:paraId="633E9C3E" w14:textId="77777777" w:rsidR="006E5BA6" w:rsidRPr="00F438AD" w:rsidRDefault="006E5BA6" w:rsidP="006E5BA6">
      <w:pPr>
        <w:pStyle w:val="ListBullet"/>
        <w:tabs>
          <w:tab w:val="num" w:pos="709"/>
        </w:tabs>
      </w:pPr>
      <w:r w:rsidRPr="00F438AD">
        <w:t>typical consumption peaks across states (as reflected in differences in different charging arrangements for peak periods);</w:t>
      </w:r>
    </w:p>
    <w:p w14:paraId="73FCE27E" w14:textId="77777777" w:rsidR="006E5BA6" w:rsidRPr="00F438AD" w:rsidRDefault="006E5BA6" w:rsidP="006E5BA6">
      <w:pPr>
        <w:pStyle w:val="ListBullet"/>
        <w:tabs>
          <w:tab w:val="num" w:pos="709"/>
        </w:tabs>
      </w:pPr>
      <w:r w:rsidRPr="00F438AD">
        <w:t>the long</w:t>
      </w:r>
      <w:r w:rsidRPr="00F438AD">
        <w:noBreakHyphen/>
        <w:t>run marginal cost of network supply (as reflected in differences in charging arrangements for peak periods), which in principle should reflect differences in network capacity;</w:t>
      </w:r>
    </w:p>
    <w:p w14:paraId="4789F229" w14:textId="77777777" w:rsidR="006E5BA6" w:rsidRPr="00F438AD" w:rsidRDefault="006E5BA6" w:rsidP="006E5BA6">
      <w:pPr>
        <w:pStyle w:val="ListBullet"/>
        <w:tabs>
          <w:tab w:val="num" w:pos="709"/>
        </w:tabs>
      </w:pPr>
      <w:r w:rsidRPr="00F438AD">
        <w:t>the emissions intensity of electricity.</w:t>
      </w:r>
    </w:p>
    <w:p w14:paraId="121BE870" w14:textId="77777777" w:rsidR="006E5BA6" w:rsidRPr="00844A6E" w:rsidRDefault="006E5BA6" w:rsidP="006E5BA6">
      <w:pPr>
        <w:pStyle w:val="BodyText"/>
        <w:rPr>
          <w:szCs w:val="22"/>
          <w:lang w:bidi="fa-IR"/>
        </w:rPr>
      </w:pPr>
      <w:r w:rsidRPr="00844A6E">
        <w:rPr>
          <w:szCs w:val="22"/>
          <w:lang w:bidi="fa-IR"/>
        </w:rPr>
        <w:t>The estimated change in energy</w:t>
      </w:r>
      <w:r w:rsidRPr="00844A6E">
        <w:rPr>
          <w:szCs w:val="22"/>
          <w:lang w:bidi="fa-IR"/>
        </w:rPr>
        <w:noBreakHyphen/>
        <w:t>related costs per square metre of floor space for each building archetypes that have been modelled (medium office building, large office building, large hospital ward and aged care facility) in each state/territory and in each climate zone are presented below. These estimates are presented in present value terms:</w:t>
      </w:r>
    </w:p>
    <w:p w14:paraId="53B0C67C" w14:textId="77777777" w:rsidR="006E5BA6" w:rsidRPr="00F438AD" w:rsidRDefault="006E5BA6" w:rsidP="006E5BA6">
      <w:pPr>
        <w:pStyle w:val="ListBullet"/>
        <w:tabs>
          <w:tab w:val="num" w:pos="709"/>
        </w:tabs>
      </w:pPr>
      <w:r w:rsidRPr="00F438AD">
        <w:t>assuming the building has a life of 50 years;</w:t>
      </w:r>
    </w:p>
    <w:p w14:paraId="3FBB6CEC" w14:textId="77777777" w:rsidR="006E5BA6" w:rsidRPr="00F438AD" w:rsidRDefault="006E5BA6" w:rsidP="006E5BA6">
      <w:pPr>
        <w:pStyle w:val="ListBullet"/>
        <w:tabs>
          <w:tab w:val="num" w:pos="709"/>
        </w:tabs>
      </w:pPr>
      <w:r w:rsidRPr="00F438AD">
        <w:t>using a discount rate of 5 per cent;</w:t>
      </w:r>
    </w:p>
    <w:p w14:paraId="144E6677" w14:textId="77777777" w:rsidR="006E5BA6" w:rsidRPr="00F438AD" w:rsidRDefault="006E5BA6" w:rsidP="006E5BA6">
      <w:pPr>
        <w:pStyle w:val="ListBullet"/>
        <w:tabs>
          <w:tab w:val="num" w:pos="709"/>
        </w:tabs>
      </w:pPr>
      <w:r w:rsidRPr="00F438AD">
        <w:t>based on a building constructed in 2025 — note that the energy</w:t>
      </w:r>
      <w:r w:rsidRPr="00F438AD">
        <w:noBreakHyphen/>
        <w:t>related benefits vary by the year of construction reflecting:</w:t>
      </w:r>
    </w:p>
    <w:p w14:paraId="1EBD96B5" w14:textId="77777777" w:rsidR="006E5BA6" w:rsidRPr="00844A6E" w:rsidRDefault="006E5BA6" w:rsidP="006E5BA6">
      <w:pPr>
        <w:pStyle w:val="ListBullet"/>
        <w:numPr>
          <w:ilvl w:val="1"/>
          <w:numId w:val="34"/>
        </w:numPr>
        <w:rPr>
          <w:szCs w:val="22"/>
          <w:lang w:bidi="fa-IR"/>
        </w:rPr>
      </w:pPr>
      <w:r w:rsidRPr="00844A6E">
        <w:rPr>
          <w:szCs w:val="22"/>
          <w:lang w:bidi="fa-IR"/>
        </w:rPr>
        <w:t>projected changes in the price of energy over time;</w:t>
      </w:r>
    </w:p>
    <w:p w14:paraId="6A4B6F6C" w14:textId="77777777" w:rsidR="006E5BA6" w:rsidRPr="00844A6E" w:rsidRDefault="006E5BA6" w:rsidP="006E5BA6">
      <w:pPr>
        <w:pStyle w:val="ListBullet"/>
        <w:numPr>
          <w:ilvl w:val="1"/>
          <w:numId w:val="34"/>
        </w:numPr>
        <w:rPr>
          <w:szCs w:val="22"/>
          <w:lang w:bidi="fa-IR"/>
        </w:rPr>
      </w:pPr>
      <w:r w:rsidRPr="00844A6E">
        <w:rPr>
          <w:szCs w:val="22"/>
          <w:lang w:bidi="fa-IR"/>
        </w:rPr>
        <w:t>changes in the social cost of carbon over time;</w:t>
      </w:r>
    </w:p>
    <w:p w14:paraId="6AFE81FC" w14:textId="77777777" w:rsidR="006E5BA6" w:rsidRPr="00844A6E" w:rsidRDefault="006E5BA6" w:rsidP="006E5BA6">
      <w:pPr>
        <w:pStyle w:val="ListBullet"/>
        <w:numPr>
          <w:ilvl w:val="1"/>
          <w:numId w:val="34"/>
        </w:numPr>
        <w:rPr>
          <w:szCs w:val="22"/>
          <w:lang w:bidi="fa-IR"/>
        </w:rPr>
      </w:pPr>
      <w:r w:rsidRPr="00844A6E">
        <w:rPr>
          <w:szCs w:val="22"/>
          <w:lang w:bidi="fa-IR"/>
        </w:rPr>
        <w:t>changes in the emissions intensity of electricity over time.</w:t>
      </w:r>
    </w:p>
    <w:p w14:paraId="40CD9523" w14:textId="77777777" w:rsidR="006E5BA6" w:rsidRDefault="006E5BA6" w:rsidP="006E5BA6">
      <w:pPr>
        <w:pStyle w:val="Heading3"/>
        <w:rPr>
          <w:lang w:bidi="fa-IR"/>
        </w:rPr>
      </w:pPr>
      <w:r>
        <w:rPr>
          <w:lang w:bidi="fa-IR"/>
        </w:rPr>
        <w:t>Change in capital</w:t>
      </w:r>
      <w:r>
        <w:rPr>
          <w:lang w:bidi="fa-IR"/>
        </w:rPr>
        <w:noBreakHyphen/>
        <w:t>related costs</w:t>
      </w:r>
    </w:p>
    <w:p w14:paraId="29DF2B78" w14:textId="77777777" w:rsidR="006E5BA6" w:rsidRDefault="006E5BA6" w:rsidP="006E5BA6">
      <w:pPr>
        <w:pStyle w:val="BodyText"/>
        <w:rPr>
          <w:lang w:bidi="fa-IR"/>
        </w:rPr>
      </w:pPr>
      <w:r>
        <w:rPr>
          <w:lang w:bidi="fa-IR"/>
        </w:rPr>
        <w:t>The proposed changes to the minimum energy efficiency requirements will affect capital</w:t>
      </w:r>
      <w:r>
        <w:rPr>
          <w:lang w:bidi="fa-IR"/>
        </w:rPr>
        <w:noBreakHyphen/>
        <w:t>related costs, including:</w:t>
      </w:r>
    </w:p>
    <w:p w14:paraId="71936691" w14:textId="77777777" w:rsidR="006E5BA6" w:rsidRDefault="006E5BA6" w:rsidP="006E5BA6">
      <w:pPr>
        <w:pStyle w:val="ListBullet"/>
        <w:tabs>
          <w:tab w:val="num" w:pos="709"/>
        </w:tabs>
      </w:pPr>
      <w:r>
        <w:t>costs relating to the building envelope, including:</w:t>
      </w:r>
    </w:p>
    <w:p w14:paraId="3ED2CFEC" w14:textId="77777777" w:rsidR="006E5BA6" w:rsidRPr="00723BFF" w:rsidRDefault="006E5BA6" w:rsidP="006E5BA6">
      <w:pPr>
        <w:pStyle w:val="ListBullet"/>
        <w:numPr>
          <w:ilvl w:val="1"/>
          <w:numId w:val="34"/>
        </w:numPr>
        <w:rPr>
          <w:szCs w:val="22"/>
          <w:lang w:bidi="fa-IR"/>
        </w:rPr>
      </w:pPr>
      <w:r w:rsidRPr="00723BFF">
        <w:rPr>
          <w:szCs w:val="22"/>
          <w:lang w:bidi="fa-IR"/>
        </w:rPr>
        <w:t>glazing</w:t>
      </w:r>
    </w:p>
    <w:p w14:paraId="387F6554" w14:textId="77777777" w:rsidR="006E5BA6" w:rsidRPr="00723BFF" w:rsidRDefault="006E5BA6" w:rsidP="006E5BA6">
      <w:pPr>
        <w:pStyle w:val="ListBullet"/>
        <w:numPr>
          <w:ilvl w:val="1"/>
          <w:numId w:val="34"/>
        </w:numPr>
        <w:rPr>
          <w:szCs w:val="22"/>
          <w:lang w:bidi="fa-IR"/>
        </w:rPr>
      </w:pPr>
      <w:r w:rsidRPr="00723BFF">
        <w:rPr>
          <w:szCs w:val="22"/>
          <w:lang w:bidi="fa-IR"/>
        </w:rPr>
        <w:t>walls (internal and external)</w:t>
      </w:r>
    </w:p>
    <w:p w14:paraId="0A5F2421" w14:textId="77777777" w:rsidR="006E5BA6" w:rsidRPr="00723BFF" w:rsidRDefault="006E5BA6" w:rsidP="006E5BA6">
      <w:pPr>
        <w:pStyle w:val="ListBullet"/>
        <w:numPr>
          <w:ilvl w:val="1"/>
          <w:numId w:val="34"/>
        </w:numPr>
        <w:rPr>
          <w:szCs w:val="22"/>
          <w:lang w:bidi="fa-IR"/>
        </w:rPr>
      </w:pPr>
      <w:r w:rsidRPr="00723BFF">
        <w:rPr>
          <w:szCs w:val="22"/>
          <w:lang w:bidi="fa-IR"/>
        </w:rPr>
        <w:t>roof</w:t>
      </w:r>
    </w:p>
    <w:p w14:paraId="7EF9CCF1" w14:textId="77777777" w:rsidR="006E5BA6" w:rsidRDefault="006E5BA6" w:rsidP="006E5BA6">
      <w:pPr>
        <w:pStyle w:val="ListBullet"/>
        <w:tabs>
          <w:tab w:val="num" w:pos="709"/>
        </w:tabs>
      </w:pPr>
      <w:r>
        <w:t>costs relating to HVAC equipment</w:t>
      </w:r>
    </w:p>
    <w:p w14:paraId="50383A47" w14:textId="77777777" w:rsidR="006E5BA6" w:rsidRDefault="006E5BA6" w:rsidP="006E5BA6">
      <w:pPr>
        <w:pStyle w:val="ListBullet"/>
        <w:tabs>
          <w:tab w:val="num" w:pos="709"/>
        </w:tabs>
      </w:pPr>
      <w:r>
        <w:t>costs relating to additional rooftop (and in some cases ground</w:t>
      </w:r>
      <w:r>
        <w:noBreakHyphen/>
        <w:t>mounted) solar panels.</w:t>
      </w:r>
    </w:p>
    <w:p w14:paraId="18209208" w14:textId="77777777" w:rsidR="006E5BA6" w:rsidRPr="005D27F5" w:rsidRDefault="006E5BA6" w:rsidP="006E5BA6">
      <w:pPr>
        <w:pStyle w:val="Heading4"/>
        <w:rPr>
          <w:lang w:bidi="fa-IR"/>
        </w:rPr>
      </w:pPr>
      <w:r>
        <w:rPr>
          <w:lang w:bidi="fa-IR"/>
        </w:rPr>
        <w:t>DeltaQ cost estimates</w:t>
      </w:r>
    </w:p>
    <w:p w14:paraId="348F0763" w14:textId="1A829123" w:rsidR="006E5BA6" w:rsidRPr="00844A6E" w:rsidRDefault="006E5BA6" w:rsidP="006E5BA6">
      <w:pPr>
        <w:pStyle w:val="BodyText"/>
        <w:rPr>
          <w:szCs w:val="22"/>
          <w:lang w:bidi="fa-IR"/>
        </w:rPr>
      </w:pPr>
      <w:r w:rsidRPr="00844A6E">
        <w:rPr>
          <w:szCs w:val="22"/>
          <w:lang w:bidi="fa-IR"/>
        </w:rPr>
        <w:t>Changes in capital</w:t>
      </w:r>
      <w:r w:rsidRPr="00844A6E">
        <w:rPr>
          <w:szCs w:val="22"/>
          <w:lang w:bidi="fa-IR"/>
        </w:rPr>
        <w:noBreakHyphen/>
        <w:t>related costs across the ten building archetypes that have been modelled across each climate zone are summarised in table </w:t>
      </w:r>
      <w:r>
        <w:rPr>
          <w:szCs w:val="22"/>
          <w:lang w:bidi="fa-IR"/>
        </w:rPr>
        <w:fldChar w:fldCharType="begin"/>
      </w:r>
      <w:r>
        <w:rPr>
          <w:szCs w:val="22"/>
          <w:lang w:bidi="fa-IR"/>
        </w:rPr>
        <w:instrText xml:space="preserve"> REF _Caption7451 </w:instrText>
      </w:r>
      <w:r>
        <w:rPr>
          <w:szCs w:val="22"/>
          <w:lang w:bidi="fa-IR"/>
        </w:rPr>
        <w:fldChar w:fldCharType="separate"/>
      </w:r>
      <w:r w:rsidR="006E00A7">
        <w:rPr>
          <w:noProof/>
        </w:rPr>
        <w:t>6</w:t>
      </w:r>
      <w:r w:rsidR="006E00A7" w:rsidRPr="006F0F88">
        <w:rPr>
          <w:noProof/>
        </w:rPr>
        <w:t>.</w:t>
      </w:r>
      <w:r w:rsidR="006E00A7">
        <w:rPr>
          <w:noProof/>
        </w:rPr>
        <w:t>5</w:t>
      </w:r>
      <w:r>
        <w:rPr>
          <w:szCs w:val="22"/>
          <w:lang w:bidi="fa-IR"/>
        </w:rPr>
        <w:fldChar w:fldCharType="end"/>
      </w:r>
      <w:r w:rsidRPr="00844A6E">
        <w:rPr>
          <w:szCs w:val="22"/>
          <w:lang w:bidi="fa-IR"/>
        </w:rPr>
        <w:t>.</w:t>
      </w:r>
    </w:p>
    <w:p w14:paraId="6E1B2991" w14:textId="77777777" w:rsidR="006E5BA6" w:rsidRDefault="006E5BA6" w:rsidP="006E5BA6">
      <w:pPr>
        <w:pStyle w:val="BodyText"/>
        <w:rPr>
          <w:szCs w:val="22"/>
          <w:lang w:bidi="fa-IR"/>
        </w:rPr>
      </w:pPr>
      <w:r w:rsidRPr="00844A6E">
        <w:rPr>
          <w:szCs w:val="22"/>
          <w:lang w:bidi="fa-IR"/>
        </w:rPr>
        <w:t>These estimates are presented in present value terms over the (assumed) 50-year life of the building using a discount rate of 5 per cent. Replaceable equipment is assumed to be replaced after 20 years.</w:t>
      </w:r>
    </w:p>
    <w:p w14:paraId="2316A041" w14:textId="570A7477" w:rsidR="006E5BA6" w:rsidRPr="006F0F88" w:rsidRDefault="006E5BA6" w:rsidP="006E5BA6">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E136D5">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136D5">
          <w:rPr>
            <w:noProof/>
          </w:rPr>
          <w:instrText>6</w:instrText>
        </w:r>
      </w:fldSimple>
      <w:r w:rsidRPr="006F0F88">
        <w:instrText xml:space="preserve"> = 0 "" "</w:instrText>
      </w:r>
      <w:fldSimple w:instr=" STYLEREF &quot;Heading 1&quot; \l \n ">
        <w:r w:rsidR="00E136D5">
          <w:rPr>
            <w:noProof/>
          </w:rPr>
          <w:instrText>6</w:instrText>
        </w:r>
      </w:fldSimple>
      <w:r w:rsidRPr="006F0F88">
        <w:instrText xml:space="preserve">." </w:instrText>
      </w:r>
      <w:r w:rsidRPr="006F0F88">
        <w:fldChar w:fldCharType="separate"/>
      </w:r>
      <w:r w:rsidR="00E136D5">
        <w:rPr>
          <w:noProof/>
        </w:rPr>
        <w:instrText>6</w:instrText>
      </w:r>
      <w:r w:rsidR="00E136D5"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6</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E136D5">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136D5">
          <w:rPr>
            <w:noProof/>
          </w:rPr>
          <w:instrText>6</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E136D5">
        <w:rPr>
          <w:noProof/>
        </w:rPr>
        <w:instrText>5</w:instrText>
      </w:r>
      <w:r w:rsidRPr="006F0F88">
        <w:fldChar w:fldCharType="end"/>
      </w:r>
      <w:r w:rsidRPr="006F0F88">
        <w:instrText xml:space="preserve">" "" </w:instrText>
      </w:r>
      <w:r w:rsidRPr="006F0F88">
        <w:fldChar w:fldCharType="separate"/>
      </w:r>
      <w:bookmarkStart w:id="1945" w:name="_Caption0104"/>
      <w:bookmarkStart w:id="1946" w:name="_Caption6345"/>
      <w:bookmarkStart w:id="1947" w:name="_Caption4038"/>
      <w:bookmarkStart w:id="1948" w:name="_Caption4052"/>
      <w:bookmarkStart w:id="1949" w:name="_Caption9464"/>
      <w:bookmarkStart w:id="1950" w:name="_Caption8752"/>
      <w:bookmarkStart w:id="1951" w:name="_Caption1403"/>
      <w:bookmarkStart w:id="1952" w:name="_Caption3370"/>
      <w:bookmarkStart w:id="1953" w:name="_Caption6209"/>
      <w:bookmarkStart w:id="1954" w:name="_Caption0458"/>
      <w:bookmarkStart w:id="1955" w:name="_Caption6640"/>
      <w:bookmarkStart w:id="1956" w:name="_Caption0864"/>
      <w:bookmarkStart w:id="1957" w:name="_Caption0388"/>
      <w:bookmarkStart w:id="1958" w:name="_Caption5003"/>
      <w:bookmarkStart w:id="1959" w:name="_Caption9903"/>
      <w:bookmarkStart w:id="1960" w:name="_Caption4430"/>
      <w:bookmarkStart w:id="1961" w:name="_Caption3101"/>
      <w:bookmarkStart w:id="1962" w:name="_Caption9189"/>
      <w:bookmarkStart w:id="1963" w:name="_Caption6431"/>
      <w:bookmarkStart w:id="1964" w:name="_Caption6498"/>
      <w:bookmarkStart w:id="1965" w:name="_Caption7729"/>
      <w:bookmarkStart w:id="1966" w:name="_Caption2622"/>
      <w:bookmarkStart w:id="1967" w:name="_Caption9547"/>
      <w:bookmarkStart w:id="1968" w:name="_Caption9746"/>
      <w:bookmarkStart w:id="1969" w:name="_Caption7259"/>
      <w:bookmarkStart w:id="1970" w:name="_Caption8706"/>
      <w:bookmarkStart w:id="1971" w:name="_Caption7687"/>
      <w:bookmarkStart w:id="1972" w:name="_Caption5536"/>
      <w:bookmarkStart w:id="1973" w:name="_Caption2315"/>
      <w:bookmarkStart w:id="1974" w:name="_Caption4136"/>
      <w:bookmarkStart w:id="1975" w:name="_Caption9297"/>
      <w:bookmarkStart w:id="1976" w:name="_Caption2737"/>
      <w:bookmarkStart w:id="1977" w:name="_Caption2197"/>
      <w:bookmarkStart w:id="1978" w:name="_Caption5142"/>
      <w:bookmarkStart w:id="1979" w:name="_Caption9548"/>
      <w:bookmarkStart w:id="1980" w:name="_Caption8229"/>
      <w:bookmarkStart w:id="1981" w:name="_Caption9987"/>
      <w:bookmarkStart w:id="1982" w:name="_Caption0710"/>
      <w:bookmarkStart w:id="1983" w:name="_Caption0799"/>
      <w:bookmarkStart w:id="1984" w:name="_Caption1263"/>
      <w:bookmarkStart w:id="1985" w:name="_Caption2793"/>
      <w:bookmarkStart w:id="1986" w:name="_Caption3146"/>
      <w:bookmarkStart w:id="1987" w:name="_Caption7451"/>
      <w:bookmarkStart w:id="1988" w:name="_Caption2587"/>
      <w:bookmarkStart w:id="1989" w:name="_Caption3589"/>
      <w:bookmarkStart w:id="1990" w:name="_Caption6975"/>
      <w:bookmarkStart w:id="1991" w:name="_Caption1868"/>
      <w:bookmarkStart w:id="1992" w:name="_Caption4836"/>
      <w:bookmarkStart w:id="1993" w:name="_Caption8119"/>
      <w:bookmarkStart w:id="1994" w:name="_Caption7812"/>
      <w:bookmarkStart w:id="1995" w:name="_Caption5188"/>
      <w:bookmarkStart w:id="1996" w:name="_Caption1131"/>
      <w:bookmarkStart w:id="1997" w:name="_Caption8366"/>
      <w:bookmarkStart w:id="1998" w:name="_Caption1332"/>
      <w:bookmarkStart w:id="1999" w:name="_Caption2115"/>
      <w:bookmarkStart w:id="2000" w:name="_Caption8099"/>
      <w:bookmarkStart w:id="2001" w:name="_Caption2851"/>
      <w:bookmarkStart w:id="2002" w:name="_Caption5908"/>
      <w:bookmarkStart w:id="2003" w:name="_Caption7251"/>
      <w:bookmarkStart w:id="2004" w:name="_Caption1525"/>
      <w:bookmarkStart w:id="2005" w:name="_Caption7896"/>
      <w:bookmarkStart w:id="2006" w:name="_Caption9181"/>
      <w:bookmarkStart w:id="2007" w:name="_Caption4029"/>
      <w:bookmarkStart w:id="2008" w:name="_Caption0630"/>
      <w:bookmarkStart w:id="2009" w:name="_Caption5260"/>
      <w:bookmarkStart w:id="2010" w:name="_Caption8518"/>
      <w:bookmarkStart w:id="2011" w:name="_Caption8468"/>
      <w:bookmarkStart w:id="2012" w:name="_Caption4906"/>
      <w:bookmarkStart w:id="2013" w:name="_Caption2844"/>
      <w:bookmarkStart w:id="2014" w:name="_Caption5839"/>
      <w:bookmarkStart w:id="2015" w:name="_Caption8321"/>
      <w:bookmarkStart w:id="2016" w:name="_Caption4800"/>
      <w:bookmarkStart w:id="2017" w:name="_Caption5543"/>
      <w:bookmarkStart w:id="2018" w:name="_Caption4207"/>
      <w:bookmarkStart w:id="2019" w:name="_Caption3554"/>
      <w:bookmarkStart w:id="2020" w:name="_Caption7181"/>
      <w:bookmarkStart w:id="2021" w:name="_Caption7312"/>
      <w:bookmarkStart w:id="2022" w:name="_Caption5927"/>
      <w:bookmarkStart w:id="2023" w:name="_Caption3737"/>
      <w:bookmarkStart w:id="2024" w:name="_Caption0772"/>
      <w:bookmarkStart w:id="2025" w:name="_Caption2266"/>
      <w:bookmarkStart w:id="2026" w:name="_Caption4162"/>
      <w:bookmarkStart w:id="2027" w:name="_Caption5165"/>
      <w:bookmarkStart w:id="2028" w:name="_Caption3233"/>
      <w:bookmarkStart w:id="2029" w:name="_Caption4577"/>
      <w:bookmarkStart w:id="2030" w:name="_Caption8854"/>
      <w:bookmarkStart w:id="2031" w:name="_Caption3768"/>
      <w:bookmarkStart w:id="2032" w:name="_Caption0742"/>
      <w:bookmarkStart w:id="2033" w:name="_Caption9281"/>
      <w:bookmarkStart w:id="2034" w:name="_Caption8270"/>
      <w:bookmarkStart w:id="2035" w:name="_Caption5901"/>
      <w:bookmarkStart w:id="2036" w:name="_Caption4883"/>
      <w:bookmarkStart w:id="2037" w:name="_Caption3829"/>
      <w:bookmarkStart w:id="2038" w:name="_Caption4348"/>
      <w:bookmarkStart w:id="2039" w:name="_Caption8169"/>
      <w:bookmarkStart w:id="2040" w:name="_Caption7546"/>
      <w:bookmarkStart w:id="2041" w:name="_Caption5811"/>
      <w:bookmarkStart w:id="2042" w:name="_Caption5453"/>
      <w:bookmarkStart w:id="2043" w:name="_Caption9655"/>
      <w:bookmarkStart w:id="2044" w:name="_Caption2258"/>
      <w:bookmarkStart w:id="2045" w:name="_Caption3587"/>
      <w:bookmarkStart w:id="2046" w:name="_Caption6999"/>
      <w:bookmarkStart w:id="2047" w:name="_Caption0132"/>
      <w:bookmarkStart w:id="2048" w:name="_Caption8872"/>
      <w:bookmarkStart w:id="2049" w:name="_Caption6941"/>
      <w:bookmarkStart w:id="2050" w:name="_Caption2546"/>
      <w:bookmarkStart w:id="2051" w:name="_Caption5366"/>
      <w:bookmarkStart w:id="2052" w:name="_Caption0485"/>
      <w:bookmarkStart w:id="2053" w:name="_Caption1074"/>
      <w:bookmarkStart w:id="2054" w:name="_Caption8775"/>
      <w:bookmarkStart w:id="2055" w:name="_Caption1647"/>
      <w:bookmarkStart w:id="2056" w:name="_Caption3825"/>
      <w:bookmarkStart w:id="2057" w:name="_Caption7911"/>
      <w:bookmarkStart w:id="2058" w:name="_Caption3639"/>
      <w:bookmarkStart w:id="2059" w:name="_Caption1991"/>
      <w:bookmarkStart w:id="2060" w:name="_Caption9601"/>
      <w:bookmarkStart w:id="2061" w:name="_Caption4163"/>
      <w:bookmarkStart w:id="2062" w:name="_Caption3088"/>
      <w:bookmarkStart w:id="2063" w:name="_Caption3684"/>
      <w:bookmarkStart w:id="2064" w:name="_Caption5686"/>
      <w:bookmarkStart w:id="2065" w:name="_Caption3027"/>
      <w:bookmarkStart w:id="2066" w:name="_Caption8633"/>
      <w:bookmarkStart w:id="2067" w:name="_Caption9820"/>
      <w:bookmarkStart w:id="2068" w:name="_Caption0662"/>
      <w:bookmarkStart w:id="2069" w:name="_Caption6047"/>
      <w:bookmarkStart w:id="2070" w:name="_Caption3721"/>
      <w:bookmarkStart w:id="2071" w:name="_Caption5532"/>
      <w:bookmarkStart w:id="2072" w:name="_Caption7364"/>
      <w:bookmarkStart w:id="2073" w:name="_Caption0395"/>
      <w:bookmarkStart w:id="2074" w:name="_Caption9221"/>
      <w:bookmarkStart w:id="2075" w:name="_Caption9256"/>
      <w:bookmarkStart w:id="2076" w:name="_Caption4192"/>
      <w:bookmarkStart w:id="2077" w:name="_Caption8641"/>
      <w:bookmarkStart w:id="2078" w:name="_Caption6961"/>
      <w:bookmarkStart w:id="2079" w:name="_Caption3059"/>
      <w:bookmarkStart w:id="2080" w:name="_Caption4363"/>
      <w:bookmarkStart w:id="2081" w:name="_Caption3311"/>
      <w:bookmarkStart w:id="2082" w:name="_Toc177735162"/>
      <w:bookmarkStart w:id="2083" w:name="_Toc178292592"/>
      <w:r w:rsidR="008C60A3">
        <w:rPr>
          <w:noProof/>
        </w:rPr>
        <w:t>6</w:t>
      </w:r>
      <w:r w:rsidR="008C60A3" w:rsidRPr="006F0F88">
        <w:rPr>
          <w:noProof/>
        </w:rPr>
        <w:t>.</w:t>
      </w:r>
      <w:r w:rsidR="008C60A3">
        <w:rPr>
          <w:noProof/>
        </w:rPr>
        <w:t>5</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r w:rsidRPr="006F0F88">
        <w:fldChar w:fldCharType="end"/>
      </w:r>
      <w:r w:rsidRPr="006F0F88">
        <w:tab/>
        <w:t>Changes in capital-related costs over building life – Stringency Level 1</w:t>
      </w:r>
      <w:bookmarkEnd w:id="2082"/>
      <w:bookmarkEnd w:id="2083"/>
    </w:p>
    <w:tbl>
      <w:tblPr>
        <w:tblW w:w="7938" w:type="dxa"/>
        <w:tblLook w:val="04A0" w:firstRow="1" w:lastRow="0" w:firstColumn="1" w:lastColumn="0" w:noHBand="0" w:noVBand="1"/>
        <w:tblCaption w:val="Table 5.4"/>
        <w:tblDescription w:val=" Changes in capital-related costs over building life – Stringency Level 1"/>
      </w:tblPr>
      <w:tblGrid>
        <w:gridCol w:w="882"/>
        <w:gridCol w:w="882"/>
        <w:gridCol w:w="882"/>
        <w:gridCol w:w="882"/>
        <w:gridCol w:w="882"/>
        <w:gridCol w:w="882"/>
        <w:gridCol w:w="882"/>
        <w:gridCol w:w="882"/>
        <w:gridCol w:w="882"/>
      </w:tblGrid>
      <w:tr w:rsidR="006E5BA6" w:rsidRPr="0002566E" w14:paraId="75F81144" w14:textId="77777777">
        <w:trPr>
          <w:trHeight w:val="216"/>
          <w:tblHeader/>
        </w:trPr>
        <w:tc>
          <w:tcPr>
            <w:tcW w:w="882" w:type="dxa"/>
            <w:shd w:val="clear" w:color="auto" w:fill="6F6652"/>
            <w:noWrap/>
            <w:tcMar>
              <w:left w:w="57" w:type="dxa"/>
              <w:right w:w="57" w:type="dxa"/>
            </w:tcMar>
            <w:hideMark/>
          </w:tcPr>
          <w:p w14:paraId="360EABC4" w14:textId="77777777" w:rsidR="006E5BA6" w:rsidRPr="0002566E" w:rsidRDefault="006E5BA6">
            <w:pPr>
              <w:pStyle w:val="TableDataColumnHeading"/>
              <w:jc w:val="left"/>
            </w:pPr>
            <w:r>
              <w:t>Building</w:t>
            </w:r>
          </w:p>
        </w:tc>
        <w:tc>
          <w:tcPr>
            <w:tcW w:w="882" w:type="dxa"/>
            <w:shd w:val="clear" w:color="auto" w:fill="6F6652"/>
            <w:noWrap/>
            <w:tcMar>
              <w:left w:w="57" w:type="dxa"/>
              <w:right w:w="57" w:type="dxa"/>
            </w:tcMar>
            <w:hideMark/>
          </w:tcPr>
          <w:p w14:paraId="6BE042FC" w14:textId="77777777" w:rsidR="006E5BA6" w:rsidRDefault="006E5BA6">
            <w:pPr>
              <w:pStyle w:val="TableDataColumnHeading"/>
              <w:rPr>
                <w:szCs w:val="16"/>
              </w:rPr>
            </w:pPr>
            <w:r w:rsidRPr="002331D9">
              <w:rPr>
                <w:szCs w:val="16"/>
              </w:rPr>
              <w:t>1</w:t>
            </w:r>
          </w:p>
          <w:p w14:paraId="1576B403" w14:textId="77777777" w:rsidR="006E5BA6" w:rsidRPr="002331D9" w:rsidRDefault="006E5BA6">
            <w:pPr>
              <w:pStyle w:val="TableDataColumnHeading"/>
              <w:rPr>
                <w:szCs w:val="16"/>
              </w:rPr>
            </w:pPr>
            <w:r w:rsidRPr="0002566E">
              <w:t>$</w:t>
            </w:r>
            <w:r>
              <w:t>/m</w:t>
            </w:r>
            <w:r w:rsidRPr="0089649D">
              <w:rPr>
                <w:vertAlign w:val="superscript"/>
              </w:rPr>
              <w:t>2</w:t>
            </w:r>
          </w:p>
        </w:tc>
        <w:tc>
          <w:tcPr>
            <w:tcW w:w="882" w:type="dxa"/>
            <w:shd w:val="clear" w:color="auto" w:fill="6F6652"/>
            <w:noWrap/>
            <w:tcMar>
              <w:left w:w="57" w:type="dxa"/>
              <w:right w:w="57" w:type="dxa"/>
            </w:tcMar>
            <w:hideMark/>
          </w:tcPr>
          <w:p w14:paraId="05E49150" w14:textId="77777777" w:rsidR="006E5BA6" w:rsidRDefault="006E5BA6">
            <w:pPr>
              <w:pStyle w:val="TableDataColumnHeading"/>
              <w:rPr>
                <w:szCs w:val="16"/>
              </w:rPr>
            </w:pPr>
            <w:r w:rsidRPr="002331D9">
              <w:rPr>
                <w:szCs w:val="16"/>
              </w:rPr>
              <w:t>2</w:t>
            </w:r>
          </w:p>
          <w:p w14:paraId="2CA762B6" w14:textId="77777777" w:rsidR="006E5BA6" w:rsidRPr="002331D9" w:rsidRDefault="006E5BA6">
            <w:pPr>
              <w:pStyle w:val="TableDataColumnHeading"/>
              <w:rPr>
                <w:szCs w:val="16"/>
              </w:rPr>
            </w:pPr>
            <w:r w:rsidRPr="0002566E">
              <w:t>$</w:t>
            </w:r>
            <w:r>
              <w:t>/m</w:t>
            </w:r>
            <w:r w:rsidRPr="0089649D">
              <w:rPr>
                <w:vertAlign w:val="superscript"/>
              </w:rPr>
              <w:t>2</w:t>
            </w:r>
          </w:p>
        </w:tc>
        <w:tc>
          <w:tcPr>
            <w:tcW w:w="882" w:type="dxa"/>
            <w:shd w:val="clear" w:color="auto" w:fill="6F6652"/>
            <w:noWrap/>
            <w:tcMar>
              <w:left w:w="57" w:type="dxa"/>
              <w:right w:w="57" w:type="dxa"/>
            </w:tcMar>
            <w:hideMark/>
          </w:tcPr>
          <w:p w14:paraId="2C829FE2" w14:textId="77777777" w:rsidR="006E5BA6" w:rsidRDefault="006E5BA6">
            <w:pPr>
              <w:pStyle w:val="TableDataColumnHeading"/>
              <w:rPr>
                <w:szCs w:val="16"/>
              </w:rPr>
            </w:pPr>
            <w:r w:rsidRPr="002331D9">
              <w:rPr>
                <w:szCs w:val="16"/>
              </w:rPr>
              <w:t>3</w:t>
            </w:r>
          </w:p>
          <w:p w14:paraId="2A3C6AAF" w14:textId="77777777" w:rsidR="006E5BA6" w:rsidRPr="002331D9" w:rsidRDefault="006E5BA6">
            <w:pPr>
              <w:pStyle w:val="TableDataColumnHeading"/>
              <w:rPr>
                <w:szCs w:val="16"/>
              </w:rPr>
            </w:pPr>
            <w:r w:rsidRPr="0002566E">
              <w:t>$</w:t>
            </w:r>
            <w:r>
              <w:t>/m</w:t>
            </w:r>
            <w:r w:rsidRPr="0089649D">
              <w:rPr>
                <w:vertAlign w:val="superscript"/>
              </w:rPr>
              <w:t>2</w:t>
            </w:r>
          </w:p>
        </w:tc>
        <w:tc>
          <w:tcPr>
            <w:tcW w:w="882" w:type="dxa"/>
            <w:shd w:val="clear" w:color="auto" w:fill="6F6652"/>
            <w:noWrap/>
            <w:tcMar>
              <w:left w:w="57" w:type="dxa"/>
              <w:right w:w="57" w:type="dxa"/>
            </w:tcMar>
            <w:hideMark/>
          </w:tcPr>
          <w:p w14:paraId="6AD57D49" w14:textId="77777777" w:rsidR="006E5BA6" w:rsidRDefault="006E5BA6">
            <w:pPr>
              <w:pStyle w:val="TableDataColumnHeading"/>
              <w:rPr>
                <w:szCs w:val="16"/>
              </w:rPr>
            </w:pPr>
            <w:r w:rsidRPr="002331D9">
              <w:rPr>
                <w:szCs w:val="16"/>
              </w:rPr>
              <w:t>4</w:t>
            </w:r>
          </w:p>
          <w:p w14:paraId="1B343ED3" w14:textId="77777777" w:rsidR="006E5BA6" w:rsidRPr="002331D9" w:rsidRDefault="006E5BA6">
            <w:pPr>
              <w:pStyle w:val="TableDataColumnHeading"/>
              <w:rPr>
                <w:szCs w:val="16"/>
              </w:rPr>
            </w:pPr>
            <w:r w:rsidRPr="0002566E">
              <w:t>$</w:t>
            </w:r>
            <w:r>
              <w:t>/m</w:t>
            </w:r>
            <w:r w:rsidRPr="0089649D">
              <w:rPr>
                <w:vertAlign w:val="superscript"/>
              </w:rPr>
              <w:t>2</w:t>
            </w:r>
          </w:p>
        </w:tc>
        <w:tc>
          <w:tcPr>
            <w:tcW w:w="882" w:type="dxa"/>
            <w:shd w:val="clear" w:color="auto" w:fill="6F6652"/>
            <w:noWrap/>
            <w:tcMar>
              <w:left w:w="57" w:type="dxa"/>
              <w:right w:w="57" w:type="dxa"/>
            </w:tcMar>
            <w:hideMark/>
          </w:tcPr>
          <w:p w14:paraId="3E5AEE4F" w14:textId="77777777" w:rsidR="006E5BA6" w:rsidRDefault="006E5BA6">
            <w:pPr>
              <w:pStyle w:val="TableDataColumnHeading"/>
              <w:rPr>
                <w:szCs w:val="16"/>
              </w:rPr>
            </w:pPr>
            <w:r w:rsidRPr="002331D9">
              <w:rPr>
                <w:szCs w:val="16"/>
              </w:rPr>
              <w:t>5</w:t>
            </w:r>
          </w:p>
          <w:p w14:paraId="41751561" w14:textId="77777777" w:rsidR="006E5BA6" w:rsidRPr="002331D9" w:rsidRDefault="006E5BA6">
            <w:pPr>
              <w:pStyle w:val="TableDataColumnHeading"/>
              <w:rPr>
                <w:szCs w:val="16"/>
              </w:rPr>
            </w:pPr>
            <w:r w:rsidRPr="0002566E">
              <w:t>$</w:t>
            </w:r>
            <w:r>
              <w:t>/m</w:t>
            </w:r>
            <w:r w:rsidRPr="0089649D">
              <w:rPr>
                <w:vertAlign w:val="superscript"/>
              </w:rPr>
              <w:t>2</w:t>
            </w:r>
          </w:p>
        </w:tc>
        <w:tc>
          <w:tcPr>
            <w:tcW w:w="882" w:type="dxa"/>
            <w:shd w:val="clear" w:color="auto" w:fill="6F6652"/>
            <w:noWrap/>
            <w:tcMar>
              <w:left w:w="57" w:type="dxa"/>
              <w:right w:w="57" w:type="dxa"/>
            </w:tcMar>
            <w:hideMark/>
          </w:tcPr>
          <w:p w14:paraId="43C20B6C" w14:textId="77777777" w:rsidR="006E5BA6" w:rsidRDefault="006E5BA6">
            <w:pPr>
              <w:pStyle w:val="TableDataColumnHeading"/>
              <w:rPr>
                <w:szCs w:val="16"/>
              </w:rPr>
            </w:pPr>
            <w:r w:rsidRPr="002331D9">
              <w:rPr>
                <w:szCs w:val="16"/>
              </w:rPr>
              <w:t>6</w:t>
            </w:r>
          </w:p>
          <w:p w14:paraId="063CF844" w14:textId="77777777" w:rsidR="006E5BA6" w:rsidRPr="002331D9" w:rsidRDefault="006E5BA6">
            <w:pPr>
              <w:pStyle w:val="TableDataColumnHeading"/>
              <w:rPr>
                <w:szCs w:val="16"/>
              </w:rPr>
            </w:pPr>
            <w:r w:rsidRPr="0002566E">
              <w:t>$</w:t>
            </w:r>
            <w:r>
              <w:t>/m</w:t>
            </w:r>
            <w:r w:rsidRPr="0089649D">
              <w:rPr>
                <w:vertAlign w:val="superscript"/>
              </w:rPr>
              <w:t>2</w:t>
            </w:r>
          </w:p>
        </w:tc>
        <w:tc>
          <w:tcPr>
            <w:tcW w:w="882" w:type="dxa"/>
            <w:shd w:val="clear" w:color="auto" w:fill="6F6652"/>
            <w:noWrap/>
            <w:tcMar>
              <w:left w:w="57" w:type="dxa"/>
              <w:right w:w="57" w:type="dxa"/>
            </w:tcMar>
            <w:hideMark/>
          </w:tcPr>
          <w:p w14:paraId="6C0D0DDC" w14:textId="77777777" w:rsidR="006E5BA6" w:rsidRDefault="006E5BA6">
            <w:pPr>
              <w:pStyle w:val="TableDataColumnHeading"/>
              <w:rPr>
                <w:szCs w:val="16"/>
              </w:rPr>
            </w:pPr>
            <w:r w:rsidRPr="002331D9">
              <w:rPr>
                <w:szCs w:val="16"/>
              </w:rPr>
              <w:t>7</w:t>
            </w:r>
          </w:p>
          <w:p w14:paraId="4BD9A3DD" w14:textId="77777777" w:rsidR="006E5BA6" w:rsidRPr="002331D9" w:rsidRDefault="006E5BA6">
            <w:pPr>
              <w:pStyle w:val="TableDataColumnHeading"/>
              <w:rPr>
                <w:szCs w:val="16"/>
              </w:rPr>
            </w:pPr>
            <w:r w:rsidRPr="0002566E">
              <w:t>$</w:t>
            </w:r>
            <w:r>
              <w:t>/m</w:t>
            </w:r>
            <w:r w:rsidRPr="0089649D">
              <w:rPr>
                <w:vertAlign w:val="superscript"/>
              </w:rPr>
              <w:t>2</w:t>
            </w:r>
          </w:p>
        </w:tc>
        <w:tc>
          <w:tcPr>
            <w:tcW w:w="882" w:type="dxa"/>
            <w:shd w:val="clear" w:color="auto" w:fill="6F6652"/>
            <w:noWrap/>
            <w:tcMar>
              <w:left w:w="57" w:type="dxa"/>
              <w:right w:w="57" w:type="dxa"/>
            </w:tcMar>
            <w:hideMark/>
          </w:tcPr>
          <w:p w14:paraId="77702156" w14:textId="77777777" w:rsidR="006E5BA6" w:rsidRDefault="006E5BA6">
            <w:pPr>
              <w:pStyle w:val="TableDataColumnHeading"/>
              <w:rPr>
                <w:szCs w:val="16"/>
              </w:rPr>
            </w:pPr>
            <w:r w:rsidRPr="002331D9">
              <w:rPr>
                <w:szCs w:val="16"/>
              </w:rPr>
              <w:t>8</w:t>
            </w:r>
          </w:p>
          <w:p w14:paraId="23BBC818" w14:textId="77777777" w:rsidR="006E5BA6" w:rsidRPr="002331D9" w:rsidRDefault="006E5BA6">
            <w:pPr>
              <w:pStyle w:val="TableDataColumnHeading"/>
              <w:rPr>
                <w:szCs w:val="16"/>
              </w:rPr>
            </w:pPr>
            <w:r w:rsidRPr="0002566E">
              <w:t>$</w:t>
            </w:r>
            <w:r>
              <w:t>/m</w:t>
            </w:r>
            <w:r w:rsidRPr="0089649D">
              <w:rPr>
                <w:vertAlign w:val="superscript"/>
              </w:rPr>
              <w:t>2</w:t>
            </w:r>
          </w:p>
        </w:tc>
      </w:tr>
      <w:tr w:rsidR="006E5BA6" w:rsidRPr="00492AD6" w14:paraId="290B481F" w14:textId="77777777">
        <w:trPr>
          <w:trHeight w:val="216"/>
        </w:trPr>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8BB41A8" w14:textId="41509964" w:rsidR="006E5BA6" w:rsidRPr="00492AD6" w:rsidRDefault="006E5BA6">
            <w:pPr>
              <w:pStyle w:val="TableDataEntries"/>
              <w:jc w:val="left"/>
              <w:rPr>
                <w:color w:val="000000" w:themeColor="text1"/>
              </w:rPr>
            </w:pPr>
            <w:r w:rsidRPr="00155C8F">
              <w:t>C3HL</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2D2AFDC" w14:textId="0368425F" w:rsidR="006E5BA6" w:rsidRPr="00492AD6" w:rsidRDefault="006E5BA6">
            <w:pPr>
              <w:pStyle w:val="TableDataEntries"/>
              <w:rPr>
                <w:color w:val="000000" w:themeColor="text1"/>
              </w:rPr>
            </w:pPr>
            <w:r w:rsidRPr="00155C8F">
              <w:t>43.89</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7B15EFD" w14:textId="54E93927" w:rsidR="006E5BA6" w:rsidRPr="00492AD6" w:rsidRDefault="006E5BA6">
            <w:pPr>
              <w:pStyle w:val="TableDataEntries"/>
              <w:rPr>
                <w:color w:val="000000" w:themeColor="text1"/>
              </w:rPr>
            </w:pPr>
            <w:r w:rsidRPr="00155C8F">
              <w:t>37.99</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A960878" w14:textId="1AC0EF05" w:rsidR="006E5BA6" w:rsidRPr="00492AD6" w:rsidRDefault="006E5BA6">
            <w:pPr>
              <w:pStyle w:val="TableDataEntries"/>
              <w:rPr>
                <w:color w:val="000000" w:themeColor="text1"/>
              </w:rPr>
            </w:pPr>
            <w:r w:rsidRPr="00155C8F">
              <w:t>39.16</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8CFC77A" w14:textId="3168B801" w:rsidR="006E5BA6" w:rsidRPr="00492AD6" w:rsidRDefault="006E5BA6">
            <w:pPr>
              <w:pStyle w:val="TableDataEntries"/>
              <w:rPr>
                <w:color w:val="000000" w:themeColor="text1"/>
              </w:rPr>
            </w:pPr>
            <w:r w:rsidRPr="00155C8F">
              <w:t>16.96</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6244BAA" w14:textId="3F541AC5" w:rsidR="006E5BA6" w:rsidRPr="00492AD6" w:rsidRDefault="006E5BA6">
            <w:pPr>
              <w:pStyle w:val="TableDataEntries"/>
              <w:rPr>
                <w:color w:val="000000" w:themeColor="text1"/>
              </w:rPr>
            </w:pPr>
            <w:r w:rsidRPr="00155C8F">
              <w:t>28.36</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977A95F" w14:textId="7AAA0AE1" w:rsidR="006E5BA6" w:rsidRPr="00492AD6" w:rsidRDefault="006E5BA6">
            <w:pPr>
              <w:pStyle w:val="TableDataEntries"/>
              <w:rPr>
                <w:color w:val="000000" w:themeColor="text1"/>
              </w:rPr>
            </w:pPr>
            <w:r w:rsidRPr="00155C8F">
              <w:t>20.91</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EA9A204" w14:textId="3970C1B6" w:rsidR="006E5BA6" w:rsidRPr="00492AD6" w:rsidRDefault="006E5BA6">
            <w:pPr>
              <w:pStyle w:val="TableDataEntries"/>
              <w:rPr>
                <w:color w:val="000000" w:themeColor="text1"/>
              </w:rPr>
            </w:pPr>
            <w:r w:rsidRPr="00155C8F">
              <w:t>27.20</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CB93AA3" w14:textId="4482F341" w:rsidR="006E5BA6" w:rsidRPr="00492AD6" w:rsidRDefault="006E5BA6">
            <w:pPr>
              <w:pStyle w:val="TableDataEntries"/>
              <w:rPr>
                <w:color w:val="000000" w:themeColor="text1"/>
              </w:rPr>
            </w:pPr>
            <w:r w:rsidRPr="00155C8F">
              <w:t>59.46</w:t>
            </w:r>
          </w:p>
        </w:tc>
      </w:tr>
      <w:tr w:rsidR="006E5BA6" w:rsidRPr="00492AD6" w14:paraId="3ECE8831" w14:textId="77777777">
        <w:trPr>
          <w:trHeight w:val="216"/>
        </w:trPr>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30DA9CFD" w14:textId="10D8469E" w:rsidR="006E5BA6" w:rsidRPr="00492AD6" w:rsidRDefault="006E5BA6">
            <w:pPr>
              <w:pStyle w:val="TableDataEntries"/>
              <w:jc w:val="left"/>
              <w:rPr>
                <w:color w:val="000000" w:themeColor="text1"/>
              </w:rPr>
            </w:pPr>
            <w:r w:rsidRPr="00155C8F">
              <w:t>C3HS</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DC55393" w14:textId="00BA0FAB" w:rsidR="006E5BA6" w:rsidRPr="00492AD6" w:rsidRDefault="006E5BA6">
            <w:pPr>
              <w:pStyle w:val="TableDataEntries"/>
              <w:rPr>
                <w:color w:val="000000" w:themeColor="text1"/>
              </w:rPr>
            </w:pPr>
            <w:r w:rsidRPr="00155C8F">
              <w:t>72.23</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6241B0D" w14:textId="465186DD" w:rsidR="006E5BA6" w:rsidRPr="00492AD6" w:rsidRDefault="006E5BA6">
            <w:pPr>
              <w:pStyle w:val="TableDataEntries"/>
              <w:rPr>
                <w:color w:val="000000" w:themeColor="text1"/>
              </w:rPr>
            </w:pPr>
            <w:r w:rsidRPr="00155C8F">
              <w:t>36.28</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22E83BC" w14:textId="2AFB4887" w:rsidR="006E5BA6" w:rsidRPr="00492AD6" w:rsidRDefault="006E5BA6">
            <w:pPr>
              <w:pStyle w:val="TableDataEntries"/>
              <w:rPr>
                <w:color w:val="000000" w:themeColor="text1"/>
              </w:rPr>
            </w:pPr>
            <w:r w:rsidRPr="00155C8F">
              <w:t>27.54</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D809E1C" w14:textId="5665AC66" w:rsidR="006E5BA6" w:rsidRPr="00492AD6" w:rsidRDefault="006E5BA6">
            <w:pPr>
              <w:pStyle w:val="TableDataEntries"/>
              <w:rPr>
                <w:color w:val="000000" w:themeColor="text1"/>
              </w:rPr>
            </w:pPr>
            <w:r w:rsidRPr="00155C8F">
              <w:t>29.94</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A3E77B5" w14:textId="5D712FC6" w:rsidR="006E5BA6" w:rsidRPr="00492AD6" w:rsidRDefault="006E5BA6">
            <w:pPr>
              <w:pStyle w:val="TableDataEntries"/>
              <w:rPr>
                <w:color w:val="000000" w:themeColor="text1"/>
              </w:rPr>
            </w:pPr>
            <w:r w:rsidRPr="00155C8F">
              <w:t>48.14</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98324EF" w14:textId="48C60569" w:rsidR="006E5BA6" w:rsidRPr="00492AD6" w:rsidRDefault="006E5BA6">
            <w:pPr>
              <w:pStyle w:val="TableDataEntries"/>
              <w:rPr>
                <w:color w:val="000000" w:themeColor="text1"/>
              </w:rPr>
            </w:pPr>
            <w:r w:rsidRPr="00155C8F">
              <w:t>29.60</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72CB7EB" w14:textId="41DAEEDC" w:rsidR="006E5BA6" w:rsidRPr="00492AD6" w:rsidRDefault="006E5BA6">
            <w:pPr>
              <w:pStyle w:val="TableDataEntries"/>
              <w:rPr>
                <w:color w:val="000000" w:themeColor="text1"/>
              </w:rPr>
            </w:pPr>
            <w:r w:rsidRPr="00155C8F">
              <w:t>23.98</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9989D13" w14:textId="2E75EC46" w:rsidR="006E5BA6" w:rsidRPr="00492AD6" w:rsidRDefault="006E5BA6">
            <w:pPr>
              <w:pStyle w:val="TableDataEntries"/>
              <w:rPr>
                <w:color w:val="000000" w:themeColor="text1"/>
              </w:rPr>
            </w:pPr>
            <w:r w:rsidRPr="00155C8F">
              <w:t>35.66</w:t>
            </w:r>
          </w:p>
        </w:tc>
      </w:tr>
      <w:tr w:rsidR="006E5BA6" w:rsidRPr="00492AD6" w14:paraId="3642F410" w14:textId="77777777">
        <w:trPr>
          <w:trHeight w:val="216"/>
        </w:trPr>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44B92AD" w14:textId="06B2D6BA" w:rsidR="006E5BA6" w:rsidRPr="00492AD6" w:rsidRDefault="006E5BA6">
            <w:pPr>
              <w:pStyle w:val="TableDataEntries"/>
              <w:jc w:val="left"/>
              <w:rPr>
                <w:color w:val="000000" w:themeColor="text1"/>
              </w:rPr>
            </w:pPr>
            <w:r w:rsidRPr="00155C8F">
              <w:t>C5OL</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246A647" w14:textId="71CF98FF" w:rsidR="006E5BA6" w:rsidRPr="00492AD6" w:rsidRDefault="006E5BA6">
            <w:pPr>
              <w:pStyle w:val="TableDataEntries"/>
              <w:rPr>
                <w:color w:val="000000" w:themeColor="text1"/>
              </w:rPr>
            </w:pPr>
            <w:r w:rsidRPr="00155C8F">
              <w:t>-31.45</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B65CACE" w14:textId="1BA65B03" w:rsidR="006E5BA6" w:rsidRPr="00492AD6" w:rsidRDefault="006E5BA6">
            <w:pPr>
              <w:pStyle w:val="TableDataEntries"/>
              <w:rPr>
                <w:color w:val="000000" w:themeColor="text1"/>
              </w:rPr>
            </w:pPr>
            <w:r w:rsidRPr="00155C8F">
              <w:t>-34.21</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B2238F2" w14:textId="5289FD1C" w:rsidR="006E5BA6" w:rsidRPr="00492AD6" w:rsidRDefault="006E5BA6">
            <w:pPr>
              <w:pStyle w:val="TableDataEntries"/>
              <w:rPr>
                <w:color w:val="000000" w:themeColor="text1"/>
              </w:rPr>
            </w:pPr>
            <w:r w:rsidRPr="00155C8F">
              <w:t>-33.08</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AEF7C46" w14:textId="68B16B10" w:rsidR="006E5BA6" w:rsidRPr="00492AD6" w:rsidRDefault="006E5BA6">
            <w:pPr>
              <w:pStyle w:val="TableDataEntries"/>
              <w:rPr>
                <w:color w:val="000000" w:themeColor="text1"/>
              </w:rPr>
            </w:pPr>
            <w:r w:rsidRPr="00155C8F">
              <w:t>-10.72</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07F53AE" w14:textId="39978459" w:rsidR="006E5BA6" w:rsidRPr="00492AD6" w:rsidRDefault="006E5BA6">
            <w:pPr>
              <w:pStyle w:val="TableDataEntries"/>
              <w:rPr>
                <w:color w:val="000000" w:themeColor="text1"/>
              </w:rPr>
            </w:pPr>
            <w:r w:rsidRPr="00155C8F">
              <w:t>-19.41</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FBA3AA3" w14:textId="63AC257D" w:rsidR="006E5BA6" w:rsidRPr="00492AD6" w:rsidRDefault="006E5BA6">
            <w:pPr>
              <w:pStyle w:val="TableDataEntries"/>
              <w:rPr>
                <w:color w:val="000000" w:themeColor="text1"/>
              </w:rPr>
            </w:pPr>
            <w:r w:rsidRPr="00155C8F">
              <w:t>-12.16</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66865F2" w14:textId="1A94D203" w:rsidR="006E5BA6" w:rsidRPr="00492AD6" w:rsidRDefault="006E5BA6">
            <w:pPr>
              <w:pStyle w:val="TableDataEntries"/>
              <w:rPr>
                <w:color w:val="000000" w:themeColor="text1"/>
              </w:rPr>
            </w:pPr>
            <w:r w:rsidRPr="00155C8F">
              <w:t>-14.98</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E1BA983" w14:textId="4DE6428E" w:rsidR="006E5BA6" w:rsidRPr="00492AD6" w:rsidRDefault="006E5BA6">
            <w:pPr>
              <w:pStyle w:val="TableDataEntries"/>
              <w:rPr>
                <w:color w:val="000000" w:themeColor="text1"/>
              </w:rPr>
            </w:pPr>
            <w:r w:rsidRPr="00155C8F">
              <w:t>-9.51</w:t>
            </w:r>
          </w:p>
        </w:tc>
      </w:tr>
      <w:tr w:rsidR="006E5BA6" w:rsidRPr="00492AD6" w14:paraId="3ED2A60A" w14:textId="77777777">
        <w:trPr>
          <w:trHeight w:val="216"/>
        </w:trPr>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199CBD3" w14:textId="6EC1ACB2" w:rsidR="006E5BA6" w:rsidRPr="00492AD6" w:rsidRDefault="006E5BA6">
            <w:pPr>
              <w:pStyle w:val="TableDataEntries"/>
              <w:jc w:val="left"/>
              <w:rPr>
                <w:color w:val="000000" w:themeColor="text1"/>
              </w:rPr>
            </w:pPr>
            <w:r w:rsidRPr="00155C8F">
              <w:t>C5OM</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42D3877" w14:textId="22651BD0" w:rsidR="006E5BA6" w:rsidRPr="00492AD6" w:rsidRDefault="006E5BA6">
            <w:pPr>
              <w:pStyle w:val="TableDataEntries"/>
              <w:rPr>
                <w:color w:val="000000" w:themeColor="text1"/>
              </w:rPr>
            </w:pPr>
            <w:r w:rsidRPr="00155C8F">
              <w:t>-34.32</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5DC0CC4" w14:textId="488925E2" w:rsidR="006E5BA6" w:rsidRPr="00492AD6" w:rsidRDefault="006E5BA6">
            <w:pPr>
              <w:pStyle w:val="TableDataEntries"/>
              <w:rPr>
                <w:color w:val="000000" w:themeColor="text1"/>
              </w:rPr>
            </w:pPr>
            <w:r w:rsidRPr="00155C8F">
              <w:t>-23.84</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5E28562" w14:textId="3835E407" w:rsidR="006E5BA6" w:rsidRPr="00492AD6" w:rsidRDefault="006E5BA6">
            <w:pPr>
              <w:pStyle w:val="TableDataEntries"/>
              <w:rPr>
                <w:color w:val="000000" w:themeColor="text1"/>
              </w:rPr>
            </w:pPr>
            <w:r w:rsidRPr="00155C8F">
              <w:t>-2.84</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E23D3B2" w14:textId="04C54C3D" w:rsidR="006E5BA6" w:rsidRPr="00492AD6" w:rsidRDefault="006E5BA6">
            <w:pPr>
              <w:pStyle w:val="TableDataEntries"/>
              <w:rPr>
                <w:color w:val="000000" w:themeColor="text1"/>
              </w:rPr>
            </w:pPr>
            <w:r w:rsidRPr="00155C8F">
              <w:t>-9.46</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F7D3E5D" w14:textId="4A67F861" w:rsidR="006E5BA6" w:rsidRPr="00492AD6" w:rsidRDefault="006E5BA6">
            <w:pPr>
              <w:pStyle w:val="TableDataEntries"/>
              <w:rPr>
                <w:color w:val="000000" w:themeColor="text1"/>
              </w:rPr>
            </w:pPr>
            <w:r w:rsidRPr="00155C8F">
              <w:t>-10.82</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2CE4271" w14:textId="3C7108CA" w:rsidR="006E5BA6" w:rsidRPr="00492AD6" w:rsidRDefault="006E5BA6">
            <w:pPr>
              <w:pStyle w:val="TableDataEntries"/>
              <w:rPr>
                <w:color w:val="000000" w:themeColor="text1"/>
              </w:rPr>
            </w:pPr>
            <w:r w:rsidRPr="00155C8F">
              <w:t>-22.19</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DD79590" w14:textId="3E9F5749" w:rsidR="006E5BA6" w:rsidRPr="00492AD6" w:rsidRDefault="006E5BA6">
            <w:pPr>
              <w:pStyle w:val="TableDataEntries"/>
              <w:rPr>
                <w:color w:val="000000" w:themeColor="text1"/>
              </w:rPr>
            </w:pPr>
            <w:r w:rsidRPr="00155C8F">
              <w:t>-14.77</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29164BF" w14:textId="33395EC6" w:rsidR="006E5BA6" w:rsidRPr="00492AD6" w:rsidRDefault="006E5BA6">
            <w:pPr>
              <w:pStyle w:val="TableDataEntries"/>
              <w:rPr>
                <w:color w:val="000000" w:themeColor="text1"/>
              </w:rPr>
            </w:pPr>
            <w:r w:rsidRPr="00155C8F">
              <w:t>-29.42</w:t>
            </w:r>
          </w:p>
        </w:tc>
      </w:tr>
      <w:tr w:rsidR="006E5BA6" w:rsidRPr="00492AD6" w14:paraId="62B7194D" w14:textId="77777777">
        <w:trPr>
          <w:trHeight w:val="216"/>
        </w:trPr>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32389F61" w14:textId="7D5B7248" w:rsidR="006E5BA6" w:rsidRPr="00492AD6" w:rsidRDefault="006E5BA6">
            <w:pPr>
              <w:pStyle w:val="TableDataEntries"/>
              <w:jc w:val="left"/>
              <w:rPr>
                <w:color w:val="000000" w:themeColor="text1"/>
              </w:rPr>
            </w:pPr>
            <w:r w:rsidRPr="00155C8F">
              <w:t>C5OS</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1472C99" w14:textId="785B430C" w:rsidR="006E5BA6" w:rsidRPr="00492AD6" w:rsidRDefault="006E5BA6">
            <w:pPr>
              <w:pStyle w:val="TableDataEntries"/>
              <w:rPr>
                <w:color w:val="000000" w:themeColor="text1"/>
              </w:rPr>
            </w:pPr>
            <w:r w:rsidRPr="00155C8F">
              <w:t>5.16</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286B3AF" w14:textId="7B6B2534" w:rsidR="006E5BA6" w:rsidRPr="00492AD6" w:rsidRDefault="006E5BA6">
            <w:pPr>
              <w:pStyle w:val="TableDataEntries"/>
              <w:rPr>
                <w:color w:val="000000" w:themeColor="text1"/>
              </w:rPr>
            </w:pPr>
            <w:r w:rsidRPr="00155C8F">
              <w:t>15.66</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4A83310" w14:textId="20B8FE81" w:rsidR="006E5BA6" w:rsidRPr="00492AD6" w:rsidRDefault="006E5BA6">
            <w:pPr>
              <w:pStyle w:val="TableDataEntries"/>
              <w:rPr>
                <w:color w:val="000000" w:themeColor="text1"/>
              </w:rPr>
            </w:pPr>
            <w:r w:rsidRPr="00155C8F">
              <w:t>16.96</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3BBDBA2" w14:textId="00D42D33" w:rsidR="006E5BA6" w:rsidRPr="00492AD6" w:rsidRDefault="006E5BA6">
            <w:pPr>
              <w:pStyle w:val="TableDataEntries"/>
              <w:rPr>
                <w:color w:val="000000" w:themeColor="text1"/>
              </w:rPr>
            </w:pPr>
            <w:r w:rsidRPr="00155C8F">
              <w:t>16.28</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8E5A220" w14:textId="556E03BE" w:rsidR="006E5BA6" w:rsidRPr="00492AD6" w:rsidRDefault="006E5BA6">
            <w:pPr>
              <w:pStyle w:val="TableDataEntries"/>
              <w:rPr>
                <w:color w:val="000000" w:themeColor="text1"/>
              </w:rPr>
            </w:pPr>
            <w:r w:rsidRPr="00155C8F">
              <w:t>9.46</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C89A262" w14:textId="252D66DD" w:rsidR="006E5BA6" w:rsidRPr="00492AD6" w:rsidRDefault="006E5BA6">
            <w:pPr>
              <w:pStyle w:val="TableDataEntries"/>
              <w:rPr>
                <w:color w:val="000000" w:themeColor="text1"/>
              </w:rPr>
            </w:pPr>
            <w:r w:rsidRPr="00155C8F">
              <w:t>21.05</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7274DB6" w14:textId="1865FAE4" w:rsidR="006E5BA6" w:rsidRPr="00492AD6" w:rsidRDefault="006E5BA6">
            <w:pPr>
              <w:pStyle w:val="TableDataEntries"/>
              <w:rPr>
                <w:color w:val="000000" w:themeColor="text1"/>
              </w:rPr>
            </w:pPr>
            <w:r w:rsidRPr="00155C8F">
              <w:t>-0.27</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9DD1D3A" w14:textId="6AB30F9B" w:rsidR="006E5BA6" w:rsidRPr="00492AD6" w:rsidRDefault="006E5BA6">
            <w:pPr>
              <w:pStyle w:val="TableDataEntries"/>
              <w:rPr>
                <w:color w:val="000000" w:themeColor="text1"/>
              </w:rPr>
            </w:pPr>
            <w:r w:rsidRPr="00155C8F">
              <w:t>-0.26</w:t>
            </w:r>
          </w:p>
        </w:tc>
      </w:tr>
      <w:tr w:rsidR="006E5BA6" w:rsidRPr="00492AD6" w14:paraId="0969A900" w14:textId="77777777">
        <w:trPr>
          <w:trHeight w:val="216"/>
        </w:trPr>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5529A02" w14:textId="7E30F30E" w:rsidR="006E5BA6" w:rsidRPr="00492AD6" w:rsidRDefault="006E5BA6">
            <w:pPr>
              <w:pStyle w:val="TableDataEntries"/>
              <w:jc w:val="left"/>
              <w:rPr>
                <w:color w:val="000000" w:themeColor="text1"/>
              </w:rPr>
            </w:pPr>
            <w:r w:rsidRPr="00155C8F">
              <w:t>C6RL</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CEAFBF1" w14:textId="3361BA25" w:rsidR="006E5BA6" w:rsidRPr="00492AD6" w:rsidRDefault="006E5BA6">
            <w:pPr>
              <w:pStyle w:val="TableDataEntries"/>
              <w:rPr>
                <w:color w:val="000000" w:themeColor="text1"/>
              </w:rPr>
            </w:pPr>
            <w:r w:rsidRPr="00155C8F">
              <w:t>-54.25</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DD035C1" w14:textId="709D6DA5" w:rsidR="006E5BA6" w:rsidRPr="00492AD6" w:rsidRDefault="006E5BA6">
            <w:pPr>
              <w:pStyle w:val="TableDataEntries"/>
              <w:rPr>
                <w:color w:val="000000" w:themeColor="text1"/>
              </w:rPr>
            </w:pPr>
            <w:r w:rsidRPr="00155C8F">
              <w:t>7.96</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7AAE17E" w14:textId="05CA8E68" w:rsidR="006E5BA6" w:rsidRPr="00492AD6" w:rsidRDefault="006E5BA6">
            <w:pPr>
              <w:pStyle w:val="TableDataEntries"/>
              <w:rPr>
                <w:color w:val="000000" w:themeColor="text1"/>
              </w:rPr>
            </w:pPr>
            <w:r w:rsidRPr="00155C8F">
              <w:t>-1.10</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19950FA" w14:textId="30BC5105" w:rsidR="006E5BA6" w:rsidRPr="00492AD6" w:rsidRDefault="006E5BA6">
            <w:pPr>
              <w:pStyle w:val="TableDataEntries"/>
              <w:rPr>
                <w:color w:val="000000" w:themeColor="text1"/>
              </w:rPr>
            </w:pPr>
            <w:r w:rsidRPr="00155C8F">
              <w:t>-71.41</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1C4551F" w14:textId="2C72A3DB" w:rsidR="006E5BA6" w:rsidRPr="00492AD6" w:rsidRDefault="006E5BA6">
            <w:pPr>
              <w:pStyle w:val="TableDataEntries"/>
              <w:rPr>
                <w:color w:val="000000" w:themeColor="text1"/>
              </w:rPr>
            </w:pPr>
            <w:r w:rsidRPr="00155C8F">
              <w:t>-3.08</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40258FB" w14:textId="62ED8896" w:rsidR="006E5BA6" w:rsidRPr="00492AD6" w:rsidRDefault="006E5BA6">
            <w:pPr>
              <w:pStyle w:val="TableDataEntries"/>
              <w:rPr>
                <w:color w:val="000000" w:themeColor="text1"/>
              </w:rPr>
            </w:pPr>
            <w:r w:rsidRPr="00155C8F">
              <w:t>-52.77</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91C8366" w14:textId="37ADB649" w:rsidR="006E5BA6" w:rsidRPr="00492AD6" w:rsidRDefault="006E5BA6">
            <w:pPr>
              <w:pStyle w:val="TableDataEntries"/>
              <w:rPr>
                <w:color w:val="000000" w:themeColor="text1"/>
              </w:rPr>
            </w:pPr>
            <w:r w:rsidRPr="00155C8F">
              <w:t>-46.60</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5E9E7AD" w14:textId="3849A7F4" w:rsidR="006E5BA6" w:rsidRPr="00492AD6" w:rsidRDefault="006E5BA6">
            <w:pPr>
              <w:pStyle w:val="TableDataEntries"/>
              <w:rPr>
                <w:color w:val="000000" w:themeColor="text1"/>
              </w:rPr>
            </w:pPr>
            <w:r w:rsidRPr="00155C8F">
              <w:t>-135.51</w:t>
            </w:r>
          </w:p>
        </w:tc>
      </w:tr>
      <w:tr w:rsidR="006E5BA6" w:rsidRPr="00492AD6" w14:paraId="19E2E750" w14:textId="77777777">
        <w:trPr>
          <w:trHeight w:val="216"/>
        </w:trPr>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35850D9D" w14:textId="7AA65B9B" w:rsidR="006E5BA6" w:rsidRPr="00492AD6" w:rsidRDefault="006E5BA6">
            <w:pPr>
              <w:pStyle w:val="TableDataEntries"/>
              <w:jc w:val="left"/>
              <w:rPr>
                <w:color w:val="000000" w:themeColor="text1"/>
              </w:rPr>
            </w:pPr>
            <w:r w:rsidRPr="00155C8F">
              <w:t>C6RS</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C6804BE" w14:textId="598705C9" w:rsidR="006E5BA6" w:rsidRPr="00492AD6" w:rsidRDefault="006E5BA6">
            <w:pPr>
              <w:pStyle w:val="TableDataEntries"/>
              <w:rPr>
                <w:color w:val="000000" w:themeColor="text1"/>
              </w:rPr>
            </w:pPr>
            <w:r w:rsidRPr="00155C8F">
              <w:t>18.90</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D8ADC84" w14:textId="1144D7F7" w:rsidR="006E5BA6" w:rsidRPr="00492AD6" w:rsidRDefault="006E5BA6">
            <w:pPr>
              <w:pStyle w:val="TableDataEntries"/>
              <w:rPr>
                <w:color w:val="000000" w:themeColor="text1"/>
              </w:rPr>
            </w:pPr>
            <w:r w:rsidRPr="00155C8F">
              <w:t>4.16</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33A9894" w14:textId="292CE062" w:rsidR="006E5BA6" w:rsidRPr="00492AD6" w:rsidRDefault="006E5BA6">
            <w:pPr>
              <w:pStyle w:val="TableDataEntries"/>
              <w:rPr>
                <w:color w:val="000000" w:themeColor="text1"/>
              </w:rPr>
            </w:pPr>
            <w:r w:rsidRPr="00155C8F">
              <w:t>47.56</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9FC63CB" w14:textId="1D95224E" w:rsidR="006E5BA6" w:rsidRPr="00492AD6" w:rsidRDefault="006E5BA6">
            <w:pPr>
              <w:pStyle w:val="TableDataEntries"/>
              <w:rPr>
                <w:color w:val="000000" w:themeColor="text1"/>
              </w:rPr>
            </w:pPr>
            <w:r w:rsidRPr="00155C8F">
              <w:t>20.51</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28D5084" w14:textId="481BD5FF" w:rsidR="006E5BA6" w:rsidRPr="00492AD6" w:rsidRDefault="006E5BA6">
            <w:pPr>
              <w:pStyle w:val="TableDataEntries"/>
              <w:rPr>
                <w:color w:val="000000" w:themeColor="text1"/>
              </w:rPr>
            </w:pPr>
            <w:r w:rsidRPr="00155C8F">
              <w:t>9.38</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256B5C3" w14:textId="25B42C2B" w:rsidR="006E5BA6" w:rsidRPr="00492AD6" w:rsidRDefault="006E5BA6">
            <w:pPr>
              <w:pStyle w:val="TableDataEntries"/>
              <w:rPr>
                <w:color w:val="000000" w:themeColor="text1"/>
              </w:rPr>
            </w:pPr>
            <w:r w:rsidRPr="00155C8F">
              <w:t>-16.25</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387E391" w14:textId="3D1EFA9D" w:rsidR="006E5BA6" w:rsidRPr="00492AD6" w:rsidRDefault="006E5BA6">
            <w:pPr>
              <w:pStyle w:val="TableDataEntries"/>
              <w:rPr>
                <w:color w:val="000000" w:themeColor="text1"/>
              </w:rPr>
            </w:pPr>
            <w:r w:rsidRPr="00155C8F">
              <w:t>-21.21</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F31F077" w14:textId="400DC719" w:rsidR="006E5BA6" w:rsidRPr="00492AD6" w:rsidRDefault="006E5BA6">
            <w:pPr>
              <w:pStyle w:val="TableDataEntries"/>
              <w:rPr>
                <w:color w:val="000000" w:themeColor="text1"/>
              </w:rPr>
            </w:pPr>
            <w:r w:rsidRPr="00155C8F">
              <w:t>-34.74</w:t>
            </w:r>
          </w:p>
        </w:tc>
      </w:tr>
      <w:tr w:rsidR="006E5BA6" w:rsidRPr="00492AD6" w14:paraId="7D2F1DE4" w14:textId="77777777">
        <w:trPr>
          <w:trHeight w:val="216"/>
        </w:trPr>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30D0B8FC" w14:textId="56C8A34D" w:rsidR="006E5BA6" w:rsidRPr="00492AD6" w:rsidRDefault="006E5BA6">
            <w:pPr>
              <w:pStyle w:val="TableDataEntries"/>
              <w:jc w:val="left"/>
              <w:rPr>
                <w:color w:val="000000" w:themeColor="text1"/>
              </w:rPr>
            </w:pPr>
            <w:r w:rsidRPr="00155C8F">
              <w:t>C9A</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2557BFB" w14:textId="74FA53D0" w:rsidR="006E5BA6" w:rsidRPr="00492AD6" w:rsidRDefault="006E5BA6">
            <w:pPr>
              <w:pStyle w:val="TableDataEntries"/>
              <w:rPr>
                <w:color w:val="000000" w:themeColor="text1"/>
              </w:rPr>
            </w:pPr>
            <w:r w:rsidRPr="00155C8F">
              <w:t>-4.79</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4821D42" w14:textId="1EA62CBA" w:rsidR="006E5BA6" w:rsidRPr="00492AD6" w:rsidRDefault="006E5BA6">
            <w:pPr>
              <w:pStyle w:val="TableDataEntries"/>
              <w:rPr>
                <w:color w:val="000000" w:themeColor="text1"/>
              </w:rPr>
            </w:pPr>
            <w:r w:rsidRPr="00155C8F">
              <w:t>-4.90</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EA934FB" w14:textId="139AD9A0" w:rsidR="006E5BA6" w:rsidRPr="00492AD6" w:rsidRDefault="006E5BA6">
            <w:pPr>
              <w:pStyle w:val="TableDataEntries"/>
              <w:rPr>
                <w:color w:val="000000" w:themeColor="text1"/>
              </w:rPr>
            </w:pPr>
            <w:r w:rsidRPr="00155C8F">
              <w:t>-0.67</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C627061" w14:textId="0A101B8A" w:rsidR="006E5BA6" w:rsidRPr="00492AD6" w:rsidRDefault="006E5BA6">
            <w:pPr>
              <w:pStyle w:val="TableDataEntries"/>
              <w:rPr>
                <w:color w:val="000000" w:themeColor="text1"/>
              </w:rPr>
            </w:pPr>
            <w:r w:rsidRPr="00155C8F">
              <w:t>-5.18</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77E01FF" w14:textId="5A58812E" w:rsidR="006E5BA6" w:rsidRPr="00492AD6" w:rsidRDefault="006E5BA6">
            <w:pPr>
              <w:pStyle w:val="TableDataEntries"/>
              <w:rPr>
                <w:color w:val="000000" w:themeColor="text1"/>
              </w:rPr>
            </w:pPr>
            <w:r w:rsidRPr="00155C8F">
              <w:t>-1.51</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81F556D" w14:textId="655BE078" w:rsidR="006E5BA6" w:rsidRPr="00492AD6" w:rsidRDefault="006E5BA6">
            <w:pPr>
              <w:pStyle w:val="TableDataEntries"/>
              <w:rPr>
                <w:color w:val="000000" w:themeColor="text1"/>
              </w:rPr>
            </w:pPr>
            <w:r w:rsidRPr="00155C8F">
              <w:t>-1.78</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51CFC81" w14:textId="1714DF96" w:rsidR="006E5BA6" w:rsidRPr="00492AD6" w:rsidRDefault="006E5BA6">
            <w:pPr>
              <w:pStyle w:val="TableDataEntries"/>
              <w:rPr>
                <w:color w:val="000000" w:themeColor="text1"/>
              </w:rPr>
            </w:pPr>
            <w:r w:rsidRPr="00155C8F">
              <w:t>-2.00</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40FCCC2" w14:textId="1C426283" w:rsidR="006E5BA6" w:rsidRPr="00492AD6" w:rsidRDefault="006E5BA6">
            <w:pPr>
              <w:pStyle w:val="TableDataEntries"/>
              <w:rPr>
                <w:color w:val="000000" w:themeColor="text1"/>
              </w:rPr>
            </w:pPr>
            <w:r w:rsidRPr="00155C8F">
              <w:t>6.07</w:t>
            </w:r>
          </w:p>
        </w:tc>
      </w:tr>
      <w:tr w:rsidR="006E5BA6" w:rsidRPr="00492AD6" w14:paraId="6CFB3E84" w14:textId="77777777">
        <w:trPr>
          <w:trHeight w:val="216"/>
        </w:trPr>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39AB7DB" w14:textId="1709E121" w:rsidR="006E5BA6" w:rsidRPr="00492AD6" w:rsidRDefault="006E5BA6">
            <w:pPr>
              <w:pStyle w:val="TableDataEntries"/>
              <w:jc w:val="left"/>
              <w:rPr>
                <w:color w:val="000000" w:themeColor="text1"/>
              </w:rPr>
            </w:pPr>
            <w:r w:rsidRPr="00155C8F">
              <w:t>C9B</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18C0222" w14:textId="51E6C9C1" w:rsidR="006E5BA6" w:rsidRPr="00492AD6" w:rsidRDefault="006E5BA6">
            <w:pPr>
              <w:pStyle w:val="TableDataEntries"/>
              <w:rPr>
                <w:color w:val="000000" w:themeColor="text1"/>
              </w:rPr>
            </w:pPr>
            <w:r w:rsidRPr="00155C8F">
              <w:t>13.10</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33AA752" w14:textId="52D61417" w:rsidR="006E5BA6" w:rsidRPr="00492AD6" w:rsidRDefault="006E5BA6">
            <w:pPr>
              <w:pStyle w:val="TableDataEntries"/>
              <w:rPr>
                <w:color w:val="000000" w:themeColor="text1"/>
              </w:rPr>
            </w:pPr>
            <w:r w:rsidRPr="00155C8F">
              <w:t>31.83</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C31CDE1" w14:textId="5EAB99A0" w:rsidR="006E5BA6" w:rsidRPr="00492AD6" w:rsidRDefault="006E5BA6">
            <w:pPr>
              <w:pStyle w:val="TableDataEntries"/>
              <w:rPr>
                <w:color w:val="000000" w:themeColor="text1"/>
              </w:rPr>
            </w:pPr>
            <w:r w:rsidRPr="00155C8F">
              <w:t>16.36</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DB40973" w14:textId="1F62E60E" w:rsidR="006E5BA6" w:rsidRPr="00492AD6" w:rsidRDefault="006E5BA6">
            <w:pPr>
              <w:pStyle w:val="TableDataEntries"/>
              <w:rPr>
                <w:color w:val="000000" w:themeColor="text1"/>
              </w:rPr>
            </w:pPr>
            <w:r w:rsidRPr="00155C8F">
              <w:t>13.13</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EDB8360" w14:textId="645616F3" w:rsidR="006E5BA6" w:rsidRPr="00492AD6" w:rsidRDefault="006E5BA6">
            <w:pPr>
              <w:pStyle w:val="TableDataEntries"/>
              <w:rPr>
                <w:color w:val="000000" w:themeColor="text1"/>
              </w:rPr>
            </w:pPr>
            <w:r w:rsidRPr="00155C8F">
              <w:t>14.74</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64BEACB" w14:textId="0CA2020A" w:rsidR="006E5BA6" w:rsidRPr="00492AD6" w:rsidRDefault="006E5BA6">
            <w:pPr>
              <w:pStyle w:val="TableDataEntries"/>
              <w:rPr>
                <w:color w:val="000000" w:themeColor="text1"/>
              </w:rPr>
            </w:pPr>
            <w:r w:rsidRPr="00155C8F">
              <w:t>8.09</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97B3D65" w14:textId="0EE3A392" w:rsidR="006E5BA6" w:rsidRPr="00492AD6" w:rsidRDefault="006E5BA6">
            <w:pPr>
              <w:pStyle w:val="TableDataEntries"/>
              <w:rPr>
                <w:color w:val="000000" w:themeColor="text1"/>
              </w:rPr>
            </w:pPr>
            <w:r w:rsidRPr="00155C8F">
              <w:t>6.68</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7EF28C1" w14:textId="7907729A" w:rsidR="006E5BA6" w:rsidRPr="00492AD6" w:rsidRDefault="006E5BA6">
            <w:pPr>
              <w:pStyle w:val="TableDataEntries"/>
              <w:rPr>
                <w:color w:val="000000" w:themeColor="text1"/>
              </w:rPr>
            </w:pPr>
            <w:r w:rsidRPr="00155C8F">
              <w:t>0.67</w:t>
            </w:r>
          </w:p>
        </w:tc>
      </w:tr>
      <w:tr w:rsidR="006E5BA6" w:rsidRPr="00492AD6" w14:paraId="19401526" w14:textId="77777777">
        <w:trPr>
          <w:trHeight w:val="216"/>
        </w:trPr>
        <w:tc>
          <w:tcPr>
            <w:tcW w:w="882" w:type="dxa"/>
            <w:tcBorders>
              <w:top w:val="single" w:sz="8" w:space="0" w:color="FFFFFF" w:themeColor="background1"/>
              <w:bottom w:val="single" w:sz="6" w:space="0" w:color="6F6652"/>
            </w:tcBorders>
            <w:shd w:val="clear" w:color="auto" w:fill="E9E8E5" w:themeFill="background2"/>
            <w:noWrap/>
            <w:tcMar>
              <w:left w:w="57" w:type="dxa"/>
              <w:right w:w="57" w:type="dxa"/>
            </w:tcMar>
            <w:hideMark/>
          </w:tcPr>
          <w:p w14:paraId="7D9A35F3" w14:textId="32C6385C" w:rsidR="006E5BA6" w:rsidRPr="00492AD6" w:rsidRDefault="006E5BA6">
            <w:pPr>
              <w:pStyle w:val="TableDataEntries"/>
              <w:jc w:val="left"/>
              <w:rPr>
                <w:color w:val="000000" w:themeColor="text1"/>
              </w:rPr>
            </w:pPr>
            <w:r w:rsidRPr="00155C8F">
              <w:t>C9C</w:t>
            </w:r>
            <w:r w:rsidR="001E40F8" w:rsidRPr="00492AD6">
              <w:rPr>
                <w:rStyle w:val="NoteLabel"/>
                <w:color w:val="000000" w:themeColor="text1"/>
              </w:rPr>
              <w:t xml:space="preserve"> a</w:t>
            </w:r>
          </w:p>
        </w:tc>
        <w:tc>
          <w:tcPr>
            <w:tcW w:w="882"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2014AFFA" w14:textId="028A8E99" w:rsidR="006E5BA6" w:rsidRPr="00492AD6" w:rsidRDefault="006E5BA6">
            <w:pPr>
              <w:pStyle w:val="TableDataEntries"/>
              <w:rPr>
                <w:color w:val="000000" w:themeColor="text1"/>
              </w:rPr>
            </w:pPr>
            <w:r w:rsidRPr="00155C8F">
              <w:t>-26.34</w:t>
            </w:r>
          </w:p>
        </w:tc>
        <w:tc>
          <w:tcPr>
            <w:tcW w:w="882"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54AFD7AB" w14:textId="79EE09FF" w:rsidR="006E5BA6" w:rsidRPr="00492AD6" w:rsidRDefault="006E5BA6">
            <w:pPr>
              <w:pStyle w:val="TableDataEntries"/>
              <w:rPr>
                <w:color w:val="000000" w:themeColor="text1"/>
              </w:rPr>
            </w:pPr>
            <w:r w:rsidRPr="00155C8F">
              <w:t>26.64</w:t>
            </w:r>
          </w:p>
        </w:tc>
        <w:tc>
          <w:tcPr>
            <w:tcW w:w="882"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78F1B0C1" w14:textId="42E6206D" w:rsidR="006E5BA6" w:rsidRPr="00492AD6" w:rsidRDefault="006E5BA6">
            <w:pPr>
              <w:pStyle w:val="TableDataEntries"/>
              <w:rPr>
                <w:color w:val="000000" w:themeColor="text1"/>
              </w:rPr>
            </w:pPr>
            <w:r w:rsidRPr="00155C8F">
              <w:t>-3.44</w:t>
            </w:r>
          </w:p>
        </w:tc>
        <w:tc>
          <w:tcPr>
            <w:tcW w:w="882"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6B16E30F" w14:textId="163D2AA5" w:rsidR="006E5BA6" w:rsidRPr="00492AD6" w:rsidRDefault="006E5BA6">
            <w:pPr>
              <w:pStyle w:val="TableDataEntries"/>
              <w:rPr>
                <w:color w:val="000000" w:themeColor="text1"/>
              </w:rPr>
            </w:pPr>
            <w:r w:rsidRPr="00155C8F">
              <w:t>31.62</w:t>
            </w:r>
          </w:p>
        </w:tc>
        <w:tc>
          <w:tcPr>
            <w:tcW w:w="882"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68119588" w14:textId="7E215D0B" w:rsidR="006E5BA6" w:rsidRPr="00492AD6" w:rsidRDefault="006E5BA6">
            <w:pPr>
              <w:pStyle w:val="TableDataEntries"/>
              <w:rPr>
                <w:color w:val="000000" w:themeColor="text1"/>
              </w:rPr>
            </w:pPr>
            <w:r w:rsidRPr="00155C8F">
              <w:t>10.58</w:t>
            </w:r>
          </w:p>
        </w:tc>
        <w:tc>
          <w:tcPr>
            <w:tcW w:w="882"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05A26F95" w14:textId="2733BCBB" w:rsidR="006E5BA6" w:rsidRPr="00492AD6" w:rsidRDefault="006E5BA6">
            <w:pPr>
              <w:pStyle w:val="TableDataEntries"/>
              <w:rPr>
                <w:color w:val="000000" w:themeColor="text1"/>
              </w:rPr>
            </w:pPr>
            <w:r w:rsidRPr="00155C8F">
              <w:t>77.30</w:t>
            </w:r>
          </w:p>
        </w:tc>
        <w:tc>
          <w:tcPr>
            <w:tcW w:w="882"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439F4D31" w14:textId="42FBF0FB" w:rsidR="006E5BA6" w:rsidRPr="00492AD6" w:rsidRDefault="006E5BA6">
            <w:pPr>
              <w:pStyle w:val="TableDataEntries"/>
              <w:rPr>
                <w:color w:val="000000" w:themeColor="text1"/>
              </w:rPr>
            </w:pPr>
            <w:r w:rsidRPr="00155C8F">
              <w:t>7.41</w:t>
            </w:r>
          </w:p>
        </w:tc>
        <w:tc>
          <w:tcPr>
            <w:tcW w:w="882"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51613521" w14:textId="1F23E459" w:rsidR="006E5BA6" w:rsidRPr="00492AD6" w:rsidRDefault="006E5BA6">
            <w:pPr>
              <w:pStyle w:val="TableDataEntries"/>
              <w:rPr>
                <w:color w:val="000000" w:themeColor="text1"/>
              </w:rPr>
            </w:pPr>
            <w:r w:rsidRPr="00155C8F">
              <w:t>-31.28</w:t>
            </w:r>
          </w:p>
        </w:tc>
      </w:tr>
    </w:tbl>
    <w:p w14:paraId="4A780455" w14:textId="77777777" w:rsidR="006E5BA6" w:rsidRPr="00492AD6" w:rsidRDefault="006E5BA6" w:rsidP="006E5BA6">
      <w:pPr>
        <w:pStyle w:val="Note"/>
        <w:rPr>
          <w:color w:val="000000" w:themeColor="text1"/>
        </w:rPr>
      </w:pPr>
      <w:r w:rsidRPr="00492AD6">
        <w:rPr>
          <w:rStyle w:val="NoteLabel"/>
          <w:color w:val="000000" w:themeColor="text1"/>
        </w:rPr>
        <w:t>a</w:t>
      </w:r>
      <w:r w:rsidRPr="00492AD6">
        <w:rPr>
          <w:color w:val="000000" w:themeColor="text1"/>
        </w:rPr>
        <w:t xml:space="preserve"> Aged care facility (C9C) is modelled by DeltaQ as a small hospital (C9AS) because aged care building had very short HVAC running hours according to NCC 2022 schedules so wasn't an appropriate test bed.</w:t>
      </w:r>
    </w:p>
    <w:p w14:paraId="794B0D30" w14:textId="77777777" w:rsidR="006E5BA6" w:rsidRPr="00492AD6" w:rsidRDefault="006E5BA6" w:rsidP="006E5BA6">
      <w:pPr>
        <w:pStyle w:val="Note"/>
        <w:rPr>
          <w:color w:val="000000" w:themeColor="text1"/>
          <w:lang w:bidi="fa-IR"/>
        </w:rPr>
      </w:pPr>
      <w:r w:rsidRPr="00492AD6">
        <w:rPr>
          <w:i/>
          <w:color w:val="000000" w:themeColor="text1"/>
        </w:rPr>
        <w:t>Note:</w:t>
      </w:r>
      <w:r w:rsidRPr="00492AD6">
        <w:rPr>
          <w:color w:val="000000" w:themeColor="text1"/>
        </w:rPr>
        <w:t xml:space="preserve"> A positive number indicates that costs are estimated to be lower under proposed changes (i.e. a benefit). A negative number indicates that capital</w:t>
      </w:r>
      <w:r w:rsidRPr="00492AD6">
        <w:rPr>
          <w:color w:val="000000" w:themeColor="text1"/>
        </w:rPr>
        <w:noBreakHyphen/>
        <w:t>related costs are estimated to be higher under the proposed changes (i.e. a cost).</w:t>
      </w:r>
    </w:p>
    <w:p w14:paraId="4F45E23F" w14:textId="77777777" w:rsidR="006E5BA6" w:rsidRPr="00492AD6" w:rsidRDefault="006E5BA6" w:rsidP="006E5BA6">
      <w:pPr>
        <w:pStyle w:val="Source"/>
        <w:rPr>
          <w:color w:val="000000" w:themeColor="text1"/>
          <w:lang w:bidi="fa-IR"/>
        </w:rPr>
      </w:pPr>
      <w:r w:rsidRPr="00492AD6">
        <w:rPr>
          <w:i/>
          <w:color w:val="000000" w:themeColor="text1"/>
          <w:lang w:bidi="fa-IR"/>
        </w:rPr>
        <w:t>Source:</w:t>
      </w:r>
      <w:r w:rsidRPr="00492AD6">
        <w:rPr>
          <w:color w:val="000000" w:themeColor="text1"/>
          <w:lang w:bidi="fa-IR"/>
        </w:rPr>
        <w:t xml:space="preserve"> DeltaQ modelling, CIE.</w:t>
      </w:r>
    </w:p>
    <w:p w14:paraId="470575CF" w14:textId="77777777" w:rsidR="006E5BA6" w:rsidRPr="00844A6E" w:rsidRDefault="006E5BA6" w:rsidP="006E5BA6">
      <w:pPr>
        <w:pStyle w:val="BodyText"/>
        <w:rPr>
          <w:szCs w:val="22"/>
          <w:lang w:eastAsia="en-US" w:bidi="fa-IR"/>
        </w:rPr>
      </w:pPr>
      <w:r w:rsidRPr="00844A6E">
        <w:rPr>
          <w:szCs w:val="22"/>
          <w:lang w:eastAsia="en-US" w:bidi="fa-IR"/>
        </w:rPr>
        <w:t>A positive number in the table indicates that costs are estimated to be lower under proposed changes compared to the reference case. As shown in the table, there exist capital cost reductions associated with higher energy efficiency stringency requirements for many cases. These peculiar results are due to the following factors:</w:t>
      </w:r>
    </w:p>
    <w:p w14:paraId="378567C2" w14:textId="77777777" w:rsidR="006E5BA6" w:rsidRPr="00723BFF" w:rsidRDefault="006E5BA6" w:rsidP="006E5BA6">
      <w:pPr>
        <w:pStyle w:val="ListBullet"/>
        <w:tabs>
          <w:tab w:val="num" w:pos="709"/>
        </w:tabs>
      </w:pPr>
      <w:r w:rsidRPr="00723BFF">
        <w:t>to a large extent the capital cost savings are due to smaller HVAC equipment sizes which are in turn a result of better (more energy efficient) building envelopes</w:t>
      </w:r>
    </w:p>
    <w:p w14:paraId="13EA43FD" w14:textId="77777777" w:rsidR="006E5BA6" w:rsidRPr="00723BFF" w:rsidRDefault="006E5BA6" w:rsidP="006E5BA6">
      <w:pPr>
        <w:pStyle w:val="ListBullet"/>
        <w:tabs>
          <w:tab w:val="num" w:pos="709"/>
        </w:tabs>
      </w:pPr>
      <w:r w:rsidRPr="00723BFF">
        <w:rPr>
          <w:rFonts w:eastAsia="SimSun"/>
        </w:rPr>
        <w:t>improvements in the Code, for example:</w:t>
      </w:r>
    </w:p>
    <w:p w14:paraId="1D3EF177" w14:textId="77777777" w:rsidR="006E5BA6" w:rsidRPr="00844A6E" w:rsidRDefault="006E5BA6" w:rsidP="006E5BA6">
      <w:pPr>
        <w:pStyle w:val="ListBullet"/>
        <w:numPr>
          <w:ilvl w:val="1"/>
          <w:numId w:val="34"/>
        </w:numPr>
        <w:rPr>
          <w:szCs w:val="22"/>
          <w:lang w:eastAsia="en-US" w:bidi="fa-IR"/>
        </w:rPr>
      </w:pPr>
      <w:r w:rsidRPr="00844A6E">
        <w:rPr>
          <w:szCs w:val="22"/>
          <w:lang w:eastAsia="en-US" w:bidi="fa-IR"/>
        </w:rPr>
        <w:t xml:space="preserve">clarifying the definition of building envelope to avoid having to install insulation in internal walls </w:t>
      </w:r>
    </w:p>
    <w:p w14:paraId="12C230AF" w14:textId="77777777" w:rsidR="006E5BA6" w:rsidRPr="00844A6E" w:rsidRDefault="006E5BA6" w:rsidP="006E5BA6">
      <w:pPr>
        <w:pStyle w:val="ListBullet"/>
        <w:numPr>
          <w:ilvl w:val="1"/>
          <w:numId w:val="34"/>
        </w:numPr>
        <w:rPr>
          <w:szCs w:val="22"/>
          <w:lang w:eastAsia="en-US" w:bidi="fa-IR"/>
        </w:rPr>
      </w:pPr>
      <w:r w:rsidRPr="00844A6E">
        <w:rPr>
          <w:szCs w:val="22"/>
          <w:lang w:eastAsia="en-US" w:bidi="fa-IR"/>
        </w:rPr>
        <w:t>relaxation of external wall-glazing U-Value requirements in some building classifications and climate zones.</w:t>
      </w:r>
    </w:p>
    <w:p w14:paraId="3ED263DE" w14:textId="77777777" w:rsidR="006E5BA6" w:rsidRPr="00723BFF" w:rsidRDefault="006E5BA6" w:rsidP="006E5BA6">
      <w:pPr>
        <w:pStyle w:val="ListBullet"/>
        <w:tabs>
          <w:tab w:val="num" w:pos="709"/>
        </w:tabs>
      </w:pPr>
      <w:r w:rsidRPr="00723BFF">
        <w:t xml:space="preserve">some preference changes in glazing selections (i.e. selecting darker windows in the policy case than the base case). </w:t>
      </w:r>
    </w:p>
    <w:p w14:paraId="284E21A1" w14:textId="77777777" w:rsidR="006E5BA6" w:rsidRDefault="006E5BA6" w:rsidP="006E5BA6">
      <w:pPr>
        <w:pStyle w:val="BodyText"/>
        <w:rPr>
          <w:szCs w:val="22"/>
          <w:lang w:eastAsia="en-US" w:bidi="fa-IR"/>
        </w:rPr>
      </w:pPr>
      <w:r w:rsidRPr="00844A6E">
        <w:rPr>
          <w:szCs w:val="22"/>
          <w:lang w:eastAsia="en-US" w:bidi="fa-IR"/>
        </w:rPr>
        <w:t>The magnitude of the impacts of these factors may vary across different cost items for different archetypes and climate zones, leading to different total impacts.</w:t>
      </w:r>
    </w:p>
    <w:p w14:paraId="586CD921" w14:textId="77777777" w:rsidR="006E5BA6" w:rsidRDefault="006E5BA6" w:rsidP="006E5BA6">
      <w:pPr>
        <w:pStyle w:val="Heading2"/>
        <w:rPr>
          <w:lang w:bidi="fa-IR"/>
        </w:rPr>
      </w:pPr>
      <w:bookmarkStart w:id="2084" w:name="_Toc177735107"/>
      <w:bookmarkStart w:id="2085" w:name="_Toc178292541"/>
      <w:r>
        <w:rPr>
          <w:lang w:bidi="fa-IR"/>
        </w:rPr>
        <w:t>Stringency Level 2: Cost-effective energy efficiency standards with mandated on-site PV</w:t>
      </w:r>
      <w:bookmarkEnd w:id="2084"/>
      <w:bookmarkEnd w:id="2085"/>
    </w:p>
    <w:p w14:paraId="62D2B74E" w14:textId="77777777" w:rsidR="006E5BA6" w:rsidRPr="00844A6E" w:rsidRDefault="006E5BA6" w:rsidP="006E5BA6">
      <w:pPr>
        <w:pStyle w:val="BodyText"/>
        <w:rPr>
          <w:szCs w:val="22"/>
          <w:lang w:bidi="fa-IR"/>
        </w:rPr>
      </w:pPr>
      <w:r w:rsidRPr="00844A6E">
        <w:rPr>
          <w:szCs w:val="22"/>
          <w:lang w:bidi="fa-IR"/>
        </w:rPr>
        <w:t>Stringency Level 2 involves the same measures to increase the stringency of the minimum energy efficiency standards as for Stringency Level 1, plus a mandatory requirement for rooftop solar.</w:t>
      </w:r>
    </w:p>
    <w:p w14:paraId="48CF0FE4" w14:textId="77777777" w:rsidR="006E5BA6" w:rsidRDefault="006E5BA6" w:rsidP="006E5BA6">
      <w:pPr>
        <w:pStyle w:val="Heading3"/>
        <w:rPr>
          <w:lang w:bidi="fa-IR"/>
        </w:rPr>
      </w:pPr>
      <w:r>
        <w:rPr>
          <w:lang w:bidi="fa-IR"/>
        </w:rPr>
        <w:t>Modelled changes in energy consumption and emissions</w:t>
      </w:r>
    </w:p>
    <w:p w14:paraId="4AA16E87" w14:textId="676472D3" w:rsidR="006E5BA6" w:rsidRDefault="006E5BA6" w:rsidP="006E5BA6">
      <w:pPr>
        <w:pStyle w:val="BodyText"/>
        <w:rPr>
          <w:szCs w:val="22"/>
          <w:lang w:bidi="fa-IR"/>
        </w:rPr>
      </w:pPr>
      <w:r w:rsidRPr="00844A6E">
        <w:rPr>
          <w:szCs w:val="22"/>
          <w:lang w:bidi="fa-IR"/>
        </w:rPr>
        <w:t>The modelled energy savings under Stringency Level 2 are summarised in table </w:t>
      </w:r>
      <w:r>
        <w:rPr>
          <w:szCs w:val="22"/>
          <w:lang w:bidi="fa-IR"/>
        </w:rPr>
        <w:fldChar w:fldCharType="begin"/>
      </w:r>
      <w:r>
        <w:rPr>
          <w:szCs w:val="22"/>
          <w:lang w:bidi="fa-IR"/>
        </w:rPr>
        <w:instrText xml:space="preserve"> REF _Caption3507 </w:instrText>
      </w:r>
      <w:r>
        <w:rPr>
          <w:szCs w:val="22"/>
          <w:lang w:bidi="fa-IR"/>
        </w:rPr>
        <w:fldChar w:fldCharType="separate"/>
      </w:r>
      <w:r w:rsidR="006E00A7">
        <w:rPr>
          <w:noProof/>
        </w:rPr>
        <w:t>6</w:t>
      </w:r>
      <w:r w:rsidR="006E00A7" w:rsidRPr="006F0F88">
        <w:rPr>
          <w:noProof/>
        </w:rPr>
        <w:t>.</w:t>
      </w:r>
      <w:r w:rsidR="006E00A7">
        <w:rPr>
          <w:noProof/>
        </w:rPr>
        <w:t>6</w:t>
      </w:r>
      <w:r>
        <w:rPr>
          <w:szCs w:val="22"/>
          <w:lang w:bidi="fa-IR"/>
        </w:rPr>
        <w:fldChar w:fldCharType="end"/>
      </w:r>
      <w:r w:rsidRPr="00844A6E">
        <w:rPr>
          <w:szCs w:val="22"/>
          <w:lang w:bidi="fa-IR"/>
        </w:rPr>
        <w:t xml:space="preserve">. Compared with Stringency Level 1, less electricity from the grid is consumed and during some periods, some of the excess electricity generated is exported to the grid. </w:t>
      </w:r>
    </w:p>
    <w:p w14:paraId="2E19FC92" w14:textId="5E00869F" w:rsidR="006E5BA6" w:rsidRPr="006F0F88" w:rsidRDefault="006E5BA6" w:rsidP="006E5BA6">
      <w:pPr>
        <w:pStyle w:val="Caption"/>
        <w:rPr>
          <w:rFonts w:eastAsia="SimSun"/>
        </w:rPr>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E136D5">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136D5">
          <w:rPr>
            <w:noProof/>
          </w:rPr>
          <w:instrText>6</w:instrText>
        </w:r>
      </w:fldSimple>
      <w:r w:rsidRPr="006F0F88">
        <w:instrText xml:space="preserve"> = 0 "" "</w:instrText>
      </w:r>
      <w:fldSimple w:instr=" STYLEREF &quot;Heading 1&quot; \l \n ">
        <w:r w:rsidR="00E136D5">
          <w:rPr>
            <w:noProof/>
          </w:rPr>
          <w:instrText>6</w:instrText>
        </w:r>
      </w:fldSimple>
      <w:r w:rsidRPr="006F0F88">
        <w:instrText xml:space="preserve">." </w:instrText>
      </w:r>
      <w:r w:rsidRPr="006F0F88">
        <w:fldChar w:fldCharType="separate"/>
      </w:r>
      <w:r w:rsidR="00E136D5">
        <w:rPr>
          <w:noProof/>
        </w:rPr>
        <w:instrText>6</w:instrText>
      </w:r>
      <w:r w:rsidR="00E136D5"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6</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E136D5">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136D5">
          <w:rPr>
            <w:noProof/>
          </w:rPr>
          <w:instrText>6</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E136D5">
        <w:rPr>
          <w:noProof/>
        </w:rPr>
        <w:instrText>6</w:instrText>
      </w:r>
      <w:r w:rsidRPr="006F0F88">
        <w:fldChar w:fldCharType="end"/>
      </w:r>
      <w:r w:rsidRPr="006F0F88">
        <w:instrText xml:space="preserve">" "" </w:instrText>
      </w:r>
      <w:r w:rsidRPr="006F0F88">
        <w:fldChar w:fldCharType="separate"/>
      </w:r>
      <w:bookmarkStart w:id="2086" w:name="_Caption2387"/>
      <w:bookmarkStart w:id="2087" w:name="_Caption5297"/>
      <w:bookmarkStart w:id="2088" w:name="_Caption0447"/>
      <w:bookmarkStart w:id="2089" w:name="_Caption1555"/>
      <w:bookmarkStart w:id="2090" w:name="_Caption1908"/>
      <w:bookmarkStart w:id="2091" w:name="_Caption9138"/>
      <w:bookmarkStart w:id="2092" w:name="_Caption9827"/>
      <w:bookmarkStart w:id="2093" w:name="_Caption9806"/>
      <w:bookmarkStart w:id="2094" w:name="_Caption4486"/>
      <w:bookmarkStart w:id="2095" w:name="_Caption1005"/>
      <w:bookmarkStart w:id="2096" w:name="_Caption9738"/>
      <w:bookmarkStart w:id="2097" w:name="_Caption1505"/>
      <w:bookmarkStart w:id="2098" w:name="_Caption7989"/>
      <w:bookmarkStart w:id="2099" w:name="_Caption9810"/>
      <w:bookmarkStart w:id="2100" w:name="_Caption1721"/>
      <w:bookmarkStart w:id="2101" w:name="_Caption5694"/>
      <w:bookmarkStart w:id="2102" w:name="_Caption4362"/>
      <w:bookmarkStart w:id="2103" w:name="_Caption1293"/>
      <w:bookmarkStart w:id="2104" w:name="_Caption7441"/>
      <w:bookmarkStart w:id="2105" w:name="_Caption0811"/>
      <w:bookmarkStart w:id="2106" w:name="_Caption7169"/>
      <w:bookmarkStart w:id="2107" w:name="_Caption8884"/>
      <w:bookmarkStart w:id="2108" w:name="_Caption2033"/>
      <w:bookmarkStart w:id="2109" w:name="_Caption9425"/>
      <w:bookmarkStart w:id="2110" w:name="_Caption3498"/>
      <w:bookmarkStart w:id="2111" w:name="_Caption7416"/>
      <w:bookmarkStart w:id="2112" w:name="_Caption4872"/>
      <w:bookmarkStart w:id="2113" w:name="_Caption4501"/>
      <w:bookmarkStart w:id="2114" w:name="_Caption6094"/>
      <w:bookmarkStart w:id="2115" w:name="_Caption3781"/>
      <w:bookmarkStart w:id="2116" w:name="_Caption6413"/>
      <w:bookmarkStart w:id="2117" w:name="_Caption1031"/>
      <w:bookmarkStart w:id="2118" w:name="_Caption5953"/>
      <w:bookmarkStart w:id="2119" w:name="_Caption0910"/>
      <w:bookmarkStart w:id="2120" w:name="_Caption1044"/>
      <w:bookmarkStart w:id="2121" w:name="_Caption9190"/>
      <w:bookmarkStart w:id="2122" w:name="_Caption0787"/>
      <w:bookmarkStart w:id="2123" w:name="_Caption9513"/>
      <w:bookmarkStart w:id="2124" w:name="_Caption3934"/>
      <w:bookmarkStart w:id="2125" w:name="_Caption3899"/>
      <w:bookmarkStart w:id="2126" w:name="_Caption9887"/>
      <w:bookmarkStart w:id="2127" w:name="_Caption3507"/>
      <w:bookmarkStart w:id="2128" w:name="_Caption6022"/>
      <w:bookmarkStart w:id="2129" w:name="_Caption4749"/>
      <w:bookmarkStart w:id="2130" w:name="_Caption1066"/>
      <w:bookmarkStart w:id="2131" w:name="_Caption7792"/>
      <w:bookmarkStart w:id="2132" w:name="_Caption3327"/>
      <w:bookmarkStart w:id="2133" w:name="_Caption9553"/>
      <w:bookmarkStart w:id="2134" w:name="_Caption2792"/>
      <w:bookmarkStart w:id="2135" w:name="_Caption6493"/>
      <w:bookmarkStart w:id="2136" w:name="_Caption5657"/>
      <w:bookmarkStart w:id="2137" w:name="_Caption3240"/>
      <w:bookmarkStart w:id="2138" w:name="_Caption5829"/>
      <w:bookmarkStart w:id="2139" w:name="_Caption2282"/>
      <w:bookmarkStart w:id="2140" w:name="_Caption4387"/>
      <w:bookmarkStart w:id="2141" w:name="_Caption6110"/>
      <w:bookmarkStart w:id="2142" w:name="_Caption5588"/>
      <w:bookmarkStart w:id="2143" w:name="_Caption4217"/>
      <w:bookmarkStart w:id="2144" w:name="_Caption8533"/>
      <w:bookmarkStart w:id="2145" w:name="_Caption1141"/>
      <w:bookmarkStart w:id="2146" w:name="_Caption0956"/>
      <w:bookmarkStart w:id="2147" w:name="_Caption6272"/>
      <w:bookmarkStart w:id="2148" w:name="_Caption1271"/>
      <w:bookmarkStart w:id="2149" w:name="_Caption0851"/>
      <w:bookmarkStart w:id="2150" w:name="_Caption4446"/>
      <w:bookmarkStart w:id="2151" w:name="_Caption7506"/>
      <w:bookmarkStart w:id="2152" w:name="_Caption2731"/>
      <w:bookmarkStart w:id="2153" w:name="_Caption7477"/>
      <w:bookmarkStart w:id="2154" w:name="_Caption2810"/>
      <w:bookmarkStart w:id="2155" w:name="_Caption4752"/>
      <w:bookmarkStart w:id="2156" w:name="_Caption8021"/>
      <w:bookmarkStart w:id="2157" w:name="_Caption7035"/>
      <w:bookmarkStart w:id="2158" w:name="_Caption4935"/>
      <w:bookmarkStart w:id="2159" w:name="_Caption8161"/>
      <w:bookmarkStart w:id="2160" w:name="_Caption0234"/>
      <w:bookmarkStart w:id="2161" w:name="_Caption1855"/>
      <w:bookmarkStart w:id="2162" w:name="_Caption5578"/>
      <w:bookmarkStart w:id="2163" w:name="_Caption0848"/>
      <w:bookmarkStart w:id="2164" w:name="_Caption2839"/>
      <w:bookmarkStart w:id="2165" w:name="_Caption6922"/>
      <w:bookmarkStart w:id="2166" w:name="_Caption3288"/>
      <w:bookmarkStart w:id="2167" w:name="_Caption0302"/>
      <w:bookmarkStart w:id="2168" w:name="_Caption9472"/>
      <w:bookmarkStart w:id="2169" w:name="_Caption2054"/>
      <w:bookmarkStart w:id="2170" w:name="_Caption7595"/>
      <w:bookmarkStart w:id="2171" w:name="_Caption2548"/>
      <w:bookmarkStart w:id="2172" w:name="_Caption9304"/>
      <w:bookmarkStart w:id="2173" w:name="_Caption1369"/>
      <w:bookmarkStart w:id="2174" w:name="_Caption2476"/>
      <w:bookmarkStart w:id="2175" w:name="_Caption6863"/>
      <w:bookmarkStart w:id="2176" w:name="_Caption2295"/>
      <w:bookmarkStart w:id="2177" w:name="_Caption2372"/>
      <w:bookmarkStart w:id="2178" w:name="_Caption8158"/>
      <w:bookmarkStart w:id="2179" w:name="_Caption6283"/>
      <w:bookmarkStart w:id="2180" w:name="_Caption6753"/>
      <w:bookmarkStart w:id="2181" w:name="_Caption6781"/>
      <w:bookmarkStart w:id="2182" w:name="_Caption9515"/>
      <w:bookmarkStart w:id="2183" w:name="_Caption2909"/>
      <w:bookmarkStart w:id="2184" w:name="_Caption6902"/>
      <w:bookmarkStart w:id="2185" w:name="_Caption8791"/>
      <w:bookmarkStart w:id="2186" w:name="_Caption5766"/>
      <w:bookmarkStart w:id="2187" w:name="_Caption3504"/>
      <w:bookmarkStart w:id="2188" w:name="_Caption5801"/>
      <w:bookmarkStart w:id="2189" w:name="_Caption0224"/>
      <w:bookmarkStart w:id="2190" w:name="_Caption4086"/>
      <w:bookmarkStart w:id="2191" w:name="_Caption7999"/>
      <w:bookmarkStart w:id="2192" w:name="_Caption2030"/>
      <w:bookmarkStart w:id="2193" w:name="_Caption3969"/>
      <w:bookmarkStart w:id="2194" w:name="_Caption6597"/>
      <w:bookmarkStart w:id="2195" w:name="_Caption2308"/>
      <w:bookmarkStart w:id="2196" w:name="_Caption8997"/>
      <w:bookmarkStart w:id="2197" w:name="_Caption1764"/>
      <w:bookmarkStart w:id="2198" w:name="_Caption8189"/>
      <w:bookmarkStart w:id="2199" w:name="_Caption8228"/>
      <w:bookmarkStart w:id="2200" w:name="_Caption6154"/>
      <w:bookmarkStart w:id="2201" w:name="_Caption4530"/>
      <w:bookmarkStart w:id="2202" w:name="_Caption8322"/>
      <w:bookmarkStart w:id="2203" w:name="_Caption6619"/>
      <w:bookmarkStart w:id="2204" w:name="_Caption2263"/>
      <w:bookmarkStart w:id="2205" w:name="_Caption5592"/>
      <w:bookmarkStart w:id="2206" w:name="_Caption8384"/>
      <w:bookmarkStart w:id="2207" w:name="_Caption0431"/>
      <w:bookmarkStart w:id="2208" w:name="_Caption7934"/>
      <w:bookmarkStart w:id="2209" w:name="_Caption1554"/>
      <w:bookmarkStart w:id="2210" w:name="_Caption3807"/>
      <w:bookmarkStart w:id="2211" w:name="_Caption8916"/>
      <w:bookmarkStart w:id="2212" w:name="_Caption1564"/>
      <w:bookmarkStart w:id="2213" w:name="_Toc177735163"/>
      <w:bookmarkStart w:id="2214" w:name="_Toc178292593"/>
      <w:r w:rsidR="008C60A3">
        <w:rPr>
          <w:noProof/>
        </w:rPr>
        <w:t>6</w:t>
      </w:r>
      <w:r w:rsidR="008C60A3" w:rsidRPr="006F0F88">
        <w:rPr>
          <w:noProof/>
        </w:rPr>
        <w:t>.</w:t>
      </w:r>
      <w:r w:rsidR="008C60A3">
        <w:rPr>
          <w:noProof/>
        </w:rPr>
        <w:t>6</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r w:rsidRPr="006F0F88">
        <w:fldChar w:fldCharType="end"/>
      </w:r>
      <w:r w:rsidRPr="006F0F88">
        <w:tab/>
        <w:t>Modelled energy consumption and emissions change – Stringency Level 2</w:t>
      </w:r>
      <w:bookmarkEnd w:id="2213"/>
      <w:bookmarkEnd w:id="2214"/>
    </w:p>
    <w:tbl>
      <w:tblPr>
        <w:tblW w:w="7937" w:type="dxa"/>
        <w:tblLook w:val="04A0" w:firstRow="1" w:lastRow="0" w:firstColumn="1" w:lastColumn="0" w:noHBand="0" w:noVBand="1"/>
        <w:tblCaption w:val="Table 5.5"/>
        <w:tblDescription w:val="Modelled energy consumption and emissions change – Stringency Level 2"/>
      </w:tblPr>
      <w:tblGrid>
        <w:gridCol w:w="937"/>
        <w:gridCol w:w="875"/>
        <w:gridCol w:w="875"/>
        <w:gridCol w:w="875"/>
        <w:gridCol w:w="875"/>
        <w:gridCol w:w="875"/>
        <w:gridCol w:w="875"/>
        <w:gridCol w:w="875"/>
        <w:gridCol w:w="875"/>
      </w:tblGrid>
      <w:tr w:rsidR="006E5BA6" w:rsidRPr="00CF1166" w14:paraId="2CEFF089" w14:textId="77777777">
        <w:trPr>
          <w:trHeight w:val="252"/>
          <w:tblHeader/>
        </w:trPr>
        <w:tc>
          <w:tcPr>
            <w:tcW w:w="937" w:type="dxa"/>
            <w:shd w:val="clear" w:color="auto" w:fill="6F6652"/>
            <w:noWrap/>
            <w:tcMar>
              <w:left w:w="57" w:type="dxa"/>
              <w:right w:w="57" w:type="dxa"/>
            </w:tcMar>
            <w:hideMark/>
          </w:tcPr>
          <w:p w14:paraId="35FB4A7A" w14:textId="77777777" w:rsidR="006E5BA6" w:rsidRPr="00CF1166" w:rsidRDefault="006E5BA6">
            <w:pPr>
              <w:pStyle w:val="TableDataColumnHeading"/>
              <w:jc w:val="left"/>
            </w:pPr>
            <w:r>
              <w:t>Fuel or emissions</w:t>
            </w:r>
          </w:p>
        </w:tc>
        <w:tc>
          <w:tcPr>
            <w:tcW w:w="875" w:type="dxa"/>
            <w:shd w:val="clear" w:color="auto" w:fill="6F6652"/>
            <w:noWrap/>
            <w:tcMar>
              <w:left w:w="57" w:type="dxa"/>
              <w:right w:w="57" w:type="dxa"/>
            </w:tcMar>
            <w:hideMark/>
          </w:tcPr>
          <w:p w14:paraId="0464F135" w14:textId="77777777" w:rsidR="006E5BA6" w:rsidRDefault="006E5BA6">
            <w:pPr>
              <w:pStyle w:val="TableDataColumnHeading"/>
              <w:rPr>
                <w:sz w:val="18"/>
              </w:rPr>
            </w:pPr>
            <w:r w:rsidRPr="00611528">
              <w:rPr>
                <w:sz w:val="18"/>
              </w:rPr>
              <w:t>CZ1</w:t>
            </w:r>
          </w:p>
          <w:p w14:paraId="2F862B4A" w14:textId="77777777" w:rsidR="006E5BA6" w:rsidRPr="00611528" w:rsidRDefault="006E5BA6">
            <w:pPr>
              <w:pStyle w:val="TableDataColumnHeading"/>
              <w:rPr>
                <w:sz w:val="18"/>
              </w:rPr>
            </w:pPr>
            <w:r>
              <w:rPr>
                <w:sz w:val="18"/>
              </w:rPr>
              <w:t>(%)</w:t>
            </w:r>
          </w:p>
        </w:tc>
        <w:tc>
          <w:tcPr>
            <w:tcW w:w="875" w:type="dxa"/>
            <w:shd w:val="clear" w:color="auto" w:fill="6F6652"/>
            <w:noWrap/>
            <w:tcMar>
              <w:left w:w="57" w:type="dxa"/>
              <w:right w:w="57" w:type="dxa"/>
            </w:tcMar>
            <w:hideMark/>
          </w:tcPr>
          <w:p w14:paraId="49376FBA" w14:textId="77777777" w:rsidR="006E5BA6" w:rsidRDefault="006E5BA6">
            <w:pPr>
              <w:pStyle w:val="TableDataColumnHeading"/>
              <w:rPr>
                <w:sz w:val="18"/>
              </w:rPr>
            </w:pPr>
            <w:r w:rsidRPr="00611528">
              <w:rPr>
                <w:sz w:val="18"/>
              </w:rPr>
              <w:t>CZ</w:t>
            </w:r>
            <w:r>
              <w:rPr>
                <w:sz w:val="18"/>
              </w:rPr>
              <w:t>2</w:t>
            </w:r>
          </w:p>
          <w:p w14:paraId="6EC61519" w14:textId="77777777" w:rsidR="006E5BA6" w:rsidRPr="00611528" w:rsidRDefault="006E5BA6">
            <w:pPr>
              <w:pStyle w:val="TableDataColumnHeading"/>
              <w:rPr>
                <w:sz w:val="18"/>
              </w:rPr>
            </w:pPr>
            <w:r>
              <w:rPr>
                <w:sz w:val="18"/>
              </w:rPr>
              <w:t>(%)</w:t>
            </w:r>
          </w:p>
        </w:tc>
        <w:tc>
          <w:tcPr>
            <w:tcW w:w="875" w:type="dxa"/>
            <w:shd w:val="clear" w:color="auto" w:fill="6F6652"/>
            <w:noWrap/>
            <w:tcMar>
              <w:left w:w="57" w:type="dxa"/>
              <w:right w:w="57" w:type="dxa"/>
            </w:tcMar>
            <w:hideMark/>
          </w:tcPr>
          <w:p w14:paraId="40245AD1" w14:textId="77777777" w:rsidR="006E5BA6" w:rsidRDefault="006E5BA6">
            <w:pPr>
              <w:pStyle w:val="TableDataColumnHeading"/>
              <w:rPr>
                <w:sz w:val="18"/>
              </w:rPr>
            </w:pPr>
            <w:r w:rsidRPr="00611528">
              <w:rPr>
                <w:sz w:val="18"/>
              </w:rPr>
              <w:t>CZ</w:t>
            </w:r>
            <w:r>
              <w:rPr>
                <w:sz w:val="18"/>
              </w:rPr>
              <w:t>3</w:t>
            </w:r>
          </w:p>
          <w:p w14:paraId="4DBCCBC8" w14:textId="77777777" w:rsidR="006E5BA6" w:rsidRPr="00611528" w:rsidRDefault="006E5BA6">
            <w:pPr>
              <w:pStyle w:val="TableDataColumnHeading"/>
              <w:rPr>
                <w:sz w:val="18"/>
              </w:rPr>
            </w:pPr>
            <w:r>
              <w:rPr>
                <w:sz w:val="18"/>
              </w:rPr>
              <w:t>(%)</w:t>
            </w:r>
          </w:p>
        </w:tc>
        <w:tc>
          <w:tcPr>
            <w:tcW w:w="875" w:type="dxa"/>
            <w:shd w:val="clear" w:color="auto" w:fill="6F6652"/>
            <w:noWrap/>
            <w:tcMar>
              <w:left w:w="57" w:type="dxa"/>
              <w:right w:w="57" w:type="dxa"/>
            </w:tcMar>
            <w:hideMark/>
          </w:tcPr>
          <w:p w14:paraId="5EE298E9" w14:textId="77777777" w:rsidR="006E5BA6" w:rsidRDefault="006E5BA6">
            <w:pPr>
              <w:pStyle w:val="TableDataColumnHeading"/>
              <w:rPr>
                <w:sz w:val="18"/>
              </w:rPr>
            </w:pPr>
            <w:r w:rsidRPr="00611528">
              <w:rPr>
                <w:sz w:val="18"/>
              </w:rPr>
              <w:t>CZ</w:t>
            </w:r>
            <w:r>
              <w:rPr>
                <w:sz w:val="18"/>
              </w:rPr>
              <w:t>4</w:t>
            </w:r>
          </w:p>
          <w:p w14:paraId="36111A02" w14:textId="77777777" w:rsidR="006E5BA6" w:rsidRPr="00611528" w:rsidRDefault="006E5BA6">
            <w:pPr>
              <w:pStyle w:val="TableDataColumnHeading"/>
              <w:rPr>
                <w:sz w:val="18"/>
              </w:rPr>
            </w:pPr>
            <w:r>
              <w:rPr>
                <w:sz w:val="18"/>
              </w:rPr>
              <w:t>(%)</w:t>
            </w:r>
          </w:p>
        </w:tc>
        <w:tc>
          <w:tcPr>
            <w:tcW w:w="875" w:type="dxa"/>
            <w:shd w:val="clear" w:color="auto" w:fill="6F6652"/>
            <w:noWrap/>
            <w:tcMar>
              <w:left w:w="57" w:type="dxa"/>
              <w:right w:w="57" w:type="dxa"/>
            </w:tcMar>
            <w:hideMark/>
          </w:tcPr>
          <w:p w14:paraId="491F7FC4" w14:textId="77777777" w:rsidR="006E5BA6" w:rsidRDefault="006E5BA6">
            <w:pPr>
              <w:pStyle w:val="TableDataColumnHeading"/>
              <w:rPr>
                <w:sz w:val="18"/>
              </w:rPr>
            </w:pPr>
            <w:r w:rsidRPr="00611528">
              <w:rPr>
                <w:sz w:val="18"/>
              </w:rPr>
              <w:t>CZ</w:t>
            </w:r>
            <w:r>
              <w:rPr>
                <w:sz w:val="18"/>
              </w:rPr>
              <w:t>5</w:t>
            </w:r>
          </w:p>
          <w:p w14:paraId="58754F27" w14:textId="77777777" w:rsidR="006E5BA6" w:rsidRPr="00611528" w:rsidRDefault="006E5BA6">
            <w:pPr>
              <w:pStyle w:val="TableDataColumnHeading"/>
              <w:rPr>
                <w:sz w:val="18"/>
              </w:rPr>
            </w:pPr>
            <w:r>
              <w:rPr>
                <w:sz w:val="18"/>
              </w:rPr>
              <w:t>(%)</w:t>
            </w:r>
          </w:p>
        </w:tc>
        <w:tc>
          <w:tcPr>
            <w:tcW w:w="875" w:type="dxa"/>
            <w:shd w:val="clear" w:color="auto" w:fill="6F6652"/>
            <w:noWrap/>
            <w:tcMar>
              <w:left w:w="57" w:type="dxa"/>
              <w:right w:w="57" w:type="dxa"/>
            </w:tcMar>
            <w:hideMark/>
          </w:tcPr>
          <w:p w14:paraId="276A79EA" w14:textId="77777777" w:rsidR="006E5BA6" w:rsidRDefault="006E5BA6">
            <w:pPr>
              <w:pStyle w:val="TableDataColumnHeading"/>
              <w:rPr>
                <w:sz w:val="18"/>
              </w:rPr>
            </w:pPr>
            <w:r w:rsidRPr="00611528">
              <w:rPr>
                <w:sz w:val="18"/>
              </w:rPr>
              <w:t>CZ</w:t>
            </w:r>
            <w:r>
              <w:rPr>
                <w:sz w:val="18"/>
              </w:rPr>
              <w:t>6</w:t>
            </w:r>
          </w:p>
          <w:p w14:paraId="3AD3CB51" w14:textId="77777777" w:rsidR="006E5BA6" w:rsidRPr="00611528" w:rsidRDefault="006E5BA6">
            <w:pPr>
              <w:pStyle w:val="TableDataColumnHeading"/>
              <w:rPr>
                <w:sz w:val="18"/>
              </w:rPr>
            </w:pPr>
            <w:r>
              <w:rPr>
                <w:sz w:val="18"/>
              </w:rPr>
              <w:t>(%)</w:t>
            </w:r>
          </w:p>
        </w:tc>
        <w:tc>
          <w:tcPr>
            <w:tcW w:w="875" w:type="dxa"/>
            <w:shd w:val="clear" w:color="auto" w:fill="6F6652"/>
            <w:noWrap/>
            <w:tcMar>
              <w:left w:w="57" w:type="dxa"/>
              <w:right w:w="57" w:type="dxa"/>
            </w:tcMar>
            <w:hideMark/>
          </w:tcPr>
          <w:p w14:paraId="6A2BBCF0" w14:textId="77777777" w:rsidR="006E5BA6" w:rsidRDefault="006E5BA6">
            <w:pPr>
              <w:pStyle w:val="TableDataColumnHeading"/>
              <w:rPr>
                <w:sz w:val="18"/>
              </w:rPr>
            </w:pPr>
            <w:r w:rsidRPr="00611528">
              <w:rPr>
                <w:sz w:val="18"/>
              </w:rPr>
              <w:t>CZ</w:t>
            </w:r>
            <w:r>
              <w:rPr>
                <w:sz w:val="18"/>
              </w:rPr>
              <w:t>7</w:t>
            </w:r>
          </w:p>
          <w:p w14:paraId="2AFC2D36" w14:textId="77777777" w:rsidR="006E5BA6" w:rsidRPr="00611528" w:rsidRDefault="006E5BA6">
            <w:pPr>
              <w:pStyle w:val="TableDataColumnHeading"/>
              <w:rPr>
                <w:sz w:val="18"/>
              </w:rPr>
            </w:pPr>
            <w:r>
              <w:rPr>
                <w:sz w:val="18"/>
              </w:rPr>
              <w:t>(%)</w:t>
            </w:r>
          </w:p>
        </w:tc>
        <w:tc>
          <w:tcPr>
            <w:tcW w:w="875" w:type="dxa"/>
            <w:shd w:val="clear" w:color="auto" w:fill="6F6652"/>
            <w:noWrap/>
            <w:tcMar>
              <w:left w:w="57" w:type="dxa"/>
              <w:right w:w="57" w:type="dxa"/>
            </w:tcMar>
            <w:hideMark/>
          </w:tcPr>
          <w:p w14:paraId="275F4B48" w14:textId="77777777" w:rsidR="006E5BA6" w:rsidRDefault="006E5BA6">
            <w:pPr>
              <w:pStyle w:val="TableDataColumnHeading"/>
              <w:rPr>
                <w:sz w:val="18"/>
              </w:rPr>
            </w:pPr>
            <w:r w:rsidRPr="00611528">
              <w:rPr>
                <w:sz w:val="18"/>
              </w:rPr>
              <w:t>CZ</w:t>
            </w:r>
            <w:r>
              <w:rPr>
                <w:sz w:val="18"/>
              </w:rPr>
              <w:t>8</w:t>
            </w:r>
          </w:p>
          <w:p w14:paraId="0DD7DAC2" w14:textId="77777777" w:rsidR="006E5BA6" w:rsidRPr="00611528" w:rsidRDefault="006E5BA6">
            <w:pPr>
              <w:pStyle w:val="TableDataColumnHeading"/>
              <w:rPr>
                <w:sz w:val="18"/>
              </w:rPr>
            </w:pPr>
            <w:r>
              <w:rPr>
                <w:sz w:val="18"/>
              </w:rPr>
              <w:t>(%)</w:t>
            </w:r>
          </w:p>
        </w:tc>
      </w:tr>
      <w:tr w:rsidR="006E5BA6" w:rsidRPr="00492AD6" w14:paraId="0F712E63" w14:textId="77777777">
        <w:trPr>
          <w:trHeight w:val="252"/>
        </w:trPr>
        <w:tc>
          <w:tcPr>
            <w:tcW w:w="1812" w:type="dxa"/>
            <w:gridSpan w:val="2"/>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hideMark/>
          </w:tcPr>
          <w:p w14:paraId="661E6C46" w14:textId="6B6EF1A0" w:rsidR="006E5BA6" w:rsidRPr="00492AD6" w:rsidRDefault="00FD6000">
            <w:pPr>
              <w:pStyle w:val="TableHeading1"/>
              <w:rPr>
                <w:color w:val="000000" w:themeColor="text1"/>
              </w:rPr>
            </w:pPr>
            <w:r w:rsidRPr="00492AD6">
              <w:rPr>
                <w:color w:val="000000" w:themeColor="text1"/>
              </w:rPr>
              <w:t>Hotels (C3HL)</w:t>
            </w: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hideMark/>
          </w:tcPr>
          <w:p w14:paraId="382CAF4B"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hideMark/>
          </w:tcPr>
          <w:p w14:paraId="254D9F5F"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hideMark/>
          </w:tcPr>
          <w:p w14:paraId="2DE7D229"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hideMark/>
          </w:tcPr>
          <w:p w14:paraId="31762FC9"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hideMark/>
          </w:tcPr>
          <w:p w14:paraId="1E13F109"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hideMark/>
          </w:tcPr>
          <w:p w14:paraId="7E12B6E4"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hideMark/>
          </w:tcPr>
          <w:p w14:paraId="2EFF33C1" w14:textId="77777777" w:rsidR="006E5BA6" w:rsidRPr="00492AD6" w:rsidRDefault="006E5BA6">
            <w:pPr>
              <w:pStyle w:val="TableHeading1"/>
              <w:rPr>
                <w:rFonts w:ascii="Times New Roman" w:hAnsi="Times New Roman"/>
                <w:color w:val="000000" w:themeColor="text1"/>
                <w:sz w:val="20"/>
                <w:szCs w:val="20"/>
              </w:rPr>
            </w:pPr>
          </w:p>
        </w:tc>
      </w:tr>
      <w:tr w:rsidR="006E5BA6" w:rsidRPr="00492AD6" w14:paraId="6131B369"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040D3315" w14:textId="77777777" w:rsidR="006E5BA6" w:rsidRPr="00492AD6" w:rsidRDefault="006E5BA6">
            <w:pPr>
              <w:pStyle w:val="TableDataEntries"/>
              <w:jc w:val="left"/>
              <w:rPr>
                <w:color w:val="000000" w:themeColor="text1"/>
              </w:rPr>
            </w:pPr>
            <w:r w:rsidRPr="00492AD6">
              <w:rPr>
                <w:color w:val="000000" w:themeColor="text1"/>
              </w:rPr>
              <w:t xml:space="preserve">   Electricity</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96D5911" w14:textId="77777777" w:rsidR="006E5BA6" w:rsidRPr="00492AD6" w:rsidRDefault="006E5BA6">
            <w:pPr>
              <w:pStyle w:val="TableDataEntries"/>
              <w:rPr>
                <w:color w:val="000000" w:themeColor="text1"/>
              </w:rPr>
            </w:pPr>
            <w:r w:rsidRPr="004F7BE4">
              <w:t>-18</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2FE89A3" w14:textId="77777777" w:rsidR="006E5BA6" w:rsidRPr="00492AD6" w:rsidRDefault="006E5BA6">
            <w:pPr>
              <w:pStyle w:val="TableDataEntries"/>
              <w:rPr>
                <w:rFonts w:ascii="Times New Roman" w:hAnsi="Times New Roman"/>
                <w:color w:val="000000" w:themeColor="text1"/>
                <w:sz w:val="20"/>
                <w:szCs w:val="20"/>
              </w:rPr>
            </w:pPr>
            <w:r w:rsidRPr="004F7BE4">
              <w:t>-27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9F30F5A" w14:textId="77777777" w:rsidR="006E5BA6" w:rsidRPr="00492AD6" w:rsidRDefault="006E5BA6">
            <w:pPr>
              <w:pStyle w:val="TableDataEntries"/>
              <w:rPr>
                <w:rFonts w:ascii="Times New Roman" w:hAnsi="Times New Roman"/>
                <w:color w:val="000000" w:themeColor="text1"/>
                <w:sz w:val="20"/>
                <w:szCs w:val="20"/>
              </w:rPr>
            </w:pPr>
            <w:r w:rsidRPr="004F7BE4">
              <w:t>-23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CA0C111" w14:textId="77777777" w:rsidR="006E5BA6" w:rsidRPr="00492AD6" w:rsidRDefault="006E5BA6">
            <w:pPr>
              <w:pStyle w:val="TableDataEntries"/>
              <w:rPr>
                <w:rFonts w:ascii="Times New Roman" w:hAnsi="Times New Roman"/>
                <w:color w:val="000000" w:themeColor="text1"/>
                <w:sz w:val="20"/>
                <w:szCs w:val="20"/>
              </w:rPr>
            </w:pPr>
            <w:r w:rsidRPr="004F7BE4">
              <w:t>-21</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E1B8D0D" w14:textId="77777777" w:rsidR="006E5BA6" w:rsidRPr="00492AD6" w:rsidRDefault="006E5BA6">
            <w:pPr>
              <w:pStyle w:val="TableDataEntries"/>
              <w:rPr>
                <w:rFonts w:ascii="Times New Roman" w:hAnsi="Times New Roman"/>
                <w:color w:val="000000" w:themeColor="text1"/>
                <w:sz w:val="20"/>
                <w:szCs w:val="20"/>
              </w:rPr>
            </w:pPr>
            <w:r w:rsidRPr="004F7BE4">
              <w:t>-27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1FF30CD" w14:textId="77777777" w:rsidR="006E5BA6" w:rsidRPr="00492AD6" w:rsidRDefault="006E5BA6">
            <w:pPr>
              <w:pStyle w:val="TableDataEntries"/>
              <w:rPr>
                <w:rFonts w:ascii="Times New Roman" w:hAnsi="Times New Roman"/>
                <w:color w:val="000000" w:themeColor="text1"/>
                <w:sz w:val="20"/>
                <w:szCs w:val="20"/>
              </w:rPr>
            </w:pPr>
            <w:r w:rsidRPr="004F7BE4">
              <w:t>-23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5FFCC5D" w14:textId="77777777" w:rsidR="006E5BA6" w:rsidRPr="00492AD6" w:rsidRDefault="006E5BA6">
            <w:pPr>
              <w:pStyle w:val="TableDataEntries"/>
              <w:rPr>
                <w:rFonts w:ascii="Times New Roman" w:hAnsi="Times New Roman"/>
                <w:color w:val="000000" w:themeColor="text1"/>
                <w:sz w:val="20"/>
                <w:szCs w:val="20"/>
              </w:rPr>
            </w:pPr>
            <w:r w:rsidRPr="004F7BE4">
              <w:t>-23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14FE5DA" w14:textId="77777777" w:rsidR="006E5BA6" w:rsidRPr="00492AD6" w:rsidRDefault="006E5BA6">
            <w:pPr>
              <w:pStyle w:val="TableDataEntries"/>
              <w:rPr>
                <w:rFonts w:ascii="Times New Roman" w:hAnsi="Times New Roman"/>
                <w:color w:val="000000" w:themeColor="text1"/>
                <w:sz w:val="20"/>
                <w:szCs w:val="20"/>
              </w:rPr>
            </w:pPr>
            <w:r w:rsidRPr="004F7BE4">
              <w:t>-16</w:t>
            </w:r>
          </w:p>
        </w:tc>
      </w:tr>
      <w:tr w:rsidR="006E5BA6" w:rsidRPr="00492AD6" w14:paraId="07035E9D"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ABCAD78" w14:textId="77777777" w:rsidR="006E5BA6" w:rsidRPr="00492AD6" w:rsidRDefault="006E5BA6">
            <w:pPr>
              <w:pStyle w:val="TableDataEntries"/>
              <w:jc w:val="left"/>
              <w:rPr>
                <w:color w:val="000000" w:themeColor="text1"/>
              </w:rPr>
            </w:pPr>
            <w:r w:rsidRPr="00492AD6">
              <w:rPr>
                <w:color w:val="000000" w:themeColor="text1"/>
              </w:rPr>
              <w:t xml:space="preserve">   Gas</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357A4C4" w14:textId="77777777" w:rsidR="006E5BA6" w:rsidRPr="00492AD6" w:rsidRDefault="006E5BA6">
            <w:pPr>
              <w:pStyle w:val="TableDataEntries"/>
              <w:rPr>
                <w:color w:val="000000" w:themeColor="text1"/>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458DAAF" w14:textId="77777777" w:rsidR="006E5BA6" w:rsidRPr="00492AD6" w:rsidRDefault="006E5BA6">
            <w:pPr>
              <w:pStyle w:val="TableDataEntries"/>
              <w:rPr>
                <w:rFonts w:ascii="Times New Roman" w:hAnsi="Times New Roman"/>
                <w:color w:val="000000" w:themeColor="text1"/>
                <w:sz w:val="20"/>
                <w:szCs w:val="20"/>
              </w:rPr>
            </w:pPr>
            <w:r w:rsidRPr="004F7BE4">
              <w:t>44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FCA1922" w14:textId="77777777" w:rsidR="006E5BA6" w:rsidRPr="00492AD6" w:rsidRDefault="006E5BA6">
            <w:pPr>
              <w:pStyle w:val="TableDataEntries"/>
              <w:rPr>
                <w:rFonts w:ascii="Times New Roman" w:hAnsi="Times New Roman"/>
                <w:color w:val="000000" w:themeColor="text1"/>
                <w:sz w:val="20"/>
                <w:szCs w:val="20"/>
              </w:rPr>
            </w:pPr>
            <w:r w:rsidRPr="004F7BE4">
              <w:t>12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732F19C" w14:textId="77777777" w:rsidR="006E5BA6" w:rsidRPr="00492AD6" w:rsidRDefault="006E5BA6">
            <w:pPr>
              <w:pStyle w:val="TableDataEntries"/>
              <w:rPr>
                <w:rFonts w:ascii="Times New Roman" w:hAnsi="Times New Roman"/>
                <w:color w:val="000000" w:themeColor="text1"/>
                <w:sz w:val="20"/>
                <w:szCs w:val="20"/>
              </w:rPr>
            </w:pPr>
            <w:r w:rsidRPr="004F7BE4">
              <w:t>8</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86BD9B7" w14:textId="77777777" w:rsidR="006E5BA6" w:rsidRPr="00492AD6" w:rsidRDefault="006E5BA6">
            <w:pPr>
              <w:pStyle w:val="TableDataEntries"/>
              <w:rPr>
                <w:rFonts w:ascii="Times New Roman" w:hAnsi="Times New Roman"/>
                <w:color w:val="000000" w:themeColor="text1"/>
                <w:sz w:val="20"/>
                <w:szCs w:val="20"/>
              </w:rPr>
            </w:pPr>
            <w:r w:rsidRPr="004F7BE4">
              <w:t>33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C8C3EFC" w14:textId="77777777" w:rsidR="006E5BA6" w:rsidRPr="00492AD6" w:rsidRDefault="006E5BA6">
            <w:pPr>
              <w:pStyle w:val="TableDataEntries"/>
              <w:rPr>
                <w:rFonts w:ascii="Times New Roman" w:hAnsi="Times New Roman"/>
                <w:color w:val="000000" w:themeColor="text1"/>
                <w:sz w:val="20"/>
                <w:szCs w:val="20"/>
              </w:rPr>
            </w:pPr>
            <w:r w:rsidRPr="004F7BE4">
              <w:t>23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B592CFB" w14:textId="77777777" w:rsidR="006E5BA6" w:rsidRPr="00492AD6" w:rsidRDefault="006E5BA6">
            <w:pPr>
              <w:pStyle w:val="TableDataEntries"/>
              <w:rPr>
                <w:rFonts w:ascii="Times New Roman" w:hAnsi="Times New Roman"/>
                <w:color w:val="000000" w:themeColor="text1"/>
                <w:sz w:val="20"/>
                <w:szCs w:val="20"/>
              </w:rPr>
            </w:pPr>
            <w:r w:rsidRPr="004F7BE4">
              <w:t>12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71F4E14" w14:textId="77777777" w:rsidR="006E5BA6" w:rsidRPr="00492AD6" w:rsidRDefault="006E5BA6">
            <w:pPr>
              <w:pStyle w:val="TableDataEntries"/>
              <w:rPr>
                <w:rFonts w:ascii="Times New Roman" w:hAnsi="Times New Roman"/>
                <w:color w:val="000000" w:themeColor="text1"/>
                <w:sz w:val="20"/>
                <w:szCs w:val="20"/>
              </w:rPr>
            </w:pPr>
            <w:r w:rsidRPr="004F7BE4">
              <w:t>11</w:t>
            </w:r>
          </w:p>
        </w:tc>
      </w:tr>
      <w:tr w:rsidR="006E5BA6" w:rsidRPr="00492AD6" w14:paraId="3BCB386F"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7515E91" w14:textId="77777777" w:rsidR="006E5BA6" w:rsidRPr="00492AD6" w:rsidRDefault="006E5BA6">
            <w:pPr>
              <w:pStyle w:val="TableDataEntries"/>
              <w:jc w:val="left"/>
              <w:rPr>
                <w:color w:val="000000" w:themeColor="text1"/>
              </w:rPr>
            </w:pPr>
            <w:r w:rsidRPr="00492AD6">
              <w:rPr>
                <w:color w:val="000000" w:themeColor="text1"/>
              </w:rPr>
              <w:t xml:space="preserve">   GHG</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7A5969F" w14:textId="77777777" w:rsidR="006E5BA6" w:rsidRPr="00492AD6" w:rsidRDefault="006E5BA6">
            <w:pPr>
              <w:pStyle w:val="TableDataEntries"/>
              <w:rPr>
                <w:color w:val="000000" w:themeColor="text1"/>
              </w:rPr>
            </w:pPr>
            <w:r w:rsidRPr="004F7BE4">
              <w:t>-18</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6904993" w14:textId="77777777" w:rsidR="006E5BA6" w:rsidRPr="00492AD6" w:rsidRDefault="006E5BA6">
            <w:pPr>
              <w:pStyle w:val="TableDataEntries"/>
              <w:rPr>
                <w:rFonts w:ascii="Times New Roman" w:hAnsi="Times New Roman"/>
                <w:color w:val="000000" w:themeColor="text1"/>
                <w:sz w:val="20"/>
                <w:szCs w:val="20"/>
              </w:rPr>
            </w:pPr>
            <w:r w:rsidRPr="004F7BE4">
              <w:t>-23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86350F7" w14:textId="77777777" w:rsidR="006E5BA6" w:rsidRPr="00492AD6" w:rsidRDefault="006E5BA6">
            <w:pPr>
              <w:pStyle w:val="TableDataEntries"/>
              <w:rPr>
                <w:rFonts w:ascii="Times New Roman" w:hAnsi="Times New Roman"/>
                <w:color w:val="000000" w:themeColor="text1"/>
                <w:sz w:val="20"/>
                <w:szCs w:val="20"/>
              </w:rPr>
            </w:pPr>
            <w:r w:rsidRPr="004F7BE4">
              <w:t>-17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525CEEC" w14:textId="77777777" w:rsidR="006E5BA6" w:rsidRPr="00492AD6" w:rsidRDefault="006E5BA6">
            <w:pPr>
              <w:pStyle w:val="TableDataEntries"/>
              <w:rPr>
                <w:rFonts w:ascii="Times New Roman" w:hAnsi="Times New Roman"/>
                <w:color w:val="000000" w:themeColor="text1"/>
                <w:sz w:val="20"/>
                <w:szCs w:val="20"/>
              </w:rPr>
            </w:pPr>
            <w:r w:rsidRPr="004F7BE4">
              <w:t>-7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680209A" w14:textId="77777777" w:rsidR="006E5BA6" w:rsidRPr="00492AD6" w:rsidRDefault="006E5BA6">
            <w:pPr>
              <w:pStyle w:val="TableDataEntries"/>
              <w:rPr>
                <w:rFonts w:ascii="Times New Roman" w:hAnsi="Times New Roman"/>
                <w:color w:val="000000" w:themeColor="text1"/>
                <w:sz w:val="20"/>
                <w:szCs w:val="20"/>
              </w:rPr>
            </w:pPr>
            <w:r w:rsidRPr="004F7BE4">
              <w:t>-18</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C6FB13A" w14:textId="77777777" w:rsidR="006E5BA6" w:rsidRPr="00492AD6" w:rsidRDefault="006E5BA6">
            <w:pPr>
              <w:pStyle w:val="TableDataEntries"/>
              <w:rPr>
                <w:rFonts w:ascii="Times New Roman" w:hAnsi="Times New Roman"/>
                <w:color w:val="000000" w:themeColor="text1"/>
                <w:sz w:val="20"/>
                <w:szCs w:val="20"/>
              </w:rPr>
            </w:pPr>
            <w:r w:rsidRPr="004F7BE4">
              <w:t>-4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3EECC85" w14:textId="77777777" w:rsidR="006E5BA6" w:rsidRPr="00492AD6" w:rsidRDefault="006E5BA6">
            <w:pPr>
              <w:pStyle w:val="TableDataEntries"/>
              <w:rPr>
                <w:rFonts w:ascii="Times New Roman" w:hAnsi="Times New Roman"/>
                <w:color w:val="000000" w:themeColor="text1"/>
                <w:sz w:val="20"/>
                <w:szCs w:val="20"/>
              </w:rPr>
            </w:pPr>
            <w:r w:rsidRPr="004F7BE4">
              <w:t>-3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B28EAFA" w14:textId="77777777" w:rsidR="006E5BA6" w:rsidRPr="00492AD6" w:rsidRDefault="006E5BA6">
            <w:pPr>
              <w:pStyle w:val="TableDataEntries"/>
              <w:rPr>
                <w:rFonts w:ascii="Times New Roman" w:hAnsi="Times New Roman"/>
                <w:color w:val="000000" w:themeColor="text1"/>
                <w:sz w:val="20"/>
                <w:szCs w:val="20"/>
              </w:rPr>
            </w:pPr>
            <w:r w:rsidRPr="004F7BE4">
              <w:t>4</w:t>
            </w:r>
          </w:p>
        </w:tc>
      </w:tr>
      <w:tr w:rsidR="006E5BA6" w:rsidRPr="00492AD6" w14:paraId="78B299EC" w14:textId="77777777">
        <w:trPr>
          <w:trHeight w:val="252"/>
        </w:trPr>
        <w:tc>
          <w:tcPr>
            <w:tcW w:w="1812" w:type="dxa"/>
            <w:gridSpan w:val="2"/>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195172D6" w14:textId="0CB7458D" w:rsidR="006E5BA6" w:rsidRPr="00492AD6" w:rsidRDefault="00FD6000">
            <w:pPr>
              <w:pStyle w:val="TableHeading1"/>
              <w:rPr>
                <w:color w:val="000000" w:themeColor="text1"/>
              </w:rPr>
            </w:pPr>
            <w:r w:rsidRPr="00492AD6">
              <w:rPr>
                <w:color w:val="000000" w:themeColor="text1"/>
              </w:rPr>
              <w:t>Motels (C3HS)</w:t>
            </w: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64AF3A01"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31513665"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13A0881A"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109204E5"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4CD2888D"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43CD6E60"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3B103AF5" w14:textId="77777777" w:rsidR="006E5BA6" w:rsidRPr="00492AD6" w:rsidRDefault="006E5BA6">
            <w:pPr>
              <w:pStyle w:val="TableHeading1"/>
              <w:rPr>
                <w:rFonts w:ascii="Times New Roman" w:hAnsi="Times New Roman"/>
                <w:color w:val="000000" w:themeColor="text1"/>
                <w:sz w:val="20"/>
                <w:szCs w:val="20"/>
              </w:rPr>
            </w:pPr>
          </w:p>
        </w:tc>
      </w:tr>
      <w:tr w:rsidR="006E5BA6" w:rsidRPr="00492AD6" w14:paraId="2C5E1094"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76C7F987" w14:textId="77777777" w:rsidR="006E5BA6" w:rsidRPr="00492AD6" w:rsidRDefault="006E5BA6">
            <w:pPr>
              <w:pStyle w:val="TableDataEntries"/>
              <w:jc w:val="left"/>
              <w:rPr>
                <w:color w:val="000000" w:themeColor="text1"/>
              </w:rPr>
            </w:pPr>
            <w:r w:rsidRPr="00492AD6">
              <w:rPr>
                <w:color w:val="000000" w:themeColor="text1"/>
              </w:rPr>
              <w:t xml:space="preserve">   Electricity</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0BCA78D" w14:textId="77777777" w:rsidR="006E5BA6" w:rsidRPr="00492AD6" w:rsidRDefault="006E5BA6">
            <w:pPr>
              <w:pStyle w:val="TableDataEntries"/>
              <w:rPr>
                <w:color w:val="000000" w:themeColor="text1"/>
              </w:rPr>
            </w:pPr>
            <w:r w:rsidRPr="004F7BE4">
              <w:t>-30</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074C1A3" w14:textId="77777777" w:rsidR="006E5BA6" w:rsidRPr="00492AD6" w:rsidRDefault="006E5BA6">
            <w:pPr>
              <w:pStyle w:val="TableDataEntries"/>
              <w:rPr>
                <w:rFonts w:ascii="Times New Roman" w:hAnsi="Times New Roman"/>
                <w:color w:val="000000" w:themeColor="text1"/>
                <w:sz w:val="20"/>
                <w:szCs w:val="20"/>
              </w:rPr>
            </w:pPr>
            <w:r w:rsidRPr="004F7BE4">
              <w:t>-34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A3555F7" w14:textId="77777777" w:rsidR="006E5BA6" w:rsidRPr="00492AD6" w:rsidRDefault="006E5BA6">
            <w:pPr>
              <w:pStyle w:val="TableDataEntries"/>
              <w:rPr>
                <w:rFonts w:ascii="Times New Roman" w:hAnsi="Times New Roman"/>
                <w:color w:val="000000" w:themeColor="text1"/>
                <w:sz w:val="20"/>
                <w:szCs w:val="20"/>
              </w:rPr>
            </w:pPr>
            <w:r w:rsidRPr="004F7BE4">
              <w:t>-29</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B2FD713" w14:textId="77777777" w:rsidR="006E5BA6" w:rsidRPr="00492AD6" w:rsidRDefault="006E5BA6">
            <w:pPr>
              <w:pStyle w:val="TableDataEntries"/>
              <w:rPr>
                <w:rFonts w:ascii="Times New Roman" w:hAnsi="Times New Roman"/>
                <w:color w:val="000000" w:themeColor="text1"/>
                <w:sz w:val="20"/>
                <w:szCs w:val="20"/>
              </w:rPr>
            </w:pPr>
            <w:r w:rsidRPr="004F7BE4">
              <w:t>-29</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55AAE6D" w14:textId="77777777" w:rsidR="006E5BA6" w:rsidRPr="00492AD6" w:rsidRDefault="006E5BA6">
            <w:pPr>
              <w:pStyle w:val="TableDataEntries"/>
              <w:rPr>
                <w:rFonts w:ascii="Times New Roman" w:hAnsi="Times New Roman"/>
                <w:color w:val="000000" w:themeColor="text1"/>
                <w:sz w:val="20"/>
                <w:szCs w:val="20"/>
              </w:rPr>
            </w:pPr>
            <w:r w:rsidRPr="004F7BE4">
              <w:t>-42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2E239C1" w14:textId="77777777" w:rsidR="006E5BA6" w:rsidRPr="00492AD6" w:rsidRDefault="006E5BA6">
            <w:pPr>
              <w:pStyle w:val="TableDataEntries"/>
              <w:rPr>
                <w:rFonts w:ascii="Times New Roman" w:hAnsi="Times New Roman"/>
                <w:color w:val="000000" w:themeColor="text1"/>
                <w:sz w:val="20"/>
                <w:szCs w:val="20"/>
              </w:rPr>
            </w:pPr>
            <w:r w:rsidRPr="004F7BE4">
              <w:t>-36</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BCE76C2" w14:textId="77777777" w:rsidR="006E5BA6" w:rsidRPr="00492AD6" w:rsidRDefault="006E5BA6">
            <w:pPr>
              <w:pStyle w:val="TableDataEntries"/>
              <w:rPr>
                <w:rFonts w:ascii="Times New Roman" w:hAnsi="Times New Roman"/>
                <w:color w:val="000000" w:themeColor="text1"/>
                <w:sz w:val="20"/>
                <w:szCs w:val="20"/>
              </w:rPr>
            </w:pPr>
            <w:r w:rsidRPr="004F7BE4">
              <w:t>-31</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AAEBB8E" w14:textId="77777777" w:rsidR="006E5BA6" w:rsidRPr="00492AD6" w:rsidRDefault="006E5BA6">
            <w:pPr>
              <w:pStyle w:val="TableDataEntries"/>
              <w:rPr>
                <w:rFonts w:ascii="Times New Roman" w:hAnsi="Times New Roman"/>
                <w:color w:val="000000" w:themeColor="text1"/>
                <w:sz w:val="20"/>
                <w:szCs w:val="20"/>
              </w:rPr>
            </w:pPr>
            <w:r w:rsidRPr="004F7BE4">
              <w:t>-21</w:t>
            </w:r>
          </w:p>
        </w:tc>
      </w:tr>
      <w:tr w:rsidR="006E5BA6" w:rsidRPr="00492AD6" w14:paraId="563A80C2"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FAEB703" w14:textId="77777777" w:rsidR="006E5BA6" w:rsidRPr="00492AD6" w:rsidRDefault="006E5BA6">
            <w:pPr>
              <w:pStyle w:val="TableDataEntries"/>
              <w:jc w:val="left"/>
              <w:rPr>
                <w:color w:val="000000" w:themeColor="text1"/>
              </w:rPr>
            </w:pPr>
            <w:r w:rsidRPr="00492AD6">
              <w:rPr>
                <w:color w:val="000000" w:themeColor="text1"/>
              </w:rPr>
              <w:t xml:space="preserve">   Gas</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CAFBF3C" w14:textId="77777777" w:rsidR="006E5BA6" w:rsidRPr="00492AD6" w:rsidRDefault="006E5BA6">
            <w:pPr>
              <w:pStyle w:val="TableDataEntries"/>
              <w:rPr>
                <w:color w:val="000000" w:themeColor="text1"/>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D485622"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B1D416D"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C63BBBA"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925B333"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6588345"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CB0BC71"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33A14BE" w14:textId="77777777" w:rsidR="006E5BA6" w:rsidRPr="00492AD6" w:rsidRDefault="006E5BA6">
            <w:pPr>
              <w:pStyle w:val="TableDataEntries"/>
              <w:rPr>
                <w:rFonts w:ascii="Times New Roman" w:hAnsi="Times New Roman"/>
                <w:color w:val="000000" w:themeColor="text1"/>
                <w:sz w:val="20"/>
                <w:szCs w:val="20"/>
              </w:rPr>
            </w:pPr>
            <w:r w:rsidRPr="004F7BE4">
              <w:t>n/a</w:t>
            </w:r>
          </w:p>
        </w:tc>
      </w:tr>
      <w:tr w:rsidR="006E5BA6" w:rsidRPr="00492AD6" w14:paraId="43D8893E"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D6A741C" w14:textId="77777777" w:rsidR="006E5BA6" w:rsidRPr="00492AD6" w:rsidRDefault="006E5BA6">
            <w:pPr>
              <w:pStyle w:val="TableDataEntries"/>
              <w:jc w:val="left"/>
              <w:rPr>
                <w:color w:val="000000" w:themeColor="text1"/>
              </w:rPr>
            </w:pPr>
            <w:r w:rsidRPr="00492AD6">
              <w:rPr>
                <w:color w:val="000000" w:themeColor="text1"/>
              </w:rPr>
              <w:t xml:space="preserve">   GHG</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7F523A7" w14:textId="77777777" w:rsidR="006E5BA6" w:rsidRPr="00492AD6" w:rsidRDefault="006E5BA6">
            <w:pPr>
              <w:pStyle w:val="TableDataEntries"/>
              <w:rPr>
                <w:color w:val="000000" w:themeColor="text1"/>
              </w:rPr>
            </w:pPr>
            <w:r w:rsidRPr="004F7BE4">
              <w:t>-57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2656A1A" w14:textId="77777777" w:rsidR="006E5BA6" w:rsidRPr="00492AD6" w:rsidRDefault="006E5BA6">
            <w:pPr>
              <w:pStyle w:val="TableDataEntries"/>
              <w:rPr>
                <w:rFonts w:ascii="Times New Roman" w:hAnsi="Times New Roman"/>
                <w:color w:val="000000" w:themeColor="text1"/>
                <w:sz w:val="20"/>
                <w:szCs w:val="20"/>
              </w:rPr>
            </w:pPr>
            <w:r w:rsidRPr="004F7BE4">
              <w:t>-87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7A43644" w14:textId="77777777" w:rsidR="006E5BA6" w:rsidRPr="00492AD6" w:rsidRDefault="006E5BA6">
            <w:pPr>
              <w:pStyle w:val="TableDataEntries"/>
              <w:rPr>
                <w:rFonts w:ascii="Times New Roman" w:hAnsi="Times New Roman"/>
                <w:color w:val="000000" w:themeColor="text1"/>
                <w:sz w:val="20"/>
                <w:szCs w:val="20"/>
              </w:rPr>
            </w:pPr>
            <w:r w:rsidRPr="004F7BE4">
              <w:t>-75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1C2D233" w14:textId="77777777" w:rsidR="006E5BA6" w:rsidRPr="00492AD6" w:rsidRDefault="006E5BA6">
            <w:pPr>
              <w:pStyle w:val="TableDataEntries"/>
              <w:rPr>
                <w:rFonts w:ascii="Times New Roman" w:hAnsi="Times New Roman"/>
                <w:color w:val="000000" w:themeColor="text1"/>
                <w:sz w:val="20"/>
                <w:szCs w:val="20"/>
              </w:rPr>
            </w:pPr>
            <w:r w:rsidRPr="004F7BE4">
              <w:t>-74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A06E656" w14:textId="77777777" w:rsidR="006E5BA6" w:rsidRPr="00492AD6" w:rsidRDefault="006E5BA6">
            <w:pPr>
              <w:pStyle w:val="TableDataEntries"/>
              <w:rPr>
                <w:rFonts w:ascii="Times New Roman" w:hAnsi="Times New Roman"/>
                <w:color w:val="000000" w:themeColor="text1"/>
                <w:sz w:val="20"/>
                <w:szCs w:val="20"/>
              </w:rPr>
            </w:pPr>
            <w:r w:rsidRPr="004F7BE4">
              <w:t>-90</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5BF5C2A" w14:textId="77777777" w:rsidR="006E5BA6" w:rsidRPr="00492AD6" w:rsidRDefault="006E5BA6">
            <w:pPr>
              <w:pStyle w:val="TableDataEntries"/>
              <w:rPr>
                <w:rFonts w:ascii="Times New Roman" w:hAnsi="Times New Roman"/>
                <w:color w:val="000000" w:themeColor="text1"/>
                <w:sz w:val="20"/>
                <w:szCs w:val="20"/>
              </w:rPr>
            </w:pPr>
            <w:r w:rsidRPr="004F7BE4">
              <w:t>-87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93F98D1" w14:textId="77777777" w:rsidR="006E5BA6" w:rsidRPr="00492AD6" w:rsidRDefault="006E5BA6">
            <w:pPr>
              <w:pStyle w:val="TableDataEntries"/>
              <w:rPr>
                <w:rFonts w:ascii="Times New Roman" w:hAnsi="Times New Roman"/>
                <w:color w:val="000000" w:themeColor="text1"/>
                <w:sz w:val="20"/>
                <w:szCs w:val="20"/>
              </w:rPr>
            </w:pPr>
            <w:r w:rsidRPr="004F7BE4">
              <w:t>-77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7D65070" w14:textId="77777777" w:rsidR="006E5BA6" w:rsidRPr="00492AD6" w:rsidRDefault="006E5BA6">
            <w:pPr>
              <w:pStyle w:val="TableDataEntries"/>
              <w:rPr>
                <w:rFonts w:ascii="Times New Roman" w:hAnsi="Times New Roman"/>
                <w:color w:val="000000" w:themeColor="text1"/>
                <w:sz w:val="20"/>
                <w:szCs w:val="20"/>
              </w:rPr>
            </w:pPr>
            <w:r w:rsidRPr="004F7BE4">
              <w:t>-53</w:t>
            </w:r>
          </w:p>
        </w:tc>
      </w:tr>
      <w:tr w:rsidR="006E5BA6" w:rsidRPr="00492AD6" w14:paraId="039E16D4" w14:textId="77777777">
        <w:trPr>
          <w:trHeight w:val="252"/>
        </w:trPr>
        <w:tc>
          <w:tcPr>
            <w:tcW w:w="2687" w:type="dxa"/>
            <w:gridSpan w:val="3"/>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54E69083" w14:textId="602BFF13" w:rsidR="006E5BA6" w:rsidRPr="00492AD6" w:rsidRDefault="00FD6000">
            <w:pPr>
              <w:pStyle w:val="TableHeading1"/>
              <w:rPr>
                <w:rFonts w:ascii="Times New Roman" w:hAnsi="Times New Roman"/>
                <w:color w:val="000000" w:themeColor="text1"/>
                <w:sz w:val="20"/>
                <w:szCs w:val="20"/>
              </w:rPr>
            </w:pPr>
            <w:r w:rsidRPr="00492AD6">
              <w:rPr>
                <w:color w:val="000000" w:themeColor="text1"/>
              </w:rPr>
              <w:t>Large office building (C5OL)</w:t>
            </w: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2C42D399"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1ABC5E8A"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47839253"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1D914ADA"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69F158B9"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6AE58EA4" w14:textId="77777777" w:rsidR="006E5BA6" w:rsidRPr="00492AD6" w:rsidRDefault="006E5BA6">
            <w:pPr>
              <w:pStyle w:val="TableHeading1"/>
              <w:rPr>
                <w:rFonts w:ascii="Times New Roman" w:hAnsi="Times New Roman"/>
                <w:color w:val="000000" w:themeColor="text1"/>
                <w:sz w:val="20"/>
                <w:szCs w:val="20"/>
              </w:rPr>
            </w:pPr>
          </w:p>
        </w:tc>
      </w:tr>
      <w:tr w:rsidR="006E5BA6" w:rsidRPr="00492AD6" w14:paraId="4AE3E844"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62DE7032" w14:textId="77777777" w:rsidR="006E5BA6" w:rsidRPr="00492AD6" w:rsidRDefault="006E5BA6">
            <w:pPr>
              <w:pStyle w:val="TableDataEntries"/>
              <w:jc w:val="left"/>
              <w:rPr>
                <w:color w:val="000000" w:themeColor="text1"/>
              </w:rPr>
            </w:pPr>
            <w:r w:rsidRPr="00492AD6">
              <w:rPr>
                <w:color w:val="000000" w:themeColor="text1"/>
              </w:rPr>
              <w:t xml:space="preserve">   Electricity</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A831C50" w14:textId="77777777" w:rsidR="006E5BA6" w:rsidRPr="00492AD6" w:rsidRDefault="006E5BA6">
            <w:pPr>
              <w:pStyle w:val="TableDataEntries"/>
              <w:rPr>
                <w:color w:val="000000" w:themeColor="text1"/>
                <w:highlight w:val="yellow"/>
              </w:rPr>
            </w:pPr>
            <w:r w:rsidRPr="004F7BE4">
              <w:t>-29</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2E1DCFC" w14:textId="77777777" w:rsidR="006E5BA6" w:rsidRPr="00492AD6" w:rsidRDefault="006E5BA6">
            <w:pPr>
              <w:pStyle w:val="TableDataEntries"/>
              <w:rPr>
                <w:color w:val="000000" w:themeColor="text1"/>
                <w:highlight w:val="yellow"/>
              </w:rPr>
            </w:pPr>
            <w:r w:rsidRPr="004F7BE4">
              <w:t>-38</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DE7AB08" w14:textId="77777777" w:rsidR="006E5BA6" w:rsidRPr="00492AD6" w:rsidRDefault="006E5BA6">
            <w:pPr>
              <w:pStyle w:val="TableDataEntries"/>
              <w:rPr>
                <w:color w:val="000000" w:themeColor="text1"/>
                <w:highlight w:val="yellow"/>
              </w:rPr>
            </w:pPr>
            <w:r w:rsidRPr="004F7BE4">
              <w:t>-41</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B991293" w14:textId="77777777" w:rsidR="006E5BA6" w:rsidRPr="00492AD6" w:rsidRDefault="006E5BA6">
            <w:pPr>
              <w:pStyle w:val="TableDataEntries"/>
              <w:rPr>
                <w:color w:val="000000" w:themeColor="text1"/>
                <w:highlight w:val="yellow"/>
              </w:rPr>
            </w:pPr>
            <w:r w:rsidRPr="004F7BE4">
              <w:t>-43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A6A3B84" w14:textId="77777777" w:rsidR="006E5BA6" w:rsidRPr="00492AD6" w:rsidRDefault="006E5BA6">
            <w:pPr>
              <w:pStyle w:val="TableDataEntries"/>
              <w:rPr>
                <w:color w:val="000000" w:themeColor="text1"/>
                <w:highlight w:val="yellow"/>
              </w:rPr>
            </w:pPr>
            <w:r w:rsidRPr="004F7BE4">
              <w:t>-40</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879ED94" w14:textId="77777777" w:rsidR="006E5BA6" w:rsidRPr="00492AD6" w:rsidRDefault="006E5BA6">
            <w:pPr>
              <w:pStyle w:val="TableDataEntries"/>
              <w:rPr>
                <w:color w:val="000000" w:themeColor="text1"/>
                <w:highlight w:val="yellow"/>
              </w:rPr>
            </w:pPr>
            <w:r w:rsidRPr="004F7BE4">
              <w:t>-40</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89C0A33" w14:textId="77777777" w:rsidR="006E5BA6" w:rsidRPr="00492AD6" w:rsidRDefault="006E5BA6">
            <w:pPr>
              <w:pStyle w:val="TableDataEntries"/>
              <w:rPr>
                <w:color w:val="000000" w:themeColor="text1"/>
                <w:highlight w:val="yellow"/>
              </w:rPr>
            </w:pPr>
            <w:r w:rsidRPr="004F7BE4">
              <w:t>-41</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54032A6" w14:textId="77777777" w:rsidR="006E5BA6" w:rsidRPr="00492AD6" w:rsidRDefault="006E5BA6">
            <w:pPr>
              <w:pStyle w:val="TableDataEntries"/>
              <w:rPr>
                <w:color w:val="000000" w:themeColor="text1"/>
                <w:highlight w:val="yellow"/>
              </w:rPr>
            </w:pPr>
            <w:r w:rsidRPr="004F7BE4">
              <w:t>-44</w:t>
            </w:r>
          </w:p>
        </w:tc>
      </w:tr>
      <w:tr w:rsidR="006E5BA6" w:rsidRPr="00492AD6" w14:paraId="414ED397"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4524A01" w14:textId="77777777" w:rsidR="006E5BA6" w:rsidRPr="00492AD6" w:rsidRDefault="006E5BA6">
            <w:pPr>
              <w:pStyle w:val="TableDataEntries"/>
              <w:jc w:val="left"/>
              <w:rPr>
                <w:color w:val="000000" w:themeColor="text1"/>
              </w:rPr>
            </w:pPr>
            <w:r w:rsidRPr="00492AD6">
              <w:rPr>
                <w:color w:val="000000" w:themeColor="text1"/>
              </w:rPr>
              <w:t xml:space="preserve">   Gas</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3EDBEEA" w14:textId="77777777" w:rsidR="006E5BA6" w:rsidRPr="00492AD6" w:rsidRDefault="006E5BA6">
            <w:pPr>
              <w:pStyle w:val="TableDataEntries"/>
              <w:rPr>
                <w:color w:val="000000" w:themeColor="text1"/>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2C1D379" w14:textId="77777777" w:rsidR="006E5BA6" w:rsidRPr="00492AD6" w:rsidRDefault="006E5BA6">
            <w:pPr>
              <w:pStyle w:val="TableDataEntries"/>
              <w:rPr>
                <w:color w:val="000000" w:themeColor="text1"/>
              </w:rPr>
            </w:pPr>
            <w:r w:rsidRPr="004F7BE4">
              <w:t>-4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0DAB932" w14:textId="77777777" w:rsidR="006E5BA6" w:rsidRPr="00492AD6" w:rsidRDefault="006E5BA6">
            <w:pPr>
              <w:pStyle w:val="TableDataEntries"/>
              <w:rPr>
                <w:color w:val="000000" w:themeColor="text1"/>
              </w:rPr>
            </w:pPr>
            <w:r w:rsidRPr="004F7BE4">
              <w:t>-16</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1FFB71E" w14:textId="77777777" w:rsidR="006E5BA6" w:rsidRPr="00492AD6" w:rsidRDefault="006E5BA6">
            <w:pPr>
              <w:pStyle w:val="TableDataEntries"/>
              <w:rPr>
                <w:color w:val="000000" w:themeColor="text1"/>
              </w:rPr>
            </w:pPr>
            <w:r w:rsidRPr="004F7BE4">
              <w:t>-2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A20A86E" w14:textId="77777777" w:rsidR="006E5BA6" w:rsidRPr="00492AD6" w:rsidRDefault="006E5BA6">
            <w:pPr>
              <w:pStyle w:val="TableDataEntries"/>
              <w:rPr>
                <w:color w:val="000000" w:themeColor="text1"/>
              </w:rPr>
            </w:pPr>
            <w:r w:rsidRPr="004F7BE4">
              <w:t>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1EA5614" w14:textId="77777777" w:rsidR="006E5BA6" w:rsidRPr="00492AD6" w:rsidRDefault="006E5BA6">
            <w:pPr>
              <w:pStyle w:val="TableDataEntries"/>
              <w:rPr>
                <w:color w:val="000000" w:themeColor="text1"/>
              </w:rPr>
            </w:pPr>
            <w:r w:rsidRPr="004F7BE4">
              <w:t>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5F54077" w14:textId="77777777" w:rsidR="006E5BA6" w:rsidRPr="00492AD6" w:rsidRDefault="006E5BA6">
            <w:pPr>
              <w:pStyle w:val="TableDataEntries"/>
              <w:rPr>
                <w:color w:val="000000" w:themeColor="text1"/>
              </w:rPr>
            </w:pPr>
            <w:r w:rsidRPr="004F7BE4">
              <w:t>-3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CB6F12A" w14:textId="77777777" w:rsidR="006E5BA6" w:rsidRPr="00492AD6" w:rsidRDefault="006E5BA6">
            <w:pPr>
              <w:pStyle w:val="TableDataEntries"/>
              <w:rPr>
                <w:color w:val="000000" w:themeColor="text1"/>
              </w:rPr>
            </w:pPr>
            <w:r w:rsidRPr="004F7BE4">
              <w:t>9</w:t>
            </w:r>
          </w:p>
        </w:tc>
      </w:tr>
      <w:tr w:rsidR="006E5BA6" w:rsidRPr="00492AD6" w14:paraId="37C8B545"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08182119" w14:textId="77777777" w:rsidR="006E5BA6" w:rsidRPr="00492AD6" w:rsidRDefault="006E5BA6">
            <w:pPr>
              <w:pStyle w:val="TableDataEntries"/>
              <w:jc w:val="left"/>
              <w:rPr>
                <w:color w:val="000000" w:themeColor="text1"/>
              </w:rPr>
            </w:pPr>
            <w:r w:rsidRPr="00492AD6">
              <w:rPr>
                <w:color w:val="000000" w:themeColor="text1"/>
              </w:rPr>
              <w:t xml:space="preserve">   GHG</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0BA7C5F" w14:textId="77777777" w:rsidR="006E5BA6" w:rsidRPr="00492AD6" w:rsidRDefault="006E5BA6">
            <w:pPr>
              <w:pStyle w:val="TableDataEntries"/>
              <w:rPr>
                <w:color w:val="000000" w:themeColor="text1"/>
              </w:rPr>
            </w:pPr>
            <w:r w:rsidRPr="004F7BE4">
              <w:t>-29</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D421C82" w14:textId="77777777" w:rsidR="006E5BA6" w:rsidRPr="00492AD6" w:rsidRDefault="006E5BA6">
            <w:pPr>
              <w:pStyle w:val="TableDataEntries"/>
              <w:rPr>
                <w:color w:val="000000" w:themeColor="text1"/>
              </w:rPr>
            </w:pPr>
            <w:r w:rsidRPr="004F7BE4">
              <w:t>-38</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C4C7274" w14:textId="77777777" w:rsidR="006E5BA6" w:rsidRPr="00492AD6" w:rsidRDefault="006E5BA6">
            <w:pPr>
              <w:pStyle w:val="TableDataEntries"/>
              <w:rPr>
                <w:color w:val="000000" w:themeColor="text1"/>
              </w:rPr>
            </w:pPr>
            <w:r w:rsidRPr="004F7BE4">
              <w:t>-39</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BCFB410" w14:textId="77777777" w:rsidR="006E5BA6" w:rsidRPr="00492AD6" w:rsidRDefault="006E5BA6">
            <w:pPr>
              <w:pStyle w:val="TableDataEntries"/>
              <w:rPr>
                <w:color w:val="000000" w:themeColor="text1"/>
              </w:rPr>
            </w:pPr>
            <w:r w:rsidRPr="004F7BE4">
              <w:t>-32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A3BC78A" w14:textId="77777777" w:rsidR="006E5BA6" w:rsidRPr="00492AD6" w:rsidRDefault="006E5BA6">
            <w:pPr>
              <w:pStyle w:val="TableDataEntries"/>
              <w:rPr>
                <w:color w:val="000000" w:themeColor="text1"/>
              </w:rPr>
            </w:pPr>
            <w:r w:rsidRPr="004F7BE4">
              <w:t>-38</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262F18C" w14:textId="77777777" w:rsidR="006E5BA6" w:rsidRPr="00492AD6" w:rsidRDefault="006E5BA6">
            <w:pPr>
              <w:pStyle w:val="TableDataEntries"/>
              <w:rPr>
                <w:color w:val="000000" w:themeColor="text1"/>
              </w:rPr>
            </w:pPr>
            <w:r w:rsidRPr="004F7BE4">
              <w:t>-31</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8D9375C" w14:textId="77777777" w:rsidR="006E5BA6" w:rsidRPr="00492AD6" w:rsidRDefault="006E5BA6">
            <w:pPr>
              <w:pStyle w:val="TableDataEntries"/>
              <w:rPr>
                <w:color w:val="000000" w:themeColor="text1"/>
              </w:rPr>
            </w:pPr>
            <w:r w:rsidRPr="004F7BE4">
              <w:t>-25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02DCAC5" w14:textId="77777777" w:rsidR="006E5BA6" w:rsidRPr="00492AD6" w:rsidRDefault="006E5BA6">
            <w:pPr>
              <w:pStyle w:val="TableDataEntries"/>
              <w:rPr>
                <w:color w:val="000000" w:themeColor="text1"/>
              </w:rPr>
            </w:pPr>
            <w:r w:rsidRPr="004F7BE4">
              <w:t>-11</w:t>
            </w:r>
          </w:p>
        </w:tc>
      </w:tr>
      <w:tr w:rsidR="006E5BA6" w:rsidRPr="00492AD6" w14:paraId="75384667" w14:textId="77777777">
        <w:trPr>
          <w:trHeight w:val="252"/>
        </w:trPr>
        <w:tc>
          <w:tcPr>
            <w:tcW w:w="2687" w:type="dxa"/>
            <w:gridSpan w:val="3"/>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769F81C8" w14:textId="1AFEBCD0" w:rsidR="006E5BA6" w:rsidRPr="00492AD6" w:rsidRDefault="00FD6000">
            <w:pPr>
              <w:pStyle w:val="TableHeading1"/>
              <w:rPr>
                <w:rFonts w:ascii="Times New Roman" w:hAnsi="Times New Roman"/>
                <w:color w:val="000000" w:themeColor="text1"/>
                <w:sz w:val="20"/>
                <w:szCs w:val="20"/>
              </w:rPr>
            </w:pPr>
            <w:r w:rsidRPr="00492AD6">
              <w:rPr>
                <w:color w:val="000000" w:themeColor="text1"/>
              </w:rPr>
              <w:t>Medium office building (C5OM)</w:t>
            </w: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6042C2D3"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7C390B84"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337BB240"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2B721F49"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54270BC9"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78FBF6CE" w14:textId="77777777" w:rsidR="006E5BA6" w:rsidRPr="00492AD6" w:rsidRDefault="006E5BA6">
            <w:pPr>
              <w:pStyle w:val="TableHeading1"/>
              <w:rPr>
                <w:rFonts w:ascii="Times New Roman" w:hAnsi="Times New Roman"/>
                <w:color w:val="000000" w:themeColor="text1"/>
                <w:sz w:val="20"/>
                <w:szCs w:val="20"/>
              </w:rPr>
            </w:pPr>
          </w:p>
        </w:tc>
      </w:tr>
      <w:tr w:rsidR="006E5BA6" w:rsidRPr="00492AD6" w14:paraId="1FDA5A9D"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0AF1CA24" w14:textId="77777777" w:rsidR="006E5BA6" w:rsidRPr="00492AD6" w:rsidRDefault="006E5BA6">
            <w:pPr>
              <w:pStyle w:val="TableDataEntries"/>
              <w:jc w:val="left"/>
              <w:rPr>
                <w:color w:val="000000" w:themeColor="text1"/>
              </w:rPr>
            </w:pPr>
            <w:r w:rsidRPr="00492AD6">
              <w:rPr>
                <w:color w:val="000000" w:themeColor="text1"/>
              </w:rPr>
              <w:t xml:space="preserve">   Electricity</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8E49021" w14:textId="77777777" w:rsidR="006E5BA6" w:rsidRPr="00492AD6" w:rsidRDefault="006E5BA6">
            <w:pPr>
              <w:pStyle w:val="TableDataEntries"/>
              <w:rPr>
                <w:color w:val="000000" w:themeColor="text1"/>
              </w:rPr>
            </w:pPr>
            <w:r w:rsidRPr="004F7BE4">
              <w:t>-72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37A4602" w14:textId="77777777" w:rsidR="006E5BA6" w:rsidRPr="00492AD6" w:rsidRDefault="006E5BA6">
            <w:pPr>
              <w:pStyle w:val="TableDataEntries"/>
              <w:rPr>
                <w:color w:val="000000" w:themeColor="text1"/>
              </w:rPr>
            </w:pPr>
            <w:r w:rsidRPr="004F7BE4">
              <w:t>-95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4DCBD07" w14:textId="77777777" w:rsidR="006E5BA6" w:rsidRPr="00492AD6" w:rsidRDefault="006E5BA6">
            <w:pPr>
              <w:pStyle w:val="TableDataEntries"/>
              <w:rPr>
                <w:color w:val="000000" w:themeColor="text1"/>
              </w:rPr>
            </w:pPr>
            <w:r w:rsidRPr="004F7BE4">
              <w:t>-94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34C8A97" w14:textId="77777777" w:rsidR="006E5BA6" w:rsidRPr="00492AD6" w:rsidRDefault="006E5BA6">
            <w:pPr>
              <w:pStyle w:val="TableDataEntries"/>
              <w:rPr>
                <w:color w:val="000000" w:themeColor="text1"/>
              </w:rPr>
            </w:pPr>
            <w:r w:rsidRPr="004F7BE4">
              <w:t>-100</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A6D7C8C" w14:textId="77777777" w:rsidR="006E5BA6" w:rsidRPr="00492AD6" w:rsidRDefault="006E5BA6">
            <w:pPr>
              <w:pStyle w:val="TableDataEntries"/>
              <w:rPr>
                <w:color w:val="000000" w:themeColor="text1"/>
              </w:rPr>
            </w:pPr>
            <w:r w:rsidRPr="004F7BE4">
              <w:t>-100</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55001D1" w14:textId="77777777" w:rsidR="006E5BA6" w:rsidRPr="00492AD6" w:rsidRDefault="006E5BA6">
            <w:pPr>
              <w:pStyle w:val="TableDataEntries"/>
              <w:rPr>
                <w:color w:val="000000" w:themeColor="text1"/>
              </w:rPr>
            </w:pPr>
            <w:r w:rsidRPr="004F7BE4">
              <w:t>-105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9628B9C" w14:textId="77777777" w:rsidR="006E5BA6" w:rsidRPr="00492AD6" w:rsidRDefault="006E5BA6">
            <w:pPr>
              <w:pStyle w:val="TableDataEntries"/>
              <w:rPr>
                <w:color w:val="000000" w:themeColor="text1"/>
              </w:rPr>
            </w:pPr>
            <w:r w:rsidRPr="004F7BE4">
              <w:t>-102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492D3F6" w14:textId="77777777" w:rsidR="006E5BA6" w:rsidRPr="00492AD6" w:rsidRDefault="006E5BA6">
            <w:pPr>
              <w:pStyle w:val="TableDataEntries"/>
              <w:rPr>
                <w:color w:val="000000" w:themeColor="text1"/>
              </w:rPr>
            </w:pPr>
            <w:r w:rsidRPr="004F7BE4">
              <w:t>-79</w:t>
            </w:r>
          </w:p>
        </w:tc>
      </w:tr>
      <w:tr w:rsidR="006E5BA6" w:rsidRPr="00492AD6" w14:paraId="2D778D48"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6D2EF23" w14:textId="77777777" w:rsidR="006E5BA6" w:rsidRPr="00492AD6" w:rsidRDefault="006E5BA6">
            <w:pPr>
              <w:pStyle w:val="TableDataEntries"/>
              <w:jc w:val="left"/>
              <w:rPr>
                <w:color w:val="000000" w:themeColor="text1"/>
              </w:rPr>
            </w:pPr>
            <w:r w:rsidRPr="00492AD6">
              <w:rPr>
                <w:color w:val="000000" w:themeColor="text1"/>
              </w:rPr>
              <w:t xml:space="preserve">   Gas</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52CCABC" w14:textId="77777777" w:rsidR="006E5BA6" w:rsidRPr="00492AD6" w:rsidRDefault="006E5BA6">
            <w:pPr>
              <w:pStyle w:val="TableDataEntries"/>
              <w:rPr>
                <w:color w:val="000000" w:themeColor="text1"/>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26A70E8" w14:textId="77777777" w:rsidR="006E5BA6" w:rsidRPr="00492AD6" w:rsidRDefault="006E5BA6">
            <w:pPr>
              <w:pStyle w:val="TableDataEntries"/>
              <w:rPr>
                <w:color w:val="000000" w:themeColor="text1"/>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87A2942" w14:textId="77777777" w:rsidR="006E5BA6" w:rsidRPr="00492AD6" w:rsidRDefault="006E5BA6">
            <w:pPr>
              <w:pStyle w:val="TableDataEntries"/>
              <w:rPr>
                <w:color w:val="000000" w:themeColor="text1"/>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18D8C90" w14:textId="77777777" w:rsidR="006E5BA6" w:rsidRPr="00492AD6" w:rsidRDefault="006E5BA6">
            <w:pPr>
              <w:pStyle w:val="TableDataEntries"/>
              <w:rPr>
                <w:color w:val="000000" w:themeColor="text1"/>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E564402" w14:textId="77777777" w:rsidR="006E5BA6" w:rsidRPr="00492AD6" w:rsidRDefault="006E5BA6">
            <w:pPr>
              <w:pStyle w:val="TableDataEntries"/>
              <w:rPr>
                <w:color w:val="000000" w:themeColor="text1"/>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E7BD671" w14:textId="77777777" w:rsidR="006E5BA6" w:rsidRPr="00492AD6" w:rsidRDefault="006E5BA6">
            <w:pPr>
              <w:pStyle w:val="TableDataEntries"/>
              <w:rPr>
                <w:color w:val="000000" w:themeColor="text1"/>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FDEA576" w14:textId="77777777" w:rsidR="006E5BA6" w:rsidRPr="00492AD6" w:rsidRDefault="006E5BA6">
            <w:pPr>
              <w:pStyle w:val="TableDataEntries"/>
              <w:rPr>
                <w:color w:val="000000" w:themeColor="text1"/>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B7E75BD" w14:textId="77777777" w:rsidR="006E5BA6" w:rsidRPr="00492AD6" w:rsidRDefault="006E5BA6">
            <w:pPr>
              <w:pStyle w:val="TableDataEntries"/>
              <w:rPr>
                <w:color w:val="000000" w:themeColor="text1"/>
              </w:rPr>
            </w:pPr>
            <w:r w:rsidRPr="004F7BE4">
              <w:t>n/a</w:t>
            </w:r>
          </w:p>
        </w:tc>
      </w:tr>
      <w:tr w:rsidR="006E5BA6" w:rsidRPr="00492AD6" w14:paraId="482A73B2"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5E73D0C8" w14:textId="77777777" w:rsidR="006E5BA6" w:rsidRPr="00492AD6" w:rsidRDefault="006E5BA6">
            <w:pPr>
              <w:pStyle w:val="TableDataEntries"/>
              <w:jc w:val="left"/>
              <w:rPr>
                <w:color w:val="000000" w:themeColor="text1"/>
              </w:rPr>
            </w:pPr>
            <w:r w:rsidRPr="00492AD6">
              <w:rPr>
                <w:color w:val="000000" w:themeColor="text1"/>
              </w:rPr>
              <w:t xml:space="preserve">   GHG</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C1D6964" w14:textId="77777777" w:rsidR="006E5BA6" w:rsidRPr="00492AD6" w:rsidRDefault="006E5BA6">
            <w:pPr>
              <w:pStyle w:val="TableDataEntries"/>
              <w:rPr>
                <w:color w:val="000000" w:themeColor="text1"/>
              </w:rPr>
            </w:pPr>
            <w:r w:rsidRPr="004F7BE4">
              <w:t>-85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F60E7E9" w14:textId="77777777" w:rsidR="006E5BA6" w:rsidRPr="00492AD6" w:rsidRDefault="006E5BA6">
            <w:pPr>
              <w:pStyle w:val="TableDataEntries"/>
              <w:rPr>
                <w:color w:val="000000" w:themeColor="text1"/>
              </w:rPr>
            </w:pPr>
            <w:r w:rsidRPr="004F7BE4">
              <w:t>-117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3ADB388" w14:textId="77777777" w:rsidR="006E5BA6" w:rsidRPr="00492AD6" w:rsidRDefault="006E5BA6">
            <w:pPr>
              <w:pStyle w:val="TableDataEntries"/>
              <w:rPr>
                <w:color w:val="000000" w:themeColor="text1"/>
              </w:rPr>
            </w:pPr>
            <w:r w:rsidRPr="004F7BE4">
              <w:t>-113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9CD32BD" w14:textId="77777777" w:rsidR="006E5BA6" w:rsidRPr="00492AD6" w:rsidRDefault="006E5BA6">
            <w:pPr>
              <w:pStyle w:val="TableDataEntries"/>
              <w:rPr>
                <w:color w:val="000000" w:themeColor="text1"/>
              </w:rPr>
            </w:pPr>
            <w:r w:rsidRPr="004F7BE4">
              <w:t>-124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0203754" w14:textId="77777777" w:rsidR="006E5BA6" w:rsidRPr="00492AD6" w:rsidRDefault="006E5BA6">
            <w:pPr>
              <w:pStyle w:val="TableDataEntries"/>
              <w:rPr>
                <w:color w:val="000000" w:themeColor="text1"/>
              </w:rPr>
            </w:pPr>
            <w:r w:rsidRPr="004F7BE4">
              <w:t>-122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EF773F9" w14:textId="77777777" w:rsidR="006E5BA6" w:rsidRPr="00492AD6" w:rsidRDefault="006E5BA6">
            <w:pPr>
              <w:pStyle w:val="TableDataEntries"/>
              <w:rPr>
                <w:color w:val="000000" w:themeColor="text1"/>
              </w:rPr>
            </w:pPr>
            <w:r w:rsidRPr="004F7BE4">
              <w:t>-131</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628E4DB" w14:textId="77777777" w:rsidR="006E5BA6" w:rsidRPr="00492AD6" w:rsidRDefault="006E5BA6">
            <w:pPr>
              <w:pStyle w:val="TableDataEntries"/>
              <w:rPr>
                <w:color w:val="000000" w:themeColor="text1"/>
              </w:rPr>
            </w:pPr>
            <w:r w:rsidRPr="004F7BE4">
              <w:t>-131</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9E097C0" w14:textId="77777777" w:rsidR="006E5BA6" w:rsidRPr="00492AD6" w:rsidRDefault="006E5BA6">
            <w:pPr>
              <w:pStyle w:val="TableDataEntries"/>
              <w:rPr>
                <w:color w:val="000000" w:themeColor="text1"/>
              </w:rPr>
            </w:pPr>
            <w:r w:rsidRPr="004F7BE4">
              <w:t>-101</w:t>
            </w:r>
          </w:p>
        </w:tc>
      </w:tr>
      <w:tr w:rsidR="006E5BA6" w:rsidRPr="00492AD6" w14:paraId="6CA0EB34" w14:textId="77777777">
        <w:trPr>
          <w:trHeight w:val="252"/>
        </w:trPr>
        <w:tc>
          <w:tcPr>
            <w:tcW w:w="2687" w:type="dxa"/>
            <w:gridSpan w:val="3"/>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5DCFC5E5" w14:textId="232FDB80" w:rsidR="006E5BA6" w:rsidRPr="00492AD6" w:rsidRDefault="00FD6000">
            <w:pPr>
              <w:pStyle w:val="TableHeading1"/>
              <w:rPr>
                <w:rFonts w:ascii="Times New Roman" w:hAnsi="Times New Roman"/>
                <w:color w:val="000000" w:themeColor="text1"/>
                <w:sz w:val="20"/>
                <w:szCs w:val="20"/>
              </w:rPr>
            </w:pPr>
            <w:r w:rsidRPr="00492AD6">
              <w:rPr>
                <w:color w:val="000000" w:themeColor="text1"/>
              </w:rPr>
              <w:t>Small office building (C5OS)</w:t>
            </w: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06E7BF08"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03984B69"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0491A2C9"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621EAFDE"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4E4DAFFD"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15655CAC" w14:textId="77777777" w:rsidR="006E5BA6" w:rsidRPr="00492AD6" w:rsidRDefault="006E5BA6">
            <w:pPr>
              <w:pStyle w:val="TableHeading1"/>
              <w:rPr>
                <w:rFonts w:ascii="Times New Roman" w:hAnsi="Times New Roman"/>
                <w:color w:val="000000" w:themeColor="text1"/>
                <w:sz w:val="20"/>
                <w:szCs w:val="20"/>
              </w:rPr>
            </w:pPr>
          </w:p>
        </w:tc>
      </w:tr>
      <w:tr w:rsidR="006E5BA6" w:rsidRPr="00492AD6" w14:paraId="0728E23F"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746C16FC" w14:textId="77777777" w:rsidR="006E5BA6" w:rsidRPr="00492AD6" w:rsidRDefault="006E5BA6">
            <w:pPr>
              <w:pStyle w:val="TableDataEntries"/>
              <w:jc w:val="left"/>
              <w:rPr>
                <w:color w:val="000000" w:themeColor="text1"/>
              </w:rPr>
            </w:pPr>
            <w:r w:rsidRPr="00492AD6">
              <w:rPr>
                <w:color w:val="000000" w:themeColor="text1"/>
              </w:rPr>
              <w:t xml:space="preserve">   Electricity</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1BAAD5E" w14:textId="77777777" w:rsidR="006E5BA6" w:rsidRPr="00492AD6" w:rsidRDefault="006E5BA6">
            <w:pPr>
              <w:pStyle w:val="TableDataEntries"/>
              <w:rPr>
                <w:color w:val="000000" w:themeColor="text1"/>
              </w:rPr>
            </w:pPr>
            <w:r w:rsidRPr="004F7BE4">
              <w:t>-51</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199D7AD" w14:textId="77777777" w:rsidR="006E5BA6" w:rsidRPr="00492AD6" w:rsidRDefault="006E5BA6">
            <w:pPr>
              <w:pStyle w:val="TableDataEntries"/>
              <w:rPr>
                <w:rFonts w:ascii="Times New Roman" w:hAnsi="Times New Roman"/>
                <w:color w:val="000000" w:themeColor="text1"/>
                <w:sz w:val="20"/>
                <w:szCs w:val="20"/>
              </w:rPr>
            </w:pPr>
            <w:r w:rsidRPr="004F7BE4">
              <w:t>-63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5F3CA50" w14:textId="77777777" w:rsidR="006E5BA6" w:rsidRPr="00492AD6" w:rsidRDefault="006E5BA6">
            <w:pPr>
              <w:pStyle w:val="TableDataEntries"/>
              <w:rPr>
                <w:rFonts w:ascii="Times New Roman" w:hAnsi="Times New Roman"/>
                <w:color w:val="000000" w:themeColor="text1"/>
                <w:sz w:val="20"/>
                <w:szCs w:val="20"/>
              </w:rPr>
            </w:pPr>
            <w:r w:rsidRPr="004F7BE4">
              <w:t>-68</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4A516F6" w14:textId="77777777" w:rsidR="006E5BA6" w:rsidRPr="00492AD6" w:rsidRDefault="006E5BA6">
            <w:pPr>
              <w:pStyle w:val="TableDataEntries"/>
              <w:rPr>
                <w:rFonts w:ascii="Times New Roman" w:hAnsi="Times New Roman"/>
                <w:color w:val="000000" w:themeColor="text1"/>
                <w:sz w:val="20"/>
                <w:szCs w:val="20"/>
              </w:rPr>
            </w:pPr>
            <w:r w:rsidRPr="004F7BE4">
              <w:t>-74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C6EA22D" w14:textId="77777777" w:rsidR="006E5BA6" w:rsidRPr="00492AD6" w:rsidRDefault="006E5BA6">
            <w:pPr>
              <w:pStyle w:val="TableDataEntries"/>
              <w:rPr>
                <w:rFonts w:ascii="Times New Roman" w:hAnsi="Times New Roman"/>
                <w:color w:val="000000" w:themeColor="text1"/>
                <w:sz w:val="20"/>
                <w:szCs w:val="20"/>
              </w:rPr>
            </w:pPr>
            <w:r w:rsidRPr="004F7BE4">
              <w:t>-86</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B5064C6" w14:textId="77777777" w:rsidR="006E5BA6" w:rsidRPr="00492AD6" w:rsidRDefault="006E5BA6">
            <w:pPr>
              <w:pStyle w:val="TableDataEntries"/>
              <w:rPr>
                <w:rFonts w:ascii="Times New Roman" w:hAnsi="Times New Roman"/>
                <w:color w:val="000000" w:themeColor="text1"/>
                <w:sz w:val="20"/>
                <w:szCs w:val="20"/>
              </w:rPr>
            </w:pPr>
            <w:r w:rsidRPr="004F7BE4">
              <w:t>-86</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636E442" w14:textId="77777777" w:rsidR="006E5BA6" w:rsidRPr="00492AD6" w:rsidRDefault="006E5BA6">
            <w:pPr>
              <w:pStyle w:val="TableDataEntries"/>
              <w:rPr>
                <w:rFonts w:ascii="Times New Roman" w:hAnsi="Times New Roman"/>
                <w:color w:val="000000" w:themeColor="text1"/>
                <w:sz w:val="20"/>
                <w:szCs w:val="20"/>
              </w:rPr>
            </w:pPr>
            <w:r w:rsidRPr="004F7BE4">
              <w:t>-75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2DF9A21" w14:textId="77777777" w:rsidR="006E5BA6" w:rsidRPr="00492AD6" w:rsidRDefault="006E5BA6">
            <w:pPr>
              <w:pStyle w:val="TableDataEntries"/>
              <w:rPr>
                <w:rFonts w:ascii="Times New Roman" w:hAnsi="Times New Roman"/>
                <w:color w:val="000000" w:themeColor="text1"/>
                <w:sz w:val="20"/>
                <w:szCs w:val="20"/>
              </w:rPr>
            </w:pPr>
            <w:r w:rsidRPr="004F7BE4">
              <w:t>-64</w:t>
            </w:r>
          </w:p>
        </w:tc>
      </w:tr>
      <w:tr w:rsidR="006E5BA6" w:rsidRPr="00492AD6" w14:paraId="5060FFC5"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67C40E9" w14:textId="77777777" w:rsidR="006E5BA6" w:rsidRPr="00492AD6" w:rsidRDefault="006E5BA6">
            <w:pPr>
              <w:pStyle w:val="TableDataEntries"/>
              <w:jc w:val="left"/>
              <w:rPr>
                <w:color w:val="000000" w:themeColor="text1"/>
              </w:rPr>
            </w:pPr>
            <w:r w:rsidRPr="00492AD6">
              <w:rPr>
                <w:color w:val="000000" w:themeColor="text1"/>
              </w:rPr>
              <w:t xml:space="preserve">   Gas</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7D30310" w14:textId="77777777" w:rsidR="006E5BA6" w:rsidRPr="00492AD6" w:rsidRDefault="006E5BA6">
            <w:pPr>
              <w:pStyle w:val="TableDataEntries"/>
              <w:rPr>
                <w:color w:val="000000" w:themeColor="text1"/>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5293D2D"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A1CC24F"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C573E2C"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9F8DFFE"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BB61473"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33B5F4F"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7C44A3E" w14:textId="77777777" w:rsidR="006E5BA6" w:rsidRPr="00492AD6" w:rsidRDefault="006E5BA6">
            <w:pPr>
              <w:pStyle w:val="TableDataEntries"/>
              <w:rPr>
                <w:rFonts w:ascii="Times New Roman" w:hAnsi="Times New Roman"/>
                <w:color w:val="000000" w:themeColor="text1"/>
                <w:sz w:val="20"/>
                <w:szCs w:val="20"/>
              </w:rPr>
            </w:pPr>
            <w:r w:rsidRPr="004F7BE4">
              <w:t>n/a</w:t>
            </w:r>
          </w:p>
        </w:tc>
      </w:tr>
      <w:tr w:rsidR="006E5BA6" w:rsidRPr="00492AD6" w14:paraId="360A9597"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3440FAD7" w14:textId="77777777" w:rsidR="006E5BA6" w:rsidRPr="00492AD6" w:rsidRDefault="006E5BA6">
            <w:pPr>
              <w:pStyle w:val="TableDataEntries"/>
              <w:jc w:val="left"/>
              <w:rPr>
                <w:color w:val="000000" w:themeColor="text1"/>
              </w:rPr>
            </w:pPr>
            <w:r w:rsidRPr="00492AD6">
              <w:rPr>
                <w:color w:val="000000" w:themeColor="text1"/>
              </w:rPr>
              <w:t xml:space="preserve">   GHG</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BE3CE84" w14:textId="77777777" w:rsidR="006E5BA6" w:rsidRPr="00492AD6" w:rsidRDefault="006E5BA6">
            <w:pPr>
              <w:pStyle w:val="TableDataEntries"/>
              <w:rPr>
                <w:color w:val="000000" w:themeColor="text1"/>
              </w:rPr>
            </w:pPr>
            <w:r w:rsidRPr="004F7BE4">
              <w:t>-74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D767193" w14:textId="77777777" w:rsidR="006E5BA6" w:rsidRPr="00492AD6" w:rsidRDefault="006E5BA6">
            <w:pPr>
              <w:pStyle w:val="TableDataEntries"/>
              <w:rPr>
                <w:rFonts w:ascii="Times New Roman" w:hAnsi="Times New Roman"/>
                <w:color w:val="000000" w:themeColor="text1"/>
                <w:sz w:val="20"/>
                <w:szCs w:val="20"/>
              </w:rPr>
            </w:pPr>
            <w:r w:rsidRPr="004F7BE4">
              <w:t>-105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3EFE327" w14:textId="77777777" w:rsidR="006E5BA6" w:rsidRPr="00492AD6" w:rsidRDefault="006E5BA6">
            <w:pPr>
              <w:pStyle w:val="TableDataEntries"/>
              <w:rPr>
                <w:rFonts w:ascii="Times New Roman" w:hAnsi="Times New Roman"/>
                <w:color w:val="000000" w:themeColor="text1"/>
                <w:sz w:val="20"/>
                <w:szCs w:val="20"/>
              </w:rPr>
            </w:pPr>
            <w:r w:rsidRPr="004F7BE4">
              <w:t>-105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4EA2557" w14:textId="77777777" w:rsidR="006E5BA6" w:rsidRPr="00492AD6" w:rsidRDefault="006E5BA6">
            <w:pPr>
              <w:pStyle w:val="TableDataEntries"/>
              <w:rPr>
                <w:rFonts w:ascii="Times New Roman" w:hAnsi="Times New Roman"/>
                <w:color w:val="000000" w:themeColor="text1"/>
                <w:sz w:val="20"/>
                <w:szCs w:val="20"/>
              </w:rPr>
            </w:pPr>
            <w:r w:rsidRPr="004F7BE4">
              <w:t>-113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5A729BB" w14:textId="77777777" w:rsidR="006E5BA6" w:rsidRPr="00492AD6" w:rsidRDefault="006E5BA6">
            <w:pPr>
              <w:pStyle w:val="TableDataEntries"/>
              <w:rPr>
                <w:rFonts w:ascii="Times New Roman" w:hAnsi="Times New Roman"/>
                <w:color w:val="000000" w:themeColor="text1"/>
                <w:sz w:val="20"/>
                <w:szCs w:val="20"/>
              </w:rPr>
            </w:pPr>
            <w:r w:rsidRPr="004F7BE4">
              <w:t>-124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8F8F4CE" w14:textId="77777777" w:rsidR="006E5BA6" w:rsidRPr="00492AD6" w:rsidRDefault="006E5BA6">
            <w:pPr>
              <w:pStyle w:val="TableDataEntries"/>
              <w:rPr>
                <w:rFonts w:ascii="Times New Roman" w:hAnsi="Times New Roman"/>
                <w:color w:val="000000" w:themeColor="text1"/>
                <w:sz w:val="20"/>
                <w:szCs w:val="20"/>
              </w:rPr>
            </w:pPr>
            <w:r w:rsidRPr="004F7BE4">
              <w:t>-125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1D43EB3" w14:textId="77777777" w:rsidR="006E5BA6" w:rsidRPr="00492AD6" w:rsidRDefault="006E5BA6">
            <w:pPr>
              <w:pStyle w:val="TableDataEntries"/>
              <w:rPr>
                <w:rFonts w:ascii="Times New Roman" w:hAnsi="Times New Roman"/>
                <w:color w:val="000000" w:themeColor="text1"/>
                <w:sz w:val="20"/>
                <w:szCs w:val="20"/>
              </w:rPr>
            </w:pPr>
            <w:r w:rsidRPr="004F7BE4">
              <w:t>-115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6765E3F" w14:textId="77777777" w:rsidR="006E5BA6" w:rsidRPr="00492AD6" w:rsidRDefault="006E5BA6">
            <w:pPr>
              <w:pStyle w:val="TableDataEntries"/>
              <w:rPr>
                <w:rFonts w:ascii="Times New Roman" w:hAnsi="Times New Roman"/>
                <w:color w:val="000000" w:themeColor="text1"/>
                <w:sz w:val="20"/>
                <w:szCs w:val="20"/>
              </w:rPr>
            </w:pPr>
            <w:r w:rsidRPr="004F7BE4">
              <w:t>-93</w:t>
            </w:r>
          </w:p>
        </w:tc>
      </w:tr>
      <w:tr w:rsidR="006E5BA6" w:rsidRPr="00492AD6" w14:paraId="4EE6F09F" w14:textId="77777777">
        <w:trPr>
          <w:trHeight w:val="252"/>
        </w:trPr>
        <w:tc>
          <w:tcPr>
            <w:tcW w:w="2687" w:type="dxa"/>
            <w:gridSpan w:val="3"/>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72B14CE2" w14:textId="229E8050" w:rsidR="006E5BA6" w:rsidRPr="00492AD6" w:rsidRDefault="00FD6000">
            <w:pPr>
              <w:pStyle w:val="TableHeading1"/>
              <w:rPr>
                <w:rFonts w:ascii="Times New Roman" w:hAnsi="Times New Roman"/>
                <w:color w:val="000000" w:themeColor="text1"/>
                <w:sz w:val="20"/>
                <w:szCs w:val="20"/>
              </w:rPr>
            </w:pPr>
            <w:r w:rsidRPr="00492AD6">
              <w:rPr>
                <w:color w:val="000000" w:themeColor="text1"/>
              </w:rPr>
              <w:t>Big box retail (C6RL)</w:t>
            </w: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16DF664D"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1364568A"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0B58B950"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65C9E8FC"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0DFBEADC"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146DAF33" w14:textId="77777777" w:rsidR="006E5BA6" w:rsidRPr="00492AD6" w:rsidRDefault="006E5BA6">
            <w:pPr>
              <w:pStyle w:val="TableHeading1"/>
              <w:rPr>
                <w:rFonts w:ascii="Times New Roman" w:hAnsi="Times New Roman"/>
                <w:color w:val="000000" w:themeColor="text1"/>
                <w:sz w:val="20"/>
                <w:szCs w:val="20"/>
              </w:rPr>
            </w:pPr>
          </w:p>
        </w:tc>
      </w:tr>
      <w:tr w:rsidR="006E5BA6" w:rsidRPr="00492AD6" w14:paraId="6989B7C4"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0CA9ED57" w14:textId="77777777" w:rsidR="006E5BA6" w:rsidRPr="00492AD6" w:rsidRDefault="006E5BA6">
            <w:pPr>
              <w:pStyle w:val="TableDataEntries"/>
              <w:jc w:val="left"/>
              <w:rPr>
                <w:color w:val="000000" w:themeColor="text1"/>
              </w:rPr>
            </w:pPr>
            <w:r w:rsidRPr="00492AD6">
              <w:rPr>
                <w:color w:val="000000" w:themeColor="text1"/>
              </w:rPr>
              <w:t xml:space="preserve">   Electricity</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E02D375" w14:textId="77777777" w:rsidR="006E5BA6" w:rsidRPr="00492AD6" w:rsidRDefault="006E5BA6">
            <w:pPr>
              <w:pStyle w:val="TableDataEntries"/>
              <w:rPr>
                <w:color w:val="000000" w:themeColor="text1"/>
              </w:rPr>
            </w:pPr>
            <w:r w:rsidRPr="004F7BE4">
              <w:t>-49</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D7719D3" w14:textId="77777777" w:rsidR="006E5BA6" w:rsidRPr="00492AD6" w:rsidRDefault="006E5BA6">
            <w:pPr>
              <w:pStyle w:val="TableDataEntries"/>
              <w:rPr>
                <w:rFonts w:ascii="Times New Roman" w:hAnsi="Times New Roman"/>
                <w:color w:val="000000" w:themeColor="text1"/>
                <w:sz w:val="20"/>
                <w:szCs w:val="20"/>
              </w:rPr>
            </w:pPr>
            <w:r w:rsidRPr="004F7BE4">
              <w:t>-66</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D26AA43" w14:textId="77777777" w:rsidR="006E5BA6" w:rsidRPr="00492AD6" w:rsidRDefault="006E5BA6">
            <w:pPr>
              <w:pStyle w:val="TableDataEntries"/>
              <w:rPr>
                <w:rFonts w:ascii="Times New Roman" w:hAnsi="Times New Roman"/>
                <w:color w:val="000000" w:themeColor="text1"/>
                <w:sz w:val="20"/>
                <w:szCs w:val="20"/>
              </w:rPr>
            </w:pPr>
            <w:r w:rsidRPr="004F7BE4">
              <w:t>-65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F5EBADC" w14:textId="77777777" w:rsidR="006E5BA6" w:rsidRPr="00492AD6" w:rsidRDefault="006E5BA6">
            <w:pPr>
              <w:pStyle w:val="TableDataEntries"/>
              <w:rPr>
                <w:rFonts w:ascii="Times New Roman" w:hAnsi="Times New Roman"/>
                <w:color w:val="000000" w:themeColor="text1"/>
                <w:sz w:val="20"/>
                <w:szCs w:val="20"/>
              </w:rPr>
            </w:pPr>
            <w:r w:rsidRPr="004F7BE4">
              <w:t>-58</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03360B0" w14:textId="77777777" w:rsidR="006E5BA6" w:rsidRPr="00492AD6" w:rsidRDefault="006E5BA6">
            <w:pPr>
              <w:pStyle w:val="TableDataEntries"/>
              <w:rPr>
                <w:rFonts w:ascii="Times New Roman" w:hAnsi="Times New Roman"/>
                <w:color w:val="000000" w:themeColor="text1"/>
                <w:sz w:val="20"/>
                <w:szCs w:val="20"/>
              </w:rPr>
            </w:pPr>
            <w:r w:rsidRPr="004F7BE4">
              <w:t>-63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E1126D1" w14:textId="77777777" w:rsidR="006E5BA6" w:rsidRPr="00492AD6" w:rsidRDefault="006E5BA6">
            <w:pPr>
              <w:pStyle w:val="TableDataEntries"/>
              <w:rPr>
                <w:rFonts w:ascii="Times New Roman" w:hAnsi="Times New Roman"/>
                <w:color w:val="000000" w:themeColor="text1"/>
                <w:sz w:val="20"/>
                <w:szCs w:val="20"/>
              </w:rPr>
            </w:pPr>
            <w:r w:rsidRPr="004F7BE4">
              <w:t>-52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30AE276" w14:textId="77777777" w:rsidR="006E5BA6" w:rsidRPr="00492AD6" w:rsidRDefault="006E5BA6">
            <w:pPr>
              <w:pStyle w:val="TableDataEntries"/>
              <w:rPr>
                <w:rFonts w:ascii="Times New Roman" w:hAnsi="Times New Roman"/>
                <w:color w:val="000000" w:themeColor="text1"/>
                <w:sz w:val="20"/>
                <w:szCs w:val="20"/>
              </w:rPr>
            </w:pPr>
            <w:r w:rsidRPr="004F7BE4">
              <w:t>-57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39EAE19" w14:textId="77777777" w:rsidR="006E5BA6" w:rsidRPr="00492AD6" w:rsidRDefault="006E5BA6">
            <w:pPr>
              <w:pStyle w:val="TableDataEntries"/>
              <w:rPr>
                <w:rFonts w:ascii="Times New Roman" w:hAnsi="Times New Roman"/>
                <w:color w:val="000000" w:themeColor="text1"/>
                <w:sz w:val="20"/>
                <w:szCs w:val="20"/>
              </w:rPr>
            </w:pPr>
            <w:r w:rsidRPr="004F7BE4">
              <w:t>-44</w:t>
            </w:r>
          </w:p>
        </w:tc>
      </w:tr>
      <w:tr w:rsidR="006E5BA6" w:rsidRPr="00492AD6" w14:paraId="22FF28A1"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635BCD5E" w14:textId="77777777" w:rsidR="006E5BA6" w:rsidRPr="00492AD6" w:rsidRDefault="006E5BA6">
            <w:pPr>
              <w:pStyle w:val="TableDataEntries"/>
              <w:jc w:val="left"/>
              <w:rPr>
                <w:color w:val="000000" w:themeColor="text1"/>
              </w:rPr>
            </w:pPr>
            <w:r w:rsidRPr="00492AD6">
              <w:rPr>
                <w:color w:val="000000" w:themeColor="text1"/>
              </w:rPr>
              <w:t xml:space="preserve">   Gas</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3E26FF4" w14:textId="77777777" w:rsidR="006E5BA6" w:rsidRPr="00492AD6" w:rsidRDefault="006E5BA6">
            <w:pPr>
              <w:pStyle w:val="TableDataEntries"/>
              <w:rPr>
                <w:color w:val="000000" w:themeColor="text1"/>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0EDD78E"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F733C5A"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2DF1365"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2F80D90"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12D4187"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037A765"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21D8EE1" w14:textId="77777777" w:rsidR="006E5BA6" w:rsidRPr="00492AD6" w:rsidRDefault="006E5BA6">
            <w:pPr>
              <w:pStyle w:val="TableDataEntries"/>
              <w:rPr>
                <w:rFonts w:ascii="Times New Roman" w:hAnsi="Times New Roman"/>
                <w:color w:val="000000" w:themeColor="text1"/>
                <w:sz w:val="20"/>
                <w:szCs w:val="20"/>
              </w:rPr>
            </w:pPr>
            <w:r w:rsidRPr="004F7BE4">
              <w:t>n/a</w:t>
            </w:r>
          </w:p>
        </w:tc>
      </w:tr>
      <w:tr w:rsidR="006E5BA6" w:rsidRPr="00492AD6" w14:paraId="5A8AE0A0"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31C668A1" w14:textId="77777777" w:rsidR="006E5BA6" w:rsidRPr="00492AD6" w:rsidRDefault="006E5BA6">
            <w:pPr>
              <w:pStyle w:val="TableDataEntries"/>
              <w:jc w:val="left"/>
              <w:rPr>
                <w:color w:val="000000" w:themeColor="text1"/>
              </w:rPr>
            </w:pPr>
            <w:r w:rsidRPr="00492AD6">
              <w:rPr>
                <w:color w:val="000000" w:themeColor="text1"/>
              </w:rPr>
              <w:t xml:space="preserve">   GHG</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3A8AE8C" w14:textId="77777777" w:rsidR="006E5BA6" w:rsidRPr="00492AD6" w:rsidRDefault="006E5BA6">
            <w:pPr>
              <w:pStyle w:val="TableDataEntries"/>
              <w:rPr>
                <w:color w:val="000000" w:themeColor="text1"/>
              </w:rPr>
            </w:pPr>
            <w:r w:rsidRPr="004F7BE4">
              <w:t>-49</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93D0455" w14:textId="77777777" w:rsidR="006E5BA6" w:rsidRPr="00492AD6" w:rsidRDefault="006E5BA6">
            <w:pPr>
              <w:pStyle w:val="TableDataEntries"/>
              <w:rPr>
                <w:rFonts w:ascii="Times New Roman" w:hAnsi="Times New Roman"/>
                <w:color w:val="000000" w:themeColor="text1"/>
                <w:sz w:val="20"/>
                <w:szCs w:val="20"/>
              </w:rPr>
            </w:pPr>
            <w:r w:rsidRPr="004F7BE4">
              <w:t>-67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4DBF1B1" w14:textId="77777777" w:rsidR="006E5BA6" w:rsidRPr="00492AD6" w:rsidRDefault="006E5BA6">
            <w:pPr>
              <w:pStyle w:val="TableDataEntries"/>
              <w:rPr>
                <w:rFonts w:ascii="Times New Roman" w:hAnsi="Times New Roman"/>
                <w:color w:val="000000" w:themeColor="text1"/>
                <w:sz w:val="20"/>
                <w:szCs w:val="20"/>
              </w:rPr>
            </w:pPr>
            <w:r w:rsidRPr="004F7BE4">
              <w:t>-65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4D3F1B7" w14:textId="77777777" w:rsidR="006E5BA6" w:rsidRPr="00492AD6" w:rsidRDefault="006E5BA6">
            <w:pPr>
              <w:pStyle w:val="TableDataEntries"/>
              <w:rPr>
                <w:rFonts w:ascii="Times New Roman" w:hAnsi="Times New Roman"/>
                <w:color w:val="000000" w:themeColor="text1"/>
                <w:sz w:val="20"/>
                <w:szCs w:val="20"/>
              </w:rPr>
            </w:pPr>
            <w:r w:rsidRPr="004F7BE4">
              <w:t>-59</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1ECA7DD" w14:textId="77777777" w:rsidR="006E5BA6" w:rsidRPr="00492AD6" w:rsidRDefault="006E5BA6">
            <w:pPr>
              <w:pStyle w:val="TableDataEntries"/>
              <w:rPr>
                <w:rFonts w:ascii="Times New Roman" w:hAnsi="Times New Roman"/>
                <w:color w:val="000000" w:themeColor="text1"/>
                <w:sz w:val="20"/>
                <w:szCs w:val="20"/>
              </w:rPr>
            </w:pPr>
            <w:r w:rsidRPr="004F7BE4">
              <w:t>-64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EF08D79" w14:textId="77777777" w:rsidR="006E5BA6" w:rsidRPr="00492AD6" w:rsidRDefault="006E5BA6">
            <w:pPr>
              <w:pStyle w:val="TableDataEntries"/>
              <w:rPr>
                <w:rFonts w:ascii="Times New Roman" w:hAnsi="Times New Roman"/>
                <w:color w:val="000000" w:themeColor="text1"/>
                <w:sz w:val="20"/>
                <w:szCs w:val="20"/>
              </w:rPr>
            </w:pPr>
            <w:r w:rsidRPr="004F7BE4">
              <w:t>-55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D7019AC" w14:textId="77777777" w:rsidR="006E5BA6" w:rsidRPr="00492AD6" w:rsidRDefault="006E5BA6">
            <w:pPr>
              <w:pStyle w:val="TableDataEntries"/>
              <w:rPr>
                <w:rFonts w:ascii="Times New Roman" w:hAnsi="Times New Roman"/>
                <w:color w:val="000000" w:themeColor="text1"/>
                <w:sz w:val="20"/>
                <w:szCs w:val="20"/>
              </w:rPr>
            </w:pPr>
            <w:r w:rsidRPr="004F7BE4">
              <w:t>-59</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095B69A" w14:textId="77777777" w:rsidR="006E5BA6" w:rsidRPr="00492AD6" w:rsidRDefault="006E5BA6">
            <w:pPr>
              <w:pStyle w:val="TableDataEntries"/>
              <w:rPr>
                <w:rFonts w:ascii="Times New Roman" w:hAnsi="Times New Roman"/>
                <w:color w:val="000000" w:themeColor="text1"/>
                <w:sz w:val="20"/>
                <w:szCs w:val="20"/>
              </w:rPr>
            </w:pPr>
            <w:r w:rsidRPr="004F7BE4">
              <w:t>-45</w:t>
            </w:r>
          </w:p>
        </w:tc>
      </w:tr>
      <w:tr w:rsidR="006E5BA6" w:rsidRPr="00492AD6" w14:paraId="45A98B0D" w14:textId="77777777">
        <w:trPr>
          <w:trHeight w:val="252"/>
        </w:trPr>
        <w:tc>
          <w:tcPr>
            <w:tcW w:w="1812" w:type="dxa"/>
            <w:gridSpan w:val="2"/>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2E3CF1AB" w14:textId="15AE2FA0" w:rsidR="006E5BA6" w:rsidRPr="00492AD6" w:rsidRDefault="00FD6000">
            <w:pPr>
              <w:pStyle w:val="TableHeading1"/>
              <w:rPr>
                <w:color w:val="000000" w:themeColor="text1"/>
              </w:rPr>
            </w:pPr>
            <w:r w:rsidRPr="00492AD6">
              <w:rPr>
                <w:color w:val="000000" w:themeColor="text1"/>
              </w:rPr>
              <w:t>Strip shops (C6RS)</w:t>
            </w: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731009BB"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49523841"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7244F00D"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59BA05C7"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507C823A"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539CCA3A"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41070722" w14:textId="77777777" w:rsidR="006E5BA6" w:rsidRPr="00492AD6" w:rsidRDefault="006E5BA6">
            <w:pPr>
              <w:pStyle w:val="TableHeading1"/>
              <w:rPr>
                <w:rFonts w:ascii="Times New Roman" w:hAnsi="Times New Roman"/>
                <w:color w:val="000000" w:themeColor="text1"/>
                <w:sz w:val="20"/>
                <w:szCs w:val="20"/>
              </w:rPr>
            </w:pPr>
          </w:p>
        </w:tc>
      </w:tr>
      <w:tr w:rsidR="006E5BA6" w:rsidRPr="00492AD6" w14:paraId="01307913"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4485A8D" w14:textId="77777777" w:rsidR="006E5BA6" w:rsidRPr="00492AD6" w:rsidRDefault="006E5BA6">
            <w:pPr>
              <w:pStyle w:val="TableDataEntries"/>
              <w:jc w:val="left"/>
              <w:rPr>
                <w:color w:val="000000" w:themeColor="text1"/>
              </w:rPr>
            </w:pPr>
            <w:r w:rsidRPr="00492AD6">
              <w:rPr>
                <w:color w:val="000000" w:themeColor="text1"/>
              </w:rPr>
              <w:t xml:space="preserve">   Electricity</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6C68B1F" w14:textId="77777777" w:rsidR="006E5BA6" w:rsidRPr="00492AD6" w:rsidRDefault="006E5BA6">
            <w:pPr>
              <w:pStyle w:val="TableDataEntries"/>
              <w:rPr>
                <w:color w:val="000000" w:themeColor="text1"/>
              </w:rPr>
            </w:pPr>
            <w:r w:rsidRPr="004F7BE4">
              <w:t>-65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9D3EB11" w14:textId="77777777" w:rsidR="006E5BA6" w:rsidRPr="00492AD6" w:rsidRDefault="006E5BA6">
            <w:pPr>
              <w:pStyle w:val="TableDataEntries"/>
              <w:rPr>
                <w:rFonts w:ascii="Times New Roman" w:hAnsi="Times New Roman"/>
                <w:color w:val="000000" w:themeColor="text1"/>
                <w:sz w:val="20"/>
                <w:szCs w:val="20"/>
              </w:rPr>
            </w:pPr>
            <w:r w:rsidRPr="004F7BE4">
              <w:t>-72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1EDDDF7" w14:textId="77777777" w:rsidR="006E5BA6" w:rsidRPr="00492AD6" w:rsidRDefault="006E5BA6">
            <w:pPr>
              <w:pStyle w:val="TableDataEntries"/>
              <w:rPr>
                <w:rFonts w:ascii="Times New Roman" w:hAnsi="Times New Roman"/>
                <w:color w:val="000000" w:themeColor="text1"/>
                <w:sz w:val="20"/>
                <w:szCs w:val="20"/>
              </w:rPr>
            </w:pPr>
            <w:r w:rsidRPr="004F7BE4">
              <w:t>-73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D693110" w14:textId="77777777" w:rsidR="006E5BA6" w:rsidRPr="00492AD6" w:rsidRDefault="006E5BA6">
            <w:pPr>
              <w:pStyle w:val="TableDataEntries"/>
              <w:rPr>
                <w:rFonts w:ascii="Times New Roman" w:hAnsi="Times New Roman"/>
                <w:color w:val="000000" w:themeColor="text1"/>
                <w:sz w:val="20"/>
                <w:szCs w:val="20"/>
              </w:rPr>
            </w:pPr>
            <w:r w:rsidRPr="004F7BE4">
              <w:t>-70</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78BEE9B" w14:textId="77777777" w:rsidR="006E5BA6" w:rsidRPr="00492AD6" w:rsidRDefault="006E5BA6">
            <w:pPr>
              <w:pStyle w:val="TableDataEntries"/>
              <w:rPr>
                <w:rFonts w:ascii="Times New Roman" w:hAnsi="Times New Roman"/>
                <w:color w:val="000000" w:themeColor="text1"/>
                <w:sz w:val="20"/>
                <w:szCs w:val="20"/>
              </w:rPr>
            </w:pPr>
            <w:r w:rsidRPr="004F7BE4">
              <w:t>-72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E4D8834" w14:textId="77777777" w:rsidR="006E5BA6" w:rsidRPr="00492AD6" w:rsidRDefault="006E5BA6">
            <w:pPr>
              <w:pStyle w:val="TableDataEntries"/>
              <w:rPr>
                <w:rFonts w:ascii="Times New Roman" w:hAnsi="Times New Roman"/>
                <w:color w:val="000000" w:themeColor="text1"/>
                <w:sz w:val="20"/>
                <w:szCs w:val="20"/>
              </w:rPr>
            </w:pPr>
            <w:r w:rsidRPr="004F7BE4">
              <w:t>-66</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F6EE8D7" w14:textId="77777777" w:rsidR="006E5BA6" w:rsidRPr="00492AD6" w:rsidRDefault="006E5BA6">
            <w:pPr>
              <w:pStyle w:val="TableDataEntries"/>
              <w:rPr>
                <w:rFonts w:ascii="Times New Roman" w:hAnsi="Times New Roman"/>
                <w:color w:val="000000" w:themeColor="text1"/>
                <w:sz w:val="20"/>
                <w:szCs w:val="20"/>
              </w:rPr>
            </w:pPr>
            <w:r w:rsidRPr="004F7BE4">
              <w:t>-65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CE7518D" w14:textId="77777777" w:rsidR="006E5BA6" w:rsidRPr="00492AD6" w:rsidRDefault="006E5BA6">
            <w:pPr>
              <w:pStyle w:val="TableDataEntries"/>
              <w:rPr>
                <w:rFonts w:ascii="Times New Roman" w:hAnsi="Times New Roman"/>
                <w:color w:val="000000" w:themeColor="text1"/>
                <w:sz w:val="20"/>
                <w:szCs w:val="20"/>
              </w:rPr>
            </w:pPr>
            <w:r w:rsidRPr="004F7BE4">
              <w:t>-48</w:t>
            </w:r>
          </w:p>
        </w:tc>
      </w:tr>
      <w:tr w:rsidR="006E5BA6" w:rsidRPr="00492AD6" w14:paraId="34C94AE3"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3BA18247" w14:textId="77777777" w:rsidR="006E5BA6" w:rsidRPr="00492AD6" w:rsidRDefault="006E5BA6">
            <w:pPr>
              <w:pStyle w:val="TableDataEntries"/>
              <w:jc w:val="left"/>
              <w:rPr>
                <w:color w:val="000000" w:themeColor="text1"/>
              </w:rPr>
            </w:pPr>
            <w:r w:rsidRPr="00492AD6">
              <w:rPr>
                <w:color w:val="000000" w:themeColor="text1"/>
              </w:rPr>
              <w:t xml:space="preserve">   Gas</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E0FB65C" w14:textId="77777777" w:rsidR="006E5BA6" w:rsidRPr="00492AD6" w:rsidRDefault="006E5BA6">
            <w:pPr>
              <w:pStyle w:val="TableDataEntries"/>
              <w:rPr>
                <w:color w:val="000000" w:themeColor="text1"/>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BD3C12F"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5A71925"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67C57A9"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B3BE994"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47C9DEB"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BC32155"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7E26F01" w14:textId="77777777" w:rsidR="006E5BA6" w:rsidRPr="00492AD6" w:rsidRDefault="006E5BA6">
            <w:pPr>
              <w:pStyle w:val="TableDataEntries"/>
              <w:rPr>
                <w:rFonts w:ascii="Times New Roman" w:hAnsi="Times New Roman"/>
                <w:color w:val="000000" w:themeColor="text1"/>
                <w:sz w:val="20"/>
                <w:szCs w:val="20"/>
              </w:rPr>
            </w:pPr>
            <w:r w:rsidRPr="004F7BE4">
              <w:t>n/a</w:t>
            </w:r>
          </w:p>
        </w:tc>
      </w:tr>
      <w:tr w:rsidR="006E5BA6" w:rsidRPr="00492AD6" w14:paraId="3765CFE4"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94AB1EB" w14:textId="77777777" w:rsidR="006E5BA6" w:rsidRPr="00492AD6" w:rsidRDefault="006E5BA6">
            <w:pPr>
              <w:pStyle w:val="TableDataEntries"/>
              <w:jc w:val="left"/>
              <w:rPr>
                <w:color w:val="000000" w:themeColor="text1"/>
              </w:rPr>
            </w:pPr>
            <w:r w:rsidRPr="00492AD6">
              <w:rPr>
                <w:color w:val="000000" w:themeColor="text1"/>
              </w:rPr>
              <w:t xml:space="preserve">   GHG</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1985AD7" w14:textId="77777777" w:rsidR="006E5BA6" w:rsidRPr="00492AD6" w:rsidRDefault="006E5BA6">
            <w:pPr>
              <w:pStyle w:val="TableDataEntries"/>
              <w:rPr>
                <w:color w:val="000000" w:themeColor="text1"/>
              </w:rPr>
            </w:pPr>
            <w:r w:rsidRPr="004F7BE4">
              <w:t>-65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CE1B51C" w14:textId="77777777" w:rsidR="006E5BA6" w:rsidRPr="00492AD6" w:rsidRDefault="006E5BA6">
            <w:pPr>
              <w:pStyle w:val="TableDataEntries"/>
              <w:rPr>
                <w:rFonts w:ascii="Times New Roman" w:hAnsi="Times New Roman"/>
                <w:color w:val="000000" w:themeColor="text1"/>
                <w:sz w:val="20"/>
                <w:szCs w:val="20"/>
              </w:rPr>
            </w:pPr>
            <w:r w:rsidRPr="004F7BE4">
              <w:t>-73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9EDC631" w14:textId="77777777" w:rsidR="006E5BA6" w:rsidRPr="00492AD6" w:rsidRDefault="006E5BA6">
            <w:pPr>
              <w:pStyle w:val="TableDataEntries"/>
              <w:rPr>
                <w:rFonts w:ascii="Times New Roman" w:hAnsi="Times New Roman"/>
                <w:color w:val="000000" w:themeColor="text1"/>
                <w:sz w:val="20"/>
                <w:szCs w:val="20"/>
              </w:rPr>
            </w:pPr>
            <w:r w:rsidRPr="004F7BE4">
              <w:t>-74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1D92987" w14:textId="77777777" w:rsidR="006E5BA6" w:rsidRPr="00492AD6" w:rsidRDefault="006E5BA6">
            <w:pPr>
              <w:pStyle w:val="TableDataEntries"/>
              <w:rPr>
                <w:rFonts w:ascii="Times New Roman" w:hAnsi="Times New Roman"/>
                <w:color w:val="000000" w:themeColor="text1"/>
                <w:sz w:val="20"/>
                <w:szCs w:val="20"/>
              </w:rPr>
            </w:pPr>
            <w:r w:rsidRPr="004F7BE4">
              <w:t>-73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31B172E" w14:textId="77777777" w:rsidR="006E5BA6" w:rsidRPr="00492AD6" w:rsidRDefault="006E5BA6">
            <w:pPr>
              <w:pStyle w:val="TableDataEntries"/>
              <w:rPr>
                <w:rFonts w:ascii="Times New Roman" w:hAnsi="Times New Roman"/>
                <w:color w:val="000000" w:themeColor="text1"/>
                <w:sz w:val="20"/>
                <w:szCs w:val="20"/>
              </w:rPr>
            </w:pPr>
            <w:r w:rsidRPr="004F7BE4">
              <w:t>-74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155125C" w14:textId="77777777" w:rsidR="006E5BA6" w:rsidRPr="00492AD6" w:rsidRDefault="006E5BA6">
            <w:pPr>
              <w:pStyle w:val="TableDataEntries"/>
              <w:rPr>
                <w:rFonts w:ascii="Times New Roman" w:hAnsi="Times New Roman"/>
                <w:color w:val="000000" w:themeColor="text1"/>
                <w:sz w:val="20"/>
                <w:szCs w:val="20"/>
              </w:rPr>
            </w:pPr>
            <w:r w:rsidRPr="004F7BE4">
              <w:t>-71</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7AE1450" w14:textId="77777777" w:rsidR="006E5BA6" w:rsidRPr="00492AD6" w:rsidRDefault="006E5BA6">
            <w:pPr>
              <w:pStyle w:val="TableDataEntries"/>
              <w:rPr>
                <w:rFonts w:ascii="Times New Roman" w:hAnsi="Times New Roman"/>
                <w:color w:val="000000" w:themeColor="text1"/>
                <w:sz w:val="20"/>
                <w:szCs w:val="20"/>
              </w:rPr>
            </w:pPr>
            <w:r w:rsidRPr="004F7BE4">
              <w:t>-70</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C4E0013" w14:textId="77777777" w:rsidR="006E5BA6" w:rsidRPr="00492AD6" w:rsidRDefault="006E5BA6">
            <w:pPr>
              <w:pStyle w:val="TableDataEntries"/>
              <w:rPr>
                <w:rFonts w:ascii="Times New Roman" w:hAnsi="Times New Roman"/>
                <w:color w:val="000000" w:themeColor="text1"/>
                <w:sz w:val="20"/>
                <w:szCs w:val="20"/>
              </w:rPr>
            </w:pPr>
            <w:r w:rsidRPr="004F7BE4">
              <w:t>-50</w:t>
            </w:r>
          </w:p>
        </w:tc>
      </w:tr>
      <w:tr w:rsidR="006E5BA6" w:rsidRPr="00492AD6" w14:paraId="23937058" w14:textId="77777777">
        <w:trPr>
          <w:trHeight w:val="252"/>
        </w:trPr>
        <w:tc>
          <w:tcPr>
            <w:tcW w:w="2687" w:type="dxa"/>
            <w:gridSpan w:val="3"/>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1C5E0831" w14:textId="4AE2381C" w:rsidR="006E5BA6" w:rsidRPr="00492AD6" w:rsidRDefault="00FD6000">
            <w:pPr>
              <w:pStyle w:val="TableHeading1"/>
              <w:rPr>
                <w:rFonts w:ascii="Times New Roman" w:hAnsi="Times New Roman"/>
                <w:color w:val="000000" w:themeColor="text1"/>
                <w:sz w:val="20"/>
                <w:szCs w:val="20"/>
              </w:rPr>
            </w:pPr>
            <w:r w:rsidRPr="00492AD6">
              <w:rPr>
                <w:color w:val="000000" w:themeColor="text1"/>
              </w:rPr>
              <w:t>Large hospital ward (C9A)</w:t>
            </w: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5E6CF05A"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144DA183"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0139D8E3"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23423C15"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3F07AD46"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248F2BE3" w14:textId="77777777" w:rsidR="006E5BA6" w:rsidRPr="00492AD6" w:rsidRDefault="006E5BA6">
            <w:pPr>
              <w:pStyle w:val="TableHeading1"/>
              <w:rPr>
                <w:rFonts w:ascii="Times New Roman" w:hAnsi="Times New Roman"/>
                <w:color w:val="000000" w:themeColor="text1"/>
                <w:sz w:val="20"/>
                <w:szCs w:val="20"/>
              </w:rPr>
            </w:pPr>
          </w:p>
        </w:tc>
      </w:tr>
      <w:tr w:rsidR="006E5BA6" w:rsidRPr="00492AD6" w14:paraId="2F7C1995"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6A49A161" w14:textId="77777777" w:rsidR="006E5BA6" w:rsidRPr="00492AD6" w:rsidRDefault="006E5BA6">
            <w:pPr>
              <w:pStyle w:val="TableDataEntries"/>
              <w:jc w:val="left"/>
              <w:rPr>
                <w:color w:val="000000" w:themeColor="text1"/>
              </w:rPr>
            </w:pPr>
            <w:r w:rsidRPr="00492AD6">
              <w:rPr>
                <w:color w:val="000000" w:themeColor="text1"/>
              </w:rPr>
              <w:t xml:space="preserve">   Electricity</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5C0F609" w14:textId="77777777" w:rsidR="006E5BA6" w:rsidRPr="00492AD6" w:rsidRDefault="006E5BA6">
            <w:pPr>
              <w:pStyle w:val="TableDataEntries"/>
              <w:rPr>
                <w:color w:val="000000" w:themeColor="text1"/>
              </w:rPr>
            </w:pPr>
            <w:r w:rsidRPr="004F7BE4">
              <w:t>-25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6AB6B0B" w14:textId="77777777" w:rsidR="006E5BA6" w:rsidRPr="00492AD6" w:rsidRDefault="006E5BA6">
            <w:pPr>
              <w:pStyle w:val="TableDataEntries"/>
              <w:rPr>
                <w:color w:val="000000" w:themeColor="text1"/>
              </w:rPr>
            </w:pPr>
            <w:r w:rsidRPr="004F7BE4">
              <w:t>-26</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936728B" w14:textId="77777777" w:rsidR="006E5BA6" w:rsidRPr="00492AD6" w:rsidRDefault="006E5BA6">
            <w:pPr>
              <w:pStyle w:val="TableDataEntries"/>
              <w:rPr>
                <w:color w:val="000000" w:themeColor="text1"/>
              </w:rPr>
            </w:pPr>
            <w:r w:rsidRPr="004F7BE4">
              <w:t>-30</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8D5078E" w14:textId="77777777" w:rsidR="006E5BA6" w:rsidRPr="00492AD6" w:rsidRDefault="006E5BA6">
            <w:pPr>
              <w:pStyle w:val="TableDataEntries"/>
              <w:rPr>
                <w:color w:val="000000" w:themeColor="text1"/>
              </w:rPr>
            </w:pPr>
            <w:r w:rsidRPr="004F7BE4">
              <w:t>-25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F8F89E3" w14:textId="77777777" w:rsidR="006E5BA6" w:rsidRPr="00492AD6" w:rsidRDefault="006E5BA6">
            <w:pPr>
              <w:pStyle w:val="TableDataEntries"/>
              <w:rPr>
                <w:color w:val="000000" w:themeColor="text1"/>
              </w:rPr>
            </w:pPr>
            <w:r w:rsidRPr="004F7BE4">
              <w:t>-29</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0A97EE4" w14:textId="77777777" w:rsidR="006E5BA6" w:rsidRPr="00492AD6" w:rsidRDefault="006E5BA6">
            <w:pPr>
              <w:pStyle w:val="TableDataEntries"/>
              <w:rPr>
                <w:color w:val="000000" w:themeColor="text1"/>
              </w:rPr>
            </w:pPr>
            <w:r w:rsidRPr="004F7BE4">
              <w:t>-22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175B7DC" w14:textId="77777777" w:rsidR="006E5BA6" w:rsidRPr="00492AD6" w:rsidRDefault="006E5BA6">
            <w:pPr>
              <w:pStyle w:val="TableDataEntries"/>
              <w:rPr>
                <w:color w:val="000000" w:themeColor="text1"/>
              </w:rPr>
            </w:pPr>
            <w:r w:rsidRPr="004F7BE4">
              <w:t>-24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C1B5441" w14:textId="77777777" w:rsidR="006E5BA6" w:rsidRPr="00492AD6" w:rsidRDefault="006E5BA6">
            <w:pPr>
              <w:pStyle w:val="TableDataEntries"/>
              <w:rPr>
                <w:color w:val="000000" w:themeColor="text1"/>
              </w:rPr>
            </w:pPr>
            <w:r w:rsidRPr="004F7BE4">
              <w:t>-22</w:t>
            </w:r>
          </w:p>
        </w:tc>
      </w:tr>
      <w:tr w:rsidR="006E5BA6" w:rsidRPr="00492AD6" w14:paraId="58B37A82"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6EE260C" w14:textId="77777777" w:rsidR="006E5BA6" w:rsidRPr="00492AD6" w:rsidRDefault="006E5BA6">
            <w:pPr>
              <w:pStyle w:val="TableDataEntries"/>
              <w:jc w:val="left"/>
              <w:rPr>
                <w:color w:val="000000" w:themeColor="text1"/>
              </w:rPr>
            </w:pPr>
            <w:r w:rsidRPr="00492AD6">
              <w:rPr>
                <w:color w:val="000000" w:themeColor="text1"/>
              </w:rPr>
              <w:t xml:space="preserve">   Gas</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93667B0" w14:textId="77777777" w:rsidR="006E5BA6" w:rsidRPr="00492AD6" w:rsidRDefault="006E5BA6">
            <w:pPr>
              <w:pStyle w:val="TableDataEntries"/>
              <w:rPr>
                <w:color w:val="000000" w:themeColor="text1"/>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7348FCB" w14:textId="77777777" w:rsidR="006E5BA6" w:rsidRPr="00492AD6" w:rsidRDefault="006E5BA6">
            <w:pPr>
              <w:pStyle w:val="TableDataEntries"/>
              <w:rPr>
                <w:color w:val="000000" w:themeColor="text1"/>
              </w:rPr>
            </w:pPr>
            <w:r w:rsidRPr="004F7BE4">
              <w:t>-2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67D5C2D" w14:textId="77777777" w:rsidR="006E5BA6" w:rsidRPr="00492AD6" w:rsidRDefault="006E5BA6">
            <w:pPr>
              <w:pStyle w:val="TableDataEntries"/>
              <w:rPr>
                <w:color w:val="000000" w:themeColor="text1"/>
              </w:rPr>
            </w:pPr>
            <w:r w:rsidRPr="004F7BE4">
              <w:t>-37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24606E3" w14:textId="77777777" w:rsidR="006E5BA6" w:rsidRPr="00492AD6" w:rsidRDefault="006E5BA6">
            <w:pPr>
              <w:pStyle w:val="TableDataEntries"/>
              <w:rPr>
                <w:color w:val="000000" w:themeColor="text1"/>
              </w:rPr>
            </w:pPr>
            <w:r w:rsidRPr="004F7BE4">
              <w:t>14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382F274" w14:textId="77777777" w:rsidR="006E5BA6" w:rsidRPr="00492AD6" w:rsidRDefault="006E5BA6">
            <w:pPr>
              <w:pStyle w:val="TableDataEntries"/>
              <w:rPr>
                <w:color w:val="000000" w:themeColor="text1"/>
              </w:rPr>
            </w:pPr>
            <w:r w:rsidRPr="004F7BE4">
              <w:t>43</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19C2AA0" w14:textId="77777777" w:rsidR="006E5BA6" w:rsidRPr="00492AD6" w:rsidRDefault="006E5BA6">
            <w:pPr>
              <w:pStyle w:val="TableDataEntries"/>
              <w:rPr>
                <w:color w:val="000000" w:themeColor="text1"/>
              </w:rPr>
            </w:pPr>
            <w:r w:rsidRPr="004F7BE4">
              <w:t>25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F1C2ED7" w14:textId="77777777" w:rsidR="006E5BA6" w:rsidRPr="00492AD6" w:rsidRDefault="006E5BA6">
            <w:pPr>
              <w:pStyle w:val="TableDataEntries"/>
              <w:rPr>
                <w:color w:val="000000" w:themeColor="text1"/>
              </w:rPr>
            </w:pPr>
            <w:r w:rsidRPr="004F7BE4">
              <w:t>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73DCB78" w14:textId="77777777" w:rsidR="006E5BA6" w:rsidRPr="00492AD6" w:rsidRDefault="006E5BA6">
            <w:pPr>
              <w:pStyle w:val="TableDataEntries"/>
              <w:rPr>
                <w:color w:val="000000" w:themeColor="text1"/>
              </w:rPr>
            </w:pPr>
            <w:r w:rsidRPr="004F7BE4">
              <w:t>10</w:t>
            </w:r>
          </w:p>
        </w:tc>
      </w:tr>
      <w:tr w:rsidR="006E5BA6" w:rsidRPr="00492AD6" w14:paraId="00ADE9A9"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786FA4BD" w14:textId="77777777" w:rsidR="006E5BA6" w:rsidRPr="00492AD6" w:rsidRDefault="006E5BA6">
            <w:pPr>
              <w:pStyle w:val="TableDataEntries"/>
              <w:jc w:val="left"/>
              <w:rPr>
                <w:color w:val="000000" w:themeColor="text1"/>
              </w:rPr>
            </w:pPr>
            <w:r w:rsidRPr="00492AD6">
              <w:rPr>
                <w:color w:val="000000" w:themeColor="text1"/>
              </w:rPr>
              <w:t xml:space="preserve">   GHG</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E0FECDB" w14:textId="77777777" w:rsidR="006E5BA6" w:rsidRPr="00492AD6" w:rsidRDefault="006E5BA6">
            <w:pPr>
              <w:pStyle w:val="TableDataEntries"/>
              <w:rPr>
                <w:color w:val="000000" w:themeColor="text1"/>
              </w:rPr>
            </w:pPr>
            <w:r w:rsidRPr="004F7BE4">
              <w:t>-25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3FE73AF" w14:textId="77777777" w:rsidR="006E5BA6" w:rsidRPr="00492AD6" w:rsidRDefault="006E5BA6">
            <w:pPr>
              <w:pStyle w:val="TableDataEntries"/>
              <w:rPr>
                <w:color w:val="000000" w:themeColor="text1"/>
              </w:rPr>
            </w:pPr>
            <w:r w:rsidRPr="004F7BE4">
              <w:t>-25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3A8F099" w14:textId="77777777" w:rsidR="006E5BA6" w:rsidRPr="00492AD6" w:rsidRDefault="006E5BA6">
            <w:pPr>
              <w:pStyle w:val="TableDataEntries"/>
              <w:rPr>
                <w:color w:val="000000" w:themeColor="text1"/>
              </w:rPr>
            </w:pPr>
            <w:r w:rsidRPr="004F7BE4">
              <w:t>-31</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322BFFA" w14:textId="77777777" w:rsidR="006E5BA6" w:rsidRPr="00492AD6" w:rsidRDefault="006E5BA6">
            <w:pPr>
              <w:pStyle w:val="TableDataEntries"/>
              <w:rPr>
                <w:color w:val="000000" w:themeColor="text1"/>
              </w:rPr>
            </w:pPr>
            <w:r w:rsidRPr="004F7BE4">
              <w:t>-15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72B9B9B" w14:textId="77777777" w:rsidR="006E5BA6" w:rsidRPr="00492AD6" w:rsidRDefault="006E5BA6">
            <w:pPr>
              <w:pStyle w:val="TableDataEntries"/>
              <w:rPr>
                <w:color w:val="000000" w:themeColor="text1"/>
              </w:rPr>
            </w:pPr>
            <w:r w:rsidRPr="004F7BE4">
              <w:t>-28</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EFD7596" w14:textId="77777777" w:rsidR="006E5BA6" w:rsidRPr="00492AD6" w:rsidRDefault="006E5BA6">
            <w:pPr>
              <w:pStyle w:val="TableDataEntries"/>
              <w:rPr>
                <w:color w:val="000000" w:themeColor="text1"/>
              </w:rPr>
            </w:pPr>
            <w:r w:rsidRPr="004F7BE4">
              <w:t>-14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C94B1AB" w14:textId="77777777" w:rsidR="006E5BA6" w:rsidRPr="00492AD6" w:rsidRDefault="006E5BA6">
            <w:pPr>
              <w:pStyle w:val="TableDataEntries"/>
              <w:rPr>
                <w:color w:val="000000" w:themeColor="text1"/>
              </w:rPr>
            </w:pPr>
            <w:r w:rsidRPr="004F7BE4">
              <w:t>-14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F70AD1C" w14:textId="77777777" w:rsidR="006E5BA6" w:rsidRPr="00492AD6" w:rsidRDefault="006E5BA6">
            <w:pPr>
              <w:pStyle w:val="TableDataEntries"/>
              <w:rPr>
                <w:color w:val="000000" w:themeColor="text1"/>
              </w:rPr>
            </w:pPr>
            <w:r w:rsidRPr="004F7BE4">
              <w:t>-4</w:t>
            </w:r>
          </w:p>
        </w:tc>
      </w:tr>
      <w:tr w:rsidR="006E5BA6" w:rsidRPr="00492AD6" w14:paraId="55EB7011" w14:textId="77777777">
        <w:trPr>
          <w:trHeight w:val="252"/>
        </w:trPr>
        <w:tc>
          <w:tcPr>
            <w:tcW w:w="2687" w:type="dxa"/>
            <w:gridSpan w:val="3"/>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667184BB" w14:textId="0EEBAE82" w:rsidR="006E5BA6" w:rsidRPr="00492AD6" w:rsidRDefault="00FD6000">
            <w:pPr>
              <w:pStyle w:val="TableHeading1"/>
              <w:rPr>
                <w:rFonts w:ascii="Times New Roman" w:hAnsi="Times New Roman"/>
                <w:color w:val="000000" w:themeColor="text1"/>
                <w:sz w:val="20"/>
                <w:szCs w:val="20"/>
              </w:rPr>
            </w:pPr>
            <w:r w:rsidRPr="00492AD6">
              <w:rPr>
                <w:color w:val="000000" w:themeColor="text1"/>
              </w:rPr>
              <w:t>School classroom block (C9B)</w:t>
            </w: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2BFDE023"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458C6F43"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3795414C"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73F6BFEC"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5C2DAD3B"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5F5B8ADF" w14:textId="77777777" w:rsidR="006E5BA6" w:rsidRPr="00492AD6" w:rsidRDefault="006E5BA6">
            <w:pPr>
              <w:pStyle w:val="TableHeading1"/>
              <w:rPr>
                <w:rFonts w:ascii="Times New Roman" w:hAnsi="Times New Roman"/>
                <w:color w:val="000000" w:themeColor="text1"/>
                <w:sz w:val="20"/>
                <w:szCs w:val="20"/>
              </w:rPr>
            </w:pPr>
          </w:p>
        </w:tc>
      </w:tr>
      <w:tr w:rsidR="006E5BA6" w:rsidRPr="00492AD6" w14:paraId="5AB9B1E4"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4371AF6" w14:textId="77777777" w:rsidR="006E5BA6" w:rsidRPr="00492AD6" w:rsidRDefault="006E5BA6">
            <w:pPr>
              <w:pStyle w:val="TableDataEntries"/>
              <w:jc w:val="left"/>
              <w:rPr>
                <w:color w:val="000000" w:themeColor="text1"/>
              </w:rPr>
            </w:pPr>
            <w:r w:rsidRPr="00492AD6">
              <w:rPr>
                <w:color w:val="000000" w:themeColor="text1"/>
              </w:rPr>
              <w:t xml:space="preserve">   Electricity</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1122098" w14:textId="77777777" w:rsidR="006E5BA6" w:rsidRPr="00492AD6" w:rsidRDefault="006E5BA6">
            <w:pPr>
              <w:pStyle w:val="TableDataEntries"/>
              <w:rPr>
                <w:color w:val="000000" w:themeColor="text1"/>
              </w:rPr>
            </w:pPr>
            <w:r w:rsidRPr="004F7BE4">
              <w:t>-29</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F7916CB" w14:textId="77777777" w:rsidR="006E5BA6" w:rsidRPr="00492AD6" w:rsidRDefault="006E5BA6">
            <w:pPr>
              <w:pStyle w:val="TableDataEntries"/>
              <w:rPr>
                <w:rFonts w:ascii="Times New Roman" w:hAnsi="Times New Roman"/>
                <w:color w:val="000000" w:themeColor="text1"/>
                <w:sz w:val="20"/>
                <w:szCs w:val="20"/>
              </w:rPr>
            </w:pPr>
            <w:r w:rsidRPr="004F7BE4">
              <w:t>-47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36C770F" w14:textId="77777777" w:rsidR="006E5BA6" w:rsidRPr="00492AD6" w:rsidRDefault="006E5BA6">
            <w:pPr>
              <w:pStyle w:val="TableDataEntries"/>
              <w:rPr>
                <w:rFonts w:ascii="Times New Roman" w:hAnsi="Times New Roman"/>
                <w:color w:val="000000" w:themeColor="text1"/>
                <w:sz w:val="20"/>
                <w:szCs w:val="20"/>
              </w:rPr>
            </w:pPr>
            <w:r w:rsidRPr="004F7BE4">
              <w:t>-42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3206A77" w14:textId="77777777" w:rsidR="006E5BA6" w:rsidRPr="00492AD6" w:rsidRDefault="006E5BA6">
            <w:pPr>
              <w:pStyle w:val="TableDataEntries"/>
              <w:rPr>
                <w:rFonts w:ascii="Times New Roman" w:hAnsi="Times New Roman"/>
                <w:color w:val="000000" w:themeColor="text1"/>
                <w:sz w:val="20"/>
                <w:szCs w:val="20"/>
              </w:rPr>
            </w:pPr>
            <w:r w:rsidRPr="004F7BE4">
              <w:t>-46</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DA14647" w14:textId="77777777" w:rsidR="006E5BA6" w:rsidRPr="00492AD6" w:rsidRDefault="006E5BA6">
            <w:pPr>
              <w:pStyle w:val="TableDataEntries"/>
              <w:rPr>
                <w:rFonts w:ascii="Times New Roman" w:hAnsi="Times New Roman"/>
                <w:color w:val="000000" w:themeColor="text1"/>
                <w:sz w:val="20"/>
                <w:szCs w:val="20"/>
              </w:rPr>
            </w:pPr>
            <w:r w:rsidRPr="004F7BE4">
              <w:t>-54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F11CC9C" w14:textId="77777777" w:rsidR="006E5BA6" w:rsidRPr="00492AD6" w:rsidRDefault="006E5BA6">
            <w:pPr>
              <w:pStyle w:val="TableDataEntries"/>
              <w:rPr>
                <w:rFonts w:ascii="Times New Roman" w:hAnsi="Times New Roman"/>
                <w:color w:val="000000" w:themeColor="text1"/>
                <w:sz w:val="20"/>
                <w:szCs w:val="20"/>
              </w:rPr>
            </w:pPr>
            <w:r w:rsidRPr="004F7BE4">
              <w:t>-57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8E36D10" w14:textId="77777777" w:rsidR="006E5BA6" w:rsidRPr="00492AD6" w:rsidRDefault="006E5BA6">
            <w:pPr>
              <w:pStyle w:val="TableDataEntries"/>
              <w:rPr>
                <w:rFonts w:ascii="Times New Roman" w:hAnsi="Times New Roman"/>
                <w:color w:val="000000" w:themeColor="text1"/>
                <w:sz w:val="20"/>
                <w:szCs w:val="20"/>
              </w:rPr>
            </w:pPr>
            <w:r w:rsidRPr="004F7BE4">
              <w:t>-49</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7DBEA56" w14:textId="77777777" w:rsidR="006E5BA6" w:rsidRPr="00492AD6" w:rsidRDefault="006E5BA6">
            <w:pPr>
              <w:pStyle w:val="TableDataEntries"/>
              <w:rPr>
                <w:rFonts w:ascii="Times New Roman" w:hAnsi="Times New Roman"/>
                <w:color w:val="000000" w:themeColor="text1"/>
                <w:sz w:val="20"/>
                <w:szCs w:val="20"/>
              </w:rPr>
            </w:pPr>
            <w:r w:rsidRPr="004F7BE4">
              <w:t>-34</w:t>
            </w:r>
          </w:p>
        </w:tc>
      </w:tr>
      <w:tr w:rsidR="006E5BA6" w:rsidRPr="00492AD6" w14:paraId="2FC4AB5A"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0EA7110" w14:textId="77777777" w:rsidR="006E5BA6" w:rsidRPr="00492AD6" w:rsidRDefault="006E5BA6">
            <w:pPr>
              <w:pStyle w:val="TableDataEntries"/>
              <w:jc w:val="left"/>
              <w:rPr>
                <w:color w:val="000000" w:themeColor="text1"/>
              </w:rPr>
            </w:pPr>
            <w:r w:rsidRPr="00492AD6">
              <w:rPr>
                <w:color w:val="000000" w:themeColor="text1"/>
              </w:rPr>
              <w:t xml:space="preserve">   Gas</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D00489B" w14:textId="77777777" w:rsidR="006E5BA6" w:rsidRPr="00492AD6" w:rsidRDefault="006E5BA6">
            <w:pPr>
              <w:pStyle w:val="TableDataEntries"/>
              <w:rPr>
                <w:color w:val="000000" w:themeColor="text1"/>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EEE3B52"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466B0E6"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29D47FD"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6DF85FB"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823DC8D"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2D0FC6A" w14:textId="77777777" w:rsidR="006E5BA6" w:rsidRPr="00492AD6" w:rsidRDefault="006E5BA6">
            <w:pPr>
              <w:pStyle w:val="TableDataEntries"/>
              <w:rPr>
                <w:rFonts w:ascii="Times New Roman" w:hAnsi="Times New Roman"/>
                <w:color w:val="000000" w:themeColor="text1"/>
                <w:sz w:val="20"/>
                <w:szCs w:val="20"/>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6705DA0" w14:textId="77777777" w:rsidR="006E5BA6" w:rsidRPr="00492AD6" w:rsidRDefault="006E5BA6">
            <w:pPr>
              <w:pStyle w:val="TableDataEntries"/>
              <w:rPr>
                <w:rFonts w:ascii="Times New Roman" w:hAnsi="Times New Roman"/>
                <w:color w:val="000000" w:themeColor="text1"/>
                <w:sz w:val="20"/>
                <w:szCs w:val="20"/>
              </w:rPr>
            </w:pPr>
            <w:r w:rsidRPr="004F7BE4">
              <w:t>n/a</w:t>
            </w:r>
          </w:p>
        </w:tc>
      </w:tr>
      <w:tr w:rsidR="006E5BA6" w:rsidRPr="00492AD6" w14:paraId="4CB29110"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6EE6893" w14:textId="77777777" w:rsidR="006E5BA6" w:rsidRPr="00492AD6" w:rsidRDefault="006E5BA6">
            <w:pPr>
              <w:pStyle w:val="TableDataEntries"/>
              <w:jc w:val="left"/>
              <w:rPr>
                <w:color w:val="000000" w:themeColor="text1"/>
              </w:rPr>
            </w:pPr>
            <w:r w:rsidRPr="00492AD6">
              <w:rPr>
                <w:color w:val="000000" w:themeColor="text1"/>
              </w:rPr>
              <w:t xml:space="preserve">   GHG</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32E90D1" w14:textId="77777777" w:rsidR="006E5BA6" w:rsidRPr="00492AD6" w:rsidRDefault="006E5BA6">
            <w:pPr>
              <w:pStyle w:val="TableDataEntries"/>
              <w:rPr>
                <w:color w:val="000000" w:themeColor="text1"/>
              </w:rPr>
            </w:pPr>
            <w:r w:rsidRPr="004F7BE4">
              <w:t>-60</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C766B5B" w14:textId="77777777" w:rsidR="006E5BA6" w:rsidRPr="00492AD6" w:rsidRDefault="006E5BA6">
            <w:pPr>
              <w:pStyle w:val="TableDataEntries"/>
              <w:rPr>
                <w:rFonts w:ascii="Times New Roman" w:hAnsi="Times New Roman"/>
                <w:color w:val="000000" w:themeColor="text1"/>
                <w:sz w:val="20"/>
                <w:szCs w:val="20"/>
              </w:rPr>
            </w:pPr>
            <w:r w:rsidRPr="004F7BE4">
              <w:t>-100</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6015C32" w14:textId="77777777" w:rsidR="006E5BA6" w:rsidRPr="00492AD6" w:rsidRDefault="006E5BA6">
            <w:pPr>
              <w:pStyle w:val="TableDataEntries"/>
              <w:rPr>
                <w:rFonts w:ascii="Times New Roman" w:hAnsi="Times New Roman"/>
                <w:color w:val="000000" w:themeColor="text1"/>
                <w:sz w:val="20"/>
                <w:szCs w:val="20"/>
              </w:rPr>
            </w:pPr>
            <w:r w:rsidRPr="004F7BE4">
              <w:t>-94</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D3AD7B6" w14:textId="77777777" w:rsidR="006E5BA6" w:rsidRPr="00492AD6" w:rsidRDefault="006E5BA6">
            <w:pPr>
              <w:pStyle w:val="TableDataEntries"/>
              <w:rPr>
                <w:rFonts w:ascii="Times New Roman" w:hAnsi="Times New Roman"/>
                <w:color w:val="000000" w:themeColor="text1"/>
                <w:sz w:val="20"/>
                <w:szCs w:val="20"/>
              </w:rPr>
            </w:pPr>
            <w:r w:rsidRPr="004F7BE4">
              <w:t>-105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5722A2C" w14:textId="77777777" w:rsidR="006E5BA6" w:rsidRPr="00492AD6" w:rsidRDefault="006E5BA6">
            <w:pPr>
              <w:pStyle w:val="TableDataEntries"/>
              <w:rPr>
                <w:rFonts w:ascii="Times New Roman" w:hAnsi="Times New Roman"/>
                <w:color w:val="000000" w:themeColor="text1"/>
                <w:sz w:val="20"/>
                <w:szCs w:val="20"/>
              </w:rPr>
            </w:pPr>
            <w:r w:rsidRPr="004F7BE4">
              <w:t>-110</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7C8B7A5" w14:textId="77777777" w:rsidR="006E5BA6" w:rsidRPr="00492AD6" w:rsidRDefault="006E5BA6">
            <w:pPr>
              <w:pStyle w:val="TableDataEntries"/>
              <w:rPr>
                <w:rFonts w:ascii="Times New Roman" w:hAnsi="Times New Roman"/>
                <w:color w:val="000000" w:themeColor="text1"/>
                <w:sz w:val="20"/>
                <w:szCs w:val="20"/>
              </w:rPr>
            </w:pPr>
            <w:r w:rsidRPr="004F7BE4">
              <w:t>-122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A3A10BA" w14:textId="77777777" w:rsidR="006E5BA6" w:rsidRPr="00492AD6" w:rsidRDefault="006E5BA6">
            <w:pPr>
              <w:pStyle w:val="TableDataEntries"/>
              <w:rPr>
                <w:rFonts w:ascii="Times New Roman" w:hAnsi="Times New Roman"/>
                <w:color w:val="000000" w:themeColor="text1"/>
                <w:sz w:val="20"/>
                <w:szCs w:val="20"/>
              </w:rPr>
            </w:pPr>
            <w:r w:rsidRPr="004F7BE4">
              <w:t>-110</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0A09CF8" w14:textId="77777777" w:rsidR="006E5BA6" w:rsidRPr="00492AD6" w:rsidRDefault="006E5BA6">
            <w:pPr>
              <w:pStyle w:val="TableDataEntries"/>
              <w:rPr>
                <w:rFonts w:ascii="Times New Roman" w:hAnsi="Times New Roman"/>
                <w:color w:val="000000" w:themeColor="text1"/>
                <w:sz w:val="20"/>
                <w:szCs w:val="20"/>
              </w:rPr>
            </w:pPr>
            <w:r w:rsidRPr="004F7BE4">
              <w:t>-71</w:t>
            </w:r>
          </w:p>
        </w:tc>
      </w:tr>
      <w:tr w:rsidR="006E5BA6" w:rsidRPr="00492AD6" w14:paraId="6D567F69" w14:textId="77777777">
        <w:trPr>
          <w:trHeight w:val="252"/>
        </w:trPr>
        <w:tc>
          <w:tcPr>
            <w:tcW w:w="2687" w:type="dxa"/>
            <w:gridSpan w:val="3"/>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56494FCD" w14:textId="4FFD298B" w:rsidR="006E5BA6" w:rsidRPr="00492AD6" w:rsidRDefault="00FD6000">
            <w:pPr>
              <w:pStyle w:val="TableHeading1"/>
              <w:rPr>
                <w:rFonts w:ascii="Times New Roman" w:hAnsi="Times New Roman"/>
                <w:color w:val="000000" w:themeColor="text1"/>
                <w:sz w:val="20"/>
                <w:szCs w:val="20"/>
              </w:rPr>
            </w:pPr>
            <w:r w:rsidRPr="00492AD6">
              <w:rPr>
                <w:color w:val="000000" w:themeColor="text1"/>
              </w:rPr>
              <w:t>Small hospital (C9AS)</w:t>
            </w:r>
            <w:r w:rsidRPr="00492AD6">
              <w:rPr>
                <w:rStyle w:val="NoteLabel"/>
                <w:color w:val="000000" w:themeColor="text1"/>
              </w:rPr>
              <w:t xml:space="preserve"> b</w:t>
            </w: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55875DBD"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4523F593"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0F90E10C"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44163844"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2379574E" w14:textId="77777777" w:rsidR="006E5BA6" w:rsidRPr="00492AD6" w:rsidRDefault="006E5BA6">
            <w:pPr>
              <w:pStyle w:val="TableHeading1"/>
              <w:rPr>
                <w:rFonts w:ascii="Times New Roman" w:hAnsi="Times New Roman"/>
                <w:color w:val="000000" w:themeColor="text1"/>
                <w:sz w:val="20"/>
                <w:szCs w:val="20"/>
              </w:rPr>
            </w:pPr>
          </w:p>
        </w:tc>
        <w:tc>
          <w:tcPr>
            <w:tcW w:w="875" w:type="dxa"/>
            <w:tcBorders>
              <w:top w:val="single" w:sz="8" w:space="0" w:color="FFFFFF" w:themeColor="background1"/>
              <w:bottom w:val="single" w:sz="8" w:space="0" w:color="FFFFFF" w:themeColor="background1"/>
            </w:tcBorders>
            <w:shd w:val="clear" w:color="auto" w:fill="E4E0DA" w:themeFill="text2" w:themeFillTint="33"/>
            <w:noWrap/>
            <w:tcMar>
              <w:left w:w="57" w:type="dxa"/>
              <w:right w:w="57" w:type="dxa"/>
            </w:tcMar>
          </w:tcPr>
          <w:p w14:paraId="01171392" w14:textId="77777777" w:rsidR="006E5BA6" w:rsidRPr="00492AD6" w:rsidRDefault="006E5BA6">
            <w:pPr>
              <w:pStyle w:val="TableHeading1"/>
              <w:rPr>
                <w:rFonts w:ascii="Times New Roman" w:hAnsi="Times New Roman"/>
                <w:color w:val="000000" w:themeColor="text1"/>
                <w:sz w:val="20"/>
                <w:szCs w:val="20"/>
              </w:rPr>
            </w:pPr>
          </w:p>
        </w:tc>
      </w:tr>
      <w:tr w:rsidR="006E5BA6" w:rsidRPr="00492AD6" w14:paraId="799764F1"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A62C1E7" w14:textId="77777777" w:rsidR="006E5BA6" w:rsidRPr="00492AD6" w:rsidRDefault="006E5BA6">
            <w:pPr>
              <w:pStyle w:val="TableDataEntries"/>
              <w:jc w:val="left"/>
              <w:rPr>
                <w:color w:val="000000" w:themeColor="text1"/>
              </w:rPr>
            </w:pPr>
            <w:r w:rsidRPr="00492AD6">
              <w:rPr>
                <w:color w:val="000000" w:themeColor="text1"/>
              </w:rPr>
              <w:t xml:space="preserve">   Electricity</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9B5895F" w14:textId="77777777" w:rsidR="006E5BA6" w:rsidRPr="00492AD6" w:rsidRDefault="006E5BA6">
            <w:pPr>
              <w:pStyle w:val="TableDataEntries"/>
              <w:rPr>
                <w:color w:val="000000" w:themeColor="text1"/>
              </w:rPr>
            </w:pPr>
            <w:r w:rsidRPr="004F7BE4">
              <w:t>-67</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463BBCF" w14:textId="77777777" w:rsidR="006E5BA6" w:rsidRPr="00492AD6" w:rsidRDefault="006E5BA6">
            <w:pPr>
              <w:pStyle w:val="TableDataEntries"/>
              <w:rPr>
                <w:color w:val="000000" w:themeColor="text1"/>
              </w:rPr>
            </w:pPr>
            <w:r w:rsidRPr="004F7BE4">
              <w:t>-69</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128B3D0" w14:textId="77777777" w:rsidR="006E5BA6" w:rsidRPr="00492AD6" w:rsidRDefault="006E5BA6">
            <w:pPr>
              <w:pStyle w:val="TableDataEntries"/>
              <w:rPr>
                <w:color w:val="000000" w:themeColor="text1"/>
              </w:rPr>
            </w:pPr>
            <w:r w:rsidRPr="004F7BE4">
              <w:t>-58</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1871492" w14:textId="77777777" w:rsidR="006E5BA6" w:rsidRPr="00492AD6" w:rsidRDefault="006E5BA6">
            <w:pPr>
              <w:pStyle w:val="TableDataEntries"/>
              <w:rPr>
                <w:color w:val="000000" w:themeColor="text1"/>
              </w:rPr>
            </w:pPr>
            <w:r w:rsidRPr="004F7BE4">
              <w:t>-58</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62CEEFE" w14:textId="77777777" w:rsidR="006E5BA6" w:rsidRPr="00492AD6" w:rsidRDefault="006E5BA6">
            <w:pPr>
              <w:pStyle w:val="TableDataEntries"/>
              <w:rPr>
                <w:color w:val="000000" w:themeColor="text1"/>
              </w:rPr>
            </w:pPr>
            <w:r w:rsidRPr="004F7BE4">
              <w:t>-72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4D96AD4" w14:textId="77777777" w:rsidR="006E5BA6" w:rsidRPr="00492AD6" w:rsidRDefault="006E5BA6">
            <w:pPr>
              <w:pStyle w:val="TableDataEntries"/>
              <w:rPr>
                <w:color w:val="000000" w:themeColor="text1"/>
              </w:rPr>
            </w:pPr>
            <w:r w:rsidRPr="004F7BE4">
              <w:t>-72</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3E417DE" w14:textId="77777777" w:rsidR="006E5BA6" w:rsidRPr="00492AD6" w:rsidRDefault="006E5BA6">
            <w:pPr>
              <w:pStyle w:val="TableDataEntries"/>
              <w:rPr>
                <w:color w:val="000000" w:themeColor="text1"/>
              </w:rPr>
            </w:pPr>
            <w:r w:rsidRPr="004F7BE4">
              <w:t>-55</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07452C0" w14:textId="77777777" w:rsidR="006E5BA6" w:rsidRPr="00492AD6" w:rsidRDefault="006E5BA6">
            <w:pPr>
              <w:pStyle w:val="TableDataEntries"/>
              <w:rPr>
                <w:color w:val="000000" w:themeColor="text1"/>
              </w:rPr>
            </w:pPr>
            <w:r w:rsidRPr="004F7BE4">
              <w:t>-41</w:t>
            </w:r>
          </w:p>
        </w:tc>
      </w:tr>
      <w:tr w:rsidR="006E5BA6" w:rsidRPr="00492AD6" w14:paraId="75BD342B" w14:textId="77777777">
        <w:trPr>
          <w:trHeight w:val="252"/>
        </w:trPr>
        <w:tc>
          <w:tcPr>
            <w:tcW w:w="93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0085F8C" w14:textId="77777777" w:rsidR="006E5BA6" w:rsidRPr="00492AD6" w:rsidRDefault="006E5BA6">
            <w:pPr>
              <w:pStyle w:val="TableDataEntries"/>
              <w:jc w:val="left"/>
              <w:rPr>
                <w:color w:val="000000" w:themeColor="text1"/>
              </w:rPr>
            </w:pPr>
            <w:r w:rsidRPr="00492AD6">
              <w:rPr>
                <w:color w:val="000000" w:themeColor="text1"/>
              </w:rPr>
              <w:t xml:space="preserve">   Gas</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C464A37" w14:textId="77777777" w:rsidR="006E5BA6" w:rsidRPr="00492AD6" w:rsidRDefault="006E5BA6">
            <w:pPr>
              <w:pStyle w:val="TableDataEntries"/>
              <w:rPr>
                <w:color w:val="000000" w:themeColor="text1"/>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F99D6FA" w14:textId="77777777" w:rsidR="006E5BA6" w:rsidRPr="00492AD6" w:rsidRDefault="006E5BA6">
            <w:pPr>
              <w:pStyle w:val="TableDataEntries"/>
              <w:rPr>
                <w:color w:val="000000" w:themeColor="text1"/>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BD91B19" w14:textId="77777777" w:rsidR="006E5BA6" w:rsidRPr="00492AD6" w:rsidRDefault="006E5BA6">
            <w:pPr>
              <w:pStyle w:val="TableDataEntries"/>
              <w:rPr>
                <w:color w:val="000000" w:themeColor="text1"/>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2F16599" w14:textId="77777777" w:rsidR="006E5BA6" w:rsidRPr="00492AD6" w:rsidRDefault="006E5BA6">
            <w:pPr>
              <w:pStyle w:val="TableDataEntries"/>
              <w:rPr>
                <w:color w:val="000000" w:themeColor="text1"/>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1D37E6A" w14:textId="77777777" w:rsidR="006E5BA6" w:rsidRPr="00492AD6" w:rsidRDefault="006E5BA6">
            <w:pPr>
              <w:pStyle w:val="TableDataEntries"/>
              <w:rPr>
                <w:color w:val="000000" w:themeColor="text1"/>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9A58E8F" w14:textId="77777777" w:rsidR="006E5BA6" w:rsidRPr="00492AD6" w:rsidRDefault="006E5BA6">
            <w:pPr>
              <w:pStyle w:val="TableDataEntries"/>
              <w:rPr>
                <w:color w:val="000000" w:themeColor="text1"/>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F5AED13" w14:textId="77777777" w:rsidR="006E5BA6" w:rsidRPr="00492AD6" w:rsidRDefault="006E5BA6">
            <w:pPr>
              <w:pStyle w:val="TableDataEntries"/>
              <w:rPr>
                <w:color w:val="000000" w:themeColor="text1"/>
              </w:rPr>
            </w:pPr>
            <w:r w:rsidRPr="004F7BE4">
              <w:t>n/a</w:t>
            </w:r>
          </w:p>
        </w:tc>
        <w:tc>
          <w:tcPr>
            <w:tcW w:w="875"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E45C5AD" w14:textId="77777777" w:rsidR="006E5BA6" w:rsidRPr="00492AD6" w:rsidRDefault="006E5BA6">
            <w:pPr>
              <w:pStyle w:val="TableDataEntries"/>
              <w:rPr>
                <w:color w:val="000000" w:themeColor="text1"/>
              </w:rPr>
            </w:pPr>
            <w:r w:rsidRPr="004F7BE4">
              <w:t>n/a</w:t>
            </w:r>
          </w:p>
        </w:tc>
      </w:tr>
      <w:tr w:rsidR="006E5BA6" w:rsidRPr="00492AD6" w14:paraId="6BFF62FF" w14:textId="77777777">
        <w:trPr>
          <w:trHeight w:val="252"/>
        </w:trPr>
        <w:tc>
          <w:tcPr>
            <w:tcW w:w="937" w:type="dxa"/>
            <w:tcBorders>
              <w:top w:val="single" w:sz="8" w:space="0" w:color="FFFFFF" w:themeColor="background1"/>
              <w:bottom w:val="single" w:sz="6" w:space="0" w:color="6F6652"/>
            </w:tcBorders>
            <w:shd w:val="clear" w:color="auto" w:fill="E9E8E5" w:themeFill="background2"/>
            <w:noWrap/>
            <w:tcMar>
              <w:left w:w="57" w:type="dxa"/>
              <w:right w:w="57" w:type="dxa"/>
            </w:tcMar>
            <w:hideMark/>
          </w:tcPr>
          <w:p w14:paraId="768749E8" w14:textId="77777777" w:rsidR="006E5BA6" w:rsidRPr="00492AD6" w:rsidRDefault="006E5BA6">
            <w:pPr>
              <w:pStyle w:val="TableDataEntries"/>
              <w:jc w:val="left"/>
              <w:rPr>
                <w:color w:val="000000" w:themeColor="text1"/>
              </w:rPr>
            </w:pPr>
            <w:r w:rsidRPr="00492AD6">
              <w:rPr>
                <w:color w:val="000000" w:themeColor="text1"/>
              </w:rPr>
              <w:t xml:space="preserve">   GHG</w:t>
            </w:r>
          </w:p>
        </w:tc>
        <w:tc>
          <w:tcPr>
            <w:tcW w:w="875"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3F2B45E3" w14:textId="77777777" w:rsidR="006E5BA6" w:rsidRPr="00492AD6" w:rsidRDefault="006E5BA6">
            <w:pPr>
              <w:pStyle w:val="TableDataEntries"/>
              <w:rPr>
                <w:color w:val="000000" w:themeColor="text1"/>
              </w:rPr>
            </w:pPr>
            <w:r w:rsidRPr="004F7BE4">
              <w:t>-96</w:t>
            </w:r>
          </w:p>
        </w:tc>
        <w:tc>
          <w:tcPr>
            <w:tcW w:w="875"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7A24F200" w14:textId="77777777" w:rsidR="006E5BA6" w:rsidRPr="00492AD6" w:rsidRDefault="006E5BA6">
            <w:pPr>
              <w:pStyle w:val="TableDataEntries"/>
              <w:rPr>
                <w:color w:val="000000" w:themeColor="text1"/>
              </w:rPr>
            </w:pPr>
            <w:r w:rsidRPr="004F7BE4">
              <w:t>-110</w:t>
            </w:r>
          </w:p>
        </w:tc>
        <w:tc>
          <w:tcPr>
            <w:tcW w:w="875"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7664D059" w14:textId="77777777" w:rsidR="006E5BA6" w:rsidRPr="00492AD6" w:rsidRDefault="006E5BA6">
            <w:pPr>
              <w:pStyle w:val="TableDataEntries"/>
              <w:rPr>
                <w:color w:val="000000" w:themeColor="text1"/>
              </w:rPr>
            </w:pPr>
            <w:r w:rsidRPr="004F7BE4">
              <w:t>-97</w:t>
            </w:r>
          </w:p>
        </w:tc>
        <w:tc>
          <w:tcPr>
            <w:tcW w:w="875"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1499EB55" w14:textId="77777777" w:rsidR="006E5BA6" w:rsidRPr="00492AD6" w:rsidRDefault="006E5BA6">
            <w:pPr>
              <w:pStyle w:val="TableDataEntries"/>
              <w:rPr>
                <w:color w:val="000000" w:themeColor="text1"/>
              </w:rPr>
            </w:pPr>
            <w:r w:rsidRPr="004F7BE4">
              <w:t>-103</w:t>
            </w:r>
          </w:p>
        </w:tc>
        <w:tc>
          <w:tcPr>
            <w:tcW w:w="875"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6FE5DF3D" w14:textId="77777777" w:rsidR="006E5BA6" w:rsidRPr="00492AD6" w:rsidRDefault="006E5BA6">
            <w:pPr>
              <w:pStyle w:val="TableDataEntries"/>
              <w:rPr>
                <w:color w:val="000000" w:themeColor="text1"/>
              </w:rPr>
            </w:pPr>
            <w:r w:rsidRPr="004F7BE4">
              <w:t>-116</w:t>
            </w:r>
          </w:p>
        </w:tc>
        <w:tc>
          <w:tcPr>
            <w:tcW w:w="875"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60B20C50" w14:textId="77777777" w:rsidR="006E5BA6" w:rsidRPr="00492AD6" w:rsidRDefault="006E5BA6">
            <w:pPr>
              <w:pStyle w:val="TableDataEntries"/>
              <w:rPr>
                <w:color w:val="000000" w:themeColor="text1"/>
              </w:rPr>
            </w:pPr>
            <w:r w:rsidRPr="004F7BE4">
              <w:t>-117</w:t>
            </w:r>
          </w:p>
        </w:tc>
        <w:tc>
          <w:tcPr>
            <w:tcW w:w="875"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298F3B4C" w14:textId="77777777" w:rsidR="006E5BA6" w:rsidRPr="00492AD6" w:rsidRDefault="006E5BA6">
            <w:pPr>
              <w:pStyle w:val="TableDataEntries"/>
              <w:rPr>
                <w:color w:val="000000" w:themeColor="text1"/>
              </w:rPr>
            </w:pPr>
            <w:r w:rsidRPr="004F7BE4">
              <w:t>-95</w:t>
            </w:r>
          </w:p>
        </w:tc>
        <w:tc>
          <w:tcPr>
            <w:tcW w:w="875"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76E28B1A" w14:textId="77777777" w:rsidR="006E5BA6" w:rsidRPr="00492AD6" w:rsidRDefault="006E5BA6">
            <w:pPr>
              <w:pStyle w:val="TableDataEntries"/>
              <w:rPr>
                <w:color w:val="000000" w:themeColor="text1"/>
              </w:rPr>
            </w:pPr>
            <w:r w:rsidRPr="004F7BE4">
              <w:t>-64</w:t>
            </w:r>
          </w:p>
        </w:tc>
      </w:tr>
    </w:tbl>
    <w:p w14:paraId="3F85C8E6" w14:textId="77777777" w:rsidR="006E5BA6" w:rsidRPr="00492AD6" w:rsidRDefault="006E5BA6" w:rsidP="006E5BA6">
      <w:pPr>
        <w:pStyle w:val="Note"/>
        <w:rPr>
          <w:color w:val="000000" w:themeColor="text1"/>
        </w:rPr>
      </w:pPr>
      <w:r w:rsidRPr="00492AD6">
        <w:rPr>
          <w:rStyle w:val="NoteLabel"/>
          <w:color w:val="000000" w:themeColor="text1"/>
        </w:rPr>
        <w:t>a</w:t>
      </w:r>
      <w:r w:rsidRPr="00492AD6">
        <w:rPr>
          <w:color w:val="000000" w:themeColor="text1"/>
        </w:rPr>
        <w:t xml:space="preserve"> Change in GHG emissions includes emissions reductions of electricity exported from PV systems to replace electricity from the grid.</w:t>
      </w:r>
    </w:p>
    <w:p w14:paraId="0A78E790" w14:textId="77777777" w:rsidR="006E5BA6" w:rsidRPr="00492AD6" w:rsidRDefault="006E5BA6" w:rsidP="006E5BA6">
      <w:pPr>
        <w:pStyle w:val="Note"/>
        <w:rPr>
          <w:color w:val="000000" w:themeColor="text1"/>
        </w:rPr>
      </w:pPr>
      <w:r w:rsidRPr="00492AD6">
        <w:rPr>
          <w:rStyle w:val="NoteLabel"/>
          <w:color w:val="000000" w:themeColor="text1"/>
        </w:rPr>
        <w:t>b</w:t>
      </w:r>
      <w:r w:rsidRPr="00492AD6">
        <w:rPr>
          <w:color w:val="000000" w:themeColor="text1"/>
        </w:rPr>
        <w:t xml:space="preserve"> Aged care facility (C9C) is modelled by DeltaQ as a small hospital (C9AS) because aged care building had very short HVAC running hours according to NCC 2022 schedules so wasn't an appropriate test bed.</w:t>
      </w:r>
    </w:p>
    <w:p w14:paraId="5B584824" w14:textId="77777777" w:rsidR="006E5BA6" w:rsidRPr="00492AD6" w:rsidRDefault="006E5BA6" w:rsidP="006E5BA6">
      <w:pPr>
        <w:pStyle w:val="Note"/>
        <w:rPr>
          <w:color w:val="000000" w:themeColor="text1"/>
          <w:lang w:bidi="fa-IR"/>
        </w:rPr>
      </w:pPr>
      <w:r w:rsidRPr="00492AD6">
        <w:rPr>
          <w:i/>
          <w:color w:val="000000" w:themeColor="text1"/>
        </w:rPr>
        <w:t>Note:</w:t>
      </w:r>
      <w:r w:rsidRPr="00492AD6">
        <w:rPr>
          <w:color w:val="000000" w:themeColor="text1"/>
        </w:rPr>
        <w:t xml:space="preserve"> N/R. – not relevant, indicates no gas consumption in the baseline</w:t>
      </w:r>
    </w:p>
    <w:p w14:paraId="64D47C32" w14:textId="77777777" w:rsidR="006E5BA6" w:rsidRPr="00492AD6" w:rsidRDefault="006E5BA6" w:rsidP="006E5BA6">
      <w:pPr>
        <w:pStyle w:val="Source"/>
        <w:rPr>
          <w:color w:val="000000" w:themeColor="text1"/>
          <w:lang w:bidi="fa-IR"/>
        </w:rPr>
      </w:pPr>
      <w:r w:rsidRPr="00492AD6">
        <w:rPr>
          <w:i/>
          <w:color w:val="000000" w:themeColor="text1"/>
          <w:lang w:bidi="fa-IR"/>
        </w:rPr>
        <w:t>Source:</w:t>
      </w:r>
      <w:r w:rsidRPr="00492AD6">
        <w:rPr>
          <w:color w:val="000000" w:themeColor="text1"/>
          <w:lang w:bidi="fa-IR"/>
        </w:rPr>
        <w:t xml:space="preserve"> DeltaQ building level modelling</w:t>
      </w:r>
    </w:p>
    <w:p w14:paraId="46AD7250" w14:textId="77777777" w:rsidR="006E5BA6" w:rsidRPr="00844A6E" w:rsidRDefault="006E5BA6" w:rsidP="006E5BA6">
      <w:pPr>
        <w:pStyle w:val="BodyText"/>
        <w:rPr>
          <w:szCs w:val="22"/>
          <w:lang w:bidi="fa-IR"/>
        </w:rPr>
      </w:pPr>
      <w:r w:rsidRPr="00844A6E">
        <w:rPr>
          <w:szCs w:val="22"/>
          <w:lang w:bidi="fa-IR"/>
        </w:rPr>
        <w:t xml:space="preserve">Including electricity generated from PV systems exported to the grid to replace grid-wide generation and thus avoiding grid average emissions of electricity generation, the GHG emissions reductions are significantly higher under Stringency Level 2 than under Stringency Level 1. </w:t>
      </w:r>
    </w:p>
    <w:p w14:paraId="07075356" w14:textId="77777777" w:rsidR="006E5BA6" w:rsidRPr="00844A6E" w:rsidRDefault="006E5BA6" w:rsidP="006E5BA6">
      <w:pPr>
        <w:pStyle w:val="BodyText"/>
        <w:rPr>
          <w:szCs w:val="22"/>
          <w:lang w:bidi="fa-IR"/>
        </w:rPr>
      </w:pPr>
      <w:r w:rsidRPr="00844A6E">
        <w:rPr>
          <w:szCs w:val="22"/>
          <w:lang w:bidi="fa-IR"/>
        </w:rPr>
        <w:t>In many cases, for example motels (C3HS), medium and small office buildings (C5OM and C5OS), classroom blocks (C9B) and aged care facilities (C9C), GHG emissions reduce by more than 100 per cent under Stringency Level 2 compared to the NCC 2022</w:t>
      </w:r>
      <w:r>
        <w:rPr>
          <w:lang w:bidi="fa-IR"/>
        </w:rPr>
        <w:t xml:space="preserve"> </w:t>
      </w:r>
      <w:r w:rsidRPr="00844A6E">
        <w:rPr>
          <w:szCs w:val="22"/>
          <w:lang w:bidi="fa-IR"/>
        </w:rPr>
        <w:t>base case. This is due to exported electricity from solar PV systems which avoids emissions in the grid before it decarbonises.</w:t>
      </w:r>
    </w:p>
    <w:p w14:paraId="3F14CFC7" w14:textId="77777777" w:rsidR="006E5BA6" w:rsidRPr="00844A6E" w:rsidRDefault="006E5BA6" w:rsidP="006E5BA6">
      <w:pPr>
        <w:pStyle w:val="BodyText"/>
        <w:rPr>
          <w:szCs w:val="22"/>
          <w:lang w:bidi="fa-IR"/>
        </w:rPr>
      </w:pPr>
      <w:r w:rsidRPr="00844A6E">
        <w:rPr>
          <w:szCs w:val="22"/>
          <w:lang w:bidi="fa-IR"/>
        </w:rPr>
        <w:t>Gas consumptions in some cases are modelled to increase under Stringency Level 2, for the same reason with Stringency Level 1 mentioned above.</w:t>
      </w:r>
    </w:p>
    <w:p w14:paraId="1C73CE5A" w14:textId="77777777" w:rsidR="006E5BA6" w:rsidRPr="00844A6E" w:rsidRDefault="006E5BA6" w:rsidP="006E5BA6">
      <w:pPr>
        <w:pStyle w:val="BodyText"/>
        <w:rPr>
          <w:szCs w:val="22"/>
          <w:lang w:bidi="fa-IR"/>
        </w:rPr>
      </w:pPr>
      <w:r w:rsidRPr="00844A6E">
        <w:rPr>
          <w:szCs w:val="22"/>
          <w:lang w:bidi="fa-IR"/>
        </w:rPr>
        <w:t xml:space="preserve">As with Stringency Level 1, charts showing modelled electricity savings by time of day under Stringency Level 2 are presented in appendix </w:t>
      </w:r>
      <w:r w:rsidRPr="00844A6E">
        <w:rPr>
          <w:szCs w:val="22"/>
          <w:lang w:bidi="fa-IR"/>
        </w:rPr>
        <w:fldChar w:fldCharType="begin" w:fldLock="1"/>
      </w:r>
      <w:r w:rsidRPr="00844A6E">
        <w:rPr>
          <w:szCs w:val="22"/>
          <w:lang w:bidi="fa-IR"/>
        </w:rPr>
        <w:instrText xml:space="preserve"> REF _Ref155348217 \n \h  \* MERGEFORMAT </w:instrText>
      </w:r>
      <w:r w:rsidRPr="00844A6E">
        <w:rPr>
          <w:szCs w:val="22"/>
          <w:lang w:bidi="fa-IR"/>
        </w:rPr>
      </w:r>
      <w:r w:rsidRPr="00844A6E">
        <w:rPr>
          <w:szCs w:val="22"/>
          <w:lang w:bidi="fa-IR"/>
        </w:rPr>
        <w:fldChar w:fldCharType="separate"/>
      </w:r>
      <w:r w:rsidRPr="00844A6E">
        <w:rPr>
          <w:szCs w:val="22"/>
          <w:lang w:bidi="fa-IR"/>
        </w:rPr>
        <w:t>F</w:t>
      </w:r>
      <w:r w:rsidRPr="00844A6E">
        <w:rPr>
          <w:szCs w:val="22"/>
          <w:lang w:bidi="fa-IR"/>
        </w:rPr>
        <w:fldChar w:fldCharType="end"/>
      </w:r>
      <w:r w:rsidRPr="00844A6E">
        <w:rPr>
          <w:szCs w:val="22"/>
          <w:lang w:bidi="fa-IR"/>
        </w:rPr>
        <w:t>.</w:t>
      </w:r>
    </w:p>
    <w:p w14:paraId="21C009FF" w14:textId="77777777" w:rsidR="006E5BA6" w:rsidRDefault="006E5BA6" w:rsidP="006E5BA6">
      <w:pPr>
        <w:pStyle w:val="Heading3"/>
        <w:rPr>
          <w:lang w:bidi="fa-IR"/>
        </w:rPr>
      </w:pPr>
      <w:r>
        <w:rPr>
          <w:lang w:bidi="fa-IR"/>
        </w:rPr>
        <w:t>Building</w:t>
      </w:r>
      <w:r>
        <w:rPr>
          <w:lang w:bidi="fa-IR"/>
        </w:rPr>
        <w:noBreakHyphen/>
        <w:t>level CBA</w:t>
      </w:r>
    </w:p>
    <w:p w14:paraId="5F4C310F" w14:textId="26E0D6C0" w:rsidR="006E5BA6" w:rsidRDefault="006E5BA6" w:rsidP="006E5BA6">
      <w:pPr>
        <w:pStyle w:val="BodyText"/>
        <w:rPr>
          <w:szCs w:val="22"/>
          <w:lang w:bidi="fa-IR"/>
        </w:rPr>
      </w:pPr>
      <w:r w:rsidRPr="00844A6E">
        <w:rPr>
          <w:szCs w:val="22"/>
          <w:lang w:bidi="fa-IR"/>
        </w:rPr>
        <w:t>The building</w:t>
      </w:r>
      <w:r w:rsidRPr="00844A6E">
        <w:rPr>
          <w:szCs w:val="22"/>
          <w:lang w:bidi="fa-IR"/>
        </w:rPr>
        <w:noBreakHyphen/>
        <w:t>level CBA for Stringency Level 2 for the large office building archetypes (C5OL) for the climate zone that contains the capital city in each state is shown in table </w:t>
      </w:r>
      <w:r>
        <w:rPr>
          <w:szCs w:val="22"/>
          <w:lang w:bidi="fa-IR"/>
        </w:rPr>
        <w:fldChar w:fldCharType="begin"/>
      </w:r>
      <w:r>
        <w:rPr>
          <w:szCs w:val="22"/>
          <w:lang w:bidi="fa-IR"/>
        </w:rPr>
        <w:instrText xml:space="preserve"> REF _Caption4082 </w:instrText>
      </w:r>
      <w:r>
        <w:rPr>
          <w:szCs w:val="22"/>
          <w:lang w:bidi="fa-IR"/>
        </w:rPr>
        <w:fldChar w:fldCharType="separate"/>
      </w:r>
      <w:r w:rsidR="006E00A7">
        <w:rPr>
          <w:noProof/>
        </w:rPr>
        <w:t>6</w:t>
      </w:r>
      <w:r w:rsidR="006E00A7" w:rsidRPr="006F0F88">
        <w:rPr>
          <w:noProof/>
        </w:rPr>
        <w:t>.</w:t>
      </w:r>
      <w:r w:rsidR="006E00A7">
        <w:rPr>
          <w:noProof/>
        </w:rPr>
        <w:t>7</w:t>
      </w:r>
      <w:r>
        <w:rPr>
          <w:szCs w:val="22"/>
          <w:lang w:bidi="fa-IR"/>
        </w:rPr>
        <w:fldChar w:fldCharType="end"/>
      </w:r>
      <w:r w:rsidRPr="00844A6E">
        <w:rPr>
          <w:szCs w:val="22"/>
          <w:lang w:bidi="fa-IR"/>
        </w:rPr>
        <w:t>.</w:t>
      </w:r>
      <w:r w:rsidRPr="00A4291F">
        <w:rPr>
          <w:rStyle w:val="FootnoteReference"/>
        </w:rPr>
        <w:footnoteReference w:id="127"/>
      </w:r>
      <w:r w:rsidRPr="00A4291F">
        <w:rPr>
          <w:rStyle w:val="FootnoteReference"/>
        </w:rPr>
        <w:t xml:space="preserve"> </w:t>
      </w:r>
      <w:r w:rsidRPr="00844A6E">
        <w:rPr>
          <w:szCs w:val="22"/>
          <w:lang w:bidi="fa-IR"/>
        </w:rPr>
        <w:t>These estimates are presented in present value terms over the (assumed) 50-year life of the building using a discount rate of 5 per cent.</w:t>
      </w:r>
    </w:p>
    <w:p w14:paraId="0902F9D9" w14:textId="75EC9D84" w:rsidR="006E5BA6" w:rsidRPr="006F0F88" w:rsidRDefault="006E5BA6" w:rsidP="006E5BA6">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E136D5">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136D5">
          <w:rPr>
            <w:noProof/>
          </w:rPr>
          <w:instrText>6</w:instrText>
        </w:r>
      </w:fldSimple>
      <w:r w:rsidRPr="006F0F88">
        <w:instrText xml:space="preserve"> = 0 "" "</w:instrText>
      </w:r>
      <w:fldSimple w:instr=" STYLEREF &quot;Heading 1&quot; \l \n ">
        <w:r w:rsidR="00E136D5">
          <w:rPr>
            <w:noProof/>
          </w:rPr>
          <w:instrText>6</w:instrText>
        </w:r>
      </w:fldSimple>
      <w:r w:rsidRPr="006F0F88">
        <w:instrText xml:space="preserve">." </w:instrText>
      </w:r>
      <w:r w:rsidRPr="006F0F88">
        <w:fldChar w:fldCharType="separate"/>
      </w:r>
      <w:r w:rsidR="00E136D5">
        <w:rPr>
          <w:noProof/>
        </w:rPr>
        <w:instrText>6</w:instrText>
      </w:r>
      <w:r w:rsidR="00E136D5"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6</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E136D5">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136D5">
          <w:rPr>
            <w:noProof/>
          </w:rPr>
          <w:instrText>6</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E136D5">
        <w:rPr>
          <w:noProof/>
        </w:rPr>
        <w:instrText>7</w:instrText>
      </w:r>
      <w:r w:rsidRPr="006F0F88">
        <w:fldChar w:fldCharType="end"/>
      </w:r>
      <w:r w:rsidRPr="006F0F88">
        <w:instrText xml:space="preserve">" "" </w:instrText>
      </w:r>
      <w:r w:rsidRPr="006F0F88">
        <w:fldChar w:fldCharType="separate"/>
      </w:r>
      <w:bookmarkStart w:id="2215" w:name="_Caption6839"/>
      <w:bookmarkStart w:id="2216" w:name="_Caption0326"/>
      <w:bookmarkStart w:id="2217" w:name="_Caption7899"/>
      <w:bookmarkStart w:id="2218" w:name="_Caption4576"/>
      <w:bookmarkStart w:id="2219" w:name="_Caption9856"/>
      <w:bookmarkStart w:id="2220" w:name="_Caption2754"/>
      <w:bookmarkStart w:id="2221" w:name="_Caption3890"/>
      <w:bookmarkStart w:id="2222" w:name="_Caption7286"/>
      <w:bookmarkStart w:id="2223" w:name="_Caption9952"/>
      <w:bookmarkStart w:id="2224" w:name="_Caption0463"/>
      <w:bookmarkStart w:id="2225" w:name="_Caption4347"/>
      <w:bookmarkStart w:id="2226" w:name="_Caption9142"/>
      <w:bookmarkStart w:id="2227" w:name="_Caption1236"/>
      <w:bookmarkStart w:id="2228" w:name="_Caption8842"/>
      <w:bookmarkStart w:id="2229" w:name="_Caption5156"/>
      <w:bookmarkStart w:id="2230" w:name="_Caption9761"/>
      <w:bookmarkStart w:id="2231" w:name="_Caption6974"/>
      <w:bookmarkStart w:id="2232" w:name="_Caption5441"/>
      <w:bookmarkStart w:id="2233" w:name="_Caption0922"/>
      <w:bookmarkStart w:id="2234" w:name="_Caption9628"/>
      <w:bookmarkStart w:id="2235" w:name="_Caption6803"/>
      <w:bookmarkStart w:id="2236" w:name="_Caption9476"/>
      <w:bookmarkStart w:id="2237" w:name="_Caption5538"/>
      <w:bookmarkStart w:id="2238" w:name="_Caption7108"/>
      <w:bookmarkStart w:id="2239" w:name="_Caption4945"/>
      <w:bookmarkStart w:id="2240" w:name="_Caption0825"/>
      <w:bookmarkStart w:id="2241" w:name="_Caption5222"/>
      <w:bookmarkStart w:id="2242" w:name="_Caption1741"/>
      <w:bookmarkStart w:id="2243" w:name="_Caption0855"/>
      <w:bookmarkStart w:id="2244" w:name="_Caption1758"/>
      <w:bookmarkStart w:id="2245" w:name="_Caption5830"/>
      <w:bookmarkStart w:id="2246" w:name="_Caption8968"/>
      <w:bookmarkStart w:id="2247" w:name="_Caption9536"/>
      <w:bookmarkStart w:id="2248" w:name="_Caption7380"/>
      <w:bookmarkStart w:id="2249" w:name="_Caption3068"/>
      <w:bookmarkStart w:id="2250" w:name="_Caption5683"/>
      <w:bookmarkStart w:id="2251" w:name="_Caption3671"/>
      <w:bookmarkStart w:id="2252" w:name="_Caption3269"/>
      <w:bookmarkStart w:id="2253" w:name="_Caption7630"/>
      <w:bookmarkStart w:id="2254" w:name="_Caption0219"/>
      <w:bookmarkStart w:id="2255" w:name="_Caption4082"/>
      <w:bookmarkStart w:id="2256" w:name="_Caption7920"/>
      <w:bookmarkStart w:id="2257" w:name="_Caption8581"/>
      <w:bookmarkStart w:id="2258" w:name="_Caption6714"/>
      <w:bookmarkStart w:id="2259" w:name="_Caption3004"/>
      <w:bookmarkStart w:id="2260" w:name="_Caption2022"/>
      <w:bookmarkStart w:id="2261" w:name="_Caption1914"/>
      <w:bookmarkStart w:id="2262" w:name="_Caption2701"/>
      <w:bookmarkStart w:id="2263" w:name="_Caption5966"/>
      <w:bookmarkStart w:id="2264" w:name="_Caption9218"/>
      <w:bookmarkStart w:id="2265" w:name="_Caption5563"/>
      <w:bookmarkStart w:id="2266" w:name="_Caption2522"/>
      <w:bookmarkStart w:id="2267" w:name="_Caption3435"/>
      <w:bookmarkStart w:id="2268" w:name="_Caption0723"/>
      <w:bookmarkStart w:id="2269" w:name="_Caption6424"/>
      <w:bookmarkStart w:id="2270" w:name="_Caption8103"/>
      <w:bookmarkStart w:id="2271" w:name="_Caption5919"/>
      <w:bookmarkStart w:id="2272" w:name="_Caption3513"/>
      <w:bookmarkStart w:id="2273" w:name="_Caption3760"/>
      <w:bookmarkStart w:id="2274" w:name="_Caption4076"/>
      <w:bookmarkStart w:id="2275" w:name="_Caption4705"/>
      <w:bookmarkStart w:id="2276" w:name="_Caption6319"/>
      <w:bookmarkStart w:id="2277" w:name="_Caption4327"/>
      <w:bookmarkStart w:id="2278" w:name="_Caption6566"/>
      <w:bookmarkStart w:id="2279" w:name="_Caption3977"/>
      <w:bookmarkStart w:id="2280" w:name="_Caption8141"/>
      <w:bookmarkStart w:id="2281" w:name="_Caption3880"/>
      <w:bookmarkStart w:id="2282" w:name="_Caption6457"/>
      <w:bookmarkStart w:id="2283" w:name="_Caption9774"/>
      <w:bookmarkStart w:id="2284" w:name="_Caption8010"/>
      <w:bookmarkStart w:id="2285" w:name="_Caption3137"/>
      <w:bookmarkStart w:id="2286" w:name="_Caption5696"/>
      <w:bookmarkStart w:id="2287" w:name="_Caption0258"/>
      <w:bookmarkStart w:id="2288" w:name="_Caption8847"/>
      <w:bookmarkStart w:id="2289" w:name="_Caption9727"/>
      <w:bookmarkStart w:id="2290" w:name="_Caption1661"/>
      <w:bookmarkStart w:id="2291" w:name="_Caption2702"/>
      <w:bookmarkStart w:id="2292" w:name="_Caption7184"/>
      <w:bookmarkStart w:id="2293" w:name="_Caption6612"/>
      <w:bookmarkStart w:id="2294" w:name="_Toc177735164"/>
      <w:bookmarkStart w:id="2295" w:name="_Toc178292594"/>
      <w:r w:rsidR="008C60A3">
        <w:rPr>
          <w:noProof/>
        </w:rPr>
        <w:t>6</w:t>
      </w:r>
      <w:r w:rsidR="008C60A3" w:rsidRPr="006F0F88">
        <w:rPr>
          <w:noProof/>
        </w:rPr>
        <w:t>.</w:t>
      </w:r>
      <w:r w:rsidR="008C60A3">
        <w:rPr>
          <w:noProof/>
        </w:rPr>
        <w:t>7</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r w:rsidRPr="006F0F88">
        <w:fldChar w:fldCharType="end"/>
      </w:r>
      <w:r w:rsidRPr="006F0F88">
        <w:tab/>
        <w:t>Building</w:t>
      </w:r>
      <w:r w:rsidRPr="006F0F88">
        <w:noBreakHyphen/>
        <w:t>level CBA for Stringency Level 2 — C5OL</w:t>
      </w:r>
      <w:bookmarkEnd w:id="2294"/>
      <w:bookmarkEnd w:id="2295"/>
    </w:p>
    <w:tbl>
      <w:tblPr>
        <w:tblW w:w="7940" w:type="dxa"/>
        <w:tblLayout w:type="fixed"/>
        <w:tblLook w:val="0000" w:firstRow="0" w:lastRow="0" w:firstColumn="0" w:lastColumn="0" w:noHBand="0" w:noVBand="0"/>
        <w:tblCaption w:val="Table 5.6"/>
        <w:tblDescription w:val="Building level CBA for Stringency Level 2 — C5OL"/>
      </w:tblPr>
      <w:tblGrid>
        <w:gridCol w:w="2416"/>
        <w:gridCol w:w="690"/>
        <w:gridCol w:w="691"/>
        <w:gridCol w:w="690"/>
        <w:gridCol w:w="691"/>
        <w:gridCol w:w="691"/>
        <w:gridCol w:w="690"/>
        <w:gridCol w:w="691"/>
        <w:gridCol w:w="690"/>
      </w:tblGrid>
      <w:tr w:rsidR="006E5BA6" w14:paraId="74870582" w14:textId="77777777">
        <w:trPr>
          <w:trHeight w:val="245"/>
          <w:tblHeader/>
        </w:trPr>
        <w:tc>
          <w:tcPr>
            <w:tcW w:w="2416" w:type="dxa"/>
            <w:shd w:val="clear" w:color="auto" w:fill="6F6652"/>
            <w:tcMar>
              <w:left w:w="57" w:type="dxa"/>
              <w:right w:w="57" w:type="dxa"/>
            </w:tcMar>
          </w:tcPr>
          <w:p w14:paraId="5237B4CD" w14:textId="77777777" w:rsidR="006E5BA6" w:rsidRDefault="006E5BA6">
            <w:pPr>
              <w:pStyle w:val="TableDataColumnHeading"/>
              <w:jc w:val="left"/>
            </w:pPr>
            <w:r>
              <w:t>Impact</w:t>
            </w:r>
          </w:p>
        </w:tc>
        <w:tc>
          <w:tcPr>
            <w:tcW w:w="690" w:type="dxa"/>
            <w:shd w:val="clear" w:color="auto" w:fill="6F6652"/>
            <w:tcMar>
              <w:left w:w="57" w:type="dxa"/>
              <w:right w:w="57" w:type="dxa"/>
            </w:tcMar>
          </w:tcPr>
          <w:p w14:paraId="3E1FF470" w14:textId="77777777" w:rsidR="006E5BA6" w:rsidRDefault="006E5BA6">
            <w:pPr>
              <w:pStyle w:val="TableDataColumnHeading"/>
            </w:pPr>
            <w:r>
              <w:t>NSW (CZ5)</w:t>
            </w:r>
          </w:p>
          <w:p w14:paraId="6AF14FF7" w14:textId="77777777" w:rsidR="006E5BA6" w:rsidRDefault="006E5BA6">
            <w:pPr>
              <w:pStyle w:val="TableDataColumnHeading"/>
            </w:pPr>
            <w:r>
              <w:t>$ per m</w:t>
            </w:r>
            <w:r w:rsidRPr="005347E2">
              <w:rPr>
                <w:vertAlign w:val="superscript"/>
              </w:rPr>
              <w:t>2</w:t>
            </w:r>
          </w:p>
        </w:tc>
        <w:tc>
          <w:tcPr>
            <w:tcW w:w="691" w:type="dxa"/>
            <w:shd w:val="clear" w:color="auto" w:fill="6F6652"/>
            <w:tcMar>
              <w:left w:w="57" w:type="dxa"/>
              <w:right w:w="57" w:type="dxa"/>
            </w:tcMar>
          </w:tcPr>
          <w:p w14:paraId="4695AA6B" w14:textId="77777777" w:rsidR="006E5BA6" w:rsidRDefault="006E5BA6">
            <w:pPr>
              <w:pStyle w:val="TableDataColumnHeading"/>
            </w:pPr>
            <w:r>
              <w:t>VIC (CZ6)</w:t>
            </w:r>
          </w:p>
          <w:p w14:paraId="76B7B617" w14:textId="77777777" w:rsidR="006E5BA6" w:rsidRDefault="006E5BA6">
            <w:pPr>
              <w:pStyle w:val="TableDataColumnHeading"/>
            </w:pPr>
            <w:r>
              <w:t>$ per m</w:t>
            </w:r>
            <w:r w:rsidRPr="005347E2">
              <w:rPr>
                <w:vertAlign w:val="superscript"/>
              </w:rPr>
              <w:t>2</w:t>
            </w:r>
          </w:p>
        </w:tc>
        <w:tc>
          <w:tcPr>
            <w:tcW w:w="690" w:type="dxa"/>
            <w:shd w:val="clear" w:color="auto" w:fill="6F6652"/>
            <w:tcMar>
              <w:left w:w="57" w:type="dxa"/>
              <w:right w:w="57" w:type="dxa"/>
            </w:tcMar>
          </w:tcPr>
          <w:p w14:paraId="00D18DCA" w14:textId="77777777" w:rsidR="006E5BA6" w:rsidRDefault="006E5BA6">
            <w:pPr>
              <w:pStyle w:val="TableDataColumnHeading"/>
            </w:pPr>
            <w:r>
              <w:t>QLD (CZ2)</w:t>
            </w:r>
          </w:p>
          <w:p w14:paraId="0239348F" w14:textId="77777777" w:rsidR="006E5BA6" w:rsidRDefault="006E5BA6">
            <w:pPr>
              <w:pStyle w:val="TableDataColumnHeading"/>
            </w:pPr>
            <w:r>
              <w:t>$ per m</w:t>
            </w:r>
            <w:r w:rsidRPr="005347E2">
              <w:rPr>
                <w:vertAlign w:val="superscript"/>
              </w:rPr>
              <w:t>2</w:t>
            </w:r>
          </w:p>
        </w:tc>
        <w:tc>
          <w:tcPr>
            <w:tcW w:w="691" w:type="dxa"/>
            <w:shd w:val="clear" w:color="auto" w:fill="6F6652"/>
            <w:tcMar>
              <w:left w:w="57" w:type="dxa"/>
              <w:right w:w="57" w:type="dxa"/>
            </w:tcMar>
          </w:tcPr>
          <w:p w14:paraId="67A211F0" w14:textId="77777777" w:rsidR="006E5BA6" w:rsidRDefault="006E5BA6">
            <w:pPr>
              <w:pStyle w:val="TableDataColumnHeading"/>
            </w:pPr>
            <w:r>
              <w:t>WA (CZ5)</w:t>
            </w:r>
          </w:p>
          <w:p w14:paraId="4F970E2C" w14:textId="77777777" w:rsidR="006E5BA6" w:rsidRDefault="006E5BA6">
            <w:pPr>
              <w:pStyle w:val="TableDataColumnHeading"/>
            </w:pPr>
            <w:r>
              <w:t>$ per m</w:t>
            </w:r>
            <w:r w:rsidRPr="005347E2">
              <w:rPr>
                <w:vertAlign w:val="superscript"/>
              </w:rPr>
              <w:t>2</w:t>
            </w:r>
          </w:p>
        </w:tc>
        <w:tc>
          <w:tcPr>
            <w:tcW w:w="691" w:type="dxa"/>
            <w:shd w:val="clear" w:color="auto" w:fill="6F6652"/>
            <w:tcMar>
              <w:left w:w="57" w:type="dxa"/>
              <w:right w:w="57" w:type="dxa"/>
            </w:tcMar>
          </w:tcPr>
          <w:p w14:paraId="71078160" w14:textId="77777777" w:rsidR="006E5BA6" w:rsidRDefault="006E5BA6">
            <w:pPr>
              <w:pStyle w:val="TableDataColumnHeading"/>
            </w:pPr>
            <w:r>
              <w:t>SA (CZ5)</w:t>
            </w:r>
          </w:p>
          <w:p w14:paraId="47FB4672" w14:textId="77777777" w:rsidR="006E5BA6" w:rsidRDefault="006E5BA6">
            <w:pPr>
              <w:pStyle w:val="TableDataColumnHeading"/>
            </w:pPr>
            <w:r>
              <w:t>$ per m</w:t>
            </w:r>
            <w:r w:rsidRPr="005347E2">
              <w:rPr>
                <w:vertAlign w:val="superscript"/>
              </w:rPr>
              <w:t>2</w:t>
            </w:r>
          </w:p>
        </w:tc>
        <w:tc>
          <w:tcPr>
            <w:tcW w:w="690" w:type="dxa"/>
            <w:shd w:val="clear" w:color="auto" w:fill="6F6652"/>
            <w:tcMar>
              <w:left w:w="57" w:type="dxa"/>
              <w:right w:w="57" w:type="dxa"/>
            </w:tcMar>
          </w:tcPr>
          <w:p w14:paraId="0DCA65F3" w14:textId="77777777" w:rsidR="006E5BA6" w:rsidRDefault="006E5BA6">
            <w:pPr>
              <w:pStyle w:val="TableDataColumnHeading"/>
            </w:pPr>
            <w:r>
              <w:t>TAS (CZ7)</w:t>
            </w:r>
          </w:p>
          <w:p w14:paraId="28B5C949" w14:textId="77777777" w:rsidR="006E5BA6" w:rsidRDefault="006E5BA6">
            <w:pPr>
              <w:pStyle w:val="TableDataColumnHeading"/>
            </w:pPr>
            <w:r>
              <w:t>$ per m</w:t>
            </w:r>
            <w:r w:rsidRPr="005347E2">
              <w:rPr>
                <w:vertAlign w:val="superscript"/>
              </w:rPr>
              <w:t>2</w:t>
            </w:r>
          </w:p>
        </w:tc>
        <w:tc>
          <w:tcPr>
            <w:tcW w:w="691" w:type="dxa"/>
            <w:shd w:val="clear" w:color="auto" w:fill="6F6652"/>
            <w:tcMar>
              <w:left w:w="57" w:type="dxa"/>
              <w:right w:w="57" w:type="dxa"/>
            </w:tcMar>
          </w:tcPr>
          <w:p w14:paraId="60F7BD39" w14:textId="77777777" w:rsidR="006E5BA6" w:rsidRDefault="006E5BA6">
            <w:pPr>
              <w:pStyle w:val="TableDataColumnHeading"/>
            </w:pPr>
            <w:r>
              <w:t>ACT (CZ7)</w:t>
            </w:r>
          </w:p>
          <w:p w14:paraId="1B232D65" w14:textId="77777777" w:rsidR="006E5BA6" w:rsidRDefault="006E5BA6">
            <w:pPr>
              <w:pStyle w:val="TableDataColumnHeading"/>
            </w:pPr>
            <w:r>
              <w:t>$ per m</w:t>
            </w:r>
            <w:r w:rsidRPr="005347E2">
              <w:rPr>
                <w:vertAlign w:val="superscript"/>
              </w:rPr>
              <w:t>2</w:t>
            </w:r>
          </w:p>
        </w:tc>
        <w:tc>
          <w:tcPr>
            <w:tcW w:w="690" w:type="dxa"/>
            <w:shd w:val="clear" w:color="auto" w:fill="6F6652"/>
            <w:tcMar>
              <w:left w:w="57" w:type="dxa"/>
              <w:right w:w="57" w:type="dxa"/>
            </w:tcMar>
          </w:tcPr>
          <w:p w14:paraId="2F912E92" w14:textId="77777777" w:rsidR="006E5BA6" w:rsidRDefault="006E5BA6">
            <w:pPr>
              <w:pStyle w:val="TableDataColumnHeading"/>
            </w:pPr>
            <w:r>
              <w:t>NT (CZ1)</w:t>
            </w:r>
          </w:p>
          <w:p w14:paraId="6FB45753" w14:textId="77777777" w:rsidR="006E5BA6" w:rsidRDefault="006E5BA6">
            <w:pPr>
              <w:pStyle w:val="TableDataColumnHeading"/>
            </w:pPr>
            <w:r>
              <w:t>$ per m</w:t>
            </w:r>
            <w:r w:rsidRPr="005347E2">
              <w:rPr>
                <w:vertAlign w:val="superscript"/>
              </w:rPr>
              <w:t>2</w:t>
            </w:r>
          </w:p>
        </w:tc>
      </w:tr>
      <w:tr w:rsidR="006E5BA6" w14:paraId="3BEC0D2D" w14:textId="77777777">
        <w:trPr>
          <w:trHeight w:val="245"/>
        </w:trPr>
        <w:tc>
          <w:tcPr>
            <w:tcW w:w="24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EB3DE4" w14:textId="77777777" w:rsidR="006E5BA6" w:rsidRDefault="006E5BA6">
            <w:pPr>
              <w:pStyle w:val="TableDataEntries"/>
              <w:jc w:val="left"/>
            </w:pPr>
            <w:r>
              <w:t>Change in network electricity capacity costs</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DB242CC" w14:textId="670C9401" w:rsidR="006E5BA6" w:rsidRDefault="006E5BA6">
            <w:pPr>
              <w:pStyle w:val="TableDataEntries"/>
            </w:pPr>
            <w:r>
              <w:t>7.53</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B96666" w14:textId="001EF4F3" w:rsidR="006E5BA6" w:rsidRDefault="006E5BA6">
            <w:pPr>
              <w:pStyle w:val="TableDataEntries"/>
            </w:pPr>
            <w:r>
              <w:t>3.02</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59A2C2D" w14:textId="41B01E18" w:rsidR="006E5BA6" w:rsidRDefault="006E5BA6">
            <w:pPr>
              <w:pStyle w:val="TableDataEntries"/>
            </w:pPr>
            <w:r>
              <w:t>8.72</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9D7B03" w14:textId="5AAC2C2F" w:rsidR="006E5BA6" w:rsidRDefault="006E5BA6">
            <w:pPr>
              <w:pStyle w:val="TableDataEntries"/>
            </w:pPr>
            <w:r>
              <w:t>1.82</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84F291" w14:textId="0750DE28" w:rsidR="006E5BA6" w:rsidRDefault="006E5BA6">
            <w:pPr>
              <w:pStyle w:val="TableDataEntries"/>
            </w:pPr>
            <w:r>
              <w:t>4.27</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15A5B4C" w14:textId="4CF86744" w:rsidR="006E5BA6" w:rsidRDefault="006E5BA6">
            <w:pPr>
              <w:pStyle w:val="TableDataEntries"/>
            </w:pPr>
            <w:r>
              <w:t>10.44</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26D5C69" w14:textId="0C7A2B5E" w:rsidR="006E5BA6" w:rsidRDefault="006E5BA6">
            <w:pPr>
              <w:pStyle w:val="TableDataEntries"/>
            </w:pPr>
            <w:r>
              <w:t>4.89</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87F04E7" w14:textId="7FC55AC7" w:rsidR="006E5BA6" w:rsidRDefault="006E5BA6">
            <w:pPr>
              <w:pStyle w:val="TableDataEntries"/>
            </w:pPr>
            <w:r>
              <w:t>6.86</w:t>
            </w:r>
          </w:p>
        </w:tc>
      </w:tr>
      <w:tr w:rsidR="006E5BA6" w14:paraId="67F76A83" w14:textId="77777777">
        <w:trPr>
          <w:trHeight w:val="245"/>
        </w:trPr>
        <w:tc>
          <w:tcPr>
            <w:tcW w:w="24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9C2498B" w14:textId="77777777" w:rsidR="006E5BA6" w:rsidRDefault="006E5BA6">
            <w:pPr>
              <w:pStyle w:val="TableDataEntries"/>
              <w:jc w:val="left"/>
            </w:pPr>
            <w:r>
              <w:t>Change in electricity generation costs</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8C3D4D" w14:textId="7F095BD9" w:rsidR="006E5BA6" w:rsidRDefault="006E5BA6">
            <w:pPr>
              <w:pStyle w:val="TableDataEntries"/>
            </w:pPr>
            <w:r>
              <w:t>15.99</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8188AB6" w14:textId="468C9E39" w:rsidR="006E5BA6" w:rsidRDefault="006E5BA6">
            <w:pPr>
              <w:pStyle w:val="TableDataEntries"/>
            </w:pPr>
            <w:r>
              <w:t>10.08</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08E5CDC" w14:textId="355753D6" w:rsidR="006E5BA6" w:rsidRDefault="006E5BA6">
            <w:pPr>
              <w:pStyle w:val="TableDataEntries"/>
            </w:pPr>
            <w:r>
              <w:t>15.81</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08D1740" w14:textId="68AFB805" w:rsidR="006E5BA6" w:rsidRDefault="006E5BA6">
            <w:pPr>
              <w:pStyle w:val="TableDataEntries"/>
            </w:pPr>
            <w:r>
              <w:t>9.88</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FC1B5FB" w14:textId="2AE67152" w:rsidR="006E5BA6" w:rsidRDefault="006E5BA6">
            <w:pPr>
              <w:pStyle w:val="TableDataEntries"/>
            </w:pPr>
            <w:r>
              <w:t>11.37</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56F662E" w14:textId="4E419D3F" w:rsidR="006E5BA6" w:rsidRDefault="006E5BA6">
            <w:pPr>
              <w:pStyle w:val="TableDataEntries"/>
            </w:pPr>
            <w:r>
              <w:t>10.85</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AFC043" w14:textId="4620DE73" w:rsidR="006E5BA6" w:rsidRDefault="006E5BA6">
            <w:pPr>
              <w:pStyle w:val="TableDataEntries"/>
            </w:pPr>
            <w:r>
              <w:t>11.90</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A6FA41B" w14:textId="62B92480" w:rsidR="006E5BA6" w:rsidRDefault="006E5BA6">
            <w:pPr>
              <w:pStyle w:val="TableDataEntries"/>
            </w:pPr>
            <w:r>
              <w:t>28.19</w:t>
            </w:r>
          </w:p>
        </w:tc>
      </w:tr>
      <w:tr w:rsidR="006E5BA6" w14:paraId="5FAB668D" w14:textId="77777777">
        <w:trPr>
          <w:trHeight w:val="245"/>
        </w:trPr>
        <w:tc>
          <w:tcPr>
            <w:tcW w:w="24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9BE011A" w14:textId="77777777" w:rsidR="006E5BA6" w:rsidRDefault="006E5BA6">
            <w:pPr>
              <w:pStyle w:val="TableDataEntries"/>
              <w:jc w:val="left"/>
            </w:pPr>
            <w:r>
              <w:t>Change in electricity network usage costs</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3D104C" w14:textId="461784B1" w:rsidR="006E5BA6" w:rsidRDefault="006E5BA6">
            <w:pPr>
              <w:pStyle w:val="TableDataEntries"/>
            </w:pPr>
            <w:r>
              <w:t>9.08</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A702E3" w14:textId="30A4C519" w:rsidR="006E5BA6" w:rsidRDefault="006E5BA6">
            <w:pPr>
              <w:pStyle w:val="TableDataEntries"/>
            </w:pPr>
            <w:r>
              <w:t>10.81</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2678AE" w14:textId="362FF015" w:rsidR="006E5BA6" w:rsidRDefault="006E5BA6">
            <w:pPr>
              <w:pStyle w:val="TableDataEntries"/>
            </w:pPr>
            <w:r>
              <w:t>10.13</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F0B096" w14:textId="4F7961D1" w:rsidR="006E5BA6" w:rsidRDefault="006E5BA6">
            <w:pPr>
              <w:pStyle w:val="TableDataEntries"/>
            </w:pPr>
            <w:r>
              <w:t>22.97</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2B32A42" w14:textId="6C1A2682" w:rsidR="006E5BA6" w:rsidRDefault="006E5BA6">
            <w:pPr>
              <w:pStyle w:val="TableDataEntries"/>
            </w:pPr>
            <w:r>
              <w:t>26.29</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E68EF8E" w14:textId="4F3AE44C" w:rsidR="006E5BA6" w:rsidRDefault="006E5BA6">
            <w:pPr>
              <w:pStyle w:val="TableDataEntries"/>
            </w:pPr>
            <w:r>
              <w:t>17.56</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ABB02A9" w14:textId="56466910" w:rsidR="006E5BA6" w:rsidRDefault="006E5BA6">
            <w:pPr>
              <w:pStyle w:val="TableDataEntries"/>
            </w:pPr>
            <w:r>
              <w:t>10.45</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61F2C7" w14:textId="439203EF" w:rsidR="006E5BA6" w:rsidRDefault="006E5BA6">
            <w:pPr>
              <w:pStyle w:val="TableDataEntries"/>
            </w:pPr>
            <w:r>
              <w:t>13.87</w:t>
            </w:r>
          </w:p>
        </w:tc>
      </w:tr>
      <w:tr w:rsidR="006E5BA6" w14:paraId="2F585DE2" w14:textId="77777777">
        <w:trPr>
          <w:trHeight w:val="245"/>
        </w:trPr>
        <w:tc>
          <w:tcPr>
            <w:tcW w:w="24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8A1A25" w14:textId="77777777" w:rsidR="006E5BA6" w:rsidRDefault="006E5BA6">
            <w:pPr>
              <w:pStyle w:val="TableDataEntries"/>
              <w:jc w:val="left"/>
            </w:pPr>
            <w:r>
              <w:t>Change in electricity retail costs</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619DEFF" w14:textId="4BF4080B" w:rsidR="006E5BA6" w:rsidRDefault="006E5BA6">
            <w:pPr>
              <w:pStyle w:val="TableDataEntries"/>
            </w:pPr>
            <w:r>
              <w:t>4.89</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98CC981" w14:textId="58E1C487" w:rsidR="006E5BA6" w:rsidRDefault="006E5BA6">
            <w:pPr>
              <w:pStyle w:val="TableDataEntries"/>
            </w:pPr>
            <w:r>
              <w:t>3.59</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91B5724" w14:textId="1432BFFB" w:rsidR="006E5BA6" w:rsidRDefault="006E5BA6">
            <w:pPr>
              <w:pStyle w:val="TableDataEntries"/>
            </w:pPr>
            <w:r>
              <w:t>5.20</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EAF4E5" w14:textId="496FDD53" w:rsidR="006E5BA6" w:rsidRDefault="006E5BA6">
            <w:pPr>
              <w:pStyle w:val="TableDataEntries"/>
            </w:pPr>
            <w:r>
              <w:t>5.20</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8C1AF7D" w14:textId="54BA7D04" w:rsidR="006E5BA6" w:rsidRDefault="006E5BA6">
            <w:pPr>
              <w:pStyle w:val="TableDataEntries"/>
            </w:pPr>
            <w:r>
              <w:t>6.29</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9760E05" w14:textId="66B92FCB" w:rsidR="006E5BA6" w:rsidRDefault="006E5BA6">
            <w:pPr>
              <w:pStyle w:val="TableDataEntries"/>
            </w:pPr>
            <w:r>
              <w:t>5.83</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104DE30" w14:textId="5A821280" w:rsidR="006E5BA6" w:rsidRDefault="006E5BA6">
            <w:pPr>
              <w:pStyle w:val="TableDataEntries"/>
            </w:pPr>
            <w:r>
              <w:t>4.09</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CCA164" w14:textId="40957464" w:rsidR="006E5BA6" w:rsidRDefault="006E5BA6">
            <w:pPr>
              <w:pStyle w:val="TableDataEntries"/>
            </w:pPr>
            <w:r>
              <w:t>7.34</w:t>
            </w:r>
          </w:p>
        </w:tc>
      </w:tr>
      <w:tr w:rsidR="006E5BA6" w14:paraId="00DCE327" w14:textId="77777777">
        <w:trPr>
          <w:trHeight w:val="245"/>
        </w:trPr>
        <w:tc>
          <w:tcPr>
            <w:tcW w:w="24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C1677F2" w14:textId="77777777" w:rsidR="006E5BA6" w:rsidRDefault="006E5BA6">
            <w:pPr>
              <w:pStyle w:val="TableDataEntries"/>
              <w:jc w:val="left"/>
            </w:pPr>
            <w:r>
              <w:t>Value of electricity exported to the grid</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047EBE" w14:textId="30237BF2" w:rsidR="006E5BA6" w:rsidRDefault="006E5BA6">
            <w:pPr>
              <w:pStyle w:val="TableDataEntries"/>
            </w:pPr>
            <w:r>
              <w:t>0.06</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7F145F" w14:textId="08981E30" w:rsidR="006E5BA6" w:rsidRDefault="006E5BA6">
            <w:pPr>
              <w:pStyle w:val="TableDataEntries"/>
            </w:pPr>
            <w:r>
              <w:t>0.00</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3D2FB8" w14:textId="52C65C7A" w:rsidR="006E5BA6" w:rsidRDefault="006E5BA6">
            <w:pPr>
              <w:pStyle w:val="TableDataEntries"/>
            </w:pPr>
            <w:r>
              <w:t>0.02</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5C69F4" w14:textId="26AE5CDD" w:rsidR="006E5BA6" w:rsidRDefault="006E5BA6">
            <w:pPr>
              <w:pStyle w:val="TableDataEntries"/>
            </w:pPr>
            <w:r>
              <w:t>0.05</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05993C0" w14:textId="07A990DB" w:rsidR="006E5BA6" w:rsidRDefault="006E5BA6">
            <w:pPr>
              <w:pStyle w:val="TableDataEntries"/>
            </w:pPr>
            <w:r>
              <w:t>0.01</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7860BFB" w14:textId="60ECBEC0" w:rsidR="006E5BA6" w:rsidRDefault="006E5BA6">
            <w:pPr>
              <w:pStyle w:val="TableDataEntries"/>
            </w:pPr>
            <w:r>
              <w:t>0.03</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C869738" w14:textId="4B316175" w:rsidR="006E5BA6" w:rsidRDefault="006E5BA6">
            <w:pPr>
              <w:pStyle w:val="TableDataEntries"/>
            </w:pPr>
            <w:r>
              <w:t>0.01</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63FC8F" w14:textId="56A43289" w:rsidR="006E5BA6" w:rsidRDefault="006E5BA6">
            <w:pPr>
              <w:pStyle w:val="TableDataEntries"/>
            </w:pPr>
            <w:r>
              <w:t>0.20</w:t>
            </w:r>
          </w:p>
        </w:tc>
      </w:tr>
      <w:tr w:rsidR="006E5BA6" w14:paraId="5DBDBCB8" w14:textId="77777777">
        <w:trPr>
          <w:trHeight w:val="245"/>
        </w:trPr>
        <w:tc>
          <w:tcPr>
            <w:tcW w:w="24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03038B" w14:textId="77777777" w:rsidR="006E5BA6" w:rsidRDefault="006E5BA6">
            <w:pPr>
              <w:pStyle w:val="TableDataEntries"/>
              <w:jc w:val="left"/>
            </w:pPr>
            <w:r>
              <w:t>Electricity exports — network impacts</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ABC410" w14:textId="7834F4B4" w:rsidR="006E5BA6" w:rsidRDefault="006E5BA6">
            <w:pPr>
              <w:pStyle w:val="TableDataEntries"/>
              <w:rPr>
                <w:szCs w:val="16"/>
              </w:rPr>
            </w:pPr>
            <w:r>
              <w:t>-0.02</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B8D739E" w14:textId="6C14B073" w:rsidR="006E5BA6" w:rsidRDefault="006E5BA6">
            <w:pPr>
              <w:pStyle w:val="TableDataEntries"/>
              <w:rPr>
                <w:szCs w:val="16"/>
              </w:rPr>
            </w:pPr>
            <w:r>
              <w:t>-0.01</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992F71" w14:textId="5F8662E6" w:rsidR="006E5BA6" w:rsidRDefault="006E5BA6">
            <w:pPr>
              <w:pStyle w:val="TableDataEntries"/>
              <w:rPr>
                <w:szCs w:val="16"/>
              </w:rPr>
            </w:pPr>
            <w:r>
              <w:t>-0.01</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BDE0FD" w14:textId="57D8C039" w:rsidR="006E5BA6" w:rsidRDefault="006E5BA6">
            <w:pPr>
              <w:pStyle w:val="TableDataEntries"/>
              <w:rPr>
                <w:szCs w:val="16"/>
              </w:rPr>
            </w:pPr>
            <w:r>
              <w:t>-0.02</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6D02B5" w14:textId="5E321A95" w:rsidR="006E5BA6" w:rsidRDefault="006E5BA6">
            <w:pPr>
              <w:pStyle w:val="TableDataEntries"/>
              <w:rPr>
                <w:szCs w:val="16"/>
              </w:rPr>
            </w:pPr>
            <w:r>
              <w:t>-0.02</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70DA775" w14:textId="0874BBAA" w:rsidR="006E5BA6" w:rsidRDefault="006E5BA6">
            <w:pPr>
              <w:pStyle w:val="TableDataEntries"/>
              <w:rPr>
                <w:szCs w:val="16"/>
              </w:rPr>
            </w:pPr>
            <w:r>
              <w:t>-0.01</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DDF4D7" w14:textId="7BB3A04F" w:rsidR="006E5BA6" w:rsidRDefault="006E5BA6">
            <w:pPr>
              <w:pStyle w:val="TableDataEntries"/>
              <w:rPr>
                <w:szCs w:val="16"/>
              </w:rPr>
            </w:pPr>
            <w:r>
              <w:t>-0.01</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B06C4EE" w14:textId="3CDA7EF8" w:rsidR="006E5BA6" w:rsidRDefault="006E5BA6">
            <w:pPr>
              <w:pStyle w:val="TableDataEntries"/>
              <w:rPr>
                <w:szCs w:val="16"/>
              </w:rPr>
            </w:pPr>
            <w:r>
              <w:t>-0.03</w:t>
            </w:r>
          </w:p>
        </w:tc>
      </w:tr>
      <w:tr w:rsidR="006E5BA6" w14:paraId="72953BE0" w14:textId="77777777">
        <w:trPr>
          <w:trHeight w:val="245"/>
        </w:trPr>
        <w:tc>
          <w:tcPr>
            <w:tcW w:w="24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FDCC03" w14:textId="77777777" w:rsidR="006E5BA6" w:rsidRDefault="006E5BA6">
            <w:pPr>
              <w:pStyle w:val="TableDataEntries"/>
              <w:jc w:val="left"/>
            </w:pPr>
            <w:r>
              <w:t>Change in gas costs</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D8881E1" w14:textId="7E8F27F4" w:rsidR="006E5BA6" w:rsidRDefault="006E5BA6">
            <w:pPr>
              <w:pStyle w:val="TableDataEntries"/>
            </w:pPr>
            <w:r>
              <w:t>-0.07</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EB7912" w14:textId="7E774285" w:rsidR="006E5BA6" w:rsidRDefault="006E5BA6">
            <w:pPr>
              <w:pStyle w:val="TableDataEntries"/>
            </w:pPr>
            <w:r>
              <w:t>-0.23</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C906368" w14:textId="6EFEA5AE" w:rsidR="006E5BA6" w:rsidRDefault="006E5BA6">
            <w:pPr>
              <w:pStyle w:val="TableDataEntries"/>
            </w:pPr>
            <w:r>
              <w:t>0.02</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426BA3" w14:textId="01EA75FC" w:rsidR="006E5BA6" w:rsidRDefault="006E5BA6">
            <w:pPr>
              <w:pStyle w:val="TableDataEntries"/>
            </w:pPr>
            <w:r>
              <w:t>-0.07</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284AEB" w14:textId="60135DE0" w:rsidR="006E5BA6" w:rsidRDefault="006E5BA6">
            <w:pPr>
              <w:pStyle w:val="TableDataEntries"/>
            </w:pPr>
            <w:r>
              <w:t>-0.08</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CEF934" w14:textId="0076C834" w:rsidR="006E5BA6" w:rsidRDefault="006E5BA6">
            <w:pPr>
              <w:pStyle w:val="TableDataEntries"/>
            </w:pPr>
            <w:r>
              <w:t>0.98</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3B25F1" w14:textId="42907CCE" w:rsidR="006E5BA6" w:rsidRDefault="006E5BA6">
            <w:pPr>
              <w:pStyle w:val="TableDataEntries"/>
            </w:pPr>
            <w:r>
              <w:t>0.69</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42B7786" w14:textId="6AD74CB3" w:rsidR="006E5BA6" w:rsidRDefault="006E5BA6">
            <w:pPr>
              <w:pStyle w:val="TableDataEntries"/>
            </w:pPr>
            <w:r>
              <w:t>0.00</w:t>
            </w:r>
          </w:p>
        </w:tc>
      </w:tr>
      <w:tr w:rsidR="006E5BA6" w14:paraId="25435958" w14:textId="77777777">
        <w:trPr>
          <w:trHeight w:val="245"/>
        </w:trPr>
        <w:tc>
          <w:tcPr>
            <w:tcW w:w="24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226E54D" w14:textId="77777777" w:rsidR="006E5BA6" w:rsidRDefault="006E5BA6">
            <w:pPr>
              <w:pStyle w:val="TableDataEntries"/>
              <w:jc w:val="left"/>
            </w:pPr>
            <w:r>
              <w:t>Change in GHG emission costs - electricity</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937AE97" w14:textId="67295440" w:rsidR="006E5BA6" w:rsidRDefault="006E5BA6">
            <w:pPr>
              <w:pStyle w:val="TableDataEntries"/>
            </w:pPr>
            <w:r>
              <w:t>9.27</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83194BF" w14:textId="7A6DABBC" w:rsidR="006E5BA6" w:rsidRDefault="006E5BA6">
            <w:pPr>
              <w:pStyle w:val="TableDataEntries"/>
            </w:pPr>
            <w:r>
              <w:t>11.30</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243E93" w14:textId="3E84C6E0" w:rsidR="006E5BA6" w:rsidRDefault="006E5BA6">
            <w:pPr>
              <w:pStyle w:val="TableDataEntries"/>
            </w:pPr>
            <w:r>
              <w:t>26.19</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681696A" w14:textId="351086DA" w:rsidR="006E5BA6" w:rsidRDefault="006E5BA6">
            <w:pPr>
              <w:pStyle w:val="TableDataEntries"/>
            </w:pPr>
            <w:r>
              <w:t>13.72</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DB5E371" w14:textId="122B9E3B" w:rsidR="006E5BA6" w:rsidRDefault="006E5BA6">
            <w:pPr>
              <w:pStyle w:val="TableDataEntries"/>
            </w:pPr>
            <w:r>
              <w:t>9.97</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5E36161" w14:textId="7F807F82" w:rsidR="006E5BA6" w:rsidRDefault="006E5BA6">
            <w:pPr>
              <w:pStyle w:val="TableDataEntries"/>
            </w:pPr>
            <w:r>
              <w:t>0.95</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1BC5D8" w14:textId="04DAFC3B" w:rsidR="006E5BA6" w:rsidRDefault="006E5BA6">
            <w:pPr>
              <w:pStyle w:val="TableDataEntries"/>
            </w:pPr>
            <w:r>
              <w:t>6.48</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81AFD5" w14:textId="21DFD852" w:rsidR="006E5BA6" w:rsidRDefault="006E5BA6">
            <w:pPr>
              <w:pStyle w:val="TableDataEntries"/>
            </w:pPr>
            <w:r>
              <w:t>27.77</w:t>
            </w:r>
          </w:p>
        </w:tc>
      </w:tr>
      <w:tr w:rsidR="006E5BA6" w14:paraId="4DE2B06A" w14:textId="77777777">
        <w:trPr>
          <w:trHeight w:val="245"/>
        </w:trPr>
        <w:tc>
          <w:tcPr>
            <w:tcW w:w="24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3C74C14" w14:textId="77777777" w:rsidR="006E5BA6" w:rsidRDefault="006E5BA6">
            <w:pPr>
              <w:pStyle w:val="TableDataEntries"/>
              <w:jc w:val="left"/>
            </w:pPr>
            <w:r>
              <w:t>Change in GHG emission costs – exported electricity</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BE5D34" w14:textId="312D071C" w:rsidR="006E5BA6" w:rsidRDefault="006E5BA6">
            <w:pPr>
              <w:pStyle w:val="TableDataEntries"/>
            </w:pPr>
            <w:r>
              <w:t>0.10</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0A67BD" w14:textId="0B24A46C" w:rsidR="006E5BA6" w:rsidRDefault="006E5BA6">
            <w:pPr>
              <w:pStyle w:val="TableDataEntries"/>
            </w:pPr>
            <w:r>
              <w:t>0.06</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B3A7AF3" w14:textId="66363F5B" w:rsidR="006E5BA6" w:rsidRDefault="006E5BA6">
            <w:pPr>
              <w:pStyle w:val="TableDataEntries"/>
            </w:pPr>
            <w:r>
              <w:t>0.12</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8BAC72" w14:textId="35B48E27" w:rsidR="006E5BA6" w:rsidRDefault="006E5BA6">
            <w:pPr>
              <w:pStyle w:val="TableDataEntries"/>
            </w:pPr>
            <w:r>
              <w:t>0.14</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63681B" w14:textId="1D902C6C" w:rsidR="006E5BA6" w:rsidRDefault="006E5BA6">
            <w:pPr>
              <w:pStyle w:val="TableDataEntries"/>
            </w:pPr>
            <w:r>
              <w:t>0.10</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9DB3B8" w14:textId="3C281807" w:rsidR="006E5BA6" w:rsidRDefault="006E5BA6">
            <w:pPr>
              <w:pStyle w:val="TableDataEntries"/>
            </w:pPr>
            <w:r>
              <w:t>0.00</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F04607F" w14:textId="3A51405D" w:rsidR="006E5BA6" w:rsidRDefault="006E5BA6">
            <w:pPr>
              <w:pStyle w:val="TableDataEntries"/>
            </w:pPr>
            <w:r>
              <w:t>0.02</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5F6F35A" w14:textId="72C41C2D" w:rsidR="006E5BA6" w:rsidRDefault="006E5BA6">
            <w:pPr>
              <w:pStyle w:val="TableDataEntries"/>
            </w:pPr>
            <w:r>
              <w:t>0.23</w:t>
            </w:r>
          </w:p>
        </w:tc>
      </w:tr>
      <w:tr w:rsidR="006E5BA6" w14:paraId="790290B9" w14:textId="77777777">
        <w:trPr>
          <w:trHeight w:val="245"/>
        </w:trPr>
        <w:tc>
          <w:tcPr>
            <w:tcW w:w="24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C96C1DB" w14:textId="77777777" w:rsidR="006E5BA6" w:rsidRDefault="006E5BA6">
            <w:pPr>
              <w:pStyle w:val="TableDataEntries"/>
              <w:jc w:val="left"/>
            </w:pPr>
            <w:r>
              <w:t>Change in GHG emission costs - gas</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979EE4" w14:textId="24F1D9F5" w:rsidR="006E5BA6" w:rsidRDefault="006E5BA6">
            <w:pPr>
              <w:pStyle w:val="TableDataEntries"/>
            </w:pPr>
            <w:r>
              <w:t>-0.15</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9B74A5F" w14:textId="4D08C841" w:rsidR="006E5BA6" w:rsidRDefault="006E5BA6">
            <w:pPr>
              <w:pStyle w:val="TableDataEntries"/>
            </w:pPr>
            <w:r>
              <w:t>-0.39</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7AD0B89" w14:textId="7BB49D89" w:rsidR="006E5BA6" w:rsidRDefault="006E5BA6">
            <w:pPr>
              <w:pStyle w:val="TableDataEntries"/>
            </w:pPr>
            <w:r>
              <w:t>0.04</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4A04544" w14:textId="09AFCE67" w:rsidR="006E5BA6" w:rsidRDefault="006E5BA6">
            <w:pPr>
              <w:pStyle w:val="TableDataEntries"/>
            </w:pPr>
            <w:r>
              <w:t>-0.13</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38DE18D" w14:textId="3733B627" w:rsidR="006E5BA6" w:rsidRDefault="006E5BA6">
            <w:pPr>
              <w:pStyle w:val="TableDataEntries"/>
            </w:pPr>
            <w:r>
              <w:t>-0.14</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5129944" w14:textId="043EE54B" w:rsidR="006E5BA6" w:rsidRDefault="006E5BA6">
            <w:pPr>
              <w:pStyle w:val="TableDataEntries"/>
            </w:pPr>
            <w:r>
              <w:t>1.23</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58EA4A2" w14:textId="1FF067C0" w:rsidR="006E5BA6" w:rsidRDefault="006E5BA6">
            <w:pPr>
              <w:pStyle w:val="TableDataEntries"/>
            </w:pPr>
            <w:r>
              <w:t>1.43</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C4EE05F" w14:textId="0EFB9C4A" w:rsidR="006E5BA6" w:rsidRDefault="006E5BA6">
            <w:pPr>
              <w:pStyle w:val="TableDataEntries"/>
            </w:pPr>
            <w:r>
              <w:t>0.00</w:t>
            </w:r>
          </w:p>
        </w:tc>
      </w:tr>
      <w:tr w:rsidR="006E5BA6" w14:paraId="5E50051B" w14:textId="77777777">
        <w:trPr>
          <w:trHeight w:val="245"/>
        </w:trPr>
        <w:tc>
          <w:tcPr>
            <w:tcW w:w="24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76FEEB" w14:textId="77777777" w:rsidR="006E5BA6" w:rsidRDefault="006E5BA6">
            <w:pPr>
              <w:pStyle w:val="TableDataEntries"/>
              <w:jc w:val="left"/>
            </w:pPr>
            <w:r>
              <w:t>Change in capital</w:t>
            </w:r>
            <w:r>
              <w:noBreakHyphen/>
              <w:t>related costs</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1E64FF" w14:textId="66F29C62" w:rsidR="006E5BA6" w:rsidRDefault="006E5BA6">
            <w:pPr>
              <w:pStyle w:val="TableDataEntries"/>
            </w:pPr>
            <w:r>
              <w:t>-24.65</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B156C91" w14:textId="60EBF869" w:rsidR="006E5BA6" w:rsidRDefault="006E5BA6">
            <w:pPr>
              <w:pStyle w:val="TableDataEntries"/>
            </w:pPr>
            <w:r>
              <w:t>-16.46</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FF2E006" w14:textId="0B861D69" w:rsidR="006E5BA6" w:rsidRDefault="006E5BA6">
            <w:pPr>
              <w:pStyle w:val="TableDataEntries"/>
            </w:pPr>
            <w:r>
              <w:t>-38.30</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892EDC" w14:textId="5FCB3BE1" w:rsidR="006E5BA6" w:rsidRDefault="006E5BA6">
            <w:pPr>
              <w:pStyle w:val="TableDataEntries"/>
            </w:pPr>
            <w:r>
              <w:t>-24.65</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0D757E2" w14:textId="2EB91124" w:rsidR="006E5BA6" w:rsidRDefault="006E5BA6">
            <w:pPr>
              <w:pStyle w:val="TableDataEntries"/>
            </w:pPr>
            <w:r>
              <w:t>-24.65</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0534827" w14:textId="232E0715" w:rsidR="006E5BA6" w:rsidRDefault="006E5BA6">
            <w:pPr>
              <w:pStyle w:val="TableDataEntries"/>
            </w:pPr>
            <w:r>
              <w:t>-19.02</w:t>
            </w:r>
          </w:p>
        </w:tc>
        <w:tc>
          <w:tcPr>
            <w:tcW w:w="6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03CBD9" w14:textId="21C3BE87" w:rsidR="006E5BA6" w:rsidRDefault="006E5BA6">
            <w:pPr>
              <w:pStyle w:val="TableDataEntries"/>
            </w:pPr>
            <w:r>
              <w:t>-19.02</w:t>
            </w:r>
          </w:p>
        </w:tc>
        <w:tc>
          <w:tcPr>
            <w:tcW w:w="6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AB008D7" w14:textId="2532B805" w:rsidR="006E5BA6" w:rsidRDefault="006E5BA6">
            <w:pPr>
              <w:pStyle w:val="TableDataEntries"/>
            </w:pPr>
            <w:r>
              <w:t>-36.39</w:t>
            </w:r>
          </w:p>
        </w:tc>
      </w:tr>
      <w:tr w:rsidR="006E5BA6" w:rsidRPr="00963D2B" w14:paraId="2C445303" w14:textId="77777777">
        <w:trPr>
          <w:trHeight w:val="245"/>
        </w:trPr>
        <w:tc>
          <w:tcPr>
            <w:tcW w:w="2416"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EE0D751" w14:textId="77777777" w:rsidR="006E5BA6" w:rsidRPr="00963D2B" w:rsidRDefault="006E5BA6">
            <w:pPr>
              <w:pStyle w:val="TableDataEntries"/>
              <w:jc w:val="left"/>
              <w:rPr>
                <w:rFonts w:ascii="Franklin Gothic Demi" w:hAnsi="Franklin Gothic Demi"/>
              </w:rPr>
            </w:pPr>
            <w:r w:rsidRPr="00963D2B">
              <w:rPr>
                <w:rFonts w:ascii="Franklin Gothic Demi" w:hAnsi="Franklin Gothic Demi"/>
              </w:rPr>
              <w:t>Total</w:t>
            </w:r>
          </w:p>
        </w:tc>
        <w:tc>
          <w:tcPr>
            <w:tcW w:w="690"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2B11797" w14:textId="5F692EE1" w:rsidR="006E5BA6" w:rsidRPr="00963D2B" w:rsidRDefault="006E5BA6">
            <w:pPr>
              <w:pStyle w:val="TableDataEntries"/>
              <w:rPr>
                <w:rFonts w:ascii="Franklin Gothic Demi" w:hAnsi="Franklin Gothic Demi"/>
              </w:rPr>
            </w:pPr>
            <w:r w:rsidRPr="00963D2B">
              <w:rPr>
                <w:rFonts w:ascii="Franklin Gothic Demi" w:hAnsi="Franklin Gothic Demi"/>
              </w:rPr>
              <w:t>22.02</w:t>
            </w:r>
          </w:p>
        </w:tc>
        <w:tc>
          <w:tcPr>
            <w:tcW w:w="691"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EE2DB89" w14:textId="484F7CBB" w:rsidR="006E5BA6" w:rsidRPr="00963D2B" w:rsidRDefault="006E5BA6">
            <w:pPr>
              <w:pStyle w:val="TableDataEntries"/>
              <w:rPr>
                <w:rFonts w:ascii="Franklin Gothic Demi" w:hAnsi="Franklin Gothic Demi"/>
              </w:rPr>
            </w:pPr>
            <w:r w:rsidRPr="00963D2B">
              <w:rPr>
                <w:rFonts w:ascii="Franklin Gothic Demi" w:hAnsi="Franklin Gothic Demi"/>
              </w:rPr>
              <w:t>21.77</w:t>
            </w:r>
          </w:p>
        </w:tc>
        <w:tc>
          <w:tcPr>
            <w:tcW w:w="690"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00D1540" w14:textId="00C776FD" w:rsidR="006E5BA6" w:rsidRPr="00963D2B" w:rsidRDefault="006E5BA6">
            <w:pPr>
              <w:pStyle w:val="TableDataEntries"/>
              <w:rPr>
                <w:rFonts w:ascii="Franklin Gothic Demi" w:hAnsi="Franklin Gothic Demi"/>
              </w:rPr>
            </w:pPr>
            <w:r w:rsidRPr="00963D2B">
              <w:rPr>
                <w:rFonts w:ascii="Franklin Gothic Demi" w:hAnsi="Franklin Gothic Demi"/>
              </w:rPr>
              <w:t>27.92</w:t>
            </w:r>
          </w:p>
        </w:tc>
        <w:tc>
          <w:tcPr>
            <w:tcW w:w="691"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0F5031A" w14:textId="67F69D1A" w:rsidR="006E5BA6" w:rsidRPr="00963D2B" w:rsidRDefault="006E5BA6">
            <w:pPr>
              <w:pStyle w:val="TableDataEntries"/>
              <w:rPr>
                <w:rFonts w:ascii="Franklin Gothic Demi" w:hAnsi="Franklin Gothic Demi"/>
              </w:rPr>
            </w:pPr>
            <w:r w:rsidRPr="00963D2B">
              <w:rPr>
                <w:rFonts w:ascii="Franklin Gothic Demi" w:hAnsi="Franklin Gothic Demi"/>
              </w:rPr>
              <w:t>28.92</w:t>
            </w:r>
          </w:p>
        </w:tc>
        <w:tc>
          <w:tcPr>
            <w:tcW w:w="691"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284E7E5" w14:textId="45DCFE7B" w:rsidR="006E5BA6" w:rsidRPr="00963D2B" w:rsidRDefault="006E5BA6">
            <w:pPr>
              <w:pStyle w:val="TableDataEntries"/>
              <w:rPr>
                <w:rFonts w:ascii="Franklin Gothic Demi" w:hAnsi="Franklin Gothic Demi"/>
              </w:rPr>
            </w:pPr>
            <w:r w:rsidRPr="00963D2B">
              <w:rPr>
                <w:rFonts w:ascii="Franklin Gothic Demi" w:hAnsi="Franklin Gothic Demi"/>
              </w:rPr>
              <w:t>33.40</w:t>
            </w:r>
          </w:p>
        </w:tc>
        <w:tc>
          <w:tcPr>
            <w:tcW w:w="690"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FC101CD" w14:textId="1C601190" w:rsidR="006E5BA6" w:rsidRPr="00963D2B" w:rsidRDefault="006E5BA6">
            <w:pPr>
              <w:pStyle w:val="TableDataEntries"/>
              <w:rPr>
                <w:rFonts w:ascii="Franklin Gothic Demi" w:hAnsi="Franklin Gothic Demi"/>
              </w:rPr>
            </w:pPr>
            <w:r w:rsidRPr="00963D2B">
              <w:rPr>
                <w:rFonts w:ascii="Franklin Gothic Demi" w:hAnsi="Franklin Gothic Demi"/>
              </w:rPr>
              <w:t>28.84</w:t>
            </w:r>
          </w:p>
        </w:tc>
        <w:tc>
          <w:tcPr>
            <w:tcW w:w="691"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A6EE580" w14:textId="739E52F6" w:rsidR="006E5BA6" w:rsidRPr="00963D2B" w:rsidRDefault="006E5BA6">
            <w:pPr>
              <w:pStyle w:val="TableDataEntries"/>
              <w:rPr>
                <w:rFonts w:ascii="Franklin Gothic Demi" w:hAnsi="Franklin Gothic Demi"/>
              </w:rPr>
            </w:pPr>
            <w:r w:rsidRPr="00963D2B">
              <w:rPr>
                <w:rFonts w:ascii="Franklin Gothic Demi" w:hAnsi="Franklin Gothic Demi"/>
              </w:rPr>
              <w:t>20.95</w:t>
            </w:r>
          </w:p>
        </w:tc>
        <w:tc>
          <w:tcPr>
            <w:tcW w:w="690"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B6712AD" w14:textId="391A727B" w:rsidR="006E5BA6" w:rsidRPr="00963D2B" w:rsidRDefault="006E5BA6">
            <w:pPr>
              <w:pStyle w:val="TableDataEntries"/>
              <w:rPr>
                <w:rFonts w:ascii="Franklin Gothic Demi" w:hAnsi="Franklin Gothic Demi"/>
              </w:rPr>
            </w:pPr>
            <w:r w:rsidRPr="00963D2B">
              <w:rPr>
                <w:rFonts w:ascii="Franklin Gothic Demi" w:hAnsi="Franklin Gothic Demi"/>
              </w:rPr>
              <w:t>48.04</w:t>
            </w:r>
          </w:p>
        </w:tc>
      </w:tr>
    </w:tbl>
    <w:p w14:paraId="54315D99" w14:textId="77777777" w:rsidR="006E5BA6" w:rsidRDefault="006E5BA6" w:rsidP="006E5BA6">
      <w:pPr>
        <w:pStyle w:val="Note"/>
        <w:rPr>
          <w:lang w:bidi="fa-IR"/>
        </w:rPr>
      </w:pPr>
      <w:r w:rsidRPr="007D1B4F">
        <w:rPr>
          <w:i/>
        </w:rPr>
        <w:t>Note:</w:t>
      </w:r>
      <w:r w:rsidRPr="00E879B8">
        <w:t xml:space="preserve"> </w:t>
      </w:r>
      <w:r>
        <w:t>Estimates presented in present value terms based on: buildings constructed in 2025 assuming a 50</w:t>
      </w:r>
      <w:r>
        <w:noBreakHyphen/>
        <w:t>year life, using a discount rate of 5 per cent.</w:t>
      </w:r>
    </w:p>
    <w:p w14:paraId="04E0A9AD" w14:textId="77777777" w:rsidR="006E5BA6" w:rsidRDefault="006E5BA6" w:rsidP="006E5BA6">
      <w:pPr>
        <w:pStyle w:val="Source"/>
        <w:rPr>
          <w:lang w:bidi="fa-IR"/>
        </w:rPr>
      </w:pPr>
      <w:r w:rsidRPr="00B53FBD">
        <w:rPr>
          <w:i/>
          <w:lang w:bidi="fa-IR"/>
        </w:rPr>
        <w:t>Source:</w:t>
      </w:r>
      <w:r>
        <w:rPr>
          <w:lang w:bidi="fa-IR"/>
        </w:rPr>
        <w:t xml:space="preserve"> CIE based on DeltaQ modelling.</w:t>
      </w:r>
    </w:p>
    <w:p w14:paraId="39DA0553" w14:textId="2B4574D0" w:rsidR="006E5BA6" w:rsidRPr="00844A6E" w:rsidRDefault="006E5BA6" w:rsidP="006E5BA6">
      <w:pPr>
        <w:pStyle w:val="BodyText"/>
        <w:rPr>
          <w:szCs w:val="22"/>
          <w:lang w:bidi="fa-IR"/>
        </w:rPr>
      </w:pPr>
      <w:r w:rsidRPr="00844A6E">
        <w:rPr>
          <w:szCs w:val="22"/>
          <w:lang w:bidi="fa-IR"/>
        </w:rPr>
        <w:t>The net benefits for all archetypes for each state and territory (capital city climate zone) are summarised in table </w:t>
      </w:r>
      <w:r>
        <w:rPr>
          <w:szCs w:val="22"/>
          <w:lang w:bidi="fa-IR"/>
        </w:rPr>
        <w:fldChar w:fldCharType="begin"/>
      </w:r>
      <w:r>
        <w:rPr>
          <w:szCs w:val="22"/>
          <w:lang w:bidi="fa-IR"/>
        </w:rPr>
        <w:instrText xml:space="preserve"> REF _Caption8767 </w:instrText>
      </w:r>
      <w:r>
        <w:rPr>
          <w:szCs w:val="22"/>
          <w:lang w:bidi="fa-IR"/>
        </w:rPr>
        <w:fldChar w:fldCharType="separate"/>
      </w:r>
      <w:r w:rsidR="006E00A7">
        <w:rPr>
          <w:noProof/>
        </w:rPr>
        <w:t>6</w:t>
      </w:r>
      <w:r w:rsidR="006E00A7" w:rsidRPr="006F0F88">
        <w:rPr>
          <w:noProof/>
        </w:rPr>
        <w:t>.</w:t>
      </w:r>
      <w:r w:rsidR="006E00A7">
        <w:rPr>
          <w:noProof/>
        </w:rPr>
        <w:t>8</w:t>
      </w:r>
      <w:r>
        <w:rPr>
          <w:szCs w:val="22"/>
          <w:lang w:bidi="fa-IR"/>
        </w:rPr>
        <w:fldChar w:fldCharType="end"/>
      </w:r>
      <w:r w:rsidRPr="00844A6E">
        <w:rPr>
          <w:szCs w:val="22"/>
          <w:lang w:bidi="fa-IR"/>
        </w:rPr>
        <w:t xml:space="preserve">. Detailed CBA results for each archetype are provided in appendix </w:t>
      </w:r>
      <w:r w:rsidR="00F0684E">
        <w:rPr>
          <w:szCs w:val="22"/>
          <w:lang w:bidi="fa-IR"/>
        </w:rPr>
        <w:t>H</w:t>
      </w:r>
      <w:r w:rsidRPr="00844A6E">
        <w:rPr>
          <w:szCs w:val="22"/>
          <w:lang w:bidi="fa-IR"/>
        </w:rPr>
        <w:t>.</w:t>
      </w:r>
    </w:p>
    <w:p w14:paraId="7C0B12D2" w14:textId="77777777" w:rsidR="006E5BA6" w:rsidRPr="00844A6E" w:rsidRDefault="006E5BA6" w:rsidP="006E5BA6">
      <w:pPr>
        <w:pStyle w:val="BodyText"/>
        <w:rPr>
          <w:szCs w:val="22"/>
          <w:lang w:bidi="fa-IR"/>
        </w:rPr>
      </w:pPr>
      <w:r w:rsidRPr="00844A6E">
        <w:rPr>
          <w:szCs w:val="22"/>
          <w:lang w:bidi="fa-IR"/>
        </w:rPr>
        <w:t>Key findings from the building</w:t>
      </w:r>
      <w:r w:rsidRPr="00844A6E">
        <w:rPr>
          <w:szCs w:val="22"/>
          <w:lang w:bidi="fa-IR"/>
        </w:rPr>
        <w:noBreakHyphen/>
        <w:t>level analysis are as follows:</w:t>
      </w:r>
    </w:p>
    <w:p w14:paraId="4FDE020B" w14:textId="77777777" w:rsidR="006E5BA6" w:rsidRPr="00766B94" w:rsidRDefault="006E5BA6" w:rsidP="006E5BA6">
      <w:pPr>
        <w:pStyle w:val="ListBullet"/>
        <w:tabs>
          <w:tab w:val="num" w:pos="709"/>
        </w:tabs>
      </w:pPr>
      <w:r w:rsidRPr="00766B94">
        <w:t>The proposed changes are estimated to deliver net benefits across all building archetypes.</w:t>
      </w:r>
    </w:p>
    <w:p w14:paraId="13012E4D" w14:textId="77777777" w:rsidR="006E5BA6" w:rsidRPr="00766B94" w:rsidRDefault="006E5BA6" w:rsidP="006E5BA6">
      <w:pPr>
        <w:pStyle w:val="ListBullet"/>
        <w:tabs>
          <w:tab w:val="num" w:pos="709"/>
        </w:tabs>
      </w:pPr>
      <w:r w:rsidRPr="00766B94">
        <w:t>The net benefits for each archetype are higher than for Stringency Level 1.</w:t>
      </w:r>
    </w:p>
    <w:p w14:paraId="2F59EC55" w14:textId="05061A6B" w:rsidR="006E5BA6" w:rsidRPr="006F0F88" w:rsidRDefault="006E5BA6" w:rsidP="006E5BA6">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E136D5">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136D5">
          <w:rPr>
            <w:noProof/>
          </w:rPr>
          <w:instrText>6</w:instrText>
        </w:r>
      </w:fldSimple>
      <w:r w:rsidRPr="006F0F88">
        <w:instrText xml:space="preserve"> = 0 "" "</w:instrText>
      </w:r>
      <w:fldSimple w:instr=" STYLEREF &quot;Heading 1&quot; \l \n ">
        <w:r w:rsidR="00E136D5">
          <w:rPr>
            <w:noProof/>
          </w:rPr>
          <w:instrText>6</w:instrText>
        </w:r>
      </w:fldSimple>
      <w:r w:rsidRPr="006F0F88">
        <w:instrText xml:space="preserve">." </w:instrText>
      </w:r>
      <w:r w:rsidRPr="006F0F88">
        <w:fldChar w:fldCharType="separate"/>
      </w:r>
      <w:r w:rsidR="00E136D5">
        <w:rPr>
          <w:noProof/>
        </w:rPr>
        <w:instrText>6</w:instrText>
      </w:r>
      <w:r w:rsidR="00E136D5"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6</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E136D5">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136D5">
          <w:rPr>
            <w:noProof/>
          </w:rPr>
          <w:instrText>6</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E136D5">
        <w:rPr>
          <w:noProof/>
        </w:rPr>
        <w:instrText>8</w:instrText>
      </w:r>
      <w:r w:rsidRPr="006F0F88">
        <w:fldChar w:fldCharType="end"/>
      </w:r>
      <w:r w:rsidRPr="006F0F88">
        <w:instrText xml:space="preserve">" "" </w:instrText>
      </w:r>
      <w:r w:rsidRPr="006F0F88">
        <w:fldChar w:fldCharType="separate"/>
      </w:r>
      <w:bookmarkStart w:id="2296" w:name="_Caption3366"/>
      <w:bookmarkStart w:id="2297" w:name="_Caption6989"/>
      <w:bookmarkStart w:id="2298" w:name="_Caption0717"/>
      <w:bookmarkStart w:id="2299" w:name="_Caption5365"/>
      <w:bookmarkStart w:id="2300" w:name="_Caption7243"/>
      <w:bookmarkStart w:id="2301" w:name="_Caption5191"/>
      <w:bookmarkStart w:id="2302" w:name="_Caption1942"/>
      <w:bookmarkStart w:id="2303" w:name="_Caption6925"/>
      <w:bookmarkStart w:id="2304" w:name="_Caption2595"/>
      <w:bookmarkStart w:id="2305" w:name="_Caption6660"/>
      <w:bookmarkStart w:id="2306" w:name="_Caption4881"/>
      <w:bookmarkStart w:id="2307" w:name="_Caption2563"/>
      <w:bookmarkStart w:id="2308" w:name="_Caption8090"/>
      <w:bookmarkStart w:id="2309" w:name="_Caption7373"/>
      <w:bookmarkStart w:id="2310" w:name="_Caption4022"/>
      <w:bookmarkStart w:id="2311" w:name="_Caption4741"/>
      <w:bookmarkStart w:id="2312" w:name="_Caption4315"/>
      <w:bookmarkStart w:id="2313" w:name="_Caption4866"/>
      <w:bookmarkStart w:id="2314" w:name="_Caption0094"/>
      <w:bookmarkStart w:id="2315" w:name="_Caption2555"/>
      <w:bookmarkStart w:id="2316" w:name="_Caption9473"/>
      <w:bookmarkStart w:id="2317" w:name="_Caption4701"/>
      <w:bookmarkStart w:id="2318" w:name="_Caption6418"/>
      <w:bookmarkStart w:id="2319" w:name="_Caption3601"/>
      <w:bookmarkStart w:id="2320" w:name="_Caption9607"/>
      <w:bookmarkStart w:id="2321" w:name="_Caption0759"/>
      <w:bookmarkStart w:id="2322" w:name="_Caption7788"/>
      <w:bookmarkStart w:id="2323" w:name="_Caption8109"/>
      <w:bookmarkStart w:id="2324" w:name="_Caption8932"/>
      <w:bookmarkStart w:id="2325" w:name="_Caption3390"/>
      <w:bookmarkStart w:id="2326" w:name="_Caption1041"/>
      <w:bookmarkStart w:id="2327" w:name="_Caption4228"/>
      <w:bookmarkStart w:id="2328" w:name="_Caption4262"/>
      <w:bookmarkStart w:id="2329" w:name="_Caption8919"/>
      <w:bookmarkStart w:id="2330" w:name="_Caption0600"/>
      <w:bookmarkStart w:id="2331" w:name="_Caption6367"/>
      <w:bookmarkStart w:id="2332" w:name="_Caption5718"/>
      <w:bookmarkStart w:id="2333" w:name="_Caption6852"/>
      <w:bookmarkStart w:id="2334" w:name="_Caption2621"/>
      <w:bookmarkStart w:id="2335" w:name="_Caption8767"/>
      <w:bookmarkStart w:id="2336" w:name="_Caption2907"/>
      <w:bookmarkStart w:id="2337" w:name="_Caption5155"/>
      <w:bookmarkStart w:id="2338" w:name="_Caption1748"/>
      <w:bookmarkStart w:id="2339" w:name="_Caption2328"/>
      <w:bookmarkStart w:id="2340" w:name="_Caption3518"/>
      <w:bookmarkStart w:id="2341" w:name="_Caption0207"/>
      <w:bookmarkStart w:id="2342" w:name="_Caption4673"/>
      <w:bookmarkStart w:id="2343" w:name="_Caption0351"/>
      <w:bookmarkStart w:id="2344" w:name="_Caption4996"/>
      <w:bookmarkStart w:id="2345" w:name="_Caption4274"/>
      <w:bookmarkStart w:id="2346" w:name="_Caption6145"/>
      <w:bookmarkStart w:id="2347" w:name="_Caption0859"/>
      <w:bookmarkStart w:id="2348" w:name="_Caption8042"/>
      <w:bookmarkStart w:id="2349" w:name="_Caption2774"/>
      <w:bookmarkStart w:id="2350" w:name="_Caption9859"/>
      <w:bookmarkStart w:id="2351" w:name="_Caption2710"/>
      <w:bookmarkStart w:id="2352" w:name="_Caption7133"/>
      <w:bookmarkStart w:id="2353" w:name="_Caption9121"/>
      <w:bookmarkStart w:id="2354" w:name="_Caption4896"/>
      <w:bookmarkStart w:id="2355" w:name="_Caption7375"/>
      <w:bookmarkStart w:id="2356" w:name="_Caption0342"/>
      <w:bookmarkStart w:id="2357" w:name="_Caption5328"/>
      <w:bookmarkStart w:id="2358" w:name="_Caption0824"/>
      <w:bookmarkStart w:id="2359" w:name="_Caption9089"/>
      <w:bookmarkStart w:id="2360" w:name="_Caption0522"/>
      <w:bookmarkStart w:id="2361" w:name="_Caption5207"/>
      <w:bookmarkStart w:id="2362" w:name="_Caption1642"/>
      <w:bookmarkStart w:id="2363" w:name="_Caption3358"/>
      <w:bookmarkStart w:id="2364" w:name="_Caption5540"/>
      <w:bookmarkStart w:id="2365" w:name="_Caption3872"/>
      <w:bookmarkStart w:id="2366" w:name="_Caption7350"/>
      <w:bookmarkStart w:id="2367" w:name="_Caption5410"/>
      <w:bookmarkStart w:id="2368" w:name="_Caption2727"/>
      <w:bookmarkStart w:id="2369" w:name="_Caption8041"/>
      <w:bookmarkStart w:id="2370" w:name="_Caption6445"/>
      <w:bookmarkStart w:id="2371" w:name="_Caption5181"/>
      <w:bookmarkStart w:id="2372" w:name="_Caption4098"/>
      <w:bookmarkStart w:id="2373" w:name="_Caption7467"/>
      <w:bookmarkStart w:id="2374" w:name="_Caption0503"/>
      <w:bookmarkStart w:id="2375" w:name="_Caption5171"/>
      <w:bookmarkStart w:id="2376" w:name="_Caption9594"/>
      <w:bookmarkStart w:id="2377" w:name="_Caption0533"/>
      <w:bookmarkStart w:id="2378" w:name="_Caption3477"/>
      <w:bookmarkStart w:id="2379" w:name="_Caption0359"/>
      <w:bookmarkStart w:id="2380" w:name="_Caption4531"/>
      <w:bookmarkStart w:id="2381" w:name="_Caption3344"/>
      <w:bookmarkStart w:id="2382" w:name="_Toc177735165"/>
      <w:bookmarkStart w:id="2383" w:name="_Toc178292595"/>
      <w:r w:rsidR="008C60A3">
        <w:rPr>
          <w:noProof/>
        </w:rPr>
        <w:t>6</w:t>
      </w:r>
      <w:r w:rsidR="008C60A3" w:rsidRPr="006F0F88">
        <w:rPr>
          <w:noProof/>
        </w:rPr>
        <w:t>.</w:t>
      </w:r>
      <w:r w:rsidR="008C60A3">
        <w:rPr>
          <w:noProof/>
        </w:rPr>
        <w:t>8</w:t>
      </w:r>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r w:rsidRPr="006F0F88">
        <w:fldChar w:fldCharType="end"/>
      </w:r>
      <w:r w:rsidRPr="006F0F88">
        <w:tab/>
        <w:t>Building</w:t>
      </w:r>
      <w:r w:rsidRPr="006F0F88">
        <w:noBreakHyphen/>
        <w:t>level net benefits for Stringency Level 2 by archetype</w:t>
      </w:r>
      <w:bookmarkEnd w:id="2382"/>
      <w:bookmarkEnd w:id="2383"/>
    </w:p>
    <w:tbl>
      <w:tblPr>
        <w:tblW w:w="7940" w:type="dxa"/>
        <w:tblLayout w:type="fixed"/>
        <w:tblLook w:val="0000" w:firstRow="0" w:lastRow="0" w:firstColumn="0" w:lastColumn="0" w:noHBand="0" w:noVBand="0"/>
        <w:tblCaption w:val="Table 5.7"/>
        <w:tblDescription w:val="Building level net benefits for Stringency Level 2 by archetype"/>
      </w:tblPr>
      <w:tblGrid>
        <w:gridCol w:w="851"/>
        <w:gridCol w:w="1010"/>
        <w:gridCol w:w="868"/>
        <w:gridCol w:w="869"/>
        <w:gridCol w:w="868"/>
        <w:gridCol w:w="868"/>
        <w:gridCol w:w="869"/>
        <w:gridCol w:w="868"/>
        <w:gridCol w:w="869"/>
      </w:tblGrid>
      <w:tr w:rsidR="006E5BA6" w14:paraId="15065A52" w14:textId="77777777">
        <w:trPr>
          <w:trHeight w:val="245"/>
          <w:tblHeader/>
        </w:trPr>
        <w:tc>
          <w:tcPr>
            <w:tcW w:w="851" w:type="dxa"/>
            <w:shd w:val="clear" w:color="auto" w:fill="6F6652"/>
            <w:tcMar>
              <w:left w:w="57" w:type="dxa"/>
              <w:right w:w="57" w:type="dxa"/>
            </w:tcMar>
          </w:tcPr>
          <w:p w14:paraId="27CC40BD" w14:textId="77777777" w:rsidR="006E5BA6" w:rsidRDefault="006E5BA6">
            <w:pPr>
              <w:pStyle w:val="TableDataColumnHeading"/>
              <w:jc w:val="left"/>
            </w:pPr>
            <w:r>
              <w:t>Building</w:t>
            </w:r>
          </w:p>
        </w:tc>
        <w:tc>
          <w:tcPr>
            <w:tcW w:w="1010" w:type="dxa"/>
            <w:shd w:val="clear" w:color="auto" w:fill="6F6652"/>
            <w:tcMar>
              <w:left w:w="57" w:type="dxa"/>
              <w:right w:w="57" w:type="dxa"/>
            </w:tcMar>
          </w:tcPr>
          <w:p w14:paraId="61DC4D8D" w14:textId="77777777" w:rsidR="006E5BA6" w:rsidRDefault="006E5BA6">
            <w:pPr>
              <w:pStyle w:val="TableDataColumnHeading"/>
            </w:pPr>
            <w:r>
              <w:t>NSW (CZ5)</w:t>
            </w:r>
          </w:p>
          <w:p w14:paraId="5B981195" w14:textId="77777777" w:rsidR="006E5BA6" w:rsidRDefault="006E5BA6">
            <w:pPr>
              <w:pStyle w:val="TableDataColumnHeading"/>
            </w:pPr>
            <w:r>
              <w:t>$ per m</w:t>
            </w:r>
            <w:r w:rsidRPr="005347E2">
              <w:rPr>
                <w:vertAlign w:val="superscript"/>
              </w:rPr>
              <w:t>2</w:t>
            </w:r>
          </w:p>
        </w:tc>
        <w:tc>
          <w:tcPr>
            <w:tcW w:w="868" w:type="dxa"/>
            <w:shd w:val="clear" w:color="auto" w:fill="6F6652"/>
            <w:tcMar>
              <w:left w:w="57" w:type="dxa"/>
              <w:right w:w="57" w:type="dxa"/>
            </w:tcMar>
          </w:tcPr>
          <w:p w14:paraId="73E76887" w14:textId="77777777" w:rsidR="006E5BA6" w:rsidRDefault="006E5BA6">
            <w:pPr>
              <w:pStyle w:val="TableDataColumnHeading"/>
            </w:pPr>
            <w:r>
              <w:t>VIC (CZ6)</w:t>
            </w:r>
          </w:p>
          <w:p w14:paraId="0FA1F65C" w14:textId="77777777" w:rsidR="006E5BA6" w:rsidRDefault="006E5BA6">
            <w:pPr>
              <w:pStyle w:val="TableDataColumnHeading"/>
            </w:pPr>
            <w:r>
              <w:t>$ per m</w:t>
            </w:r>
            <w:r w:rsidRPr="005347E2">
              <w:rPr>
                <w:vertAlign w:val="superscript"/>
              </w:rPr>
              <w:t>2</w:t>
            </w:r>
          </w:p>
        </w:tc>
        <w:tc>
          <w:tcPr>
            <w:tcW w:w="869" w:type="dxa"/>
            <w:shd w:val="clear" w:color="auto" w:fill="6F6652"/>
            <w:tcMar>
              <w:left w:w="57" w:type="dxa"/>
              <w:right w:w="57" w:type="dxa"/>
            </w:tcMar>
          </w:tcPr>
          <w:p w14:paraId="5374EFE0" w14:textId="77777777" w:rsidR="006E5BA6" w:rsidRDefault="006E5BA6">
            <w:pPr>
              <w:pStyle w:val="TableDataColumnHeading"/>
            </w:pPr>
            <w:r>
              <w:t>QLD (CZ2)</w:t>
            </w:r>
          </w:p>
          <w:p w14:paraId="48235704" w14:textId="77777777" w:rsidR="006E5BA6" w:rsidRDefault="006E5BA6">
            <w:pPr>
              <w:pStyle w:val="TableDataColumnHeading"/>
            </w:pPr>
            <w:r>
              <w:t>$ per m</w:t>
            </w:r>
            <w:r w:rsidRPr="005347E2">
              <w:rPr>
                <w:vertAlign w:val="superscript"/>
              </w:rPr>
              <w:t>2</w:t>
            </w:r>
          </w:p>
        </w:tc>
        <w:tc>
          <w:tcPr>
            <w:tcW w:w="868" w:type="dxa"/>
            <w:shd w:val="clear" w:color="auto" w:fill="6F6652"/>
            <w:tcMar>
              <w:left w:w="57" w:type="dxa"/>
              <w:right w:w="57" w:type="dxa"/>
            </w:tcMar>
          </w:tcPr>
          <w:p w14:paraId="0ECE0AD9" w14:textId="77777777" w:rsidR="006E5BA6" w:rsidRDefault="006E5BA6">
            <w:pPr>
              <w:pStyle w:val="TableDataColumnHeading"/>
            </w:pPr>
            <w:r>
              <w:t>WA (CZ5)</w:t>
            </w:r>
          </w:p>
          <w:p w14:paraId="1182EADF" w14:textId="77777777" w:rsidR="006E5BA6" w:rsidRDefault="006E5BA6">
            <w:pPr>
              <w:pStyle w:val="TableDataColumnHeading"/>
            </w:pPr>
            <w:r>
              <w:t>$ per m</w:t>
            </w:r>
            <w:r w:rsidRPr="005347E2">
              <w:rPr>
                <w:vertAlign w:val="superscript"/>
              </w:rPr>
              <w:t>2</w:t>
            </w:r>
          </w:p>
        </w:tc>
        <w:tc>
          <w:tcPr>
            <w:tcW w:w="868" w:type="dxa"/>
            <w:shd w:val="clear" w:color="auto" w:fill="6F6652"/>
            <w:tcMar>
              <w:left w:w="57" w:type="dxa"/>
              <w:right w:w="57" w:type="dxa"/>
            </w:tcMar>
          </w:tcPr>
          <w:p w14:paraId="66791DCA" w14:textId="77777777" w:rsidR="006E5BA6" w:rsidRDefault="006E5BA6">
            <w:pPr>
              <w:pStyle w:val="TableDataColumnHeading"/>
            </w:pPr>
            <w:r>
              <w:t>SA (CZ5)</w:t>
            </w:r>
          </w:p>
          <w:p w14:paraId="4F78B1BD" w14:textId="77777777" w:rsidR="006E5BA6" w:rsidRDefault="006E5BA6">
            <w:pPr>
              <w:pStyle w:val="TableDataColumnHeading"/>
            </w:pPr>
            <w:r>
              <w:t>$ per m</w:t>
            </w:r>
            <w:r w:rsidRPr="005347E2">
              <w:rPr>
                <w:vertAlign w:val="superscript"/>
              </w:rPr>
              <w:t>2</w:t>
            </w:r>
          </w:p>
        </w:tc>
        <w:tc>
          <w:tcPr>
            <w:tcW w:w="869" w:type="dxa"/>
            <w:shd w:val="clear" w:color="auto" w:fill="6F6652"/>
            <w:tcMar>
              <w:left w:w="57" w:type="dxa"/>
              <w:right w:w="57" w:type="dxa"/>
            </w:tcMar>
          </w:tcPr>
          <w:p w14:paraId="644773F4" w14:textId="77777777" w:rsidR="006E5BA6" w:rsidRDefault="006E5BA6">
            <w:pPr>
              <w:pStyle w:val="TableDataColumnHeading"/>
            </w:pPr>
            <w:r>
              <w:t>TAS (CZ7)</w:t>
            </w:r>
          </w:p>
          <w:p w14:paraId="24383EBE" w14:textId="77777777" w:rsidR="006E5BA6" w:rsidRDefault="006E5BA6">
            <w:pPr>
              <w:pStyle w:val="TableDataColumnHeading"/>
            </w:pPr>
            <w:r>
              <w:t>$ per m</w:t>
            </w:r>
            <w:r w:rsidRPr="005347E2">
              <w:rPr>
                <w:vertAlign w:val="superscript"/>
              </w:rPr>
              <w:t>2</w:t>
            </w:r>
          </w:p>
        </w:tc>
        <w:tc>
          <w:tcPr>
            <w:tcW w:w="868" w:type="dxa"/>
            <w:shd w:val="clear" w:color="auto" w:fill="6F6652"/>
            <w:tcMar>
              <w:left w:w="57" w:type="dxa"/>
              <w:right w:w="57" w:type="dxa"/>
            </w:tcMar>
          </w:tcPr>
          <w:p w14:paraId="1CCBD678" w14:textId="77777777" w:rsidR="006E5BA6" w:rsidRDefault="006E5BA6">
            <w:pPr>
              <w:pStyle w:val="TableDataColumnHeading"/>
            </w:pPr>
            <w:r>
              <w:t>ACT (CZ7)</w:t>
            </w:r>
          </w:p>
          <w:p w14:paraId="52EF6C18" w14:textId="77777777" w:rsidR="006E5BA6" w:rsidRDefault="006E5BA6">
            <w:pPr>
              <w:pStyle w:val="TableDataColumnHeading"/>
            </w:pPr>
            <w:r>
              <w:t>$ per m</w:t>
            </w:r>
            <w:r w:rsidRPr="005347E2">
              <w:rPr>
                <w:vertAlign w:val="superscript"/>
              </w:rPr>
              <w:t>2</w:t>
            </w:r>
          </w:p>
        </w:tc>
        <w:tc>
          <w:tcPr>
            <w:tcW w:w="869" w:type="dxa"/>
            <w:shd w:val="clear" w:color="auto" w:fill="6F6652"/>
            <w:tcMar>
              <w:left w:w="57" w:type="dxa"/>
              <w:right w:w="57" w:type="dxa"/>
            </w:tcMar>
          </w:tcPr>
          <w:p w14:paraId="4612BEE4" w14:textId="77777777" w:rsidR="006E5BA6" w:rsidRDefault="006E5BA6">
            <w:pPr>
              <w:pStyle w:val="TableDataColumnHeading"/>
            </w:pPr>
            <w:r>
              <w:t>NT (CZ1)</w:t>
            </w:r>
          </w:p>
          <w:p w14:paraId="5832196D" w14:textId="77777777" w:rsidR="006E5BA6" w:rsidRDefault="006E5BA6">
            <w:pPr>
              <w:pStyle w:val="TableDataColumnHeading"/>
            </w:pPr>
            <w:r>
              <w:t>$ per m</w:t>
            </w:r>
            <w:r w:rsidRPr="005347E2">
              <w:rPr>
                <w:vertAlign w:val="superscript"/>
              </w:rPr>
              <w:t>2</w:t>
            </w:r>
          </w:p>
        </w:tc>
      </w:tr>
      <w:tr w:rsidR="006E5BA6" w14:paraId="1B16A621" w14:textId="77777777">
        <w:trPr>
          <w:trHeight w:val="245"/>
        </w:trPr>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C3A899" w14:textId="3F5871AC" w:rsidR="006E5BA6" w:rsidRDefault="006E5BA6">
            <w:pPr>
              <w:pStyle w:val="TableDataEntries"/>
              <w:jc w:val="left"/>
            </w:pPr>
            <w:r w:rsidRPr="00A32529">
              <w:t>C3HL</w:t>
            </w:r>
          </w:p>
        </w:tc>
        <w:tc>
          <w:tcPr>
            <w:tcW w:w="10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027C0E4" w14:textId="0A2F614B" w:rsidR="006E5BA6" w:rsidRDefault="006E5BA6">
            <w:pPr>
              <w:pStyle w:val="TableDataEntries"/>
            </w:pPr>
            <w:r w:rsidRPr="00A32529">
              <w:t>64.20</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01F8D00" w14:textId="5B5BCC15" w:rsidR="006E5BA6" w:rsidRDefault="006E5BA6">
            <w:pPr>
              <w:pStyle w:val="TableDataEntries"/>
            </w:pPr>
            <w:r w:rsidRPr="00A32529">
              <w:t>37.63</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570E5E3" w14:textId="05BF4D87" w:rsidR="006E5BA6" w:rsidRDefault="006E5BA6">
            <w:pPr>
              <w:pStyle w:val="TableDataEntries"/>
            </w:pPr>
            <w:r w:rsidRPr="00A32529">
              <w:t>103.70</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72FEFBD" w14:textId="09FC3C10" w:rsidR="006E5BA6" w:rsidRDefault="006E5BA6">
            <w:pPr>
              <w:pStyle w:val="TableDataEntries"/>
            </w:pPr>
            <w:r w:rsidRPr="00A32529">
              <w:t>69.59</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50D1382" w14:textId="01984E70" w:rsidR="006E5BA6" w:rsidRDefault="006E5BA6">
            <w:pPr>
              <w:pStyle w:val="TableDataEntries"/>
            </w:pPr>
            <w:r w:rsidRPr="00A32529">
              <w:t>76.54</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B220CA" w14:textId="37EC777C" w:rsidR="006E5BA6" w:rsidRDefault="006E5BA6">
            <w:pPr>
              <w:pStyle w:val="TableDataEntries"/>
            </w:pPr>
            <w:r w:rsidRPr="00A32529">
              <w:t>51.21</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9A0D8ED" w14:textId="65A8D8AD" w:rsidR="006E5BA6" w:rsidRDefault="006E5BA6">
            <w:pPr>
              <w:pStyle w:val="TableDataEntries"/>
            </w:pPr>
            <w:r w:rsidRPr="00A32529">
              <w:t>45.20</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AEB304" w14:textId="601CD8E2" w:rsidR="006E5BA6" w:rsidRDefault="006E5BA6">
            <w:pPr>
              <w:pStyle w:val="TableDataEntries"/>
            </w:pPr>
            <w:r w:rsidRPr="00A32529">
              <w:t>134.45</w:t>
            </w:r>
          </w:p>
        </w:tc>
      </w:tr>
      <w:tr w:rsidR="006E5BA6" w14:paraId="1CCF0932" w14:textId="77777777">
        <w:trPr>
          <w:trHeight w:val="245"/>
        </w:trPr>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EFF543" w14:textId="598CE761" w:rsidR="006E5BA6" w:rsidRDefault="006E5BA6">
            <w:pPr>
              <w:pStyle w:val="TableDataEntries"/>
              <w:jc w:val="left"/>
            </w:pPr>
            <w:r w:rsidRPr="00A32529">
              <w:t>C3HS</w:t>
            </w:r>
          </w:p>
        </w:tc>
        <w:tc>
          <w:tcPr>
            <w:tcW w:w="10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A0EACC" w14:textId="3484FF91" w:rsidR="006E5BA6" w:rsidRDefault="006E5BA6">
            <w:pPr>
              <w:pStyle w:val="TableDataEntries"/>
            </w:pPr>
            <w:r w:rsidRPr="00A32529">
              <w:t>116.29</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65C7DAF" w14:textId="45913D8C" w:rsidR="006E5BA6" w:rsidRDefault="006E5BA6">
            <w:pPr>
              <w:pStyle w:val="TableDataEntries"/>
            </w:pPr>
            <w:r w:rsidRPr="00A32529">
              <w:t>94.76</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54E79CA" w14:textId="5A4BB30F" w:rsidR="006E5BA6" w:rsidRDefault="006E5BA6">
            <w:pPr>
              <w:pStyle w:val="TableDataEntries"/>
            </w:pPr>
            <w:r w:rsidRPr="00A32529">
              <w:t>299.19</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A324B6" w14:textId="021191DF" w:rsidR="006E5BA6" w:rsidRDefault="006E5BA6">
            <w:pPr>
              <w:pStyle w:val="TableDataEntries"/>
            </w:pPr>
            <w:r w:rsidRPr="00A32529">
              <w:t>139.58</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3C403EE" w14:textId="18941E74" w:rsidR="006E5BA6" w:rsidRDefault="006E5BA6">
            <w:pPr>
              <w:pStyle w:val="TableDataEntries"/>
            </w:pPr>
            <w:r w:rsidRPr="00A32529">
              <w:t>143.60</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1D78293" w14:textId="73BBB86A" w:rsidR="006E5BA6" w:rsidRDefault="006E5BA6">
            <w:pPr>
              <w:pStyle w:val="TableDataEntries"/>
            </w:pPr>
            <w:r w:rsidRPr="00A32529">
              <w:t>106.35</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3B91553" w14:textId="79068589" w:rsidR="006E5BA6" w:rsidRDefault="006E5BA6">
            <w:pPr>
              <w:pStyle w:val="TableDataEntries"/>
            </w:pPr>
            <w:r w:rsidRPr="00A32529">
              <w:t>94.10</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E73D569" w14:textId="02A26FA8" w:rsidR="006E5BA6" w:rsidRDefault="006E5BA6">
            <w:pPr>
              <w:pStyle w:val="TableDataEntries"/>
            </w:pPr>
            <w:r w:rsidRPr="00A32529">
              <w:t>341.09</w:t>
            </w:r>
          </w:p>
        </w:tc>
      </w:tr>
      <w:tr w:rsidR="006E5BA6" w14:paraId="215548B1" w14:textId="77777777">
        <w:trPr>
          <w:trHeight w:val="245"/>
        </w:trPr>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A073CB" w14:textId="674560E3" w:rsidR="006E5BA6" w:rsidRDefault="006E5BA6">
            <w:pPr>
              <w:pStyle w:val="TableDataEntries"/>
              <w:jc w:val="left"/>
            </w:pPr>
            <w:r w:rsidRPr="00A32529">
              <w:t>C5OL</w:t>
            </w:r>
          </w:p>
        </w:tc>
        <w:tc>
          <w:tcPr>
            <w:tcW w:w="10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F87082B" w14:textId="6200533E" w:rsidR="006E5BA6" w:rsidRDefault="006E5BA6">
            <w:pPr>
              <w:pStyle w:val="TableDataEntries"/>
            </w:pPr>
            <w:r w:rsidRPr="00A32529">
              <w:t>22.02</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510FCC" w14:textId="58F77598" w:rsidR="006E5BA6" w:rsidRDefault="006E5BA6">
            <w:pPr>
              <w:pStyle w:val="TableDataEntries"/>
            </w:pPr>
            <w:r w:rsidRPr="00A32529">
              <w:t>21.77</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D7C519" w14:textId="175EAD74" w:rsidR="006E5BA6" w:rsidRDefault="006E5BA6">
            <w:pPr>
              <w:pStyle w:val="TableDataEntries"/>
            </w:pPr>
            <w:r w:rsidRPr="00A32529">
              <w:t>27.92</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B12E92" w14:textId="3DCBFA3E" w:rsidR="006E5BA6" w:rsidRDefault="006E5BA6">
            <w:pPr>
              <w:pStyle w:val="TableDataEntries"/>
            </w:pPr>
            <w:r w:rsidRPr="00A32529">
              <w:t>28.92</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544C64" w14:textId="5FDACC93" w:rsidR="006E5BA6" w:rsidRDefault="006E5BA6">
            <w:pPr>
              <w:pStyle w:val="TableDataEntries"/>
            </w:pPr>
            <w:r w:rsidRPr="00A32529">
              <w:t>33.40</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035865" w14:textId="254E7106" w:rsidR="006E5BA6" w:rsidRDefault="006E5BA6">
            <w:pPr>
              <w:pStyle w:val="TableDataEntries"/>
            </w:pPr>
            <w:r w:rsidRPr="00A32529">
              <w:t>28.84</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62D9C8" w14:textId="78237D71" w:rsidR="006E5BA6" w:rsidRDefault="006E5BA6">
            <w:pPr>
              <w:pStyle w:val="TableDataEntries"/>
            </w:pPr>
            <w:r w:rsidRPr="00A32529">
              <w:t>20.95</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49A540" w14:textId="2CA2B4E2" w:rsidR="006E5BA6" w:rsidRDefault="006E5BA6">
            <w:pPr>
              <w:pStyle w:val="TableDataEntries"/>
            </w:pPr>
            <w:r w:rsidRPr="00A32529">
              <w:t>48.04</w:t>
            </w:r>
          </w:p>
        </w:tc>
      </w:tr>
      <w:tr w:rsidR="006E5BA6" w14:paraId="5A6D7E30" w14:textId="77777777">
        <w:trPr>
          <w:trHeight w:val="245"/>
        </w:trPr>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FD269DE" w14:textId="60DCDF63" w:rsidR="006E5BA6" w:rsidRDefault="006E5BA6">
            <w:pPr>
              <w:pStyle w:val="TableDataEntries"/>
              <w:jc w:val="left"/>
            </w:pPr>
            <w:r w:rsidRPr="00A32529">
              <w:t>C5OM</w:t>
            </w:r>
          </w:p>
        </w:tc>
        <w:tc>
          <w:tcPr>
            <w:tcW w:w="10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345300" w14:textId="0F031D5B" w:rsidR="006E5BA6" w:rsidRDefault="006E5BA6">
            <w:pPr>
              <w:pStyle w:val="TableDataEntries"/>
            </w:pPr>
            <w:r>
              <w:t>83.37</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060E950" w14:textId="1756C52A" w:rsidR="006E5BA6" w:rsidRDefault="006E5BA6">
            <w:pPr>
              <w:pStyle w:val="TableDataEntries"/>
            </w:pPr>
            <w:r>
              <w:t>83.</w:t>
            </w:r>
            <w:r w:rsidR="004D0BF9" w:rsidRPr="00D64350">
              <w:t>67</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0E37262" w14:textId="241505C7" w:rsidR="006E5BA6" w:rsidRDefault="006E5BA6">
            <w:pPr>
              <w:pStyle w:val="TableDataEntries"/>
            </w:pPr>
            <w:r>
              <w:t>127.99</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0A80F04" w14:textId="5E2D8DFF" w:rsidR="006E5BA6" w:rsidRDefault="006E5BA6">
            <w:pPr>
              <w:pStyle w:val="TableDataEntries"/>
            </w:pPr>
            <w:r>
              <w:t>104.90</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54D822" w14:textId="56C060CD" w:rsidR="006E5BA6" w:rsidRDefault="006E5BA6">
            <w:pPr>
              <w:pStyle w:val="TableDataEntries"/>
            </w:pPr>
            <w:r>
              <w:t>110.</w:t>
            </w:r>
            <w:r w:rsidR="004D0BF9" w:rsidRPr="00D64350">
              <w:t>97</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F4555C" w14:textId="38589825" w:rsidR="006E5BA6" w:rsidRDefault="006E5BA6">
            <w:pPr>
              <w:pStyle w:val="TableDataEntries"/>
            </w:pPr>
            <w:r>
              <w:t>118.62</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7B8F6E" w14:textId="3912EA43" w:rsidR="006E5BA6" w:rsidRDefault="006E5BA6">
            <w:pPr>
              <w:pStyle w:val="TableDataEntries"/>
            </w:pPr>
            <w:r>
              <w:t>85.82</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23A1CBF" w14:textId="31F8657E" w:rsidR="006E5BA6" w:rsidRDefault="006E5BA6">
            <w:pPr>
              <w:pStyle w:val="TableDataEntries"/>
            </w:pPr>
            <w:r>
              <w:t>200.82</w:t>
            </w:r>
          </w:p>
        </w:tc>
      </w:tr>
      <w:tr w:rsidR="006E5BA6" w14:paraId="612E7F3D" w14:textId="77777777">
        <w:trPr>
          <w:trHeight w:val="245"/>
        </w:trPr>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8ED71F" w14:textId="22147698" w:rsidR="006E5BA6" w:rsidRDefault="006E5BA6">
            <w:pPr>
              <w:pStyle w:val="TableDataEntries"/>
              <w:jc w:val="left"/>
            </w:pPr>
            <w:r w:rsidRPr="00A32529">
              <w:t>C5OS</w:t>
            </w:r>
          </w:p>
        </w:tc>
        <w:tc>
          <w:tcPr>
            <w:tcW w:w="10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DF9861" w14:textId="2318ED8B" w:rsidR="006E5BA6" w:rsidRPr="009523E1" w:rsidRDefault="006E5BA6">
            <w:pPr>
              <w:pStyle w:val="TableDataEntries"/>
            </w:pPr>
            <w:r w:rsidRPr="00A32529">
              <w:t>82.84</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E58C17" w14:textId="3CE354DE" w:rsidR="006E5BA6" w:rsidRPr="009523E1" w:rsidRDefault="006E5BA6">
            <w:pPr>
              <w:pStyle w:val="TableDataEntries"/>
            </w:pPr>
            <w:r w:rsidRPr="00A32529">
              <w:t>112.69</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3C39CD" w14:textId="1F548F6F" w:rsidR="006E5BA6" w:rsidRPr="009523E1" w:rsidRDefault="006E5BA6">
            <w:pPr>
              <w:pStyle w:val="TableDataEntries"/>
            </w:pPr>
            <w:r w:rsidRPr="00A32529">
              <w:t>95.25</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9825998" w14:textId="0A541086" w:rsidR="006E5BA6" w:rsidRPr="009523E1" w:rsidRDefault="006E5BA6">
            <w:pPr>
              <w:pStyle w:val="TableDataEntries"/>
            </w:pPr>
            <w:r w:rsidRPr="00A32529">
              <w:t>98.50</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B3FA2E" w14:textId="6FD24452" w:rsidR="006E5BA6" w:rsidRPr="009523E1" w:rsidRDefault="006E5BA6">
            <w:pPr>
              <w:pStyle w:val="TableDataEntries"/>
            </w:pPr>
            <w:r w:rsidRPr="00A32529">
              <w:t>104.27</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B918803" w14:textId="772ADA89" w:rsidR="006E5BA6" w:rsidRPr="009523E1" w:rsidRDefault="006E5BA6">
            <w:pPr>
              <w:pStyle w:val="TableDataEntries"/>
            </w:pPr>
            <w:r w:rsidRPr="00A32529">
              <w:t>124.08</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91B91A3" w14:textId="4A5D5311" w:rsidR="006E5BA6" w:rsidRPr="009523E1" w:rsidRDefault="006E5BA6">
            <w:pPr>
              <w:pStyle w:val="TableDataEntries"/>
            </w:pPr>
            <w:r w:rsidRPr="00A32529">
              <w:t>89.06</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1AEFD0B" w14:textId="6DCCD5D7" w:rsidR="006E5BA6" w:rsidRPr="009523E1" w:rsidRDefault="006E5BA6">
            <w:pPr>
              <w:pStyle w:val="TableDataEntries"/>
            </w:pPr>
            <w:r w:rsidRPr="00A32529">
              <w:t>191.71</w:t>
            </w:r>
          </w:p>
        </w:tc>
      </w:tr>
      <w:tr w:rsidR="006E5BA6" w14:paraId="1693B1A4" w14:textId="77777777">
        <w:trPr>
          <w:trHeight w:val="245"/>
        </w:trPr>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D424E5" w14:textId="093B10D9" w:rsidR="006E5BA6" w:rsidRDefault="006E5BA6">
            <w:pPr>
              <w:pStyle w:val="TableDataEntries"/>
              <w:jc w:val="left"/>
            </w:pPr>
            <w:r w:rsidRPr="00A32529">
              <w:t>C6RL</w:t>
            </w:r>
          </w:p>
        </w:tc>
        <w:tc>
          <w:tcPr>
            <w:tcW w:w="10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89847F3" w14:textId="7CA65D9E" w:rsidR="006E5BA6" w:rsidRDefault="006E5BA6">
            <w:pPr>
              <w:pStyle w:val="TableDataEntries"/>
            </w:pPr>
            <w:r w:rsidRPr="00A32529">
              <w:t>253.78</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50CF831" w14:textId="7A0B8AB1" w:rsidR="006E5BA6" w:rsidRDefault="006E5BA6">
            <w:pPr>
              <w:pStyle w:val="TableDataEntries"/>
            </w:pPr>
            <w:r w:rsidRPr="00A32529">
              <w:t>160.15</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D9A2B24" w14:textId="22826382" w:rsidR="006E5BA6" w:rsidRDefault="006E5BA6">
            <w:pPr>
              <w:pStyle w:val="TableDataEntries"/>
            </w:pPr>
            <w:r w:rsidRPr="00A32529">
              <w:t>447.70</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E75FEE3" w14:textId="78DAB141" w:rsidR="006E5BA6" w:rsidRDefault="006E5BA6">
            <w:pPr>
              <w:pStyle w:val="TableDataEntries"/>
            </w:pPr>
            <w:r w:rsidRPr="00A32529">
              <w:t>305.72</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C01937" w14:textId="369D2B2E" w:rsidR="006E5BA6" w:rsidRDefault="006E5BA6">
            <w:pPr>
              <w:pStyle w:val="TableDataEntries"/>
            </w:pPr>
            <w:r w:rsidRPr="00A32529">
              <w:t>333.63</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7942925" w14:textId="5AC528A4" w:rsidR="006E5BA6" w:rsidRDefault="006E5BA6">
            <w:pPr>
              <w:pStyle w:val="TableDataEntries"/>
            </w:pPr>
            <w:r w:rsidRPr="00A32529">
              <w:t>371.73</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9FB6C4D" w14:textId="321DD133" w:rsidR="006E5BA6" w:rsidRDefault="006E5BA6">
            <w:pPr>
              <w:pStyle w:val="TableDataEntries"/>
            </w:pPr>
            <w:r w:rsidRPr="00A32529">
              <w:t>278.27</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768331" w14:textId="447BAEE9" w:rsidR="006E5BA6" w:rsidRDefault="006E5BA6">
            <w:pPr>
              <w:pStyle w:val="TableDataEntries"/>
            </w:pPr>
            <w:r w:rsidRPr="00A32529">
              <w:t>565.53</w:t>
            </w:r>
          </w:p>
        </w:tc>
      </w:tr>
      <w:tr w:rsidR="006E5BA6" w14:paraId="4819259F" w14:textId="77777777">
        <w:trPr>
          <w:trHeight w:val="245"/>
        </w:trPr>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1294F4" w14:textId="7ACCA593" w:rsidR="006E5BA6" w:rsidRDefault="006E5BA6">
            <w:pPr>
              <w:pStyle w:val="TableDataEntries"/>
              <w:jc w:val="left"/>
            </w:pPr>
            <w:r w:rsidRPr="00A32529">
              <w:t>C6RS</w:t>
            </w:r>
          </w:p>
        </w:tc>
        <w:tc>
          <w:tcPr>
            <w:tcW w:w="10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E92D34" w14:textId="45EA5E1B" w:rsidR="006E5BA6" w:rsidRDefault="006E5BA6">
            <w:pPr>
              <w:pStyle w:val="TableDataEntries"/>
            </w:pPr>
            <w:r w:rsidRPr="00A32529">
              <w:t>355.06</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678188E" w14:textId="020101D9" w:rsidR="006E5BA6" w:rsidRDefault="006E5BA6">
            <w:pPr>
              <w:pStyle w:val="TableDataEntries"/>
            </w:pPr>
            <w:r w:rsidRPr="00A32529">
              <w:t>323.57</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852D24E" w14:textId="42C6CD92" w:rsidR="006E5BA6" w:rsidRDefault="006E5BA6">
            <w:pPr>
              <w:pStyle w:val="TableDataEntries"/>
            </w:pPr>
            <w:r w:rsidRPr="00A32529">
              <w:t>562.57</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C5AE88D" w14:textId="41ECB209" w:rsidR="006E5BA6" w:rsidRDefault="006E5BA6">
            <w:pPr>
              <w:pStyle w:val="TableDataEntries"/>
            </w:pPr>
            <w:r w:rsidRPr="00A32529">
              <w:t>416.45</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69870D8" w14:textId="5A949246" w:rsidR="006E5BA6" w:rsidRDefault="006E5BA6">
            <w:pPr>
              <w:pStyle w:val="TableDataEntries"/>
            </w:pPr>
            <w:r w:rsidRPr="00A32529">
              <w:t>444.98</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2DDF9D" w14:textId="28CC44A2" w:rsidR="006E5BA6" w:rsidRDefault="006E5BA6">
            <w:pPr>
              <w:pStyle w:val="TableDataEntries"/>
            </w:pPr>
            <w:r w:rsidRPr="00A32529">
              <w:t>395.74</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7E87F60" w14:textId="0A083DDC" w:rsidR="006E5BA6" w:rsidRDefault="006E5BA6">
            <w:pPr>
              <w:pStyle w:val="TableDataEntries"/>
            </w:pPr>
            <w:r w:rsidRPr="00A32529">
              <w:t>303.04</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D6B4A95" w14:textId="3B5995EF" w:rsidR="006E5BA6" w:rsidRDefault="006E5BA6">
            <w:pPr>
              <w:pStyle w:val="TableDataEntries"/>
            </w:pPr>
            <w:r w:rsidRPr="00A32529">
              <w:t>907.73</w:t>
            </w:r>
          </w:p>
        </w:tc>
      </w:tr>
      <w:tr w:rsidR="006E5BA6" w14:paraId="2B940418" w14:textId="77777777">
        <w:trPr>
          <w:trHeight w:val="245"/>
        </w:trPr>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7C52965" w14:textId="1A9B1F20" w:rsidR="006E5BA6" w:rsidRDefault="006E5BA6">
            <w:pPr>
              <w:pStyle w:val="TableDataEntries"/>
              <w:jc w:val="left"/>
            </w:pPr>
            <w:r w:rsidRPr="00A32529">
              <w:t>C9A</w:t>
            </w:r>
          </w:p>
        </w:tc>
        <w:tc>
          <w:tcPr>
            <w:tcW w:w="10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1D1B8FF" w14:textId="14FCA539" w:rsidR="006E5BA6" w:rsidRDefault="006E5BA6">
            <w:pPr>
              <w:pStyle w:val="TableDataEntries"/>
            </w:pPr>
            <w:r>
              <w:t>25.48</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B2D60B" w14:textId="34C928C3" w:rsidR="006E5BA6" w:rsidRDefault="006E5BA6">
            <w:pPr>
              <w:pStyle w:val="TableDataEntries"/>
            </w:pPr>
            <w:r>
              <w:t>9.97</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CA41CE" w14:textId="05A7CA79" w:rsidR="006E5BA6" w:rsidRDefault="006E5BA6">
            <w:pPr>
              <w:pStyle w:val="TableDataEntries"/>
            </w:pPr>
            <w:r>
              <w:t>25.97</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24B6590" w14:textId="0DF14478" w:rsidR="006E5BA6" w:rsidRDefault="006E5BA6">
            <w:pPr>
              <w:pStyle w:val="TableDataEntries"/>
            </w:pPr>
            <w:r>
              <w:t>31.83</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184041A" w14:textId="4FC9071C" w:rsidR="006E5BA6" w:rsidRDefault="006E5BA6">
            <w:pPr>
              <w:pStyle w:val="TableDataEntries"/>
            </w:pPr>
            <w:r>
              <w:t>34.</w:t>
            </w:r>
            <w:r w:rsidR="004D0BF9" w:rsidRPr="00D64350">
              <w:t>51</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9E3B86" w14:textId="3F50280A" w:rsidR="006E5BA6" w:rsidRDefault="006E5BA6">
            <w:pPr>
              <w:pStyle w:val="TableDataEntries"/>
            </w:pPr>
            <w:r>
              <w:t>15.25</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15E7B0B" w14:textId="4B3F396C" w:rsidR="006E5BA6" w:rsidRDefault="006E5BA6">
            <w:pPr>
              <w:pStyle w:val="TableDataEntries"/>
            </w:pPr>
            <w:r>
              <w:t>10.86</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0A3161C" w14:textId="0E59E8A5" w:rsidR="006E5BA6" w:rsidRDefault="006E5BA6">
            <w:pPr>
              <w:pStyle w:val="TableDataEntries"/>
            </w:pPr>
            <w:r>
              <w:t>94.43</w:t>
            </w:r>
          </w:p>
        </w:tc>
      </w:tr>
      <w:tr w:rsidR="006E5BA6" w14:paraId="771BDFE0" w14:textId="77777777">
        <w:trPr>
          <w:trHeight w:val="245"/>
        </w:trPr>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86DDC7A" w14:textId="40D711A8" w:rsidR="006E5BA6" w:rsidRDefault="006E5BA6">
            <w:pPr>
              <w:pStyle w:val="TableDataEntries"/>
              <w:jc w:val="left"/>
            </w:pPr>
            <w:r w:rsidRPr="00A32529">
              <w:t>C9B</w:t>
            </w:r>
          </w:p>
        </w:tc>
        <w:tc>
          <w:tcPr>
            <w:tcW w:w="10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9B02F04" w14:textId="7E59CC03" w:rsidR="006E5BA6" w:rsidRDefault="006E5BA6">
            <w:pPr>
              <w:pStyle w:val="TableDataEntries"/>
            </w:pPr>
            <w:r>
              <w:t>88.49</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0883D2" w14:textId="240FCC10" w:rsidR="006E5BA6" w:rsidRDefault="006E5BA6">
            <w:pPr>
              <w:pStyle w:val="TableDataEntries"/>
            </w:pPr>
            <w:r>
              <w:t>89.42</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CB5E12F" w14:textId="60189255" w:rsidR="006E5BA6" w:rsidRDefault="006E5BA6">
            <w:pPr>
              <w:pStyle w:val="TableDataEntries"/>
            </w:pPr>
            <w:r>
              <w:t>166.83</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88CB65E" w14:textId="457BDCA0" w:rsidR="006E5BA6" w:rsidRDefault="006E5BA6">
            <w:pPr>
              <w:pStyle w:val="TableDataEntries"/>
            </w:pPr>
            <w:r>
              <w:t>100.59</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93D1C5F" w14:textId="15113B91" w:rsidR="006E5BA6" w:rsidRDefault="006E5BA6">
            <w:pPr>
              <w:pStyle w:val="TableDataEntries"/>
            </w:pPr>
            <w:r>
              <w:t>101.88</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8765BC1" w14:textId="5B2FD0A4" w:rsidR="006E5BA6" w:rsidRDefault="006E5BA6">
            <w:pPr>
              <w:pStyle w:val="TableDataEntries"/>
            </w:pPr>
            <w:r>
              <w:t>119.54</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AABCAD" w14:textId="1BEC58D0" w:rsidR="006E5BA6" w:rsidRDefault="006E5BA6">
            <w:pPr>
              <w:pStyle w:val="TableDataEntries"/>
            </w:pPr>
            <w:r>
              <w:t>92.26</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4151037" w14:textId="0F0BC786" w:rsidR="006E5BA6" w:rsidRDefault="006E5BA6">
            <w:pPr>
              <w:pStyle w:val="TableDataEntries"/>
            </w:pPr>
            <w:r>
              <w:t>187.11</w:t>
            </w:r>
          </w:p>
        </w:tc>
      </w:tr>
      <w:tr w:rsidR="006E5BA6" w:rsidRPr="00492AD6" w14:paraId="3511F8F8" w14:textId="77777777">
        <w:trPr>
          <w:trHeight w:val="245"/>
        </w:trPr>
        <w:tc>
          <w:tcPr>
            <w:tcW w:w="851" w:type="dxa"/>
            <w:tcBorders>
              <w:top w:val="single" w:sz="8" w:space="0" w:color="FFFFFF" w:themeColor="background1"/>
              <w:bottom w:val="single" w:sz="6" w:space="0" w:color="6F6652"/>
            </w:tcBorders>
            <w:shd w:val="clear" w:color="auto" w:fill="E9E8E5" w:themeFill="background2"/>
            <w:tcMar>
              <w:left w:w="57" w:type="dxa"/>
              <w:right w:w="57" w:type="dxa"/>
            </w:tcMar>
          </w:tcPr>
          <w:p w14:paraId="036882AC" w14:textId="6445B8B8" w:rsidR="006E5BA6" w:rsidRPr="00492AD6" w:rsidRDefault="006E5BA6">
            <w:pPr>
              <w:pStyle w:val="TableDataEntries"/>
              <w:jc w:val="left"/>
              <w:rPr>
                <w:rFonts w:ascii="Franklin Gothic Demi" w:hAnsi="Franklin Gothic Demi"/>
                <w:color w:val="000000" w:themeColor="text1"/>
              </w:rPr>
            </w:pPr>
            <w:r w:rsidRPr="00A32529">
              <w:t>C9C</w:t>
            </w:r>
            <w:r w:rsidRPr="00492AD6">
              <w:rPr>
                <w:rStyle w:val="NoteLabel"/>
                <w:color w:val="000000" w:themeColor="text1"/>
              </w:rPr>
              <w:t xml:space="preserve"> a</w:t>
            </w:r>
          </w:p>
        </w:tc>
        <w:tc>
          <w:tcPr>
            <w:tcW w:w="1010" w:type="dxa"/>
            <w:tcBorders>
              <w:top w:val="single" w:sz="8" w:space="0" w:color="FFFFFF" w:themeColor="background1"/>
              <w:bottom w:val="single" w:sz="6" w:space="0" w:color="6F6652"/>
            </w:tcBorders>
            <w:shd w:val="clear" w:color="auto" w:fill="E9E8E5" w:themeFill="background2"/>
            <w:tcMar>
              <w:left w:w="57" w:type="dxa"/>
              <w:right w:w="57" w:type="dxa"/>
            </w:tcMar>
          </w:tcPr>
          <w:p w14:paraId="5B69C258" w14:textId="4FED0CCD" w:rsidR="006E5BA6" w:rsidRPr="00492AD6" w:rsidRDefault="006E5BA6">
            <w:pPr>
              <w:pStyle w:val="TableDataEntries"/>
              <w:rPr>
                <w:rFonts w:ascii="Franklin Gothic Demi" w:hAnsi="Franklin Gothic Demi"/>
                <w:color w:val="000000" w:themeColor="text1"/>
              </w:rPr>
            </w:pPr>
            <w:r>
              <w:t>68.60</w:t>
            </w:r>
          </w:p>
        </w:tc>
        <w:tc>
          <w:tcPr>
            <w:tcW w:w="868" w:type="dxa"/>
            <w:tcBorders>
              <w:top w:val="single" w:sz="8" w:space="0" w:color="FFFFFF" w:themeColor="background1"/>
              <w:bottom w:val="single" w:sz="6" w:space="0" w:color="6F6652"/>
            </w:tcBorders>
            <w:shd w:val="clear" w:color="auto" w:fill="E9E8E5" w:themeFill="background2"/>
            <w:tcMar>
              <w:left w:w="57" w:type="dxa"/>
              <w:right w:w="57" w:type="dxa"/>
            </w:tcMar>
          </w:tcPr>
          <w:p w14:paraId="03519D36" w14:textId="2887C541" w:rsidR="006E5BA6" w:rsidRPr="00492AD6" w:rsidRDefault="006E5BA6">
            <w:pPr>
              <w:pStyle w:val="TableDataEntries"/>
              <w:rPr>
                <w:rFonts w:ascii="Franklin Gothic Demi" w:hAnsi="Franklin Gothic Demi"/>
                <w:color w:val="000000" w:themeColor="text1"/>
              </w:rPr>
            </w:pPr>
            <w:r>
              <w:t>180.81</w:t>
            </w:r>
          </w:p>
        </w:tc>
        <w:tc>
          <w:tcPr>
            <w:tcW w:w="869" w:type="dxa"/>
            <w:tcBorders>
              <w:top w:val="single" w:sz="8" w:space="0" w:color="FFFFFF" w:themeColor="background1"/>
              <w:bottom w:val="single" w:sz="6" w:space="0" w:color="6F6652"/>
            </w:tcBorders>
            <w:shd w:val="clear" w:color="auto" w:fill="E9E8E5" w:themeFill="background2"/>
            <w:tcMar>
              <w:left w:w="57" w:type="dxa"/>
              <w:right w:w="57" w:type="dxa"/>
            </w:tcMar>
          </w:tcPr>
          <w:p w14:paraId="6D08E207" w14:textId="536F225A" w:rsidR="006E5BA6" w:rsidRPr="00492AD6" w:rsidRDefault="006E5BA6">
            <w:pPr>
              <w:pStyle w:val="TableDataEntries"/>
              <w:rPr>
                <w:rFonts w:ascii="Franklin Gothic Demi" w:hAnsi="Franklin Gothic Demi"/>
                <w:color w:val="000000" w:themeColor="text1"/>
              </w:rPr>
            </w:pPr>
            <w:r>
              <w:t>161.74</w:t>
            </w:r>
          </w:p>
        </w:tc>
        <w:tc>
          <w:tcPr>
            <w:tcW w:w="868" w:type="dxa"/>
            <w:tcBorders>
              <w:top w:val="single" w:sz="8" w:space="0" w:color="FFFFFF" w:themeColor="background1"/>
              <w:bottom w:val="single" w:sz="6" w:space="0" w:color="6F6652"/>
            </w:tcBorders>
            <w:shd w:val="clear" w:color="auto" w:fill="E9E8E5" w:themeFill="background2"/>
            <w:tcMar>
              <w:left w:w="57" w:type="dxa"/>
              <w:right w:w="57" w:type="dxa"/>
            </w:tcMar>
          </w:tcPr>
          <w:p w14:paraId="08D41658" w14:textId="48D24971" w:rsidR="006E5BA6" w:rsidRPr="00492AD6" w:rsidRDefault="006E5BA6">
            <w:pPr>
              <w:pStyle w:val="TableDataEntries"/>
              <w:rPr>
                <w:rFonts w:ascii="Franklin Gothic Demi" w:hAnsi="Franklin Gothic Demi"/>
                <w:color w:val="000000" w:themeColor="text1"/>
              </w:rPr>
            </w:pPr>
            <w:r>
              <w:t>89.73</w:t>
            </w:r>
          </w:p>
        </w:tc>
        <w:tc>
          <w:tcPr>
            <w:tcW w:w="868" w:type="dxa"/>
            <w:tcBorders>
              <w:top w:val="single" w:sz="8" w:space="0" w:color="FFFFFF" w:themeColor="background1"/>
              <w:bottom w:val="single" w:sz="6" w:space="0" w:color="6F6652"/>
            </w:tcBorders>
            <w:shd w:val="clear" w:color="auto" w:fill="E9E8E5" w:themeFill="background2"/>
            <w:tcMar>
              <w:left w:w="57" w:type="dxa"/>
              <w:right w:w="57" w:type="dxa"/>
            </w:tcMar>
          </w:tcPr>
          <w:p w14:paraId="4B69D275" w14:textId="449FB647" w:rsidR="006E5BA6" w:rsidRPr="00492AD6" w:rsidRDefault="006E5BA6">
            <w:pPr>
              <w:pStyle w:val="TableDataEntries"/>
              <w:rPr>
                <w:rFonts w:ascii="Franklin Gothic Demi" w:hAnsi="Franklin Gothic Demi"/>
                <w:color w:val="000000" w:themeColor="text1"/>
              </w:rPr>
            </w:pPr>
            <w:r>
              <w:t>90.37</w:t>
            </w:r>
          </w:p>
        </w:tc>
        <w:tc>
          <w:tcPr>
            <w:tcW w:w="869" w:type="dxa"/>
            <w:tcBorders>
              <w:top w:val="single" w:sz="8" w:space="0" w:color="FFFFFF" w:themeColor="background1"/>
              <w:bottom w:val="single" w:sz="6" w:space="0" w:color="6F6652"/>
            </w:tcBorders>
            <w:shd w:val="clear" w:color="auto" w:fill="E9E8E5" w:themeFill="background2"/>
            <w:tcMar>
              <w:left w:w="57" w:type="dxa"/>
              <w:right w:w="57" w:type="dxa"/>
            </w:tcMar>
          </w:tcPr>
          <w:p w14:paraId="35BBBDF4" w14:textId="01E2FFD7" w:rsidR="006E5BA6" w:rsidRPr="00492AD6" w:rsidRDefault="006E5BA6">
            <w:pPr>
              <w:pStyle w:val="TableDataEntries"/>
              <w:rPr>
                <w:rFonts w:ascii="Franklin Gothic Demi" w:hAnsi="Franklin Gothic Demi"/>
                <w:color w:val="000000" w:themeColor="text1"/>
              </w:rPr>
            </w:pPr>
            <w:r>
              <w:t>88.74</w:t>
            </w:r>
          </w:p>
        </w:tc>
        <w:tc>
          <w:tcPr>
            <w:tcW w:w="868" w:type="dxa"/>
            <w:tcBorders>
              <w:top w:val="single" w:sz="8" w:space="0" w:color="FFFFFF" w:themeColor="background1"/>
              <w:bottom w:val="single" w:sz="6" w:space="0" w:color="6F6652"/>
            </w:tcBorders>
            <w:shd w:val="clear" w:color="auto" w:fill="E9E8E5" w:themeFill="background2"/>
            <w:tcMar>
              <w:left w:w="57" w:type="dxa"/>
              <w:right w:w="57" w:type="dxa"/>
            </w:tcMar>
          </w:tcPr>
          <w:p w14:paraId="7E72FF3F" w14:textId="78E1EFA5" w:rsidR="006E5BA6" w:rsidRPr="00492AD6" w:rsidRDefault="006E5BA6">
            <w:pPr>
              <w:pStyle w:val="TableDataEntries"/>
              <w:rPr>
                <w:rFonts w:ascii="Franklin Gothic Demi" w:hAnsi="Franklin Gothic Demi"/>
                <w:color w:val="000000" w:themeColor="text1"/>
              </w:rPr>
            </w:pPr>
            <w:r>
              <w:t>75.00</w:t>
            </w:r>
          </w:p>
        </w:tc>
        <w:tc>
          <w:tcPr>
            <w:tcW w:w="869" w:type="dxa"/>
            <w:tcBorders>
              <w:top w:val="single" w:sz="8" w:space="0" w:color="FFFFFF" w:themeColor="background1"/>
              <w:bottom w:val="single" w:sz="6" w:space="0" w:color="6F6652"/>
            </w:tcBorders>
            <w:shd w:val="clear" w:color="auto" w:fill="E9E8E5" w:themeFill="background2"/>
            <w:tcMar>
              <w:left w:w="57" w:type="dxa"/>
              <w:right w:w="57" w:type="dxa"/>
            </w:tcMar>
          </w:tcPr>
          <w:p w14:paraId="1CB70A47" w14:textId="164F37D1" w:rsidR="006E5BA6" w:rsidRPr="00492AD6" w:rsidRDefault="006E5BA6">
            <w:pPr>
              <w:pStyle w:val="TableDataEntries"/>
              <w:rPr>
                <w:rFonts w:ascii="Franklin Gothic Demi" w:hAnsi="Franklin Gothic Demi"/>
                <w:color w:val="000000" w:themeColor="text1"/>
              </w:rPr>
            </w:pPr>
            <w:r>
              <w:t>169.48</w:t>
            </w:r>
          </w:p>
        </w:tc>
      </w:tr>
    </w:tbl>
    <w:p w14:paraId="0D891E42" w14:textId="77777777" w:rsidR="006E5BA6" w:rsidRPr="00492AD6" w:rsidRDefault="006E5BA6" w:rsidP="006E5BA6">
      <w:pPr>
        <w:pStyle w:val="Note"/>
        <w:rPr>
          <w:color w:val="000000" w:themeColor="text1"/>
        </w:rPr>
      </w:pPr>
      <w:r w:rsidRPr="00492AD6">
        <w:rPr>
          <w:rStyle w:val="NoteLabel"/>
          <w:color w:val="000000" w:themeColor="text1"/>
        </w:rPr>
        <w:t>a</w:t>
      </w:r>
      <w:r w:rsidRPr="00492AD6">
        <w:rPr>
          <w:color w:val="000000" w:themeColor="text1"/>
        </w:rPr>
        <w:t xml:space="preserve"> Aged care facility (C9C) is modelled by DeltaQ as a small hospital (C9AS) because aged care building had very short HVAC running hours according to NCC 2022 schedules so wasn’t an appropriate test bed.</w:t>
      </w:r>
    </w:p>
    <w:p w14:paraId="605A8D7C" w14:textId="77777777" w:rsidR="006E5BA6" w:rsidRPr="00492AD6" w:rsidRDefault="006E5BA6" w:rsidP="006E5BA6">
      <w:pPr>
        <w:pStyle w:val="Note"/>
        <w:rPr>
          <w:color w:val="000000" w:themeColor="text1"/>
          <w:lang w:bidi="fa-IR"/>
        </w:rPr>
      </w:pPr>
      <w:r w:rsidRPr="00492AD6">
        <w:rPr>
          <w:i/>
          <w:color w:val="000000" w:themeColor="text1"/>
        </w:rPr>
        <w:t>Note:</w:t>
      </w:r>
      <w:r w:rsidRPr="00492AD6">
        <w:rPr>
          <w:color w:val="000000" w:themeColor="text1"/>
        </w:rPr>
        <w:t xml:space="preserve"> Estimates presented in present value terms based on: buildings constructed in 2025 assuming a 50</w:t>
      </w:r>
      <w:r w:rsidRPr="00492AD6">
        <w:rPr>
          <w:color w:val="000000" w:themeColor="text1"/>
        </w:rPr>
        <w:noBreakHyphen/>
        <w:t>year life, using a discount rate of 5 per cent.</w:t>
      </w:r>
    </w:p>
    <w:p w14:paraId="0CF2C124" w14:textId="77777777" w:rsidR="006E5BA6" w:rsidRPr="00492AD6" w:rsidRDefault="006E5BA6" w:rsidP="006E5BA6">
      <w:pPr>
        <w:pStyle w:val="Source"/>
        <w:rPr>
          <w:color w:val="000000" w:themeColor="text1"/>
          <w:lang w:bidi="fa-IR"/>
        </w:rPr>
      </w:pPr>
      <w:r w:rsidRPr="00492AD6">
        <w:rPr>
          <w:i/>
          <w:color w:val="000000" w:themeColor="text1"/>
          <w:lang w:bidi="fa-IR"/>
        </w:rPr>
        <w:t>Source:</w:t>
      </w:r>
      <w:r w:rsidRPr="00492AD6">
        <w:rPr>
          <w:color w:val="000000" w:themeColor="text1"/>
          <w:lang w:bidi="fa-IR"/>
        </w:rPr>
        <w:t xml:space="preserve"> CIE based on DeltaQ modelling.</w:t>
      </w:r>
    </w:p>
    <w:p w14:paraId="57E8358D" w14:textId="77777777" w:rsidR="006E5BA6" w:rsidRDefault="006E5BA6" w:rsidP="006E5BA6">
      <w:pPr>
        <w:pStyle w:val="Heading3"/>
        <w:rPr>
          <w:lang w:bidi="fa-IR"/>
        </w:rPr>
      </w:pPr>
      <w:r>
        <w:rPr>
          <w:lang w:bidi="fa-IR"/>
        </w:rPr>
        <w:t>Change in energy</w:t>
      </w:r>
      <w:r>
        <w:rPr>
          <w:lang w:bidi="fa-IR"/>
        </w:rPr>
        <w:noBreakHyphen/>
        <w:t>related costs</w:t>
      </w:r>
    </w:p>
    <w:p w14:paraId="025B5A43" w14:textId="77777777" w:rsidR="006E5BA6" w:rsidRPr="00844A6E" w:rsidRDefault="006E5BA6" w:rsidP="006E5BA6">
      <w:pPr>
        <w:pStyle w:val="BodyText"/>
        <w:rPr>
          <w:szCs w:val="22"/>
          <w:lang w:bidi="fa-IR"/>
        </w:rPr>
      </w:pPr>
      <w:r w:rsidRPr="00844A6E">
        <w:rPr>
          <w:szCs w:val="22"/>
          <w:lang w:bidi="fa-IR"/>
        </w:rPr>
        <w:t>The impacts of Stringency Level 2 on energy</w:t>
      </w:r>
      <w:r w:rsidRPr="00844A6E">
        <w:rPr>
          <w:szCs w:val="22"/>
          <w:lang w:bidi="fa-IR"/>
        </w:rPr>
        <w:noBreakHyphen/>
        <w:t>related costs are as follows.</w:t>
      </w:r>
    </w:p>
    <w:p w14:paraId="05A26F5F" w14:textId="77777777" w:rsidR="006E5BA6" w:rsidRPr="00723BFF" w:rsidRDefault="006E5BA6" w:rsidP="006E5BA6">
      <w:pPr>
        <w:pStyle w:val="ListBullet"/>
        <w:tabs>
          <w:tab w:val="num" w:pos="709"/>
        </w:tabs>
      </w:pPr>
      <w:r w:rsidRPr="00723BFF">
        <w:t>For buildings that would voluntarily install rooftop solar in the base case scenario, the impacts are the same as for Stringency Level 1; an increase in the minimum energy efficiency requirements leading to:</w:t>
      </w:r>
    </w:p>
    <w:p w14:paraId="43973760" w14:textId="77777777" w:rsidR="006E5BA6" w:rsidRPr="00844A6E" w:rsidRDefault="006E5BA6" w:rsidP="006E5BA6">
      <w:pPr>
        <w:pStyle w:val="ListBullet"/>
        <w:numPr>
          <w:ilvl w:val="1"/>
          <w:numId w:val="34"/>
        </w:numPr>
        <w:rPr>
          <w:szCs w:val="22"/>
          <w:lang w:bidi="fa-IR"/>
        </w:rPr>
      </w:pPr>
      <w:r w:rsidRPr="00844A6E">
        <w:rPr>
          <w:szCs w:val="22"/>
          <w:lang w:bidi="fa-IR"/>
        </w:rPr>
        <w:t>a reduction in electricity consumed from the grid</w:t>
      </w:r>
    </w:p>
    <w:p w14:paraId="1B3440A0" w14:textId="77777777" w:rsidR="006E5BA6" w:rsidRPr="00844A6E" w:rsidRDefault="006E5BA6" w:rsidP="006E5BA6">
      <w:pPr>
        <w:pStyle w:val="ListBullet"/>
        <w:numPr>
          <w:ilvl w:val="1"/>
          <w:numId w:val="34"/>
        </w:numPr>
        <w:rPr>
          <w:szCs w:val="22"/>
          <w:lang w:bidi="fa-IR"/>
        </w:rPr>
      </w:pPr>
      <w:r w:rsidRPr="00844A6E">
        <w:rPr>
          <w:szCs w:val="22"/>
          <w:lang w:bidi="fa-IR"/>
        </w:rPr>
        <w:t>an increase in electricity exported to the grid</w:t>
      </w:r>
    </w:p>
    <w:p w14:paraId="3E9FEDC0" w14:textId="77777777" w:rsidR="006E5BA6" w:rsidRPr="00844A6E" w:rsidRDefault="006E5BA6" w:rsidP="006E5BA6">
      <w:pPr>
        <w:pStyle w:val="ListBullet"/>
        <w:numPr>
          <w:ilvl w:val="1"/>
          <w:numId w:val="34"/>
        </w:numPr>
        <w:rPr>
          <w:szCs w:val="22"/>
          <w:lang w:bidi="fa-IR"/>
        </w:rPr>
      </w:pPr>
      <w:r w:rsidRPr="00844A6E">
        <w:rPr>
          <w:szCs w:val="22"/>
          <w:lang w:bidi="fa-IR"/>
        </w:rPr>
        <w:t>a change in gas consumption (which varies across building archetypes and climate zones).</w:t>
      </w:r>
    </w:p>
    <w:p w14:paraId="1870BE5C" w14:textId="77777777" w:rsidR="006E5BA6" w:rsidRPr="00723BFF" w:rsidRDefault="006E5BA6" w:rsidP="006E5BA6">
      <w:pPr>
        <w:pStyle w:val="ListBullet"/>
        <w:tabs>
          <w:tab w:val="num" w:pos="709"/>
        </w:tabs>
      </w:pPr>
      <w:r w:rsidRPr="00723BFF">
        <w:t>For buildings that would not voluntarily install rooftop solar in the base case scenario, the impacts include:</w:t>
      </w:r>
    </w:p>
    <w:p w14:paraId="3843A092" w14:textId="77777777" w:rsidR="006E5BA6" w:rsidRPr="00844A6E" w:rsidRDefault="006E5BA6" w:rsidP="006E5BA6">
      <w:pPr>
        <w:pStyle w:val="ListBullet"/>
        <w:numPr>
          <w:ilvl w:val="1"/>
          <w:numId w:val="34"/>
        </w:numPr>
        <w:rPr>
          <w:szCs w:val="22"/>
          <w:lang w:bidi="fa-IR"/>
        </w:rPr>
      </w:pPr>
      <w:r w:rsidRPr="00844A6E">
        <w:rPr>
          <w:szCs w:val="22"/>
          <w:lang w:bidi="fa-IR"/>
        </w:rPr>
        <w:t>a reduction in electricity consumption from the grid (greater than Stringency Level 1)</w:t>
      </w:r>
    </w:p>
    <w:p w14:paraId="1573D004" w14:textId="77777777" w:rsidR="006E5BA6" w:rsidRPr="00844A6E" w:rsidRDefault="006E5BA6" w:rsidP="006E5BA6">
      <w:pPr>
        <w:pStyle w:val="ListBullet"/>
        <w:numPr>
          <w:ilvl w:val="1"/>
          <w:numId w:val="34"/>
        </w:numPr>
        <w:rPr>
          <w:szCs w:val="22"/>
          <w:lang w:bidi="fa-IR"/>
        </w:rPr>
      </w:pPr>
      <w:r w:rsidRPr="00844A6E">
        <w:rPr>
          <w:szCs w:val="22"/>
          <w:lang w:bidi="fa-IR"/>
        </w:rPr>
        <w:t>an increase in electricity exported to the grid (greater than Stringency Level 1)</w:t>
      </w:r>
    </w:p>
    <w:p w14:paraId="16FFEE2A" w14:textId="77777777" w:rsidR="006E5BA6" w:rsidRPr="00844A6E" w:rsidRDefault="006E5BA6" w:rsidP="006E5BA6">
      <w:pPr>
        <w:pStyle w:val="ListBullet"/>
        <w:numPr>
          <w:ilvl w:val="1"/>
          <w:numId w:val="34"/>
        </w:numPr>
        <w:rPr>
          <w:szCs w:val="22"/>
          <w:lang w:bidi="fa-IR"/>
        </w:rPr>
      </w:pPr>
      <w:r w:rsidRPr="00844A6E">
        <w:rPr>
          <w:szCs w:val="22"/>
          <w:lang w:bidi="fa-IR"/>
        </w:rPr>
        <w:t>a change in gas consumption, which varies across building archetypes and climate zones (the impact on gas consumption would be the same as Stringency Level 1 as the installation of rooftop solar has not impact on gas consumption).</w:t>
      </w:r>
    </w:p>
    <w:p w14:paraId="73608A63" w14:textId="77777777" w:rsidR="006E5BA6" w:rsidRPr="00844A6E" w:rsidRDefault="006E5BA6" w:rsidP="006E5BA6">
      <w:pPr>
        <w:pStyle w:val="BodyText"/>
        <w:rPr>
          <w:szCs w:val="22"/>
          <w:lang w:bidi="fa-IR"/>
        </w:rPr>
      </w:pPr>
      <w:r w:rsidRPr="00844A6E">
        <w:rPr>
          <w:szCs w:val="22"/>
          <w:lang w:bidi="fa-IR"/>
        </w:rPr>
        <w:t>These changes in energy</w:t>
      </w:r>
      <w:r w:rsidRPr="00844A6E">
        <w:rPr>
          <w:szCs w:val="22"/>
          <w:lang w:bidi="fa-IR"/>
        </w:rPr>
        <w:noBreakHyphen/>
        <w:t>related costs are measured as previously described.</w:t>
      </w:r>
    </w:p>
    <w:p w14:paraId="59A9DC98" w14:textId="77777777" w:rsidR="006E5BA6" w:rsidRPr="00BA5F8A" w:rsidRDefault="006E5BA6" w:rsidP="006E5BA6">
      <w:pPr>
        <w:pStyle w:val="Heading3"/>
        <w:numPr>
          <w:ilvl w:val="0"/>
          <w:numId w:val="0"/>
        </w:numPr>
        <w:rPr>
          <w:lang w:bidi="fa-IR"/>
        </w:rPr>
      </w:pPr>
      <w:r>
        <w:rPr>
          <w:lang w:bidi="fa-IR"/>
        </w:rPr>
        <w:t>Change in capital</w:t>
      </w:r>
      <w:r>
        <w:rPr>
          <w:lang w:bidi="fa-IR"/>
        </w:rPr>
        <w:noBreakHyphen/>
        <w:t>related costs</w:t>
      </w:r>
    </w:p>
    <w:p w14:paraId="64808AF5" w14:textId="77777777" w:rsidR="006E5BA6" w:rsidRPr="00844A6E" w:rsidRDefault="006E5BA6" w:rsidP="006E5BA6">
      <w:pPr>
        <w:pStyle w:val="BodyText"/>
        <w:rPr>
          <w:szCs w:val="22"/>
          <w:lang w:bidi="fa-IR"/>
        </w:rPr>
      </w:pPr>
      <w:r w:rsidRPr="00844A6E">
        <w:rPr>
          <w:szCs w:val="22"/>
          <w:lang w:bidi="fa-IR"/>
        </w:rPr>
        <w:t>The main difference to Stringency Level 1 is PV system</w:t>
      </w:r>
      <w:r w:rsidRPr="00844A6E">
        <w:rPr>
          <w:szCs w:val="22"/>
          <w:lang w:bidi="fa-IR"/>
        </w:rPr>
        <w:noBreakHyphen/>
        <w:t>related costs, including the cost of the system (including replacement of the system after 20 years) and the cost of annual maintenance. As a result, capital</w:t>
      </w:r>
      <w:r w:rsidRPr="00844A6E">
        <w:rPr>
          <w:szCs w:val="22"/>
          <w:lang w:bidi="fa-IR"/>
        </w:rPr>
        <w:noBreakHyphen/>
        <w:t>related costs are significantly higher under Stringency Level 2, compared with Stringency Level 1.</w:t>
      </w:r>
    </w:p>
    <w:p w14:paraId="325FCDBE" w14:textId="77777777" w:rsidR="006E5BA6" w:rsidRDefault="006E5BA6" w:rsidP="006E5BA6">
      <w:pPr>
        <w:pStyle w:val="Heading2"/>
        <w:rPr>
          <w:lang w:bidi="fa-IR"/>
        </w:rPr>
      </w:pPr>
      <w:bookmarkStart w:id="2384" w:name="_Toc177735108"/>
      <w:bookmarkStart w:id="2385" w:name="_Toc178292542"/>
      <w:r>
        <w:rPr>
          <w:lang w:bidi="fa-IR"/>
        </w:rPr>
        <w:t xml:space="preserve">Stringency Level 3: </w:t>
      </w:r>
      <w:r w:rsidRPr="009D2AF3">
        <w:rPr>
          <w:lang w:bidi="fa-IR"/>
        </w:rPr>
        <w:t>Least</w:t>
      </w:r>
      <w:r>
        <w:rPr>
          <w:lang w:bidi="fa-IR"/>
        </w:rPr>
        <w:t xml:space="preserve"> </w:t>
      </w:r>
      <w:r w:rsidRPr="009D2AF3">
        <w:rPr>
          <w:lang w:bidi="fa-IR"/>
        </w:rPr>
        <w:t xml:space="preserve">cost net zero </w:t>
      </w:r>
      <w:r>
        <w:rPr>
          <w:lang w:bidi="fa-IR"/>
        </w:rPr>
        <w:t>carbon ready building</w:t>
      </w:r>
      <w:r w:rsidRPr="009D2AF3">
        <w:rPr>
          <w:lang w:bidi="fa-IR"/>
        </w:rPr>
        <w:t>s</w:t>
      </w:r>
      <w:bookmarkEnd w:id="2384"/>
      <w:bookmarkEnd w:id="2385"/>
      <w:r>
        <w:rPr>
          <w:lang w:bidi="fa-IR"/>
        </w:rPr>
        <w:t xml:space="preserve"> </w:t>
      </w:r>
    </w:p>
    <w:p w14:paraId="2064CBB7" w14:textId="77777777" w:rsidR="006E5BA6" w:rsidRDefault="006E5BA6" w:rsidP="006E5BA6">
      <w:pPr>
        <w:pStyle w:val="Heading3"/>
        <w:rPr>
          <w:lang w:bidi="fa-IR"/>
        </w:rPr>
      </w:pPr>
      <w:r>
        <w:rPr>
          <w:lang w:bidi="fa-IR"/>
        </w:rPr>
        <w:t>Modelled changes in energy consumption and emissions</w:t>
      </w:r>
    </w:p>
    <w:p w14:paraId="55E7EF37" w14:textId="77777777" w:rsidR="006E5BA6" w:rsidRPr="00844A6E" w:rsidRDefault="006E5BA6" w:rsidP="006E5BA6">
      <w:pPr>
        <w:pStyle w:val="BodyText"/>
        <w:rPr>
          <w:szCs w:val="22"/>
          <w:lang w:bidi="fa-IR"/>
        </w:rPr>
      </w:pPr>
      <w:r w:rsidRPr="00844A6E">
        <w:rPr>
          <w:szCs w:val="22"/>
          <w:lang w:bidi="fa-IR"/>
        </w:rPr>
        <w:t>DeltaQ has modelled Stringency Level 3 with several scenarios to consider the following variations:</w:t>
      </w:r>
    </w:p>
    <w:p w14:paraId="3DD0F29D" w14:textId="77777777" w:rsidR="006E5BA6" w:rsidRPr="0011179E" w:rsidRDefault="006E5BA6" w:rsidP="006E5BA6">
      <w:pPr>
        <w:pStyle w:val="ListBullet"/>
        <w:tabs>
          <w:tab w:val="num" w:pos="709"/>
        </w:tabs>
      </w:pPr>
      <w:r w:rsidRPr="0011179E">
        <w:t>Baseline – dual-fuel forever versus assumed electrification in Year 15</w:t>
      </w:r>
    </w:p>
    <w:p w14:paraId="13F83E84" w14:textId="77777777" w:rsidR="006E5BA6" w:rsidRPr="0011179E" w:rsidRDefault="006E5BA6" w:rsidP="006E5BA6">
      <w:pPr>
        <w:pStyle w:val="ListBullet"/>
        <w:tabs>
          <w:tab w:val="num" w:pos="709"/>
        </w:tabs>
      </w:pPr>
      <w:r w:rsidRPr="0011179E">
        <w:t>PV system – rooftop PV only versus rooftop and ground-based PV systems (expanded PV)</w:t>
      </w:r>
    </w:p>
    <w:p w14:paraId="3582FA63" w14:textId="77777777" w:rsidR="006E5BA6" w:rsidRPr="0011179E" w:rsidRDefault="006E5BA6" w:rsidP="006E5BA6">
      <w:pPr>
        <w:pStyle w:val="ListBullet"/>
        <w:tabs>
          <w:tab w:val="num" w:pos="709"/>
        </w:tabs>
      </w:pPr>
      <w:r w:rsidRPr="0011179E">
        <w:t>Electrification planning and date in the test case – unplanned electrification in Year 15 (that does not have any ‘electrification readiness’ preparation at the beginning), planned electrification in Year 15 (that has ‘electrification readiness’ preparation at the beginning) and immediate electrification from beginning.</w:t>
      </w:r>
    </w:p>
    <w:p w14:paraId="7CCC76C9" w14:textId="77777777" w:rsidR="006E5BA6" w:rsidRPr="00844A6E" w:rsidRDefault="006E5BA6" w:rsidP="006E5BA6">
      <w:pPr>
        <w:pStyle w:val="BodyText"/>
        <w:rPr>
          <w:szCs w:val="22"/>
        </w:rPr>
      </w:pPr>
      <w:r w:rsidRPr="00844A6E">
        <w:rPr>
          <w:szCs w:val="22"/>
        </w:rPr>
        <w:t>The ground-based PV systems are used under the expanded PV scenario for Stringency Level 3 because, for most archetypes, all the available roof space is already used to accommodate the PV required for Stringency Level 2, with no space left for the additional PV that is used in dual-fuel buildings to offset the incremental emissions associated with the gas-based appliances.</w:t>
      </w:r>
    </w:p>
    <w:p w14:paraId="4AF60085" w14:textId="3E48A027" w:rsidR="006E5BA6" w:rsidRPr="00844A6E" w:rsidRDefault="006E5BA6" w:rsidP="006E5BA6">
      <w:pPr>
        <w:pStyle w:val="BodyText"/>
        <w:rPr>
          <w:szCs w:val="22"/>
          <w:lang w:bidi="fa-IR"/>
        </w:rPr>
      </w:pPr>
      <w:r w:rsidRPr="00844A6E">
        <w:rPr>
          <w:szCs w:val="22"/>
          <w:lang w:bidi="fa-IR"/>
        </w:rPr>
        <w:t xml:space="preserve">As mentioned previously, only three archetypes (C3HL, C5OL and C9A) have gas consumption in the base case and are thus relevant for the modelling of electrification (i.e. all other archetypes are already fully electrified). For more detailed information, please see DeltaQ’s </w:t>
      </w:r>
      <w:r w:rsidR="00972CE1">
        <w:rPr>
          <w:szCs w:val="22"/>
          <w:lang w:bidi="fa-IR"/>
        </w:rPr>
        <w:t>w</w:t>
      </w:r>
      <w:r w:rsidRPr="00844A6E">
        <w:rPr>
          <w:szCs w:val="22"/>
          <w:lang w:bidi="fa-IR"/>
        </w:rPr>
        <w:t>hole building modelling report.</w:t>
      </w:r>
    </w:p>
    <w:p w14:paraId="5A7EBFC3" w14:textId="77777777" w:rsidR="006E5BA6" w:rsidRDefault="006E5BA6" w:rsidP="006E5BA6">
      <w:pPr>
        <w:pStyle w:val="Heading3"/>
        <w:rPr>
          <w:lang w:bidi="fa-IR"/>
        </w:rPr>
      </w:pPr>
      <w:r>
        <w:rPr>
          <w:lang w:bidi="fa-IR"/>
        </w:rPr>
        <w:t>Building</w:t>
      </w:r>
      <w:r>
        <w:rPr>
          <w:lang w:bidi="fa-IR"/>
        </w:rPr>
        <w:noBreakHyphen/>
        <w:t>level CBA</w:t>
      </w:r>
    </w:p>
    <w:p w14:paraId="4B8F86B0" w14:textId="205B0255" w:rsidR="006E5BA6" w:rsidRDefault="006E5BA6" w:rsidP="006E5BA6">
      <w:pPr>
        <w:pStyle w:val="BodyText"/>
        <w:rPr>
          <w:szCs w:val="22"/>
          <w:lang w:bidi="fa-IR"/>
        </w:rPr>
      </w:pPr>
      <w:r w:rsidRPr="00844A6E">
        <w:rPr>
          <w:szCs w:val="22"/>
          <w:lang w:bidi="fa-IR"/>
        </w:rPr>
        <w:t>The building</w:t>
      </w:r>
      <w:r w:rsidRPr="00844A6E">
        <w:rPr>
          <w:szCs w:val="22"/>
          <w:lang w:bidi="fa-IR"/>
        </w:rPr>
        <w:noBreakHyphen/>
        <w:t>level CBA for Stringency Level 3 for the large office building archetypes (C5OL) for the climate zone that contains the capital city in each state is shown in table </w:t>
      </w:r>
      <w:r>
        <w:rPr>
          <w:szCs w:val="22"/>
          <w:lang w:bidi="fa-IR"/>
        </w:rPr>
        <w:fldChar w:fldCharType="begin"/>
      </w:r>
      <w:r>
        <w:rPr>
          <w:szCs w:val="22"/>
          <w:lang w:bidi="fa-IR"/>
        </w:rPr>
        <w:instrText xml:space="preserve"> REF _Caption0303 </w:instrText>
      </w:r>
      <w:r>
        <w:rPr>
          <w:szCs w:val="22"/>
          <w:lang w:bidi="fa-IR"/>
        </w:rPr>
        <w:fldChar w:fldCharType="separate"/>
      </w:r>
      <w:r w:rsidR="006E00A7">
        <w:rPr>
          <w:noProof/>
        </w:rPr>
        <w:t>6</w:t>
      </w:r>
      <w:r w:rsidR="006E00A7" w:rsidRPr="006F0F88">
        <w:rPr>
          <w:noProof/>
        </w:rPr>
        <w:t>.</w:t>
      </w:r>
      <w:r w:rsidR="006E00A7">
        <w:rPr>
          <w:noProof/>
        </w:rPr>
        <w:t>9</w:t>
      </w:r>
      <w:r>
        <w:rPr>
          <w:szCs w:val="22"/>
          <w:lang w:bidi="fa-IR"/>
        </w:rPr>
        <w:fldChar w:fldCharType="end"/>
      </w:r>
      <w:r>
        <w:rPr>
          <w:szCs w:val="22"/>
          <w:lang w:bidi="fa-IR"/>
        </w:rPr>
        <w:t>.</w:t>
      </w:r>
      <w:r w:rsidRPr="009E7643">
        <w:rPr>
          <w:rStyle w:val="FootnoteReference"/>
        </w:rPr>
        <w:footnoteReference w:id="128"/>
      </w:r>
    </w:p>
    <w:p w14:paraId="5C2EE886" w14:textId="6595A2D1" w:rsidR="006E5BA6" w:rsidRPr="006F0F88" w:rsidRDefault="006E5BA6" w:rsidP="006E5BA6">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E136D5">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136D5">
          <w:rPr>
            <w:noProof/>
          </w:rPr>
          <w:instrText>6</w:instrText>
        </w:r>
      </w:fldSimple>
      <w:r w:rsidRPr="006F0F88">
        <w:instrText xml:space="preserve"> = 0 "" "</w:instrText>
      </w:r>
      <w:fldSimple w:instr=" STYLEREF &quot;Heading 1&quot; \l \n ">
        <w:r w:rsidR="00E136D5">
          <w:rPr>
            <w:noProof/>
          </w:rPr>
          <w:instrText>6</w:instrText>
        </w:r>
      </w:fldSimple>
      <w:r w:rsidRPr="006F0F88">
        <w:instrText xml:space="preserve">." </w:instrText>
      </w:r>
      <w:r w:rsidRPr="006F0F88">
        <w:fldChar w:fldCharType="separate"/>
      </w:r>
      <w:r w:rsidR="00E136D5">
        <w:rPr>
          <w:noProof/>
        </w:rPr>
        <w:instrText>6</w:instrText>
      </w:r>
      <w:r w:rsidR="00E136D5" w:rsidRPr="006F0F88">
        <w:rPr>
          <w:noProof/>
        </w:rPr>
        <w:instrText>.</w:instrText>
      </w:r>
      <w:r w:rsidRPr="006F0F88">
        <w:fldChar w:fldCharType="end"/>
      </w:r>
      <w:r w:rsidRPr="006F0F88">
        <w:instrText>" "</w:instrText>
      </w:r>
      <w:fldSimple w:instr=" STYLEREF &quot;Heading 6&quot; \l \n ">
        <w:r w:rsidRPr="006F0F88">
          <w:instrText>G</w:instrText>
        </w:r>
      </w:fldSimple>
      <w:r w:rsidRPr="006F0F88">
        <w:instrText xml:space="preserve">." </w:instrText>
      </w:r>
      <w:r w:rsidRPr="006F0F88">
        <w:fldChar w:fldCharType="separate"/>
      </w:r>
      <w:r w:rsidR="008C60A3">
        <w:rPr>
          <w:noProof/>
        </w:rPr>
        <w:instrText>6</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E136D5">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136D5">
          <w:rPr>
            <w:noProof/>
          </w:rPr>
          <w:instrText>6</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E136D5">
        <w:rPr>
          <w:noProof/>
        </w:rPr>
        <w:instrText>9</w:instrText>
      </w:r>
      <w:r w:rsidRPr="006F0F88">
        <w:fldChar w:fldCharType="end"/>
      </w:r>
      <w:r w:rsidRPr="006F0F88">
        <w:instrText xml:space="preserve">" "" </w:instrText>
      </w:r>
      <w:r w:rsidRPr="006F0F88">
        <w:fldChar w:fldCharType="separate"/>
      </w:r>
      <w:bookmarkStart w:id="2386" w:name="_Caption2554"/>
      <w:bookmarkStart w:id="2387" w:name="_Caption7159"/>
      <w:bookmarkStart w:id="2388" w:name="_Caption9280"/>
      <w:bookmarkStart w:id="2389" w:name="_Caption1787"/>
      <w:bookmarkStart w:id="2390" w:name="_Caption2310"/>
      <w:bookmarkStart w:id="2391" w:name="_Caption3683"/>
      <w:bookmarkStart w:id="2392" w:name="_Caption5057"/>
      <w:bookmarkStart w:id="2393" w:name="_Caption1999"/>
      <w:bookmarkStart w:id="2394" w:name="_Caption1593"/>
      <w:bookmarkStart w:id="2395" w:name="_Caption1828"/>
      <w:bookmarkStart w:id="2396" w:name="_Caption2493"/>
      <w:bookmarkStart w:id="2397" w:name="_Caption8397"/>
      <w:bookmarkStart w:id="2398" w:name="_Caption7408"/>
      <w:bookmarkStart w:id="2399" w:name="_Caption4061"/>
      <w:bookmarkStart w:id="2400" w:name="_Caption5276"/>
      <w:bookmarkStart w:id="2401" w:name="_Caption0425"/>
      <w:bookmarkStart w:id="2402" w:name="_Caption4249"/>
      <w:bookmarkStart w:id="2403" w:name="_Caption9869"/>
      <w:bookmarkStart w:id="2404" w:name="_Caption8514"/>
      <w:bookmarkStart w:id="2405" w:name="_Caption5922"/>
      <w:bookmarkStart w:id="2406" w:name="_Caption0839"/>
      <w:bookmarkStart w:id="2407" w:name="_Caption4381"/>
      <w:bookmarkStart w:id="2408" w:name="_Caption8422"/>
      <w:bookmarkStart w:id="2409" w:name="_Caption2253"/>
      <w:bookmarkStart w:id="2410" w:name="_Caption7566"/>
      <w:bookmarkStart w:id="2411" w:name="_Caption7705"/>
      <w:bookmarkStart w:id="2412" w:name="_Caption8337"/>
      <w:bookmarkStart w:id="2413" w:name="_Caption9490"/>
      <w:bookmarkStart w:id="2414" w:name="_Caption8973"/>
      <w:bookmarkStart w:id="2415" w:name="_Caption4594"/>
      <w:bookmarkStart w:id="2416" w:name="_Caption6194"/>
      <w:bookmarkStart w:id="2417" w:name="_Caption1575"/>
      <w:bookmarkStart w:id="2418" w:name="_Caption4150"/>
      <w:bookmarkStart w:id="2419" w:name="_Caption7744"/>
      <w:bookmarkStart w:id="2420" w:name="_Caption4725"/>
      <w:bookmarkStart w:id="2421" w:name="_Caption5100"/>
      <w:bookmarkStart w:id="2422" w:name="_Caption5051"/>
      <w:bookmarkStart w:id="2423" w:name="_Caption1577"/>
      <w:bookmarkStart w:id="2424" w:name="_Caption0303"/>
      <w:bookmarkStart w:id="2425" w:name="_Caption6565"/>
      <w:bookmarkStart w:id="2426" w:name="_Caption8464"/>
      <w:bookmarkStart w:id="2427" w:name="_Caption3715"/>
      <w:bookmarkStart w:id="2428" w:name="_Caption7640"/>
      <w:bookmarkStart w:id="2429" w:name="_Caption5852"/>
      <w:bookmarkStart w:id="2430" w:name="_Caption4456"/>
      <w:bookmarkStart w:id="2431" w:name="_Caption7138"/>
      <w:bookmarkStart w:id="2432" w:name="_Caption8134"/>
      <w:bookmarkStart w:id="2433" w:name="_Caption8284"/>
      <w:bookmarkStart w:id="2434" w:name="_Caption3796"/>
      <w:bookmarkStart w:id="2435" w:name="_Caption4119"/>
      <w:bookmarkStart w:id="2436" w:name="_Caption1318"/>
      <w:bookmarkStart w:id="2437" w:name="_Caption0925"/>
      <w:bookmarkStart w:id="2438" w:name="_Caption5660"/>
      <w:bookmarkStart w:id="2439" w:name="_Caption7539"/>
      <w:bookmarkStart w:id="2440" w:name="_Caption9154"/>
      <w:bookmarkStart w:id="2441" w:name="_Caption4272"/>
      <w:bookmarkStart w:id="2442" w:name="_Caption8695"/>
      <w:bookmarkStart w:id="2443" w:name="_Caption7975"/>
      <w:bookmarkStart w:id="2444" w:name="_Caption4922"/>
      <w:bookmarkStart w:id="2445" w:name="_Caption1081"/>
      <w:bookmarkStart w:id="2446" w:name="_Caption5855"/>
      <w:bookmarkStart w:id="2447" w:name="_Caption1751"/>
      <w:bookmarkStart w:id="2448" w:name="_Caption0676"/>
      <w:bookmarkStart w:id="2449" w:name="_Caption2502"/>
      <w:bookmarkStart w:id="2450" w:name="_Caption8180"/>
      <w:bookmarkStart w:id="2451" w:name="_Caption8288"/>
      <w:bookmarkStart w:id="2452" w:name="_Caption4355"/>
      <w:bookmarkStart w:id="2453" w:name="_Caption9895"/>
      <w:bookmarkStart w:id="2454" w:name="_Caption4727"/>
      <w:bookmarkStart w:id="2455" w:name="_Caption7219"/>
      <w:bookmarkStart w:id="2456" w:name="_Caption6390"/>
      <w:bookmarkStart w:id="2457" w:name="_Caption3656"/>
      <w:bookmarkStart w:id="2458" w:name="_Caption0420"/>
      <w:bookmarkStart w:id="2459" w:name="_Caption2134"/>
      <w:bookmarkStart w:id="2460" w:name="_Caption6774"/>
      <w:bookmarkStart w:id="2461" w:name="_Caption0598"/>
      <w:bookmarkStart w:id="2462" w:name="_Toc177735166"/>
      <w:bookmarkStart w:id="2463" w:name="_Toc178292596"/>
      <w:r w:rsidR="008C60A3">
        <w:rPr>
          <w:noProof/>
        </w:rPr>
        <w:t>6</w:t>
      </w:r>
      <w:r w:rsidR="008C60A3" w:rsidRPr="006F0F88">
        <w:rPr>
          <w:noProof/>
        </w:rPr>
        <w:t>.</w:t>
      </w:r>
      <w:r w:rsidR="008C60A3">
        <w:rPr>
          <w:noProof/>
        </w:rPr>
        <w:t>9</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r w:rsidRPr="006F0F88">
        <w:fldChar w:fldCharType="end"/>
      </w:r>
      <w:r w:rsidRPr="006F0F88">
        <w:tab/>
        <w:t>Stringency Level 3 estimated costs and benefits — C5OL</w:t>
      </w:r>
      <w:bookmarkEnd w:id="2462"/>
      <w:bookmarkEnd w:id="2463"/>
    </w:p>
    <w:tbl>
      <w:tblPr>
        <w:tblW w:w="7936" w:type="dxa"/>
        <w:tblLayout w:type="fixed"/>
        <w:tblLook w:val="0000" w:firstRow="0" w:lastRow="0" w:firstColumn="0" w:lastColumn="0" w:noHBand="0" w:noVBand="0"/>
        <w:tblCaption w:val="Table 5.8"/>
        <w:tblDescription w:val="Stringency Level 3 estimated costs and benefits — C5OL"/>
      </w:tblPr>
      <w:tblGrid>
        <w:gridCol w:w="2968"/>
        <w:gridCol w:w="653"/>
        <w:gridCol w:w="653"/>
        <w:gridCol w:w="600"/>
        <w:gridCol w:w="612"/>
        <w:gridCol w:w="613"/>
        <w:gridCol w:w="613"/>
        <w:gridCol w:w="612"/>
        <w:gridCol w:w="612"/>
      </w:tblGrid>
      <w:tr w:rsidR="006E5BA6" w14:paraId="3F1FBB24" w14:textId="77777777" w:rsidTr="00EF370E">
        <w:trPr>
          <w:trHeight w:val="245"/>
          <w:tblHeader/>
        </w:trPr>
        <w:tc>
          <w:tcPr>
            <w:tcW w:w="2968" w:type="dxa"/>
            <w:shd w:val="clear" w:color="auto" w:fill="6F6652"/>
            <w:tcMar>
              <w:left w:w="57" w:type="dxa"/>
              <w:right w:w="57" w:type="dxa"/>
            </w:tcMar>
          </w:tcPr>
          <w:p w14:paraId="0E9B4DAD" w14:textId="77777777" w:rsidR="006E5BA6" w:rsidRDefault="006E5BA6">
            <w:pPr>
              <w:pStyle w:val="TableDataColumnHeading"/>
              <w:jc w:val="left"/>
            </w:pPr>
            <w:r>
              <w:t>Impact</w:t>
            </w:r>
          </w:p>
        </w:tc>
        <w:tc>
          <w:tcPr>
            <w:tcW w:w="653" w:type="dxa"/>
            <w:shd w:val="clear" w:color="auto" w:fill="6F6652"/>
            <w:tcMar>
              <w:left w:w="57" w:type="dxa"/>
              <w:right w:w="57" w:type="dxa"/>
            </w:tcMar>
          </w:tcPr>
          <w:p w14:paraId="76FF9606" w14:textId="77777777" w:rsidR="006E5BA6" w:rsidRDefault="006E5BA6">
            <w:pPr>
              <w:pStyle w:val="TableDataColumnHeading"/>
            </w:pPr>
            <w:r>
              <w:t>NSW (CZ5)</w:t>
            </w:r>
          </w:p>
          <w:p w14:paraId="462B5C84" w14:textId="77777777" w:rsidR="006E5BA6" w:rsidRDefault="006E5BA6">
            <w:pPr>
              <w:pStyle w:val="TableDataColumnHeading"/>
            </w:pPr>
            <w:r>
              <w:t>$ per m</w:t>
            </w:r>
            <w:r w:rsidRPr="005347E2">
              <w:rPr>
                <w:vertAlign w:val="superscript"/>
              </w:rPr>
              <w:t>2</w:t>
            </w:r>
          </w:p>
        </w:tc>
        <w:tc>
          <w:tcPr>
            <w:tcW w:w="653" w:type="dxa"/>
            <w:shd w:val="clear" w:color="auto" w:fill="6F6652"/>
            <w:tcMar>
              <w:left w:w="57" w:type="dxa"/>
              <w:right w:w="57" w:type="dxa"/>
            </w:tcMar>
          </w:tcPr>
          <w:p w14:paraId="08890302" w14:textId="77777777" w:rsidR="006E5BA6" w:rsidRDefault="006E5BA6">
            <w:pPr>
              <w:pStyle w:val="TableDataColumnHeading"/>
            </w:pPr>
            <w:r>
              <w:t>VIC (CZ6)</w:t>
            </w:r>
          </w:p>
          <w:p w14:paraId="0B45090B" w14:textId="77777777" w:rsidR="006E5BA6" w:rsidRDefault="006E5BA6">
            <w:pPr>
              <w:pStyle w:val="TableDataColumnHeading"/>
            </w:pPr>
            <w:r>
              <w:t>$ per m</w:t>
            </w:r>
            <w:r w:rsidRPr="005347E2">
              <w:rPr>
                <w:vertAlign w:val="superscript"/>
              </w:rPr>
              <w:t>2</w:t>
            </w:r>
          </w:p>
        </w:tc>
        <w:tc>
          <w:tcPr>
            <w:tcW w:w="600" w:type="dxa"/>
            <w:shd w:val="clear" w:color="auto" w:fill="6F6652"/>
            <w:tcMar>
              <w:left w:w="57" w:type="dxa"/>
              <w:right w:w="57" w:type="dxa"/>
            </w:tcMar>
          </w:tcPr>
          <w:p w14:paraId="7278B001" w14:textId="77777777" w:rsidR="006E5BA6" w:rsidRDefault="006E5BA6">
            <w:pPr>
              <w:pStyle w:val="TableDataColumnHeading"/>
            </w:pPr>
            <w:r>
              <w:t>QLD (CZ2)</w:t>
            </w:r>
          </w:p>
          <w:p w14:paraId="1B04FB5F" w14:textId="77777777" w:rsidR="006E5BA6" w:rsidRDefault="006E5BA6">
            <w:pPr>
              <w:pStyle w:val="TableDataColumnHeading"/>
            </w:pPr>
            <w:r>
              <w:t>$ per m</w:t>
            </w:r>
            <w:r w:rsidRPr="005347E2">
              <w:rPr>
                <w:vertAlign w:val="superscript"/>
              </w:rPr>
              <w:t>2</w:t>
            </w:r>
          </w:p>
        </w:tc>
        <w:tc>
          <w:tcPr>
            <w:tcW w:w="612" w:type="dxa"/>
            <w:shd w:val="clear" w:color="auto" w:fill="6F6652"/>
            <w:tcMar>
              <w:left w:w="57" w:type="dxa"/>
              <w:right w:w="57" w:type="dxa"/>
            </w:tcMar>
          </w:tcPr>
          <w:p w14:paraId="292C194B" w14:textId="77777777" w:rsidR="006E5BA6" w:rsidRDefault="006E5BA6">
            <w:pPr>
              <w:pStyle w:val="TableDataColumnHeading"/>
            </w:pPr>
            <w:r>
              <w:t>WA (CZ5)</w:t>
            </w:r>
          </w:p>
          <w:p w14:paraId="1BD32B6A" w14:textId="77777777" w:rsidR="006E5BA6" w:rsidRDefault="006E5BA6">
            <w:pPr>
              <w:pStyle w:val="TableDataColumnHeading"/>
            </w:pPr>
            <w:r>
              <w:t>$ per m</w:t>
            </w:r>
            <w:r w:rsidRPr="005347E2">
              <w:rPr>
                <w:vertAlign w:val="superscript"/>
              </w:rPr>
              <w:t>2</w:t>
            </w:r>
          </w:p>
        </w:tc>
        <w:tc>
          <w:tcPr>
            <w:tcW w:w="613" w:type="dxa"/>
            <w:shd w:val="clear" w:color="auto" w:fill="6F6652"/>
            <w:tcMar>
              <w:left w:w="57" w:type="dxa"/>
              <w:right w:w="57" w:type="dxa"/>
            </w:tcMar>
          </w:tcPr>
          <w:p w14:paraId="0F353AD5" w14:textId="77777777" w:rsidR="006E5BA6" w:rsidRDefault="006E5BA6">
            <w:pPr>
              <w:pStyle w:val="TableDataColumnHeading"/>
            </w:pPr>
            <w:r>
              <w:t>SA (CZ5)</w:t>
            </w:r>
          </w:p>
          <w:p w14:paraId="081EAF23" w14:textId="77777777" w:rsidR="006E5BA6" w:rsidRDefault="006E5BA6">
            <w:pPr>
              <w:pStyle w:val="TableDataColumnHeading"/>
            </w:pPr>
            <w:r>
              <w:t>$ per m</w:t>
            </w:r>
            <w:r w:rsidRPr="005347E2">
              <w:rPr>
                <w:vertAlign w:val="superscript"/>
              </w:rPr>
              <w:t>2</w:t>
            </w:r>
          </w:p>
        </w:tc>
        <w:tc>
          <w:tcPr>
            <w:tcW w:w="613" w:type="dxa"/>
            <w:shd w:val="clear" w:color="auto" w:fill="6F6652"/>
            <w:tcMar>
              <w:left w:w="57" w:type="dxa"/>
              <w:right w:w="57" w:type="dxa"/>
            </w:tcMar>
          </w:tcPr>
          <w:p w14:paraId="1C317635" w14:textId="77777777" w:rsidR="006E5BA6" w:rsidRDefault="006E5BA6">
            <w:pPr>
              <w:pStyle w:val="TableDataColumnHeading"/>
            </w:pPr>
            <w:r>
              <w:t>TAS (CZ7)</w:t>
            </w:r>
          </w:p>
          <w:p w14:paraId="30909457" w14:textId="77777777" w:rsidR="006E5BA6" w:rsidRDefault="006E5BA6">
            <w:pPr>
              <w:pStyle w:val="TableDataColumnHeading"/>
            </w:pPr>
            <w:r>
              <w:t>$ per m</w:t>
            </w:r>
            <w:r w:rsidRPr="005347E2">
              <w:rPr>
                <w:vertAlign w:val="superscript"/>
              </w:rPr>
              <w:t>2</w:t>
            </w:r>
          </w:p>
        </w:tc>
        <w:tc>
          <w:tcPr>
            <w:tcW w:w="612" w:type="dxa"/>
            <w:shd w:val="clear" w:color="auto" w:fill="6F6652"/>
            <w:tcMar>
              <w:left w:w="57" w:type="dxa"/>
              <w:right w:w="57" w:type="dxa"/>
            </w:tcMar>
          </w:tcPr>
          <w:p w14:paraId="35979337" w14:textId="77777777" w:rsidR="006E5BA6" w:rsidRDefault="006E5BA6">
            <w:pPr>
              <w:pStyle w:val="TableDataColumnHeading"/>
            </w:pPr>
            <w:r>
              <w:t>ACT (CZ7)</w:t>
            </w:r>
          </w:p>
          <w:p w14:paraId="12F77502" w14:textId="77777777" w:rsidR="006E5BA6" w:rsidRDefault="006E5BA6">
            <w:pPr>
              <w:pStyle w:val="TableDataColumnHeading"/>
            </w:pPr>
            <w:r>
              <w:t>$ per m</w:t>
            </w:r>
            <w:r w:rsidRPr="005347E2">
              <w:rPr>
                <w:vertAlign w:val="superscript"/>
              </w:rPr>
              <w:t>2</w:t>
            </w:r>
          </w:p>
        </w:tc>
        <w:tc>
          <w:tcPr>
            <w:tcW w:w="612" w:type="dxa"/>
            <w:shd w:val="clear" w:color="auto" w:fill="6F6652"/>
            <w:tcMar>
              <w:left w:w="57" w:type="dxa"/>
              <w:right w:w="57" w:type="dxa"/>
            </w:tcMar>
          </w:tcPr>
          <w:p w14:paraId="3A5080E7" w14:textId="77777777" w:rsidR="006E5BA6" w:rsidRDefault="006E5BA6">
            <w:pPr>
              <w:pStyle w:val="TableDataColumnHeading"/>
            </w:pPr>
            <w:r>
              <w:t>NT (CZ1)</w:t>
            </w:r>
          </w:p>
          <w:p w14:paraId="3D6DFA15" w14:textId="77777777" w:rsidR="006E5BA6" w:rsidRDefault="006E5BA6">
            <w:pPr>
              <w:pStyle w:val="TableDataColumnHeading"/>
            </w:pPr>
            <w:r>
              <w:t>$ per m</w:t>
            </w:r>
            <w:r w:rsidRPr="005347E2">
              <w:rPr>
                <w:vertAlign w:val="superscript"/>
              </w:rPr>
              <w:t>2</w:t>
            </w:r>
          </w:p>
        </w:tc>
      </w:tr>
      <w:tr w:rsidR="006E5BA6" w14:paraId="7A02612B" w14:textId="77777777" w:rsidTr="00EF370E">
        <w:trPr>
          <w:trHeight w:val="245"/>
        </w:trPr>
        <w:tc>
          <w:tcPr>
            <w:tcW w:w="29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5B20CE" w14:textId="77777777" w:rsidR="006E5BA6" w:rsidRDefault="006E5BA6">
            <w:pPr>
              <w:pStyle w:val="TableDataEntries"/>
              <w:jc w:val="left"/>
            </w:pPr>
            <w:r>
              <w:t>Change in network electricity capacity costs</w:t>
            </w:r>
          </w:p>
        </w:tc>
        <w:tc>
          <w:tcPr>
            <w:tcW w:w="6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0658AD" w14:textId="550F1A4C" w:rsidR="006E5BA6" w:rsidRDefault="00177699">
            <w:pPr>
              <w:pStyle w:val="TableDataEntries"/>
            </w:pPr>
            <w:r w:rsidRPr="00EF7687">
              <w:t>6.92</w:t>
            </w:r>
          </w:p>
        </w:tc>
        <w:tc>
          <w:tcPr>
            <w:tcW w:w="6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84B685" w14:textId="63BF4127" w:rsidR="006E5BA6" w:rsidRDefault="006E5BA6">
            <w:pPr>
              <w:pStyle w:val="TableDataEntries"/>
            </w:pPr>
            <w:r w:rsidRPr="00C02F82">
              <w:t>-1.</w:t>
            </w:r>
            <w:r w:rsidR="00177699" w:rsidRPr="00EF7687">
              <w:t>85</w:t>
            </w:r>
          </w:p>
        </w:tc>
        <w:tc>
          <w:tcPr>
            <w:tcW w:w="60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5AE5B4" w14:textId="3A5F51EB" w:rsidR="006E5BA6" w:rsidRDefault="006E5BA6">
            <w:pPr>
              <w:pStyle w:val="TableDataEntries"/>
            </w:pPr>
            <w:r w:rsidRPr="00C02F82">
              <w:t>8.</w:t>
            </w:r>
            <w:r w:rsidR="00177699" w:rsidRPr="00EF7687">
              <w:t>35</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C2B1EFB" w14:textId="3D5C15D4" w:rsidR="006E5BA6" w:rsidRDefault="006E5BA6">
            <w:pPr>
              <w:pStyle w:val="TableDataEntries"/>
            </w:pPr>
            <w:r w:rsidRPr="00C02F82">
              <w:t>1.</w:t>
            </w:r>
            <w:r w:rsidR="00177699" w:rsidRPr="00EF7687">
              <w:t>67</w:t>
            </w:r>
          </w:p>
        </w:tc>
        <w:tc>
          <w:tcPr>
            <w:tcW w:w="61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504EEF" w14:textId="6DA4863A" w:rsidR="006E5BA6" w:rsidRDefault="006E5BA6">
            <w:pPr>
              <w:pStyle w:val="TableDataEntries"/>
            </w:pPr>
            <w:r w:rsidRPr="00C02F82">
              <w:t>4.</w:t>
            </w:r>
            <w:r w:rsidR="00177699" w:rsidRPr="00EF7687">
              <w:t>05</w:t>
            </w:r>
          </w:p>
        </w:tc>
        <w:tc>
          <w:tcPr>
            <w:tcW w:w="61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CF1192A" w14:textId="314892F4" w:rsidR="006E5BA6" w:rsidRDefault="006E5BA6">
            <w:pPr>
              <w:pStyle w:val="TableDataEntries"/>
            </w:pPr>
            <w:r w:rsidRPr="00C02F82">
              <w:t>-</w:t>
            </w:r>
            <w:r w:rsidR="00177699" w:rsidRPr="00EF7687">
              <w:t>37</w:t>
            </w:r>
            <w:r w:rsidRPr="00C02F82">
              <w:t>.77</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85F4123" w14:textId="048250A5" w:rsidR="006E5BA6" w:rsidRDefault="00177699">
            <w:pPr>
              <w:pStyle w:val="TableDataEntries"/>
            </w:pPr>
            <w:r w:rsidRPr="00EF7687">
              <w:t>-16.71</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952D6AB" w14:textId="7660D6BD" w:rsidR="006E5BA6" w:rsidRDefault="006E5BA6">
            <w:pPr>
              <w:pStyle w:val="TableDataEntries"/>
            </w:pPr>
            <w:r w:rsidRPr="00C02F82">
              <w:t>6.</w:t>
            </w:r>
            <w:r w:rsidR="00177699" w:rsidRPr="00EF7687">
              <w:t>66</w:t>
            </w:r>
          </w:p>
        </w:tc>
      </w:tr>
      <w:tr w:rsidR="006E5BA6" w14:paraId="0B478C43" w14:textId="77777777" w:rsidTr="00EF370E">
        <w:trPr>
          <w:trHeight w:val="245"/>
        </w:trPr>
        <w:tc>
          <w:tcPr>
            <w:tcW w:w="29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56A2FC" w14:textId="77777777" w:rsidR="006E5BA6" w:rsidRDefault="006E5BA6">
            <w:pPr>
              <w:pStyle w:val="TableDataEntries"/>
              <w:jc w:val="left"/>
            </w:pPr>
            <w:r>
              <w:t>Change in electricity generation costs</w:t>
            </w:r>
          </w:p>
        </w:tc>
        <w:tc>
          <w:tcPr>
            <w:tcW w:w="6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B77AD5" w14:textId="31AB4AC4" w:rsidR="006E5BA6" w:rsidRDefault="00177699">
            <w:pPr>
              <w:pStyle w:val="TableDataEntries"/>
            </w:pPr>
            <w:r w:rsidRPr="00EF7687">
              <w:t>11.79</w:t>
            </w:r>
          </w:p>
        </w:tc>
        <w:tc>
          <w:tcPr>
            <w:tcW w:w="6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FF01CB1" w14:textId="665F64AB" w:rsidR="006E5BA6" w:rsidRDefault="00177699">
            <w:pPr>
              <w:pStyle w:val="TableDataEntries"/>
            </w:pPr>
            <w:r w:rsidRPr="00EF7687">
              <w:t>3.99</w:t>
            </w:r>
          </w:p>
        </w:tc>
        <w:tc>
          <w:tcPr>
            <w:tcW w:w="60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9896793" w14:textId="1D16ABC7" w:rsidR="006E5BA6" w:rsidRDefault="00177699">
            <w:pPr>
              <w:pStyle w:val="TableDataEntries"/>
            </w:pPr>
            <w:r w:rsidRPr="00EF7687">
              <w:t>13.80</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75751DD" w14:textId="70FE6FE4" w:rsidR="006E5BA6" w:rsidRDefault="006E5BA6">
            <w:pPr>
              <w:pStyle w:val="TableDataEntries"/>
            </w:pPr>
            <w:r w:rsidRPr="00C02F82">
              <w:t>7.</w:t>
            </w:r>
            <w:r w:rsidR="00177699" w:rsidRPr="00EF7687">
              <w:t>27</w:t>
            </w:r>
          </w:p>
        </w:tc>
        <w:tc>
          <w:tcPr>
            <w:tcW w:w="61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EC4E7F" w14:textId="5B761439" w:rsidR="006E5BA6" w:rsidRDefault="00177699">
            <w:pPr>
              <w:pStyle w:val="TableDataEntries"/>
            </w:pPr>
            <w:r w:rsidRPr="00EF7687">
              <w:t>6.65</w:t>
            </w:r>
          </w:p>
        </w:tc>
        <w:tc>
          <w:tcPr>
            <w:tcW w:w="61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8C355A" w14:textId="07EB0C84" w:rsidR="006E5BA6" w:rsidRDefault="00177699">
            <w:pPr>
              <w:pStyle w:val="TableDataEntries"/>
            </w:pPr>
            <w:r w:rsidRPr="00EF7687">
              <w:t>-2.62</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4E7A804" w14:textId="7D7752E7" w:rsidR="006E5BA6" w:rsidRDefault="00177699">
            <w:pPr>
              <w:pStyle w:val="TableDataEntries"/>
            </w:pPr>
            <w:r w:rsidRPr="00EF7687">
              <w:t>-1.61</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259811" w14:textId="54B502E3" w:rsidR="006E5BA6" w:rsidRDefault="00177699">
            <w:pPr>
              <w:pStyle w:val="TableDataEntries"/>
            </w:pPr>
            <w:r w:rsidRPr="00EF7687">
              <w:t>27.79</w:t>
            </w:r>
          </w:p>
        </w:tc>
      </w:tr>
      <w:tr w:rsidR="006E5BA6" w14:paraId="56EC402D" w14:textId="77777777" w:rsidTr="00EF370E">
        <w:trPr>
          <w:trHeight w:val="245"/>
        </w:trPr>
        <w:tc>
          <w:tcPr>
            <w:tcW w:w="29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DC8FC6" w14:textId="77777777" w:rsidR="006E5BA6" w:rsidRDefault="006E5BA6">
            <w:pPr>
              <w:pStyle w:val="TableDataEntries"/>
              <w:jc w:val="left"/>
            </w:pPr>
            <w:r>
              <w:t>Change in electricity network usage costs</w:t>
            </w:r>
          </w:p>
        </w:tc>
        <w:tc>
          <w:tcPr>
            <w:tcW w:w="6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8489ED" w14:textId="14ED8004" w:rsidR="006E5BA6" w:rsidRDefault="00177699">
            <w:pPr>
              <w:pStyle w:val="TableDataEntries"/>
            </w:pPr>
            <w:r w:rsidRPr="00EF7687">
              <w:t>7.65</w:t>
            </w:r>
          </w:p>
        </w:tc>
        <w:tc>
          <w:tcPr>
            <w:tcW w:w="6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AC319F" w14:textId="308E1DE2" w:rsidR="006E5BA6" w:rsidRDefault="006E5BA6">
            <w:pPr>
              <w:pStyle w:val="TableDataEntries"/>
            </w:pPr>
            <w:r w:rsidRPr="00C02F82">
              <w:t>6.</w:t>
            </w:r>
            <w:r w:rsidR="00177699" w:rsidRPr="00EF7687">
              <w:t>07</w:t>
            </w:r>
          </w:p>
        </w:tc>
        <w:tc>
          <w:tcPr>
            <w:tcW w:w="60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5F88997" w14:textId="139FA549" w:rsidR="006E5BA6" w:rsidRDefault="006E5BA6">
            <w:pPr>
              <w:pStyle w:val="TableDataEntries"/>
            </w:pPr>
            <w:r w:rsidRPr="00C02F82">
              <w:t>9.</w:t>
            </w:r>
            <w:r w:rsidR="00177699" w:rsidRPr="00EF7687">
              <w:t>33</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AC31DC0" w14:textId="5483D38D" w:rsidR="006E5BA6" w:rsidRDefault="00177699">
            <w:pPr>
              <w:pStyle w:val="TableDataEntries"/>
            </w:pPr>
            <w:r w:rsidRPr="00EF7687">
              <w:t>19.25</w:t>
            </w:r>
          </w:p>
        </w:tc>
        <w:tc>
          <w:tcPr>
            <w:tcW w:w="61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A593BEC" w14:textId="1CFC90F8" w:rsidR="006E5BA6" w:rsidRDefault="00177699">
            <w:pPr>
              <w:pStyle w:val="TableDataEntries"/>
            </w:pPr>
            <w:r w:rsidRPr="00EF7687">
              <w:t>21.41</w:t>
            </w:r>
          </w:p>
        </w:tc>
        <w:tc>
          <w:tcPr>
            <w:tcW w:w="61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C5C992A" w14:textId="0EE126BA" w:rsidR="006E5BA6" w:rsidRDefault="00177699">
            <w:pPr>
              <w:pStyle w:val="TableDataEntries"/>
            </w:pPr>
            <w:r w:rsidRPr="00EF7687">
              <w:t>-0.91</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6C9E39" w14:textId="41F9C971" w:rsidR="006E5BA6" w:rsidRDefault="00177699">
            <w:pPr>
              <w:pStyle w:val="TableDataEntries"/>
            </w:pPr>
            <w:r w:rsidRPr="00EF7687">
              <w:t>-</w:t>
            </w:r>
            <w:r w:rsidR="006E5BA6" w:rsidRPr="00C02F82">
              <w:t>0.</w:t>
            </w:r>
            <w:r w:rsidRPr="00EF7687">
              <w:t>84</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CFED2DC" w14:textId="1067DC28" w:rsidR="006E5BA6" w:rsidRDefault="006E5BA6">
            <w:pPr>
              <w:pStyle w:val="TableDataEntries"/>
            </w:pPr>
            <w:r w:rsidRPr="00C02F82">
              <w:t>13.</w:t>
            </w:r>
            <w:r w:rsidR="00177699" w:rsidRPr="00EF7687">
              <w:t>66</w:t>
            </w:r>
          </w:p>
        </w:tc>
      </w:tr>
      <w:tr w:rsidR="006E5BA6" w14:paraId="11F94C06" w14:textId="77777777" w:rsidTr="00EF370E">
        <w:trPr>
          <w:trHeight w:val="245"/>
        </w:trPr>
        <w:tc>
          <w:tcPr>
            <w:tcW w:w="29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066DABC" w14:textId="77777777" w:rsidR="006E5BA6" w:rsidRDefault="006E5BA6">
            <w:pPr>
              <w:pStyle w:val="TableDataEntries"/>
              <w:jc w:val="left"/>
            </w:pPr>
            <w:r>
              <w:t>Change in electricity retail costs</w:t>
            </w:r>
          </w:p>
        </w:tc>
        <w:tc>
          <w:tcPr>
            <w:tcW w:w="6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4E236B6" w14:textId="69D9C8CB" w:rsidR="006E5BA6" w:rsidRDefault="00177699">
            <w:pPr>
              <w:pStyle w:val="TableDataEntries"/>
            </w:pPr>
            <w:r w:rsidRPr="00EF7687">
              <w:t>3.95</w:t>
            </w:r>
          </w:p>
        </w:tc>
        <w:tc>
          <w:tcPr>
            <w:tcW w:w="6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59CAD8" w14:textId="066E3AC0" w:rsidR="006E5BA6" w:rsidRDefault="006E5BA6">
            <w:pPr>
              <w:pStyle w:val="TableDataEntries"/>
            </w:pPr>
            <w:r w:rsidRPr="00C02F82">
              <w:t>1.</w:t>
            </w:r>
            <w:r w:rsidR="00177699" w:rsidRPr="00EF7687">
              <w:t>23</w:t>
            </w:r>
          </w:p>
        </w:tc>
        <w:tc>
          <w:tcPr>
            <w:tcW w:w="60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0C79B6E" w14:textId="530FD209" w:rsidR="006E5BA6" w:rsidRDefault="006E5BA6">
            <w:pPr>
              <w:pStyle w:val="TableDataEntries"/>
            </w:pPr>
            <w:r w:rsidRPr="00C02F82">
              <w:t>4.</w:t>
            </w:r>
            <w:r w:rsidR="00177699" w:rsidRPr="00EF7687">
              <w:t>72</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4A2B86F" w14:textId="2143CA30" w:rsidR="006E5BA6" w:rsidRDefault="006E5BA6">
            <w:pPr>
              <w:pStyle w:val="TableDataEntries"/>
            </w:pPr>
            <w:r w:rsidRPr="00C02F82">
              <w:t>4.</w:t>
            </w:r>
            <w:r w:rsidR="00177699" w:rsidRPr="00EF7687">
              <w:t>23</w:t>
            </w:r>
          </w:p>
        </w:tc>
        <w:tc>
          <w:tcPr>
            <w:tcW w:w="61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18A3C43" w14:textId="46C2837D" w:rsidR="006E5BA6" w:rsidRDefault="00177699">
            <w:pPr>
              <w:pStyle w:val="TableDataEntries"/>
            </w:pPr>
            <w:r w:rsidRPr="00EF7687">
              <w:t>4.82</w:t>
            </w:r>
          </w:p>
        </w:tc>
        <w:tc>
          <w:tcPr>
            <w:tcW w:w="61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F36AA2F" w14:textId="0C4B62DB" w:rsidR="006E5BA6" w:rsidRDefault="00177699">
            <w:pPr>
              <w:pStyle w:val="TableDataEntries"/>
            </w:pPr>
            <w:r w:rsidRPr="00EF7687">
              <w:t>-6.20</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F2BB0BB" w14:textId="2A6C1C19" w:rsidR="006E5BA6" w:rsidRDefault="006E5BA6">
            <w:pPr>
              <w:pStyle w:val="TableDataEntries"/>
            </w:pPr>
            <w:r w:rsidRPr="00C02F82">
              <w:t>-2.</w:t>
            </w:r>
            <w:r w:rsidR="00177699" w:rsidRPr="00EF7687">
              <w:t>87</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27BFE3" w14:textId="65871AC1" w:rsidR="006E5BA6" w:rsidRDefault="006E5BA6">
            <w:pPr>
              <w:pStyle w:val="TableDataEntries"/>
            </w:pPr>
            <w:r w:rsidRPr="00C02F82">
              <w:t>7.</w:t>
            </w:r>
            <w:r w:rsidR="00177699" w:rsidRPr="00EF7687">
              <w:t>22</w:t>
            </w:r>
          </w:p>
        </w:tc>
      </w:tr>
      <w:tr w:rsidR="006E5BA6" w14:paraId="42DAD5B5" w14:textId="77777777" w:rsidTr="00EF370E">
        <w:trPr>
          <w:trHeight w:val="245"/>
        </w:trPr>
        <w:tc>
          <w:tcPr>
            <w:tcW w:w="29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3E62C84" w14:textId="77777777" w:rsidR="006E5BA6" w:rsidRDefault="006E5BA6">
            <w:pPr>
              <w:pStyle w:val="TableDataEntries"/>
              <w:jc w:val="left"/>
            </w:pPr>
            <w:r>
              <w:t>Value of electricity exported to the grid</w:t>
            </w:r>
          </w:p>
        </w:tc>
        <w:tc>
          <w:tcPr>
            <w:tcW w:w="6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0468F7B" w14:textId="0D6D5D6E" w:rsidR="006E5BA6" w:rsidRDefault="006E5BA6">
            <w:pPr>
              <w:pStyle w:val="TableDataEntries"/>
            </w:pPr>
            <w:r w:rsidRPr="00C02F82">
              <w:t>0.06</w:t>
            </w:r>
          </w:p>
        </w:tc>
        <w:tc>
          <w:tcPr>
            <w:tcW w:w="6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FB3F1F" w14:textId="74C5B788" w:rsidR="006E5BA6" w:rsidRDefault="006E5BA6">
            <w:pPr>
              <w:pStyle w:val="TableDataEntries"/>
            </w:pPr>
            <w:r w:rsidRPr="00C02F82">
              <w:t>0.01</w:t>
            </w:r>
          </w:p>
        </w:tc>
        <w:tc>
          <w:tcPr>
            <w:tcW w:w="60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B14F24" w14:textId="16E60DC1" w:rsidR="006E5BA6" w:rsidRDefault="006E5BA6">
            <w:pPr>
              <w:pStyle w:val="TableDataEntries"/>
            </w:pPr>
            <w:r w:rsidRPr="00C02F82">
              <w:t>0.02</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3611D7" w14:textId="2EE12A54" w:rsidR="006E5BA6" w:rsidRDefault="006E5BA6">
            <w:pPr>
              <w:pStyle w:val="TableDataEntries"/>
            </w:pPr>
            <w:r w:rsidRPr="00C02F82">
              <w:t>0.05</w:t>
            </w:r>
          </w:p>
        </w:tc>
        <w:tc>
          <w:tcPr>
            <w:tcW w:w="61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571EF3" w14:textId="1665F10B" w:rsidR="006E5BA6" w:rsidRDefault="006E5BA6">
            <w:pPr>
              <w:pStyle w:val="TableDataEntries"/>
            </w:pPr>
            <w:r w:rsidRPr="00C02F82">
              <w:t>0.01</w:t>
            </w:r>
          </w:p>
        </w:tc>
        <w:tc>
          <w:tcPr>
            <w:tcW w:w="61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4B32CF" w14:textId="3737F081" w:rsidR="006E5BA6" w:rsidRDefault="006E5BA6">
            <w:pPr>
              <w:pStyle w:val="TableDataEntries"/>
            </w:pPr>
            <w:r w:rsidRPr="00C02F82">
              <w:t>0.</w:t>
            </w:r>
            <w:r w:rsidR="00177699" w:rsidRPr="00EF7687">
              <w:t>05</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E90391" w14:textId="6FFF3CA5" w:rsidR="006E5BA6" w:rsidRDefault="006E5BA6">
            <w:pPr>
              <w:pStyle w:val="TableDataEntries"/>
            </w:pPr>
            <w:r w:rsidRPr="00C02F82">
              <w:t>0.</w:t>
            </w:r>
            <w:r w:rsidR="00177699" w:rsidRPr="00EF7687">
              <w:t>02</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23ABFBF" w14:textId="2F6F00BB" w:rsidR="006E5BA6" w:rsidRDefault="006E5BA6">
            <w:pPr>
              <w:pStyle w:val="TableDataEntries"/>
            </w:pPr>
            <w:r w:rsidRPr="00C02F82">
              <w:t>0.20</w:t>
            </w:r>
          </w:p>
        </w:tc>
      </w:tr>
      <w:tr w:rsidR="00E4433F" w14:paraId="1D078F64" w14:textId="77777777" w:rsidTr="00EF370E">
        <w:trPr>
          <w:trHeight w:val="245"/>
        </w:trPr>
        <w:tc>
          <w:tcPr>
            <w:tcW w:w="29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9C8DD88" w14:textId="784BEBE9" w:rsidR="00E4433F" w:rsidRDefault="00E4433F" w:rsidP="00E4433F">
            <w:pPr>
              <w:pStyle w:val="TableDataEntries"/>
              <w:jc w:val="left"/>
            </w:pPr>
            <w:r>
              <w:t>Electricity exports — network impacts</w:t>
            </w:r>
          </w:p>
        </w:tc>
        <w:tc>
          <w:tcPr>
            <w:tcW w:w="6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9E7855F" w14:textId="39367845" w:rsidR="00E4433F" w:rsidRPr="004D4EFF" w:rsidRDefault="00E4433F" w:rsidP="00E4433F">
            <w:pPr>
              <w:pStyle w:val="TableDataEntries"/>
            </w:pPr>
            <w:r w:rsidRPr="00EF1D41">
              <w:t>-0.02</w:t>
            </w:r>
          </w:p>
        </w:tc>
        <w:tc>
          <w:tcPr>
            <w:tcW w:w="6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1F4549F" w14:textId="0C0FF55D" w:rsidR="00E4433F" w:rsidRPr="004D4EFF" w:rsidRDefault="00E4433F" w:rsidP="00E4433F">
            <w:pPr>
              <w:pStyle w:val="TableDataEntries"/>
            </w:pPr>
            <w:r w:rsidRPr="00EF1D41">
              <w:t>-0.01</w:t>
            </w:r>
          </w:p>
        </w:tc>
        <w:tc>
          <w:tcPr>
            <w:tcW w:w="60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5F19B4" w14:textId="75DC934C" w:rsidR="00E4433F" w:rsidRPr="004D4EFF" w:rsidRDefault="00E4433F" w:rsidP="00E4433F">
            <w:pPr>
              <w:pStyle w:val="TableDataEntries"/>
            </w:pPr>
            <w:r w:rsidRPr="00EF1D41">
              <w:t>-0.01</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C69BBDF" w14:textId="223F5600" w:rsidR="00E4433F" w:rsidRPr="004D4EFF" w:rsidRDefault="00E4433F" w:rsidP="00E4433F">
            <w:pPr>
              <w:pStyle w:val="TableDataEntries"/>
            </w:pPr>
            <w:r w:rsidRPr="00EF1D41">
              <w:t>-0.02</w:t>
            </w:r>
          </w:p>
        </w:tc>
        <w:tc>
          <w:tcPr>
            <w:tcW w:w="61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F5954AA" w14:textId="2407AA28" w:rsidR="00E4433F" w:rsidRPr="004D4EFF" w:rsidRDefault="00E4433F" w:rsidP="00E4433F">
            <w:pPr>
              <w:pStyle w:val="TableDataEntries"/>
            </w:pPr>
            <w:r w:rsidRPr="00EF1D41">
              <w:t>-0.02</w:t>
            </w:r>
          </w:p>
        </w:tc>
        <w:tc>
          <w:tcPr>
            <w:tcW w:w="61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120B4D" w14:textId="7FFE0011" w:rsidR="00E4433F" w:rsidRPr="004D4EFF" w:rsidRDefault="00E4433F" w:rsidP="00E4433F">
            <w:pPr>
              <w:pStyle w:val="TableDataEntries"/>
            </w:pPr>
            <w:r w:rsidRPr="00EF1D41">
              <w:t>-0.01</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484118" w14:textId="4347B35D" w:rsidR="00E4433F" w:rsidRPr="004D4EFF" w:rsidRDefault="00E4433F" w:rsidP="00E4433F">
            <w:pPr>
              <w:pStyle w:val="TableDataEntries"/>
            </w:pPr>
            <w:r w:rsidRPr="00EF1D41">
              <w:t>-0.01</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AF6116F" w14:textId="3E16F110" w:rsidR="00E4433F" w:rsidRPr="004D4EFF" w:rsidRDefault="00E4433F" w:rsidP="00E4433F">
            <w:pPr>
              <w:pStyle w:val="TableDataEntries"/>
            </w:pPr>
            <w:r w:rsidRPr="00EF1D41">
              <w:t>-0.03</w:t>
            </w:r>
          </w:p>
        </w:tc>
      </w:tr>
      <w:tr w:rsidR="006E5BA6" w14:paraId="680DF352" w14:textId="77777777" w:rsidTr="00EF370E">
        <w:trPr>
          <w:trHeight w:val="245"/>
        </w:trPr>
        <w:tc>
          <w:tcPr>
            <w:tcW w:w="29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BBD300" w14:textId="77777777" w:rsidR="006E5BA6" w:rsidRDefault="006E5BA6">
            <w:pPr>
              <w:pStyle w:val="TableDataEntries"/>
              <w:jc w:val="left"/>
            </w:pPr>
            <w:r>
              <w:t>Change in gas costs</w:t>
            </w:r>
          </w:p>
        </w:tc>
        <w:tc>
          <w:tcPr>
            <w:tcW w:w="6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9A92D2" w14:textId="32644F8E" w:rsidR="006E5BA6" w:rsidRDefault="00177699">
            <w:pPr>
              <w:pStyle w:val="TableDataEntries"/>
            </w:pPr>
            <w:r w:rsidRPr="00EF7687">
              <w:t>2.68</w:t>
            </w:r>
          </w:p>
        </w:tc>
        <w:tc>
          <w:tcPr>
            <w:tcW w:w="6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FF6ABE" w14:textId="17924A5E" w:rsidR="006E5BA6" w:rsidRDefault="00177699">
            <w:pPr>
              <w:pStyle w:val="TableDataEntries"/>
            </w:pPr>
            <w:r w:rsidRPr="00EF7687">
              <w:t>7.12</w:t>
            </w:r>
          </w:p>
        </w:tc>
        <w:tc>
          <w:tcPr>
            <w:tcW w:w="60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3AEB671" w14:textId="278FBB26" w:rsidR="006E5BA6" w:rsidRDefault="00177699">
            <w:pPr>
              <w:pStyle w:val="TableDataEntries"/>
            </w:pPr>
            <w:r w:rsidRPr="00EF7687">
              <w:t>1.41</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99E876" w14:textId="635E7E42" w:rsidR="006E5BA6" w:rsidRDefault="00177699">
            <w:pPr>
              <w:pStyle w:val="TableDataEntries"/>
            </w:pPr>
            <w:r w:rsidRPr="00EF7687">
              <w:t>2.78</w:t>
            </w:r>
          </w:p>
        </w:tc>
        <w:tc>
          <w:tcPr>
            <w:tcW w:w="61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B77E7C8" w14:textId="1FB8F7D0" w:rsidR="006E5BA6" w:rsidRDefault="00177699">
            <w:pPr>
              <w:pStyle w:val="TableDataEntries"/>
            </w:pPr>
            <w:r w:rsidRPr="00EF7687">
              <w:t>2.89</w:t>
            </w:r>
          </w:p>
        </w:tc>
        <w:tc>
          <w:tcPr>
            <w:tcW w:w="61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203D9AC" w14:textId="3D345D3A" w:rsidR="006E5BA6" w:rsidRDefault="00177699">
            <w:pPr>
              <w:pStyle w:val="TableDataEntries"/>
            </w:pPr>
            <w:r w:rsidRPr="00EF7687">
              <w:t>23.60</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C25230" w14:textId="3DEBC753" w:rsidR="006E5BA6" w:rsidRDefault="00177699">
            <w:pPr>
              <w:pStyle w:val="TableDataEntries"/>
            </w:pPr>
            <w:r w:rsidRPr="00EF7687">
              <w:t>16.53</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D79F7B" w14:textId="5F1730DD" w:rsidR="006E5BA6" w:rsidRDefault="00177699">
            <w:pPr>
              <w:pStyle w:val="TableDataEntries"/>
            </w:pPr>
            <w:r w:rsidRPr="00EF7687">
              <w:t>1.01</w:t>
            </w:r>
          </w:p>
        </w:tc>
      </w:tr>
      <w:tr w:rsidR="006E5BA6" w14:paraId="64B746B8" w14:textId="77777777" w:rsidTr="00EF370E">
        <w:trPr>
          <w:trHeight w:val="245"/>
        </w:trPr>
        <w:tc>
          <w:tcPr>
            <w:tcW w:w="29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3C6F1F" w14:textId="77777777" w:rsidR="006E5BA6" w:rsidRDefault="006E5BA6">
            <w:pPr>
              <w:pStyle w:val="TableDataEntries"/>
              <w:jc w:val="left"/>
            </w:pPr>
            <w:r>
              <w:t>Change in GHG emission costs - electricity</w:t>
            </w:r>
          </w:p>
        </w:tc>
        <w:tc>
          <w:tcPr>
            <w:tcW w:w="6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B7FEC66" w14:textId="67F9A59C" w:rsidR="006E5BA6" w:rsidRDefault="00177699">
            <w:pPr>
              <w:pStyle w:val="TableDataEntries"/>
            </w:pPr>
            <w:r w:rsidRPr="00EF7687">
              <w:t>7.66</w:t>
            </w:r>
          </w:p>
        </w:tc>
        <w:tc>
          <w:tcPr>
            <w:tcW w:w="6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59CF3DF" w14:textId="689305E7" w:rsidR="006E5BA6" w:rsidRDefault="00177699">
            <w:pPr>
              <w:pStyle w:val="TableDataEntries"/>
            </w:pPr>
            <w:r w:rsidRPr="00EF7687">
              <w:t>6.66</w:t>
            </w:r>
          </w:p>
        </w:tc>
        <w:tc>
          <w:tcPr>
            <w:tcW w:w="60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44A4BB" w14:textId="6906C293" w:rsidR="006E5BA6" w:rsidRDefault="00177699">
            <w:pPr>
              <w:pStyle w:val="TableDataEntries"/>
            </w:pPr>
            <w:r w:rsidRPr="00EF7687">
              <w:t>24.22</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705101" w14:textId="5BA96664" w:rsidR="006E5BA6" w:rsidRDefault="006E5BA6">
            <w:pPr>
              <w:pStyle w:val="TableDataEntries"/>
            </w:pPr>
            <w:r w:rsidRPr="002213AB">
              <w:t>11.</w:t>
            </w:r>
            <w:r w:rsidR="00177699" w:rsidRPr="00EF7687">
              <w:t>34</w:t>
            </w:r>
          </w:p>
        </w:tc>
        <w:tc>
          <w:tcPr>
            <w:tcW w:w="61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CE0809C" w14:textId="3D171FAF" w:rsidR="006E5BA6" w:rsidRDefault="006E5BA6">
            <w:pPr>
              <w:pStyle w:val="TableDataEntries"/>
            </w:pPr>
            <w:r w:rsidRPr="002213AB">
              <w:t>8.</w:t>
            </w:r>
            <w:r w:rsidR="00177699" w:rsidRPr="00EF7687">
              <w:t>24</w:t>
            </w:r>
          </w:p>
        </w:tc>
        <w:tc>
          <w:tcPr>
            <w:tcW w:w="61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B2B411" w14:textId="6DFFFFA1" w:rsidR="006E5BA6" w:rsidRDefault="006E5BA6">
            <w:pPr>
              <w:pStyle w:val="TableDataEntries"/>
            </w:pPr>
            <w:r w:rsidRPr="002213AB">
              <w:t>0.</w:t>
            </w:r>
            <w:r w:rsidR="00177699" w:rsidRPr="00EF7687">
              <w:t>13</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B2D062" w14:textId="13D226A9" w:rsidR="006E5BA6" w:rsidRDefault="00177699">
            <w:pPr>
              <w:pStyle w:val="TableDataEntries"/>
            </w:pPr>
            <w:r w:rsidRPr="00EF7687">
              <w:t>0.90</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3F12222" w14:textId="2F0408C2" w:rsidR="006E5BA6" w:rsidRDefault="006E5BA6">
            <w:pPr>
              <w:pStyle w:val="TableDataEntries"/>
            </w:pPr>
            <w:r w:rsidRPr="002213AB">
              <w:t>27.</w:t>
            </w:r>
            <w:r w:rsidR="00177699" w:rsidRPr="00EF7687">
              <w:t>40</w:t>
            </w:r>
          </w:p>
        </w:tc>
      </w:tr>
      <w:tr w:rsidR="006E5BA6" w14:paraId="463883DB" w14:textId="77777777" w:rsidTr="00EF370E">
        <w:trPr>
          <w:trHeight w:val="245"/>
        </w:trPr>
        <w:tc>
          <w:tcPr>
            <w:tcW w:w="29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20EEE9" w14:textId="77777777" w:rsidR="006E5BA6" w:rsidRDefault="006E5BA6">
            <w:pPr>
              <w:pStyle w:val="TableDataEntries"/>
              <w:jc w:val="left"/>
            </w:pPr>
            <w:r>
              <w:t>Change in GHG emission costs – exported electricity</w:t>
            </w:r>
          </w:p>
        </w:tc>
        <w:tc>
          <w:tcPr>
            <w:tcW w:w="6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87A5A55" w14:textId="0F179FDB" w:rsidR="006E5BA6" w:rsidRDefault="006E5BA6">
            <w:pPr>
              <w:pStyle w:val="TableDataEntries"/>
            </w:pPr>
            <w:r w:rsidRPr="002213AB">
              <w:t>0.</w:t>
            </w:r>
            <w:r w:rsidR="00177699" w:rsidRPr="00EF7687">
              <w:t>09</w:t>
            </w:r>
          </w:p>
        </w:tc>
        <w:tc>
          <w:tcPr>
            <w:tcW w:w="6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E821C2" w14:textId="2A499028" w:rsidR="006E5BA6" w:rsidRDefault="006E5BA6">
            <w:pPr>
              <w:pStyle w:val="TableDataEntries"/>
            </w:pPr>
            <w:r w:rsidRPr="002213AB">
              <w:t>0.</w:t>
            </w:r>
            <w:r w:rsidR="00177699" w:rsidRPr="00EF7687">
              <w:t>07</w:t>
            </w:r>
          </w:p>
        </w:tc>
        <w:tc>
          <w:tcPr>
            <w:tcW w:w="60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C63CFC3" w14:textId="2ADCF252" w:rsidR="006E5BA6" w:rsidRDefault="006E5BA6">
            <w:pPr>
              <w:pStyle w:val="TableDataEntries"/>
            </w:pPr>
            <w:r w:rsidRPr="002213AB">
              <w:t>0.</w:t>
            </w:r>
            <w:r w:rsidR="00177699" w:rsidRPr="00EF7687">
              <w:t>11</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266633" w14:textId="02438F2C" w:rsidR="006E5BA6" w:rsidRDefault="006E5BA6">
            <w:pPr>
              <w:pStyle w:val="TableDataEntries"/>
            </w:pPr>
            <w:r w:rsidRPr="002213AB">
              <w:t>0.14</w:t>
            </w:r>
          </w:p>
        </w:tc>
        <w:tc>
          <w:tcPr>
            <w:tcW w:w="61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82B7DD4" w14:textId="28B87155" w:rsidR="006E5BA6" w:rsidRDefault="006E5BA6">
            <w:pPr>
              <w:pStyle w:val="TableDataEntries"/>
            </w:pPr>
            <w:r w:rsidRPr="002213AB">
              <w:t>0.10</w:t>
            </w:r>
          </w:p>
        </w:tc>
        <w:tc>
          <w:tcPr>
            <w:tcW w:w="61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7871CE9" w14:textId="32CD5D54" w:rsidR="006E5BA6" w:rsidRDefault="006E5BA6">
            <w:pPr>
              <w:pStyle w:val="TableDataEntries"/>
            </w:pPr>
            <w:r w:rsidRPr="00C02F82">
              <w:t>0.</w:t>
            </w:r>
            <w:r w:rsidRPr="002213AB">
              <w:t>01</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6CE9E4" w14:textId="1AF3CB5C" w:rsidR="006E5BA6" w:rsidRDefault="006E5BA6">
            <w:pPr>
              <w:pStyle w:val="TableDataEntries"/>
            </w:pPr>
            <w:r w:rsidRPr="002213AB">
              <w:t>0.04</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55A219" w14:textId="7D06FDA8" w:rsidR="006E5BA6" w:rsidRDefault="006E5BA6">
            <w:pPr>
              <w:pStyle w:val="TableDataEntries"/>
            </w:pPr>
            <w:r w:rsidRPr="002213AB">
              <w:t>0.23</w:t>
            </w:r>
          </w:p>
        </w:tc>
      </w:tr>
      <w:tr w:rsidR="006E5BA6" w14:paraId="5D1E42D9" w14:textId="77777777" w:rsidTr="00EF370E">
        <w:trPr>
          <w:trHeight w:val="245"/>
        </w:trPr>
        <w:tc>
          <w:tcPr>
            <w:tcW w:w="29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1273C2F" w14:textId="77777777" w:rsidR="006E5BA6" w:rsidRDefault="006E5BA6">
            <w:pPr>
              <w:pStyle w:val="TableDataEntries"/>
              <w:jc w:val="left"/>
            </w:pPr>
            <w:r>
              <w:t>Change in GHG emission costs - gas</w:t>
            </w:r>
          </w:p>
        </w:tc>
        <w:tc>
          <w:tcPr>
            <w:tcW w:w="6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93C7F76" w14:textId="3607EEA7" w:rsidR="006E5BA6" w:rsidRDefault="00177699">
            <w:pPr>
              <w:pStyle w:val="TableDataEntries"/>
            </w:pPr>
            <w:r w:rsidRPr="00EF7687">
              <w:t>5.60</w:t>
            </w:r>
          </w:p>
        </w:tc>
        <w:tc>
          <w:tcPr>
            <w:tcW w:w="6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0F2A80A" w14:textId="6E2CC0C1" w:rsidR="006E5BA6" w:rsidRDefault="00177699">
            <w:pPr>
              <w:pStyle w:val="TableDataEntries"/>
            </w:pPr>
            <w:r w:rsidRPr="00EF7687">
              <w:t>12.05</w:t>
            </w:r>
          </w:p>
        </w:tc>
        <w:tc>
          <w:tcPr>
            <w:tcW w:w="60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8254239" w14:textId="785089DE" w:rsidR="006E5BA6" w:rsidRDefault="00177699">
            <w:pPr>
              <w:pStyle w:val="TableDataEntries"/>
            </w:pPr>
            <w:r w:rsidRPr="00EF7687">
              <w:t>3.39</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6A868F" w14:textId="7D4C5850" w:rsidR="006E5BA6" w:rsidRDefault="00177699">
            <w:pPr>
              <w:pStyle w:val="TableDataEntries"/>
            </w:pPr>
            <w:r w:rsidRPr="00EF7687">
              <w:t>4.82</w:t>
            </w:r>
          </w:p>
        </w:tc>
        <w:tc>
          <w:tcPr>
            <w:tcW w:w="61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9B8F916" w14:textId="10541000" w:rsidR="006E5BA6" w:rsidRDefault="00177699">
            <w:pPr>
              <w:pStyle w:val="TableDataEntries"/>
            </w:pPr>
            <w:r w:rsidRPr="00EF7687">
              <w:t>5.39</w:t>
            </w:r>
          </w:p>
        </w:tc>
        <w:tc>
          <w:tcPr>
            <w:tcW w:w="61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38925E" w14:textId="23E22833" w:rsidR="006E5BA6" w:rsidRDefault="00177699">
            <w:pPr>
              <w:pStyle w:val="TableDataEntries"/>
            </w:pPr>
            <w:r w:rsidRPr="00EF7687">
              <w:t>29.66</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D53DDA9" w14:textId="76886AC5" w:rsidR="006E5BA6" w:rsidRDefault="00177699">
            <w:pPr>
              <w:pStyle w:val="TableDataEntries"/>
            </w:pPr>
            <w:r w:rsidRPr="00EF7687">
              <w:t>34.52</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6BA178" w14:textId="23370AAA" w:rsidR="006E5BA6" w:rsidRDefault="00177699">
            <w:pPr>
              <w:pStyle w:val="TableDataEntries"/>
            </w:pPr>
            <w:r w:rsidRPr="00EF7687">
              <w:t>1.76</w:t>
            </w:r>
          </w:p>
        </w:tc>
      </w:tr>
      <w:tr w:rsidR="006E5BA6" w14:paraId="1291D303" w14:textId="77777777" w:rsidTr="00EF370E">
        <w:trPr>
          <w:trHeight w:val="186"/>
        </w:trPr>
        <w:tc>
          <w:tcPr>
            <w:tcW w:w="29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CF758E5" w14:textId="77777777" w:rsidR="006E5BA6" w:rsidRDefault="006E5BA6">
            <w:pPr>
              <w:pStyle w:val="TableDataEntries"/>
              <w:jc w:val="left"/>
            </w:pPr>
            <w:r>
              <w:t>Change in capital</w:t>
            </w:r>
            <w:r>
              <w:noBreakHyphen/>
              <w:t>related costs</w:t>
            </w:r>
          </w:p>
        </w:tc>
        <w:tc>
          <w:tcPr>
            <w:tcW w:w="6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81A2FC4" w14:textId="652BF513" w:rsidR="006E5BA6" w:rsidRDefault="006E5BA6">
            <w:pPr>
              <w:pStyle w:val="TableDataEntries"/>
            </w:pPr>
            <w:r w:rsidRPr="002213AB">
              <w:t>-38.43</w:t>
            </w:r>
          </w:p>
        </w:tc>
        <w:tc>
          <w:tcPr>
            <w:tcW w:w="6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A765AB" w14:textId="744E1EF1" w:rsidR="006E5BA6" w:rsidRDefault="006E5BA6">
            <w:pPr>
              <w:pStyle w:val="TableDataEntries"/>
              <w:ind w:left="-57"/>
            </w:pPr>
            <w:r w:rsidRPr="002213AB">
              <w:t>-51.93</w:t>
            </w:r>
          </w:p>
        </w:tc>
        <w:tc>
          <w:tcPr>
            <w:tcW w:w="60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3F42770" w14:textId="22699BDD" w:rsidR="006E5BA6" w:rsidRDefault="006E5BA6">
            <w:pPr>
              <w:pStyle w:val="TableDataEntries"/>
            </w:pPr>
            <w:r w:rsidRPr="002213AB">
              <w:t>-47.69</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99D71E" w14:textId="6D227CFD" w:rsidR="006E5BA6" w:rsidRDefault="006E5BA6">
            <w:pPr>
              <w:pStyle w:val="TableDataEntries"/>
            </w:pPr>
            <w:r w:rsidRPr="002213AB">
              <w:t>-38.43</w:t>
            </w:r>
          </w:p>
        </w:tc>
        <w:tc>
          <w:tcPr>
            <w:tcW w:w="61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0DE752A" w14:textId="302E7EDC" w:rsidR="006E5BA6" w:rsidRDefault="006E5BA6">
            <w:pPr>
              <w:pStyle w:val="TableDataEntries"/>
            </w:pPr>
            <w:r w:rsidRPr="002213AB">
              <w:t>-38.43</w:t>
            </w:r>
          </w:p>
        </w:tc>
        <w:tc>
          <w:tcPr>
            <w:tcW w:w="61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4188E0" w14:textId="6E7EE67D" w:rsidR="006E5BA6" w:rsidRDefault="006E5BA6">
            <w:pPr>
              <w:pStyle w:val="TableDataEntries"/>
            </w:pPr>
            <w:r w:rsidRPr="002213AB">
              <w:t>-54.84</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2CD131" w14:textId="334EBDC8" w:rsidR="006E5BA6" w:rsidRDefault="006E5BA6">
            <w:pPr>
              <w:pStyle w:val="TableDataEntries"/>
            </w:pPr>
            <w:r w:rsidRPr="002213AB">
              <w:t>-54.84</w:t>
            </w:r>
          </w:p>
        </w:tc>
        <w:tc>
          <w:tcPr>
            <w:tcW w:w="61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4621A26" w14:textId="422169B7" w:rsidR="006E5BA6" w:rsidRDefault="006E5BA6">
            <w:pPr>
              <w:pStyle w:val="TableDataEntries"/>
            </w:pPr>
            <w:r w:rsidRPr="002213AB">
              <w:t>-55.59</w:t>
            </w:r>
          </w:p>
        </w:tc>
      </w:tr>
      <w:tr w:rsidR="006E5BA6" w:rsidRPr="00321539" w14:paraId="7A1F1E04" w14:textId="77777777" w:rsidTr="00EF370E">
        <w:trPr>
          <w:trHeight w:val="245"/>
        </w:trPr>
        <w:tc>
          <w:tcPr>
            <w:tcW w:w="2968"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7F58DE32" w14:textId="77777777" w:rsidR="006E5BA6" w:rsidRPr="00321539" w:rsidRDefault="006E5BA6">
            <w:pPr>
              <w:pStyle w:val="TableDataEntries"/>
              <w:jc w:val="left"/>
              <w:rPr>
                <w:rFonts w:ascii="Franklin Gothic Demi" w:hAnsi="Franklin Gothic Demi"/>
              </w:rPr>
            </w:pPr>
            <w:r w:rsidRPr="00321539">
              <w:rPr>
                <w:rFonts w:ascii="Franklin Gothic Demi" w:hAnsi="Franklin Gothic Demi"/>
              </w:rPr>
              <w:t>Total</w:t>
            </w:r>
          </w:p>
        </w:tc>
        <w:tc>
          <w:tcPr>
            <w:tcW w:w="65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F5128A4" w14:textId="5F638B88" w:rsidR="006E5BA6" w:rsidRPr="00321539" w:rsidRDefault="00177699">
            <w:pPr>
              <w:pStyle w:val="TableDataEntries"/>
              <w:rPr>
                <w:rFonts w:ascii="Franklin Gothic Demi" w:hAnsi="Franklin Gothic Demi"/>
              </w:rPr>
            </w:pPr>
            <w:r w:rsidRPr="00177699">
              <w:rPr>
                <w:rFonts w:ascii="Franklin Gothic Demi" w:hAnsi="Franklin Gothic Demi"/>
              </w:rPr>
              <w:t>7.95</w:t>
            </w:r>
          </w:p>
        </w:tc>
        <w:tc>
          <w:tcPr>
            <w:tcW w:w="65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790D473" w14:textId="7DA9096F" w:rsidR="006E5BA6" w:rsidRPr="00321539" w:rsidRDefault="00177699">
            <w:pPr>
              <w:pStyle w:val="TableDataEntries"/>
              <w:rPr>
                <w:rFonts w:ascii="Franklin Gothic Demi" w:hAnsi="Franklin Gothic Demi"/>
              </w:rPr>
            </w:pPr>
            <w:r w:rsidRPr="00177699">
              <w:rPr>
                <w:rFonts w:ascii="Franklin Gothic Demi" w:hAnsi="Franklin Gothic Demi"/>
              </w:rPr>
              <w:t>-16.60</w:t>
            </w:r>
          </w:p>
        </w:tc>
        <w:tc>
          <w:tcPr>
            <w:tcW w:w="600"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4A331472" w14:textId="05DE0859" w:rsidR="006E5BA6" w:rsidRPr="00321539" w:rsidRDefault="006E5BA6">
            <w:pPr>
              <w:pStyle w:val="TableDataEntries"/>
              <w:rPr>
                <w:rFonts w:ascii="Franklin Gothic Demi" w:hAnsi="Franklin Gothic Demi"/>
              </w:rPr>
            </w:pPr>
            <w:r w:rsidRPr="00E4433F">
              <w:rPr>
                <w:rFonts w:ascii="Franklin Gothic Demi" w:hAnsi="Franklin Gothic Demi"/>
              </w:rPr>
              <w:t>17.</w:t>
            </w:r>
            <w:r w:rsidR="00177699" w:rsidRPr="00177699">
              <w:rPr>
                <w:rFonts w:ascii="Franklin Gothic Demi" w:hAnsi="Franklin Gothic Demi"/>
              </w:rPr>
              <w:t>66</w:t>
            </w:r>
          </w:p>
        </w:tc>
        <w:tc>
          <w:tcPr>
            <w:tcW w:w="612"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4A43CFF" w14:textId="4FBD892C" w:rsidR="006E5BA6" w:rsidRPr="00321539" w:rsidRDefault="00177699">
            <w:pPr>
              <w:pStyle w:val="TableDataEntries"/>
              <w:rPr>
                <w:rFonts w:ascii="Franklin Gothic Demi" w:hAnsi="Franklin Gothic Demi"/>
              </w:rPr>
            </w:pPr>
            <w:r w:rsidRPr="00177699">
              <w:rPr>
                <w:rFonts w:ascii="Franklin Gothic Demi" w:hAnsi="Franklin Gothic Demi"/>
              </w:rPr>
              <w:t>13.09</w:t>
            </w:r>
          </w:p>
        </w:tc>
        <w:tc>
          <w:tcPr>
            <w:tcW w:w="61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4BC4C579" w14:textId="1739D455" w:rsidR="006E5BA6" w:rsidRPr="00321539" w:rsidRDefault="00177699">
            <w:pPr>
              <w:pStyle w:val="TableDataEntries"/>
              <w:rPr>
                <w:rFonts w:ascii="Franklin Gothic Demi" w:hAnsi="Franklin Gothic Demi"/>
              </w:rPr>
            </w:pPr>
            <w:r w:rsidRPr="00177699">
              <w:rPr>
                <w:rFonts w:ascii="Franklin Gothic Demi" w:hAnsi="Franklin Gothic Demi"/>
              </w:rPr>
              <w:t>15.11</w:t>
            </w:r>
          </w:p>
        </w:tc>
        <w:tc>
          <w:tcPr>
            <w:tcW w:w="61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6D88DB2" w14:textId="562B1E7A" w:rsidR="006E5BA6" w:rsidRPr="00321539" w:rsidRDefault="00177699">
            <w:pPr>
              <w:pStyle w:val="TableDataEntries"/>
              <w:rPr>
                <w:rFonts w:ascii="Franklin Gothic Demi" w:hAnsi="Franklin Gothic Demi"/>
              </w:rPr>
            </w:pPr>
            <w:r w:rsidRPr="00177699">
              <w:rPr>
                <w:rFonts w:ascii="Franklin Gothic Demi" w:hAnsi="Franklin Gothic Demi"/>
              </w:rPr>
              <w:t>-48.91</w:t>
            </w:r>
          </w:p>
        </w:tc>
        <w:tc>
          <w:tcPr>
            <w:tcW w:w="612"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4CC0BE3B" w14:textId="747A3289" w:rsidR="006E5BA6" w:rsidRPr="00321539" w:rsidRDefault="006E5BA6">
            <w:pPr>
              <w:pStyle w:val="TableDataEntries"/>
              <w:rPr>
                <w:rFonts w:ascii="Franklin Gothic Demi" w:hAnsi="Franklin Gothic Demi"/>
              </w:rPr>
            </w:pPr>
            <w:r w:rsidRPr="00E4433F">
              <w:rPr>
                <w:rFonts w:ascii="Franklin Gothic Demi" w:hAnsi="Franklin Gothic Demi"/>
              </w:rPr>
              <w:t>-24.</w:t>
            </w:r>
            <w:r w:rsidR="00177699" w:rsidRPr="00177699">
              <w:rPr>
                <w:rFonts w:ascii="Franklin Gothic Demi" w:hAnsi="Franklin Gothic Demi"/>
              </w:rPr>
              <w:t>88</w:t>
            </w:r>
          </w:p>
        </w:tc>
        <w:tc>
          <w:tcPr>
            <w:tcW w:w="612"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94EABBD" w14:textId="69428F68" w:rsidR="006E5BA6" w:rsidRPr="00321539" w:rsidRDefault="00177699">
            <w:pPr>
              <w:pStyle w:val="TableDataEntries"/>
              <w:rPr>
                <w:rFonts w:ascii="Franklin Gothic Demi" w:hAnsi="Franklin Gothic Demi"/>
              </w:rPr>
            </w:pPr>
            <w:r w:rsidRPr="00177699">
              <w:rPr>
                <w:rFonts w:ascii="Franklin Gothic Demi" w:hAnsi="Franklin Gothic Demi"/>
              </w:rPr>
              <w:t>30.33</w:t>
            </w:r>
          </w:p>
        </w:tc>
      </w:tr>
    </w:tbl>
    <w:p w14:paraId="16CF6DAD" w14:textId="77777777" w:rsidR="006E5BA6" w:rsidRDefault="006E5BA6" w:rsidP="006E5BA6">
      <w:pPr>
        <w:pStyle w:val="Note"/>
      </w:pPr>
      <w:r w:rsidRPr="007D1B4F">
        <w:rPr>
          <w:i/>
        </w:rPr>
        <w:t>Note:</w:t>
      </w:r>
      <w:r w:rsidRPr="00E879B8">
        <w:t xml:space="preserve"> </w:t>
      </w:r>
      <w:r>
        <w:t>Costs and benefits estimated in present value terms over the 50</w:t>
      </w:r>
      <w:r>
        <w:noBreakHyphen/>
        <w:t xml:space="preserve">year life of a building constructed in 2025, using a discount rate of 5 per cent. </w:t>
      </w:r>
    </w:p>
    <w:p w14:paraId="2EAF40D1" w14:textId="77777777" w:rsidR="006E5BA6" w:rsidRDefault="006E5BA6" w:rsidP="006E5BA6">
      <w:pPr>
        <w:pStyle w:val="Source"/>
      </w:pPr>
      <w:r>
        <w:rPr>
          <w:i/>
        </w:rPr>
        <w:t>Source</w:t>
      </w:r>
      <w:r w:rsidRPr="00E4232C">
        <w:rPr>
          <w:i/>
        </w:rPr>
        <w:t>:</w:t>
      </w:r>
      <w:r>
        <w:t xml:space="preserve"> CIE based on DeltaQ modelling.</w:t>
      </w:r>
    </w:p>
    <w:p w14:paraId="145669E5" w14:textId="6C66A60F" w:rsidR="006E5BA6" w:rsidRPr="00844A6E" w:rsidRDefault="006E5BA6" w:rsidP="006E5BA6">
      <w:pPr>
        <w:pStyle w:val="BodyText"/>
        <w:rPr>
          <w:szCs w:val="22"/>
          <w:lang w:bidi="fa-IR"/>
        </w:rPr>
      </w:pPr>
      <w:r w:rsidRPr="00844A6E">
        <w:rPr>
          <w:szCs w:val="22"/>
          <w:lang w:bidi="fa-IR"/>
        </w:rPr>
        <w:t>The net benefits for all archetypes for each state and territory (capital city climate zone) are summarised in table </w:t>
      </w:r>
      <w:r>
        <w:rPr>
          <w:szCs w:val="22"/>
          <w:lang w:bidi="fa-IR"/>
        </w:rPr>
        <w:fldChar w:fldCharType="begin"/>
      </w:r>
      <w:r>
        <w:rPr>
          <w:szCs w:val="22"/>
          <w:lang w:bidi="fa-IR"/>
        </w:rPr>
        <w:instrText xml:space="preserve"> REF _Caption9433 </w:instrText>
      </w:r>
      <w:r>
        <w:rPr>
          <w:szCs w:val="22"/>
          <w:lang w:bidi="fa-IR"/>
        </w:rPr>
        <w:fldChar w:fldCharType="separate"/>
      </w:r>
      <w:r w:rsidR="006E00A7">
        <w:rPr>
          <w:noProof/>
        </w:rPr>
        <w:t>6</w:t>
      </w:r>
      <w:r w:rsidR="006E00A7" w:rsidRPr="006F0F88">
        <w:rPr>
          <w:noProof/>
        </w:rPr>
        <w:t>.</w:t>
      </w:r>
      <w:r w:rsidR="006E00A7">
        <w:rPr>
          <w:noProof/>
        </w:rPr>
        <w:t>10</w:t>
      </w:r>
      <w:r>
        <w:rPr>
          <w:szCs w:val="22"/>
          <w:lang w:bidi="fa-IR"/>
        </w:rPr>
        <w:fldChar w:fldCharType="end"/>
      </w:r>
      <w:r w:rsidRPr="00844A6E">
        <w:rPr>
          <w:szCs w:val="22"/>
          <w:lang w:bidi="fa-IR"/>
        </w:rPr>
        <w:t xml:space="preserve">. Detailed CBA results for each archetype are provided in appendix </w:t>
      </w:r>
      <w:r w:rsidR="00F0684E">
        <w:rPr>
          <w:szCs w:val="22"/>
          <w:lang w:bidi="fa-IR"/>
        </w:rPr>
        <w:t>H</w:t>
      </w:r>
      <w:r w:rsidRPr="00844A6E">
        <w:rPr>
          <w:szCs w:val="22"/>
          <w:lang w:bidi="fa-IR"/>
        </w:rPr>
        <w:t>.</w:t>
      </w:r>
    </w:p>
    <w:p w14:paraId="5229331B" w14:textId="77777777" w:rsidR="006E5BA6" w:rsidRPr="00844A6E" w:rsidRDefault="006E5BA6" w:rsidP="006E5BA6">
      <w:pPr>
        <w:pStyle w:val="BodyText"/>
        <w:rPr>
          <w:szCs w:val="22"/>
          <w:lang w:bidi="fa-IR"/>
        </w:rPr>
      </w:pPr>
      <w:r w:rsidRPr="00844A6E">
        <w:rPr>
          <w:szCs w:val="22"/>
          <w:lang w:bidi="fa-IR"/>
        </w:rPr>
        <w:t>Key findings from the building</w:t>
      </w:r>
      <w:r w:rsidRPr="00844A6E">
        <w:rPr>
          <w:szCs w:val="22"/>
          <w:lang w:bidi="fa-IR"/>
        </w:rPr>
        <w:noBreakHyphen/>
        <w:t>level analysis are as follows:</w:t>
      </w:r>
    </w:p>
    <w:p w14:paraId="3DBE1D4D" w14:textId="12E33795" w:rsidR="00B43193" w:rsidRDefault="00B43193" w:rsidP="006E5BA6">
      <w:pPr>
        <w:pStyle w:val="ListBullet"/>
        <w:tabs>
          <w:tab w:val="num" w:pos="709"/>
        </w:tabs>
      </w:pPr>
      <w:r>
        <w:t xml:space="preserve">The net benefits for the three relevant archetypes </w:t>
      </w:r>
      <w:r w:rsidRPr="0093058D">
        <w:t>(C3HL, C5OL and C9A)</w:t>
      </w:r>
      <w:r w:rsidR="004B1C5E">
        <w:t xml:space="preserve"> vary across states and territories</w:t>
      </w:r>
      <w:r w:rsidR="009F4AF1">
        <w:t>.</w:t>
      </w:r>
      <w:r w:rsidR="004D731E">
        <w:t xml:space="preserve"> </w:t>
      </w:r>
      <w:r w:rsidR="009F4AF1">
        <w:t>N</w:t>
      </w:r>
      <w:r w:rsidR="003E774B">
        <w:t>egative impact</w:t>
      </w:r>
      <w:r w:rsidR="009F4AF1">
        <w:t>s</w:t>
      </w:r>
      <w:r w:rsidR="003E774B">
        <w:t xml:space="preserve"> </w:t>
      </w:r>
      <w:r w:rsidR="00945335">
        <w:t>are observed</w:t>
      </w:r>
      <w:r w:rsidR="003E774B">
        <w:t xml:space="preserve"> </w:t>
      </w:r>
      <w:r w:rsidR="00C51F83">
        <w:t>for C3HL in NSW, WA and SA</w:t>
      </w:r>
      <w:r w:rsidR="00E849B3">
        <w:t>;</w:t>
      </w:r>
      <w:r w:rsidR="00C51F83">
        <w:t xml:space="preserve"> </w:t>
      </w:r>
      <w:r w:rsidR="00BA1D7E">
        <w:t>for C5OL in VIC, TAS and ACT</w:t>
      </w:r>
      <w:r w:rsidR="00E849B3">
        <w:t>;</w:t>
      </w:r>
      <w:r w:rsidR="00BA1D7E">
        <w:t xml:space="preserve"> and for C9A in </w:t>
      </w:r>
      <w:r w:rsidR="00337E8E">
        <w:t xml:space="preserve">almost </w:t>
      </w:r>
      <w:r w:rsidR="00BA1D7E">
        <w:t xml:space="preserve">all states </w:t>
      </w:r>
      <w:r w:rsidR="00337E8E">
        <w:t>and territories expect NT.</w:t>
      </w:r>
    </w:p>
    <w:p w14:paraId="7026A15B" w14:textId="0A25E47F" w:rsidR="006E5BA6" w:rsidRPr="0093058D" w:rsidRDefault="009E4169" w:rsidP="006E5BA6">
      <w:pPr>
        <w:pStyle w:val="ListBullet"/>
        <w:tabs>
          <w:tab w:val="num" w:pos="709"/>
        </w:tabs>
      </w:pPr>
      <w:r>
        <w:t xml:space="preserve">Compared to the </w:t>
      </w:r>
      <w:r w:rsidRPr="0093058D">
        <w:t>Stringency Level 2</w:t>
      </w:r>
      <w:r>
        <w:t>, t</w:t>
      </w:r>
      <w:r w:rsidR="006E5BA6" w:rsidRPr="0093058D">
        <w:t xml:space="preserve">he net benefits for the three relevant archetypes (C3HL, C5OL and C9A) are lower, </w:t>
      </w:r>
      <w:r w:rsidR="00C06467">
        <w:t>whilst</w:t>
      </w:r>
      <w:r w:rsidR="006E5BA6" w:rsidRPr="0093058D">
        <w:t xml:space="preserve"> </w:t>
      </w:r>
      <w:r w:rsidR="00356F1E">
        <w:t>other archetypes</w:t>
      </w:r>
      <w:r w:rsidR="006E5BA6" w:rsidRPr="0093058D">
        <w:t xml:space="preserve"> </w:t>
      </w:r>
      <w:r w:rsidR="008D6797">
        <w:t>deliver</w:t>
      </w:r>
      <w:r w:rsidR="006E5BA6" w:rsidRPr="0093058D">
        <w:t xml:space="preserve"> the same</w:t>
      </w:r>
      <w:r w:rsidR="008D6797">
        <w:t xml:space="preserve"> net benefits</w:t>
      </w:r>
      <w:r w:rsidR="006E5BA6" w:rsidRPr="0093058D">
        <w:t>.</w:t>
      </w:r>
    </w:p>
    <w:p w14:paraId="15091D7E" w14:textId="63180377" w:rsidR="006E5BA6" w:rsidRPr="006F0F88" w:rsidRDefault="006E5BA6" w:rsidP="006E5BA6">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E136D5">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136D5">
          <w:rPr>
            <w:noProof/>
          </w:rPr>
          <w:instrText>6</w:instrText>
        </w:r>
      </w:fldSimple>
      <w:r w:rsidRPr="006F0F88">
        <w:instrText xml:space="preserve"> = 0 "" "</w:instrText>
      </w:r>
      <w:fldSimple w:instr=" STYLEREF &quot;Heading 1&quot; \l \n ">
        <w:r w:rsidR="00E136D5">
          <w:rPr>
            <w:noProof/>
          </w:rPr>
          <w:instrText>6</w:instrText>
        </w:r>
      </w:fldSimple>
      <w:r w:rsidRPr="006F0F88">
        <w:instrText xml:space="preserve">." </w:instrText>
      </w:r>
      <w:r w:rsidRPr="006F0F88">
        <w:fldChar w:fldCharType="separate"/>
      </w:r>
      <w:r w:rsidR="00E136D5">
        <w:rPr>
          <w:noProof/>
        </w:rPr>
        <w:instrText>6</w:instrText>
      </w:r>
      <w:r w:rsidR="00E136D5"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6</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E136D5">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136D5">
          <w:rPr>
            <w:noProof/>
          </w:rPr>
          <w:instrText>6</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E136D5">
        <w:rPr>
          <w:noProof/>
        </w:rPr>
        <w:instrText>10</w:instrText>
      </w:r>
      <w:r w:rsidRPr="006F0F88">
        <w:fldChar w:fldCharType="end"/>
      </w:r>
      <w:r w:rsidRPr="006F0F88">
        <w:instrText xml:space="preserve">" "" </w:instrText>
      </w:r>
      <w:r w:rsidRPr="006F0F88">
        <w:fldChar w:fldCharType="separate"/>
      </w:r>
      <w:bookmarkStart w:id="2464" w:name="_Caption5903"/>
      <w:bookmarkStart w:id="2465" w:name="_Caption8908"/>
      <w:bookmarkStart w:id="2466" w:name="_Caption9921"/>
      <w:bookmarkStart w:id="2467" w:name="_Caption4523"/>
      <w:bookmarkStart w:id="2468" w:name="_Caption6356"/>
      <w:bookmarkStart w:id="2469" w:name="_Caption0545"/>
      <w:bookmarkStart w:id="2470" w:name="_Caption3120"/>
      <w:bookmarkStart w:id="2471" w:name="_Caption5498"/>
      <w:bookmarkStart w:id="2472" w:name="_Caption7125"/>
      <w:bookmarkStart w:id="2473" w:name="_Caption8280"/>
      <w:bookmarkStart w:id="2474" w:name="_Caption1450"/>
      <w:bookmarkStart w:id="2475" w:name="_Caption2617"/>
      <w:bookmarkStart w:id="2476" w:name="_Caption4873"/>
      <w:bookmarkStart w:id="2477" w:name="_Caption2223"/>
      <w:bookmarkStart w:id="2478" w:name="_Caption6665"/>
      <w:bookmarkStart w:id="2479" w:name="_Caption4937"/>
      <w:bookmarkStart w:id="2480" w:name="_Caption2441"/>
      <w:bookmarkStart w:id="2481" w:name="_Caption7279"/>
      <w:bookmarkStart w:id="2482" w:name="_Caption0610"/>
      <w:bookmarkStart w:id="2483" w:name="_Caption5460"/>
      <w:bookmarkStart w:id="2484" w:name="_Caption7462"/>
      <w:bookmarkStart w:id="2485" w:name="_Caption1835"/>
      <w:bookmarkStart w:id="2486" w:name="_Caption2111"/>
      <w:bookmarkStart w:id="2487" w:name="_Caption2989"/>
      <w:bookmarkStart w:id="2488" w:name="_Caption1879"/>
      <w:bookmarkStart w:id="2489" w:name="_Caption2939"/>
      <w:bookmarkStart w:id="2490" w:name="_Caption1261"/>
      <w:bookmarkStart w:id="2491" w:name="_Caption2506"/>
      <w:bookmarkStart w:id="2492" w:name="_Caption7827"/>
      <w:bookmarkStart w:id="2493" w:name="_Caption5047"/>
      <w:bookmarkStart w:id="2494" w:name="_Caption2798"/>
      <w:bookmarkStart w:id="2495" w:name="_Caption5008"/>
      <w:bookmarkStart w:id="2496" w:name="_Caption3403"/>
      <w:bookmarkStart w:id="2497" w:name="_Caption0646"/>
      <w:bookmarkStart w:id="2498" w:name="_Caption4382"/>
      <w:bookmarkStart w:id="2499" w:name="_Caption8279"/>
      <w:bookmarkStart w:id="2500" w:name="_Caption3149"/>
      <w:bookmarkStart w:id="2501" w:name="_Caption9433"/>
      <w:bookmarkStart w:id="2502" w:name="_Caption7419"/>
      <w:bookmarkStart w:id="2503" w:name="_Caption9894"/>
      <w:bookmarkStart w:id="2504" w:name="_Caption7266"/>
      <w:bookmarkStart w:id="2505" w:name="_Caption2725"/>
      <w:bookmarkStart w:id="2506" w:name="_Caption8094"/>
      <w:bookmarkStart w:id="2507" w:name="_Caption4655"/>
      <w:bookmarkStart w:id="2508" w:name="_Caption2427"/>
      <w:bookmarkStart w:id="2509" w:name="_Caption9624"/>
      <w:bookmarkStart w:id="2510" w:name="_Caption9792"/>
      <w:bookmarkStart w:id="2511" w:name="_Caption7432"/>
      <w:bookmarkStart w:id="2512" w:name="_Caption1622"/>
      <w:bookmarkStart w:id="2513" w:name="_Caption7257"/>
      <w:bookmarkStart w:id="2514" w:name="_Caption7570"/>
      <w:bookmarkStart w:id="2515" w:name="_Caption3443"/>
      <w:bookmarkStart w:id="2516" w:name="_Caption5626"/>
      <w:bookmarkStart w:id="2517" w:name="_Caption5642"/>
      <w:bookmarkStart w:id="2518" w:name="_Caption8969"/>
      <w:bookmarkStart w:id="2519" w:name="_Caption2066"/>
      <w:bookmarkStart w:id="2520" w:name="_Caption6931"/>
      <w:bookmarkStart w:id="2521" w:name="_Caption5025"/>
      <w:bookmarkStart w:id="2522" w:name="_Caption0156"/>
      <w:bookmarkStart w:id="2523" w:name="_Caption8451"/>
      <w:bookmarkStart w:id="2524" w:name="_Caption6340"/>
      <w:bookmarkStart w:id="2525" w:name="_Caption5290"/>
      <w:bookmarkStart w:id="2526" w:name="_Caption0807"/>
      <w:bookmarkStart w:id="2527" w:name="_Caption7663"/>
      <w:bookmarkStart w:id="2528" w:name="_Caption7393"/>
      <w:bookmarkStart w:id="2529" w:name="_Caption6385"/>
      <w:bookmarkStart w:id="2530" w:name="_Caption2495"/>
      <w:bookmarkStart w:id="2531" w:name="_Caption5607"/>
      <w:bookmarkStart w:id="2532" w:name="_Caption9274"/>
      <w:bookmarkStart w:id="2533" w:name="_Caption4032"/>
      <w:bookmarkStart w:id="2534" w:name="_Caption2135"/>
      <w:bookmarkStart w:id="2535" w:name="_Caption8221"/>
      <w:bookmarkStart w:id="2536" w:name="_Caption9291"/>
      <w:bookmarkStart w:id="2537" w:name="_Caption9884"/>
      <w:bookmarkStart w:id="2538" w:name="_Caption3169"/>
      <w:bookmarkStart w:id="2539" w:name="_Toc177735167"/>
      <w:bookmarkStart w:id="2540" w:name="_Toc178292597"/>
      <w:r w:rsidR="008C60A3">
        <w:rPr>
          <w:noProof/>
        </w:rPr>
        <w:t>6</w:t>
      </w:r>
      <w:r w:rsidR="008C60A3" w:rsidRPr="006F0F88">
        <w:rPr>
          <w:noProof/>
        </w:rPr>
        <w:t>.</w:t>
      </w:r>
      <w:r w:rsidR="008C60A3">
        <w:rPr>
          <w:noProof/>
        </w:rPr>
        <w:t>10</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r w:rsidRPr="006F0F88">
        <w:fldChar w:fldCharType="end"/>
      </w:r>
      <w:r w:rsidRPr="006F0F88">
        <w:tab/>
        <w:t>Building</w:t>
      </w:r>
      <w:r w:rsidRPr="006F0F88">
        <w:noBreakHyphen/>
        <w:t>level net benefits for Stringency Level 3 by archetype</w:t>
      </w:r>
      <w:bookmarkEnd w:id="2539"/>
      <w:bookmarkEnd w:id="2540"/>
    </w:p>
    <w:tbl>
      <w:tblPr>
        <w:tblW w:w="7940" w:type="dxa"/>
        <w:tblLayout w:type="fixed"/>
        <w:tblLook w:val="0000" w:firstRow="0" w:lastRow="0" w:firstColumn="0" w:lastColumn="0" w:noHBand="0" w:noVBand="0"/>
        <w:tblCaption w:val="Table 5.9"/>
        <w:tblDescription w:val="Building level net benefits for Stringency Level 3 by archetype"/>
      </w:tblPr>
      <w:tblGrid>
        <w:gridCol w:w="851"/>
        <w:gridCol w:w="1010"/>
        <w:gridCol w:w="868"/>
        <w:gridCol w:w="869"/>
        <w:gridCol w:w="868"/>
        <w:gridCol w:w="868"/>
        <w:gridCol w:w="869"/>
        <w:gridCol w:w="885"/>
        <w:gridCol w:w="852"/>
      </w:tblGrid>
      <w:tr w:rsidR="006E5BA6" w14:paraId="42399F28" w14:textId="77777777">
        <w:trPr>
          <w:trHeight w:val="245"/>
          <w:tblHeader/>
        </w:trPr>
        <w:tc>
          <w:tcPr>
            <w:tcW w:w="851" w:type="dxa"/>
            <w:shd w:val="clear" w:color="auto" w:fill="6F6652"/>
            <w:tcMar>
              <w:left w:w="57" w:type="dxa"/>
              <w:right w:w="57" w:type="dxa"/>
            </w:tcMar>
          </w:tcPr>
          <w:p w14:paraId="19BD20F3" w14:textId="77777777" w:rsidR="006E5BA6" w:rsidRDefault="006E5BA6">
            <w:pPr>
              <w:pStyle w:val="TableDataColumnHeading"/>
              <w:jc w:val="left"/>
            </w:pPr>
            <w:r>
              <w:t>Building</w:t>
            </w:r>
          </w:p>
        </w:tc>
        <w:tc>
          <w:tcPr>
            <w:tcW w:w="1010" w:type="dxa"/>
            <w:shd w:val="clear" w:color="auto" w:fill="6F6652"/>
            <w:tcMar>
              <w:left w:w="57" w:type="dxa"/>
              <w:right w:w="57" w:type="dxa"/>
            </w:tcMar>
          </w:tcPr>
          <w:p w14:paraId="07A5CA45" w14:textId="77777777" w:rsidR="006E5BA6" w:rsidRDefault="006E5BA6">
            <w:pPr>
              <w:pStyle w:val="TableDataColumnHeading"/>
            </w:pPr>
            <w:r>
              <w:t>NSW (CZ5)</w:t>
            </w:r>
          </w:p>
          <w:p w14:paraId="7E4D712F" w14:textId="77777777" w:rsidR="006E5BA6" w:rsidRDefault="006E5BA6">
            <w:pPr>
              <w:pStyle w:val="TableDataColumnHeading"/>
            </w:pPr>
            <w:r>
              <w:t>$ per m</w:t>
            </w:r>
            <w:r w:rsidRPr="005347E2">
              <w:rPr>
                <w:vertAlign w:val="superscript"/>
              </w:rPr>
              <w:t>2</w:t>
            </w:r>
          </w:p>
        </w:tc>
        <w:tc>
          <w:tcPr>
            <w:tcW w:w="868" w:type="dxa"/>
            <w:shd w:val="clear" w:color="auto" w:fill="6F6652"/>
            <w:tcMar>
              <w:left w:w="57" w:type="dxa"/>
              <w:right w:w="57" w:type="dxa"/>
            </w:tcMar>
          </w:tcPr>
          <w:p w14:paraId="7BFC1A25" w14:textId="77777777" w:rsidR="006E5BA6" w:rsidRDefault="006E5BA6">
            <w:pPr>
              <w:pStyle w:val="TableDataColumnHeading"/>
            </w:pPr>
            <w:r>
              <w:t>VIC (CZ6)</w:t>
            </w:r>
          </w:p>
          <w:p w14:paraId="11840A3C" w14:textId="77777777" w:rsidR="006E5BA6" w:rsidRDefault="006E5BA6">
            <w:pPr>
              <w:pStyle w:val="TableDataColumnHeading"/>
            </w:pPr>
            <w:r>
              <w:t>$ per m</w:t>
            </w:r>
            <w:r w:rsidRPr="005347E2">
              <w:rPr>
                <w:vertAlign w:val="superscript"/>
              </w:rPr>
              <w:t>2</w:t>
            </w:r>
          </w:p>
        </w:tc>
        <w:tc>
          <w:tcPr>
            <w:tcW w:w="869" w:type="dxa"/>
            <w:shd w:val="clear" w:color="auto" w:fill="6F6652"/>
            <w:tcMar>
              <w:left w:w="57" w:type="dxa"/>
              <w:right w:w="57" w:type="dxa"/>
            </w:tcMar>
          </w:tcPr>
          <w:p w14:paraId="11895EF7" w14:textId="77777777" w:rsidR="006E5BA6" w:rsidRDefault="006E5BA6">
            <w:pPr>
              <w:pStyle w:val="TableDataColumnHeading"/>
            </w:pPr>
            <w:r>
              <w:t>QLD (CZ2)</w:t>
            </w:r>
          </w:p>
          <w:p w14:paraId="5E0CE1ED" w14:textId="77777777" w:rsidR="006E5BA6" w:rsidRDefault="006E5BA6">
            <w:pPr>
              <w:pStyle w:val="TableDataColumnHeading"/>
            </w:pPr>
            <w:r>
              <w:t>$ per m</w:t>
            </w:r>
            <w:r w:rsidRPr="005347E2">
              <w:rPr>
                <w:vertAlign w:val="superscript"/>
              </w:rPr>
              <w:t>2</w:t>
            </w:r>
          </w:p>
        </w:tc>
        <w:tc>
          <w:tcPr>
            <w:tcW w:w="868" w:type="dxa"/>
            <w:shd w:val="clear" w:color="auto" w:fill="6F6652"/>
            <w:tcMar>
              <w:left w:w="57" w:type="dxa"/>
              <w:right w:w="57" w:type="dxa"/>
            </w:tcMar>
          </w:tcPr>
          <w:p w14:paraId="2F4423C8" w14:textId="77777777" w:rsidR="006E5BA6" w:rsidRDefault="006E5BA6">
            <w:pPr>
              <w:pStyle w:val="TableDataColumnHeading"/>
            </w:pPr>
            <w:r>
              <w:t>WA (CZ5)</w:t>
            </w:r>
          </w:p>
          <w:p w14:paraId="641D6B99" w14:textId="77777777" w:rsidR="006E5BA6" w:rsidRDefault="006E5BA6">
            <w:pPr>
              <w:pStyle w:val="TableDataColumnHeading"/>
            </w:pPr>
            <w:r>
              <w:t>$ per m</w:t>
            </w:r>
            <w:r w:rsidRPr="005347E2">
              <w:rPr>
                <w:vertAlign w:val="superscript"/>
              </w:rPr>
              <w:t>2</w:t>
            </w:r>
          </w:p>
        </w:tc>
        <w:tc>
          <w:tcPr>
            <w:tcW w:w="868" w:type="dxa"/>
            <w:shd w:val="clear" w:color="auto" w:fill="6F6652"/>
            <w:tcMar>
              <w:left w:w="57" w:type="dxa"/>
              <w:right w:w="57" w:type="dxa"/>
            </w:tcMar>
          </w:tcPr>
          <w:p w14:paraId="57B5B269" w14:textId="77777777" w:rsidR="006E5BA6" w:rsidRDefault="006E5BA6">
            <w:pPr>
              <w:pStyle w:val="TableDataColumnHeading"/>
            </w:pPr>
            <w:r>
              <w:t>SA (CZ5)</w:t>
            </w:r>
          </w:p>
          <w:p w14:paraId="708A3A36" w14:textId="77777777" w:rsidR="006E5BA6" w:rsidRDefault="006E5BA6">
            <w:pPr>
              <w:pStyle w:val="TableDataColumnHeading"/>
            </w:pPr>
            <w:r>
              <w:t>$ per m</w:t>
            </w:r>
            <w:r w:rsidRPr="005347E2">
              <w:rPr>
                <w:vertAlign w:val="superscript"/>
              </w:rPr>
              <w:t>2</w:t>
            </w:r>
          </w:p>
        </w:tc>
        <w:tc>
          <w:tcPr>
            <w:tcW w:w="869" w:type="dxa"/>
            <w:shd w:val="clear" w:color="auto" w:fill="6F6652"/>
            <w:tcMar>
              <w:left w:w="57" w:type="dxa"/>
              <w:right w:w="57" w:type="dxa"/>
            </w:tcMar>
          </w:tcPr>
          <w:p w14:paraId="01E8222E" w14:textId="77777777" w:rsidR="006E5BA6" w:rsidRDefault="006E5BA6">
            <w:pPr>
              <w:pStyle w:val="TableDataColumnHeading"/>
            </w:pPr>
            <w:r>
              <w:t>TAS (CZ7)</w:t>
            </w:r>
          </w:p>
          <w:p w14:paraId="4173FC3A" w14:textId="77777777" w:rsidR="006E5BA6" w:rsidRDefault="006E5BA6">
            <w:pPr>
              <w:pStyle w:val="TableDataColumnHeading"/>
            </w:pPr>
            <w:r>
              <w:t>$ per m</w:t>
            </w:r>
            <w:r w:rsidRPr="005347E2">
              <w:rPr>
                <w:vertAlign w:val="superscript"/>
              </w:rPr>
              <w:t>2</w:t>
            </w:r>
          </w:p>
        </w:tc>
        <w:tc>
          <w:tcPr>
            <w:tcW w:w="885" w:type="dxa"/>
            <w:shd w:val="clear" w:color="auto" w:fill="6F6652"/>
            <w:tcMar>
              <w:left w:w="57" w:type="dxa"/>
              <w:right w:w="57" w:type="dxa"/>
            </w:tcMar>
          </w:tcPr>
          <w:p w14:paraId="19A01BC9" w14:textId="77777777" w:rsidR="006E5BA6" w:rsidRDefault="006E5BA6">
            <w:pPr>
              <w:pStyle w:val="TableDataColumnHeading"/>
            </w:pPr>
            <w:r>
              <w:t>ACT (CZ7)</w:t>
            </w:r>
          </w:p>
          <w:p w14:paraId="2E56A8EA" w14:textId="77777777" w:rsidR="006E5BA6" w:rsidRDefault="006E5BA6">
            <w:pPr>
              <w:pStyle w:val="TableDataColumnHeading"/>
            </w:pPr>
            <w:r>
              <w:t>$ per m</w:t>
            </w:r>
            <w:r w:rsidRPr="005347E2">
              <w:rPr>
                <w:vertAlign w:val="superscript"/>
              </w:rPr>
              <w:t>2</w:t>
            </w:r>
          </w:p>
        </w:tc>
        <w:tc>
          <w:tcPr>
            <w:tcW w:w="852" w:type="dxa"/>
            <w:shd w:val="clear" w:color="auto" w:fill="6F6652"/>
            <w:tcMar>
              <w:left w:w="57" w:type="dxa"/>
              <w:right w:w="57" w:type="dxa"/>
            </w:tcMar>
          </w:tcPr>
          <w:p w14:paraId="4D9AEA01" w14:textId="77777777" w:rsidR="006E5BA6" w:rsidRDefault="006E5BA6">
            <w:pPr>
              <w:pStyle w:val="TableDataColumnHeading"/>
            </w:pPr>
            <w:r>
              <w:t>NT (CZ1)</w:t>
            </w:r>
          </w:p>
          <w:p w14:paraId="4B100FC4" w14:textId="77777777" w:rsidR="006E5BA6" w:rsidRDefault="006E5BA6">
            <w:pPr>
              <w:pStyle w:val="TableDataColumnHeading"/>
            </w:pPr>
            <w:r>
              <w:t>$ per m</w:t>
            </w:r>
            <w:r w:rsidRPr="005347E2">
              <w:rPr>
                <w:vertAlign w:val="superscript"/>
              </w:rPr>
              <w:t>2</w:t>
            </w:r>
          </w:p>
        </w:tc>
      </w:tr>
      <w:tr w:rsidR="006E5BA6" w14:paraId="6309AB3B" w14:textId="77777777">
        <w:trPr>
          <w:trHeight w:val="245"/>
        </w:trPr>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79B89EA" w14:textId="75A62DD2" w:rsidR="006E5BA6" w:rsidRDefault="006E5BA6">
            <w:pPr>
              <w:pStyle w:val="TableDataEntries"/>
              <w:jc w:val="left"/>
            </w:pPr>
            <w:r w:rsidRPr="00DB3E51">
              <w:t>C3HL</w:t>
            </w:r>
          </w:p>
        </w:tc>
        <w:tc>
          <w:tcPr>
            <w:tcW w:w="10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5069B51" w14:textId="343CF25E" w:rsidR="006E5BA6" w:rsidRDefault="00FF4601">
            <w:pPr>
              <w:pStyle w:val="TableDataEntries"/>
            </w:pPr>
            <w:r w:rsidRPr="00AE48DB">
              <w:t>-6.99</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9814CF0" w14:textId="03F107FA" w:rsidR="006E5BA6" w:rsidRDefault="00FF4601">
            <w:pPr>
              <w:pStyle w:val="TableDataEntries"/>
            </w:pPr>
            <w:r w:rsidRPr="00AE48DB">
              <w:t>34.89</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0717D37" w14:textId="3264315E" w:rsidR="006E5BA6" w:rsidRDefault="00FF4601">
            <w:pPr>
              <w:pStyle w:val="TableDataEntries"/>
            </w:pPr>
            <w:r w:rsidRPr="00AE48DB">
              <w:t>19.96</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CDD5B48" w14:textId="0AC30DCB" w:rsidR="006E5BA6" w:rsidRDefault="00FF4601">
            <w:pPr>
              <w:pStyle w:val="TableDataEntries"/>
            </w:pPr>
            <w:r w:rsidRPr="00AE48DB">
              <w:t>-6.93</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03AAC0" w14:textId="07EC8AD0" w:rsidR="006E5BA6" w:rsidRDefault="00FF4601">
            <w:pPr>
              <w:pStyle w:val="TableDataEntries"/>
            </w:pPr>
            <w:r w:rsidRPr="00AE48DB">
              <w:t>-8.65</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EBA8C09" w14:textId="4DEC2BB8" w:rsidR="006E5BA6" w:rsidRDefault="00FF4601">
            <w:pPr>
              <w:pStyle w:val="TableDataEntries"/>
            </w:pPr>
            <w:r w:rsidRPr="00AE48DB">
              <w:t>10.61</w:t>
            </w:r>
          </w:p>
        </w:tc>
        <w:tc>
          <w:tcPr>
            <w:tcW w:w="88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59B164E" w14:textId="171F54DB" w:rsidR="006E5BA6" w:rsidRDefault="00FF4601">
            <w:pPr>
              <w:pStyle w:val="TableDataEntries"/>
            </w:pPr>
            <w:r w:rsidRPr="00AE48DB">
              <w:t>28.01</w:t>
            </w:r>
          </w:p>
        </w:tc>
        <w:tc>
          <w:tcPr>
            <w:tcW w:w="8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B36A81" w14:textId="2FC77D64" w:rsidR="006E5BA6" w:rsidRDefault="00FF4601">
            <w:pPr>
              <w:pStyle w:val="TableDataEntries"/>
            </w:pPr>
            <w:r w:rsidRPr="00AE48DB">
              <w:t>123.10</w:t>
            </w:r>
          </w:p>
        </w:tc>
      </w:tr>
      <w:tr w:rsidR="006E5BA6" w14:paraId="285FC508" w14:textId="77777777">
        <w:trPr>
          <w:trHeight w:val="245"/>
        </w:trPr>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4FAE482" w14:textId="24C9DBB1" w:rsidR="006E5BA6" w:rsidRDefault="006E5BA6">
            <w:pPr>
              <w:pStyle w:val="TableDataEntries"/>
              <w:jc w:val="left"/>
            </w:pPr>
            <w:r w:rsidRPr="00DB3E51">
              <w:t>C3HS</w:t>
            </w:r>
          </w:p>
        </w:tc>
        <w:tc>
          <w:tcPr>
            <w:tcW w:w="10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1CFC2F" w14:textId="1A14C012" w:rsidR="006E5BA6" w:rsidRDefault="006E5BA6">
            <w:pPr>
              <w:pStyle w:val="TableDataEntries"/>
            </w:pPr>
            <w:r w:rsidRPr="00144789">
              <w:t>116.29</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B03704F" w14:textId="457531E2" w:rsidR="006E5BA6" w:rsidRDefault="006E5BA6">
            <w:pPr>
              <w:pStyle w:val="TableDataEntries"/>
            </w:pPr>
            <w:r w:rsidRPr="00144789">
              <w:t>94.76</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F893B7" w14:textId="075BA509" w:rsidR="006E5BA6" w:rsidRDefault="006E5BA6">
            <w:pPr>
              <w:pStyle w:val="TableDataEntries"/>
            </w:pPr>
            <w:r w:rsidRPr="00144789">
              <w:t>299.19</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447A7A0" w14:textId="12A5B979" w:rsidR="006E5BA6" w:rsidRDefault="006E5BA6">
            <w:pPr>
              <w:pStyle w:val="TableDataEntries"/>
            </w:pPr>
            <w:r w:rsidRPr="00144789">
              <w:t>139.58</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BF67E4A" w14:textId="0D295B6E" w:rsidR="006E5BA6" w:rsidRDefault="006E5BA6">
            <w:pPr>
              <w:pStyle w:val="TableDataEntries"/>
            </w:pPr>
            <w:r w:rsidRPr="00144789">
              <w:t>143.60</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57BC92" w14:textId="0F38FF41" w:rsidR="006E5BA6" w:rsidRDefault="006E5BA6">
            <w:pPr>
              <w:pStyle w:val="TableDataEntries"/>
            </w:pPr>
            <w:r w:rsidRPr="00144789">
              <w:t>106.35</w:t>
            </w:r>
          </w:p>
        </w:tc>
        <w:tc>
          <w:tcPr>
            <w:tcW w:w="88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E9DECB" w14:textId="12CF27B3" w:rsidR="006E5BA6" w:rsidRDefault="006E5BA6">
            <w:pPr>
              <w:pStyle w:val="TableDataEntries"/>
            </w:pPr>
            <w:r w:rsidRPr="00144789">
              <w:t>94.10</w:t>
            </w:r>
          </w:p>
        </w:tc>
        <w:tc>
          <w:tcPr>
            <w:tcW w:w="8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14DC99" w14:textId="2493EABE" w:rsidR="006E5BA6" w:rsidRDefault="006E5BA6">
            <w:pPr>
              <w:pStyle w:val="TableDataEntries"/>
            </w:pPr>
            <w:r w:rsidRPr="00144789">
              <w:t>341.09</w:t>
            </w:r>
          </w:p>
        </w:tc>
      </w:tr>
      <w:tr w:rsidR="006E5BA6" w14:paraId="0216F1F3" w14:textId="77777777">
        <w:trPr>
          <w:trHeight w:val="245"/>
        </w:trPr>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D168983" w14:textId="1B6FC8E9" w:rsidR="006E5BA6" w:rsidRDefault="006E5BA6">
            <w:pPr>
              <w:pStyle w:val="TableDataEntries"/>
              <w:jc w:val="left"/>
            </w:pPr>
            <w:r w:rsidRPr="00DB3E51">
              <w:t>C5OL</w:t>
            </w:r>
          </w:p>
        </w:tc>
        <w:tc>
          <w:tcPr>
            <w:tcW w:w="10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4A65CFA" w14:textId="587CCB11" w:rsidR="006E5BA6" w:rsidRDefault="00FF4601">
            <w:pPr>
              <w:pStyle w:val="TableDataEntries"/>
            </w:pPr>
            <w:r w:rsidRPr="00AE48DB">
              <w:t>7.95</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49BC5C" w14:textId="4C897AC2" w:rsidR="006E5BA6" w:rsidRDefault="00FF4601">
            <w:pPr>
              <w:pStyle w:val="TableDataEntries"/>
            </w:pPr>
            <w:r w:rsidRPr="00AE48DB">
              <w:t>-16.60</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CBF195" w14:textId="50F0E8FE" w:rsidR="006E5BA6" w:rsidRDefault="006E5BA6">
            <w:pPr>
              <w:pStyle w:val="TableDataEntries"/>
            </w:pPr>
            <w:r w:rsidRPr="00144789">
              <w:t>17.</w:t>
            </w:r>
            <w:r w:rsidR="00FF4601" w:rsidRPr="00AE48DB">
              <w:t>66</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FFCB00" w14:textId="0B6F9793" w:rsidR="006E5BA6" w:rsidRDefault="00FF4601">
            <w:pPr>
              <w:pStyle w:val="TableDataEntries"/>
            </w:pPr>
            <w:r w:rsidRPr="00AE48DB">
              <w:t>13.09</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21BB22B" w14:textId="233EB8E6" w:rsidR="006E5BA6" w:rsidRDefault="00FF4601">
            <w:pPr>
              <w:pStyle w:val="TableDataEntries"/>
            </w:pPr>
            <w:r w:rsidRPr="00AE48DB">
              <w:t>15.11</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B8ED611" w14:textId="3DC5DA49" w:rsidR="006E5BA6" w:rsidRDefault="00FF4601">
            <w:pPr>
              <w:pStyle w:val="TableDataEntries"/>
            </w:pPr>
            <w:r w:rsidRPr="00AE48DB">
              <w:t>-48.91</w:t>
            </w:r>
          </w:p>
        </w:tc>
        <w:tc>
          <w:tcPr>
            <w:tcW w:w="88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B717BA" w14:textId="3286ACC9" w:rsidR="006E5BA6" w:rsidRDefault="006E5BA6">
            <w:pPr>
              <w:pStyle w:val="TableDataEntries"/>
            </w:pPr>
            <w:r w:rsidRPr="00144789">
              <w:t>-24.</w:t>
            </w:r>
            <w:r w:rsidR="00FF4601" w:rsidRPr="00AE48DB">
              <w:t>88</w:t>
            </w:r>
          </w:p>
        </w:tc>
        <w:tc>
          <w:tcPr>
            <w:tcW w:w="8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8161455" w14:textId="45AF407A" w:rsidR="006E5BA6" w:rsidRDefault="00FF4601">
            <w:pPr>
              <w:pStyle w:val="TableDataEntries"/>
            </w:pPr>
            <w:r w:rsidRPr="00AE48DB">
              <w:t>30.33</w:t>
            </w:r>
          </w:p>
        </w:tc>
      </w:tr>
      <w:tr w:rsidR="006E5BA6" w14:paraId="4B427002" w14:textId="77777777">
        <w:trPr>
          <w:trHeight w:val="245"/>
        </w:trPr>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54CAE80" w14:textId="6B64A64A" w:rsidR="006E5BA6" w:rsidRDefault="006E5BA6">
            <w:pPr>
              <w:pStyle w:val="TableDataEntries"/>
              <w:jc w:val="left"/>
            </w:pPr>
            <w:r w:rsidRPr="00DB3E51">
              <w:t>C5OM</w:t>
            </w:r>
          </w:p>
        </w:tc>
        <w:tc>
          <w:tcPr>
            <w:tcW w:w="10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CF3953" w14:textId="01084C28" w:rsidR="006E5BA6" w:rsidRDefault="006E5BA6">
            <w:pPr>
              <w:pStyle w:val="TableDataEntries"/>
            </w:pPr>
            <w:r w:rsidRPr="00144789">
              <w:t>83.37</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D6E0F3" w14:textId="5B0312FA" w:rsidR="006E5BA6" w:rsidRDefault="006E5BA6">
            <w:pPr>
              <w:pStyle w:val="TableDataEntries"/>
            </w:pPr>
            <w:r w:rsidRPr="00144789">
              <w:t>83.</w:t>
            </w:r>
            <w:r w:rsidR="008B5AAD" w:rsidRPr="00DB3E51">
              <w:t>67</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7807BCF" w14:textId="1C9B9016" w:rsidR="006E5BA6" w:rsidRDefault="006E5BA6">
            <w:pPr>
              <w:pStyle w:val="TableDataEntries"/>
            </w:pPr>
            <w:r w:rsidRPr="00144789">
              <w:t>127.99</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71A6A25" w14:textId="105073DB" w:rsidR="006E5BA6" w:rsidRDefault="006E5BA6">
            <w:pPr>
              <w:pStyle w:val="TableDataEntries"/>
            </w:pPr>
            <w:r w:rsidRPr="00144789">
              <w:t>104.90</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B670540" w14:textId="3B899C69" w:rsidR="006E5BA6" w:rsidRDefault="006E5BA6">
            <w:pPr>
              <w:pStyle w:val="TableDataEntries"/>
            </w:pPr>
            <w:r w:rsidRPr="00144789">
              <w:t>110.</w:t>
            </w:r>
            <w:r w:rsidR="008B5AAD" w:rsidRPr="00DB3E51">
              <w:t>97</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A415319" w14:textId="6CE1BE1D" w:rsidR="006E5BA6" w:rsidRDefault="006E5BA6">
            <w:pPr>
              <w:pStyle w:val="TableDataEntries"/>
            </w:pPr>
            <w:r w:rsidRPr="00144789">
              <w:t>118.62</w:t>
            </w:r>
          </w:p>
        </w:tc>
        <w:tc>
          <w:tcPr>
            <w:tcW w:w="88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71DC0D1" w14:textId="6B4C92F1" w:rsidR="006E5BA6" w:rsidRDefault="006E5BA6">
            <w:pPr>
              <w:pStyle w:val="TableDataEntries"/>
            </w:pPr>
            <w:r w:rsidRPr="00144789">
              <w:t>85.82</w:t>
            </w:r>
          </w:p>
        </w:tc>
        <w:tc>
          <w:tcPr>
            <w:tcW w:w="8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B7B10DB" w14:textId="76F679CC" w:rsidR="006E5BA6" w:rsidRDefault="006E5BA6">
            <w:pPr>
              <w:pStyle w:val="TableDataEntries"/>
            </w:pPr>
            <w:r w:rsidRPr="00144789">
              <w:t>200.82</w:t>
            </w:r>
          </w:p>
        </w:tc>
      </w:tr>
      <w:tr w:rsidR="006E5BA6" w14:paraId="3E1CF7BE" w14:textId="77777777">
        <w:trPr>
          <w:trHeight w:val="245"/>
        </w:trPr>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CFDD62" w14:textId="15BDED78" w:rsidR="006E5BA6" w:rsidRDefault="006E5BA6">
            <w:pPr>
              <w:pStyle w:val="TableDataEntries"/>
              <w:jc w:val="left"/>
            </w:pPr>
            <w:r w:rsidRPr="00DB3E51">
              <w:t>C5OS</w:t>
            </w:r>
          </w:p>
        </w:tc>
        <w:tc>
          <w:tcPr>
            <w:tcW w:w="10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76CDE95" w14:textId="23242B3C" w:rsidR="006E5BA6" w:rsidRPr="009523E1" w:rsidRDefault="006E5BA6">
            <w:pPr>
              <w:pStyle w:val="TableDataEntries"/>
            </w:pPr>
            <w:r w:rsidRPr="00144789">
              <w:t>82.84</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6A3B5C6" w14:textId="0DD017A9" w:rsidR="006E5BA6" w:rsidRPr="009523E1" w:rsidRDefault="006E5BA6">
            <w:pPr>
              <w:pStyle w:val="TableDataEntries"/>
            </w:pPr>
            <w:r w:rsidRPr="00144789">
              <w:t>112.69</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18136E3" w14:textId="408A0AD0" w:rsidR="006E5BA6" w:rsidRPr="009523E1" w:rsidRDefault="006E5BA6">
            <w:pPr>
              <w:pStyle w:val="TableDataEntries"/>
            </w:pPr>
            <w:r w:rsidRPr="00144789">
              <w:t>95.25</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52360A8" w14:textId="0C827B48" w:rsidR="006E5BA6" w:rsidRPr="009523E1" w:rsidRDefault="006E5BA6">
            <w:pPr>
              <w:pStyle w:val="TableDataEntries"/>
            </w:pPr>
            <w:r w:rsidRPr="00144789">
              <w:t>98.50</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93FDDBA" w14:textId="5A915F20" w:rsidR="006E5BA6" w:rsidRPr="009523E1" w:rsidRDefault="006E5BA6">
            <w:pPr>
              <w:pStyle w:val="TableDataEntries"/>
            </w:pPr>
            <w:r w:rsidRPr="00144789">
              <w:t>104.27</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2A1A77" w14:textId="63E0FA23" w:rsidR="006E5BA6" w:rsidRPr="009523E1" w:rsidRDefault="006E5BA6">
            <w:pPr>
              <w:pStyle w:val="TableDataEntries"/>
            </w:pPr>
            <w:r w:rsidRPr="00144789">
              <w:t>124.08</w:t>
            </w:r>
          </w:p>
        </w:tc>
        <w:tc>
          <w:tcPr>
            <w:tcW w:w="88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445FE4E" w14:textId="2B66D0A8" w:rsidR="006E5BA6" w:rsidRPr="009523E1" w:rsidRDefault="006E5BA6">
            <w:pPr>
              <w:pStyle w:val="TableDataEntries"/>
            </w:pPr>
            <w:r w:rsidRPr="00144789">
              <w:t>89.06</w:t>
            </w:r>
          </w:p>
        </w:tc>
        <w:tc>
          <w:tcPr>
            <w:tcW w:w="8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C39BD39" w14:textId="43747100" w:rsidR="006E5BA6" w:rsidRPr="009523E1" w:rsidRDefault="006E5BA6">
            <w:pPr>
              <w:pStyle w:val="TableDataEntries"/>
            </w:pPr>
            <w:r w:rsidRPr="00144789">
              <w:t>191.71</w:t>
            </w:r>
          </w:p>
        </w:tc>
      </w:tr>
      <w:tr w:rsidR="006E5BA6" w14:paraId="104AEA52" w14:textId="77777777">
        <w:trPr>
          <w:trHeight w:val="245"/>
        </w:trPr>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8590B29" w14:textId="1482D0CC" w:rsidR="006E5BA6" w:rsidRDefault="006E5BA6">
            <w:pPr>
              <w:pStyle w:val="TableDataEntries"/>
              <w:jc w:val="left"/>
            </w:pPr>
            <w:r w:rsidRPr="00DB3E51">
              <w:t>C6RL</w:t>
            </w:r>
          </w:p>
        </w:tc>
        <w:tc>
          <w:tcPr>
            <w:tcW w:w="10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B0E2D9E" w14:textId="4572A0C0" w:rsidR="006E5BA6" w:rsidRDefault="006E5BA6">
            <w:pPr>
              <w:pStyle w:val="TableDataEntries"/>
            </w:pPr>
            <w:r w:rsidRPr="00144789">
              <w:t>253.78</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9F8B47B" w14:textId="2C246ABD" w:rsidR="006E5BA6" w:rsidRDefault="006E5BA6">
            <w:pPr>
              <w:pStyle w:val="TableDataEntries"/>
            </w:pPr>
            <w:r w:rsidRPr="00144789">
              <w:t>160.15</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30A15C" w14:textId="3431904C" w:rsidR="006E5BA6" w:rsidRDefault="006E5BA6">
            <w:pPr>
              <w:pStyle w:val="TableDataEntries"/>
            </w:pPr>
            <w:r w:rsidRPr="00144789">
              <w:t>447.70</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5AB15A0" w14:textId="0C685B25" w:rsidR="006E5BA6" w:rsidRDefault="006E5BA6">
            <w:pPr>
              <w:pStyle w:val="TableDataEntries"/>
            </w:pPr>
            <w:r w:rsidRPr="00144789">
              <w:t>305.72</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694E61" w14:textId="552B7625" w:rsidR="006E5BA6" w:rsidRDefault="006E5BA6">
            <w:pPr>
              <w:pStyle w:val="TableDataEntries"/>
            </w:pPr>
            <w:r w:rsidRPr="00144789">
              <w:t>333.63</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F09C01" w14:textId="2B9D2BD9" w:rsidR="006E5BA6" w:rsidRDefault="006E5BA6">
            <w:pPr>
              <w:pStyle w:val="TableDataEntries"/>
            </w:pPr>
            <w:r w:rsidRPr="00144789">
              <w:t>371.73</w:t>
            </w:r>
          </w:p>
        </w:tc>
        <w:tc>
          <w:tcPr>
            <w:tcW w:w="88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A9DB81F" w14:textId="0E0FB6F6" w:rsidR="006E5BA6" w:rsidRDefault="006E5BA6">
            <w:pPr>
              <w:pStyle w:val="TableDataEntries"/>
            </w:pPr>
            <w:r w:rsidRPr="00144789">
              <w:t>278.27</w:t>
            </w:r>
          </w:p>
        </w:tc>
        <w:tc>
          <w:tcPr>
            <w:tcW w:w="8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FAD23FF" w14:textId="43653B9C" w:rsidR="006E5BA6" w:rsidRDefault="006E5BA6">
            <w:pPr>
              <w:pStyle w:val="TableDataEntries"/>
            </w:pPr>
            <w:r w:rsidRPr="00144789">
              <w:t>565.53</w:t>
            </w:r>
          </w:p>
        </w:tc>
      </w:tr>
      <w:tr w:rsidR="006E5BA6" w14:paraId="563BA007" w14:textId="77777777">
        <w:trPr>
          <w:trHeight w:val="245"/>
        </w:trPr>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50C08DC" w14:textId="02E7642A" w:rsidR="006E5BA6" w:rsidRDefault="006E5BA6">
            <w:pPr>
              <w:pStyle w:val="TableDataEntries"/>
              <w:jc w:val="left"/>
            </w:pPr>
            <w:r w:rsidRPr="00DB3E51">
              <w:t>C6RS</w:t>
            </w:r>
          </w:p>
        </w:tc>
        <w:tc>
          <w:tcPr>
            <w:tcW w:w="10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9BC94D2" w14:textId="7A871081" w:rsidR="006E5BA6" w:rsidRDefault="006E5BA6">
            <w:pPr>
              <w:pStyle w:val="TableDataEntries"/>
            </w:pPr>
            <w:r w:rsidRPr="00144789">
              <w:t>355.06</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A61F45" w14:textId="1B6D5655" w:rsidR="006E5BA6" w:rsidRDefault="006E5BA6">
            <w:pPr>
              <w:pStyle w:val="TableDataEntries"/>
            </w:pPr>
            <w:r w:rsidRPr="00144789">
              <w:t>323.57</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0A71E2" w14:textId="28766664" w:rsidR="006E5BA6" w:rsidRDefault="006E5BA6">
            <w:pPr>
              <w:pStyle w:val="TableDataEntries"/>
            </w:pPr>
            <w:r w:rsidRPr="00144789">
              <w:t>562.57</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DBFC071" w14:textId="5D15C45A" w:rsidR="006E5BA6" w:rsidRDefault="006E5BA6">
            <w:pPr>
              <w:pStyle w:val="TableDataEntries"/>
            </w:pPr>
            <w:r w:rsidRPr="00144789">
              <w:t>416.45</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46AAFB" w14:textId="4512A3F6" w:rsidR="006E5BA6" w:rsidRDefault="006E5BA6">
            <w:pPr>
              <w:pStyle w:val="TableDataEntries"/>
            </w:pPr>
            <w:r w:rsidRPr="00144789">
              <w:t>444.98</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21A49CE" w14:textId="77BA5F42" w:rsidR="006E5BA6" w:rsidRDefault="006E5BA6">
            <w:pPr>
              <w:pStyle w:val="TableDataEntries"/>
            </w:pPr>
            <w:r w:rsidRPr="00144789">
              <w:t>395.74</w:t>
            </w:r>
          </w:p>
        </w:tc>
        <w:tc>
          <w:tcPr>
            <w:tcW w:w="88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58E4FF6" w14:textId="5429D0A5" w:rsidR="006E5BA6" w:rsidRDefault="006E5BA6">
            <w:pPr>
              <w:pStyle w:val="TableDataEntries"/>
            </w:pPr>
            <w:r w:rsidRPr="00144789">
              <w:t>303.04</w:t>
            </w:r>
          </w:p>
        </w:tc>
        <w:tc>
          <w:tcPr>
            <w:tcW w:w="8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F9E47F6" w14:textId="303553C0" w:rsidR="006E5BA6" w:rsidRDefault="006E5BA6">
            <w:pPr>
              <w:pStyle w:val="TableDataEntries"/>
            </w:pPr>
            <w:r w:rsidRPr="00144789">
              <w:t>907.73</w:t>
            </w:r>
          </w:p>
        </w:tc>
      </w:tr>
      <w:tr w:rsidR="006E5BA6" w14:paraId="2456BBEE" w14:textId="77777777">
        <w:trPr>
          <w:trHeight w:val="245"/>
        </w:trPr>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770974" w14:textId="4A5513CC" w:rsidR="006E5BA6" w:rsidRDefault="006E5BA6">
            <w:pPr>
              <w:pStyle w:val="TableDataEntries"/>
              <w:jc w:val="left"/>
            </w:pPr>
            <w:r w:rsidRPr="00DB3E51">
              <w:t>C9A</w:t>
            </w:r>
          </w:p>
        </w:tc>
        <w:tc>
          <w:tcPr>
            <w:tcW w:w="10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9B289F9" w14:textId="44A36656" w:rsidR="006E5BA6" w:rsidRDefault="00FF4601">
            <w:pPr>
              <w:pStyle w:val="TableDataEntries"/>
            </w:pPr>
            <w:r w:rsidRPr="00AE48DB">
              <w:t>-54.17</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163DF55" w14:textId="67D9C1BC" w:rsidR="006E5BA6" w:rsidRDefault="00FF4601">
            <w:pPr>
              <w:pStyle w:val="TableDataEntries"/>
            </w:pPr>
            <w:r w:rsidRPr="00AE48DB">
              <w:t>-18.68</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F7BC3D4" w14:textId="618B6B40" w:rsidR="006E5BA6" w:rsidRDefault="00FF4601">
            <w:pPr>
              <w:pStyle w:val="TableDataEntries"/>
            </w:pPr>
            <w:r w:rsidRPr="00AE48DB">
              <w:t>-69.77</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1470E8" w14:textId="20A9F193" w:rsidR="006E5BA6" w:rsidRDefault="00FF4601">
            <w:pPr>
              <w:pStyle w:val="TableDataEntries"/>
            </w:pPr>
            <w:r w:rsidRPr="00AE48DB">
              <w:t>-53.78</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D3C6CC4" w14:textId="0975B7E8" w:rsidR="006E5BA6" w:rsidRDefault="00FF4601">
            <w:pPr>
              <w:pStyle w:val="TableDataEntries"/>
            </w:pPr>
            <w:r w:rsidRPr="00AE48DB">
              <w:t>-52.32</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25780B" w14:textId="64F5F585" w:rsidR="006E5BA6" w:rsidRDefault="00FF4601">
            <w:pPr>
              <w:pStyle w:val="TableDataEntries"/>
            </w:pPr>
            <w:r w:rsidRPr="00AE48DB">
              <w:t>-28.15</w:t>
            </w:r>
          </w:p>
        </w:tc>
        <w:tc>
          <w:tcPr>
            <w:tcW w:w="88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7AF37E" w14:textId="7A4DADD4" w:rsidR="006E5BA6" w:rsidRDefault="00FF4601">
            <w:pPr>
              <w:pStyle w:val="TableDataEntries"/>
            </w:pPr>
            <w:r w:rsidRPr="00AE48DB">
              <w:t>-19.53</w:t>
            </w:r>
          </w:p>
        </w:tc>
        <w:tc>
          <w:tcPr>
            <w:tcW w:w="8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1DC1D23" w14:textId="11864518" w:rsidR="006E5BA6" w:rsidRDefault="00FF4601">
            <w:pPr>
              <w:pStyle w:val="TableDataEntries"/>
            </w:pPr>
            <w:r w:rsidRPr="00AE48DB">
              <w:t>71.03</w:t>
            </w:r>
          </w:p>
        </w:tc>
      </w:tr>
      <w:tr w:rsidR="006E5BA6" w14:paraId="28DFDECE" w14:textId="77777777">
        <w:trPr>
          <w:trHeight w:val="245"/>
        </w:trPr>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7468D0" w14:textId="3849487C" w:rsidR="006E5BA6" w:rsidRDefault="006E5BA6">
            <w:pPr>
              <w:pStyle w:val="TableDataEntries"/>
              <w:jc w:val="left"/>
            </w:pPr>
            <w:r w:rsidRPr="00DB3E51">
              <w:t>C9B</w:t>
            </w:r>
          </w:p>
        </w:tc>
        <w:tc>
          <w:tcPr>
            <w:tcW w:w="10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2E5B4C0" w14:textId="238B350B" w:rsidR="006E5BA6" w:rsidRDefault="006E5BA6">
            <w:pPr>
              <w:pStyle w:val="TableDataEntries"/>
            </w:pPr>
            <w:r w:rsidRPr="00144789">
              <w:t>88.49</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15404A4" w14:textId="4E3D347C" w:rsidR="006E5BA6" w:rsidRDefault="006E5BA6">
            <w:pPr>
              <w:pStyle w:val="TableDataEntries"/>
            </w:pPr>
            <w:r w:rsidRPr="00144789">
              <w:t>89.42</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42C7B8" w14:textId="0A56D505" w:rsidR="006E5BA6" w:rsidRDefault="006E5BA6">
            <w:pPr>
              <w:pStyle w:val="TableDataEntries"/>
            </w:pPr>
            <w:r w:rsidRPr="00144789">
              <w:t>166.83</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F4A3E8" w14:textId="110B237A" w:rsidR="006E5BA6" w:rsidRDefault="006E5BA6">
            <w:pPr>
              <w:pStyle w:val="TableDataEntries"/>
            </w:pPr>
            <w:r w:rsidRPr="00144789">
              <w:t>100.59</w:t>
            </w:r>
          </w:p>
        </w:tc>
        <w:tc>
          <w:tcPr>
            <w:tcW w:w="8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740B3E4" w14:textId="44C2DF1C" w:rsidR="006E5BA6" w:rsidRDefault="006E5BA6">
            <w:pPr>
              <w:pStyle w:val="TableDataEntries"/>
            </w:pPr>
            <w:r w:rsidRPr="00144789">
              <w:t>101.88</w:t>
            </w:r>
          </w:p>
        </w:tc>
        <w:tc>
          <w:tcPr>
            <w:tcW w:w="8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42014A" w14:textId="36DE1E6A" w:rsidR="006E5BA6" w:rsidRDefault="006E5BA6">
            <w:pPr>
              <w:pStyle w:val="TableDataEntries"/>
            </w:pPr>
            <w:r w:rsidRPr="00144789">
              <w:t>119.54</w:t>
            </w:r>
          </w:p>
        </w:tc>
        <w:tc>
          <w:tcPr>
            <w:tcW w:w="88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73852BE" w14:textId="2A9C5D68" w:rsidR="006E5BA6" w:rsidRDefault="006E5BA6">
            <w:pPr>
              <w:pStyle w:val="TableDataEntries"/>
            </w:pPr>
            <w:r w:rsidRPr="00144789">
              <w:t>92.26</w:t>
            </w:r>
          </w:p>
        </w:tc>
        <w:tc>
          <w:tcPr>
            <w:tcW w:w="8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CB1B37" w14:textId="71F45BE1" w:rsidR="006E5BA6" w:rsidRDefault="006E5BA6">
            <w:pPr>
              <w:pStyle w:val="TableDataEntries"/>
            </w:pPr>
            <w:r w:rsidRPr="00144789">
              <w:t>187.11</w:t>
            </w:r>
          </w:p>
        </w:tc>
      </w:tr>
      <w:tr w:rsidR="006E5BA6" w:rsidRPr="00A24D0B" w14:paraId="6BE3B956" w14:textId="77777777">
        <w:trPr>
          <w:trHeight w:val="245"/>
        </w:trPr>
        <w:tc>
          <w:tcPr>
            <w:tcW w:w="851" w:type="dxa"/>
            <w:tcBorders>
              <w:top w:val="single" w:sz="8" w:space="0" w:color="FFFFFF" w:themeColor="background1"/>
              <w:bottom w:val="single" w:sz="6" w:space="0" w:color="6F6652"/>
            </w:tcBorders>
            <w:shd w:val="clear" w:color="auto" w:fill="E9E8E5" w:themeFill="background2"/>
            <w:tcMar>
              <w:left w:w="57" w:type="dxa"/>
              <w:right w:w="57" w:type="dxa"/>
            </w:tcMar>
          </w:tcPr>
          <w:p w14:paraId="2F7345CD" w14:textId="6717BC60" w:rsidR="006E5BA6" w:rsidRPr="00A24D0B" w:rsidRDefault="006E5BA6">
            <w:pPr>
              <w:pStyle w:val="TableDataEntries"/>
              <w:jc w:val="left"/>
              <w:rPr>
                <w:rFonts w:ascii="Franklin Gothic Demi" w:hAnsi="Franklin Gothic Demi"/>
              </w:rPr>
            </w:pPr>
            <w:r w:rsidRPr="00DB3E51">
              <w:t>C9C</w:t>
            </w:r>
            <w:r w:rsidRPr="00492AD6">
              <w:rPr>
                <w:rStyle w:val="NoteLabel"/>
                <w:color w:val="auto"/>
              </w:rPr>
              <w:t xml:space="preserve"> a</w:t>
            </w:r>
          </w:p>
        </w:tc>
        <w:tc>
          <w:tcPr>
            <w:tcW w:w="1010" w:type="dxa"/>
            <w:tcBorders>
              <w:top w:val="single" w:sz="8" w:space="0" w:color="FFFFFF" w:themeColor="background1"/>
              <w:bottom w:val="single" w:sz="6" w:space="0" w:color="6F6652"/>
            </w:tcBorders>
            <w:shd w:val="clear" w:color="auto" w:fill="E9E8E5" w:themeFill="background2"/>
            <w:tcMar>
              <w:left w:w="57" w:type="dxa"/>
              <w:right w:w="57" w:type="dxa"/>
            </w:tcMar>
          </w:tcPr>
          <w:p w14:paraId="74498F74" w14:textId="3AE21DEA" w:rsidR="006E5BA6" w:rsidRPr="00A24D0B" w:rsidRDefault="006E5BA6">
            <w:pPr>
              <w:pStyle w:val="TableDataEntries"/>
              <w:rPr>
                <w:rFonts w:ascii="Franklin Gothic Demi" w:hAnsi="Franklin Gothic Demi"/>
              </w:rPr>
            </w:pPr>
            <w:r w:rsidRPr="00144789">
              <w:t>68.60</w:t>
            </w:r>
          </w:p>
        </w:tc>
        <w:tc>
          <w:tcPr>
            <w:tcW w:w="868" w:type="dxa"/>
            <w:tcBorders>
              <w:top w:val="single" w:sz="8" w:space="0" w:color="FFFFFF" w:themeColor="background1"/>
              <w:bottom w:val="single" w:sz="6" w:space="0" w:color="6F6652"/>
            </w:tcBorders>
            <w:shd w:val="clear" w:color="auto" w:fill="E9E8E5" w:themeFill="background2"/>
            <w:tcMar>
              <w:left w:w="57" w:type="dxa"/>
              <w:right w:w="57" w:type="dxa"/>
            </w:tcMar>
          </w:tcPr>
          <w:p w14:paraId="45114801" w14:textId="62DF048F" w:rsidR="006E5BA6" w:rsidRPr="00A24D0B" w:rsidRDefault="006E5BA6">
            <w:pPr>
              <w:pStyle w:val="TableDataEntries"/>
              <w:rPr>
                <w:rFonts w:ascii="Franklin Gothic Demi" w:hAnsi="Franklin Gothic Demi"/>
              </w:rPr>
            </w:pPr>
            <w:r w:rsidRPr="00144789">
              <w:t>180.81</w:t>
            </w:r>
          </w:p>
        </w:tc>
        <w:tc>
          <w:tcPr>
            <w:tcW w:w="869" w:type="dxa"/>
            <w:tcBorders>
              <w:top w:val="single" w:sz="8" w:space="0" w:color="FFFFFF" w:themeColor="background1"/>
              <w:bottom w:val="single" w:sz="6" w:space="0" w:color="6F6652"/>
            </w:tcBorders>
            <w:shd w:val="clear" w:color="auto" w:fill="E9E8E5" w:themeFill="background2"/>
            <w:tcMar>
              <w:left w:w="57" w:type="dxa"/>
              <w:right w:w="57" w:type="dxa"/>
            </w:tcMar>
          </w:tcPr>
          <w:p w14:paraId="430439BC" w14:textId="52AF699A" w:rsidR="006E5BA6" w:rsidRPr="00A24D0B" w:rsidRDefault="006E5BA6">
            <w:pPr>
              <w:pStyle w:val="TableDataEntries"/>
              <w:rPr>
                <w:rFonts w:ascii="Franklin Gothic Demi" w:hAnsi="Franklin Gothic Demi"/>
              </w:rPr>
            </w:pPr>
            <w:r w:rsidRPr="00144789">
              <w:t>161.74</w:t>
            </w:r>
          </w:p>
        </w:tc>
        <w:tc>
          <w:tcPr>
            <w:tcW w:w="868" w:type="dxa"/>
            <w:tcBorders>
              <w:top w:val="single" w:sz="8" w:space="0" w:color="FFFFFF" w:themeColor="background1"/>
              <w:bottom w:val="single" w:sz="6" w:space="0" w:color="6F6652"/>
            </w:tcBorders>
            <w:shd w:val="clear" w:color="auto" w:fill="E9E8E5" w:themeFill="background2"/>
            <w:tcMar>
              <w:left w:w="57" w:type="dxa"/>
              <w:right w:w="57" w:type="dxa"/>
            </w:tcMar>
          </w:tcPr>
          <w:p w14:paraId="1427C64E" w14:textId="11AFA328" w:rsidR="006E5BA6" w:rsidRPr="00A24D0B" w:rsidRDefault="006E5BA6">
            <w:pPr>
              <w:pStyle w:val="TableDataEntries"/>
              <w:rPr>
                <w:rFonts w:ascii="Franklin Gothic Demi" w:hAnsi="Franklin Gothic Demi"/>
              </w:rPr>
            </w:pPr>
            <w:r w:rsidRPr="00144789">
              <w:t>89.73</w:t>
            </w:r>
          </w:p>
        </w:tc>
        <w:tc>
          <w:tcPr>
            <w:tcW w:w="868" w:type="dxa"/>
            <w:tcBorders>
              <w:top w:val="single" w:sz="8" w:space="0" w:color="FFFFFF" w:themeColor="background1"/>
              <w:bottom w:val="single" w:sz="6" w:space="0" w:color="6F6652"/>
            </w:tcBorders>
            <w:shd w:val="clear" w:color="auto" w:fill="E9E8E5" w:themeFill="background2"/>
            <w:tcMar>
              <w:left w:w="57" w:type="dxa"/>
              <w:right w:w="57" w:type="dxa"/>
            </w:tcMar>
          </w:tcPr>
          <w:p w14:paraId="54EF4C1E" w14:textId="6505A66D" w:rsidR="006E5BA6" w:rsidRPr="00A24D0B" w:rsidRDefault="006E5BA6">
            <w:pPr>
              <w:pStyle w:val="TableDataEntries"/>
              <w:rPr>
                <w:rFonts w:ascii="Franklin Gothic Demi" w:hAnsi="Franklin Gothic Demi"/>
              </w:rPr>
            </w:pPr>
            <w:r w:rsidRPr="00144789">
              <w:t>90.37</w:t>
            </w:r>
          </w:p>
        </w:tc>
        <w:tc>
          <w:tcPr>
            <w:tcW w:w="869" w:type="dxa"/>
            <w:tcBorders>
              <w:top w:val="single" w:sz="8" w:space="0" w:color="FFFFFF" w:themeColor="background1"/>
              <w:bottom w:val="single" w:sz="6" w:space="0" w:color="6F6652"/>
            </w:tcBorders>
            <w:shd w:val="clear" w:color="auto" w:fill="E9E8E5" w:themeFill="background2"/>
            <w:tcMar>
              <w:left w:w="57" w:type="dxa"/>
              <w:right w:w="57" w:type="dxa"/>
            </w:tcMar>
          </w:tcPr>
          <w:p w14:paraId="7B47F40F" w14:textId="26018610" w:rsidR="006E5BA6" w:rsidRPr="00A24D0B" w:rsidRDefault="006E5BA6">
            <w:pPr>
              <w:pStyle w:val="TableDataEntries"/>
              <w:rPr>
                <w:rFonts w:ascii="Franklin Gothic Demi" w:hAnsi="Franklin Gothic Demi"/>
              </w:rPr>
            </w:pPr>
            <w:r w:rsidRPr="00144789">
              <w:t>88.74</w:t>
            </w:r>
          </w:p>
        </w:tc>
        <w:tc>
          <w:tcPr>
            <w:tcW w:w="885" w:type="dxa"/>
            <w:tcBorders>
              <w:top w:val="single" w:sz="8" w:space="0" w:color="FFFFFF" w:themeColor="background1"/>
              <w:bottom w:val="single" w:sz="6" w:space="0" w:color="6F6652"/>
            </w:tcBorders>
            <w:shd w:val="clear" w:color="auto" w:fill="E9E8E5" w:themeFill="background2"/>
            <w:tcMar>
              <w:left w:w="57" w:type="dxa"/>
              <w:right w:w="57" w:type="dxa"/>
            </w:tcMar>
          </w:tcPr>
          <w:p w14:paraId="126AE980" w14:textId="1ED1AEE7" w:rsidR="006E5BA6" w:rsidRPr="00A24D0B" w:rsidRDefault="006E5BA6">
            <w:pPr>
              <w:pStyle w:val="TableDataEntries"/>
              <w:rPr>
                <w:rFonts w:ascii="Franklin Gothic Demi" w:hAnsi="Franklin Gothic Demi"/>
              </w:rPr>
            </w:pPr>
            <w:r w:rsidRPr="00144789">
              <w:t>75.00</w:t>
            </w:r>
          </w:p>
        </w:tc>
        <w:tc>
          <w:tcPr>
            <w:tcW w:w="852" w:type="dxa"/>
            <w:tcBorders>
              <w:top w:val="single" w:sz="8" w:space="0" w:color="FFFFFF" w:themeColor="background1"/>
              <w:bottom w:val="single" w:sz="6" w:space="0" w:color="6F6652"/>
            </w:tcBorders>
            <w:shd w:val="clear" w:color="auto" w:fill="E9E8E5" w:themeFill="background2"/>
            <w:tcMar>
              <w:left w:w="57" w:type="dxa"/>
              <w:right w:w="57" w:type="dxa"/>
            </w:tcMar>
          </w:tcPr>
          <w:p w14:paraId="2A8C8554" w14:textId="541C3758" w:rsidR="006E5BA6" w:rsidRPr="00A24D0B" w:rsidRDefault="006E5BA6">
            <w:pPr>
              <w:pStyle w:val="TableDataEntries"/>
              <w:rPr>
                <w:rFonts w:ascii="Franklin Gothic Demi" w:hAnsi="Franklin Gothic Demi"/>
              </w:rPr>
            </w:pPr>
            <w:r w:rsidRPr="00144789">
              <w:t>169.48</w:t>
            </w:r>
          </w:p>
        </w:tc>
      </w:tr>
    </w:tbl>
    <w:p w14:paraId="1A49FF92" w14:textId="77777777" w:rsidR="006E5BA6" w:rsidRPr="00E4232C" w:rsidRDefault="006E5BA6" w:rsidP="006E5BA6">
      <w:pPr>
        <w:pStyle w:val="Note"/>
      </w:pPr>
      <w:r w:rsidRPr="00492AD6">
        <w:rPr>
          <w:rStyle w:val="NoteLabel"/>
          <w:color w:val="auto"/>
        </w:rPr>
        <w:t>a</w:t>
      </w:r>
      <w:r>
        <w:rPr>
          <w:rStyle w:val="NoteLabel"/>
        </w:rPr>
        <w:t xml:space="preserve"> </w:t>
      </w:r>
      <w:r>
        <w:t xml:space="preserve">Aged care facility (C9C) is modelled by DeltaQ as a small hospital (C9AS) because </w:t>
      </w:r>
      <w:r w:rsidRPr="00E409B4">
        <w:t>aged care building had very short HVAC running hours according to NCC 2022 schedules so wasn</w:t>
      </w:r>
      <w:r>
        <w:t>’</w:t>
      </w:r>
      <w:r w:rsidRPr="00E409B4">
        <w:t>t an appropriate test bed</w:t>
      </w:r>
      <w:r>
        <w:t>.</w:t>
      </w:r>
    </w:p>
    <w:p w14:paraId="23DE4A19" w14:textId="77777777" w:rsidR="006E5BA6" w:rsidRDefault="006E5BA6" w:rsidP="006E5BA6">
      <w:pPr>
        <w:pStyle w:val="Note"/>
        <w:rPr>
          <w:lang w:bidi="fa-IR"/>
        </w:rPr>
      </w:pPr>
      <w:r w:rsidRPr="007D1B4F">
        <w:rPr>
          <w:i/>
        </w:rPr>
        <w:t>Note:</w:t>
      </w:r>
      <w:r w:rsidRPr="00E879B8">
        <w:t xml:space="preserve"> </w:t>
      </w:r>
      <w:r>
        <w:t>Estimates presented in present value terms based on: buildings constructed in 2025 assuming a 50</w:t>
      </w:r>
      <w:r>
        <w:noBreakHyphen/>
        <w:t>year life, using a discount rate of 5 per cent.</w:t>
      </w:r>
    </w:p>
    <w:p w14:paraId="21CD748E" w14:textId="77777777" w:rsidR="006E5BA6" w:rsidRDefault="006E5BA6" w:rsidP="006E5BA6">
      <w:pPr>
        <w:pStyle w:val="Source"/>
        <w:rPr>
          <w:lang w:bidi="fa-IR"/>
        </w:rPr>
      </w:pPr>
      <w:r w:rsidRPr="00B53FBD">
        <w:rPr>
          <w:i/>
          <w:lang w:bidi="fa-IR"/>
        </w:rPr>
        <w:t>Source:</w:t>
      </w:r>
      <w:r>
        <w:rPr>
          <w:lang w:bidi="fa-IR"/>
        </w:rPr>
        <w:t xml:space="preserve"> CIE based on DeltaQ modelling.</w:t>
      </w:r>
    </w:p>
    <w:p w14:paraId="61FD2C66" w14:textId="77777777" w:rsidR="006E5BA6" w:rsidRDefault="006E5BA6" w:rsidP="006E5BA6">
      <w:pPr>
        <w:pStyle w:val="Heading3"/>
        <w:rPr>
          <w:lang w:bidi="fa-IR"/>
        </w:rPr>
      </w:pPr>
      <w:r>
        <w:rPr>
          <w:lang w:bidi="fa-IR"/>
        </w:rPr>
        <w:t>Saving in energy-related costs</w:t>
      </w:r>
    </w:p>
    <w:p w14:paraId="489D2377" w14:textId="77B70F8C" w:rsidR="006E5BA6" w:rsidRDefault="006E5BA6" w:rsidP="006E5BA6">
      <w:pPr>
        <w:pStyle w:val="BodyText"/>
        <w:rPr>
          <w:szCs w:val="22"/>
          <w:lang w:bidi="fa-IR"/>
        </w:rPr>
      </w:pPr>
      <w:r w:rsidRPr="00844A6E">
        <w:rPr>
          <w:szCs w:val="22"/>
          <w:lang w:bidi="fa-IR"/>
        </w:rPr>
        <w:t xml:space="preserve">Table </w:t>
      </w:r>
      <w:r>
        <w:rPr>
          <w:szCs w:val="22"/>
          <w:lang w:bidi="fa-IR"/>
        </w:rPr>
        <w:fldChar w:fldCharType="begin"/>
      </w:r>
      <w:r>
        <w:rPr>
          <w:szCs w:val="22"/>
          <w:lang w:bidi="fa-IR"/>
        </w:rPr>
        <w:instrText xml:space="preserve"> REF _Caption5464 </w:instrText>
      </w:r>
      <w:r>
        <w:rPr>
          <w:szCs w:val="22"/>
          <w:lang w:bidi="fa-IR"/>
        </w:rPr>
        <w:fldChar w:fldCharType="separate"/>
      </w:r>
      <w:r w:rsidR="006E00A7">
        <w:rPr>
          <w:noProof/>
        </w:rPr>
        <w:t>6</w:t>
      </w:r>
      <w:r w:rsidR="006E00A7" w:rsidRPr="00695C93">
        <w:rPr>
          <w:noProof/>
        </w:rPr>
        <w:t>.</w:t>
      </w:r>
      <w:r w:rsidR="006E00A7">
        <w:rPr>
          <w:noProof/>
        </w:rPr>
        <w:t>11</w:t>
      </w:r>
      <w:r>
        <w:rPr>
          <w:szCs w:val="22"/>
          <w:lang w:bidi="fa-IR"/>
        </w:rPr>
        <w:fldChar w:fldCharType="end"/>
      </w:r>
      <w:r w:rsidRPr="00844A6E">
        <w:rPr>
          <w:szCs w:val="22"/>
          <w:lang w:bidi="fa-IR"/>
        </w:rPr>
        <w:t xml:space="preserve"> reports the estimated additional saving in energy</w:t>
      </w:r>
      <w:r w:rsidRPr="00844A6E">
        <w:rPr>
          <w:szCs w:val="22"/>
          <w:lang w:bidi="fa-IR"/>
        </w:rPr>
        <w:noBreakHyphen/>
        <w:t xml:space="preserve">related costs for the three relevant modelled building archetypes in selected climate zone relevant to the capital city in each of the states and territories under Stringency Level 3 relative Stringency Level 2. As can be seen from the table, the savings are lower under Stringency Level 3 (as shown by negative numbers) in some cases. This is because savings in electricity consumption and related costs are lower with electrification readiness requirement. </w:t>
      </w:r>
    </w:p>
    <w:p w14:paraId="43619987" w14:textId="722A6B3B" w:rsidR="006E5BA6" w:rsidRPr="00695C93" w:rsidRDefault="006E5BA6">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E136D5">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E136D5">
          <w:rPr>
            <w:noProof/>
          </w:rPr>
          <w:instrText>6</w:instrText>
        </w:r>
      </w:fldSimple>
      <w:r w:rsidRPr="00695C93">
        <w:instrText xml:space="preserve"> = 0 "" "</w:instrText>
      </w:r>
      <w:fldSimple w:instr=" STYLEREF &quot;Heading 1&quot; \l \n ">
        <w:r w:rsidR="00E136D5">
          <w:rPr>
            <w:noProof/>
          </w:rPr>
          <w:instrText>6</w:instrText>
        </w:r>
      </w:fldSimple>
      <w:r w:rsidRPr="00695C93">
        <w:instrText xml:space="preserve">." </w:instrText>
      </w:r>
      <w:r w:rsidRPr="00695C93">
        <w:fldChar w:fldCharType="separate"/>
      </w:r>
      <w:r w:rsidR="00E136D5">
        <w:rPr>
          <w:noProof/>
        </w:rPr>
        <w:instrText>6</w:instrText>
      </w:r>
      <w:r w:rsidR="00E136D5" w:rsidRPr="00695C93">
        <w:rPr>
          <w:noProof/>
        </w:rPr>
        <w:instrText>.</w:instrText>
      </w:r>
      <w:r w:rsidRPr="00695C93">
        <w:fldChar w:fldCharType="end"/>
      </w:r>
      <w:r w:rsidRPr="00695C93">
        <w:instrText>" "</w:instrText>
      </w:r>
      <w:fldSimple w:instr=" STYLEREF &quot;Heading 6&quot; \l \n ">
        <w:r>
          <w:rPr>
            <w:noProof/>
          </w:rPr>
          <w:instrText>A</w:instrText>
        </w:r>
      </w:fldSimple>
      <w:r w:rsidRPr="00695C93">
        <w:instrText xml:space="preserve">." </w:instrText>
      </w:r>
      <w:r w:rsidRPr="00695C93">
        <w:fldChar w:fldCharType="separate"/>
      </w:r>
      <w:r w:rsidR="008C60A3">
        <w:rPr>
          <w:noProof/>
        </w:rPr>
        <w:instrText>6</w:instrText>
      </w:r>
      <w:r w:rsidR="008C60A3"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E136D5">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E136D5">
          <w:rPr>
            <w:noProof/>
          </w:rPr>
          <w:instrText>6</w:instrText>
        </w:r>
      </w:fldSimple>
      <w:r w:rsidRPr="00695C93">
        <w:instrText xml:space="preserve"> = 0 "" "1" </w:instrText>
      </w:r>
      <w:r w:rsidRPr="00695C93">
        <w:fldChar w:fldCharType="separate"/>
      </w:r>
      <w:r w:rsidR="008C60A3" w:rsidRPr="00695C93">
        <w:rPr>
          <w:noProof/>
        </w:rPr>
        <w:instrText>1</w:instrText>
      </w:r>
      <w:r w:rsidRPr="00695C93">
        <w:fldChar w:fldCharType="end"/>
      </w:r>
      <w:r w:rsidRPr="00695C93">
        <w:instrText xml:space="preserve">" "6" </w:instrText>
      </w:r>
      <w:r w:rsidRPr="00695C93">
        <w:fldChar w:fldCharType="separate"/>
      </w:r>
      <w:r w:rsidR="008C60A3" w:rsidRPr="00695C93">
        <w:rPr>
          <w:noProof/>
        </w:rPr>
        <w:instrText>1</w:instrText>
      </w:r>
      <w:r w:rsidRPr="00695C93">
        <w:fldChar w:fldCharType="end"/>
      </w:r>
      <w:r w:rsidRPr="00695C93">
        <w:instrText xml:space="preserve"> </w:instrText>
      </w:r>
      <w:r w:rsidRPr="00695C93">
        <w:fldChar w:fldCharType="separate"/>
      </w:r>
      <w:r w:rsidR="00E136D5">
        <w:rPr>
          <w:noProof/>
        </w:rPr>
        <w:instrText>11</w:instrText>
      </w:r>
      <w:r w:rsidRPr="00695C93">
        <w:fldChar w:fldCharType="end"/>
      </w:r>
      <w:r w:rsidRPr="00695C93">
        <w:instrText xml:space="preserve">" "" </w:instrText>
      </w:r>
      <w:r w:rsidRPr="00695C93">
        <w:fldChar w:fldCharType="separate"/>
      </w:r>
      <w:bookmarkStart w:id="2541" w:name="_Caption8893"/>
      <w:bookmarkStart w:id="2542" w:name="_Caption5490"/>
      <w:bookmarkStart w:id="2543" w:name="_Caption9933"/>
      <w:bookmarkStart w:id="2544" w:name="_Caption3874"/>
      <w:bookmarkStart w:id="2545" w:name="_Caption3325"/>
      <w:bookmarkStart w:id="2546" w:name="_Caption3296"/>
      <w:bookmarkStart w:id="2547" w:name="_Caption7072"/>
      <w:bookmarkStart w:id="2548" w:name="_Caption4754"/>
      <w:bookmarkStart w:id="2549" w:name="_Caption3787"/>
      <w:bookmarkStart w:id="2550" w:name="_Caption4048"/>
      <w:bookmarkStart w:id="2551" w:name="_Caption8393"/>
      <w:bookmarkStart w:id="2552" w:name="_Caption6422"/>
      <w:bookmarkStart w:id="2553" w:name="_Caption8592"/>
      <w:bookmarkStart w:id="2554" w:name="_Caption8138"/>
      <w:bookmarkStart w:id="2555" w:name="_Caption4373"/>
      <w:bookmarkStart w:id="2556" w:name="_Caption4985"/>
      <w:bookmarkStart w:id="2557" w:name="_Caption9318"/>
      <w:bookmarkStart w:id="2558" w:name="_Caption6532"/>
      <w:bookmarkStart w:id="2559" w:name="_Caption4146"/>
      <w:bookmarkStart w:id="2560" w:name="_Caption9158"/>
      <w:bookmarkStart w:id="2561" w:name="_Caption5005"/>
      <w:bookmarkStart w:id="2562" w:name="_Caption7710"/>
      <w:bookmarkStart w:id="2563" w:name="_Caption2137"/>
      <w:bookmarkStart w:id="2564" w:name="_Caption8823"/>
      <w:bookmarkStart w:id="2565" w:name="_Caption1448"/>
      <w:bookmarkStart w:id="2566" w:name="_Caption4582"/>
      <w:bookmarkStart w:id="2567" w:name="_Caption9209"/>
      <w:bookmarkStart w:id="2568" w:name="_Caption8768"/>
      <w:bookmarkStart w:id="2569" w:name="_Caption6652"/>
      <w:bookmarkStart w:id="2570" w:name="_Caption8999"/>
      <w:bookmarkStart w:id="2571" w:name="_Caption3239"/>
      <w:bookmarkStart w:id="2572" w:name="_Caption6090"/>
      <w:bookmarkStart w:id="2573" w:name="_Caption5646"/>
      <w:bookmarkStart w:id="2574" w:name="_Caption0071"/>
      <w:bookmarkStart w:id="2575" w:name="_Caption6198"/>
      <w:bookmarkStart w:id="2576" w:name="_Caption5464"/>
      <w:bookmarkStart w:id="2577" w:name="_Caption9644"/>
      <w:bookmarkStart w:id="2578" w:name="_Caption0400"/>
      <w:bookmarkStart w:id="2579" w:name="_Caption8478"/>
      <w:bookmarkStart w:id="2580" w:name="_Caption7447"/>
      <w:bookmarkStart w:id="2581" w:name="_Caption7834"/>
      <w:bookmarkStart w:id="2582" w:name="_Caption9308"/>
      <w:bookmarkStart w:id="2583" w:name="_Caption1766"/>
      <w:bookmarkStart w:id="2584" w:name="_Caption5147"/>
      <w:r w:rsidR="008C60A3">
        <w:rPr>
          <w:noProof/>
        </w:rPr>
        <w:t>6</w:t>
      </w:r>
      <w:r w:rsidR="008C60A3" w:rsidRPr="00695C93">
        <w:rPr>
          <w:noProof/>
        </w:rPr>
        <w:t>.</w:t>
      </w:r>
      <w:r w:rsidR="008C60A3">
        <w:rPr>
          <w:noProof/>
        </w:rPr>
        <w:t>11</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r w:rsidRPr="00695C93">
        <w:fldChar w:fldCharType="end"/>
      </w:r>
      <w:bookmarkStart w:id="2585" w:name="_Toc178292598"/>
      <w:r w:rsidRPr="00695C93">
        <w:tab/>
      </w:r>
      <w:r w:rsidRPr="006E5BA6">
        <w:rPr>
          <w:rStyle w:val="CaptionChar"/>
        </w:rPr>
        <w:t>Estimate additional savings in energy</w:t>
      </w:r>
      <w:r w:rsidRPr="006E5BA6">
        <w:rPr>
          <w:rStyle w:val="CaptionChar"/>
        </w:rPr>
        <w:noBreakHyphen/>
        <w:t>related costs over building life under</w:t>
      </w:r>
      <w:r w:rsidRPr="006F0F88">
        <w:t xml:space="preserve"> </w:t>
      </w:r>
      <w:r w:rsidRPr="006E5BA6">
        <w:rPr>
          <w:rStyle w:val="CaptionChar"/>
        </w:rPr>
        <w:t>Stringency Level 3 relative to Stringency Level 2</w:t>
      </w:r>
      <w:bookmarkEnd w:id="2585"/>
    </w:p>
    <w:tbl>
      <w:tblPr>
        <w:tblW w:w="7940" w:type="dxa"/>
        <w:tblLayout w:type="fixed"/>
        <w:tblLook w:val="0000" w:firstRow="0" w:lastRow="0" w:firstColumn="0" w:lastColumn="0" w:noHBand="0" w:noVBand="0"/>
        <w:tblCaption w:val="Table 5.10"/>
        <w:tblDescription w:val="Estimate additional savings in energy related costs over building life under Stringency Level 3 relative to Stringency Level 2"/>
      </w:tblPr>
      <w:tblGrid>
        <w:gridCol w:w="851"/>
        <w:gridCol w:w="31"/>
        <w:gridCol w:w="882"/>
        <w:gridCol w:w="97"/>
        <w:gridCol w:w="785"/>
        <w:gridCol w:w="83"/>
        <w:gridCol w:w="799"/>
        <w:gridCol w:w="70"/>
        <w:gridCol w:w="812"/>
        <w:gridCol w:w="56"/>
        <w:gridCol w:w="826"/>
        <w:gridCol w:w="42"/>
        <w:gridCol w:w="840"/>
        <w:gridCol w:w="29"/>
        <w:gridCol w:w="853"/>
        <w:gridCol w:w="32"/>
        <w:gridCol w:w="852"/>
      </w:tblGrid>
      <w:tr w:rsidR="006E5BA6" w14:paraId="54D6EFC1" w14:textId="77777777">
        <w:trPr>
          <w:trHeight w:val="245"/>
          <w:tblHeader/>
        </w:trPr>
        <w:tc>
          <w:tcPr>
            <w:tcW w:w="851" w:type="dxa"/>
            <w:shd w:val="clear" w:color="auto" w:fill="6F6652"/>
            <w:tcMar>
              <w:left w:w="57" w:type="dxa"/>
              <w:right w:w="57" w:type="dxa"/>
            </w:tcMar>
          </w:tcPr>
          <w:p w14:paraId="25A31B02" w14:textId="77777777" w:rsidR="006E5BA6" w:rsidRDefault="006E5BA6">
            <w:pPr>
              <w:pStyle w:val="TableDataColumnHeading"/>
              <w:jc w:val="left"/>
            </w:pPr>
            <w:r>
              <w:t>Building</w:t>
            </w:r>
          </w:p>
        </w:tc>
        <w:tc>
          <w:tcPr>
            <w:tcW w:w="1010" w:type="dxa"/>
            <w:gridSpan w:val="3"/>
            <w:shd w:val="clear" w:color="auto" w:fill="6F6652"/>
            <w:tcMar>
              <w:left w:w="57" w:type="dxa"/>
              <w:right w:w="57" w:type="dxa"/>
            </w:tcMar>
          </w:tcPr>
          <w:p w14:paraId="7D4FDA70" w14:textId="77777777" w:rsidR="006E5BA6" w:rsidRDefault="006E5BA6">
            <w:pPr>
              <w:pStyle w:val="TableDataColumnHeading"/>
            </w:pPr>
            <w:r>
              <w:t>NSW (CZ5)</w:t>
            </w:r>
          </w:p>
          <w:p w14:paraId="7B7BFC29" w14:textId="77777777" w:rsidR="006E5BA6" w:rsidRDefault="006E5BA6">
            <w:pPr>
              <w:pStyle w:val="TableDataColumnHeading"/>
            </w:pPr>
            <w:r>
              <w:t>$ per m</w:t>
            </w:r>
            <w:r w:rsidRPr="005347E2">
              <w:rPr>
                <w:vertAlign w:val="superscript"/>
              </w:rPr>
              <w:t>2</w:t>
            </w:r>
          </w:p>
        </w:tc>
        <w:tc>
          <w:tcPr>
            <w:tcW w:w="868" w:type="dxa"/>
            <w:gridSpan w:val="2"/>
            <w:shd w:val="clear" w:color="auto" w:fill="6F6652"/>
            <w:tcMar>
              <w:left w:w="57" w:type="dxa"/>
              <w:right w:w="57" w:type="dxa"/>
            </w:tcMar>
          </w:tcPr>
          <w:p w14:paraId="5E85AC4D" w14:textId="77777777" w:rsidR="006E5BA6" w:rsidRDefault="006E5BA6">
            <w:pPr>
              <w:pStyle w:val="TableDataColumnHeading"/>
            </w:pPr>
            <w:r>
              <w:t>VIC (CZ6)</w:t>
            </w:r>
          </w:p>
          <w:p w14:paraId="492FE61B" w14:textId="77777777" w:rsidR="006E5BA6" w:rsidRDefault="006E5BA6">
            <w:pPr>
              <w:pStyle w:val="TableDataColumnHeading"/>
            </w:pPr>
            <w:r>
              <w:t>$ per m</w:t>
            </w:r>
            <w:r w:rsidRPr="005347E2">
              <w:rPr>
                <w:vertAlign w:val="superscript"/>
              </w:rPr>
              <w:t>2</w:t>
            </w:r>
          </w:p>
        </w:tc>
        <w:tc>
          <w:tcPr>
            <w:tcW w:w="869" w:type="dxa"/>
            <w:gridSpan w:val="2"/>
            <w:shd w:val="clear" w:color="auto" w:fill="6F6652"/>
            <w:tcMar>
              <w:left w:w="57" w:type="dxa"/>
              <w:right w:w="57" w:type="dxa"/>
            </w:tcMar>
          </w:tcPr>
          <w:p w14:paraId="4D9B755F" w14:textId="77777777" w:rsidR="006E5BA6" w:rsidRDefault="006E5BA6">
            <w:pPr>
              <w:pStyle w:val="TableDataColumnHeading"/>
            </w:pPr>
            <w:r>
              <w:t>QLD (CZ2)</w:t>
            </w:r>
          </w:p>
          <w:p w14:paraId="5FF29600" w14:textId="77777777" w:rsidR="006E5BA6" w:rsidRDefault="006E5BA6">
            <w:pPr>
              <w:pStyle w:val="TableDataColumnHeading"/>
            </w:pPr>
            <w:r>
              <w:t>$ per m</w:t>
            </w:r>
            <w:r w:rsidRPr="005347E2">
              <w:rPr>
                <w:vertAlign w:val="superscript"/>
              </w:rPr>
              <w:t>2</w:t>
            </w:r>
          </w:p>
        </w:tc>
        <w:tc>
          <w:tcPr>
            <w:tcW w:w="868" w:type="dxa"/>
            <w:gridSpan w:val="2"/>
            <w:shd w:val="clear" w:color="auto" w:fill="6F6652"/>
            <w:tcMar>
              <w:left w:w="57" w:type="dxa"/>
              <w:right w:w="57" w:type="dxa"/>
            </w:tcMar>
          </w:tcPr>
          <w:p w14:paraId="78716BB1" w14:textId="77777777" w:rsidR="006E5BA6" w:rsidRDefault="006E5BA6">
            <w:pPr>
              <w:pStyle w:val="TableDataColumnHeading"/>
            </w:pPr>
            <w:r>
              <w:t>WA (CZ5)</w:t>
            </w:r>
          </w:p>
          <w:p w14:paraId="323D6282" w14:textId="77777777" w:rsidR="006E5BA6" w:rsidRDefault="006E5BA6">
            <w:pPr>
              <w:pStyle w:val="TableDataColumnHeading"/>
            </w:pPr>
            <w:r>
              <w:t>$ per m</w:t>
            </w:r>
            <w:r w:rsidRPr="005347E2">
              <w:rPr>
                <w:vertAlign w:val="superscript"/>
              </w:rPr>
              <w:t>2</w:t>
            </w:r>
          </w:p>
        </w:tc>
        <w:tc>
          <w:tcPr>
            <w:tcW w:w="868" w:type="dxa"/>
            <w:gridSpan w:val="2"/>
            <w:shd w:val="clear" w:color="auto" w:fill="6F6652"/>
            <w:tcMar>
              <w:left w:w="57" w:type="dxa"/>
              <w:right w:w="57" w:type="dxa"/>
            </w:tcMar>
          </w:tcPr>
          <w:p w14:paraId="77F8DCC8" w14:textId="77777777" w:rsidR="006E5BA6" w:rsidRDefault="006E5BA6">
            <w:pPr>
              <w:pStyle w:val="TableDataColumnHeading"/>
            </w:pPr>
            <w:r>
              <w:t>SA (CZ5)</w:t>
            </w:r>
          </w:p>
          <w:p w14:paraId="213AD068" w14:textId="77777777" w:rsidR="006E5BA6" w:rsidRDefault="006E5BA6">
            <w:pPr>
              <w:pStyle w:val="TableDataColumnHeading"/>
            </w:pPr>
            <w:r>
              <w:t>$ per m</w:t>
            </w:r>
            <w:r w:rsidRPr="005347E2">
              <w:rPr>
                <w:vertAlign w:val="superscript"/>
              </w:rPr>
              <w:t>2</w:t>
            </w:r>
          </w:p>
        </w:tc>
        <w:tc>
          <w:tcPr>
            <w:tcW w:w="869" w:type="dxa"/>
            <w:gridSpan w:val="2"/>
            <w:shd w:val="clear" w:color="auto" w:fill="6F6652"/>
            <w:tcMar>
              <w:left w:w="57" w:type="dxa"/>
              <w:right w:w="57" w:type="dxa"/>
            </w:tcMar>
          </w:tcPr>
          <w:p w14:paraId="6859E10C" w14:textId="77777777" w:rsidR="006E5BA6" w:rsidRDefault="006E5BA6">
            <w:pPr>
              <w:pStyle w:val="TableDataColumnHeading"/>
            </w:pPr>
            <w:r>
              <w:t>TAS (CZ7)</w:t>
            </w:r>
          </w:p>
          <w:p w14:paraId="5B1B7D32" w14:textId="77777777" w:rsidR="006E5BA6" w:rsidRDefault="006E5BA6">
            <w:pPr>
              <w:pStyle w:val="TableDataColumnHeading"/>
            </w:pPr>
            <w:r>
              <w:t>$ per m</w:t>
            </w:r>
            <w:r w:rsidRPr="005347E2">
              <w:rPr>
                <w:vertAlign w:val="superscript"/>
              </w:rPr>
              <w:t>2</w:t>
            </w:r>
          </w:p>
        </w:tc>
        <w:tc>
          <w:tcPr>
            <w:tcW w:w="885" w:type="dxa"/>
            <w:gridSpan w:val="2"/>
            <w:shd w:val="clear" w:color="auto" w:fill="6F6652"/>
            <w:tcMar>
              <w:left w:w="57" w:type="dxa"/>
              <w:right w:w="57" w:type="dxa"/>
            </w:tcMar>
          </w:tcPr>
          <w:p w14:paraId="489EE053" w14:textId="77777777" w:rsidR="006E5BA6" w:rsidRDefault="006E5BA6">
            <w:pPr>
              <w:pStyle w:val="TableDataColumnHeading"/>
            </w:pPr>
            <w:r>
              <w:t>ACT (CZ7)</w:t>
            </w:r>
          </w:p>
          <w:p w14:paraId="12109EFB" w14:textId="77777777" w:rsidR="006E5BA6" w:rsidRDefault="006E5BA6">
            <w:pPr>
              <w:pStyle w:val="TableDataColumnHeading"/>
            </w:pPr>
            <w:r>
              <w:t>$ per m</w:t>
            </w:r>
            <w:r w:rsidRPr="005347E2">
              <w:rPr>
                <w:vertAlign w:val="superscript"/>
              </w:rPr>
              <w:t>2</w:t>
            </w:r>
          </w:p>
        </w:tc>
        <w:tc>
          <w:tcPr>
            <w:tcW w:w="852" w:type="dxa"/>
            <w:shd w:val="clear" w:color="auto" w:fill="6F6652"/>
            <w:tcMar>
              <w:left w:w="57" w:type="dxa"/>
              <w:right w:w="57" w:type="dxa"/>
            </w:tcMar>
          </w:tcPr>
          <w:p w14:paraId="22AFB9F5" w14:textId="77777777" w:rsidR="006E5BA6" w:rsidRDefault="006E5BA6">
            <w:pPr>
              <w:pStyle w:val="TableDataColumnHeading"/>
            </w:pPr>
            <w:r>
              <w:t>NT (CZ1)</w:t>
            </w:r>
          </w:p>
          <w:p w14:paraId="4A7DBD60" w14:textId="77777777" w:rsidR="006E5BA6" w:rsidRDefault="006E5BA6">
            <w:pPr>
              <w:pStyle w:val="TableDataColumnHeading"/>
            </w:pPr>
            <w:r>
              <w:t>$ per m</w:t>
            </w:r>
            <w:r w:rsidRPr="005347E2">
              <w:rPr>
                <w:vertAlign w:val="superscript"/>
              </w:rPr>
              <w:t>2</w:t>
            </w:r>
          </w:p>
        </w:tc>
      </w:tr>
      <w:tr w:rsidR="006E5BA6" w:rsidRPr="00492AD6" w14:paraId="5F5CCEB7" w14:textId="77777777">
        <w:tblPrEx>
          <w:tblLook w:val="04A0" w:firstRow="1" w:lastRow="0" w:firstColumn="1" w:lastColumn="0" w:noHBand="0" w:noVBand="1"/>
        </w:tblPrEx>
        <w:trPr>
          <w:trHeight w:val="252"/>
        </w:trPr>
        <w:tc>
          <w:tcPr>
            <w:tcW w:w="882" w:type="dxa"/>
            <w:gridSpan w:val="2"/>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vAlign w:val="bottom"/>
            <w:hideMark/>
          </w:tcPr>
          <w:p w14:paraId="54B89DD2" w14:textId="77777777" w:rsidR="006E5BA6" w:rsidRPr="00492AD6" w:rsidRDefault="006E5BA6">
            <w:pPr>
              <w:pStyle w:val="TableDataEntries"/>
              <w:jc w:val="left"/>
              <w:rPr>
                <w:color w:val="000000" w:themeColor="text1"/>
              </w:rPr>
            </w:pPr>
            <w:r w:rsidRPr="00492AD6">
              <w:rPr>
                <w:color w:val="000000" w:themeColor="text1"/>
                <w:szCs w:val="16"/>
              </w:rPr>
              <w:t>C3HL</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98B71E8" w14:textId="5B8BF452" w:rsidR="006E5BA6" w:rsidRPr="00492AD6" w:rsidRDefault="0036009B">
            <w:pPr>
              <w:pStyle w:val="TableDataEntries"/>
              <w:rPr>
                <w:color w:val="000000" w:themeColor="text1"/>
              </w:rPr>
            </w:pPr>
            <w:r w:rsidRPr="00556946">
              <w:t>10.56</w:t>
            </w:r>
          </w:p>
        </w:tc>
        <w:tc>
          <w:tcPr>
            <w:tcW w:w="882" w:type="dxa"/>
            <w:gridSpan w:val="2"/>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59DAB59" w14:textId="72958E15" w:rsidR="006E5BA6" w:rsidRPr="00492AD6" w:rsidRDefault="0036009B">
            <w:pPr>
              <w:pStyle w:val="TableDataEntries"/>
              <w:rPr>
                <w:rFonts w:ascii="Times New Roman" w:hAnsi="Times New Roman"/>
                <w:color w:val="000000" w:themeColor="text1"/>
                <w:sz w:val="20"/>
                <w:szCs w:val="20"/>
              </w:rPr>
            </w:pPr>
            <w:r w:rsidRPr="00556946">
              <w:t>50.46</w:t>
            </w:r>
          </w:p>
        </w:tc>
        <w:tc>
          <w:tcPr>
            <w:tcW w:w="882" w:type="dxa"/>
            <w:gridSpan w:val="2"/>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CC3358D" w14:textId="2823F3A1" w:rsidR="006E5BA6" w:rsidRPr="00492AD6" w:rsidRDefault="0036009B">
            <w:pPr>
              <w:pStyle w:val="TableDataEntries"/>
              <w:rPr>
                <w:rFonts w:ascii="Times New Roman" w:hAnsi="Times New Roman"/>
                <w:color w:val="000000" w:themeColor="text1"/>
                <w:sz w:val="20"/>
                <w:szCs w:val="20"/>
              </w:rPr>
            </w:pPr>
            <w:r w:rsidRPr="00556946">
              <w:t>-0.78</w:t>
            </w:r>
          </w:p>
        </w:tc>
        <w:tc>
          <w:tcPr>
            <w:tcW w:w="882" w:type="dxa"/>
            <w:gridSpan w:val="2"/>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7EA08E3" w14:textId="4CD56CC3" w:rsidR="006E5BA6" w:rsidRPr="00492AD6" w:rsidRDefault="0036009B">
            <w:pPr>
              <w:pStyle w:val="TableDataEntries"/>
              <w:rPr>
                <w:rFonts w:ascii="Times New Roman" w:hAnsi="Times New Roman"/>
                <w:color w:val="000000" w:themeColor="text1"/>
                <w:sz w:val="20"/>
                <w:szCs w:val="20"/>
              </w:rPr>
            </w:pPr>
            <w:r w:rsidRPr="00556946">
              <w:t>5.23</w:t>
            </w:r>
          </w:p>
        </w:tc>
        <w:tc>
          <w:tcPr>
            <w:tcW w:w="882" w:type="dxa"/>
            <w:gridSpan w:val="2"/>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863BBD1" w14:textId="2F9A4432" w:rsidR="006E5BA6" w:rsidRPr="00492AD6" w:rsidRDefault="0036009B">
            <w:pPr>
              <w:pStyle w:val="TableDataEntries"/>
              <w:rPr>
                <w:rFonts w:ascii="Times New Roman" w:hAnsi="Times New Roman"/>
                <w:color w:val="000000" w:themeColor="text1"/>
                <w:sz w:val="20"/>
                <w:szCs w:val="20"/>
              </w:rPr>
            </w:pPr>
            <w:r w:rsidRPr="00556946">
              <w:t>-3.44</w:t>
            </w:r>
          </w:p>
        </w:tc>
        <w:tc>
          <w:tcPr>
            <w:tcW w:w="882" w:type="dxa"/>
            <w:gridSpan w:val="2"/>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529021E" w14:textId="753C2665" w:rsidR="006E5BA6" w:rsidRPr="00492AD6" w:rsidRDefault="0036009B">
            <w:pPr>
              <w:pStyle w:val="TableDataEntries"/>
              <w:rPr>
                <w:rFonts w:ascii="Times New Roman" w:hAnsi="Times New Roman"/>
                <w:color w:val="000000" w:themeColor="text1"/>
                <w:sz w:val="20"/>
                <w:szCs w:val="20"/>
              </w:rPr>
            </w:pPr>
            <w:r w:rsidRPr="00556946">
              <w:t>7.13</w:t>
            </w:r>
          </w:p>
        </w:tc>
        <w:tc>
          <w:tcPr>
            <w:tcW w:w="882" w:type="dxa"/>
            <w:gridSpan w:val="2"/>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142ED6C" w14:textId="711FC2E6" w:rsidR="006E5BA6" w:rsidRPr="00492AD6" w:rsidRDefault="0036009B">
            <w:pPr>
              <w:pStyle w:val="TableDataEntries"/>
              <w:rPr>
                <w:rFonts w:ascii="Times New Roman" w:hAnsi="Times New Roman"/>
                <w:color w:val="000000" w:themeColor="text1"/>
                <w:sz w:val="20"/>
                <w:szCs w:val="20"/>
              </w:rPr>
            </w:pPr>
            <w:r w:rsidRPr="00556946">
              <w:t>30.55</w:t>
            </w:r>
          </w:p>
        </w:tc>
        <w:tc>
          <w:tcPr>
            <w:tcW w:w="884" w:type="dxa"/>
            <w:gridSpan w:val="2"/>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F9B2EBC" w14:textId="085E1B43" w:rsidR="006E5BA6" w:rsidRPr="00492AD6" w:rsidRDefault="0036009B">
            <w:pPr>
              <w:pStyle w:val="TableDataEntries"/>
              <w:rPr>
                <w:rFonts w:ascii="Times New Roman" w:hAnsi="Times New Roman"/>
                <w:color w:val="000000" w:themeColor="text1"/>
                <w:sz w:val="20"/>
                <w:szCs w:val="20"/>
              </w:rPr>
            </w:pPr>
            <w:r w:rsidRPr="00556946">
              <w:t>29.42</w:t>
            </w:r>
          </w:p>
        </w:tc>
      </w:tr>
      <w:tr w:rsidR="006E5BA6" w:rsidRPr="00492AD6" w14:paraId="33C7E7B7" w14:textId="77777777">
        <w:tblPrEx>
          <w:tblLook w:val="04A0" w:firstRow="1" w:lastRow="0" w:firstColumn="1" w:lastColumn="0" w:noHBand="0" w:noVBand="1"/>
        </w:tblPrEx>
        <w:trPr>
          <w:trHeight w:val="252"/>
        </w:trPr>
        <w:tc>
          <w:tcPr>
            <w:tcW w:w="882" w:type="dxa"/>
            <w:gridSpan w:val="2"/>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vAlign w:val="bottom"/>
            <w:hideMark/>
          </w:tcPr>
          <w:p w14:paraId="06733C51" w14:textId="77777777" w:rsidR="006E5BA6" w:rsidRPr="00492AD6" w:rsidRDefault="006E5BA6">
            <w:pPr>
              <w:pStyle w:val="TableDataEntries"/>
              <w:jc w:val="left"/>
              <w:rPr>
                <w:color w:val="000000" w:themeColor="text1"/>
              </w:rPr>
            </w:pPr>
            <w:r w:rsidRPr="00492AD6">
              <w:rPr>
                <w:color w:val="000000" w:themeColor="text1"/>
                <w:szCs w:val="16"/>
              </w:rPr>
              <w:t>C5OL</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DDDB03E" w14:textId="5902371E" w:rsidR="006E5BA6" w:rsidRPr="00492AD6" w:rsidRDefault="001E5852">
            <w:pPr>
              <w:pStyle w:val="TableDataEntries"/>
              <w:rPr>
                <w:color w:val="000000" w:themeColor="text1"/>
              </w:rPr>
            </w:pPr>
            <w:r w:rsidRPr="00B31F05">
              <w:t>-0.29</w:t>
            </w:r>
          </w:p>
        </w:tc>
        <w:tc>
          <w:tcPr>
            <w:tcW w:w="882" w:type="dxa"/>
            <w:gridSpan w:val="2"/>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CBEF293" w14:textId="13AD1683" w:rsidR="006E5BA6" w:rsidRPr="00492AD6" w:rsidRDefault="001E5852">
            <w:pPr>
              <w:pStyle w:val="TableDataEntries"/>
              <w:rPr>
                <w:rFonts w:ascii="Times New Roman" w:hAnsi="Times New Roman"/>
                <w:color w:val="000000" w:themeColor="text1"/>
                <w:sz w:val="20"/>
                <w:szCs w:val="20"/>
              </w:rPr>
            </w:pPr>
            <w:r w:rsidRPr="00B31F05">
              <w:t>-2.90</w:t>
            </w:r>
          </w:p>
        </w:tc>
        <w:tc>
          <w:tcPr>
            <w:tcW w:w="882" w:type="dxa"/>
            <w:gridSpan w:val="2"/>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46C9FC9" w14:textId="6C8CF6EF" w:rsidR="006E5BA6" w:rsidRPr="00492AD6" w:rsidRDefault="001E5852">
            <w:pPr>
              <w:pStyle w:val="TableDataEntries"/>
              <w:rPr>
                <w:rFonts w:ascii="Times New Roman" w:hAnsi="Times New Roman"/>
                <w:color w:val="000000" w:themeColor="text1"/>
                <w:sz w:val="20"/>
                <w:szCs w:val="20"/>
              </w:rPr>
            </w:pPr>
            <w:r w:rsidRPr="00B31F05">
              <w:t>-0.87</w:t>
            </w:r>
          </w:p>
        </w:tc>
        <w:tc>
          <w:tcPr>
            <w:tcW w:w="882" w:type="dxa"/>
            <w:gridSpan w:val="2"/>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63AA635" w14:textId="10463ADD" w:rsidR="006E5BA6" w:rsidRPr="00492AD6" w:rsidRDefault="00B04229">
            <w:pPr>
              <w:pStyle w:val="TableDataEntries"/>
              <w:rPr>
                <w:rFonts w:ascii="Times New Roman" w:hAnsi="Times New Roman"/>
                <w:color w:val="000000" w:themeColor="text1"/>
                <w:sz w:val="20"/>
                <w:szCs w:val="20"/>
              </w:rPr>
            </w:pPr>
            <w:r w:rsidRPr="003C79FC">
              <w:t>-2.</w:t>
            </w:r>
            <w:r w:rsidR="001E5852" w:rsidRPr="00B31F05">
              <w:t>05</w:t>
            </w:r>
          </w:p>
        </w:tc>
        <w:tc>
          <w:tcPr>
            <w:tcW w:w="882" w:type="dxa"/>
            <w:gridSpan w:val="2"/>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306FDF8" w14:textId="2E7CB97F" w:rsidR="006E5BA6" w:rsidRPr="00492AD6" w:rsidRDefault="001E5852">
            <w:pPr>
              <w:pStyle w:val="TableDataEntries"/>
              <w:rPr>
                <w:rFonts w:ascii="Times New Roman" w:hAnsi="Times New Roman"/>
                <w:color w:val="000000" w:themeColor="text1"/>
                <w:sz w:val="20"/>
                <w:szCs w:val="20"/>
              </w:rPr>
            </w:pPr>
            <w:r w:rsidRPr="00B31F05">
              <w:t>-4.51</w:t>
            </w:r>
          </w:p>
        </w:tc>
        <w:tc>
          <w:tcPr>
            <w:tcW w:w="882" w:type="dxa"/>
            <w:gridSpan w:val="2"/>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E49EE35" w14:textId="48D272FB" w:rsidR="006E5BA6" w:rsidRPr="00492AD6" w:rsidRDefault="001E5852">
            <w:pPr>
              <w:pStyle w:val="TableDataEntries"/>
              <w:rPr>
                <w:rFonts w:ascii="Times New Roman" w:hAnsi="Times New Roman"/>
                <w:color w:val="000000" w:themeColor="text1"/>
                <w:sz w:val="20"/>
                <w:szCs w:val="20"/>
              </w:rPr>
            </w:pPr>
            <w:r w:rsidRPr="00B31F05">
              <w:t>-41.93</w:t>
            </w:r>
          </w:p>
        </w:tc>
        <w:tc>
          <w:tcPr>
            <w:tcW w:w="882" w:type="dxa"/>
            <w:gridSpan w:val="2"/>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5443C4C" w14:textId="131C4FBD" w:rsidR="006E5BA6" w:rsidRPr="00492AD6" w:rsidRDefault="001E5852">
            <w:pPr>
              <w:pStyle w:val="TableDataEntries"/>
              <w:rPr>
                <w:rFonts w:ascii="Times New Roman" w:hAnsi="Times New Roman"/>
                <w:color w:val="000000" w:themeColor="text1"/>
                <w:sz w:val="20"/>
                <w:szCs w:val="20"/>
              </w:rPr>
            </w:pPr>
            <w:r w:rsidRPr="00B31F05">
              <w:t>-10.00</w:t>
            </w:r>
          </w:p>
        </w:tc>
        <w:tc>
          <w:tcPr>
            <w:tcW w:w="884" w:type="dxa"/>
            <w:gridSpan w:val="2"/>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5CA0FAC" w14:textId="6844E711" w:rsidR="006E5BA6" w:rsidRPr="00492AD6" w:rsidRDefault="001E5852">
            <w:pPr>
              <w:pStyle w:val="TableDataEntries"/>
              <w:rPr>
                <w:rFonts w:ascii="Times New Roman" w:hAnsi="Times New Roman"/>
                <w:color w:val="000000" w:themeColor="text1"/>
                <w:sz w:val="20"/>
                <w:szCs w:val="20"/>
              </w:rPr>
            </w:pPr>
            <w:r w:rsidRPr="00B31F05">
              <w:t>1.48</w:t>
            </w:r>
          </w:p>
        </w:tc>
      </w:tr>
      <w:tr w:rsidR="006E5BA6" w:rsidRPr="00492AD6" w14:paraId="7BFCEA35" w14:textId="77777777">
        <w:tblPrEx>
          <w:tblLook w:val="04A0" w:firstRow="1" w:lastRow="0" w:firstColumn="1" w:lastColumn="0" w:noHBand="0" w:noVBand="1"/>
        </w:tblPrEx>
        <w:trPr>
          <w:trHeight w:val="252"/>
        </w:trPr>
        <w:tc>
          <w:tcPr>
            <w:tcW w:w="882" w:type="dxa"/>
            <w:gridSpan w:val="2"/>
            <w:tcBorders>
              <w:top w:val="single" w:sz="8" w:space="0" w:color="FFFFFF" w:themeColor="background1"/>
              <w:bottom w:val="single" w:sz="6" w:space="0" w:color="6F6652"/>
            </w:tcBorders>
            <w:shd w:val="clear" w:color="auto" w:fill="E9E8E5" w:themeFill="background2"/>
            <w:noWrap/>
            <w:tcMar>
              <w:left w:w="57" w:type="dxa"/>
              <w:right w:w="57" w:type="dxa"/>
            </w:tcMar>
            <w:vAlign w:val="bottom"/>
            <w:hideMark/>
          </w:tcPr>
          <w:p w14:paraId="17113418" w14:textId="77777777" w:rsidR="006E5BA6" w:rsidRPr="00492AD6" w:rsidRDefault="006E5BA6">
            <w:pPr>
              <w:pStyle w:val="TableDataEntries"/>
              <w:jc w:val="left"/>
              <w:rPr>
                <w:color w:val="000000" w:themeColor="text1"/>
              </w:rPr>
            </w:pPr>
            <w:r w:rsidRPr="00492AD6">
              <w:rPr>
                <w:color w:val="000000" w:themeColor="text1"/>
                <w:szCs w:val="16"/>
              </w:rPr>
              <w:t>C9A</w:t>
            </w:r>
          </w:p>
        </w:tc>
        <w:tc>
          <w:tcPr>
            <w:tcW w:w="882"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0A0843AE" w14:textId="684E7C5E" w:rsidR="006E5BA6" w:rsidRPr="00492AD6" w:rsidRDefault="00A32A6E">
            <w:pPr>
              <w:pStyle w:val="TableDataEntries"/>
              <w:rPr>
                <w:color w:val="000000" w:themeColor="text1"/>
              </w:rPr>
            </w:pPr>
            <w:r w:rsidRPr="00B74CD7">
              <w:t>12.36</w:t>
            </w:r>
          </w:p>
        </w:tc>
        <w:tc>
          <w:tcPr>
            <w:tcW w:w="882" w:type="dxa"/>
            <w:gridSpan w:val="2"/>
            <w:tcBorders>
              <w:top w:val="single" w:sz="8" w:space="0" w:color="FFFFFF" w:themeColor="background1"/>
              <w:bottom w:val="single" w:sz="6" w:space="0" w:color="6F6652"/>
            </w:tcBorders>
            <w:shd w:val="clear" w:color="auto" w:fill="E9E8E5" w:themeFill="background2"/>
            <w:noWrap/>
            <w:tcMar>
              <w:left w:w="57" w:type="dxa"/>
              <w:right w:w="57" w:type="dxa"/>
            </w:tcMar>
          </w:tcPr>
          <w:p w14:paraId="7A191E35" w14:textId="52BA1B61" w:rsidR="006E5BA6" w:rsidRPr="00492AD6" w:rsidRDefault="00A32A6E">
            <w:pPr>
              <w:pStyle w:val="TableDataEntries"/>
              <w:rPr>
                <w:rFonts w:ascii="Times New Roman" w:hAnsi="Times New Roman"/>
                <w:color w:val="000000" w:themeColor="text1"/>
                <w:sz w:val="20"/>
                <w:szCs w:val="20"/>
              </w:rPr>
            </w:pPr>
            <w:r w:rsidRPr="00B74CD7">
              <w:t>18.66</w:t>
            </w:r>
          </w:p>
        </w:tc>
        <w:tc>
          <w:tcPr>
            <w:tcW w:w="882" w:type="dxa"/>
            <w:gridSpan w:val="2"/>
            <w:tcBorders>
              <w:top w:val="single" w:sz="8" w:space="0" w:color="FFFFFF" w:themeColor="background1"/>
              <w:bottom w:val="single" w:sz="6" w:space="0" w:color="6F6652"/>
            </w:tcBorders>
            <w:shd w:val="clear" w:color="auto" w:fill="E9E8E5" w:themeFill="background2"/>
            <w:noWrap/>
            <w:tcMar>
              <w:left w:w="57" w:type="dxa"/>
              <w:right w:w="57" w:type="dxa"/>
            </w:tcMar>
          </w:tcPr>
          <w:p w14:paraId="30A8D9B5" w14:textId="027E298E" w:rsidR="006E5BA6" w:rsidRPr="00492AD6" w:rsidRDefault="00A32A6E">
            <w:pPr>
              <w:pStyle w:val="TableDataEntries"/>
              <w:rPr>
                <w:rFonts w:ascii="Times New Roman" w:hAnsi="Times New Roman"/>
                <w:color w:val="000000" w:themeColor="text1"/>
                <w:sz w:val="20"/>
                <w:szCs w:val="20"/>
              </w:rPr>
            </w:pPr>
            <w:r w:rsidRPr="00B74CD7">
              <w:t>-1.07</w:t>
            </w:r>
          </w:p>
        </w:tc>
        <w:tc>
          <w:tcPr>
            <w:tcW w:w="882" w:type="dxa"/>
            <w:gridSpan w:val="2"/>
            <w:tcBorders>
              <w:top w:val="single" w:sz="8" w:space="0" w:color="FFFFFF" w:themeColor="background1"/>
              <w:bottom w:val="single" w:sz="6" w:space="0" w:color="6F6652"/>
            </w:tcBorders>
            <w:shd w:val="clear" w:color="auto" w:fill="E9E8E5" w:themeFill="background2"/>
            <w:noWrap/>
            <w:tcMar>
              <w:left w:w="57" w:type="dxa"/>
              <w:right w:w="57" w:type="dxa"/>
            </w:tcMar>
          </w:tcPr>
          <w:p w14:paraId="58B4B15F" w14:textId="32B76F15" w:rsidR="006E5BA6" w:rsidRPr="00492AD6" w:rsidRDefault="00A32A6E">
            <w:pPr>
              <w:pStyle w:val="TableDataEntries"/>
              <w:rPr>
                <w:rFonts w:ascii="Times New Roman" w:hAnsi="Times New Roman"/>
                <w:color w:val="000000" w:themeColor="text1"/>
                <w:sz w:val="20"/>
                <w:szCs w:val="20"/>
              </w:rPr>
            </w:pPr>
            <w:r w:rsidRPr="00B74CD7">
              <w:t>6.40</w:t>
            </w:r>
          </w:p>
        </w:tc>
        <w:tc>
          <w:tcPr>
            <w:tcW w:w="882" w:type="dxa"/>
            <w:gridSpan w:val="2"/>
            <w:tcBorders>
              <w:top w:val="single" w:sz="8" w:space="0" w:color="FFFFFF" w:themeColor="background1"/>
              <w:bottom w:val="single" w:sz="6" w:space="0" w:color="6F6652"/>
            </w:tcBorders>
            <w:shd w:val="clear" w:color="auto" w:fill="E9E8E5" w:themeFill="background2"/>
            <w:noWrap/>
            <w:tcMar>
              <w:left w:w="57" w:type="dxa"/>
              <w:right w:w="57" w:type="dxa"/>
            </w:tcMar>
          </w:tcPr>
          <w:p w14:paraId="27056154" w14:textId="5D7CF163" w:rsidR="006E5BA6" w:rsidRPr="00492AD6" w:rsidRDefault="00A32A6E">
            <w:pPr>
              <w:pStyle w:val="TableDataEntries"/>
              <w:rPr>
                <w:rFonts w:ascii="Times New Roman" w:hAnsi="Times New Roman"/>
                <w:color w:val="000000" w:themeColor="text1"/>
                <w:sz w:val="20"/>
                <w:szCs w:val="20"/>
              </w:rPr>
            </w:pPr>
            <w:r w:rsidRPr="00B74CD7">
              <w:t>5.17</w:t>
            </w:r>
          </w:p>
        </w:tc>
        <w:tc>
          <w:tcPr>
            <w:tcW w:w="882" w:type="dxa"/>
            <w:gridSpan w:val="2"/>
            <w:tcBorders>
              <w:top w:val="single" w:sz="8" w:space="0" w:color="FFFFFF" w:themeColor="background1"/>
              <w:bottom w:val="single" w:sz="6" w:space="0" w:color="6F6652"/>
            </w:tcBorders>
            <w:shd w:val="clear" w:color="auto" w:fill="E9E8E5" w:themeFill="background2"/>
            <w:noWrap/>
            <w:tcMar>
              <w:left w:w="57" w:type="dxa"/>
              <w:right w:w="57" w:type="dxa"/>
            </w:tcMar>
          </w:tcPr>
          <w:p w14:paraId="1473A8DD" w14:textId="082E4EFD" w:rsidR="006E5BA6" w:rsidRPr="00492AD6" w:rsidRDefault="00DA6D55">
            <w:pPr>
              <w:pStyle w:val="TableDataEntries"/>
              <w:rPr>
                <w:rFonts w:ascii="Times New Roman" w:hAnsi="Times New Roman"/>
                <w:color w:val="000000" w:themeColor="text1"/>
                <w:sz w:val="20"/>
                <w:szCs w:val="20"/>
              </w:rPr>
            </w:pPr>
            <w:r w:rsidRPr="00923259">
              <w:t>-5.</w:t>
            </w:r>
            <w:r w:rsidR="00A32A6E" w:rsidRPr="00B74CD7">
              <w:t>96</w:t>
            </w:r>
          </w:p>
        </w:tc>
        <w:tc>
          <w:tcPr>
            <w:tcW w:w="882" w:type="dxa"/>
            <w:gridSpan w:val="2"/>
            <w:tcBorders>
              <w:top w:val="single" w:sz="8" w:space="0" w:color="FFFFFF" w:themeColor="background1"/>
              <w:bottom w:val="single" w:sz="6" w:space="0" w:color="6F6652"/>
            </w:tcBorders>
            <w:shd w:val="clear" w:color="auto" w:fill="E9E8E5" w:themeFill="background2"/>
            <w:noWrap/>
            <w:tcMar>
              <w:left w:w="57" w:type="dxa"/>
              <w:right w:w="57" w:type="dxa"/>
            </w:tcMar>
          </w:tcPr>
          <w:p w14:paraId="3421D57E" w14:textId="4EC0A2FF" w:rsidR="006E5BA6" w:rsidRPr="00492AD6" w:rsidRDefault="00A32A6E">
            <w:pPr>
              <w:pStyle w:val="TableDataEntries"/>
              <w:rPr>
                <w:rFonts w:ascii="Times New Roman" w:hAnsi="Times New Roman"/>
                <w:color w:val="000000" w:themeColor="text1"/>
                <w:sz w:val="20"/>
                <w:szCs w:val="20"/>
              </w:rPr>
            </w:pPr>
            <w:r w:rsidRPr="00B74CD7">
              <w:t>7.06</w:t>
            </w:r>
          </w:p>
        </w:tc>
        <w:tc>
          <w:tcPr>
            <w:tcW w:w="884" w:type="dxa"/>
            <w:gridSpan w:val="2"/>
            <w:tcBorders>
              <w:top w:val="single" w:sz="8" w:space="0" w:color="FFFFFF" w:themeColor="background1"/>
              <w:bottom w:val="single" w:sz="6" w:space="0" w:color="6F6652"/>
            </w:tcBorders>
            <w:shd w:val="clear" w:color="auto" w:fill="E9E8E5" w:themeFill="background2"/>
            <w:noWrap/>
            <w:tcMar>
              <w:left w:w="57" w:type="dxa"/>
              <w:right w:w="57" w:type="dxa"/>
            </w:tcMar>
          </w:tcPr>
          <w:p w14:paraId="110806E3" w14:textId="7DBC86C7" w:rsidR="006E5BA6" w:rsidRPr="00492AD6" w:rsidRDefault="00A32A6E">
            <w:pPr>
              <w:pStyle w:val="TableDataEntries"/>
              <w:rPr>
                <w:rFonts w:ascii="Times New Roman" w:hAnsi="Times New Roman"/>
                <w:color w:val="000000" w:themeColor="text1"/>
                <w:sz w:val="20"/>
                <w:szCs w:val="20"/>
              </w:rPr>
            </w:pPr>
            <w:r w:rsidRPr="00B74CD7">
              <w:t>17.89</w:t>
            </w:r>
          </w:p>
        </w:tc>
      </w:tr>
    </w:tbl>
    <w:p w14:paraId="30B1F8DA" w14:textId="77777777" w:rsidR="006E5BA6" w:rsidRPr="00492AD6" w:rsidRDefault="006E5BA6" w:rsidP="006E5BA6">
      <w:pPr>
        <w:pStyle w:val="Note"/>
        <w:rPr>
          <w:color w:val="000000" w:themeColor="text1"/>
        </w:rPr>
      </w:pPr>
      <w:r w:rsidRPr="00492AD6">
        <w:rPr>
          <w:rStyle w:val="NoteLabel"/>
          <w:color w:val="000000" w:themeColor="text1"/>
        </w:rPr>
        <w:t>a</w:t>
      </w:r>
      <w:r w:rsidRPr="00492AD6">
        <w:rPr>
          <w:color w:val="000000" w:themeColor="text1"/>
        </w:rPr>
        <w:t xml:space="preserve"> positive numbers indicate further cost savings, while negative numbers indicate less cost savings under Stringency Level 3 than Stringency Level 2.</w:t>
      </w:r>
    </w:p>
    <w:p w14:paraId="36A497F1" w14:textId="77777777" w:rsidR="006E5BA6" w:rsidRPr="00492AD6" w:rsidRDefault="006E5BA6" w:rsidP="006E5BA6">
      <w:pPr>
        <w:pStyle w:val="Note"/>
        <w:rPr>
          <w:color w:val="000000" w:themeColor="text1"/>
          <w:lang w:bidi="fa-IR"/>
        </w:rPr>
      </w:pPr>
      <w:r w:rsidRPr="00492AD6">
        <w:rPr>
          <w:i/>
          <w:color w:val="000000" w:themeColor="text1"/>
        </w:rPr>
        <w:t>Note:</w:t>
      </w:r>
      <w:r w:rsidRPr="00492AD6">
        <w:rPr>
          <w:color w:val="000000" w:themeColor="text1"/>
        </w:rPr>
        <w:t xml:space="preserve"> Estimates presented in present value terms based on: buildings constructed in 2025 assuming a 50</w:t>
      </w:r>
      <w:r w:rsidRPr="00492AD6">
        <w:rPr>
          <w:color w:val="000000" w:themeColor="text1"/>
        </w:rPr>
        <w:noBreakHyphen/>
        <w:t>year life, using a discount rate of 5 per cent.</w:t>
      </w:r>
    </w:p>
    <w:p w14:paraId="6365BCBC" w14:textId="77777777" w:rsidR="006E5BA6" w:rsidRDefault="006E5BA6" w:rsidP="006E5BA6">
      <w:pPr>
        <w:pStyle w:val="Source"/>
        <w:rPr>
          <w:lang w:bidi="fa-IR"/>
        </w:rPr>
      </w:pPr>
      <w:r w:rsidRPr="00FA1C50">
        <w:rPr>
          <w:i/>
          <w:lang w:bidi="fa-IR"/>
        </w:rPr>
        <w:t>Source:</w:t>
      </w:r>
      <w:r>
        <w:rPr>
          <w:lang w:bidi="fa-IR"/>
        </w:rPr>
        <w:t xml:space="preserve"> CIE estimates based on DeltaQ modelling.</w:t>
      </w:r>
    </w:p>
    <w:p w14:paraId="51065D60" w14:textId="77777777" w:rsidR="006E5BA6" w:rsidRDefault="006E5BA6" w:rsidP="006E5BA6">
      <w:pPr>
        <w:pStyle w:val="Heading3"/>
        <w:rPr>
          <w:lang w:bidi="fa-IR"/>
        </w:rPr>
      </w:pPr>
      <w:r>
        <w:rPr>
          <w:lang w:bidi="fa-IR"/>
        </w:rPr>
        <w:t>Change in capital-related costs</w:t>
      </w:r>
    </w:p>
    <w:p w14:paraId="7C3906FC" w14:textId="52E85C93" w:rsidR="006E5BA6" w:rsidRPr="00844A6E" w:rsidRDefault="006E5BA6" w:rsidP="006E5BA6">
      <w:pPr>
        <w:pStyle w:val="BodyText"/>
        <w:rPr>
          <w:szCs w:val="22"/>
          <w:lang w:bidi="fa-IR"/>
        </w:rPr>
      </w:pPr>
      <w:r w:rsidRPr="00844A6E">
        <w:rPr>
          <w:szCs w:val="22"/>
          <w:lang w:bidi="fa-IR"/>
        </w:rPr>
        <w:t>Table </w:t>
      </w:r>
      <w:r>
        <w:rPr>
          <w:szCs w:val="22"/>
          <w:lang w:bidi="fa-IR"/>
        </w:rPr>
        <w:fldChar w:fldCharType="begin"/>
      </w:r>
      <w:r>
        <w:rPr>
          <w:szCs w:val="22"/>
          <w:lang w:bidi="fa-IR"/>
        </w:rPr>
        <w:instrText xml:space="preserve"> REF _Caption0751 </w:instrText>
      </w:r>
      <w:r>
        <w:rPr>
          <w:szCs w:val="22"/>
          <w:lang w:bidi="fa-IR"/>
        </w:rPr>
        <w:fldChar w:fldCharType="separate"/>
      </w:r>
      <w:r w:rsidR="006E00A7">
        <w:rPr>
          <w:noProof/>
        </w:rPr>
        <w:t>6</w:t>
      </w:r>
      <w:r w:rsidR="006E00A7" w:rsidRPr="006F0F88">
        <w:rPr>
          <w:noProof/>
        </w:rPr>
        <w:t>.</w:t>
      </w:r>
      <w:r w:rsidR="006E00A7">
        <w:rPr>
          <w:noProof/>
        </w:rPr>
        <w:t>12</w:t>
      </w:r>
      <w:r>
        <w:rPr>
          <w:szCs w:val="22"/>
          <w:lang w:bidi="fa-IR"/>
        </w:rPr>
        <w:fldChar w:fldCharType="end"/>
      </w:r>
      <w:r w:rsidRPr="00844A6E">
        <w:rPr>
          <w:szCs w:val="22"/>
          <w:lang w:bidi="fa-IR"/>
        </w:rPr>
        <w:t xml:space="preserve"> reports estimated additional savings in capital</w:t>
      </w:r>
      <w:r w:rsidRPr="00844A6E">
        <w:rPr>
          <w:szCs w:val="22"/>
          <w:lang w:bidi="fa-IR"/>
        </w:rPr>
        <w:noBreakHyphen/>
        <w:t xml:space="preserve">related costs over each building’s life (assumed to be 50 years) in present value terms using a discount rate of 5 per cent under Stringency Level 3 relative to Stringency Level 2, for the three relevant archetypes. </w:t>
      </w:r>
    </w:p>
    <w:p w14:paraId="32CDECF4" w14:textId="2DDA7686" w:rsidR="006E5BA6" w:rsidRPr="006F0F88" w:rsidRDefault="006E5BA6" w:rsidP="006E5BA6">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E136D5">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136D5">
          <w:rPr>
            <w:noProof/>
          </w:rPr>
          <w:instrText>6</w:instrText>
        </w:r>
      </w:fldSimple>
      <w:r w:rsidRPr="006F0F88">
        <w:instrText xml:space="preserve"> = 0 "" "</w:instrText>
      </w:r>
      <w:fldSimple w:instr=" STYLEREF &quot;Heading 1&quot; \l \n ">
        <w:r w:rsidR="00E136D5">
          <w:rPr>
            <w:noProof/>
          </w:rPr>
          <w:instrText>6</w:instrText>
        </w:r>
      </w:fldSimple>
      <w:r w:rsidRPr="006F0F88">
        <w:instrText xml:space="preserve">." </w:instrText>
      </w:r>
      <w:r w:rsidRPr="006F0F88">
        <w:fldChar w:fldCharType="separate"/>
      </w:r>
      <w:r w:rsidR="00E136D5">
        <w:rPr>
          <w:noProof/>
        </w:rPr>
        <w:instrText>6</w:instrText>
      </w:r>
      <w:r w:rsidR="00E136D5"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6</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E136D5">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136D5">
          <w:rPr>
            <w:noProof/>
          </w:rPr>
          <w:instrText>6</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E136D5">
        <w:rPr>
          <w:noProof/>
        </w:rPr>
        <w:instrText>12</w:instrText>
      </w:r>
      <w:r w:rsidRPr="006F0F88">
        <w:fldChar w:fldCharType="end"/>
      </w:r>
      <w:r w:rsidRPr="006F0F88">
        <w:instrText xml:space="preserve">" "" </w:instrText>
      </w:r>
      <w:r w:rsidRPr="006F0F88">
        <w:fldChar w:fldCharType="separate"/>
      </w:r>
      <w:bookmarkStart w:id="2586" w:name="_Caption4473"/>
      <w:bookmarkStart w:id="2587" w:name="_Caption5770"/>
      <w:bookmarkStart w:id="2588" w:name="_Caption7476"/>
      <w:bookmarkStart w:id="2589" w:name="_Caption4114"/>
      <w:bookmarkStart w:id="2590" w:name="_Caption5692"/>
      <w:bookmarkStart w:id="2591" w:name="_Caption5115"/>
      <w:bookmarkStart w:id="2592" w:name="_Caption7085"/>
      <w:bookmarkStart w:id="2593" w:name="_Caption7063"/>
      <w:bookmarkStart w:id="2594" w:name="_Caption5522"/>
      <w:bookmarkStart w:id="2595" w:name="_Caption3621"/>
      <w:bookmarkStart w:id="2596" w:name="_Caption5059"/>
      <w:bookmarkStart w:id="2597" w:name="_Caption5354"/>
      <w:bookmarkStart w:id="2598" w:name="_Caption8978"/>
      <w:bookmarkStart w:id="2599" w:name="_Caption4252"/>
      <w:bookmarkStart w:id="2600" w:name="_Caption8565"/>
      <w:bookmarkStart w:id="2601" w:name="_Caption9365"/>
      <w:bookmarkStart w:id="2602" w:name="_Caption7141"/>
      <w:bookmarkStart w:id="2603" w:name="_Caption5541"/>
      <w:bookmarkStart w:id="2604" w:name="_Caption2128"/>
      <w:bookmarkStart w:id="2605" w:name="_Caption0720"/>
      <w:bookmarkStart w:id="2606" w:name="_Caption6986"/>
      <w:bookmarkStart w:id="2607" w:name="_Caption0060"/>
      <w:bookmarkStart w:id="2608" w:name="_Caption7371"/>
      <w:bookmarkStart w:id="2609" w:name="_Caption1173"/>
      <w:bookmarkStart w:id="2610" w:name="_Caption4159"/>
      <w:bookmarkStart w:id="2611" w:name="_Caption6375"/>
      <w:bookmarkStart w:id="2612" w:name="_Caption6152"/>
      <w:bookmarkStart w:id="2613" w:name="_Caption9360"/>
      <w:bookmarkStart w:id="2614" w:name="_Caption6946"/>
      <w:bookmarkStart w:id="2615" w:name="_Caption6520"/>
      <w:bookmarkStart w:id="2616" w:name="_Caption4481"/>
      <w:bookmarkStart w:id="2617" w:name="_Caption3541"/>
      <w:bookmarkStart w:id="2618" w:name="_Caption8293"/>
      <w:bookmarkStart w:id="2619" w:name="_Caption4451"/>
      <w:bookmarkStart w:id="2620" w:name="_Caption0751"/>
      <w:bookmarkStart w:id="2621" w:name="_Caption2661"/>
      <w:bookmarkStart w:id="2622" w:name="_Caption3706"/>
      <w:bookmarkStart w:id="2623" w:name="_Caption6029"/>
      <w:bookmarkStart w:id="2624" w:name="_Caption5448"/>
      <w:bookmarkStart w:id="2625" w:name="_Caption0693"/>
      <w:bookmarkStart w:id="2626" w:name="_Caption8990"/>
      <w:bookmarkStart w:id="2627" w:name="_Caption4286"/>
      <w:bookmarkStart w:id="2628" w:name="_Caption1423"/>
      <w:bookmarkStart w:id="2629" w:name="_Caption9034"/>
      <w:bookmarkStart w:id="2630" w:name="_Caption5236"/>
      <w:bookmarkStart w:id="2631" w:name="_Caption2826"/>
      <w:bookmarkStart w:id="2632" w:name="_Caption0080"/>
      <w:bookmarkStart w:id="2633" w:name="_Caption8008"/>
      <w:bookmarkStart w:id="2634" w:name="_Caption7124"/>
      <w:bookmarkStart w:id="2635" w:name="_Caption7563"/>
      <w:bookmarkStart w:id="2636" w:name="_Caption4058"/>
      <w:bookmarkStart w:id="2637" w:name="_Caption1921"/>
      <w:bookmarkStart w:id="2638" w:name="_Caption6628"/>
      <w:bookmarkStart w:id="2639" w:name="_Caption6673"/>
      <w:bookmarkStart w:id="2640" w:name="_Caption7861"/>
      <w:bookmarkStart w:id="2641" w:name="_Caption5989"/>
      <w:bookmarkStart w:id="2642" w:name="_Caption8386"/>
      <w:bookmarkStart w:id="2643" w:name="_Caption4739"/>
      <w:bookmarkStart w:id="2644" w:name="_Caption7195"/>
      <w:bookmarkStart w:id="2645" w:name="_Caption8383"/>
      <w:bookmarkStart w:id="2646" w:name="_Caption1808"/>
      <w:bookmarkStart w:id="2647" w:name="_Caption1194"/>
      <w:bookmarkStart w:id="2648" w:name="_Caption5430"/>
      <w:bookmarkStart w:id="2649" w:name="_Caption9060"/>
      <w:bookmarkStart w:id="2650" w:name="_Caption0788"/>
      <w:bookmarkStart w:id="2651" w:name="_Caption8658"/>
      <w:bookmarkStart w:id="2652" w:name="_Caption9113"/>
      <w:bookmarkStart w:id="2653" w:name="_Caption1783"/>
      <w:bookmarkStart w:id="2654" w:name="_Caption8005"/>
      <w:bookmarkStart w:id="2655" w:name="_Caption0886"/>
      <w:bookmarkStart w:id="2656" w:name="_Caption6608"/>
      <w:bookmarkStart w:id="2657" w:name="_Caption2950"/>
      <w:bookmarkStart w:id="2658" w:name="_Caption3901"/>
      <w:bookmarkStart w:id="2659" w:name="_Caption9237"/>
      <w:bookmarkStart w:id="2660" w:name="_Caption5542"/>
      <w:bookmarkStart w:id="2661" w:name="_Caption6789"/>
      <w:bookmarkStart w:id="2662" w:name="_Caption0506"/>
      <w:bookmarkStart w:id="2663" w:name="_Caption6497"/>
      <w:bookmarkStart w:id="2664" w:name="_Caption2063"/>
      <w:bookmarkStart w:id="2665" w:name="_Caption9874"/>
      <w:bookmarkStart w:id="2666" w:name="_Caption2872"/>
      <w:bookmarkStart w:id="2667" w:name="_Caption5387"/>
      <w:bookmarkStart w:id="2668" w:name="_Caption8355"/>
      <w:bookmarkStart w:id="2669" w:name="_Caption5372"/>
      <w:bookmarkStart w:id="2670" w:name="_Caption6864"/>
      <w:bookmarkStart w:id="2671" w:name="_Caption9225"/>
      <w:bookmarkStart w:id="2672" w:name="_Caption2775"/>
      <w:bookmarkStart w:id="2673" w:name="_Caption3049"/>
      <w:bookmarkStart w:id="2674" w:name="_Caption8101"/>
      <w:bookmarkStart w:id="2675" w:name="_Caption9332"/>
      <w:bookmarkStart w:id="2676" w:name="_Caption3572"/>
      <w:bookmarkStart w:id="2677" w:name="_Caption0608"/>
      <w:bookmarkStart w:id="2678" w:name="_Caption8883"/>
      <w:bookmarkStart w:id="2679" w:name="_Caption7605"/>
      <w:bookmarkStart w:id="2680" w:name="_Caption1960"/>
      <w:bookmarkStart w:id="2681" w:name="_Caption2358"/>
      <w:bookmarkStart w:id="2682" w:name="_Caption4357"/>
      <w:bookmarkStart w:id="2683" w:name="_Caption5461"/>
      <w:bookmarkStart w:id="2684" w:name="_Caption9271"/>
      <w:bookmarkStart w:id="2685" w:name="_Caption5746"/>
      <w:bookmarkStart w:id="2686" w:name="_Caption3463"/>
      <w:bookmarkStart w:id="2687" w:name="_Caption0635"/>
      <w:bookmarkStart w:id="2688" w:name="_Caption1790"/>
      <w:bookmarkStart w:id="2689" w:name="_Caption2227"/>
      <w:bookmarkStart w:id="2690" w:name="_Caption9429"/>
      <w:bookmarkStart w:id="2691" w:name="_Caption6129"/>
      <w:bookmarkStart w:id="2692" w:name="_Caption3359"/>
      <w:bookmarkStart w:id="2693" w:name="_Caption3793"/>
      <w:bookmarkStart w:id="2694" w:name="_Caption0162"/>
      <w:bookmarkStart w:id="2695" w:name="_Caption9680"/>
      <w:bookmarkStart w:id="2696" w:name="_Caption1990"/>
      <w:bookmarkStart w:id="2697" w:name="_Caption0579"/>
      <w:bookmarkStart w:id="2698" w:name="_Caption1819"/>
      <w:bookmarkStart w:id="2699" w:name="_Caption6183"/>
      <w:bookmarkStart w:id="2700" w:name="_Caption7331"/>
      <w:bookmarkStart w:id="2701" w:name="_Caption0688"/>
      <w:bookmarkStart w:id="2702" w:name="_Caption6087"/>
      <w:bookmarkStart w:id="2703" w:name="_Caption5220"/>
      <w:bookmarkStart w:id="2704" w:name="_Caption3330"/>
      <w:bookmarkStart w:id="2705" w:name="_Caption3645"/>
      <w:bookmarkStart w:id="2706" w:name="_Caption2009"/>
      <w:bookmarkStart w:id="2707" w:name="_Caption2684"/>
      <w:bookmarkStart w:id="2708" w:name="_Caption8433"/>
      <w:bookmarkStart w:id="2709" w:name="_Caption3835"/>
      <w:bookmarkStart w:id="2710" w:name="_Caption8544"/>
      <w:bookmarkStart w:id="2711" w:name="_Caption6916"/>
      <w:bookmarkStart w:id="2712" w:name="_Caption9690"/>
      <w:bookmarkStart w:id="2713" w:name="_Caption4202"/>
      <w:bookmarkStart w:id="2714" w:name="_Caption4435"/>
      <w:bookmarkStart w:id="2715" w:name="_Caption5265"/>
      <w:bookmarkStart w:id="2716" w:name="_Caption2958"/>
      <w:bookmarkStart w:id="2717" w:name="_Toc177735169"/>
      <w:bookmarkStart w:id="2718" w:name="_Toc178292599"/>
      <w:r w:rsidR="008C60A3">
        <w:rPr>
          <w:noProof/>
        </w:rPr>
        <w:t>6</w:t>
      </w:r>
      <w:r w:rsidR="008C60A3" w:rsidRPr="006F0F88">
        <w:rPr>
          <w:noProof/>
        </w:rPr>
        <w:t>.</w:t>
      </w:r>
      <w:r w:rsidR="008C60A3">
        <w:rPr>
          <w:noProof/>
        </w:rPr>
        <w:t>12</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r w:rsidRPr="006F0F88">
        <w:fldChar w:fldCharType="end"/>
      </w:r>
      <w:r w:rsidRPr="006F0F88">
        <w:tab/>
        <w:t>Changes in capital-related costs over building life – Stringency Level 3</w:t>
      </w:r>
      <w:bookmarkEnd w:id="2717"/>
      <w:bookmarkEnd w:id="2718"/>
    </w:p>
    <w:tbl>
      <w:tblPr>
        <w:tblW w:w="7938" w:type="dxa"/>
        <w:tblLook w:val="04A0" w:firstRow="1" w:lastRow="0" w:firstColumn="1" w:lastColumn="0" w:noHBand="0" w:noVBand="1"/>
        <w:tblCaption w:val="Table 5.11"/>
        <w:tblDescription w:val="Changes in capital-related costs over building life – Stringency Level 3"/>
      </w:tblPr>
      <w:tblGrid>
        <w:gridCol w:w="882"/>
        <w:gridCol w:w="882"/>
        <w:gridCol w:w="882"/>
        <w:gridCol w:w="882"/>
        <w:gridCol w:w="882"/>
        <w:gridCol w:w="882"/>
        <w:gridCol w:w="882"/>
        <w:gridCol w:w="882"/>
        <w:gridCol w:w="882"/>
      </w:tblGrid>
      <w:tr w:rsidR="006E5BA6" w:rsidRPr="0002566E" w14:paraId="5145CB83" w14:textId="77777777">
        <w:trPr>
          <w:trHeight w:val="216"/>
        </w:trPr>
        <w:tc>
          <w:tcPr>
            <w:tcW w:w="882" w:type="dxa"/>
            <w:shd w:val="clear" w:color="auto" w:fill="6F6652"/>
            <w:noWrap/>
            <w:tcMar>
              <w:left w:w="57" w:type="dxa"/>
              <w:right w:w="57" w:type="dxa"/>
            </w:tcMar>
            <w:hideMark/>
          </w:tcPr>
          <w:p w14:paraId="21082CC7" w14:textId="77777777" w:rsidR="006E5BA6" w:rsidRPr="0002566E" w:rsidRDefault="006E5BA6">
            <w:pPr>
              <w:pStyle w:val="TableDataColumnHeading"/>
              <w:jc w:val="left"/>
            </w:pPr>
            <w:r>
              <w:t>Building</w:t>
            </w:r>
          </w:p>
        </w:tc>
        <w:tc>
          <w:tcPr>
            <w:tcW w:w="882" w:type="dxa"/>
            <w:shd w:val="clear" w:color="auto" w:fill="6F6652"/>
            <w:noWrap/>
            <w:tcMar>
              <w:left w:w="57" w:type="dxa"/>
              <w:right w:w="57" w:type="dxa"/>
            </w:tcMar>
            <w:hideMark/>
          </w:tcPr>
          <w:p w14:paraId="51AA837E" w14:textId="77777777" w:rsidR="006E5BA6" w:rsidRDefault="006E5BA6">
            <w:pPr>
              <w:pStyle w:val="TableDataColumnHeading"/>
              <w:rPr>
                <w:szCs w:val="16"/>
              </w:rPr>
            </w:pPr>
            <w:r w:rsidRPr="002331D9">
              <w:rPr>
                <w:szCs w:val="16"/>
              </w:rPr>
              <w:t>1</w:t>
            </w:r>
          </w:p>
          <w:p w14:paraId="15835144" w14:textId="77777777" w:rsidR="006E5BA6" w:rsidRPr="002331D9" w:rsidRDefault="006E5BA6">
            <w:pPr>
              <w:pStyle w:val="TableDataColumnHeading"/>
              <w:rPr>
                <w:szCs w:val="16"/>
              </w:rPr>
            </w:pPr>
            <w:r w:rsidRPr="0002566E">
              <w:t>$</w:t>
            </w:r>
            <w:r>
              <w:t>/m</w:t>
            </w:r>
            <w:r w:rsidRPr="0089649D">
              <w:rPr>
                <w:vertAlign w:val="superscript"/>
              </w:rPr>
              <w:t>2</w:t>
            </w:r>
          </w:p>
        </w:tc>
        <w:tc>
          <w:tcPr>
            <w:tcW w:w="882" w:type="dxa"/>
            <w:shd w:val="clear" w:color="auto" w:fill="6F6652"/>
            <w:noWrap/>
            <w:tcMar>
              <w:left w:w="57" w:type="dxa"/>
              <w:right w:w="57" w:type="dxa"/>
            </w:tcMar>
            <w:hideMark/>
          </w:tcPr>
          <w:p w14:paraId="69D16508" w14:textId="77777777" w:rsidR="006E5BA6" w:rsidRDefault="006E5BA6">
            <w:pPr>
              <w:pStyle w:val="TableDataColumnHeading"/>
              <w:rPr>
                <w:szCs w:val="16"/>
              </w:rPr>
            </w:pPr>
            <w:r w:rsidRPr="002331D9">
              <w:rPr>
                <w:szCs w:val="16"/>
              </w:rPr>
              <w:t>2</w:t>
            </w:r>
          </w:p>
          <w:p w14:paraId="211DE11D" w14:textId="77777777" w:rsidR="006E5BA6" w:rsidRPr="002331D9" w:rsidRDefault="006E5BA6">
            <w:pPr>
              <w:pStyle w:val="TableDataColumnHeading"/>
              <w:rPr>
                <w:szCs w:val="16"/>
              </w:rPr>
            </w:pPr>
            <w:r w:rsidRPr="0002566E">
              <w:t>$</w:t>
            </w:r>
            <w:r>
              <w:t>/m</w:t>
            </w:r>
            <w:r w:rsidRPr="0089649D">
              <w:rPr>
                <w:vertAlign w:val="superscript"/>
              </w:rPr>
              <w:t>2</w:t>
            </w:r>
          </w:p>
        </w:tc>
        <w:tc>
          <w:tcPr>
            <w:tcW w:w="882" w:type="dxa"/>
            <w:shd w:val="clear" w:color="auto" w:fill="6F6652"/>
            <w:noWrap/>
            <w:tcMar>
              <w:left w:w="57" w:type="dxa"/>
              <w:right w:w="57" w:type="dxa"/>
            </w:tcMar>
            <w:hideMark/>
          </w:tcPr>
          <w:p w14:paraId="1251DD05" w14:textId="77777777" w:rsidR="006E5BA6" w:rsidRDefault="006E5BA6">
            <w:pPr>
              <w:pStyle w:val="TableDataColumnHeading"/>
              <w:rPr>
                <w:szCs w:val="16"/>
              </w:rPr>
            </w:pPr>
            <w:r w:rsidRPr="002331D9">
              <w:rPr>
                <w:szCs w:val="16"/>
              </w:rPr>
              <w:t>3</w:t>
            </w:r>
          </w:p>
          <w:p w14:paraId="6998C73B" w14:textId="77777777" w:rsidR="006E5BA6" w:rsidRPr="002331D9" w:rsidRDefault="006E5BA6">
            <w:pPr>
              <w:pStyle w:val="TableDataColumnHeading"/>
              <w:rPr>
                <w:szCs w:val="16"/>
              </w:rPr>
            </w:pPr>
            <w:r w:rsidRPr="0002566E">
              <w:t>$</w:t>
            </w:r>
            <w:r>
              <w:t>/m</w:t>
            </w:r>
            <w:r w:rsidRPr="0089649D">
              <w:rPr>
                <w:vertAlign w:val="superscript"/>
              </w:rPr>
              <w:t>2</w:t>
            </w:r>
          </w:p>
        </w:tc>
        <w:tc>
          <w:tcPr>
            <w:tcW w:w="882" w:type="dxa"/>
            <w:shd w:val="clear" w:color="auto" w:fill="6F6652"/>
            <w:noWrap/>
            <w:tcMar>
              <w:left w:w="57" w:type="dxa"/>
              <w:right w:w="57" w:type="dxa"/>
            </w:tcMar>
            <w:hideMark/>
          </w:tcPr>
          <w:p w14:paraId="2520080A" w14:textId="77777777" w:rsidR="006E5BA6" w:rsidRDefault="006E5BA6">
            <w:pPr>
              <w:pStyle w:val="TableDataColumnHeading"/>
              <w:rPr>
                <w:szCs w:val="16"/>
              </w:rPr>
            </w:pPr>
            <w:r w:rsidRPr="002331D9">
              <w:rPr>
                <w:szCs w:val="16"/>
              </w:rPr>
              <w:t>4</w:t>
            </w:r>
          </w:p>
          <w:p w14:paraId="58E126CC" w14:textId="77777777" w:rsidR="006E5BA6" w:rsidRPr="002331D9" w:rsidRDefault="006E5BA6">
            <w:pPr>
              <w:pStyle w:val="TableDataColumnHeading"/>
              <w:rPr>
                <w:szCs w:val="16"/>
              </w:rPr>
            </w:pPr>
            <w:r w:rsidRPr="0002566E">
              <w:t>$</w:t>
            </w:r>
            <w:r>
              <w:t>/m</w:t>
            </w:r>
            <w:r w:rsidRPr="0089649D">
              <w:rPr>
                <w:vertAlign w:val="superscript"/>
              </w:rPr>
              <w:t>2</w:t>
            </w:r>
          </w:p>
        </w:tc>
        <w:tc>
          <w:tcPr>
            <w:tcW w:w="882" w:type="dxa"/>
            <w:shd w:val="clear" w:color="auto" w:fill="6F6652"/>
            <w:noWrap/>
            <w:tcMar>
              <w:left w:w="57" w:type="dxa"/>
              <w:right w:w="57" w:type="dxa"/>
            </w:tcMar>
            <w:hideMark/>
          </w:tcPr>
          <w:p w14:paraId="509A3EAB" w14:textId="77777777" w:rsidR="006E5BA6" w:rsidRDefault="006E5BA6">
            <w:pPr>
              <w:pStyle w:val="TableDataColumnHeading"/>
              <w:rPr>
                <w:szCs w:val="16"/>
              </w:rPr>
            </w:pPr>
            <w:r w:rsidRPr="002331D9">
              <w:rPr>
                <w:szCs w:val="16"/>
              </w:rPr>
              <w:t>5</w:t>
            </w:r>
          </w:p>
          <w:p w14:paraId="486308CD" w14:textId="77777777" w:rsidR="006E5BA6" w:rsidRPr="002331D9" w:rsidRDefault="006E5BA6">
            <w:pPr>
              <w:pStyle w:val="TableDataColumnHeading"/>
              <w:rPr>
                <w:szCs w:val="16"/>
              </w:rPr>
            </w:pPr>
            <w:r w:rsidRPr="0002566E">
              <w:t>$</w:t>
            </w:r>
            <w:r>
              <w:t>/m</w:t>
            </w:r>
            <w:r w:rsidRPr="0089649D">
              <w:rPr>
                <w:vertAlign w:val="superscript"/>
              </w:rPr>
              <w:t>2</w:t>
            </w:r>
          </w:p>
        </w:tc>
        <w:tc>
          <w:tcPr>
            <w:tcW w:w="882" w:type="dxa"/>
            <w:shd w:val="clear" w:color="auto" w:fill="6F6652"/>
            <w:noWrap/>
            <w:tcMar>
              <w:left w:w="57" w:type="dxa"/>
              <w:right w:w="57" w:type="dxa"/>
            </w:tcMar>
            <w:hideMark/>
          </w:tcPr>
          <w:p w14:paraId="1A5582C8" w14:textId="77777777" w:rsidR="006E5BA6" w:rsidRDefault="006E5BA6">
            <w:pPr>
              <w:pStyle w:val="TableDataColumnHeading"/>
              <w:rPr>
                <w:szCs w:val="16"/>
              </w:rPr>
            </w:pPr>
            <w:r w:rsidRPr="002331D9">
              <w:rPr>
                <w:szCs w:val="16"/>
              </w:rPr>
              <w:t>6</w:t>
            </w:r>
          </w:p>
          <w:p w14:paraId="5D86F21E" w14:textId="77777777" w:rsidR="006E5BA6" w:rsidRPr="002331D9" w:rsidRDefault="006E5BA6">
            <w:pPr>
              <w:pStyle w:val="TableDataColumnHeading"/>
              <w:rPr>
                <w:szCs w:val="16"/>
              </w:rPr>
            </w:pPr>
            <w:r w:rsidRPr="0002566E">
              <w:t>$</w:t>
            </w:r>
            <w:r>
              <w:t>/m</w:t>
            </w:r>
            <w:r w:rsidRPr="0089649D">
              <w:rPr>
                <w:vertAlign w:val="superscript"/>
              </w:rPr>
              <w:t>2</w:t>
            </w:r>
          </w:p>
        </w:tc>
        <w:tc>
          <w:tcPr>
            <w:tcW w:w="882" w:type="dxa"/>
            <w:shd w:val="clear" w:color="auto" w:fill="6F6652"/>
            <w:noWrap/>
            <w:tcMar>
              <w:left w:w="57" w:type="dxa"/>
              <w:right w:w="57" w:type="dxa"/>
            </w:tcMar>
            <w:hideMark/>
          </w:tcPr>
          <w:p w14:paraId="1D036355" w14:textId="77777777" w:rsidR="006E5BA6" w:rsidRDefault="006E5BA6">
            <w:pPr>
              <w:pStyle w:val="TableDataColumnHeading"/>
              <w:rPr>
                <w:szCs w:val="16"/>
              </w:rPr>
            </w:pPr>
            <w:r w:rsidRPr="002331D9">
              <w:rPr>
                <w:szCs w:val="16"/>
              </w:rPr>
              <w:t>7</w:t>
            </w:r>
          </w:p>
          <w:p w14:paraId="26068614" w14:textId="77777777" w:rsidR="006E5BA6" w:rsidRPr="002331D9" w:rsidRDefault="006E5BA6">
            <w:pPr>
              <w:pStyle w:val="TableDataColumnHeading"/>
              <w:rPr>
                <w:szCs w:val="16"/>
              </w:rPr>
            </w:pPr>
            <w:r w:rsidRPr="0002566E">
              <w:t>$</w:t>
            </w:r>
            <w:r>
              <w:t>/m</w:t>
            </w:r>
            <w:r w:rsidRPr="0089649D">
              <w:rPr>
                <w:vertAlign w:val="superscript"/>
              </w:rPr>
              <w:t>2</w:t>
            </w:r>
          </w:p>
        </w:tc>
        <w:tc>
          <w:tcPr>
            <w:tcW w:w="882" w:type="dxa"/>
            <w:shd w:val="clear" w:color="auto" w:fill="6F6652"/>
            <w:noWrap/>
            <w:tcMar>
              <w:left w:w="57" w:type="dxa"/>
              <w:right w:w="57" w:type="dxa"/>
            </w:tcMar>
            <w:hideMark/>
          </w:tcPr>
          <w:p w14:paraId="63526AB4" w14:textId="77777777" w:rsidR="006E5BA6" w:rsidRDefault="006E5BA6">
            <w:pPr>
              <w:pStyle w:val="TableDataColumnHeading"/>
              <w:rPr>
                <w:szCs w:val="16"/>
              </w:rPr>
            </w:pPr>
            <w:r w:rsidRPr="002331D9">
              <w:rPr>
                <w:szCs w:val="16"/>
              </w:rPr>
              <w:t>8</w:t>
            </w:r>
          </w:p>
          <w:p w14:paraId="6BD4797E" w14:textId="77777777" w:rsidR="006E5BA6" w:rsidRPr="002331D9" w:rsidRDefault="006E5BA6">
            <w:pPr>
              <w:pStyle w:val="TableDataColumnHeading"/>
              <w:rPr>
                <w:szCs w:val="16"/>
              </w:rPr>
            </w:pPr>
            <w:r w:rsidRPr="0002566E">
              <w:t>$</w:t>
            </w:r>
            <w:r>
              <w:t>/m</w:t>
            </w:r>
            <w:r w:rsidRPr="0089649D">
              <w:rPr>
                <w:vertAlign w:val="superscript"/>
              </w:rPr>
              <w:t>2</w:t>
            </w:r>
          </w:p>
        </w:tc>
      </w:tr>
      <w:tr w:rsidR="006E5BA6" w:rsidRPr="0002566E" w14:paraId="4E8F5D9A" w14:textId="77777777">
        <w:trPr>
          <w:trHeight w:val="216"/>
        </w:trPr>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vAlign w:val="bottom"/>
            <w:hideMark/>
          </w:tcPr>
          <w:p w14:paraId="7D9D3A6D" w14:textId="77777777" w:rsidR="006E5BA6" w:rsidRPr="0002566E" w:rsidRDefault="006E5BA6">
            <w:pPr>
              <w:pStyle w:val="TableDataEntries"/>
              <w:jc w:val="left"/>
            </w:pPr>
            <w:r>
              <w:rPr>
                <w:szCs w:val="16"/>
              </w:rPr>
              <w:t>C3HL</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13D75FA3" w14:textId="1BDFB41B" w:rsidR="006E5BA6" w:rsidRPr="0002566E" w:rsidRDefault="006931B1">
            <w:pPr>
              <w:pStyle w:val="TableDataEntries"/>
            </w:pPr>
            <w:r w:rsidRPr="007D27C3">
              <w:t>-40.77</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87CA364" w14:textId="700D351D" w:rsidR="006E5BA6" w:rsidRPr="0002566E" w:rsidRDefault="006931B1">
            <w:pPr>
              <w:pStyle w:val="TableDataEntries"/>
            </w:pPr>
            <w:r w:rsidRPr="007D27C3">
              <w:t>-82.96</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0950F7D" w14:textId="45BB9A69" w:rsidR="006E5BA6" w:rsidRPr="0002566E" w:rsidRDefault="006931B1">
            <w:pPr>
              <w:pStyle w:val="TableDataEntries"/>
            </w:pPr>
            <w:r w:rsidRPr="007D27C3">
              <w:t>-24.90</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21801849" w14:textId="491F982B" w:rsidR="006E5BA6" w:rsidRPr="0002566E" w:rsidRDefault="006931B1">
            <w:pPr>
              <w:pStyle w:val="TableDataEntries"/>
            </w:pPr>
            <w:r w:rsidRPr="007D27C3">
              <w:t>-45.22</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A307552" w14:textId="5C1D8448" w:rsidR="006E5BA6" w:rsidRPr="0002566E" w:rsidRDefault="006931B1">
            <w:pPr>
              <w:pStyle w:val="TableDataEntries"/>
            </w:pPr>
            <w:r w:rsidRPr="007D27C3">
              <w:t>-81.75</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011AB99" w14:textId="7368B61D" w:rsidR="006E5BA6" w:rsidRPr="0002566E" w:rsidRDefault="006931B1">
            <w:pPr>
              <w:pStyle w:val="TableDataEntries"/>
            </w:pPr>
            <w:r w:rsidRPr="007D27C3">
              <w:t>-53.20</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0F0DA23" w14:textId="131F6F53" w:rsidR="006E5BA6" w:rsidRPr="0002566E" w:rsidRDefault="006931B1">
            <w:pPr>
              <w:pStyle w:val="TableDataEntries"/>
            </w:pPr>
            <w:r w:rsidRPr="007D27C3">
              <w:t>-47.73</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2ED241E" w14:textId="37FE6F23" w:rsidR="006E5BA6" w:rsidRPr="0002566E" w:rsidRDefault="006931B1">
            <w:pPr>
              <w:pStyle w:val="TableDataEntries"/>
            </w:pPr>
            <w:r w:rsidRPr="007D27C3">
              <w:t>-78.48</w:t>
            </w:r>
          </w:p>
        </w:tc>
      </w:tr>
      <w:tr w:rsidR="006E5BA6" w:rsidRPr="0002566E" w14:paraId="580B6F38" w14:textId="77777777">
        <w:trPr>
          <w:trHeight w:val="216"/>
        </w:trPr>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vAlign w:val="bottom"/>
            <w:hideMark/>
          </w:tcPr>
          <w:p w14:paraId="6D06C5F4" w14:textId="77777777" w:rsidR="006E5BA6" w:rsidRPr="0002566E" w:rsidRDefault="006E5BA6">
            <w:pPr>
              <w:pStyle w:val="TableDataEntries"/>
              <w:jc w:val="left"/>
            </w:pPr>
            <w:r>
              <w:rPr>
                <w:szCs w:val="16"/>
              </w:rPr>
              <w:t>C5OL</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37E52477" w14:textId="3D111276" w:rsidR="006E5BA6" w:rsidRPr="0002566E" w:rsidRDefault="00B60630">
            <w:pPr>
              <w:pStyle w:val="TableDataEntries"/>
            </w:pPr>
            <w:r w:rsidRPr="003A7A85">
              <w:t>-19.20</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CB4C8C3" w14:textId="52FE0E36" w:rsidR="006E5BA6" w:rsidRPr="0002566E" w:rsidRDefault="00B60630">
            <w:pPr>
              <w:pStyle w:val="TableDataEntries"/>
            </w:pPr>
            <w:r w:rsidRPr="003A7A85">
              <w:t>-9.39</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6E86D161" w14:textId="7774032F" w:rsidR="006E5BA6" w:rsidRPr="0002566E" w:rsidRDefault="00B60630">
            <w:pPr>
              <w:pStyle w:val="TableDataEntries"/>
            </w:pPr>
            <w:r w:rsidRPr="003A7A85">
              <w:t>-14.55</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51B6FD9" w14:textId="38AB0C8C" w:rsidR="006E5BA6" w:rsidRPr="0002566E" w:rsidRDefault="00B60630">
            <w:pPr>
              <w:pStyle w:val="TableDataEntries"/>
            </w:pPr>
            <w:r w:rsidRPr="003A7A85">
              <w:t>-34.15</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489EAA2E" w14:textId="150D350C" w:rsidR="006E5BA6" w:rsidRPr="0002566E" w:rsidRDefault="00B60630">
            <w:pPr>
              <w:pStyle w:val="TableDataEntries"/>
            </w:pPr>
            <w:r w:rsidRPr="003A7A85">
              <w:t>-13.78</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09F37218" w14:textId="36B8CD33" w:rsidR="006E5BA6" w:rsidRPr="0002566E" w:rsidRDefault="00B60630">
            <w:pPr>
              <w:pStyle w:val="TableDataEntries"/>
            </w:pPr>
            <w:r w:rsidRPr="003A7A85">
              <w:t>-35.48</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5B6CABDA" w14:textId="6AA4EE13" w:rsidR="006E5BA6" w:rsidRPr="0002566E" w:rsidRDefault="00B60630">
            <w:pPr>
              <w:pStyle w:val="TableDataEntries"/>
            </w:pPr>
            <w:r w:rsidRPr="003A7A85">
              <w:t>-35.82</w:t>
            </w:r>
          </w:p>
        </w:tc>
        <w:tc>
          <w:tcPr>
            <w:tcW w:w="88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tcPr>
          <w:p w14:paraId="7309BFAE" w14:textId="544E32DB" w:rsidR="006E5BA6" w:rsidRPr="0002566E" w:rsidRDefault="00B60630">
            <w:pPr>
              <w:pStyle w:val="TableDataEntries"/>
            </w:pPr>
            <w:r w:rsidRPr="003A7A85">
              <w:t>-62.04</w:t>
            </w:r>
          </w:p>
        </w:tc>
      </w:tr>
      <w:tr w:rsidR="006E5BA6" w:rsidRPr="0002566E" w14:paraId="5B5CA65A" w14:textId="77777777">
        <w:trPr>
          <w:trHeight w:val="216"/>
        </w:trPr>
        <w:tc>
          <w:tcPr>
            <w:tcW w:w="882" w:type="dxa"/>
            <w:tcBorders>
              <w:top w:val="single" w:sz="8" w:space="0" w:color="FFFFFF" w:themeColor="background1"/>
              <w:bottom w:val="single" w:sz="6" w:space="0" w:color="6F6652"/>
            </w:tcBorders>
            <w:shd w:val="clear" w:color="auto" w:fill="E9E8E5" w:themeFill="background2"/>
            <w:noWrap/>
            <w:tcMar>
              <w:left w:w="57" w:type="dxa"/>
              <w:right w:w="57" w:type="dxa"/>
            </w:tcMar>
            <w:vAlign w:val="bottom"/>
            <w:hideMark/>
          </w:tcPr>
          <w:p w14:paraId="49B69EAB" w14:textId="77777777" w:rsidR="006E5BA6" w:rsidRPr="0002566E" w:rsidRDefault="006E5BA6">
            <w:pPr>
              <w:pStyle w:val="TableDataEntries"/>
              <w:jc w:val="left"/>
            </w:pPr>
            <w:r>
              <w:rPr>
                <w:szCs w:val="16"/>
              </w:rPr>
              <w:t>C9A</w:t>
            </w:r>
          </w:p>
        </w:tc>
        <w:tc>
          <w:tcPr>
            <w:tcW w:w="882"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7DF1F277" w14:textId="62F3DC08" w:rsidR="006E5BA6" w:rsidRPr="0002566E" w:rsidRDefault="001B44DE">
            <w:pPr>
              <w:pStyle w:val="TableDataEntries"/>
            </w:pPr>
            <w:r w:rsidRPr="00F50E04">
              <w:t>-41.29</w:t>
            </w:r>
          </w:p>
        </w:tc>
        <w:tc>
          <w:tcPr>
            <w:tcW w:w="882"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45EFB218" w14:textId="7FBCCD45" w:rsidR="006E5BA6" w:rsidRPr="0002566E" w:rsidRDefault="00D5606E">
            <w:pPr>
              <w:pStyle w:val="TableDataEntries"/>
            </w:pPr>
            <w:r w:rsidRPr="00912864">
              <w:t>-94.68</w:t>
            </w:r>
          </w:p>
        </w:tc>
        <w:tc>
          <w:tcPr>
            <w:tcW w:w="882"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17902E18" w14:textId="091BCBA0" w:rsidR="006E5BA6" w:rsidRPr="0002566E" w:rsidRDefault="00D5606E">
            <w:pPr>
              <w:pStyle w:val="TableDataEntries"/>
            </w:pPr>
            <w:r w:rsidRPr="00912864">
              <w:t>-12.18</w:t>
            </w:r>
          </w:p>
        </w:tc>
        <w:tc>
          <w:tcPr>
            <w:tcW w:w="882"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11450D5D" w14:textId="0A5F80D6" w:rsidR="006E5BA6" w:rsidRPr="0002566E" w:rsidRDefault="00D5606E">
            <w:pPr>
              <w:pStyle w:val="TableDataEntries"/>
            </w:pPr>
            <w:r w:rsidRPr="00912864">
              <w:t>-41.74</w:t>
            </w:r>
          </w:p>
        </w:tc>
        <w:tc>
          <w:tcPr>
            <w:tcW w:w="882"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211E5692" w14:textId="0CDE3EB4" w:rsidR="006E5BA6" w:rsidRPr="0002566E" w:rsidRDefault="00D5606E">
            <w:pPr>
              <w:pStyle w:val="TableDataEntries"/>
            </w:pPr>
            <w:r w:rsidRPr="00912864">
              <w:t>-92.00</w:t>
            </w:r>
          </w:p>
        </w:tc>
        <w:tc>
          <w:tcPr>
            <w:tcW w:w="882"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23EBD1D8" w14:textId="45183244" w:rsidR="006E5BA6" w:rsidRPr="0002566E" w:rsidRDefault="00D5606E">
            <w:pPr>
              <w:pStyle w:val="TableDataEntries"/>
            </w:pPr>
            <w:r w:rsidRPr="00912864">
              <w:t>-47.31</w:t>
            </w:r>
          </w:p>
        </w:tc>
        <w:tc>
          <w:tcPr>
            <w:tcW w:w="882"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28DE04CA" w14:textId="4C4D415B" w:rsidR="006E5BA6" w:rsidRPr="0002566E" w:rsidRDefault="00D5606E">
            <w:pPr>
              <w:pStyle w:val="TableDataEntries"/>
            </w:pPr>
            <w:r w:rsidRPr="00912864">
              <w:t>-37.44</w:t>
            </w:r>
          </w:p>
        </w:tc>
        <w:tc>
          <w:tcPr>
            <w:tcW w:w="882" w:type="dxa"/>
            <w:tcBorders>
              <w:top w:val="single" w:sz="8" w:space="0" w:color="FFFFFF" w:themeColor="background1"/>
              <w:bottom w:val="single" w:sz="6" w:space="0" w:color="6F6652"/>
            </w:tcBorders>
            <w:shd w:val="clear" w:color="auto" w:fill="E9E8E5" w:themeFill="background2"/>
            <w:noWrap/>
            <w:tcMar>
              <w:left w:w="57" w:type="dxa"/>
              <w:right w:w="57" w:type="dxa"/>
            </w:tcMar>
          </w:tcPr>
          <w:p w14:paraId="686A917F" w14:textId="4AD1140E" w:rsidR="006E5BA6" w:rsidRPr="0002566E" w:rsidRDefault="00D5606E">
            <w:pPr>
              <w:pStyle w:val="TableDataEntries"/>
            </w:pPr>
            <w:r w:rsidRPr="00912864">
              <w:t>-54.20</w:t>
            </w:r>
          </w:p>
        </w:tc>
      </w:tr>
    </w:tbl>
    <w:p w14:paraId="0C66B625" w14:textId="77777777" w:rsidR="006E5BA6" w:rsidRDefault="006E5BA6" w:rsidP="006E5BA6">
      <w:pPr>
        <w:pStyle w:val="Note"/>
        <w:rPr>
          <w:lang w:bidi="fa-IR"/>
        </w:rPr>
      </w:pPr>
      <w:r w:rsidRPr="007D1B4F">
        <w:rPr>
          <w:i/>
        </w:rPr>
        <w:t>Note:</w:t>
      </w:r>
      <w:r w:rsidRPr="00E879B8">
        <w:t xml:space="preserve"> </w:t>
      </w:r>
      <w:r>
        <w:t>A positive number indicates that costs are estimated to be lower under Stringency Level 3 than Stringency Level 2. A negative number indicates that capital</w:t>
      </w:r>
      <w:r>
        <w:noBreakHyphen/>
        <w:t>related costs are estimated to be higher (i.e. additional cost).</w:t>
      </w:r>
    </w:p>
    <w:p w14:paraId="5B666F0C" w14:textId="77777777" w:rsidR="006E5BA6" w:rsidRDefault="006E5BA6" w:rsidP="006E5BA6">
      <w:pPr>
        <w:pStyle w:val="Source"/>
        <w:rPr>
          <w:lang w:bidi="fa-IR"/>
        </w:rPr>
      </w:pPr>
      <w:r w:rsidRPr="0002566E">
        <w:rPr>
          <w:i/>
          <w:lang w:bidi="fa-IR"/>
        </w:rPr>
        <w:t>Source:</w:t>
      </w:r>
      <w:r>
        <w:rPr>
          <w:lang w:bidi="fa-IR"/>
        </w:rPr>
        <w:t xml:space="preserve"> DeltaQ modelling, CIE.</w:t>
      </w:r>
    </w:p>
    <w:p w14:paraId="03BF15C0" w14:textId="77777777" w:rsidR="006E5BA6" w:rsidRPr="00844A6E" w:rsidRDefault="006E5BA6" w:rsidP="006E5BA6">
      <w:pPr>
        <w:pStyle w:val="BodyText"/>
        <w:rPr>
          <w:szCs w:val="22"/>
          <w:lang w:bidi="fa-IR"/>
        </w:rPr>
      </w:pPr>
      <w:r w:rsidRPr="00844A6E">
        <w:rPr>
          <w:szCs w:val="22"/>
          <w:lang w:bidi="fa-IR"/>
        </w:rPr>
        <w:t>It can be seen that the three archetypes (C3HL, C5OL and C9A) relevant for electrification are all estimated to have higher construction costs under Stringency</w:t>
      </w:r>
      <w:r>
        <w:rPr>
          <w:lang w:bidi="fa-IR"/>
        </w:rPr>
        <w:t xml:space="preserve"> </w:t>
      </w:r>
      <w:r w:rsidRPr="00844A6E">
        <w:rPr>
          <w:szCs w:val="22"/>
          <w:lang w:bidi="fa-IR"/>
        </w:rPr>
        <w:t xml:space="preserve">Level 3 than under Stringency Level 2 due to costs associated with electrification and/or electrification readiness. </w:t>
      </w:r>
    </w:p>
    <w:p w14:paraId="54B219ED" w14:textId="77777777" w:rsidR="006E5BA6" w:rsidRPr="00844A6E" w:rsidRDefault="006E5BA6" w:rsidP="006E5BA6">
      <w:pPr>
        <w:pStyle w:val="BodyText"/>
        <w:rPr>
          <w:szCs w:val="22"/>
          <w:lang w:bidi="fa-IR"/>
        </w:rPr>
      </w:pPr>
      <w:r w:rsidRPr="00844A6E">
        <w:rPr>
          <w:szCs w:val="22"/>
          <w:lang w:bidi="fa-IR"/>
        </w:rPr>
        <w:t>This universal increase in capital costs together with some reduction in energy-related cost savings reported above explains lower net benefit under Stringency Level 3 than Stringency Level 2 for the three archetypes.</w:t>
      </w:r>
    </w:p>
    <w:p w14:paraId="09D33113" w14:textId="77777777" w:rsidR="006568C5" w:rsidRDefault="006568C5" w:rsidP="006568C5">
      <w:pPr>
        <w:pStyle w:val="Heading1"/>
      </w:pPr>
      <w:bookmarkStart w:id="2719" w:name="_Ref155625440"/>
      <w:bookmarkStart w:id="2720" w:name="_Toc177735109"/>
      <w:bookmarkStart w:id="2721" w:name="_Toc178292543"/>
      <w:r>
        <w:t>Aggregate impacts</w:t>
      </w:r>
      <w:bookmarkEnd w:id="2719"/>
      <w:bookmarkEnd w:id="2720"/>
      <w:bookmarkEnd w:id="2721"/>
    </w:p>
    <w:p w14:paraId="060E6E49" w14:textId="52C856EE" w:rsidR="006568C5" w:rsidRPr="00844A6E" w:rsidRDefault="006568C5" w:rsidP="006568C5">
      <w:pPr>
        <w:pStyle w:val="BodyText"/>
        <w:rPr>
          <w:szCs w:val="22"/>
        </w:rPr>
      </w:pPr>
      <w:r w:rsidRPr="00844A6E">
        <w:rPr>
          <w:szCs w:val="22"/>
        </w:rPr>
        <w:t>The building level impacts presented in the previous chapter are aggregated into state and national results, using the commercial building projections by Strategy.Policy.Research (SPR) for Department of Climate Change, Energy, the Environment and Water (DCCEEW),</w:t>
      </w:r>
      <w:r w:rsidRPr="003B1AB9">
        <w:rPr>
          <w:rStyle w:val="FootnoteReference"/>
        </w:rPr>
        <w:footnoteReference w:id="129"/>
      </w:r>
      <w:r w:rsidRPr="003B1AB9">
        <w:rPr>
          <w:rStyle w:val="FootnoteReference"/>
        </w:rPr>
        <w:t xml:space="preserve"> </w:t>
      </w:r>
      <w:r w:rsidRPr="00844A6E">
        <w:rPr>
          <w:szCs w:val="22"/>
        </w:rPr>
        <w:t>and taking into account solar PV and EV charging in the baseline.</w:t>
      </w:r>
    </w:p>
    <w:p w14:paraId="72A9ABD3" w14:textId="77777777" w:rsidR="006568C5" w:rsidRDefault="006568C5" w:rsidP="006568C5">
      <w:pPr>
        <w:pStyle w:val="Heading2"/>
      </w:pPr>
      <w:bookmarkStart w:id="2722" w:name="_Toc177735110"/>
      <w:bookmarkStart w:id="2723" w:name="_Toc178292544"/>
      <w:r>
        <w:t>Summary of aggregate impacts</w:t>
      </w:r>
      <w:bookmarkEnd w:id="2722"/>
      <w:bookmarkEnd w:id="2723"/>
    </w:p>
    <w:p w14:paraId="7231BE87" w14:textId="371CEAC4" w:rsidR="006568C5" w:rsidRPr="00844A6E" w:rsidRDefault="006568C5" w:rsidP="006568C5">
      <w:pPr>
        <w:pStyle w:val="BodyText"/>
        <w:rPr>
          <w:szCs w:val="22"/>
        </w:rPr>
      </w:pPr>
      <w:r w:rsidRPr="00844A6E">
        <w:rPr>
          <w:szCs w:val="22"/>
        </w:rPr>
        <w:t>Table </w:t>
      </w:r>
      <w:r>
        <w:rPr>
          <w:szCs w:val="22"/>
        </w:rPr>
        <w:fldChar w:fldCharType="begin"/>
      </w:r>
      <w:r>
        <w:rPr>
          <w:szCs w:val="22"/>
        </w:rPr>
        <w:instrText xml:space="preserve"> REF _Caption8657 </w:instrText>
      </w:r>
      <w:r>
        <w:rPr>
          <w:szCs w:val="22"/>
        </w:rPr>
        <w:fldChar w:fldCharType="separate"/>
      </w:r>
      <w:r w:rsidR="006E00A7">
        <w:rPr>
          <w:noProof/>
        </w:rPr>
        <w:t>7</w:t>
      </w:r>
      <w:r w:rsidR="006E00A7" w:rsidRPr="006F0F88">
        <w:rPr>
          <w:noProof/>
        </w:rPr>
        <w:t>.</w:t>
      </w:r>
      <w:r w:rsidR="006E00A7">
        <w:rPr>
          <w:noProof/>
        </w:rPr>
        <w:t>1</w:t>
      </w:r>
      <w:r>
        <w:rPr>
          <w:szCs w:val="22"/>
        </w:rPr>
        <w:fldChar w:fldCharType="end"/>
      </w:r>
      <w:r w:rsidRPr="00844A6E">
        <w:rPr>
          <w:szCs w:val="22"/>
        </w:rPr>
        <w:t xml:space="preserve"> summarises the CBA results for each of the 3 options (compared to current practice under the current code). All costs and benefits are expressed in net present value terms (using a discount rate of 5 per cent) over the life (assumed to be 50 years) of all commercial buildings to be constructed over the 10</w:t>
      </w:r>
      <w:r w:rsidRPr="00844A6E">
        <w:rPr>
          <w:szCs w:val="22"/>
        </w:rPr>
        <w:noBreakHyphen/>
        <w:t>year period from 2025 to 2034. Benefit-cost ratios are not reported in the table because there are capital cost savings under Stringency Level 1.</w:t>
      </w:r>
    </w:p>
    <w:p w14:paraId="79672B10" w14:textId="77777777" w:rsidR="006568C5" w:rsidRPr="00844A6E" w:rsidRDefault="006568C5" w:rsidP="006568C5">
      <w:pPr>
        <w:pStyle w:val="BodyText"/>
        <w:rPr>
          <w:szCs w:val="22"/>
        </w:rPr>
      </w:pPr>
      <w:r w:rsidRPr="00844A6E">
        <w:rPr>
          <w:szCs w:val="22"/>
        </w:rPr>
        <w:t>Key findings are as follows:</w:t>
      </w:r>
    </w:p>
    <w:p w14:paraId="05EC05EB" w14:textId="77777777" w:rsidR="006568C5" w:rsidRPr="00EF1839" w:rsidRDefault="006568C5" w:rsidP="006568C5">
      <w:pPr>
        <w:pStyle w:val="ListBullet"/>
        <w:tabs>
          <w:tab w:val="num" w:pos="709"/>
        </w:tabs>
      </w:pPr>
      <w:r w:rsidRPr="00EF1839">
        <w:t>All options under consideration are estimated to deliver significant net benefits (relative to current NCC requirements) indicating a strong case to update the NCC.</w:t>
      </w:r>
    </w:p>
    <w:p w14:paraId="4AABBAA6" w14:textId="3A7C2B49" w:rsidR="006568C5" w:rsidRPr="00EF1839" w:rsidRDefault="008D1692" w:rsidP="006568C5">
      <w:pPr>
        <w:pStyle w:val="ListBullet"/>
        <w:tabs>
          <w:tab w:val="num" w:pos="709"/>
        </w:tabs>
      </w:pPr>
      <w:r>
        <w:t>Stringency Level</w:t>
      </w:r>
      <w:r w:rsidR="006568C5" w:rsidRPr="00EF1839">
        <w:t xml:space="preserve"> 1 is estimated to deliver net benefits of around </w:t>
      </w:r>
      <w:r w:rsidR="006568C5" w:rsidRPr="004A4F7B">
        <w:rPr>
          <w:b/>
        </w:rPr>
        <w:t>$</w:t>
      </w:r>
      <w:r w:rsidR="000E5314">
        <w:rPr>
          <w:b/>
        </w:rPr>
        <w:t>6.8</w:t>
      </w:r>
      <w:r w:rsidR="006568C5" w:rsidRPr="004A4F7B">
        <w:rPr>
          <w:b/>
        </w:rPr>
        <w:t> billion</w:t>
      </w:r>
      <w:r w:rsidR="006568C5" w:rsidRPr="00EF1839">
        <w:t xml:space="preserve"> in net present value terms.</w:t>
      </w:r>
    </w:p>
    <w:p w14:paraId="39244793" w14:textId="07E88843" w:rsidR="006568C5" w:rsidRPr="00EF1839" w:rsidRDefault="008D1692" w:rsidP="006568C5">
      <w:pPr>
        <w:pStyle w:val="ListBullet"/>
        <w:tabs>
          <w:tab w:val="num" w:pos="709"/>
        </w:tabs>
      </w:pPr>
      <w:r>
        <w:t>Stringency Level</w:t>
      </w:r>
      <w:r w:rsidRPr="00EF1839">
        <w:t xml:space="preserve"> </w:t>
      </w:r>
      <w:r w:rsidR="006568C5" w:rsidRPr="00EF1839">
        <w:t xml:space="preserve">2 is estimated to deliver the highest net benefits of all the options — around </w:t>
      </w:r>
      <w:r w:rsidR="006568C5" w:rsidRPr="004A4F7B">
        <w:rPr>
          <w:b/>
        </w:rPr>
        <w:t>$</w:t>
      </w:r>
      <w:r w:rsidR="009445BF">
        <w:rPr>
          <w:b/>
        </w:rPr>
        <w:t>10</w:t>
      </w:r>
      <w:r w:rsidR="006568C5" w:rsidRPr="004A4F7B">
        <w:rPr>
          <w:b/>
        </w:rPr>
        <w:t> billion</w:t>
      </w:r>
      <w:r w:rsidR="006568C5" w:rsidRPr="00EF1839">
        <w:t xml:space="preserve"> in net present value terms — indicating this is the preferred option from a CBA perspective.</w:t>
      </w:r>
    </w:p>
    <w:p w14:paraId="3FDAA101" w14:textId="2CE7AF8E" w:rsidR="006568C5" w:rsidRPr="00EF1839" w:rsidRDefault="006568C5" w:rsidP="006568C5">
      <w:pPr>
        <w:pStyle w:val="ListBullet"/>
        <w:tabs>
          <w:tab w:val="num" w:pos="709"/>
        </w:tabs>
      </w:pPr>
      <w:r w:rsidRPr="00EF1839">
        <w:t xml:space="preserve">The estimated impacts of </w:t>
      </w:r>
      <w:r w:rsidR="008D1692">
        <w:t>Stringency Level</w:t>
      </w:r>
      <w:r w:rsidR="008D1692" w:rsidRPr="00EF1839">
        <w:t xml:space="preserve"> </w:t>
      </w:r>
      <w:r w:rsidRPr="00EF1839">
        <w:t xml:space="preserve">3 are slightly lower than </w:t>
      </w:r>
      <w:r w:rsidR="0080128D" w:rsidRPr="0080128D">
        <w:t xml:space="preserve">Stringency Level </w:t>
      </w:r>
      <w:r w:rsidRPr="00EF1839">
        <w:t xml:space="preserve">2 at around </w:t>
      </w:r>
      <w:r w:rsidRPr="00776FD0">
        <w:rPr>
          <w:b/>
        </w:rPr>
        <w:t>$</w:t>
      </w:r>
      <w:r w:rsidR="00684102">
        <w:rPr>
          <w:b/>
        </w:rPr>
        <w:t>9.</w:t>
      </w:r>
      <w:r w:rsidR="00C0756A">
        <w:rPr>
          <w:b/>
        </w:rPr>
        <w:t>4</w:t>
      </w:r>
      <w:r w:rsidRPr="00776FD0">
        <w:rPr>
          <w:b/>
        </w:rPr>
        <w:t> billion</w:t>
      </w:r>
      <w:r w:rsidRPr="00EF1839">
        <w:t>.</w:t>
      </w:r>
    </w:p>
    <w:p w14:paraId="415F6B98" w14:textId="1F4365AD" w:rsidR="006568C5" w:rsidRPr="006F0F88" w:rsidRDefault="006568C5" w:rsidP="006568C5">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E136D5">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136D5">
          <w:rPr>
            <w:noProof/>
          </w:rPr>
          <w:instrText>7</w:instrText>
        </w:r>
      </w:fldSimple>
      <w:r w:rsidRPr="006F0F88">
        <w:instrText xml:space="preserve"> = 0 "" "</w:instrText>
      </w:r>
      <w:fldSimple w:instr=" STYLEREF &quot;Heading 1&quot; \l \n ">
        <w:r w:rsidR="00E136D5">
          <w:rPr>
            <w:noProof/>
          </w:rPr>
          <w:instrText>7</w:instrText>
        </w:r>
      </w:fldSimple>
      <w:r w:rsidRPr="006F0F88">
        <w:instrText xml:space="preserve">." </w:instrText>
      </w:r>
      <w:r w:rsidRPr="006F0F88">
        <w:fldChar w:fldCharType="separate"/>
      </w:r>
      <w:r w:rsidR="00E136D5">
        <w:rPr>
          <w:noProof/>
        </w:rPr>
        <w:instrText>7</w:instrText>
      </w:r>
      <w:r w:rsidR="00E136D5"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7</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E136D5">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136D5">
          <w:rPr>
            <w:noProof/>
          </w:rPr>
          <w:instrText>7</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E136D5">
        <w:rPr>
          <w:noProof/>
        </w:rPr>
        <w:instrText>1</w:instrText>
      </w:r>
      <w:r w:rsidRPr="006F0F88">
        <w:fldChar w:fldCharType="end"/>
      </w:r>
      <w:r w:rsidRPr="006F0F88">
        <w:instrText xml:space="preserve">" "" </w:instrText>
      </w:r>
      <w:r w:rsidRPr="006F0F88">
        <w:fldChar w:fldCharType="separate"/>
      </w:r>
      <w:bookmarkStart w:id="2724" w:name="_Caption0374"/>
      <w:bookmarkStart w:id="2725" w:name="_Caption5778"/>
      <w:bookmarkStart w:id="2726" w:name="_Caption5086"/>
      <w:bookmarkStart w:id="2727" w:name="_Caption1738"/>
      <w:bookmarkStart w:id="2728" w:name="_Caption7681"/>
      <w:bookmarkStart w:id="2729" w:name="_Caption7745"/>
      <w:bookmarkStart w:id="2730" w:name="_Caption4161"/>
      <w:bookmarkStart w:id="2731" w:name="_Caption1616"/>
      <w:bookmarkStart w:id="2732" w:name="_Caption8140"/>
      <w:bookmarkStart w:id="2733" w:name="_Caption4916"/>
      <w:bookmarkStart w:id="2734" w:name="_Caption9719"/>
      <w:bookmarkStart w:id="2735" w:name="_Caption5319"/>
      <w:bookmarkStart w:id="2736" w:name="_Caption0474"/>
      <w:bookmarkStart w:id="2737" w:name="_Caption7871"/>
      <w:bookmarkStart w:id="2738" w:name="_Caption6963"/>
      <w:bookmarkStart w:id="2739" w:name="_Caption3571"/>
      <w:bookmarkStart w:id="2740" w:name="_Caption7550"/>
      <w:bookmarkStart w:id="2741" w:name="_Caption2323"/>
      <w:bookmarkStart w:id="2742" w:name="_Caption4117"/>
      <w:bookmarkStart w:id="2743" w:name="_Caption8691"/>
      <w:bookmarkStart w:id="2744" w:name="_Caption8628"/>
      <w:bookmarkStart w:id="2745" w:name="_Caption3157"/>
      <w:bookmarkStart w:id="2746" w:name="_Caption8390"/>
      <w:bookmarkStart w:id="2747" w:name="_Caption4270"/>
      <w:bookmarkStart w:id="2748" w:name="_Caption2837"/>
      <w:bookmarkStart w:id="2749" w:name="_Caption5561"/>
      <w:bookmarkStart w:id="2750" w:name="_Caption2668"/>
      <w:bookmarkStart w:id="2751" w:name="_Caption3058"/>
      <w:bookmarkStart w:id="2752" w:name="_Caption2290"/>
      <w:bookmarkStart w:id="2753" w:name="_Caption9403"/>
      <w:bookmarkStart w:id="2754" w:name="_Caption2878"/>
      <w:bookmarkStart w:id="2755" w:name="_Caption4182"/>
      <w:bookmarkStart w:id="2756" w:name="_Caption1137"/>
      <w:bookmarkStart w:id="2757" w:name="_Caption8657"/>
      <w:bookmarkStart w:id="2758" w:name="_Caption5734"/>
      <w:bookmarkStart w:id="2759" w:name="_Caption5668"/>
      <w:bookmarkStart w:id="2760" w:name="_Caption6241"/>
      <w:bookmarkStart w:id="2761" w:name="_Caption3637"/>
      <w:bookmarkStart w:id="2762" w:name="_Caption4472"/>
      <w:bookmarkStart w:id="2763" w:name="_Caption1697"/>
      <w:bookmarkStart w:id="2764" w:name="_Caption4010"/>
      <w:bookmarkStart w:id="2765" w:name="_Caption7020"/>
      <w:bookmarkStart w:id="2766" w:name="_Caption7308"/>
      <w:bookmarkStart w:id="2767" w:name="_Caption9691"/>
      <w:bookmarkStart w:id="2768" w:name="_Caption2468"/>
      <w:bookmarkStart w:id="2769" w:name="_Caption3930"/>
      <w:bookmarkStart w:id="2770" w:name="_Caption2261"/>
      <w:bookmarkStart w:id="2771" w:name="_Caption9646"/>
      <w:bookmarkStart w:id="2772" w:name="_Caption3277"/>
      <w:bookmarkStart w:id="2773" w:name="_Caption5256"/>
      <w:bookmarkStart w:id="2774" w:name="_Caption1962"/>
      <w:bookmarkStart w:id="2775" w:name="_Caption1711"/>
      <w:bookmarkStart w:id="2776" w:name="_Caption8040"/>
      <w:bookmarkStart w:id="2777" w:name="_Caption0815"/>
      <w:bookmarkStart w:id="2778" w:name="_Caption4636"/>
      <w:bookmarkStart w:id="2779" w:name="_Caption7785"/>
      <w:bookmarkStart w:id="2780" w:name="_Caption7805"/>
      <w:bookmarkStart w:id="2781" w:name="_Caption5118"/>
      <w:bookmarkStart w:id="2782" w:name="_Caption1363"/>
      <w:bookmarkStart w:id="2783" w:name="_Caption9248"/>
      <w:bookmarkStart w:id="2784" w:name="_Caption8931"/>
      <w:bookmarkStart w:id="2785" w:name="_Caption9760"/>
      <w:bookmarkStart w:id="2786" w:name="_Caption2901"/>
      <w:bookmarkStart w:id="2787" w:name="_Caption0357"/>
      <w:bookmarkStart w:id="2788" w:name="_Caption9659"/>
      <w:bookmarkStart w:id="2789" w:name="_Caption0823"/>
      <w:bookmarkStart w:id="2790" w:name="_Caption7846"/>
      <w:bookmarkStart w:id="2791" w:name="_Caption2760"/>
      <w:bookmarkStart w:id="2792" w:name="_Caption8704"/>
      <w:bookmarkStart w:id="2793" w:name="_Caption4181"/>
      <w:bookmarkStart w:id="2794" w:name="_Caption9541"/>
      <w:bookmarkStart w:id="2795" w:name="_Caption3566"/>
      <w:bookmarkStart w:id="2796" w:name="_Caption6333"/>
      <w:bookmarkStart w:id="2797" w:name="_Caption0649"/>
      <w:bookmarkStart w:id="2798" w:name="_Caption2262"/>
      <w:bookmarkStart w:id="2799" w:name="_Caption2497"/>
      <w:bookmarkStart w:id="2800" w:name="_Caption2146"/>
      <w:bookmarkStart w:id="2801" w:name="_Caption1731"/>
      <w:bookmarkStart w:id="2802" w:name="_Caption4039"/>
      <w:bookmarkStart w:id="2803" w:name="_Caption2040"/>
      <w:bookmarkStart w:id="2804" w:name="_Caption7533"/>
      <w:bookmarkStart w:id="2805" w:name="_Caption3921"/>
      <w:bookmarkStart w:id="2806" w:name="_Caption4647"/>
      <w:bookmarkStart w:id="2807" w:name="_Caption3857"/>
      <w:bookmarkStart w:id="2808" w:name="_Caption1226"/>
      <w:bookmarkStart w:id="2809" w:name="_Caption8643"/>
      <w:bookmarkStart w:id="2810" w:name="_Caption5897"/>
      <w:bookmarkStart w:id="2811" w:name="_Caption1071"/>
      <w:bookmarkStart w:id="2812" w:name="_Caption3111"/>
      <w:bookmarkStart w:id="2813" w:name="_Caption1421"/>
      <w:bookmarkStart w:id="2814" w:name="_Caption1953"/>
      <w:bookmarkStart w:id="2815" w:name="_Caption1291"/>
      <w:bookmarkStart w:id="2816" w:name="_Caption3128"/>
      <w:bookmarkStart w:id="2817" w:name="_Caption3429"/>
      <w:bookmarkStart w:id="2818" w:name="_Caption9850"/>
      <w:bookmarkStart w:id="2819" w:name="_Caption9201"/>
      <w:bookmarkStart w:id="2820" w:name="_Caption7716"/>
      <w:bookmarkStart w:id="2821" w:name="_Caption9061"/>
      <w:bookmarkStart w:id="2822" w:name="_Caption2140"/>
      <w:bookmarkStart w:id="2823" w:name="_Caption4579"/>
      <w:bookmarkStart w:id="2824" w:name="_Caption5876"/>
      <w:bookmarkStart w:id="2825" w:name="_Caption5846"/>
      <w:bookmarkStart w:id="2826" w:name="_Caption1218"/>
      <w:bookmarkStart w:id="2827" w:name="_Caption3666"/>
      <w:bookmarkStart w:id="2828" w:name="_Caption6461"/>
      <w:bookmarkStart w:id="2829" w:name="_Caption5388"/>
      <w:bookmarkStart w:id="2830" w:name="_Caption7037"/>
      <w:bookmarkStart w:id="2831" w:name="_Caption1887"/>
      <w:bookmarkStart w:id="2832" w:name="_Caption0983"/>
      <w:bookmarkStart w:id="2833" w:name="_Caption1961"/>
      <w:bookmarkStart w:id="2834" w:name="_Caption9036"/>
      <w:bookmarkStart w:id="2835" w:name="_Caption6268"/>
      <w:bookmarkStart w:id="2836" w:name="_Caption2534"/>
      <w:bookmarkStart w:id="2837" w:name="_Caption6776"/>
      <w:bookmarkStart w:id="2838" w:name="_Caption0456"/>
      <w:bookmarkStart w:id="2839" w:name="_Caption1528"/>
      <w:bookmarkStart w:id="2840" w:name="_Caption2286"/>
      <w:bookmarkStart w:id="2841" w:name="_Caption8196"/>
      <w:bookmarkStart w:id="2842" w:name="_Caption9622"/>
      <w:bookmarkStart w:id="2843" w:name="_Caption0712"/>
      <w:bookmarkStart w:id="2844" w:name="_Caption6769"/>
      <w:bookmarkStart w:id="2845" w:name="_Caption5980"/>
      <w:bookmarkStart w:id="2846" w:name="_Caption0184"/>
      <w:bookmarkStart w:id="2847" w:name="_Caption6338"/>
      <w:bookmarkStart w:id="2848" w:name="_Caption4502"/>
      <w:bookmarkStart w:id="2849" w:name="_Caption1397"/>
      <w:bookmarkStart w:id="2850" w:name="_Caption5404"/>
      <w:bookmarkStart w:id="2851" w:name="_Toc177735170"/>
      <w:bookmarkStart w:id="2852" w:name="_Toc178292600"/>
      <w:r w:rsidR="008C60A3">
        <w:rPr>
          <w:noProof/>
        </w:rPr>
        <w:t>7</w:t>
      </w:r>
      <w:r w:rsidR="008C60A3" w:rsidRPr="006F0F88">
        <w:rPr>
          <w:noProof/>
        </w:rPr>
        <w:t>.</w:t>
      </w:r>
      <w:r w:rsidR="008C60A3">
        <w:rPr>
          <w:noProof/>
        </w:rPr>
        <w:t>1</w:t>
      </w:r>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r w:rsidRPr="006F0F88">
        <w:fldChar w:fldCharType="end"/>
      </w:r>
      <w:r w:rsidRPr="006F0F88">
        <w:tab/>
        <w:t>Estimated impacts of proposed options</w:t>
      </w:r>
      <w:bookmarkEnd w:id="2851"/>
      <w:bookmarkEnd w:id="2852"/>
    </w:p>
    <w:tbl>
      <w:tblPr>
        <w:tblW w:w="0" w:type="auto"/>
        <w:tblLayout w:type="fixed"/>
        <w:tblLook w:val="0000" w:firstRow="0" w:lastRow="0" w:firstColumn="0" w:lastColumn="0" w:noHBand="0" w:noVBand="0"/>
        <w:tblCaption w:val="Table 6.1"/>
        <w:tblDescription w:val="Estimated impacts of proposed options"/>
      </w:tblPr>
      <w:tblGrid>
        <w:gridCol w:w="4175"/>
        <w:gridCol w:w="1253"/>
        <w:gridCol w:w="1254"/>
        <w:gridCol w:w="1254"/>
      </w:tblGrid>
      <w:tr w:rsidR="006568C5" w14:paraId="00CFD988" w14:textId="77777777">
        <w:trPr>
          <w:trHeight w:val="245"/>
          <w:tblHeader/>
        </w:trPr>
        <w:tc>
          <w:tcPr>
            <w:tcW w:w="4175" w:type="dxa"/>
            <w:shd w:val="clear" w:color="auto" w:fill="6F6652"/>
            <w:tcMar>
              <w:left w:w="57" w:type="dxa"/>
              <w:right w:w="57" w:type="dxa"/>
            </w:tcMar>
          </w:tcPr>
          <w:p w14:paraId="04AF83F5" w14:textId="77777777" w:rsidR="006568C5" w:rsidRDefault="006568C5">
            <w:pPr>
              <w:pStyle w:val="TableDataColumnHeading"/>
              <w:jc w:val="left"/>
            </w:pPr>
            <w:r>
              <w:t>Impact</w:t>
            </w:r>
          </w:p>
        </w:tc>
        <w:tc>
          <w:tcPr>
            <w:tcW w:w="1253" w:type="dxa"/>
            <w:shd w:val="clear" w:color="auto" w:fill="6F6652"/>
            <w:tcMar>
              <w:left w:w="57" w:type="dxa"/>
              <w:right w:w="57" w:type="dxa"/>
            </w:tcMar>
          </w:tcPr>
          <w:p w14:paraId="5C660A65" w14:textId="18547006" w:rsidR="006568C5" w:rsidRDefault="008D1692">
            <w:pPr>
              <w:pStyle w:val="TableDataColumnHeading"/>
            </w:pPr>
            <w:r>
              <w:t>Stringency Level</w:t>
            </w:r>
            <w:r w:rsidR="006568C5">
              <w:t xml:space="preserve"> 1</w:t>
            </w:r>
          </w:p>
          <w:p w14:paraId="51A9ADF7" w14:textId="77777777" w:rsidR="006568C5" w:rsidRDefault="006568C5">
            <w:pPr>
              <w:pStyle w:val="TableDataColumnHeading"/>
            </w:pPr>
            <w:r>
              <w:t>$ million</w:t>
            </w:r>
          </w:p>
        </w:tc>
        <w:tc>
          <w:tcPr>
            <w:tcW w:w="1254" w:type="dxa"/>
            <w:shd w:val="clear" w:color="auto" w:fill="6F6652"/>
            <w:tcMar>
              <w:left w:w="57" w:type="dxa"/>
              <w:right w:w="57" w:type="dxa"/>
            </w:tcMar>
          </w:tcPr>
          <w:p w14:paraId="7583BE6F" w14:textId="7A5A587D" w:rsidR="006568C5" w:rsidRDefault="008D1692">
            <w:pPr>
              <w:pStyle w:val="TableDataColumnHeading"/>
            </w:pPr>
            <w:r>
              <w:t>Stringency Level</w:t>
            </w:r>
            <w:r w:rsidR="006568C5">
              <w:t xml:space="preserve"> 2 </w:t>
            </w:r>
          </w:p>
          <w:p w14:paraId="5A2DA321" w14:textId="77777777" w:rsidR="006568C5" w:rsidRDefault="006568C5">
            <w:pPr>
              <w:pStyle w:val="TableDataColumnHeading"/>
            </w:pPr>
            <w:r>
              <w:t>$ million</w:t>
            </w:r>
          </w:p>
        </w:tc>
        <w:tc>
          <w:tcPr>
            <w:tcW w:w="1254" w:type="dxa"/>
            <w:shd w:val="clear" w:color="auto" w:fill="6F6652"/>
            <w:tcMar>
              <w:left w:w="57" w:type="dxa"/>
              <w:right w:w="57" w:type="dxa"/>
            </w:tcMar>
          </w:tcPr>
          <w:p w14:paraId="23D81E1A" w14:textId="7701AA18" w:rsidR="006568C5" w:rsidRDefault="008D1692">
            <w:pPr>
              <w:pStyle w:val="TableDataColumnHeading"/>
            </w:pPr>
            <w:r>
              <w:t>Stringency Level</w:t>
            </w:r>
            <w:r w:rsidR="006568C5">
              <w:t xml:space="preserve"> 3</w:t>
            </w:r>
          </w:p>
          <w:p w14:paraId="3507A19D" w14:textId="77777777" w:rsidR="006568C5" w:rsidRDefault="006568C5">
            <w:pPr>
              <w:pStyle w:val="TableDataColumnHeading"/>
            </w:pPr>
            <w:r>
              <w:t>$ million</w:t>
            </w:r>
          </w:p>
        </w:tc>
      </w:tr>
      <w:tr w:rsidR="006568C5" w:rsidRPr="00492AD6" w14:paraId="73E6FE13" w14:textId="77777777">
        <w:trPr>
          <w:trHeight w:val="245"/>
        </w:trPr>
        <w:tc>
          <w:tcPr>
            <w:tcW w:w="4175"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40D8F38C" w14:textId="77777777" w:rsidR="006568C5" w:rsidRPr="00492AD6" w:rsidRDefault="006568C5">
            <w:pPr>
              <w:pStyle w:val="TableHeading1"/>
              <w:rPr>
                <w:color w:val="000000" w:themeColor="text1"/>
              </w:rPr>
            </w:pPr>
            <w:r w:rsidRPr="00492AD6">
              <w:rPr>
                <w:color w:val="000000" w:themeColor="text1"/>
              </w:rPr>
              <w:t>Building energy impacts</w:t>
            </w:r>
          </w:p>
        </w:tc>
        <w:tc>
          <w:tcPr>
            <w:tcW w:w="1253"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5E042417" w14:textId="77777777" w:rsidR="006568C5" w:rsidRPr="00492AD6" w:rsidRDefault="006568C5">
            <w:pPr>
              <w:pStyle w:val="TableHeading1"/>
              <w:rPr>
                <w:color w:val="000000" w:themeColor="text1"/>
              </w:rPr>
            </w:pPr>
          </w:p>
        </w:tc>
        <w:tc>
          <w:tcPr>
            <w:tcW w:w="1254"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5FE970AD" w14:textId="77777777" w:rsidR="006568C5" w:rsidRPr="00492AD6" w:rsidRDefault="006568C5">
            <w:pPr>
              <w:pStyle w:val="TableHeading1"/>
              <w:rPr>
                <w:color w:val="000000" w:themeColor="text1"/>
              </w:rPr>
            </w:pPr>
          </w:p>
        </w:tc>
        <w:tc>
          <w:tcPr>
            <w:tcW w:w="1254"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19949363" w14:textId="77777777" w:rsidR="006568C5" w:rsidRPr="00492AD6" w:rsidRDefault="006568C5">
            <w:pPr>
              <w:pStyle w:val="TableHeading1"/>
              <w:rPr>
                <w:color w:val="000000" w:themeColor="text1"/>
              </w:rPr>
            </w:pPr>
          </w:p>
        </w:tc>
      </w:tr>
      <w:tr w:rsidR="00C0756A" w:rsidRPr="00492AD6" w14:paraId="4783847B"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FAE192F" w14:textId="77777777" w:rsidR="00C0756A" w:rsidRPr="00492AD6" w:rsidRDefault="00C0756A" w:rsidP="00C0756A">
            <w:pPr>
              <w:pStyle w:val="TableDataEntries"/>
              <w:jc w:val="left"/>
              <w:rPr>
                <w:color w:val="000000" w:themeColor="text1"/>
              </w:rPr>
            </w:pPr>
            <w:r w:rsidRPr="00492AD6">
              <w:rPr>
                <w:color w:val="000000" w:themeColor="text1"/>
              </w:rPr>
              <w:t>Avoided electricity network capacity costs</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5090AB2" w14:textId="47A0ECDA" w:rsidR="00C0756A" w:rsidRPr="00492AD6" w:rsidRDefault="00C0756A" w:rsidP="00C0756A">
            <w:pPr>
              <w:pStyle w:val="TableDataEntries"/>
              <w:rPr>
                <w:color w:val="000000" w:themeColor="text1"/>
              </w:rPr>
            </w:pPr>
            <w:r>
              <w:t xml:space="preserve"> 938.92</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6EC3AC9" w14:textId="5DCDB237" w:rsidR="00C0756A" w:rsidRPr="00492AD6" w:rsidRDefault="00C0756A" w:rsidP="00C0756A">
            <w:pPr>
              <w:pStyle w:val="TableDataEntries"/>
              <w:rPr>
                <w:color w:val="000000" w:themeColor="text1"/>
              </w:rPr>
            </w:pPr>
            <w:r>
              <w:t>1 568.49</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F980EFB" w14:textId="6CB9B245" w:rsidR="00C0756A" w:rsidRPr="00C0756A" w:rsidRDefault="00C0756A" w:rsidP="00C0756A">
            <w:pPr>
              <w:pStyle w:val="TableDataEntries"/>
            </w:pPr>
            <w:r w:rsidRPr="00C0756A">
              <w:t>1 440.25</w:t>
            </w:r>
          </w:p>
        </w:tc>
      </w:tr>
      <w:tr w:rsidR="00C0756A" w:rsidRPr="00492AD6" w14:paraId="50402039"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B7E3F99" w14:textId="77777777" w:rsidR="00C0756A" w:rsidRPr="00492AD6" w:rsidRDefault="00C0756A" w:rsidP="00C0756A">
            <w:pPr>
              <w:pStyle w:val="TableDataEntries"/>
              <w:jc w:val="left"/>
              <w:rPr>
                <w:color w:val="000000" w:themeColor="text1"/>
              </w:rPr>
            </w:pPr>
            <w:r w:rsidRPr="00492AD6">
              <w:rPr>
                <w:color w:val="000000" w:themeColor="text1"/>
              </w:rPr>
              <w:t>Avoided electricity wholesale costs</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55A8D0C" w14:textId="06E3AE9F" w:rsidR="00C0756A" w:rsidRPr="00492AD6" w:rsidRDefault="00C0756A" w:rsidP="00C0756A">
            <w:pPr>
              <w:pStyle w:val="TableDataEntries"/>
              <w:rPr>
                <w:color w:val="000000" w:themeColor="text1"/>
              </w:rPr>
            </w:pPr>
            <w:r>
              <w:t>1 838.74</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DE1F59B" w14:textId="37D7C53A" w:rsidR="00C0756A" w:rsidRPr="00492AD6" w:rsidRDefault="00C0756A" w:rsidP="00C0756A">
            <w:pPr>
              <w:pStyle w:val="TableDataEntries"/>
              <w:rPr>
                <w:color w:val="000000" w:themeColor="text1"/>
              </w:rPr>
            </w:pPr>
            <w:r>
              <w:t>3 272.75</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097F288" w14:textId="2E14416B" w:rsidR="00C0756A" w:rsidRPr="00C0756A" w:rsidRDefault="00C0756A" w:rsidP="00C0756A">
            <w:pPr>
              <w:pStyle w:val="TableDataEntries"/>
            </w:pPr>
            <w:r w:rsidRPr="00C0756A">
              <w:t>2 917.15</w:t>
            </w:r>
          </w:p>
        </w:tc>
      </w:tr>
      <w:tr w:rsidR="00C0756A" w:rsidRPr="00492AD6" w14:paraId="21273199"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7211C39" w14:textId="77777777" w:rsidR="00C0756A" w:rsidRPr="00492AD6" w:rsidRDefault="00C0756A" w:rsidP="00C0756A">
            <w:pPr>
              <w:pStyle w:val="TableDataEntries"/>
              <w:jc w:val="left"/>
              <w:rPr>
                <w:color w:val="000000" w:themeColor="text1"/>
              </w:rPr>
            </w:pPr>
            <w:r w:rsidRPr="00492AD6">
              <w:rPr>
                <w:color w:val="000000" w:themeColor="text1"/>
              </w:rPr>
              <w:t>Avoided electricity network usage costs</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C4497AA" w14:textId="48AD71B2" w:rsidR="00C0756A" w:rsidRPr="00492AD6" w:rsidRDefault="00C0756A" w:rsidP="00C0756A">
            <w:pPr>
              <w:pStyle w:val="TableDataEntries"/>
              <w:rPr>
                <w:color w:val="000000" w:themeColor="text1"/>
              </w:rPr>
            </w:pPr>
            <w:r>
              <w:t>1 768.84</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E7B303F" w14:textId="3FE3E597" w:rsidR="00C0756A" w:rsidRPr="00492AD6" w:rsidRDefault="00C0756A" w:rsidP="00C0756A">
            <w:pPr>
              <w:pStyle w:val="TableDataEntries"/>
              <w:rPr>
                <w:color w:val="000000" w:themeColor="text1"/>
              </w:rPr>
            </w:pPr>
            <w:r>
              <w:t>3 596.60</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6F6B268" w14:textId="5C503ABB" w:rsidR="00C0756A" w:rsidRPr="00C0756A" w:rsidRDefault="00C0756A" w:rsidP="00C0756A">
            <w:pPr>
              <w:pStyle w:val="TableDataEntries"/>
            </w:pPr>
            <w:r w:rsidRPr="00C0756A">
              <w:t>3 341.81</w:t>
            </w:r>
          </w:p>
        </w:tc>
      </w:tr>
      <w:tr w:rsidR="00C0756A" w:rsidRPr="00492AD6" w14:paraId="7C8B7D27"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7A6910C" w14:textId="77777777" w:rsidR="00C0756A" w:rsidRPr="00492AD6" w:rsidRDefault="00C0756A" w:rsidP="00C0756A">
            <w:pPr>
              <w:pStyle w:val="TableDataEntries"/>
              <w:jc w:val="left"/>
              <w:rPr>
                <w:color w:val="000000" w:themeColor="text1"/>
              </w:rPr>
            </w:pPr>
            <w:r w:rsidRPr="00492AD6">
              <w:rPr>
                <w:color w:val="000000" w:themeColor="text1"/>
              </w:rPr>
              <w:t>Avoided electricity retail costs</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C176ABA" w14:textId="53DBA2E8" w:rsidR="00C0756A" w:rsidRPr="00492AD6" w:rsidRDefault="00C0756A" w:rsidP="00C0756A">
            <w:pPr>
              <w:pStyle w:val="TableDataEntries"/>
              <w:rPr>
                <w:color w:val="000000" w:themeColor="text1"/>
              </w:rPr>
            </w:pPr>
            <w:r>
              <w:t xml:space="preserve"> 681.97</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96634AB" w14:textId="6A7EE9D1" w:rsidR="00C0756A" w:rsidRPr="00492AD6" w:rsidRDefault="00C0756A" w:rsidP="00C0756A">
            <w:pPr>
              <w:pStyle w:val="TableDataEntries"/>
              <w:rPr>
                <w:color w:val="000000" w:themeColor="text1"/>
              </w:rPr>
            </w:pPr>
            <w:r>
              <w:t>1 265.68</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0FF4875" w14:textId="08EC8813" w:rsidR="00C0756A" w:rsidRPr="00C0756A" w:rsidRDefault="00C0756A" w:rsidP="00C0756A">
            <w:pPr>
              <w:pStyle w:val="TableDataEntries"/>
            </w:pPr>
            <w:r w:rsidRPr="00C0756A">
              <w:t>1 154.88</w:t>
            </w:r>
          </w:p>
        </w:tc>
      </w:tr>
      <w:tr w:rsidR="00C0756A" w:rsidRPr="00492AD6" w14:paraId="443E4958"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4D3A68" w14:textId="77777777" w:rsidR="00C0756A" w:rsidRPr="00492AD6" w:rsidRDefault="00C0756A" w:rsidP="00C0756A">
            <w:pPr>
              <w:pStyle w:val="TableDataEntries"/>
              <w:jc w:val="left"/>
              <w:rPr>
                <w:color w:val="000000" w:themeColor="text1"/>
              </w:rPr>
            </w:pPr>
            <w:r w:rsidRPr="00492AD6">
              <w:rPr>
                <w:color w:val="000000" w:themeColor="text1"/>
              </w:rPr>
              <w:t>Electricity exported to grid</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3C6575C" w14:textId="5EF9F04B" w:rsidR="00C0756A" w:rsidRPr="00492AD6" w:rsidRDefault="00C0756A" w:rsidP="00C0756A">
            <w:pPr>
              <w:pStyle w:val="TableDataEntries"/>
              <w:rPr>
                <w:color w:val="000000" w:themeColor="text1"/>
              </w:rPr>
            </w:pPr>
            <w:r>
              <w:t xml:space="preserve"> 44.96</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B124B60" w14:textId="319626E9" w:rsidR="00C0756A" w:rsidRPr="00492AD6" w:rsidRDefault="00C0756A" w:rsidP="00C0756A">
            <w:pPr>
              <w:pStyle w:val="TableDataEntries"/>
              <w:rPr>
                <w:color w:val="000000" w:themeColor="text1"/>
              </w:rPr>
            </w:pPr>
            <w:r>
              <w:t xml:space="preserve"> 291.44</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7E26B60" w14:textId="5A6B4A9B" w:rsidR="00C0756A" w:rsidRPr="00C0756A" w:rsidRDefault="00C0756A" w:rsidP="00C0756A">
            <w:pPr>
              <w:pStyle w:val="TableDataEntries"/>
            </w:pPr>
            <w:r w:rsidRPr="00C0756A">
              <w:t xml:space="preserve"> 291.48</w:t>
            </w:r>
          </w:p>
        </w:tc>
      </w:tr>
      <w:tr w:rsidR="00C0756A" w:rsidRPr="00492AD6" w14:paraId="2FDD2B72"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4909E65" w14:textId="77777777" w:rsidR="00C0756A" w:rsidRPr="00492AD6" w:rsidRDefault="00C0756A" w:rsidP="00C0756A">
            <w:pPr>
              <w:pStyle w:val="TableDataEntries"/>
              <w:jc w:val="left"/>
              <w:rPr>
                <w:color w:val="000000" w:themeColor="text1"/>
              </w:rPr>
            </w:pPr>
            <w:r>
              <w:rPr>
                <w:color w:val="000000" w:themeColor="text1"/>
              </w:rPr>
              <w:t>Electricity exports — network costs</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B1951F8" w14:textId="443C22F4" w:rsidR="00C0756A" w:rsidRPr="00492AD6" w:rsidRDefault="00C0756A" w:rsidP="00C0756A">
            <w:pPr>
              <w:pStyle w:val="TableDataEntries"/>
              <w:rPr>
                <w:color w:val="000000" w:themeColor="text1"/>
              </w:rPr>
            </w:pPr>
            <w:r>
              <w:t>- 10.66</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56A89A8" w14:textId="27B51924" w:rsidR="00C0756A" w:rsidRPr="00492AD6" w:rsidRDefault="00C0756A" w:rsidP="00C0756A">
            <w:pPr>
              <w:pStyle w:val="TableDataEntries"/>
              <w:rPr>
                <w:color w:val="000000" w:themeColor="text1"/>
              </w:rPr>
            </w:pPr>
            <w:r>
              <w:t>- 45.74</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32FE7D2" w14:textId="3CBCD933" w:rsidR="00C0756A" w:rsidRPr="00C0756A" w:rsidRDefault="00C0756A" w:rsidP="00C0756A">
            <w:pPr>
              <w:pStyle w:val="TableDataEntries"/>
            </w:pPr>
            <w:r w:rsidRPr="00C0756A">
              <w:t>- 45.76</w:t>
            </w:r>
          </w:p>
        </w:tc>
      </w:tr>
      <w:tr w:rsidR="00C0756A" w:rsidRPr="00492AD6" w14:paraId="553A1AA3"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D88B2E" w14:textId="77777777" w:rsidR="00C0756A" w:rsidRPr="00492AD6" w:rsidRDefault="00C0756A" w:rsidP="00C0756A">
            <w:pPr>
              <w:pStyle w:val="TableDataEntries"/>
              <w:jc w:val="left"/>
              <w:rPr>
                <w:color w:val="000000" w:themeColor="text1"/>
              </w:rPr>
            </w:pPr>
            <w:r w:rsidRPr="00492AD6">
              <w:rPr>
                <w:color w:val="000000" w:themeColor="text1"/>
              </w:rPr>
              <w:t>Avoided gas costs</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8604A96" w14:textId="279F8357" w:rsidR="00C0756A" w:rsidRPr="00492AD6" w:rsidRDefault="00C0756A" w:rsidP="00C0756A">
            <w:pPr>
              <w:pStyle w:val="TableDataEntries"/>
              <w:rPr>
                <w:color w:val="000000" w:themeColor="text1"/>
              </w:rPr>
            </w:pPr>
            <w:r>
              <w:t>- 28.66</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11A4565" w14:textId="64974257" w:rsidR="00C0756A" w:rsidRPr="00492AD6" w:rsidRDefault="00C0756A" w:rsidP="00C0756A">
            <w:pPr>
              <w:pStyle w:val="TableDataEntries"/>
              <w:rPr>
                <w:color w:val="000000" w:themeColor="text1"/>
              </w:rPr>
            </w:pPr>
            <w:r>
              <w:t>- 28.66</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7E4F28E" w14:textId="0062C753" w:rsidR="00C0756A" w:rsidRPr="00C0756A" w:rsidRDefault="00C0756A" w:rsidP="00C0756A">
            <w:pPr>
              <w:pStyle w:val="TableDataEntries"/>
            </w:pPr>
            <w:r w:rsidRPr="00C0756A">
              <w:t xml:space="preserve"> 432.08</w:t>
            </w:r>
          </w:p>
        </w:tc>
      </w:tr>
      <w:tr w:rsidR="00C0756A" w:rsidRPr="00492AD6" w14:paraId="34CA5A61"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11CB77B" w14:textId="77777777" w:rsidR="00C0756A" w:rsidRPr="00492AD6" w:rsidRDefault="00C0756A" w:rsidP="00C0756A">
            <w:pPr>
              <w:pStyle w:val="TableDataEntries"/>
              <w:jc w:val="left"/>
              <w:rPr>
                <w:color w:val="000000" w:themeColor="text1"/>
              </w:rPr>
            </w:pPr>
            <w:r w:rsidRPr="00492AD6">
              <w:rPr>
                <w:color w:val="000000" w:themeColor="text1"/>
              </w:rPr>
              <w:t>Avoided GHG emissions – electricity</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5B7C279" w14:textId="516DA963" w:rsidR="00C0756A" w:rsidRPr="00492AD6" w:rsidRDefault="00C0756A" w:rsidP="00C0756A">
            <w:pPr>
              <w:pStyle w:val="TableDataEntries"/>
              <w:rPr>
                <w:color w:val="000000" w:themeColor="text1"/>
              </w:rPr>
            </w:pPr>
            <w:r>
              <w:t>1 249.57</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5AC7F29" w14:textId="0F90EC4A" w:rsidR="00C0756A" w:rsidRPr="00492AD6" w:rsidRDefault="00C0756A" w:rsidP="00C0756A">
            <w:pPr>
              <w:pStyle w:val="TableDataEntries"/>
              <w:rPr>
                <w:color w:val="000000" w:themeColor="text1"/>
              </w:rPr>
            </w:pPr>
            <w:r>
              <w:t>2 366.95</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597349E" w14:textId="608D7832" w:rsidR="00C0756A" w:rsidRPr="00C0756A" w:rsidRDefault="00C0756A" w:rsidP="00C0756A">
            <w:pPr>
              <w:pStyle w:val="TableDataEntries"/>
            </w:pPr>
            <w:r w:rsidRPr="00C0756A">
              <w:t>2 221.08</w:t>
            </w:r>
          </w:p>
        </w:tc>
      </w:tr>
      <w:tr w:rsidR="00C0756A" w:rsidRPr="00492AD6" w14:paraId="221745FF"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FA11EE" w14:textId="77777777" w:rsidR="00C0756A" w:rsidRPr="00492AD6" w:rsidRDefault="00C0756A" w:rsidP="00C0756A">
            <w:pPr>
              <w:pStyle w:val="TableDataEntries"/>
              <w:jc w:val="left"/>
              <w:rPr>
                <w:color w:val="000000" w:themeColor="text1"/>
              </w:rPr>
            </w:pPr>
            <w:r w:rsidRPr="00492AD6">
              <w:rPr>
                <w:color w:val="000000" w:themeColor="text1"/>
              </w:rPr>
              <w:t>Avoided GHG emission — exported electricity</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18EB760" w14:textId="68AA17D2" w:rsidR="00C0756A" w:rsidRPr="00492AD6" w:rsidRDefault="00C0756A" w:rsidP="00C0756A">
            <w:pPr>
              <w:pStyle w:val="TableDataEntries"/>
              <w:rPr>
                <w:color w:val="000000" w:themeColor="text1"/>
              </w:rPr>
            </w:pPr>
            <w:r>
              <w:t xml:space="preserve"> 70.50</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B1D7E2B" w14:textId="7976CA4B" w:rsidR="00C0756A" w:rsidRPr="00492AD6" w:rsidRDefault="00C0756A" w:rsidP="00C0756A">
            <w:pPr>
              <w:pStyle w:val="TableDataEntries"/>
              <w:rPr>
                <w:color w:val="000000" w:themeColor="text1"/>
              </w:rPr>
            </w:pPr>
            <w:r>
              <w:t xml:space="preserve"> 440.17</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57E1C7B" w14:textId="431A3AC5" w:rsidR="00C0756A" w:rsidRPr="00C0756A" w:rsidRDefault="00C0756A" w:rsidP="00C0756A">
            <w:pPr>
              <w:pStyle w:val="TableDataEntries"/>
            </w:pPr>
            <w:r w:rsidRPr="00C0756A">
              <w:t xml:space="preserve"> 440.26</w:t>
            </w:r>
          </w:p>
        </w:tc>
      </w:tr>
      <w:tr w:rsidR="00C0756A" w:rsidRPr="00492AD6" w14:paraId="3FABD008"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1E4FAA9" w14:textId="77777777" w:rsidR="00C0756A" w:rsidRPr="00492AD6" w:rsidRDefault="00C0756A" w:rsidP="00C0756A">
            <w:pPr>
              <w:pStyle w:val="TableDataEntries"/>
              <w:jc w:val="left"/>
              <w:rPr>
                <w:color w:val="000000" w:themeColor="text1"/>
              </w:rPr>
            </w:pPr>
            <w:r w:rsidRPr="00492AD6">
              <w:rPr>
                <w:color w:val="000000" w:themeColor="text1"/>
              </w:rPr>
              <w:t>Avoided GHG emissions – gas</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87119FB" w14:textId="3A6DFF29" w:rsidR="00C0756A" w:rsidRPr="00492AD6" w:rsidRDefault="00C0756A" w:rsidP="00C0756A">
            <w:pPr>
              <w:pStyle w:val="TableDataEntries"/>
              <w:rPr>
                <w:color w:val="000000" w:themeColor="text1"/>
              </w:rPr>
            </w:pPr>
            <w:r>
              <w:t>- 56.11</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5FEA44D" w14:textId="1A1E5291" w:rsidR="00C0756A" w:rsidRPr="00492AD6" w:rsidRDefault="00C0756A" w:rsidP="00C0756A">
            <w:pPr>
              <w:pStyle w:val="TableDataEntries"/>
              <w:rPr>
                <w:color w:val="000000" w:themeColor="text1"/>
              </w:rPr>
            </w:pPr>
            <w:r>
              <w:t>- 56.11</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4F1EA07" w14:textId="18435A97" w:rsidR="00C0756A" w:rsidRPr="00C0756A" w:rsidRDefault="00C0756A" w:rsidP="00C0756A">
            <w:pPr>
              <w:pStyle w:val="TableDataEntries"/>
            </w:pPr>
            <w:r w:rsidRPr="00C0756A">
              <w:t xml:space="preserve"> 865.82</w:t>
            </w:r>
          </w:p>
        </w:tc>
      </w:tr>
      <w:tr w:rsidR="00C0756A" w:rsidRPr="00492AD6" w14:paraId="78F31F23"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58934E" w14:textId="77777777" w:rsidR="00C0756A" w:rsidRPr="00492AD6" w:rsidRDefault="00C0756A" w:rsidP="00C0756A">
            <w:pPr>
              <w:pStyle w:val="TableDataEntries"/>
              <w:jc w:val="left"/>
              <w:rPr>
                <w:color w:val="000000" w:themeColor="text1"/>
              </w:rPr>
            </w:pPr>
            <w:r w:rsidRPr="00492AD6">
              <w:rPr>
                <w:color w:val="000000" w:themeColor="text1"/>
              </w:rPr>
              <w:t>Capital costs</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A17ED5B" w14:textId="31B0BCF9" w:rsidR="00C0756A" w:rsidRPr="00492AD6" w:rsidRDefault="00C0756A" w:rsidP="00C0756A">
            <w:pPr>
              <w:pStyle w:val="TableDataEntries"/>
              <w:rPr>
                <w:color w:val="000000" w:themeColor="text1"/>
              </w:rPr>
            </w:pPr>
            <w:r>
              <w:t xml:space="preserve"> 341.68</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2F9839D" w14:textId="2D6B5DD5" w:rsidR="00C0756A" w:rsidRPr="00492AD6" w:rsidRDefault="00C0756A" w:rsidP="00C0756A">
            <w:pPr>
              <w:pStyle w:val="TableDataEntries"/>
              <w:rPr>
                <w:color w:val="000000" w:themeColor="text1"/>
              </w:rPr>
            </w:pPr>
            <w:r>
              <w:t>-2 610.88</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93B09C8" w14:textId="24A05B30" w:rsidR="00C0756A" w:rsidRPr="00C0756A" w:rsidRDefault="00C0756A" w:rsidP="00C0756A">
            <w:pPr>
              <w:pStyle w:val="TableDataEntries"/>
            </w:pPr>
            <w:r w:rsidRPr="00C0756A">
              <w:t>-3 670.75</w:t>
            </w:r>
          </w:p>
        </w:tc>
      </w:tr>
      <w:tr w:rsidR="00C0756A" w:rsidRPr="00C0756A" w14:paraId="6BBAA209" w14:textId="77777777">
        <w:trPr>
          <w:trHeight w:val="245"/>
        </w:trPr>
        <w:tc>
          <w:tcPr>
            <w:tcW w:w="4175"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tcPr>
          <w:p w14:paraId="21FE679F" w14:textId="77777777" w:rsidR="00C0756A" w:rsidRPr="00C0756A" w:rsidRDefault="00C0756A" w:rsidP="00C0756A">
            <w:pPr>
              <w:pStyle w:val="TableDataEntries"/>
              <w:jc w:val="left"/>
              <w:rPr>
                <w:rFonts w:ascii="Franklin Gothic Demi" w:hAnsi="Franklin Gothic Demi"/>
              </w:rPr>
            </w:pPr>
            <w:r w:rsidRPr="00C0756A">
              <w:rPr>
                <w:rFonts w:ascii="Franklin Gothic Demi" w:hAnsi="Franklin Gothic Demi"/>
              </w:rPr>
              <w:t>Total building energy impacts</w:t>
            </w:r>
          </w:p>
        </w:tc>
        <w:tc>
          <w:tcPr>
            <w:tcW w:w="1253"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vAlign w:val="bottom"/>
          </w:tcPr>
          <w:p w14:paraId="37D9F370" w14:textId="011B4D4D" w:rsidR="00C0756A" w:rsidRPr="00C0756A" w:rsidRDefault="00C0756A" w:rsidP="00C0756A">
            <w:pPr>
              <w:pStyle w:val="TableDataEntries"/>
              <w:rPr>
                <w:rFonts w:ascii="Franklin Gothic Demi" w:hAnsi="Franklin Gothic Demi"/>
              </w:rPr>
            </w:pPr>
            <w:r w:rsidRPr="00C0756A">
              <w:rPr>
                <w:rFonts w:ascii="Franklin Gothic Demi" w:hAnsi="Franklin Gothic Demi"/>
              </w:rPr>
              <w:t>6 839.75</w:t>
            </w:r>
          </w:p>
        </w:tc>
        <w:tc>
          <w:tcPr>
            <w:tcW w:w="1254"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vAlign w:val="bottom"/>
          </w:tcPr>
          <w:p w14:paraId="3F5CDDC3" w14:textId="0248EDBA" w:rsidR="00C0756A" w:rsidRPr="00C0756A" w:rsidRDefault="00C0756A" w:rsidP="00C0756A">
            <w:pPr>
              <w:pStyle w:val="TableDataEntries"/>
              <w:rPr>
                <w:rFonts w:ascii="Franklin Gothic Demi" w:hAnsi="Franklin Gothic Demi"/>
              </w:rPr>
            </w:pPr>
            <w:r w:rsidRPr="00C0756A">
              <w:rPr>
                <w:rFonts w:ascii="Franklin Gothic Demi" w:hAnsi="Franklin Gothic Demi"/>
              </w:rPr>
              <w:t>10 060.67</w:t>
            </w:r>
          </w:p>
        </w:tc>
        <w:tc>
          <w:tcPr>
            <w:tcW w:w="1254"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vAlign w:val="bottom"/>
          </w:tcPr>
          <w:p w14:paraId="68B46604" w14:textId="70EA9792" w:rsidR="00C0756A" w:rsidRPr="00C0756A" w:rsidRDefault="00C0756A" w:rsidP="00C0756A">
            <w:pPr>
              <w:pStyle w:val="TableDataEntries"/>
              <w:rPr>
                <w:rFonts w:ascii="Franklin Gothic Demi" w:hAnsi="Franklin Gothic Demi"/>
              </w:rPr>
            </w:pPr>
            <w:r w:rsidRPr="00C0756A">
              <w:rPr>
                <w:rFonts w:ascii="Franklin Gothic Demi" w:hAnsi="Franklin Gothic Demi"/>
              </w:rPr>
              <w:t>9 388.30</w:t>
            </w:r>
          </w:p>
        </w:tc>
      </w:tr>
      <w:tr w:rsidR="00C0756A" w:rsidRPr="00150A26" w14:paraId="0415ABA6"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1E71366" w14:textId="77777777" w:rsidR="00C0756A" w:rsidRPr="00492AD6" w:rsidRDefault="00C0756A" w:rsidP="00C0756A">
            <w:pPr>
              <w:pStyle w:val="TableHeading1"/>
              <w:rPr>
                <w:color w:val="000000" w:themeColor="text1"/>
              </w:rPr>
            </w:pPr>
            <w:r>
              <w:rPr>
                <w:color w:val="000000" w:themeColor="text1"/>
              </w:rPr>
              <w:t>Other costs</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8E0320E" w14:textId="77777777" w:rsidR="00C0756A" w:rsidRPr="00492AD6" w:rsidRDefault="00C0756A" w:rsidP="00C0756A">
            <w:pPr>
              <w:pStyle w:val="TableDataEntries"/>
              <w:rPr>
                <w:color w:val="000000" w:themeColor="text1"/>
              </w:rPr>
            </w:pP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BED229E" w14:textId="77777777" w:rsidR="00C0756A" w:rsidRPr="00492AD6" w:rsidRDefault="00C0756A" w:rsidP="00C0756A">
            <w:pPr>
              <w:pStyle w:val="TableDataEntries"/>
              <w:rPr>
                <w:color w:val="000000" w:themeColor="text1"/>
              </w:rPr>
            </w:pP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355F7F1" w14:textId="77777777" w:rsidR="00C0756A" w:rsidRPr="00C0756A" w:rsidRDefault="00C0756A" w:rsidP="00C0756A">
            <w:pPr>
              <w:pStyle w:val="TableDataEntries"/>
            </w:pPr>
          </w:p>
        </w:tc>
      </w:tr>
      <w:tr w:rsidR="00C0756A" w:rsidRPr="00492AD6" w14:paraId="44780614"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66C3A4" w14:textId="77777777" w:rsidR="00C0756A" w:rsidRPr="00492AD6" w:rsidRDefault="00C0756A" w:rsidP="00C0756A">
            <w:pPr>
              <w:pStyle w:val="TableDataEntries"/>
              <w:jc w:val="left"/>
              <w:rPr>
                <w:color w:val="000000" w:themeColor="text1"/>
              </w:rPr>
            </w:pPr>
            <w:r>
              <w:rPr>
                <w:color w:val="000000" w:themeColor="text1"/>
              </w:rPr>
              <w:t>Costs to government to support change</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76C373B" w14:textId="4E29AEE6" w:rsidR="00C0756A" w:rsidRPr="00476CB1" w:rsidRDefault="00C0756A" w:rsidP="00C0756A">
            <w:pPr>
              <w:pStyle w:val="TableDataEntries"/>
            </w:pPr>
            <w:r>
              <w:t>- 0.65</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D8FA54D" w14:textId="78091948" w:rsidR="00C0756A" w:rsidRPr="00476CB1" w:rsidRDefault="00C0756A" w:rsidP="00C0756A">
            <w:pPr>
              <w:pStyle w:val="TableDataEntries"/>
            </w:pPr>
            <w:r>
              <w:t>- 0.65</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AC57721" w14:textId="17FB821B" w:rsidR="00C0756A" w:rsidRPr="00C0756A" w:rsidRDefault="00C0756A" w:rsidP="00C0756A">
            <w:pPr>
              <w:pStyle w:val="TableDataEntries"/>
            </w:pPr>
            <w:r w:rsidRPr="00C0756A">
              <w:t>- 0.65</w:t>
            </w:r>
          </w:p>
        </w:tc>
      </w:tr>
      <w:tr w:rsidR="00C0756A" w:rsidRPr="00492AD6" w14:paraId="09975A36" w14:textId="77777777">
        <w:trPr>
          <w:trHeight w:val="245"/>
        </w:trPr>
        <w:tc>
          <w:tcPr>
            <w:tcW w:w="417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B8E05FB" w14:textId="77777777" w:rsidR="00C0756A" w:rsidRPr="00492AD6" w:rsidRDefault="00C0756A" w:rsidP="00C0756A">
            <w:pPr>
              <w:pStyle w:val="TableDataEntries"/>
              <w:jc w:val="left"/>
              <w:rPr>
                <w:color w:val="000000" w:themeColor="text1"/>
              </w:rPr>
            </w:pPr>
            <w:r>
              <w:rPr>
                <w:color w:val="000000" w:themeColor="text1"/>
              </w:rPr>
              <w:t>Industry training costs</w:t>
            </w:r>
          </w:p>
        </w:tc>
        <w:tc>
          <w:tcPr>
            <w:tcW w:w="12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2884A6C" w14:textId="6FCEC21C" w:rsidR="00C0756A" w:rsidRPr="00476CB1" w:rsidRDefault="00C0756A" w:rsidP="00C0756A">
            <w:pPr>
              <w:pStyle w:val="TableDataEntries"/>
            </w:pPr>
            <w:r>
              <w:t>- 15.65</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19BDBB6" w14:textId="27573314" w:rsidR="00C0756A" w:rsidRPr="00476CB1" w:rsidRDefault="00C0756A" w:rsidP="00C0756A">
            <w:pPr>
              <w:pStyle w:val="TableDataEntries"/>
            </w:pPr>
            <w:r>
              <w:t>- 15.65</w:t>
            </w:r>
          </w:p>
        </w:tc>
        <w:tc>
          <w:tcPr>
            <w:tcW w:w="12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348C416" w14:textId="1940F357" w:rsidR="00C0756A" w:rsidRPr="00C0756A" w:rsidRDefault="00C0756A" w:rsidP="00C0756A">
            <w:pPr>
              <w:pStyle w:val="TableDataEntries"/>
            </w:pPr>
            <w:r w:rsidRPr="00C0756A">
              <w:t>- 15.65</w:t>
            </w:r>
          </w:p>
        </w:tc>
      </w:tr>
      <w:tr w:rsidR="00C0756A" w:rsidRPr="00C0756A" w14:paraId="723AB999" w14:textId="77777777">
        <w:trPr>
          <w:trHeight w:val="245"/>
        </w:trPr>
        <w:tc>
          <w:tcPr>
            <w:tcW w:w="4175"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tcPr>
          <w:p w14:paraId="0E6C7168" w14:textId="77777777" w:rsidR="00C0756A" w:rsidRPr="00C0756A" w:rsidRDefault="00C0756A" w:rsidP="00C0756A">
            <w:pPr>
              <w:pStyle w:val="TableDataEntries"/>
              <w:jc w:val="left"/>
              <w:rPr>
                <w:rFonts w:ascii="Franklin Gothic Demi" w:hAnsi="Franklin Gothic Demi"/>
              </w:rPr>
            </w:pPr>
            <w:r w:rsidRPr="00C0756A">
              <w:rPr>
                <w:rFonts w:ascii="Franklin Gothic Demi" w:hAnsi="Franklin Gothic Demi"/>
              </w:rPr>
              <w:t>Total other costs</w:t>
            </w:r>
          </w:p>
        </w:tc>
        <w:tc>
          <w:tcPr>
            <w:tcW w:w="1253"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vAlign w:val="bottom"/>
          </w:tcPr>
          <w:p w14:paraId="71476790" w14:textId="5AAF41DC" w:rsidR="00C0756A" w:rsidRPr="00C0756A" w:rsidRDefault="00C0756A" w:rsidP="00C0756A">
            <w:pPr>
              <w:pStyle w:val="TableDataEntries"/>
              <w:rPr>
                <w:rFonts w:ascii="Franklin Gothic Demi" w:hAnsi="Franklin Gothic Demi"/>
              </w:rPr>
            </w:pPr>
            <w:r w:rsidRPr="00C0756A">
              <w:rPr>
                <w:rFonts w:ascii="Franklin Gothic Demi" w:hAnsi="Franklin Gothic Demi"/>
              </w:rPr>
              <w:t>- 16.31</w:t>
            </w:r>
          </w:p>
        </w:tc>
        <w:tc>
          <w:tcPr>
            <w:tcW w:w="1254"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vAlign w:val="bottom"/>
          </w:tcPr>
          <w:p w14:paraId="5B5CF5C6" w14:textId="5E4676AE" w:rsidR="00C0756A" w:rsidRPr="00C0756A" w:rsidRDefault="00C0756A" w:rsidP="00C0756A">
            <w:pPr>
              <w:pStyle w:val="TableDataEntries"/>
              <w:rPr>
                <w:rFonts w:ascii="Franklin Gothic Demi" w:hAnsi="Franklin Gothic Demi"/>
              </w:rPr>
            </w:pPr>
            <w:r w:rsidRPr="00C0756A">
              <w:rPr>
                <w:rFonts w:ascii="Franklin Gothic Demi" w:hAnsi="Franklin Gothic Demi"/>
              </w:rPr>
              <w:t>- 16.31</w:t>
            </w:r>
          </w:p>
        </w:tc>
        <w:tc>
          <w:tcPr>
            <w:tcW w:w="1254"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vAlign w:val="bottom"/>
          </w:tcPr>
          <w:p w14:paraId="184D8D84" w14:textId="588E8CD1" w:rsidR="00C0756A" w:rsidRPr="00C0756A" w:rsidRDefault="00C0756A" w:rsidP="00C0756A">
            <w:pPr>
              <w:pStyle w:val="TableDataEntries"/>
              <w:rPr>
                <w:rFonts w:ascii="Franklin Gothic Demi" w:hAnsi="Franklin Gothic Demi"/>
              </w:rPr>
            </w:pPr>
            <w:r w:rsidRPr="00C0756A">
              <w:rPr>
                <w:rFonts w:ascii="Franklin Gothic Demi" w:hAnsi="Franklin Gothic Demi"/>
              </w:rPr>
              <w:t>- 16.31</w:t>
            </w:r>
          </w:p>
        </w:tc>
      </w:tr>
      <w:tr w:rsidR="00C0756A" w:rsidRPr="00C0756A" w14:paraId="51D61F96" w14:textId="77777777">
        <w:trPr>
          <w:trHeight w:val="245"/>
        </w:trPr>
        <w:tc>
          <w:tcPr>
            <w:tcW w:w="4175"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1EF08B5" w14:textId="77777777" w:rsidR="00C0756A" w:rsidRPr="00C0756A" w:rsidRDefault="00C0756A" w:rsidP="00C0756A">
            <w:pPr>
              <w:pStyle w:val="TableDataEntries"/>
              <w:jc w:val="left"/>
              <w:rPr>
                <w:rFonts w:ascii="Franklin Gothic Demi" w:hAnsi="Franklin Gothic Demi"/>
              </w:rPr>
            </w:pPr>
            <w:r w:rsidRPr="00C0756A">
              <w:rPr>
                <w:rFonts w:ascii="Franklin Gothic Demi" w:hAnsi="Franklin Gothic Demi"/>
              </w:rPr>
              <w:t>Total</w:t>
            </w:r>
          </w:p>
        </w:tc>
        <w:tc>
          <w:tcPr>
            <w:tcW w:w="1253"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5A2DF7C5" w14:textId="45A5906C" w:rsidR="00C0756A" w:rsidRPr="00C0756A" w:rsidRDefault="00C0756A" w:rsidP="00C0756A">
            <w:pPr>
              <w:pStyle w:val="TableDataEntries"/>
              <w:rPr>
                <w:rFonts w:ascii="Franklin Gothic Demi" w:hAnsi="Franklin Gothic Demi"/>
              </w:rPr>
            </w:pPr>
            <w:r w:rsidRPr="00C0756A">
              <w:rPr>
                <w:rFonts w:ascii="Franklin Gothic Demi" w:hAnsi="Franklin Gothic Demi"/>
              </w:rPr>
              <w:t>6 823.45</w:t>
            </w:r>
          </w:p>
        </w:tc>
        <w:tc>
          <w:tcPr>
            <w:tcW w:w="1254"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30872F9D" w14:textId="1DAA864D" w:rsidR="00C0756A" w:rsidRPr="00C0756A" w:rsidRDefault="00C0756A" w:rsidP="00C0756A">
            <w:pPr>
              <w:pStyle w:val="TableDataEntries"/>
              <w:rPr>
                <w:rFonts w:ascii="Franklin Gothic Demi" w:hAnsi="Franklin Gothic Demi"/>
              </w:rPr>
            </w:pPr>
            <w:r w:rsidRPr="00C0756A">
              <w:rPr>
                <w:rFonts w:ascii="Franklin Gothic Demi" w:hAnsi="Franklin Gothic Demi"/>
              </w:rPr>
              <w:t>10 044.37</w:t>
            </w:r>
          </w:p>
        </w:tc>
        <w:tc>
          <w:tcPr>
            <w:tcW w:w="1254"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4D3A54DA" w14:textId="7A23338C" w:rsidR="00C0756A" w:rsidRPr="00C0756A" w:rsidRDefault="00C0756A" w:rsidP="00C0756A">
            <w:pPr>
              <w:pStyle w:val="TableDataEntries"/>
              <w:rPr>
                <w:rFonts w:ascii="Franklin Gothic Demi" w:hAnsi="Franklin Gothic Demi"/>
              </w:rPr>
            </w:pPr>
            <w:r w:rsidRPr="00C0756A">
              <w:rPr>
                <w:rFonts w:ascii="Franklin Gothic Demi" w:hAnsi="Franklin Gothic Demi"/>
              </w:rPr>
              <w:t>9 371.99</w:t>
            </w:r>
          </w:p>
        </w:tc>
      </w:tr>
    </w:tbl>
    <w:p w14:paraId="1E86A904" w14:textId="77777777" w:rsidR="006568C5" w:rsidRPr="00492AD6" w:rsidRDefault="006568C5" w:rsidP="006568C5">
      <w:pPr>
        <w:pStyle w:val="Note"/>
        <w:rPr>
          <w:color w:val="000000" w:themeColor="text1"/>
        </w:rPr>
      </w:pPr>
      <w:r w:rsidRPr="00492AD6">
        <w:rPr>
          <w:i/>
          <w:color w:val="000000" w:themeColor="text1"/>
        </w:rPr>
        <w:t>Note:</w:t>
      </w:r>
      <w:r w:rsidRPr="00492AD6">
        <w:rPr>
          <w:color w:val="000000" w:themeColor="text1"/>
        </w:rPr>
        <w:t xml:space="preserve"> Estimates presented in net present value terms over an assumed 50-year life of all buildings constructed over the 10 year period from 2025 to 2034, using a discount rate of 5 per cent.</w:t>
      </w:r>
    </w:p>
    <w:p w14:paraId="2F0ECB08" w14:textId="77777777" w:rsidR="006568C5" w:rsidRDefault="006568C5" w:rsidP="006568C5">
      <w:pPr>
        <w:pStyle w:val="Source"/>
        <w:rPr>
          <w:color w:val="000000" w:themeColor="text1"/>
        </w:rPr>
      </w:pPr>
      <w:r w:rsidRPr="00492AD6">
        <w:rPr>
          <w:i/>
          <w:color w:val="000000" w:themeColor="text1"/>
        </w:rPr>
        <w:t>Source:</w:t>
      </w:r>
      <w:r w:rsidRPr="00492AD6">
        <w:rPr>
          <w:color w:val="000000" w:themeColor="text1"/>
        </w:rPr>
        <w:t xml:space="preserve"> CIE based on DeltaQ modelling.</w:t>
      </w:r>
    </w:p>
    <w:p w14:paraId="22ACEB28" w14:textId="7A106AAC" w:rsidR="0078334A" w:rsidRDefault="006568C5" w:rsidP="006568C5">
      <w:pPr>
        <w:pStyle w:val="BodyText"/>
        <w:rPr>
          <w:lang w:eastAsia="en-US"/>
        </w:rPr>
      </w:pPr>
      <w:r>
        <w:rPr>
          <w:lang w:eastAsia="en-US"/>
        </w:rPr>
        <w:t xml:space="preserve">These estimates are generally </w:t>
      </w:r>
      <w:r w:rsidR="000049C8">
        <w:rPr>
          <w:lang w:eastAsia="en-US"/>
        </w:rPr>
        <w:t>lower</w:t>
      </w:r>
      <w:r>
        <w:rPr>
          <w:lang w:eastAsia="en-US"/>
        </w:rPr>
        <w:t xml:space="preserve"> than those presented in the CRIS</w:t>
      </w:r>
      <w:r w:rsidR="0078334A">
        <w:rPr>
          <w:lang w:eastAsia="en-US"/>
        </w:rPr>
        <w:t xml:space="preserve">. Key changes </w:t>
      </w:r>
      <w:r w:rsidR="009A2575">
        <w:rPr>
          <w:lang w:eastAsia="en-US"/>
        </w:rPr>
        <w:t xml:space="preserve">from the CRIS </w:t>
      </w:r>
      <w:r w:rsidR="0078334A">
        <w:rPr>
          <w:lang w:eastAsia="en-US"/>
        </w:rPr>
        <w:t>include the following:</w:t>
      </w:r>
    </w:p>
    <w:p w14:paraId="281DF72E" w14:textId="0EC2ECCE" w:rsidR="00367BDD" w:rsidRDefault="00F53579" w:rsidP="00B30B65">
      <w:pPr>
        <w:pStyle w:val="ListBullet"/>
        <w:rPr>
          <w:lang w:eastAsia="en-US"/>
        </w:rPr>
      </w:pPr>
      <w:r>
        <w:rPr>
          <w:lang w:eastAsia="en-US"/>
        </w:rPr>
        <w:t>The DRIS estimates reflect revised DeltaQ modelling for some archetypes.</w:t>
      </w:r>
    </w:p>
    <w:p w14:paraId="464F57B9" w14:textId="20925044" w:rsidR="00992DD5" w:rsidRDefault="00992DD5" w:rsidP="00B30B65">
      <w:pPr>
        <w:pStyle w:val="ListBullet"/>
        <w:rPr>
          <w:lang w:eastAsia="en-US"/>
        </w:rPr>
      </w:pPr>
      <w:r>
        <w:rPr>
          <w:lang w:eastAsia="en-US"/>
        </w:rPr>
        <w:t>Various inputs including price</w:t>
      </w:r>
      <w:r w:rsidR="001128A6">
        <w:rPr>
          <w:lang w:eastAsia="en-US"/>
        </w:rPr>
        <w:t>s and projections for the future GHG intensity of electricity</w:t>
      </w:r>
      <w:r w:rsidR="00A637B4">
        <w:rPr>
          <w:lang w:eastAsia="en-US"/>
        </w:rPr>
        <w:t xml:space="preserve"> were updated to reflect more recent information.</w:t>
      </w:r>
    </w:p>
    <w:p w14:paraId="37AA9E52" w14:textId="2F2400CA" w:rsidR="00A637B4" w:rsidRDefault="00A637B4" w:rsidP="00B30B65">
      <w:pPr>
        <w:pStyle w:val="ListBullet"/>
        <w:rPr>
          <w:lang w:eastAsia="en-US"/>
        </w:rPr>
      </w:pPr>
      <w:r>
        <w:rPr>
          <w:lang w:eastAsia="en-US"/>
        </w:rPr>
        <w:t xml:space="preserve">Estimates </w:t>
      </w:r>
      <w:r w:rsidR="00F4476F">
        <w:rPr>
          <w:lang w:eastAsia="en-US"/>
        </w:rPr>
        <w:t>of the network costs associated with additional e</w:t>
      </w:r>
      <w:r w:rsidR="00C724C7">
        <w:rPr>
          <w:lang w:eastAsia="en-US"/>
        </w:rPr>
        <w:t>xports of electricity to the grid were included.</w:t>
      </w:r>
    </w:p>
    <w:p w14:paraId="3E6AFBA3" w14:textId="74B7F241" w:rsidR="0078334A" w:rsidRDefault="00A53523" w:rsidP="00B30B65">
      <w:pPr>
        <w:pStyle w:val="ListBullet"/>
        <w:rPr>
          <w:lang w:eastAsia="en-US"/>
        </w:rPr>
      </w:pPr>
      <w:r>
        <w:rPr>
          <w:lang w:eastAsia="en-US"/>
        </w:rPr>
        <w:t xml:space="preserve">Some building types that were not </w:t>
      </w:r>
      <w:r w:rsidR="00F3518F">
        <w:rPr>
          <w:lang w:eastAsia="en-US"/>
        </w:rPr>
        <w:t>explicitly</w:t>
      </w:r>
      <w:r>
        <w:rPr>
          <w:lang w:eastAsia="en-US"/>
        </w:rPr>
        <w:t xml:space="preserve"> modelled </w:t>
      </w:r>
      <w:r w:rsidR="00D76BC6">
        <w:rPr>
          <w:lang w:eastAsia="en-US"/>
        </w:rPr>
        <w:t xml:space="preserve">(including warehouses, factories and laboratories) </w:t>
      </w:r>
      <w:r>
        <w:rPr>
          <w:lang w:eastAsia="en-US"/>
        </w:rPr>
        <w:t>were included in the aggregate results.</w:t>
      </w:r>
    </w:p>
    <w:p w14:paraId="2129B779" w14:textId="19A0EAA1" w:rsidR="00992DD5" w:rsidRDefault="005747EE" w:rsidP="00B30B65">
      <w:pPr>
        <w:pStyle w:val="ListBullet"/>
        <w:rPr>
          <w:lang w:eastAsia="en-US"/>
        </w:rPr>
      </w:pPr>
      <w:r>
        <w:rPr>
          <w:lang w:eastAsia="en-US"/>
        </w:rPr>
        <w:t>For building types where multiple archetypes were modelled (i.e. hotels, offices and retail buildings)</w:t>
      </w:r>
      <w:r w:rsidR="00230460">
        <w:rPr>
          <w:lang w:eastAsia="en-US"/>
        </w:rPr>
        <w:t>, the shares were updated based on further research.</w:t>
      </w:r>
    </w:p>
    <w:p w14:paraId="3E675215" w14:textId="7DBFF703" w:rsidR="00691D34" w:rsidRDefault="00C64DB5">
      <w:pPr>
        <w:pStyle w:val="ListBullet"/>
        <w:rPr>
          <w:lang w:eastAsia="en-US"/>
        </w:rPr>
      </w:pPr>
      <w:r>
        <w:rPr>
          <w:lang w:eastAsia="en-US"/>
        </w:rPr>
        <w:t xml:space="preserve">For Stringency </w:t>
      </w:r>
      <w:r w:rsidR="00216F0D">
        <w:rPr>
          <w:lang w:eastAsia="en-US"/>
        </w:rPr>
        <w:t xml:space="preserve">Level </w:t>
      </w:r>
      <w:r>
        <w:rPr>
          <w:lang w:eastAsia="en-US"/>
        </w:rPr>
        <w:t>3</w:t>
      </w:r>
      <w:r w:rsidR="009C1B4B">
        <w:rPr>
          <w:lang w:eastAsia="en-US"/>
        </w:rPr>
        <w:t xml:space="preserve"> —</w:t>
      </w:r>
      <w:r>
        <w:rPr>
          <w:lang w:eastAsia="en-US"/>
        </w:rPr>
        <w:t xml:space="preserve"> wh</w:t>
      </w:r>
      <w:r w:rsidR="00A1156D">
        <w:rPr>
          <w:lang w:eastAsia="en-US"/>
        </w:rPr>
        <w:t xml:space="preserve">ere </w:t>
      </w:r>
      <w:r>
        <w:rPr>
          <w:lang w:eastAsia="en-US"/>
        </w:rPr>
        <w:t xml:space="preserve">owners </w:t>
      </w:r>
      <w:r w:rsidR="00A1156D">
        <w:rPr>
          <w:lang w:eastAsia="en-US"/>
        </w:rPr>
        <w:t xml:space="preserve">of dual fuel buildings </w:t>
      </w:r>
      <w:r w:rsidR="0036765F">
        <w:rPr>
          <w:lang w:eastAsia="en-US"/>
        </w:rPr>
        <w:t xml:space="preserve">under the base case </w:t>
      </w:r>
      <w:r w:rsidR="005C4E43">
        <w:rPr>
          <w:lang w:eastAsia="en-US"/>
        </w:rPr>
        <w:t xml:space="preserve">are able to choose </w:t>
      </w:r>
      <w:r w:rsidR="00A1156D">
        <w:rPr>
          <w:lang w:eastAsia="en-US"/>
        </w:rPr>
        <w:t xml:space="preserve">to either: </w:t>
      </w:r>
      <w:r w:rsidR="0036765F">
        <w:rPr>
          <w:lang w:eastAsia="en-US"/>
        </w:rPr>
        <w:t xml:space="preserve">‘electrify now’; or </w:t>
      </w:r>
      <w:r w:rsidR="009C1B4B">
        <w:rPr>
          <w:lang w:eastAsia="en-US"/>
        </w:rPr>
        <w:t xml:space="preserve">to offset gas consumption by installing additional solar panels </w:t>
      </w:r>
      <w:r w:rsidR="00EC708A">
        <w:rPr>
          <w:lang w:eastAsia="en-US"/>
        </w:rPr>
        <w:t xml:space="preserve">(mostly ground mounted) </w:t>
      </w:r>
      <w:r w:rsidR="009C1B4B">
        <w:rPr>
          <w:lang w:eastAsia="en-US"/>
        </w:rPr>
        <w:t xml:space="preserve">— </w:t>
      </w:r>
      <w:r w:rsidR="00837987">
        <w:rPr>
          <w:lang w:eastAsia="en-US"/>
        </w:rPr>
        <w:t xml:space="preserve">the modelling for the DRIS assumes that 90 per cent would choose to ‘electrify now’ and 10 per cent would choose </w:t>
      </w:r>
      <w:r w:rsidR="00803F8D">
        <w:rPr>
          <w:lang w:eastAsia="en-US"/>
        </w:rPr>
        <w:t>the ‘dual fuel offset’</w:t>
      </w:r>
      <w:r w:rsidR="00C951B3">
        <w:rPr>
          <w:lang w:eastAsia="en-US"/>
        </w:rPr>
        <w:t xml:space="preserve"> (this compares to </w:t>
      </w:r>
      <w:r w:rsidR="00302262">
        <w:rPr>
          <w:lang w:eastAsia="en-US"/>
        </w:rPr>
        <w:t xml:space="preserve">a 50:50 split assumed in the CRIS). This change </w:t>
      </w:r>
      <w:r w:rsidR="006450CD">
        <w:rPr>
          <w:lang w:eastAsia="en-US"/>
        </w:rPr>
        <w:t xml:space="preserve">largely </w:t>
      </w:r>
      <w:r w:rsidR="00302262">
        <w:rPr>
          <w:lang w:eastAsia="en-US"/>
        </w:rPr>
        <w:t>reflected</w:t>
      </w:r>
      <w:r w:rsidR="00C44BAE">
        <w:rPr>
          <w:lang w:eastAsia="en-US"/>
        </w:rPr>
        <w:t xml:space="preserve"> </w:t>
      </w:r>
      <w:r w:rsidR="006450CD">
        <w:rPr>
          <w:lang w:eastAsia="en-US"/>
        </w:rPr>
        <w:t>stakeholder feedback; s</w:t>
      </w:r>
      <w:r w:rsidR="00C44BAE">
        <w:rPr>
          <w:lang w:eastAsia="en-US"/>
        </w:rPr>
        <w:t xml:space="preserve">ome </w:t>
      </w:r>
      <w:r w:rsidR="007A0262">
        <w:rPr>
          <w:lang w:eastAsia="en-US"/>
        </w:rPr>
        <w:t>stakeholder</w:t>
      </w:r>
      <w:r w:rsidR="00C44BAE">
        <w:rPr>
          <w:lang w:eastAsia="en-US"/>
        </w:rPr>
        <w:t>s questioned the practicality</w:t>
      </w:r>
      <w:r w:rsidR="00EC708A">
        <w:rPr>
          <w:lang w:eastAsia="en-US"/>
        </w:rPr>
        <w:t xml:space="preserve"> of ground-mounted solar panel</w:t>
      </w:r>
      <w:r w:rsidR="006D0B58">
        <w:rPr>
          <w:lang w:eastAsia="en-US"/>
        </w:rPr>
        <w:t>s. This is likely to particularly be an issue in CBD areas where shading</w:t>
      </w:r>
      <w:r w:rsidR="00691D34">
        <w:rPr>
          <w:lang w:eastAsia="en-US"/>
        </w:rPr>
        <w:t xml:space="preserve"> may limit the feasibility of this option</w:t>
      </w:r>
      <w:r w:rsidR="009B7D3B">
        <w:rPr>
          <w:lang w:eastAsia="en-US"/>
        </w:rPr>
        <w:t>.</w:t>
      </w:r>
    </w:p>
    <w:p w14:paraId="5671881D" w14:textId="77777777" w:rsidR="006568C5" w:rsidRDefault="006568C5" w:rsidP="006568C5">
      <w:pPr>
        <w:pStyle w:val="Heading2"/>
      </w:pPr>
      <w:bookmarkStart w:id="2853" w:name="_Toc177735111"/>
      <w:bookmarkStart w:id="2854" w:name="_Toc178292545"/>
      <w:r>
        <w:t>Commercial building projections</w:t>
      </w:r>
      <w:bookmarkEnd w:id="2853"/>
      <w:bookmarkEnd w:id="2854"/>
    </w:p>
    <w:p w14:paraId="5C7F992D" w14:textId="77777777" w:rsidR="006568C5" w:rsidRPr="00844A6E" w:rsidRDefault="006568C5" w:rsidP="006568C5">
      <w:pPr>
        <w:pStyle w:val="BodyText"/>
        <w:rPr>
          <w:szCs w:val="22"/>
        </w:rPr>
      </w:pPr>
      <w:r w:rsidRPr="00844A6E">
        <w:rPr>
          <w:szCs w:val="22"/>
        </w:rPr>
        <w:t>The aggregate impacts are based on the building</w:t>
      </w:r>
      <w:r w:rsidRPr="00844A6E">
        <w:rPr>
          <w:szCs w:val="22"/>
        </w:rPr>
        <w:noBreakHyphen/>
        <w:t>level costs and benefits (per square metre of floor space) multiplied by projected construction of new buildings over the period from 2025 to 2034.</w:t>
      </w:r>
    </w:p>
    <w:p w14:paraId="2624289E" w14:textId="23EE6E3E" w:rsidR="006568C5" w:rsidRPr="00844A6E" w:rsidRDefault="006568C5" w:rsidP="006568C5">
      <w:pPr>
        <w:pStyle w:val="BodyText"/>
        <w:rPr>
          <w:szCs w:val="22"/>
        </w:rPr>
      </w:pPr>
      <w:r w:rsidRPr="00844A6E">
        <w:rPr>
          <w:szCs w:val="22"/>
        </w:rPr>
        <w:t>The most recent, comprehensive projection of commercial buildings has been the Commercial Buildings Energy Consumption baseline study conducted by SPR for DCCEEW in 2022.</w:t>
      </w:r>
      <w:r w:rsidRPr="003B1AB9">
        <w:rPr>
          <w:rStyle w:val="FootnoteReference"/>
        </w:rPr>
        <w:footnoteReference w:id="130"/>
      </w:r>
      <w:r w:rsidRPr="003B1AB9">
        <w:rPr>
          <w:rStyle w:val="FootnoteReference"/>
        </w:rPr>
        <w:t xml:space="preserve"> </w:t>
      </w:r>
      <w:r w:rsidRPr="00844A6E">
        <w:rPr>
          <w:szCs w:val="22"/>
        </w:rPr>
        <w:t>The study has provided end of financial year commercial building stock projections up to 2050, with granular details of regions, climate zones, and commercial building classifications. It provides three projection scenarios – the initial base case projection, and the two updated projections corresponding to AEMO’s Step Change and Progress Change scenarios (chart</w:t>
      </w:r>
      <w:r>
        <w:rPr>
          <w:szCs w:val="22"/>
        </w:rPr>
        <w:t xml:space="preserve"> </w:t>
      </w:r>
      <w:r>
        <w:rPr>
          <w:szCs w:val="22"/>
        </w:rPr>
        <w:fldChar w:fldCharType="begin"/>
      </w:r>
      <w:r>
        <w:rPr>
          <w:szCs w:val="22"/>
        </w:rPr>
        <w:instrText xml:space="preserve"> REF _Caption5262 </w:instrText>
      </w:r>
      <w:r>
        <w:rPr>
          <w:szCs w:val="22"/>
        </w:rPr>
        <w:fldChar w:fldCharType="separate"/>
      </w:r>
      <w:r w:rsidR="006E00A7">
        <w:rPr>
          <w:noProof/>
        </w:rPr>
        <w:t>7</w:t>
      </w:r>
      <w:r w:rsidR="006E00A7" w:rsidRPr="006F0F88">
        <w:rPr>
          <w:noProof/>
        </w:rPr>
        <w:t>.</w:t>
      </w:r>
      <w:r w:rsidR="006E00A7">
        <w:rPr>
          <w:noProof/>
        </w:rPr>
        <w:t>2</w:t>
      </w:r>
      <w:r>
        <w:rPr>
          <w:szCs w:val="22"/>
        </w:rPr>
        <w:fldChar w:fldCharType="end"/>
      </w:r>
      <w:r w:rsidRPr="00844A6E">
        <w:rPr>
          <w:szCs w:val="22"/>
        </w:rPr>
        <w:t>).</w:t>
      </w:r>
    </w:p>
    <w:p w14:paraId="543703FF" w14:textId="77777777" w:rsidR="006568C5" w:rsidRPr="00844A6E" w:rsidRDefault="006568C5" w:rsidP="006568C5">
      <w:pPr>
        <w:pStyle w:val="BodyText"/>
        <w:rPr>
          <w:szCs w:val="22"/>
        </w:rPr>
      </w:pPr>
      <w:r w:rsidRPr="00844A6E">
        <w:rPr>
          <w:szCs w:val="22"/>
        </w:rPr>
        <w:t>We use the Step Change scenario as the basis for the projection of new commercial buildings because the Step Change scenario is identified as the most likely scenario by AEMO.</w:t>
      </w:r>
      <w:r w:rsidRPr="003B1AB9">
        <w:rPr>
          <w:rStyle w:val="FootnoteReference"/>
        </w:rPr>
        <w:footnoteReference w:id="131"/>
      </w:r>
    </w:p>
    <w:p w14:paraId="5DA13C3B" w14:textId="54321977" w:rsidR="006568C5" w:rsidRPr="006F0F88" w:rsidRDefault="006568C5" w:rsidP="006568C5">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E136D5">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136D5">
          <w:rPr>
            <w:noProof/>
          </w:rPr>
          <w:instrText>7</w:instrText>
        </w:r>
      </w:fldSimple>
      <w:r w:rsidRPr="006F0F88">
        <w:instrText xml:space="preserve"> = 0 "" "</w:instrText>
      </w:r>
      <w:fldSimple w:instr=" STYLEREF &quot;Heading 1&quot; \l \n ">
        <w:r w:rsidR="00E136D5">
          <w:rPr>
            <w:noProof/>
          </w:rPr>
          <w:instrText>7</w:instrText>
        </w:r>
      </w:fldSimple>
      <w:r w:rsidRPr="006F0F88">
        <w:instrText xml:space="preserve">." </w:instrText>
      </w:r>
      <w:r w:rsidRPr="006F0F88">
        <w:fldChar w:fldCharType="separate"/>
      </w:r>
      <w:r w:rsidR="00E136D5">
        <w:rPr>
          <w:noProof/>
        </w:rPr>
        <w:instrText>7</w:instrText>
      </w:r>
      <w:r w:rsidR="00E136D5" w:rsidRPr="006F0F88">
        <w:rPr>
          <w:noProof/>
        </w:rPr>
        <w:instrText>.</w:instrText>
      </w:r>
      <w:r w:rsidRPr="006F0F88">
        <w:fldChar w:fldCharType="end"/>
      </w:r>
      <w:r w:rsidRPr="006F0F88">
        <w:instrText>" "</w:instrText>
      </w:r>
      <w:fldSimple w:instr=" STYLEREF &quot;Heading 6&quot; \l \n ">
        <w:r w:rsidRPr="006F0F88">
          <w:instrText>A</w:instrText>
        </w:r>
      </w:fldSimple>
      <w:r w:rsidRPr="006F0F88">
        <w:instrText xml:space="preserve">." </w:instrText>
      </w:r>
      <w:r w:rsidRPr="006F0F88">
        <w:fldChar w:fldCharType="separate"/>
      </w:r>
      <w:r w:rsidR="008C60A3">
        <w:rPr>
          <w:noProof/>
        </w:rPr>
        <w:instrText>7</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E136D5">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136D5">
          <w:rPr>
            <w:noProof/>
          </w:rPr>
          <w:instrText>7</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E136D5">
        <w:rPr>
          <w:noProof/>
        </w:rPr>
        <w:instrText>2</w:instrText>
      </w:r>
      <w:r w:rsidRPr="006F0F88">
        <w:fldChar w:fldCharType="end"/>
      </w:r>
      <w:r w:rsidRPr="006F0F88">
        <w:instrText xml:space="preserve">" "" </w:instrText>
      </w:r>
      <w:r w:rsidRPr="006F0F88">
        <w:fldChar w:fldCharType="separate"/>
      </w:r>
      <w:bookmarkStart w:id="2855" w:name="_Caption0181"/>
      <w:bookmarkStart w:id="2856" w:name="_Caption5351"/>
      <w:bookmarkStart w:id="2857" w:name="_Caption2883"/>
      <w:bookmarkStart w:id="2858" w:name="_Caption9003"/>
      <w:bookmarkStart w:id="2859" w:name="_Caption9217"/>
      <w:bookmarkStart w:id="2860" w:name="_Caption4688"/>
      <w:bookmarkStart w:id="2861" w:name="_Caption9394"/>
      <w:bookmarkStart w:id="2862" w:name="_Caption6275"/>
      <w:bookmarkStart w:id="2863" w:name="_Caption3628"/>
      <w:bookmarkStart w:id="2864" w:name="_Caption4911"/>
      <w:bookmarkStart w:id="2865" w:name="_Caption6407"/>
      <w:bookmarkStart w:id="2866" w:name="_Caption4944"/>
      <w:bookmarkStart w:id="2867" w:name="_Caption2047"/>
      <w:bookmarkStart w:id="2868" w:name="_Caption7424"/>
      <w:bookmarkStart w:id="2869" w:name="_Caption1769"/>
      <w:bookmarkStart w:id="2870" w:name="_Caption6775"/>
      <w:bookmarkStart w:id="2871" w:name="_Caption9528"/>
      <w:bookmarkStart w:id="2872" w:name="_Caption9947"/>
      <w:bookmarkStart w:id="2873" w:name="_Caption0740"/>
      <w:bookmarkStart w:id="2874" w:name="_Caption1500"/>
      <w:bookmarkStart w:id="2875" w:name="_Caption8389"/>
      <w:bookmarkStart w:id="2876" w:name="_Caption3241"/>
      <w:bookmarkStart w:id="2877" w:name="_Caption0806"/>
      <w:bookmarkStart w:id="2878" w:name="_Caption4354"/>
      <w:bookmarkStart w:id="2879" w:name="_Caption2346"/>
      <w:bookmarkStart w:id="2880" w:name="_Caption1568"/>
      <w:bookmarkStart w:id="2881" w:name="_Caption2833"/>
      <w:bookmarkStart w:id="2882" w:name="_Caption8679"/>
      <w:bookmarkStart w:id="2883" w:name="_Caption0769"/>
      <w:bookmarkStart w:id="2884" w:name="_Caption3569"/>
      <w:bookmarkStart w:id="2885" w:name="_Caption7062"/>
      <w:bookmarkStart w:id="2886" w:name="_Caption2606"/>
      <w:bookmarkStart w:id="2887" w:name="_Caption5262"/>
      <w:bookmarkStart w:id="2888" w:name="_Caption2759"/>
      <w:bookmarkStart w:id="2889" w:name="_Caption4718"/>
      <w:bookmarkStart w:id="2890" w:name="_Caption9289"/>
      <w:bookmarkStart w:id="2891" w:name="_Caption2342"/>
      <w:bookmarkStart w:id="2892" w:name="_Caption7673"/>
      <w:bookmarkStart w:id="2893" w:name="_Caption6196"/>
      <w:bookmarkStart w:id="2894" w:name="_Caption2789"/>
      <w:bookmarkStart w:id="2895" w:name="_Caption2014"/>
      <w:bookmarkStart w:id="2896" w:name="_Caption7234"/>
      <w:bookmarkStart w:id="2897" w:name="_Caption3460"/>
      <w:bookmarkStart w:id="2898" w:name="_Caption3436"/>
      <w:bookmarkStart w:id="2899" w:name="_Caption7422"/>
      <w:bookmarkStart w:id="2900" w:name="_Caption1686"/>
      <w:bookmarkStart w:id="2901" w:name="_Caption1893"/>
      <w:bookmarkStart w:id="2902" w:name="_Caption8870"/>
      <w:bookmarkStart w:id="2903" w:name="_Caption4545"/>
      <w:bookmarkStart w:id="2904" w:name="_Caption5013"/>
      <w:bookmarkStart w:id="2905" w:name="_Caption1586"/>
      <w:bookmarkStart w:id="2906" w:name="_Caption5709"/>
      <w:bookmarkStart w:id="2907" w:name="_Caption9543"/>
      <w:bookmarkStart w:id="2908" w:name="_Caption8824"/>
      <w:bookmarkStart w:id="2909" w:name="_Caption3527"/>
      <w:bookmarkStart w:id="2910" w:name="_Caption8442"/>
      <w:bookmarkStart w:id="2911" w:name="_Caption9747"/>
      <w:bookmarkStart w:id="2912" w:name="_Caption0470"/>
      <w:bookmarkStart w:id="2913" w:name="_Caption0140"/>
      <w:bookmarkStart w:id="2914" w:name="_Caption1016"/>
      <w:bookmarkStart w:id="2915" w:name="_Caption5769"/>
      <w:bookmarkStart w:id="2916" w:name="_Caption8198"/>
      <w:bookmarkStart w:id="2917" w:name="_Caption7318"/>
      <w:bookmarkStart w:id="2918" w:name="_Caption7052"/>
      <w:bookmarkStart w:id="2919" w:name="_Caption1614"/>
      <w:bookmarkStart w:id="2920" w:name="_Caption0197"/>
      <w:bookmarkStart w:id="2921" w:name="_Caption2539"/>
      <w:bookmarkStart w:id="2922" w:name="_Caption8401"/>
      <w:bookmarkStart w:id="2923" w:name="_Caption9369"/>
      <w:bookmarkStart w:id="2924" w:name="_Caption6886"/>
      <w:bookmarkStart w:id="2925" w:name="_Caption7460"/>
      <w:bookmarkStart w:id="2926" w:name="_Caption6791"/>
      <w:bookmarkStart w:id="2927" w:name="_Caption4960"/>
      <w:bookmarkStart w:id="2928" w:name="_Caption1457"/>
      <w:bookmarkStart w:id="2929" w:name="_Caption0767"/>
      <w:bookmarkStart w:id="2930" w:name="_Caption0678"/>
      <w:bookmarkStart w:id="2931" w:name="_Caption2105"/>
      <w:bookmarkStart w:id="2932" w:name="_Caption8895"/>
      <w:bookmarkStart w:id="2933" w:name="_Caption4242"/>
      <w:bookmarkStart w:id="2934" w:name="_Caption7328"/>
      <w:bookmarkStart w:id="2935" w:name="_Caption3651"/>
      <w:bookmarkStart w:id="2936" w:name="_Caption5090"/>
      <w:bookmarkStart w:id="2937" w:name="_Caption0437"/>
      <w:bookmarkStart w:id="2938" w:name="_Caption1333"/>
      <w:bookmarkStart w:id="2939" w:name="_Caption3247"/>
      <w:bookmarkStart w:id="2940" w:name="_Caption2984"/>
      <w:bookmarkStart w:id="2941" w:name="_Caption8159"/>
      <w:bookmarkStart w:id="2942" w:name="_Caption0433"/>
      <w:bookmarkStart w:id="2943" w:name="_Caption2344"/>
      <w:bookmarkStart w:id="2944" w:name="_Caption7146"/>
      <w:bookmarkStart w:id="2945" w:name="_Caption3322"/>
      <w:bookmarkStart w:id="2946" w:name="_Caption7039"/>
      <w:bookmarkStart w:id="2947" w:name="_Caption6808"/>
      <w:bookmarkStart w:id="2948" w:name="_Caption5819"/>
      <w:bookmarkStart w:id="2949" w:name="_Caption3828"/>
      <w:bookmarkStart w:id="2950" w:name="_Caption1885"/>
      <w:bookmarkStart w:id="2951" w:name="_Caption0725"/>
      <w:bookmarkStart w:id="2952" w:name="_Caption5438"/>
      <w:bookmarkStart w:id="2953" w:name="_Caption3971"/>
      <w:bookmarkStart w:id="2954" w:name="_Caption0160"/>
      <w:bookmarkStart w:id="2955" w:name="_Caption4281"/>
      <w:bookmarkStart w:id="2956" w:name="_Caption7969"/>
      <w:bookmarkStart w:id="2957" w:name="_Caption3258"/>
      <w:bookmarkStart w:id="2958" w:name="_Caption8340"/>
      <w:bookmarkStart w:id="2959" w:name="_Caption2572"/>
      <w:bookmarkStart w:id="2960" w:name="_Caption2385"/>
      <w:bookmarkStart w:id="2961" w:name="_Caption3592"/>
      <w:bookmarkStart w:id="2962" w:name="_Caption3909"/>
      <w:bookmarkStart w:id="2963" w:name="_Caption9220"/>
      <w:bookmarkStart w:id="2964" w:name="_Caption4034"/>
      <w:bookmarkStart w:id="2965" w:name="_Caption7235"/>
      <w:bookmarkStart w:id="2966" w:name="_Caption9560"/>
      <w:bookmarkStart w:id="2967" w:name="_Caption5158"/>
      <w:bookmarkStart w:id="2968" w:name="_Caption5629"/>
      <w:bookmarkStart w:id="2969" w:name="_Caption6641"/>
      <w:bookmarkStart w:id="2970" w:name="_Caption7799"/>
      <w:bookmarkStart w:id="2971" w:name="_Caption0290"/>
      <w:bookmarkStart w:id="2972" w:name="_Caption7722"/>
      <w:bookmarkStart w:id="2973" w:name="_Caption9253"/>
      <w:bookmarkStart w:id="2974" w:name="_Caption3613"/>
      <w:bookmarkStart w:id="2975" w:name="_Caption5250"/>
      <w:bookmarkStart w:id="2976" w:name="_Caption6343"/>
      <w:bookmarkStart w:id="2977" w:name="_Caption7638"/>
      <w:bookmarkStart w:id="2978" w:name="_Caption5662"/>
      <w:bookmarkStart w:id="2979" w:name="_Caption7503"/>
      <w:bookmarkStart w:id="2980" w:name="_Caption5759"/>
      <w:bookmarkStart w:id="2981" w:name="_Caption4604"/>
      <w:bookmarkStart w:id="2982" w:name="_Caption5363"/>
      <w:bookmarkStart w:id="2983" w:name="_Caption2912"/>
      <w:bookmarkStart w:id="2984" w:name="_Caption3471"/>
      <w:bookmarkStart w:id="2985" w:name="_Caption1392"/>
      <w:bookmarkStart w:id="2986" w:name="_Caption5670"/>
      <w:bookmarkStart w:id="2987" w:name="_Caption2698"/>
      <w:bookmarkStart w:id="2988" w:name="_Caption4027"/>
      <w:bookmarkStart w:id="2989" w:name="_Caption4423"/>
      <w:bookmarkStart w:id="2990" w:name="_Caption6157"/>
      <w:bookmarkStart w:id="2991" w:name="_Caption8624"/>
      <w:bookmarkStart w:id="2992" w:name="_Caption2391"/>
      <w:bookmarkStart w:id="2993" w:name="_Caption0786"/>
      <w:bookmarkStart w:id="2994" w:name="_Caption7265"/>
      <w:bookmarkStart w:id="2995" w:name="_Caption4538"/>
      <w:bookmarkStart w:id="2996" w:name="_Caption3889"/>
      <w:bookmarkStart w:id="2997" w:name="_Caption5931"/>
      <w:bookmarkStart w:id="2998" w:name="_Caption8347"/>
      <w:bookmarkStart w:id="2999" w:name="_Caption4346"/>
      <w:bookmarkStart w:id="3000" w:name="_Caption6676"/>
      <w:bookmarkStart w:id="3001" w:name="_Caption3743"/>
      <w:bookmarkStart w:id="3002" w:name="_Caption9303"/>
      <w:bookmarkStart w:id="3003" w:name="_Caption1334"/>
      <w:bookmarkStart w:id="3004" w:name="_Caption7958"/>
      <w:bookmarkStart w:id="3005" w:name="_Caption6432"/>
      <w:bookmarkStart w:id="3006" w:name="_Caption7737"/>
      <w:bookmarkStart w:id="3007" w:name="_Caption1760"/>
      <w:bookmarkStart w:id="3008" w:name="_Caption4246"/>
      <w:bookmarkStart w:id="3009" w:name="_Caption7137"/>
      <w:bookmarkStart w:id="3010" w:name="_Caption6547"/>
      <w:bookmarkStart w:id="3011" w:name="_Caption5529"/>
      <w:bookmarkStart w:id="3012" w:name="_Caption7426"/>
      <w:bookmarkStart w:id="3013" w:name="_Caption9439"/>
      <w:bookmarkStart w:id="3014" w:name="_Caption7355"/>
      <w:bookmarkStart w:id="3015" w:name="_Caption8582"/>
      <w:bookmarkStart w:id="3016" w:name="_Caption9116"/>
      <w:bookmarkStart w:id="3017" w:name="_Caption2045"/>
      <w:bookmarkStart w:id="3018" w:name="_Caption6524"/>
      <w:bookmarkStart w:id="3019" w:name="_Caption1275"/>
      <w:bookmarkStart w:id="3020" w:name="_Toc177735171"/>
      <w:bookmarkStart w:id="3021" w:name="_Toc178292601"/>
      <w:r w:rsidR="008C60A3">
        <w:rPr>
          <w:noProof/>
        </w:rPr>
        <w:t>7</w:t>
      </w:r>
      <w:r w:rsidR="008C60A3" w:rsidRPr="006F0F88">
        <w:rPr>
          <w:noProof/>
        </w:rPr>
        <w:t>.</w:t>
      </w:r>
      <w:r w:rsidR="008C60A3">
        <w:rPr>
          <w:noProof/>
        </w:rPr>
        <w:t>2</w:t>
      </w:r>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r w:rsidRPr="006F0F88">
        <w:fldChar w:fldCharType="end"/>
      </w:r>
      <w:r w:rsidRPr="006F0F88">
        <w:tab/>
        <w:t>Commercial building stock projections</w:t>
      </w:r>
      <w:bookmarkEnd w:id="3020"/>
      <w:bookmarkEnd w:id="3021"/>
    </w:p>
    <w:p w14:paraId="0D90812C" w14:textId="77777777" w:rsidR="006568C5" w:rsidRPr="00675907" w:rsidRDefault="006568C5" w:rsidP="006568C5">
      <w:pPr>
        <w:pStyle w:val="Subtitlebox"/>
      </w:pPr>
      <w:r w:rsidRPr="00C5533E">
        <w:rPr>
          <w:noProof/>
        </w:rPr>
        <w:drawing>
          <wp:inline distT="0" distB="0" distL="0" distR="0" wp14:anchorId="2FEBAD30" wp14:editId="5931C031">
            <wp:extent cx="5029200" cy="2506980"/>
            <wp:effectExtent l="57150" t="57150" r="57150" b="64770"/>
            <wp:docPr id="1728445536" name="Picture 1728445536" descr="Chart 7.2 - Commercial building stock projections out to 2050 under different scenario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445536" name="Picture 1728445536" descr="Chart 7.2 - Commercial building stock projections out to 2050 under different scenarios&#10;&#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29200" cy="2506980"/>
                    </a:xfrm>
                    <a:prstGeom prst="rect">
                      <a:avLst/>
                    </a:prstGeom>
                    <a:noFill/>
                    <a:ln w="57150">
                      <a:solidFill>
                        <a:schemeClr val="bg2"/>
                      </a:solidFill>
                    </a:ln>
                  </pic:spPr>
                </pic:pic>
              </a:graphicData>
            </a:graphic>
          </wp:inline>
        </w:drawing>
      </w:r>
    </w:p>
    <w:p w14:paraId="7BB83160" w14:textId="77777777" w:rsidR="006568C5" w:rsidRDefault="006568C5" w:rsidP="006568C5">
      <w:pPr>
        <w:pStyle w:val="Source"/>
      </w:pPr>
      <w:r>
        <w:rPr>
          <w:i/>
        </w:rPr>
        <w:t>Data source</w:t>
      </w:r>
      <w:r w:rsidRPr="00A67576">
        <w:rPr>
          <w:i/>
        </w:rPr>
        <w:t>:</w:t>
      </w:r>
      <w:r>
        <w:t xml:space="preserve"> SPR (2022).</w:t>
      </w:r>
    </w:p>
    <w:p w14:paraId="644B1926" w14:textId="7CF2AEDB" w:rsidR="006568C5" w:rsidRPr="00844A6E" w:rsidRDefault="006568C5" w:rsidP="006568C5">
      <w:pPr>
        <w:pStyle w:val="BodyText"/>
        <w:rPr>
          <w:szCs w:val="22"/>
          <w:lang w:eastAsia="en-US"/>
        </w:rPr>
      </w:pPr>
      <w:r w:rsidRPr="00844A6E">
        <w:rPr>
          <w:szCs w:val="22"/>
          <w:lang w:eastAsia="en-US"/>
        </w:rPr>
        <w:t>It was projected that, under the Step Change scenario, new construction of commercial buildings will be 14.83 million m</w:t>
      </w:r>
      <w:r w:rsidRPr="00844A6E">
        <w:rPr>
          <w:szCs w:val="22"/>
          <w:vertAlign w:val="superscript"/>
          <w:lang w:eastAsia="en-US"/>
        </w:rPr>
        <w:t>2</w:t>
      </w:r>
      <w:r w:rsidRPr="00844A6E">
        <w:rPr>
          <w:szCs w:val="22"/>
          <w:lang w:eastAsia="en-US"/>
        </w:rPr>
        <w:t xml:space="preserve"> in 2025, growing to a peak of about 18.8 million m</w:t>
      </w:r>
      <w:r w:rsidRPr="00844A6E">
        <w:rPr>
          <w:szCs w:val="22"/>
          <w:vertAlign w:val="superscript"/>
          <w:lang w:eastAsia="en-US"/>
        </w:rPr>
        <w:t>2</w:t>
      </w:r>
      <w:r w:rsidRPr="00844A6E">
        <w:rPr>
          <w:szCs w:val="22"/>
          <w:lang w:eastAsia="en-US"/>
        </w:rPr>
        <w:t xml:space="preserve"> in 2032, before falling to 15.94 million m</w:t>
      </w:r>
      <w:r w:rsidRPr="00844A6E">
        <w:rPr>
          <w:szCs w:val="22"/>
          <w:vertAlign w:val="superscript"/>
          <w:lang w:eastAsia="en-US"/>
        </w:rPr>
        <w:t>2</w:t>
      </w:r>
      <w:r w:rsidRPr="00844A6E">
        <w:rPr>
          <w:szCs w:val="22"/>
          <w:lang w:eastAsia="en-US"/>
        </w:rPr>
        <w:t xml:space="preserve"> by 2050. The largest components of new buildings are assembly/public building (Class 9b), offices (Class 5), warehouses (Class 7b), factories (Class 8(2)) and retail (Class 6) (chart</w:t>
      </w:r>
      <w:r>
        <w:rPr>
          <w:szCs w:val="22"/>
          <w:lang w:eastAsia="en-US"/>
        </w:rPr>
        <w:t xml:space="preserve"> </w:t>
      </w:r>
      <w:r>
        <w:rPr>
          <w:szCs w:val="22"/>
          <w:lang w:eastAsia="en-US"/>
        </w:rPr>
        <w:fldChar w:fldCharType="begin"/>
      </w:r>
      <w:r>
        <w:rPr>
          <w:szCs w:val="22"/>
          <w:lang w:eastAsia="en-US"/>
        </w:rPr>
        <w:instrText xml:space="preserve"> REF _Caption3994 </w:instrText>
      </w:r>
      <w:r>
        <w:rPr>
          <w:szCs w:val="22"/>
          <w:lang w:eastAsia="en-US"/>
        </w:rPr>
        <w:fldChar w:fldCharType="separate"/>
      </w:r>
      <w:r w:rsidR="006E00A7">
        <w:rPr>
          <w:noProof/>
        </w:rPr>
        <w:t>7</w:t>
      </w:r>
      <w:r w:rsidR="006E00A7" w:rsidRPr="006F0F88">
        <w:rPr>
          <w:noProof/>
        </w:rPr>
        <w:t>.</w:t>
      </w:r>
      <w:r w:rsidR="006E00A7">
        <w:rPr>
          <w:noProof/>
        </w:rPr>
        <w:t>3</w:t>
      </w:r>
      <w:r>
        <w:rPr>
          <w:szCs w:val="22"/>
          <w:lang w:eastAsia="en-US"/>
        </w:rPr>
        <w:fldChar w:fldCharType="end"/>
      </w:r>
      <w:r w:rsidRPr="00844A6E">
        <w:rPr>
          <w:szCs w:val="22"/>
          <w:lang w:eastAsia="en-US"/>
        </w:rPr>
        <w:t xml:space="preserve">). </w:t>
      </w:r>
    </w:p>
    <w:bookmarkStart w:id="3022" w:name="_Toc149060085"/>
    <w:p w14:paraId="3010A896" w14:textId="0D1BF68E" w:rsidR="006568C5" w:rsidRPr="006F0F88" w:rsidRDefault="006568C5" w:rsidP="006568C5">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EA6E4C">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A6E4C">
          <w:rPr>
            <w:noProof/>
          </w:rPr>
          <w:instrText>7</w:instrText>
        </w:r>
      </w:fldSimple>
      <w:r w:rsidRPr="006F0F88">
        <w:instrText xml:space="preserve"> = 0 "" "</w:instrText>
      </w:r>
      <w:fldSimple w:instr=" STYLEREF &quot;Heading 1&quot; \l \n ">
        <w:r w:rsidR="00EA6E4C">
          <w:rPr>
            <w:noProof/>
          </w:rPr>
          <w:instrText>7</w:instrText>
        </w:r>
      </w:fldSimple>
      <w:r w:rsidRPr="006F0F88">
        <w:instrText xml:space="preserve">." </w:instrText>
      </w:r>
      <w:r w:rsidRPr="006F0F88">
        <w:fldChar w:fldCharType="separate"/>
      </w:r>
      <w:r w:rsidR="00EA6E4C">
        <w:rPr>
          <w:noProof/>
        </w:rPr>
        <w:instrText>7</w:instrText>
      </w:r>
      <w:r w:rsidR="00EA6E4C" w:rsidRPr="006F0F88">
        <w:rPr>
          <w:noProof/>
        </w:rPr>
        <w:instrText>.</w:instrText>
      </w:r>
      <w:r w:rsidRPr="006F0F88">
        <w:fldChar w:fldCharType="end"/>
      </w:r>
      <w:r w:rsidRPr="006F0F88">
        <w:instrText>" "</w:instrText>
      </w:r>
      <w:fldSimple w:instr=" STYLEREF &quot;Heading 6&quot; \l \n ">
        <w:r w:rsidRPr="006F0F88">
          <w:instrText>A</w:instrText>
        </w:r>
      </w:fldSimple>
      <w:r w:rsidRPr="006F0F88">
        <w:instrText xml:space="preserve">." </w:instrText>
      </w:r>
      <w:r w:rsidRPr="006F0F88">
        <w:fldChar w:fldCharType="separate"/>
      </w:r>
      <w:r w:rsidR="008C60A3">
        <w:rPr>
          <w:noProof/>
        </w:rPr>
        <w:instrText>7</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EA6E4C">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A6E4C">
          <w:rPr>
            <w:noProof/>
          </w:rPr>
          <w:instrText>7</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EA6E4C">
        <w:rPr>
          <w:noProof/>
        </w:rPr>
        <w:instrText>3</w:instrText>
      </w:r>
      <w:r w:rsidRPr="006F0F88">
        <w:fldChar w:fldCharType="end"/>
      </w:r>
      <w:r w:rsidRPr="006F0F88">
        <w:instrText xml:space="preserve">" "" </w:instrText>
      </w:r>
      <w:r w:rsidRPr="006F0F88">
        <w:fldChar w:fldCharType="separate"/>
      </w:r>
      <w:bookmarkStart w:id="3023" w:name="_Caption2211"/>
      <w:bookmarkStart w:id="3024" w:name="_Caption1292"/>
      <w:bookmarkStart w:id="3025" w:name="_Caption4356"/>
      <w:bookmarkStart w:id="3026" w:name="_Caption2696"/>
      <w:bookmarkStart w:id="3027" w:name="_Caption5853"/>
      <w:bookmarkStart w:id="3028" w:name="_Caption2900"/>
      <w:bookmarkStart w:id="3029" w:name="_Caption0414"/>
      <w:bookmarkStart w:id="3030" w:name="_Caption4767"/>
      <w:bookmarkStart w:id="3031" w:name="_Caption7819"/>
      <w:bookmarkStart w:id="3032" w:name="_Caption9636"/>
      <w:bookmarkStart w:id="3033" w:name="_Caption5741"/>
      <w:bookmarkStart w:id="3034" w:name="_Caption8896"/>
      <w:bookmarkStart w:id="3035" w:name="_Caption8325"/>
      <w:bookmarkStart w:id="3036" w:name="_Caption6997"/>
      <w:bookmarkStart w:id="3037" w:name="_Caption3265"/>
      <w:bookmarkStart w:id="3038" w:name="_Caption6028"/>
      <w:bookmarkStart w:id="3039" w:name="_Caption5296"/>
      <w:bookmarkStart w:id="3040" w:name="_Caption6315"/>
      <w:bookmarkStart w:id="3041" w:name="_Caption8283"/>
      <w:bookmarkStart w:id="3042" w:name="_Caption0686"/>
      <w:bookmarkStart w:id="3043" w:name="_Caption0231"/>
      <w:bookmarkStart w:id="3044" w:name="_Caption3776"/>
      <w:bookmarkStart w:id="3045" w:name="_Caption6213"/>
      <w:bookmarkStart w:id="3046" w:name="_Caption4889"/>
      <w:bookmarkStart w:id="3047" w:name="_Caption3389"/>
      <w:bookmarkStart w:id="3048" w:name="_Caption6202"/>
      <w:bookmarkStart w:id="3049" w:name="_Caption8855"/>
      <w:bookmarkStart w:id="3050" w:name="_Caption7758"/>
      <w:bookmarkStart w:id="3051" w:name="_Caption0021"/>
      <w:bookmarkStart w:id="3052" w:name="_Caption6173"/>
      <w:bookmarkStart w:id="3053" w:name="_Caption8557"/>
      <w:bookmarkStart w:id="3054" w:name="_Caption3994"/>
      <w:bookmarkStart w:id="3055" w:name="_Caption2886"/>
      <w:bookmarkStart w:id="3056" w:name="_Caption3894"/>
      <w:bookmarkStart w:id="3057" w:name="_Caption2983"/>
      <w:bookmarkStart w:id="3058" w:name="_Caption1211"/>
      <w:bookmarkStart w:id="3059" w:name="_Caption8431"/>
      <w:bookmarkStart w:id="3060" w:name="_Caption1838"/>
      <w:bookmarkStart w:id="3061" w:name="_Caption7114"/>
      <w:bookmarkStart w:id="3062" w:name="_Caption2068"/>
      <w:bookmarkStart w:id="3063" w:name="_Caption6353"/>
      <w:bookmarkStart w:id="3064" w:name="_Caption7569"/>
      <w:bookmarkStart w:id="3065" w:name="_Caption2592"/>
      <w:bookmarkStart w:id="3066" w:name="_Caption7585"/>
      <w:bookmarkStart w:id="3067" w:name="_Caption5251"/>
      <w:bookmarkStart w:id="3068" w:name="_Caption9665"/>
      <w:bookmarkStart w:id="3069" w:name="_Caption7734"/>
      <w:bookmarkStart w:id="3070" w:name="_Caption5204"/>
      <w:bookmarkStart w:id="3071" w:name="_Caption9150"/>
      <w:bookmarkStart w:id="3072" w:name="_Caption8835"/>
      <w:bookmarkStart w:id="3073" w:name="_Caption0674"/>
      <w:bookmarkStart w:id="3074" w:name="_Caption9662"/>
      <w:bookmarkStart w:id="3075" w:name="_Caption4004"/>
      <w:bookmarkStart w:id="3076" w:name="_Caption2028"/>
      <w:bookmarkStart w:id="3077" w:name="_Caption4422"/>
      <w:bookmarkStart w:id="3078" w:name="_Caption6265"/>
      <w:bookmarkStart w:id="3079" w:name="_Caption0881"/>
      <w:bookmarkStart w:id="3080" w:name="_Caption2968"/>
      <w:bookmarkStart w:id="3081" w:name="_Caption0803"/>
      <w:bookmarkStart w:id="3082" w:name="_Caption1101"/>
      <w:bookmarkStart w:id="3083" w:name="_Caption4494"/>
      <w:bookmarkStart w:id="3084" w:name="_Caption5619"/>
      <w:bookmarkStart w:id="3085" w:name="_Caption5675"/>
      <w:bookmarkStart w:id="3086" w:name="_Caption0283"/>
      <w:bookmarkStart w:id="3087" w:name="_Caption0190"/>
      <w:bookmarkStart w:id="3088" w:name="_Caption6328"/>
      <w:bookmarkStart w:id="3089" w:name="_Caption2695"/>
      <w:bookmarkStart w:id="3090" w:name="_Caption3928"/>
      <w:bookmarkStart w:id="3091" w:name="_Caption6987"/>
      <w:bookmarkStart w:id="3092" w:name="_Caption8555"/>
      <w:bookmarkStart w:id="3093" w:name="_Caption7634"/>
      <w:bookmarkStart w:id="3094" w:name="_Caption0150"/>
      <w:bookmarkStart w:id="3095" w:name="_Caption8701"/>
      <w:bookmarkStart w:id="3096" w:name="_Caption0570"/>
      <w:bookmarkStart w:id="3097" w:name="_Caption7564"/>
      <w:bookmarkStart w:id="3098" w:name="_Caption6166"/>
      <w:bookmarkStart w:id="3099" w:name="_Caption0670"/>
      <w:bookmarkStart w:id="3100" w:name="_Caption1958"/>
      <w:bookmarkStart w:id="3101" w:name="_Caption1646"/>
      <w:bookmarkStart w:id="3102" w:name="_Caption3841"/>
      <w:bookmarkStart w:id="3103" w:name="_Caption8130"/>
      <w:bookmarkStart w:id="3104" w:name="_Caption2231"/>
      <w:bookmarkStart w:id="3105" w:name="_Caption4952"/>
      <w:bookmarkStart w:id="3106" w:name="_Caption3222"/>
      <w:bookmarkStart w:id="3107" w:name="_Caption7126"/>
      <w:bookmarkStart w:id="3108" w:name="_Caption8022"/>
      <w:bookmarkStart w:id="3109" w:name="_Caption0004"/>
      <w:bookmarkStart w:id="3110" w:name="_Caption6730"/>
      <w:bookmarkStart w:id="3111" w:name="_Caption3139"/>
      <w:bookmarkStart w:id="3112" w:name="_Caption3184"/>
      <w:bookmarkStart w:id="3113" w:name="_Caption1330"/>
      <w:bookmarkStart w:id="3114" w:name="_Caption1179"/>
      <w:bookmarkStart w:id="3115" w:name="_Caption4203"/>
      <w:bookmarkStart w:id="3116" w:name="_Caption0991"/>
      <w:bookmarkStart w:id="3117" w:name="_Caption6248"/>
      <w:bookmarkStart w:id="3118" w:name="_Caption9771"/>
      <w:bookmarkStart w:id="3119" w:name="_Caption7607"/>
      <w:bookmarkStart w:id="3120" w:name="_Caption9509"/>
      <w:bookmarkStart w:id="3121" w:name="_Caption9149"/>
      <w:bookmarkStart w:id="3122" w:name="_Caption2808"/>
      <w:bookmarkStart w:id="3123" w:name="_Caption3176"/>
      <w:bookmarkStart w:id="3124" w:name="_Caption2001"/>
      <w:bookmarkStart w:id="3125" w:name="_Caption5785"/>
      <w:bookmarkStart w:id="3126" w:name="_Caption0316"/>
      <w:bookmarkStart w:id="3127" w:name="_Caption1829"/>
      <w:bookmarkStart w:id="3128" w:name="_Caption6377"/>
      <w:bookmarkStart w:id="3129" w:name="_Caption0355"/>
      <w:bookmarkStart w:id="3130" w:name="_Caption6262"/>
      <w:bookmarkStart w:id="3131" w:name="_Caption0771"/>
      <w:bookmarkStart w:id="3132" w:name="_Caption7445"/>
      <w:bookmarkStart w:id="3133" w:name="_Caption7132"/>
      <w:bookmarkStart w:id="3134" w:name="_Caption7596"/>
      <w:bookmarkStart w:id="3135" w:name="_Caption3995"/>
      <w:bookmarkStart w:id="3136" w:name="_Caption3346"/>
      <w:bookmarkStart w:id="3137" w:name="_Caption3503"/>
      <w:bookmarkStart w:id="3138" w:name="_Caption9320"/>
      <w:bookmarkStart w:id="3139" w:name="_Caption5898"/>
      <w:bookmarkStart w:id="3140" w:name="_Caption3988"/>
      <w:bookmarkStart w:id="3141" w:name="_Caption9787"/>
      <w:bookmarkStart w:id="3142" w:name="_Caption0088"/>
      <w:bookmarkStart w:id="3143" w:name="_Caption5379"/>
      <w:bookmarkStart w:id="3144" w:name="_Caption5875"/>
      <w:bookmarkStart w:id="3145" w:name="_Caption4564"/>
      <w:bookmarkStart w:id="3146" w:name="_Caption6969"/>
      <w:bookmarkStart w:id="3147" w:name="_Caption0933"/>
      <w:bookmarkStart w:id="3148" w:name="_Caption1633"/>
      <w:bookmarkStart w:id="3149" w:name="_Caption8663"/>
      <w:bookmarkStart w:id="3150" w:name="_Caption1798"/>
      <w:bookmarkStart w:id="3151" w:name="_Caption4341"/>
      <w:bookmarkStart w:id="3152" w:name="_Caption9733"/>
      <w:bookmarkStart w:id="3153" w:name="_Caption0737"/>
      <w:bookmarkStart w:id="3154" w:name="_Caption1776"/>
      <w:bookmarkStart w:id="3155" w:name="_Caption7881"/>
      <w:bookmarkStart w:id="3156" w:name="_Caption6904"/>
      <w:bookmarkStart w:id="3157" w:name="_Caption1610"/>
      <w:bookmarkStart w:id="3158" w:name="_Caption4735"/>
      <w:bookmarkStart w:id="3159" w:name="_Caption9123"/>
      <w:bookmarkStart w:id="3160" w:name="_Caption1992"/>
      <w:bookmarkStart w:id="3161" w:name="_Caption1612"/>
      <w:bookmarkStart w:id="3162" w:name="_Caption0016"/>
      <w:bookmarkStart w:id="3163" w:name="_Caption7515"/>
      <w:bookmarkStart w:id="3164" w:name="_Caption5530"/>
      <w:bookmarkStart w:id="3165" w:name="_Caption1816"/>
      <w:bookmarkStart w:id="3166" w:name="_Caption9911"/>
      <w:bookmarkStart w:id="3167" w:name="_Caption4597"/>
      <w:bookmarkStart w:id="3168" w:name="_Caption2553"/>
      <w:bookmarkStart w:id="3169" w:name="_Caption2132"/>
      <w:bookmarkStart w:id="3170" w:name="_Caption9854"/>
      <w:bookmarkStart w:id="3171" w:name="_Caption9335"/>
      <w:bookmarkStart w:id="3172" w:name="_Caption8423"/>
      <w:bookmarkStart w:id="3173" w:name="_Caption5794"/>
      <w:bookmarkStart w:id="3174" w:name="_Caption9026"/>
      <w:bookmarkStart w:id="3175" w:name="_Caption9354"/>
      <w:bookmarkStart w:id="3176" w:name="_Caption3483"/>
      <w:bookmarkStart w:id="3177" w:name="_Caption2685"/>
      <w:bookmarkStart w:id="3178" w:name="_Caption9631"/>
      <w:bookmarkStart w:id="3179" w:name="_Caption4231"/>
      <w:bookmarkStart w:id="3180" w:name="_Caption4394"/>
      <w:bookmarkStart w:id="3181" w:name="_Caption8387"/>
      <w:bookmarkStart w:id="3182" w:name="_Caption1032"/>
      <w:bookmarkStart w:id="3183" w:name="_Caption2816"/>
      <w:bookmarkStart w:id="3184" w:name="_Caption0051"/>
      <w:bookmarkStart w:id="3185" w:name="_Caption6486"/>
      <w:bookmarkStart w:id="3186" w:name="_Caption8007"/>
      <w:bookmarkStart w:id="3187" w:name="_Caption8561"/>
      <w:bookmarkStart w:id="3188" w:name="_Caption0863"/>
      <w:bookmarkStart w:id="3189" w:name="_Caption2271"/>
      <w:bookmarkStart w:id="3190" w:name="_Toc177735172"/>
      <w:bookmarkStart w:id="3191" w:name="_Toc178292602"/>
      <w:r w:rsidR="008C60A3">
        <w:rPr>
          <w:noProof/>
        </w:rPr>
        <w:t>7</w:t>
      </w:r>
      <w:r w:rsidR="008C60A3" w:rsidRPr="006F0F88">
        <w:rPr>
          <w:noProof/>
        </w:rPr>
        <w:t>.</w:t>
      </w:r>
      <w:r w:rsidR="008C60A3">
        <w:rPr>
          <w:noProof/>
        </w:rPr>
        <w:t>3</w:t>
      </w:r>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r w:rsidRPr="006F0F88">
        <w:fldChar w:fldCharType="end"/>
      </w:r>
      <w:r w:rsidRPr="006F0F88">
        <w:tab/>
        <w:t>New construction of commercial buildings: Step change</w:t>
      </w:r>
      <w:bookmarkEnd w:id="3022"/>
      <w:bookmarkEnd w:id="3190"/>
      <w:bookmarkEnd w:id="3191"/>
    </w:p>
    <w:p w14:paraId="0A205DE9" w14:textId="77777777" w:rsidR="006568C5" w:rsidRPr="00E76434" w:rsidRDefault="006568C5" w:rsidP="006568C5">
      <w:pPr>
        <w:pStyle w:val="Subtitlebox"/>
      </w:pPr>
      <w:r w:rsidRPr="005B0C92">
        <w:rPr>
          <w:noProof/>
        </w:rPr>
        <w:drawing>
          <wp:inline distT="0" distB="0" distL="0" distR="0" wp14:anchorId="1BA2F687" wp14:editId="2B72BA35">
            <wp:extent cx="4853940" cy="2506980"/>
            <wp:effectExtent l="76200" t="76200" r="80010" b="83820"/>
            <wp:docPr id="842529493" name="Picture 842529493" descr="Chart 7.3 - New construction of commercial buildings projections to 2050 by building type under the step change scen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529493" name="Picture 842529493" descr="Chart 7.3 - New construction of commercial buildings projections to 2050 by building type under the step change scenario"/>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r="3485"/>
                    <a:stretch/>
                  </pic:blipFill>
                  <pic:spPr bwMode="auto">
                    <a:xfrm>
                      <a:off x="0" y="0"/>
                      <a:ext cx="4853940" cy="250698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16BF57D6" w14:textId="77777777" w:rsidR="006568C5" w:rsidRDefault="006568C5" w:rsidP="006568C5">
      <w:pPr>
        <w:pStyle w:val="Source"/>
      </w:pPr>
      <w:r>
        <w:rPr>
          <w:i/>
        </w:rPr>
        <w:t>Data source</w:t>
      </w:r>
      <w:r w:rsidRPr="00A67576">
        <w:rPr>
          <w:i/>
        </w:rPr>
        <w:t>:</w:t>
      </w:r>
      <w:r>
        <w:t xml:space="preserve"> SPR (2022).</w:t>
      </w:r>
    </w:p>
    <w:p w14:paraId="45997C51" w14:textId="2BF91170" w:rsidR="006568C5" w:rsidRPr="00844A6E" w:rsidRDefault="006568C5" w:rsidP="006568C5">
      <w:pPr>
        <w:pStyle w:val="BodyText"/>
        <w:rPr>
          <w:szCs w:val="22"/>
          <w:lang w:eastAsia="en-US"/>
        </w:rPr>
      </w:pPr>
      <w:r w:rsidRPr="00844A6E">
        <w:rPr>
          <w:szCs w:val="22"/>
          <w:lang w:eastAsia="en-US"/>
        </w:rPr>
        <w:t xml:space="preserve">Chart </w:t>
      </w:r>
      <w:r>
        <w:rPr>
          <w:szCs w:val="22"/>
          <w:lang w:eastAsia="en-US"/>
        </w:rPr>
        <w:fldChar w:fldCharType="begin"/>
      </w:r>
      <w:r>
        <w:rPr>
          <w:szCs w:val="22"/>
          <w:lang w:eastAsia="en-US"/>
        </w:rPr>
        <w:instrText xml:space="preserve"> REF _Caption5500 </w:instrText>
      </w:r>
      <w:r>
        <w:rPr>
          <w:szCs w:val="22"/>
          <w:lang w:eastAsia="en-US"/>
        </w:rPr>
        <w:fldChar w:fldCharType="separate"/>
      </w:r>
      <w:r w:rsidR="006E00A7">
        <w:rPr>
          <w:noProof/>
        </w:rPr>
        <w:t>7</w:t>
      </w:r>
      <w:r w:rsidR="006E00A7" w:rsidRPr="006F0F88">
        <w:rPr>
          <w:noProof/>
        </w:rPr>
        <w:t>.</w:t>
      </w:r>
      <w:r w:rsidR="006E00A7">
        <w:rPr>
          <w:noProof/>
        </w:rPr>
        <w:t>4</w:t>
      </w:r>
      <w:r>
        <w:rPr>
          <w:szCs w:val="22"/>
          <w:lang w:eastAsia="en-US"/>
        </w:rPr>
        <w:fldChar w:fldCharType="end"/>
      </w:r>
      <w:r w:rsidRPr="00844A6E">
        <w:rPr>
          <w:szCs w:val="22"/>
          <w:lang w:eastAsia="en-US"/>
        </w:rPr>
        <w:t xml:space="preserve"> provides a breakdown of new commercial building construction by climate zone (CZ). The majority of new constructions, approximately 40 per cent, are situated in CZ 6, followed by CZ 5, which accounts for approximately 25 per cent, and CZ 2 with around 15 per cent. Notably, there</w:t>
      </w:r>
      <w:r w:rsidRPr="00844A6E" w:rsidDel="00A86807">
        <w:rPr>
          <w:szCs w:val="22"/>
          <w:lang w:eastAsia="en-US"/>
        </w:rPr>
        <w:t xml:space="preserve"> </w:t>
      </w:r>
      <w:r>
        <w:rPr>
          <w:szCs w:val="22"/>
          <w:lang w:eastAsia="en-US"/>
        </w:rPr>
        <w:t>is</w:t>
      </w:r>
      <w:r w:rsidRPr="00844A6E">
        <w:rPr>
          <w:szCs w:val="22"/>
          <w:lang w:eastAsia="en-US"/>
        </w:rPr>
        <w:t xml:space="preserve"> no new construction of commercial buildings in CZ 8.</w:t>
      </w:r>
    </w:p>
    <w:p w14:paraId="2C430585" w14:textId="157D8B83" w:rsidR="006568C5" w:rsidRPr="006F0F88" w:rsidRDefault="006568C5" w:rsidP="006568C5">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EA6E4C">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A6E4C">
          <w:rPr>
            <w:noProof/>
          </w:rPr>
          <w:instrText>7</w:instrText>
        </w:r>
      </w:fldSimple>
      <w:r w:rsidRPr="006F0F88">
        <w:instrText xml:space="preserve"> = 0 "" "</w:instrText>
      </w:r>
      <w:fldSimple w:instr=" STYLEREF &quot;Heading 1&quot; \l \n ">
        <w:r w:rsidR="00EA6E4C">
          <w:rPr>
            <w:noProof/>
          </w:rPr>
          <w:instrText>7</w:instrText>
        </w:r>
      </w:fldSimple>
      <w:r w:rsidRPr="006F0F88">
        <w:instrText xml:space="preserve">." </w:instrText>
      </w:r>
      <w:r w:rsidRPr="006F0F88">
        <w:fldChar w:fldCharType="separate"/>
      </w:r>
      <w:r w:rsidR="00EA6E4C">
        <w:rPr>
          <w:noProof/>
        </w:rPr>
        <w:instrText>7</w:instrText>
      </w:r>
      <w:r w:rsidR="00EA6E4C" w:rsidRPr="006F0F88">
        <w:rPr>
          <w:noProof/>
        </w:rPr>
        <w:instrText>.</w:instrText>
      </w:r>
      <w:r w:rsidRPr="006F0F88">
        <w:fldChar w:fldCharType="end"/>
      </w:r>
      <w:r w:rsidRPr="006F0F88">
        <w:instrText>" "</w:instrText>
      </w:r>
      <w:fldSimple w:instr=" STYLEREF &quot;Heading 6&quot; \l \n ">
        <w:r w:rsidRPr="006F0F88">
          <w:instrText>A</w:instrText>
        </w:r>
      </w:fldSimple>
      <w:r w:rsidRPr="006F0F88">
        <w:instrText xml:space="preserve">." </w:instrText>
      </w:r>
      <w:r w:rsidRPr="006F0F88">
        <w:fldChar w:fldCharType="separate"/>
      </w:r>
      <w:r w:rsidR="008C60A3">
        <w:rPr>
          <w:noProof/>
        </w:rPr>
        <w:instrText>7</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EA6E4C">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A6E4C">
          <w:rPr>
            <w:noProof/>
          </w:rPr>
          <w:instrText>7</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EA6E4C">
        <w:rPr>
          <w:noProof/>
        </w:rPr>
        <w:instrText>4</w:instrText>
      </w:r>
      <w:r w:rsidRPr="006F0F88">
        <w:fldChar w:fldCharType="end"/>
      </w:r>
      <w:r w:rsidRPr="006F0F88">
        <w:instrText xml:space="preserve">" "" </w:instrText>
      </w:r>
      <w:r w:rsidRPr="006F0F88">
        <w:fldChar w:fldCharType="separate"/>
      </w:r>
      <w:bookmarkStart w:id="3192" w:name="_Caption4642"/>
      <w:bookmarkStart w:id="3193" w:name="_Caption0331"/>
      <w:bookmarkStart w:id="3194" w:name="_Caption7240"/>
      <w:bookmarkStart w:id="3195" w:name="_Caption9171"/>
      <w:bookmarkStart w:id="3196" w:name="_Caption7334"/>
      <w:bookmarkStart w:id="3197" w:name="_Caption1217"/>
      <w:bookmarkStart w:id="3198" w:name="_Caption8237"/>
      <w:bookmarkStart w:id="3199" w:name="_Caption1242"/>
      <w:bookmarkStart w:id="3200" w:name="_Caption6217"/>
      <w:bookmarkStart w:id="3201" w:name="_Caption5725"/>
      <w:bookmarkStart w:id="3202" w:name="_Caption3061"/>
      <w:bookmarkStart w:id="3203" w:name="_Caption5264"/>
      <w:bookmarkStart w:id="3204" w:name="_Caption8966"/>
      <w:bookmarkStart w:id="3205" w:name="_Caption4474"/>
      <w:bookmarkStart w:id="3206" w:name="_Caption0254"/>
      <w:bookmarkStart w:id="3207" w:name="_Caption8894"/>
      <w:bookmarkStart w:id="3208" w:name="_Caption3012"/>
      <w:bookmarkStart w:id="3209" w:name="_Caption5313"/>
      <w:bookmarkStart w:id="3210" w:name="_Caption5653"/>
      <w:bookmarkStart w:id="3211" w:name="_Caption9751"/>
      <w:bookmarkStart w:id="3212" w:name="_Caption3582"/>
      <w:bookmarkStart w:id="3213" w:name="_Caption2173"/>
      <w:bookmarkStart w:id="3214" w:name="_Caption9057"/>
      <w:bookmarkStart w:id="3215" w:name="_Caption8093"/>
      <w:bookmarkStart w:id="3216" w:name="_Caption2921"/>
      <w:bookmarkStart w:id="3217" w:name="_Caption9022"/>
      <w:bookmarkStart w:id="3218" w:name="_Caption1444"/>
      <w:bookmarkStart w:id="3219" w:name="_Caption7544"/>
      <w:bookmarkStart w:id="3220" w:name="_Caption2264"/>
      <w:bookmarkStart w:id="3221" w:name="_Caption0472"/>
      <w:bookmarkStart w:id="3222" w:name="_Caption5500"/>
      <w:bookmarkStart w:id="3223" w:name="_Caption2326"/>
      <w:bookmarkStart w:id="3224" w:name="_Caption4702"/>
      <w:bookmarkStart w:id="3225" w:name="_Caption5389"/>
      <w:bookmarkStart w:id="3226" w:name="_Caption6317"/>
      <w:bookmarkStart w:id="3227" w:name="_Caption0166"/>
      <w:bookmarkStart w:id="3228" w:name="_Caption7394"/>
      <w:bookmarkStart w:id="3229" w:name="_Caption9169"/>
      <w:bookmarkStart w:id="3230" w:name="_Caption4751"/>
      <w:bookmarkStart w:id="3231" w:name="_Caption6394"/>
      <w:bookmarkStart w:id="3232" w:name="_Caption9469"/>
      <w:bookmarkStart w:id="3233" w:name="_Caption7865"/>
      <w:bookmarkStart w:id="3234" w:name="_Caption7148"/>
      <w:bookmarkStart w:id="3235" w:name="_Caption2935"/>
      <w:bookmarkStart w:id="3236" w:name="_Caption8028"/>
      <w:bookmarkStart w:id="3237" w:name="_Caption6339"/>
      <w:bookmarkStart w:id="3238" w:name="_Caption1860"/>
      <w:bookmarkStart w:id="3239" w:name="_Caption7296"/>
      <w:bookmarkStart w:id="3240" w:name="_Caption4831"/>
      <w:bookmarkStart w:id="3241" w:name="_Caption5149"/>
      <w:bookmarkStart w:id="3242" w:name="_Caption5311"/>
      <w:bookmarkStart w:id="3243" w:name="_Caption1281"/>
      <w:bookmarkStart w:id="3244" w:name="_Caption0044"/>
      <w:bookmarkStart w:id="3245" w:name="_Caption2820"/>
      <w:bookmarkStart w:id="3246" w:name="_Caption1337"/>
      <w:bookmarkStart w:id="3247" w:name="_Caption9525"/>
      <w:bookmarkStart w:id="3248" w:name="_Caption1864"/>
      <w:bookmarkStart w:id="3249" w:name="_Caption6499"/>
      <w:bookmarkStart w:id="3250" w:name="_Caption6717"/>
      <w:bookmarkStart w:id="3251" w:name="_Caption2124"/>
      <w:bookmarkStart w:id="3252" w:name="_Caption7321"/>
      <w:bookmarkStart w:id="3253" w:name="_Caption1562"/>
      <w:bookmarkStart w:id="3254" w:name="_Caption6352"/>
      <w:bookmarkStart w:id="3255" w:name="_Caption2112"/>
      <w:bookmarkStart w:id="3256" w:name="_Caption5385"/>
      <w:bookmarkStart w:id="3257" w:name="_Caption8234"/>
      <w:bookmarkStart w:id="3258" w:name="_Caption2094"/>
      <w:bookmarkStart w:id="3259" w:name="_Caption3115"/>
      <w:bookmarkStart w:id="3260" w:name="_Caption9755"/>
      <w:bookmarkStart w:id="3261" w:name="_Caption6578"/>
      <w:bookmarkStart w:id="3262" w:name="_Caption5534"/>
      <w:bookmarkStart w:id="3263" w:name="_Caption9081"/>
      <w:bookmarkStart w:id="3264" w:name="_Caption8755"/>
      <w:bookmarkStart w:id="3265" w:name="_Caption3514"/>
      <w:bookmarkStart w:id="3266" w:name="_Caption2400"/>
      <w:bookmarkStart w:id="3267" w:name="_Caption8081"/>
      <w:bookmarkStart w:id="3268" w:name="_Caption5412"/>
      <w:bookmarkStart w:id="3269" w:name="_Caption3013"/>
      <w:bookmarkStart w:id="3270" w:name="_Caption1401"/>
      <w:bookmarkStart w:id="3271" w:name="_Caption9619"/>
      <w:bookmarkStart w:id="3272" w:name="_Caption2933"/>
      <w:bookmarkStart w:id="3273" w:name="_Caption1112"/>
      <w:bookmarkStart w:id="3274" w:name="_Caption6873"/>
      <w:bookmarkStart w:id="3275" w:name="_Caption7359"/>
      <w:bookmarkStart w:id="3276" w:name="_Caption7128"/>
      <w:bookmarkStart w:id="3277" w:name="_Caption7915"/>
      <w:bookmarkStart w:id="3278" w:name="_Caption3614"/>
      <w:bookmarkStart w:id="3279" w:name="_Caption1325"/>
      <w:bookmarkStart w:id="3280" w:name="_Caption3716"/>
      <w:bookmarkStart w:id="3281" w:name="_Caption3679"/>
      <w:bookmarkStart w:id="3282" w:name="_Caption7301"/>
      <w:bookmarkStart w:id="3283" w:name="_Caption9993"/>
      <w:bookmarkStart w:id="3284" w:name="_Caption1681"/>
      <w:bookmarkStart w:id="3285" w:name="_Caption1111"/>
      <w:bookmarkStart w:id="3286" w:name="_Caption2674"/>
      <w:bookmarkStart w:id="3287" w:name="_Caption6911"/>
      <w:bookmarkStart w:id="3288" w:name="_Caption3276"/>
      <w:bookmarkStart w:id="3289" w:name="_Caption5021"/>
      <w:bookmarkStart w:id="3290" w:name="_Caption3975"/>
      <w:bookmarkStart w:id="3291" w:name="_Caption0604"/>
      <w:bookmarkStart w:id="3292" w:name="_Caption7839"/>
      <w:bookmarkStart w:id="3293" w:name="_Caption3553"/>
      <w:bookmarkStart w:id="3294" w:name="_Caption5144"/>
      <w:bookmarkStart w:id="3295" w:name="_Caption1677"/>
      <w:bookmarkStart w:id="3296" w:name="_Caption5573"/>
      <w:bookmarkStart w:id="3297" w:name="_Caption0281"/>
      <w:bookmarkStart w:id="3298" w:name="_Caption4977"/>
      <w:bookmarkStart w:id="3299" w:name="_Caption2894"/>
      <w:bookmarkStart w:id="3300" w:name="_Caption2168"/>
      <w:bookmarkStart w:id="3301" w:name="_Caption0959"/>
      <w:bookmarkStart w:id="3302" w:name="_Caption1491"/>
      <w:bookmarkStart w:id="3303" w:name="_Caption1964"/>
      <w:bookmarkStart w:id="3304" w:name="_Caption6105"/>
      <w:bookmarkStart w:id="3305" w:name="_Caption8358"/>
      <w:bookmarkStart w:id="3306" w:name="_Caption3603"/>
      <w:bookmarkStart w:id="3307" w:name="_Caption4131"/>
      <w:bookmarkStart w:id="3308" w:name="_Caption4070"/>
      <w:bookmarkStart w:id="3309" w:name="_Caption1584"/>
      <w:bookmarkStart w:id="3310" w:name="_Caption2600"/>
      <w:bookmarkStart w:id="3311" w:name="_Caption0948"/>
      <w:bookmarkStart w:id="3312" w:name="_Caption8240"/>
      <w:bookmarkStart w:id="3313" w:name="_Caption6513"/>
      <w:bookmarkStart w:id="3314" w:name="_Caption9016"/>
      <w:bookmarkStart w:id="3315" w:name="_Caption4967"/>
      <w:bookmarkStart w:id="3316" w:name="_Caption8591"/>
      <w:bookmarkStart w:id="3317" w:name="_Caption3535"/>
      <w:bookmarkStart w:id="3318" w:name="_Caption2475"/>
      <w:bookmarkStart w:id="3319" w:name="_Caption8467"/>
      <w:bookmarkStart w:id="3320" w:name="_Caption1384"/>
      <w:bookmarkStart w:id="3321" w:name="_Caption6086"/>
      <w:bookmarkStart w:id="3322" w:name="_Caption0960"/>
      <w:bookmarkStart w:id="3323" w:name="_Caption1429"/>
      <w:bookmarkStart w:id="3324" w:name="_Caption7188"/>
      <w:bookmarkStart w:id="3325" w:name="_Caption4681"/>
      <w:bookmarkStart w:id="3326" w:name="_Caption7493"/>
      <w:bookmarkStart w:id="3327" w:name="_Caption5417"/>
      <w:bookmarkStart w:id="3328" w:name="_Caption6009"/>
      <w:bookmarkStart w:id="3329" w:name="_Caption1110"/>
      <w:bookmarkStart w:id="3330" w:name="_Caption2802"/>
      <w:bookmarkStart w:id="3331" w:name="_Caption8988"/>
      <w:bookmarkStart w:id="3332" w:name="_Caption5114"/>
      <w:bookmarkStart w:id="3333" w:name="_Caption9247"/>
      <w:bookmarkStart w:id="3334" w:name="_Caption2842"/>
      <w:bookmarkStart w:id="3335" w:name="_Caption7598"/>
      <w:bookmarkStart w:id="3336" w:name="_Caption1350"/>
      <w:bookmarkStart w:id="3337" w:name="_Caption7708"/>
      <w:bookmarkStart w:id="3338" w:name="_Caption3590"/>
      <w:bookmarkStart w:id="3339" w:name="_Caption7659"/>
      <w:bookmarkStart w:id="3340" w:name="_Caption5370"/>
      <w:bookmarkStart w:id="3341" w:name="_Caption9323"/>
      <w:bookmarkStart w:id="3342" w:name="_Caption8789"/>
      <w:bookmarkStart w:id="3343" w:name="_Caption5126"/>
      <w:bookmarkStart w:id="3344" w:name="_Caption5031"/>
      <w:bookmarkStart w:id="3345" w:name="_Caption3019"/>
      <w:bookmarkStart w:id="3346" w:name="_Caption7531"/>
      <w:bookmarkStart w:id="3347" w:name="_Caption8281"/>
      <w:bookmarkStart w:id="3348" w:name="_Caption1651"/>
      <w:bookmarkStart w:id="3349" w:name="_Caption6639"/>
      <w:bookmarkStart w:id="3350" w:name="_Toc177735173"/>
      <w:bookmarkStart w:id="3351" w:name="_Toc178292603"/>
      <w:r w:rsidR="008C60A3">
        <w:rPr>
          <w:noProof/>
        </w:rPr>
        <w:t>7</w:t>
      </w:r>
      <w:r w:rsidR="008C60A3" w:rsidRPr="006F0F88">
        <w:rPr>
          <w:noProof/>
        </w:rPr>
        <w:t>.</w:t>
      </w:r>
      <w:r w:rsidR="008C60A3">
        <w:rPr>
          <w:noProof/>
        </w:rPr>
        <w:t>4</w:t>
      </w:r>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r w:rsidRPr="006F0F88">
        <w:fldChar w:fldCharType="end"/>
      </w:r>
      <w:r w:rsidRPr="006F0F88">
        <w:tab/>
        <w:t>New construction of commercial buildings by climate zone</w:t>
      </w:r>
      <w:bookmarkEnd w:id="3350"/>
      <w:bookmarkEnd w:id="3351"/>
    </w:p>
    <w:p w14:paraId="22378DD8" w14:textId="77777777" w:rsidR="006568C5" w:rsidRPr="00E76434" w:rsidRDefault="006568C5" w:rsidP="006568C5">
      <w:pPr>
        <w:pStyle w:val="Subtitlebox"/>
      </w:pPr>
      <w:r w:rsidRPr="00BC2BD5">
        <w:rPr>
          <w:noProof/>
        </w:rPr>
        <w:drawing>
          <wp:inline distT="0" distB="0" distL="0" distR="0" wp14:anchorId="6AD06460" wp14:editId="564321F2">
            <wp:extent cx="4869180" cy="2506980"/>
            <wp:effectExtent l="76200" t="76200" r="83820" b="83820"/>
            <wp:docPr id="42961589" name="Picture 42961589" descr="Chart 7.4 - New construction of commercial buildings projections to 2050 by climate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61589" name="Picture 42961589" descr="Chart 7.4 - New construction of commercial buildings projections to 2050 by climate zone"/>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r="3181"/>
                    <a:stretch/>
                  </pic:blipFill>
                  <pic:spPr bwMode="auto">
                    <a:xfrm>
                      <a:off x="0" y="0"/>
                      <a:ext cx="4869180" cy="250698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484958BB" w14:textId="77777777" w:rsidR="006568C5" w:rsidRDefault="006568C5" w:rsidP="006568C5">
      <w:pPr>
        <w:pStyle w:val="Source"/>
      </w:pPr>
      <w:r>
        <w:rPr>
          <w:i/>
        </w:rPr>
        <w:t>Data source</w:t>
      </w:r>
      <w:r w:rsidRPr="00A67576">
        <w:rPr>
          <w:i/>
        </w:rPr>
        <w:t>:</w:t>
      </w:r>
      <w:r>
        <w:t xml:space="preserve"> SPR (2022).</w:t>
      </w:r>
    </w:p>
    <w:p w14:paraId="40DDDFCA" w14:textId="1E0FB30C" w:rsidR="006568C5" w:rsidRPr="005C2FCC" w:rsidRDefault="006568C5" w:rsidP="006568C5">
      <w:pPr>
        <w:pStyle w:val="BodyText"/>
        <w:rPr>
          <w:lang w:eastAsia="en-US"/>
        </w:rPr>
      </w:pPr>
      <w:r w:rsidRPr="00844A6E">
        <w:rPr>
          <w:szCs w:val="22"/>
          <w:lang w:eastAsia="en-US"/>
        </w:rPr>
        <w:t xml:space="preserve">Chart </w:t>
      </w:r>
      <w:r>
        <w:rPr>
          <w:szCs w:val="22"/>
          <w:lang w:eastAsia="en-US"/>
        </w:rPr>
        <w:fldChar w:fldCharType="begin"/>
      </w:r>
      <w:r>
        <w:rPr>
          <w:szCs w:val="22"/>
          <w:lang w:eastAsia="en-US"/>
        </w:rPr>
        <w:instrText xml:space="preserve"> REF _Caption0232 </w:instrText>
      </w:r>
      <w:r>
        <w:rPr>
          <w:szCs w:val="22"/>
          <w:lang w:eastAsia="en-US"/>
        </w:rPr>
        <w:fldChar w:fldCharType="separate"/>
      </w:r>
      <w:r w:rsidR="006E00A7">
        <w:rPr>
          <w:noProof/>
        </w:rPr>
        <w:t>7</w:t>
      </w:r>
      <w:r w:rsidR="006E00A7" w:rsidRPr="006F0F88">
        <w:rPr>
          <w:noProof/>
        </w:rPr>
        <w:t>.</w:t>
      </w:r>
      <w:r w:rsidR="006E00A7">
        <w:rPr>
          <w:noProof/>
        </w:rPr>
        <w:t>5</w:t>
      </w:r>
      <w:r>
        <w:rPr>
          <w:szCs w:val="22"/>
          <w:lang w:eastAsia="en-US"/>
        </w:rPr>
        <w:fldChar w:fldCharType="end"/>
      </w:r>
      <w:r w:rsidRPr="00844A6E">
        <w:rPr>
          <w:szCs w:val="22"/>
          <w:lang w:eastAsia="en-US"/>
        </w:rPr>
        <w:t xml:space="preserve"> reports the distribution of new commercial building construction by state and territory. Victoria leads with the largest share, exceeding 30 per cent, followed by NSW</w:t>
      </w:r>
      <w:r>
        <w:rPr>
          <w:lang w:eastAsia="en-US"/>
        </w:rPr>
        <w:t xml:space="preserve"> at around 25 per cent, Queensland at around 18 per cent, and WA with a range of 13-16 per cent.</w:t>
      </w:r>
    </w:p>
    <w:p w14:paraId="1ADF2AC4" w14:textId="43A6C211" w:rsidR="006568C5" w:rsidRPr="006F0F88" w:rsidRDefault="006568C5" w:rsidP="006568C5">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EA6E4C">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A6E4C">
          <w:rPr>
            <w:noProof/>
          </w:rPr>
          <w:instrText>7</w:instrText>
        </w:r>
      </w:fldSimple>
      <w:r w:rsidRPr="006F0F88">
        <w:instrText xml:space="preserve"> = 0 "" "</w:instrText>
      </w:r>
      <w:fldSimple w:instr=" STYLEREF &quot;Heading 1&quot; \l \n ">
        <w:r w:rsidR="00EA6E4C">
          <w:rPr>
            <w:noProof/>
          </w:rPr>
          <w:instrText>7</w:instrText>
        </w:r>
      </w:fldSimple>
      <w:r w:rsidRPr="006F0F88">
        <w:instrText xml:space="preserve">." </w:instrText>
      </w:r>
      <w:r w:rsidRPr="006F0F88">
        <w:fldChar w:fldCharType="separate"/>
      </w:r>
      <w:r w:rsidR="00EA6E4C">
        <w:rPr>
          <w:noProof/>
        </w:rPr>
        <w:instrText>7</w:instrText>
      </w:r>
      <w:r w:rsidR="00EA6E4C" w:rsidRPr="006F0F88">
        <w:rPr>
          <w:noProof/>
        </w:rPr>
        <w:instrText>.</w:instrText>
      </w:r>
      <w:r w:rsidRPr="006F0F88">
        <w:fldChar w:fldCharType="end"/>
      </w:r>
      <w:r w:rsidRPr="006F0F88">
        <w:instrText>" "</w:instrText>
      </w:r>
      <w:fldSimple w:instr=" STYLEREF &quot;Heading 6&quot; \l \n ">
        <w:r w:rsidRPr="006F0F88">
          <w:instrText>A</w:instrText>
        </w:r>
      </w:fldSimple>
      <w:r w:rsidRPr="006F0F88">
        <w:instrText xml:space="preserve">." </w:instrText>
      </w:r>
      <w:r w:rsidRPr="006F0F88">
        <w:fldChar w:fldCharType="separate"/>
      </w:r>
      <w:r w:rsidR="008C60A3">
        <w:rPr>
          <w:noProof/>
        </w:rPr>
        <w:instrText>7</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EA6E4C">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A6E4C">
          <w:rPr>
            <w:noProof/>
          </w:rPr>
          <w:instrText>7</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EA6E4C">
        <w:rPr>
          <w:noProof/>
        </w:rPr>
        <w:instrText>5</w:instrText>
      </w:r>
      <w:r w:rsidRPr="006F0F88">
        <w:fldChar w:fldCharType="end"/>
      </w:r>
      <w:r w:rsidRPr="006F0F88">
        <w:instrText xml:space="preserve">" "" </w:instrText>
      </w:r>
      <w:r w:rsidRPr="006F0F88">
        <w:fldChar w:fldCharType="separate"/>
      </w:r>
      <w:bookmarkStart w:id="3352" w:name="_Caption2395"/>
      <w:bookmarkStart w:id="3353" w:name="_Caption2854"/>
      <w:bookmarkStart w:id="3354" w:name="_Caption6131"/>
      <w:bookmarkStart w:id="3355" w:name="_Caption5072"/>
      <w:bookmarkStart w:id="3356" w:name="_Caption4663"/>
      <w:bookmarkStart w:id="3357" w:name="_Caption4234"/>
      <w:bookmarkStart w:id="3358" w:name="_Caption2657"/>
      <w:bookmarkStart w:id="3359" w:name="_Caption5301"/>
      <w:bookmarkStart w:id="3360" w:name="_Caption1024"/>
      <w:bookmarkStart w:id="3361" w:name="_Caption0130"/>
      <w:bookmarkStart w:id="3362" w:name="_Caption8413"/>
      <w:bookmarkStart w:id="3363" w:name="_Caption7935"/>
      <w:bookmarkStart w:id="3364" w:name="_Caption6082"/>
      <w:bookmarkStart w:id="3365" w:name="_Caption1377"/>
      <w:bookmarkStart w:id="3366" w:name="_Caption1054"/>
      <w:bookmarkStart w:id="3367" w:name="_Caption2165"/>
      <w:bookmarkStart w:id="3368" w:name="_Caption2519"/>
      <w:bookmarkStart w:id="3369" w:name="_Caption0974"/>
      <w:bookmarkStart w:id="3370" w:name="_Caption0887"/>
      <w:bookmarkStart w:id="3371" w:name="_Caption1139"/>
      <w:bookmarkStart w:id="3372" w:name="_Caption2904"/>
      <w:bookmarkStart w:id="3373" w:name="_Caption8475"/>
      <w:bookmarkStart w:id="3374" w:name="_Caption4118"/>
      <w:bookmarkStart w:id="3375" w:name="_Caption1017"/>
      <w:bookmarkStart w:id="3376" w:name="_Caption8088"/>
      <w:bookmarkStart w:id="3377" w:name="_Caption9063"/>
      <w:bookmarkStart w:id="3378" w:name="_Caption8987"/>
      <w:bookmarkStart w:id="3379" w:name="_Caption8506"/>
      <w:bookmarkStart w:id="3380" w:name="_Caption5535"/>
      <w:bookmarkStart w:id="3381" w:name="_Caption0232"/>
      <w:bookmarkStart w:id="3382" w:name="_Caption4672"/>
      <w:bookmarkStart w:id="3383" w:name="_Caption4211"/>
      <w:bookmarkStart w:id="3384" w:name="_Caption9255"/>
      <w:bookmarkStart w:id="3385" w:name="_Caption6004"/>
      <w:bookmarkStart w:id="3386" w:name="_Caption7186"/>
      <w:bookmarkStart w:id="3387" w:name="_Caption3414"/>
      <w:bookmarkStart w:id="3388" w:name="_Caption8070"/>
      <w:bookmarkStart w:id="3389" w:name="_Caption4428"/>
      <w:bookmarkStart w:id="3390" w:name="_Caption8782"/>
      <w:bookmarkStart w:id="3391" w:name="_Caption4123"/>
      <w:bookmarkStart w:id="3392" w:name="_Caption9557"/>
      <w:bookmarkStart w:id="3393" w:name="_Caption3724"/>
      <w:bookmarkStart w:id="3394" w:name="_Caption0576"/>
      <w:bookmarkStart w:id="3395" w:name="_Caption1807"/>
      <w:bookmarkStart w:id="3396" w:name="_Caption0527"/>
      <w:bookmarkStart w:id="3397" w:name="_Caption2408"/>
      <w:bookmarkStart w:id="3398" w:name="_Caption5591"/>
      <w:bookmarkStart w:id="3399" w:name="_Caption8512"/>
      <w:bookmarkStart w:id="3400" w:name="_Caption4002"/>
      <w:bookmarkStart w:id="3401" w:name="_Caption0689"/>
      <w:bookmarkStart w:id="3402" w:name="_Caption0196"/>
      <w:bookmarkStart w:id="3403" w:name="_Caption3524"/>
      <w:bookmarkStart w:id="3404" w:name="_Caption4969"/>
      <w:bookmarkStart w:id="3405" w:name="_Caption4169"/>
      <w:bookmarkStart w:id="3406" w:name="_Caption4712"/>
      <w:bookmarkStart w:id="3407" w:name="_Caption6002"/>
      <w:bookmarkStart w:id="3408" w:name="_Caption9735"/>
      <w:bookmarkStart w:id="3409" w:name="_Caption6748"/>
      <w:bookmarkStart w:id="3410" w:name="_Caption4442"/>
      <w:bookmarkStart w:id="3411" w:name="_Caption5192"/>
      <w:bookmarkStart w:id="3412" w:name="_Caption6249"/>
      <w:bookmarkStart w:id="3413" w:name="_Caption1804"/>
      <w:bookmarkStart w:id="3414" w:name="_Caption8282"/>
      <w:bookmarkStart w:id="3415" w:name="_Caption8995"/>
      <w:bookmarkStart w:id="3416" w:name="_Caption9542"/>
      <w:bookmarkStart w:id="3417" w:name="_Caption5209"/>
      <w:bookmarkStart w:id="3418" w:name="_Caption9195"/>
      <w:bookmarkStart w:id="3419" w:name="_Caption0746"/>
      <w:bookmarkStart w:id="3420" w:name="_Caption9319"/>
      <w:bookmarkStart w:id="3421" w:name="_Caption4561"/>
      <w:bookmarkStart w:id="3422" w:name="_Caption1623"/>
      <w:bookmarkStart w:id="3423" w:name="_Caption3643"/>
      <w:bookmarkStart w:id="3424" w:name="_Caption7639"/>
      <w:bookmarkStart w:id="3425" w:name="_Caption0985"/>
      <w:bookmarkStart w:id="3426" w:name="_Caption1432"/>
      <w:bookmarkStart w:id="3427" w:name="_Caption9538"/>
      <w:bookmarkStart w:id="3428" w:name="_Caption0810"/>
      <w:bookmarkStart w:id="3429" w:name="_Caption4245"/>
      <w:bookmarkStart w:id="3430" w:name="_Caption2608"/>
      <w:bookmarkStart w:id="3431" w:name="_Caption7429"/>
      <w:bookmarkStart w:id="3432" w:name="_Caption8225"/>
      <w:bookmarkStart w:id="3433" w:name="_Caption0362"/>
      <w:bookmarkStart w:id="3434" w:name="_Caption2971"/>
      <w:bookmarkStart w:id="3435" w:name="_Caption8940"/>
      <w:bookmarkStart w:id="3436" w:name="_Caption0895"/>
      <w:bookmarkStart w:id="3437" w:name="_Caption0030"/>
      <w:bookmarkStart w:id="3438" w:name="_Caption9132"/>
      <w:bookmarkStart w:id="3439" w:name="_Caption6140"/>
      <w:bookmarkStart w:id="3440" w:name="_Caption8248"/>
      <w:bookmarkStart w:id="3441" w:name="_Caption2220"/>
      <w:bookmarkStart w:id="3442" w:name="_Caption7978"/>
      <w:bookmarkStart w:id="3443" w:name="_Caption9397"/>
      <w:bookmarkStart w:id="3444" w:name="_Caption2582"/>
      <w:bookmarkStart w:id="3445" w:name="_Caption2642"/>
      <w:bookmarkStart w:id="3446" w:name="_Caption9634"/>
      <w:bookmarkStart w:id="3447" w:name="_Caption1563"/>
      <w:bookmarkStart w:id="3448" w:name="_Caption5309"/>
      <w:bookmarkStart w:id="3449" w:name="_Caption4238"/>
      <w:bookmarkStart w:id="3450" w:name="_Caption3054"/>
      <w:bookmarkStart w:id="3451" w:name="_Caption9282"/>
      <w:bookmarkStart w:id="3452" w:name="_Caption6148"/>
      <w:bookmarkStart w:id="3453" w:name="_Caption7677"/>
      <w:bookmarkStart w:id="3454" w:name="_Caption2551"/>
      <w:bookmarkStart w:id="3455" w:name="_Caption4075"/>
      <w:bookmarkStart w:id="3456" w:name="_Caption5202"/>
      <w:bookmarkStart w:id="3457" w:name="_Caption6708"/>
      <w:bookmarkStart w:id="3458" w:name="_Caption7397"/>
      <w:bookmarkStart w:id="3459" w:name="_Caption5083"/>
      <w:bookmarkStart w:id="3460" w:name="_Caption8209"/>
      <w:bookmarkStart w:id="3461" w:name="_Caption6617"/>
      <w:bookmarkStart w:id="3462" w:name="_Caption3883"/>
      <w:bookmarkStart w:id="3463" w:name="_Caption3226"/>
      <w:bookmarkStart w:id="3464" w:name="_Caption0385"/>
      <w:bookmarkStart w:id="3465" w:name="_Caption3699"/>
      <w:bookmarkStart w:id="3466" w:name="_Caption2281"/>
      <w:bookmarkStart w:id="3467" w:name="_Caption3983"/>
      <w:bookmarkStart w:id="3468" w:name="_Caption7849"/>
      <w:bookmarkStart w:id="3469" w:name="_Caption9893"/>
      <w:bookmarkStart w:id="3470" w:name="_Caption9823"/>
      <w:bookmarkStart w:id="3471" w:name="_Caption5270"/>
      <w:bookmarkStart w:id="3472" w:name="_Caption7532"/>
      <w:bookmarkStart w:id="3473" w:name="_Caption0924"/>
      <w:bookmarkStart w:id="3474" w:name="_Caption4057"/>
      <w:bookmarkStart w:id="3475" w:name="_Caption1327"/>
      <w:bookmarkStart w:id="3476" w:name="_Caption6887"/>
      <w:bookmarkStart w:id="3477" w:name="_Caption2526"/>
      <w:bookmarkStart w:id="3478" w:name="_Caption7406"/>
      <w:bookmarkStart w:id="3479" w:name="_Caption9504"/>
      <w:bookmarkStart w:id="3480" w:name="_Caption1854"/>
      <w:bookmarkStart w:id="3481" w:name="_Caption7232"/>
      <w:bookmarkStart w:id="3482" w:name="_Caption3846"/>
      <w:bookmarkStart w:id="3483" w:name="_Caption4732"/>
      <w:bookmarkStart w:id="3484" w:name="_Caption6033"/>
      <w:bookmarkStart w:id="3485" w:name="_Caption6933"/>
      <w:bookmarkStart w:id="3486" w:name="_Caption1532"/>
      <w:bookmarkStart w:id="3487" w:name="_Caption5475"/>
      <w:bookmarkStart w:id="3488" w:name="_Caption5489"/>
      <w:bookmarkStart w:id="3489" w:name="_Caption2868"/>
      <w:bookmarkStart w:id="3490" w:name="_Caption2646"/>
      <w:bookmarkStart w:id="3491" w:name="_Caption7490"/>
      <w:bookmarkStart w:id="3492" w:name="_Caption8952"/>
      <w:bookmarkStart w:id="3493" w:name="_Caption7567"/>
      <w:bookmarkStart w:id="3494" w:name="_Caption8598"/>
      <w:bookmarkStart w:id="3495" w:name="_Caption0404"/>
      <w:bookmarkStart w:id="3496" w:name="_Caption4176"/>
      <w:bookmarkStart w:id="3497" w:name="_Caption0208"/>
      <w:bookmarkStart w:id="3498" w:name="_Caption2659"/>
      <w:bookmarkStart w:id="3499" w:name="_Caption3090"/>
      <w:bookmarkStart w:id="3500" w:name="_Caption9537"/>
      <w:bookmarkStart w:id="3501" w:name="_Caption2750"/>
      <w:bookmarkStart w:id="3502" w:name="_Caption0170"/>
      <w:bookmarkStart w:id="3503" w:name="_Caption7572"/>
      <w:bookmarkStart w:id="3504" w:name="_Caption3045"/>
      <w:bookmarkStart w:id="3505" w:name="_Caption2085"/>
      <w:bookmarkStart w:id="3506" w:name="_Caption7806"/>
      <w:bookmarkStart w:id="3507" w:name="_Caption3067"/>
      <w:bookmarkStart w:id="3508" w:name="_Toc177735174"/>
      <w:bookmarkStart w:id="3509" w:name="_Toc178292604"/>
      <w:r w:rsidR="008C60A3">
        <w:rPr>
          <w:noProof/>
        </w:rPr>
        <w:t>7</w:t>
      </w:r>
      <w:r w:rsidR="008C60A3" w:rsidRPr="006F0F88">
        <w:rPr>
          <w:noProof/>
        </w:rPr>
        <w:t>.</w:t>
      </w:r>
      <w:r w:rsidR="008C60A3">
        <w:rPr>
          <w:noProof/>
        </w:rPr>
        <w:t>5</w:t>
      </w:r>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r w:rsidRPr="006F0F88">
        <w:fldChar w:fldCharType="end"/>
      </w:r>
      <w:r w:rsidRPr="006F0F88">
        <w:tab/>
        <w:t>New construction of commercial buildings by jurisdiction</w:t>
      </w:r>
      <w:bookmarkEnd w:id="3508"/>
      <w:bookmarkEnd w:id="3509"/>
    </w:p>
    <w:p w14:paraId="7E7867A2" w14:textId="77777777" w:rsidR="006568C5" w:rsidRPr="00D5530B" w:rsidRDefault="006568C5" w:rsidP="006568C5">
      <w:pPr>
        <w:pStyle w:val="Subtitlebox"/>
      </w:pPr>
      <w:r w:rsidRPr="006131B9">
        <w:rPr>
          <w:noProof/>
        </w:rPr>
        <w:drawing>
          <wp:inline distT="0" distB="0" distL="0" distR="0" wp14:anchorId="56FC5976" wp14:editId="7AFCA5D7">
            <wp:extent cx="4846320" cy="2506980"/>
            <wp:effectExtent l="76200" t="76200" r="68580" b="83820"/>
            <wp:docPr id="1656714639" name="Picture 1656714639" descr="Chart 7.5 - New construction of commercial buildings projections to 2050 by jurisdi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714639" name="Picture 1656714639" descr="Chart 7.5 - New construction of commercial buildings projections to 2050 by jurisdiction"/>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r="3637"/>
                    <a:stretch/>
                  </pic:blipFill>
                  <pic:spPr bwMode="auto">
                    <a:xfrm>
                      <a:off x="0" y="0"/>
                      <a:ext cx="4846320" cy="250698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6C2CA829" w14:textId="77777777" w:rsidR="006568C5" w:rsidRDefault="006568C5" w:rsidP="006568C5">
      <w:pPr>
        <w:pStyle w:val="Source"/>
      </w:pPr>
      <w:r>
        <w:rPr>
          <w:i/>
        </w:rPr>
        <w:t>Data source</w:t>
      </w:r>
      <w:r w:rsidRPr="00A67576">
        <w:rPr>
          <w:i/>
        </w:rPr>
        <w:t>:</w:t>
      </w:r>
      <w:r>
        <w:t xml:space="preserve"> SPR (2022).</w:t>
      </w:r>
    </w:p>
    <w:p w14:paraId="0686F63F" w14:textId="77777777" w:rsidR="006568C5" w:rsidRDefault="006568C5" w:rsidP="006568C5">
      <w:pPr>
        <w:pStyle w:val="Heading2"/>
      </w:pPr>
      <w:bookmarkStart w:id="3510" w:name="_Toc177735112"/>
      <w:bookmarkStart w:id="3511" w:name="_Toc178292546"/>
      <w:r>
        <w:t>Building energy impacts</w:t>
      </w:r>
      <w:bookmarkEnd w:id="3510"/>
      <w:bookmarkEnd w:id="3511"/>
    </w:p>
    <w:p w14:paraId="02A194E0" w14:textId="77777777" w:rsidR="006568C5" w:rsidRPr="00844A6E" w:rsidRDefault="006568C5" w:rsidP="006568C5">
      <w:pPr>
        <w:pStyle w:val="BodyText"/>
        <w:rPr>
          <w:szCs w:val="22"/>
          <w:lang w:eastAsia="en-US"/>
        </w:rPr>
      </w:pPr>
      <w:r w:rsidRPr="00844A6E">
        <w:rPr>
          <w:szCs w:val="22"/>
          <w:lang w:eastAsia="en-US"/>
        </w:rPr>
        <w:t>The aggregate impacts of the building energy measures across each of the 3 stringencies is discussed below.</w:t>
      </w:r>
    </w:p>
    <w:p w14:paraId="0BD8FB84" w14:textId="77777777" w:rsidR="006568C5" w:rsidRDefault="006568C5" w:rsidP="006568C5">
      <w:pPr>
        <w:pStyle w:val="Heading3"/>
        <w:rPr>
          <w:lang w:bidi="fa-IR"/>
        </w:rPr>
      </w:pPr>
      <w:r>
        <w:rPr>
          <w:lang w:bidi="fa-IR"/>
        </w:rPr>
        <w:t>Aggregate building energy impacts by state and territory</w:t>
      </w:r>
    </w:p>
    <w:p w14:paraId="1E35BBE4" w14:textId="77777777" w:rsidR="006568C5" w:rsidRPr="00844A6E" w:rsidRDefault="006568C5" w:rsidP="006568C5">
      <w:pPr>
        <w:pStyle w:val="BodyText"/>
        <w:rPr>
          <w:szCs w:val="22"/>
          <w:lang w:bidi="fa-IR"/>
        </w:rPr>
      </w:pPr>
      <w:r w:rsidRPr="00844A6E">
        <w:rPr>
          <w:szCs w:val="22"/>
          <w:lang w:bidi="fa-IR"/>
        </w:rPr>
        <w:t>The aggregate building energy impacts (excluding the requirement for mandatory EV charging, which is discussed below) are estimated by aggregating up from the building</w:t>
      </w:r>
      <w:r w:rsidRPr="00844A6E">
        <w:rPr>
          <w:szCs w:val="22"/>
          <w:lang w:bidi="fa-IR"/>
        </w:rPr>
        <w:noBreakHyphen/>
        <w:t>level (on a square metre basis) up to the state and national level using the above building projections.</w:t>
      </w:r>
    </w:p>
    <w:p w14:paraId="0E75E87F" w14:textId="77777777" w:rsidR="006568C5" w:rsidRDefault="006568C5" w:rsidP="006568C5">
      <w:pPr>
        <w:pStyle w:val="Heading4"/>
        <w:rPr>
          <w:lang w:bidi="fa-IR"/>
        </w:rPr>
      </w:pPr>
      <w:r>
        <w:rPr>
          <w:lang w:bidi="fa-IR"/>
        </w:rPr>
        <w:t>Stringency Level 1: Cost-effective energy efficiency without mandated on-site PV</w:t>
      </w:r>
    </w:p>
    <w:p w14:paraId="5C651016" w14:textId="5E6539F9" w:rsidR="006568C5" w:rsidRPr="00844A6E" w:rsidRDefault="006568C5" w:rsidP="006568C5">
      <w:pPr>
        <w:pStyle w:val="BodyText"/>
        <w:rPr>
          <w:szCs w:val="22"/>
          <w:lang w:bidi="fa-IR"/>
        </w:rPr>
      </w:pPr>
      <w:r w:rsidRPr="00844A6E">
        <w:rPr>
          <w:szCs w:val="22"/>
          <w:lang w:bidi="fa-IR"/>
        </w:rPr>
        <w:t>The aggregate building energy impacts for each state and territory under Stringency Level 1 are summarised in table </w:t>
      </w:r>
      <w:r>
        <w:rPr>
          <w:szCs w:val="22"/>
          <w:lang w:bidi="fa-IR"/>
        </w:rPr>
        <w:fldChar w:fldCharType="begin"/>
      </w:r>
      <w:r>
        <w:rPr>
          <w:szCs w:val="22"/>
          <w:lang w:bidi="fa-IR"/>
        </w:rPr>
        <w:instrText xml:space="preserve"> REF _Caption8378 </w:instrText>
      </w:r>
      <w:r>
        <w:rPr>
          <w:szCs w:val="22"/>
          <w:lang w:bidi="fa-IR"/>
        </w:rPr>
        <w:fldChar w:fldCharType="separate"/>
      </w:r>
      <w:r w:rsidR="006E00A7">
        <w:rPr>
          <w:noProof/>
        </w:rPr>
        <w:t>7</w:t>
      </w:r>
      <w:r w:rsidR="006E00A7" w:rsidRPr="006F0F88">
        <w:rPr>
          <w:noProof/>
        </w:rPr>
        <w:t>.</w:t>
      </w:r>
      <w:r w:rsidR="006E00A7">
        <w:rPr>
          <w:noProof/>
        </w:rPr>
        <w:t>6</w:t>
      </w:r>
      <w:r>
        <w:rPr>
          <w:szCs w:val="22"/>
          <w:lang w:bidi="fa-IR"/>
        </w:rPr>
        <w:fldChar w:fldCharType="end"/>
      </w:r>
      <w:r w:rsidRPr="00844A6E">
        <w:rPr>
          <w:szCs w:val="22"/>
          <w:lang w:bidi="fa-IR"/>
        </w:rPr>
        <w:t xml:space="preserve">. At the national level, the proposed increase in the minimum energy efficiency standards is estimated to deliver a net benefit of around </w:t>
      </w:r>
      <w:r w:rsidRPr="00844A6E">
        <w:rPr>
          <w:b/>
          <w:bCs/>
          <w:szCs w:val="22"/>
          <w:lang w:bidi="fa-IR"/>
        </w:rPr>
        <w:t>$</w:t>
      </w:r>
      <w:r w:rsidR="005F4C5E">
        <w:rPr>
          <w:b/>
          <w:bCs/>
          <w:szCs w:val="22"/>
          <w:lang w:bidi="fa-IR"/>
        </w:rPr>
        <w:t>6.8</w:t>
      </w:r>
      <w:r w:rsidRPr="00844A6E">
        <w:rPr>
          <w:b/>
          <w:bCs/>
          <w:szCs w:val="22"/>
          <w:lang w:bidi="fa-IR"/>
        </w:rPr>
        <w:t> billion</w:t>
      </w:r>
      <w:r w:rsidRPr="00844A6E">
        <w:rPr>
          <w:szCs w:val="22"/>
          <w:lang w:bidi="fa-IR"/>
        </w:rPr>
        <w:t xml:space="preserve"> in net present value terms over the 50-year life of buildings constructed over the </w:t>
      </w:r>
      <w:r w:rsidRPr="00844A6E" w:rsidDel="00A86807">
        <w:rPr>
          <w:szCs w:val="22"/>
          <w:lang w:bidi="fa-IR"/>
        </w:rPr>
        <w:t>10</w:t>
      </w:r>
      <w:r w:rsidRPr="00844A6E">
        <w:rPr>
          <w:szCs w:val="22"/>
          <w:lang w:bidi="fa-IR"/>
        </w:rPr>
        <w:t>-year period from 2025, using a discount rate of 5 per cent.</w:t>
      </w:r>
      <w:r>
        <w:rPr>
          <w:szCs w:val="22"/>
          <w:lang w:bidi="fa-IR"/>
        </w:rPr>
        <w:t xml:space="preserve"> </w:t>
      </w:r>
    </w:p>
    <w:p w14:paraId="2C270A2D" w14:textId="341FEF07" w:rsidR="006568C5" w:rsidRPr="006F0F88" w:rsidRDefault="006568C5" w:rsidP="006568C5">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EA6E4C">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A6E4C">
          <w:rPr>
            <w:noProof/>
          </w:rPr>
          <w:instrText>7</w:instrText>
        </w:r>
      </w:fldSimple>
      <w:r w:rsidRPr="006F0F88">
        <w:instrText xml:space="preserve"> = 0 "" "</w:instrText>
      </w:r>
      <w:fldSimple w:instr=" STYLEREF &quot;Heading 1&quot; \l \n ">
        <w:r w:rsidR="00EA6E4C">
          <w:rPr>
            <w:noProof/>
          </w:rPr>
          <w:instrText>7</w:instrText>
        </w:r>
      </w:fldSimple>
      <w:r w:rsidRPr="006F0F88">
        <w:instrText xml:space="preserve">." </w:instrText>
      </w:r>
      <w:r w:rsidRPr="006F0F88">
        <w:fldChar w:fldCharType="separate"/>
      </w:r>
      <w:r w:rsidR="00EA6E4C">
        <w:rPr>
          <w:noProof/>
        </w:rPr>
        <w:instrText>7</w:instrText>
      </w:r>
      <w:r w:rsidR="00EA6E4C"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7</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EA6E4C">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A6E4C">
          <w:rPr>
            <w:noProof/>
          </w:rPr>
          <w:instrText>7</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EA6E4C">
        <w:rPr>
          <w:noProof/>
        </w:rPr>
        <w:instrText>6</w:instrText>
      </w:r>
      <w:r w:rsidRPr="006F0F88">
        <w:fldChar w:fldCharType="end"/>
      </w:r>
      <w:r w:rsidRPr="006F0F88">
        <w:instrText xml:space="preserve">" "" </w:instrText>
      </w:r>
      <w:r w:rsidRPr="006F0F88">
        <w:fldChar w:fldCharType="separate"/>
      </w:r>
      <w:bookmarkStart w:id="3512" w:name="_Caption9832"/>
      <w:bookmarkStart w:id="3513" w:name="_Caption1546"/>
      <w:bookmarkStart w:id="3514" w:name="_Caption9910"/>
      <w:bookmarkStart w:id="3515" w:name="_Caption1481"/>
      <w:bookmarkStart w:id="3516" w:name="_Caption3595"/>
      <w:bookmarkStart w:id="3517" w:name="_Caption5409"/>
      <w:bookmarkStart w:id="3518" w:name="_Caption6101"/>
      <w:bookmarkStart w:id="3519" w:name="_Caption4380"/>
      <w:bookmarkStart w:id="3520" w:name="_Caption4081"/>
      <w:bookmarkStart w:id="3521" w:name="_Caption1946"/>
      <w:bookmarkStart w:id="3522" w:name="_Caption8154"/>
      <w:bookmarkStart w:id="3523" w:name="_Caption9924"/>
      <w:bookmarkStart w:id="3524" w:name="_Caption4734"/>
      <w:bookmarkStart w:id="3525" w:name="_Caption2979"/>
      <w:bookmarkStart w:id="3526" w:name="_Caption1949"/>
      <w:bookmarkStart w:id="3527" w:name="_Caption9133"/>
      <w:bookmarkStart w:id="3528" w:name="_Caption4623"/>
      <w:bookmarkStart w:id="3529" w:name="_Caption5564"/>
      <w:bookmarkStart w:id="3530" w:name="_Caption5185"/>
      <w:bookmarkStart w:id="3531" w:name="_Caption9471"/>
      <w:bookmarkStart w:id="3532" w:name="_Caption1036"/>
      <w:bookmarkStart w:id="3533" w:name="_Caption5418"/>
      <w:bookmarkStart w:id="3534" w:name="_Caption8630"/>
      <w:bookmarkStart w:id="3535" w:name="_Caption9588"/>
      <w:bookmarkStart w:id="3536" w:name="_Caption8195"/>
      <w:bookmarkStart w:id="3537" w:name="_Caption0050"/>
      <w:bookmarkStart w:id="3538" w:name="_Caption6358"/>
      <w:bookmarkStart w:id="3539" w:name="_Caption5622"/>
      <w:bookmarkStart w:id="3540" w:name="_Caption8378"/>
      <w:bookmarkStart w:id="3541" w:name="_Caption5639"/>
      <w:bookmarkStart w:id="3542" w:name="_Caption2469"/>
      <w:bookmarkStart w:id="3543" w:name="_Caption4653"/>
      <w:bookmarkStart w:id="3544" w:name="_Caption8253"/>
      <w:bookmarkStart w:id="3545" w:name="_Caption8848"/>
      <w:bookmarkStart w:id="3546" w:name="_Caption2043"/>
      <w:bookmarkStart w:id="3547" w:name="_Caption9351"/>
      <w:bookmarkStart w:id="3548" w:name="_Caption4468"/>
      <w:bookmarkStart w:id="3549" w:name="_Caption9489"/>
      <w:bookmarkStart w:id="3550" w:name="_Caption2241"/>
      <w:bookmarkStart w:id="3551" w:name="_Caption7167"/>
      <w:bookmarkStart w:id="3552" w:name="_Caption3245"/>
      <w:bookmarkStart w:id="3553" w:name="_Caption1192"/>
      <w:bookmarkStart w:id="3554" w:name="_Caption4824"/>
      <w:bookmarkStart w:id="3555" w:name="_Caption8152"/>
      <w:bookmarkStart w:id="3556" w:name="_Caption1105"/>
      <w:bookmarkStart w:id="3557" w:name="_Caption9915"/>
      <w:bookmarkStart w:id="3558" w:name="_Caption6938"/>
      <w:bookmarkStart w:id="3559" w:name="_Caption1119"/>
      <w:bookmarkStart w:id="3560" w:name="_Caption1799"/>
      <w:bookmarkStart w:id="3561" w:name="_Caption4722"/>
      <w:bookmarkStart w:id="3562" w:name="_Caption3293"/>
      <w:bookmarkStart w:id="3563" w:name="_Caption7418"/>
      <w:bookmarkStart w:id="3564" w:name="_Caption8575"/>
      <w:bookmarkStart w:id="3565" w:name="_Caption8681"/>
      <w:bookmarkStart w:id="3566" w:name="_Caption1268"/>
      <w:bookmarkStart w:id="3567" w:name="_Caption6536"/>
      <w:bookmarkStart w:id="3568" w:name="_Caption9853"/>
      <w:bookmarkStart w:id="3569" w:name="_Caption9245"/>
      <w:bookmarkStart w:id="3570" w:name="_Caption8741"/>
      <w:bookmarkStart w:id="3571" w:name="_Caption7781"/>
      <w:bookmarkStart w:id="3572" w:name="_Caption2338"/>
      <w:bookmarkStart w:id="3573" w:name="_Caption7225"/>
      <w:bookmarkStart w:id="3574" w:name="_Caption6426"/>
      <w:bookmarkStart w:id="3575" w:name="_Caption8781"/>
      <w:bookmarkStart w:id="3576" w:name="_Caption9972"/>
      <w:bookmarkStart w:id="3577" w:name="_Caption7931"/>
      <w:bookmarkStart w:id="3578" w:name="_Caption0115"/>
      <w:bookmarkStart w:id="3579" w:name="_Caption1394"/>
      <w:bookmarkStart w:id="3580" w:name="_Caption9695"/>
      <w:bookmarkStart w:id="3581" w:name="_Caption5041"/>
      <w:bookmarkStart w:id="3582" w:name="_Caption6759"/>
      <w:bookmarkStart w:id="3583" w:name="_Caption0954"/>
      <w:bookmarkStart w:id="3584" w:name="_Caption1736"/>
      <w:bookmarkStart w:id="3585" w:name="_Caption8212"/>
      <w:bookmarkStart w:id="3586" w:name="_Caption5210"/>
      <w:bookmarkStart w:id="3587" w:name="_Caption4627"/>
      <w:bookmarkStart w:id="3588" w:name="_Caption5960"/>
      <w:bookmarkStart w:id="3589" w:name="_Caption6049"/>
      <w:bookmarkStart w:id="3590" w:name="_Caption4763"/>
      <w:bookmarkStart w:id="3591" w:name="_Caption4297"/>
      <w:bookmarkStart w:id="3592" w:name="_Caption2024"/>
      <w:bookmarkStart w:id="3593" w:name="_Caption9799"/>
      <w:bookmarkStart w:id="3594" w:name="_Caption3974"/>
      <w:bookmarkStart w:id="3595" w:name="_Caption9811"/>
      <w:bookmarkStart w:id="3596" w:name="_Caption3485"/>
      <w:bookmarkStart w:id="3597" w:name="_Caption0550"/>
      <w:bookmarkStart w:id="3598" w:name="_Caption6689"/>
      <w:bookmarkStart w:id="3599" w:name="_Caption7526"/>
      <w:bookmarkStart w:id="3600" w:name="_Caption7081"/>
      <w:bookmarkStart w:id="3601" w:name="_Caption8490"/>
      <w:bookmarkStart w:id="3602" w:name="_Caption8648"/>
      <w:bookmarkStart w:id="3603" w:name="_Caption7458"/>
      <w:bookmarkStart w:id="3604" w:name="_Caption8251"/>
      <w:bookmarkStart w:id="3605" w:name="_Caption5110"/>
      <w:bookmarkStart w:id="3606" w:name="_Caption6625"/>
      <w:bookmarkStart w:id="3607" w:name="_Caption7689"/>
      <w:bookmarkStart w:id="3608" w:name="_Caption4465"/>
      <w:bookmarkStart w:id="3609" w:name="_Caption2972"/>
      <w:bookmarkStart w:id="3610" w:name="_Caption8977"/>
      <w:bookmarkStart w:id="3611" w:name="_Caption4670"/>
      <w:bookmarkStart w:id="3612" w:name="_Caption3667"/>
      <w:bookmarkStart w:id="3613" w:name="_Caption0079"/>
      <w:bookmarkStart w:id="3614" w:name="_Caption0025"/>
      <w:bookmarkStart w:id="3615" w:name="_Caption3747"/>
      <w:bookmarkStart w:id="3616" w:name="_Caption1683"/>
      <w:bookmarkStart w:id="3617" w:name="_Caption7336"/>
      <w:bookmarkStart w:id="3618" w:name="_Caption7955"/>
      <w:bookmarkStart w:id="3619" w:name="_Caption1485"/>
      <w:bookmarkStart w:id="3620" w:name="_Caption0998"/>
      <w:bookmarkStart w:id="3621" w:name="_Caption8145"/>
      <w:bookmarkStart w:id="3622" w:name="_Caption4421"/>
      <w:bookmarkStart w:id="3623" w:name="_Caption1093"/>
      <w:bookmarkStart w:id="3624" w:name="_Caption3180"/>
      <w:bookmarkStart w:id="3625" w:name="_Caption3324"/>
      <w:bookmarkStart w:id="3626" w:name="_Caption1088"/>
      <w:bookmarkStart w:id="3627" w:name="_Caption8569"/>
      <w:bookmarkStart w:id="3628" w:name="_Caption2365"/>
      <w:bookmarkStart w:id="3629" w:name="_Caption5077"/>
      <w:bookmarkStart w:id="3630" w:name="_Caption9339"/>
      <w:bookmarkStart w:id="3631" w:name="_Caption0201"/>
      <w:bookmarkStart w:id="3632" w:name="_Caption8435"/>
      <w:bookmarkStart w:id="3633" w:name="_Caption4743"/>
      <w:bookmarkStart w:id="3634" w:name="_Caption6653"/>
      <w:bookmarkStart w:id="3635" w:name="_Caption2829"/>
      <w:bookmarkStart w:id="3636" w:name="_Caption0450"/>
      <w:bookmarkStart w:id="3637" w:name="_Caption1122"/>
      <w:bookmarkStart w:id="3638" w:name="_Caption9174"/>
      <w:bookmarkStart w:id="3639" w:name="_Caption4525"/>
      <w:bookmarkStart w:id="3640" w:name="_Caption4962"/>
      <w:bookmarkStart w:id="3641" w:name="_Caption4444"/>
      <w:bookmarkStart w:id="3642" w:name="_Toc177735175"/>
      <w:bookmarkStart w:id="3643" w:name="_Toc178292605"/>
      <w:r w:rsidR="008C60A3">
        <w:rPr>
          <w:noProof/>
        </w:rPr>
        <w:t>7</w:t>
      </w:r>
      <w:r w:rsidR="008C60A3" w:rsidRPr="006F0F88">
        <w:rPr>
          <w:noProof/>
        </w:rPr>
        <w:t>.</w:t>
      </w:r>
      <w:r w:rsidR="008C60A3">
        <w:rPr>
          <w:noProof/>
        </w:rPr>
        <w:t>6</w:t>
      </w:r>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r w:rsidRPr="006F0F88">
        <w:fldChar w:fldCharType="end"/>
      </w:r>
      <w:r w:rsidRPr="006F0F88">
        <w:tab/>
        <w:t>Estimated impacts by state/territory — Stringency Level 1</w:t>
      </w:r>
      <w:bookmarkEnd w:id="3642"/>
      <w:bookmarkEnd w:id="3643"/>
    </w:p>
    <w:tbl>
      <w:tblPr>
        <w:tblW w:w="8505" w:type="dxa"/>
        <w:tblLayout w:type="fixed"/>
        <w:tblLook w:val="0000" w:firstRow="0" w:lastRow="0" w:firstColumn="0" w:lastColumn="0" w:noHBand="0" w:noVBand="0"/>
        <w:tblCaption w:val="Table 6.6"/>
        <w:tblDescription w:val="Estimated impacts by state/territory — Stringency Level 1"/>
      </w:tblPr>
      <w:tblGrid>
        <w:gridCol w:w="1191"/>
        <w:gridCol w:w="798"/>
        <w:gridCol w:w="797"/>
        <w:gridCol w:w="797"/>
        <w:gridCol w:w="796"/>
        <w:gridCol w:w="797"/>
        <w:gridCol w:w="796"/>
        <w:gridCol w:w="797"/>
        <w:gridCol w:w="928"/>
        <w:gridCol w:w="808"/>
      </w:tblGrid>
      <w:tr w:rsidR="006568C5" w14:paraId="7FA1048E" w14:textId="77777777">
        <w:trPr>
          <w:trHeight w:val="245"/>
          <w:tblHeader/>
        </w:trPr>
        <w:tc>
          <w:tcPr>
            <w:tcW w:w="1191" w:type="dxa"/>
            <w:shd w:val="clear" w:color="auto" w:fill="6F6652"/>
            <w:tcMar>
              <w:left w:w="57" w:type="dxa"/>
              <w:right w:w="57" w:type="dxa"/>
            </w:tcMar>
          </w:tcPr>
          <w:p w14:paraId="70BE2AF9" w14:textId="77777777" w:rsidR="006568C5" w:rsidRDefault="006568C5">
            <w:pPr>
              <w:pStyle w:val="TableDataColumnHeading"/>
              <w:jc w:val="left"/>
            </w:pPr>
            <w:r>
              <w:t>Impact</w:t>
            </w:r>
          </w:p>
        </w:tc>
        <w:tc>
          <w:tcPr>
            <w:tcW w:w="798" w:type="dxa"/>
            <w:shd w:val="clear" w:color="auto" w:fill="6F6652"/>
            <w:tcMar>
              <w:left w:w="57" w:type="dxa"/>
              <w:right w:w="57" w:type="dxa"/>
            </w:tcMar>
          </w:tcPr>
          <w:p w14:paraId="4A838F5D" w14:textId="77777777" w:rsidR="006568C5" w:rsidRDefault="006568C5">
            <w:pPr>
              <w:pStyle w:val="TableDataColumnHeading"/>
            </w:pPr>
            <w:r>
              <w:t>NSW</w:t>
            </w:r>
          </w:p>
          <w:p w14:paraId="341FB4D5" w14:textId="77777777" w:rsidR="006568C5" w:rsidRDefault="006568C5">
            <w:pPr>
              <w:pStyle w:val="TableDataColumnHeading"/>
            </w:pPr>
            <w:r>
              <w:t>$ million</w:t>
            </w:r>
          </w:p>
        </w:tc>
        <w:tc>
          <w:tcPr>
            <w:tcW w:w="797" w:type="dxa"/>
            <w:shd w:val="clear" w:color="auto" w:fill="6F6652"/>
            <w:tcMar>
              <w:left w:w="57" w:type="dxa"/>
              <w:right w:w="57" w:type="dxa"/>
            </w:tcMar>
          </w:tcPr>
          <w:p w14:paraId="3F69253F" w14:textId="77777777" w:rsidR="006568C5" w:rsidRDefault="006568C5">
            <w:pPr>
              <w:pStyle w:val="TableDataColumnHeading"/>
            </w:pPr>
            <w:r>
              <w:t>VIC</w:t>
            </w:r>
          </w:p>
          <w:p w14:paraId="3FC6C1DF" w14:textId="77777777" w:rsidR="006568C5" w:rsidRDefault="006568C5">
            <w:pPr>
              <w:pStyle w:val="TableDataColumnHeading"/>
            </w:pPr>
            <w:r>
              <w:t>$ million</w:t>
            </w:r>
          </w:p>
        </w:tc>
        <w:tc>
          <w:tcPr>
            <w:tcW w:w="797" w:type="dxa"/>
            <w:shd w:val="clear" w:color="auto" w:fill="6F6652"/>
            <w:tcMar>
              <w:left w:w="57" w:type="dxa"/>
              <w:right w:w="57" w:type="dxa"/>
            </w:tcMar>
          </w:tcPr>
          <w:p w14:paraId="470855A3" w14:textId="77777777" w:rsidR="006568C5" w:rsidRDefault="006568C5">
            <w:pPr>
              <w:pStyle w:val="TableDataColumnHeading"/>
            </w:pPr>
            <w:r>
              <w:t>QLD</w:t>
            </w:r>
          </w:p>
          <w:p w14:paraId="25CA2EF3" w14:textId="77777777" w:rsidR="006568C5" w:rsidRDefault="006568C5">
            <w:pPr>
              <w:pStyle w:val="TableDataColumnHeading"/>
            </w:pPr>
            <w:r>
              <w:t>$ million</w:t>
            </w:r>
          </w:p>
        </w:tc>
        <w:tc>
          <w:tcPr>
            <w:tcW w:w="796" w:type="dxa"/>
            <w:shd w:val="clear" w:color="auto" w:fill="6F6652"/>
            <w:tcMar>
              <w:left w:w="57" w:type="dxa"/>
              <w:right w:w="57" w:type="dxa"/>
            </w:tcMar>
          </w:tcPr>
          <w:p w14:paraId="5877E6DC" w14:textId="77777777" w:rsidR="006568C5" w:rsidRDefault="006568C5">
            <w:pPr>
              <w:pStyle w:val="TableDataColumnHeading"/>
            </w:pPr>
            <w:r>
              <w:t>WA</w:t>
            </w:r>
          </w:p>
          <w:p w14:paraId="0AE063D0" w14:textId="77777777" w:rsidR="006568C5" w:rsidRDefault="006568C5">
            <w:pPr>
              <w:pStyle w:val="TableDataColumnHeading"/>
            </w:pPr>
            <w:r>
              <w:t>$ million</w:t>
            </w:r>
          </w:p>
        </w:tc>
        <w:tc>
          <w:tcPr>
            <w:tcW w:w="797" w:type="dxa"/>
            <w:shd w:val="clear" w:color="auto" w:fill="6F6652"/>
            <w:tcMar>
              <w:left w:w="57" w:type="dxa"/>
              <w:right w:w="57" w:type="dxa"/>
            </w:tcMar>
          </w:tcPr>
          <w:p w14:paraId="5D61C687" w14:textId="77777777" w:rsidR="006568C5" w:rsidRDefault="006568C5">
            <w:pPr>
              <w:pStyle w:val="TableDataColumnHeading"/>
            </w:pPr>
            <w:r>
              <w:t>SA</w:t>
            </w:r>
          </w:p>
          <w:p w14:paraId="0B0A0A14" w14:textId="77777777" w:rsidR="006568C5" w:rsidRDefault="006568C5">
            <w:pPr>
              <w:pStyle w:val="TableDataColumnHeading"/>
            </w:pPr>
            <w:r>
              <w:t>$ million</w:t>
            </w:r>
          </w:p>
        </w:tc>
        <w:tc>
          <w:tcPr>
            <w:tcW w:w="796" w:type="dxa"/>
            <w:shd w:val="clear" w:color="auto" w:fill="6F6652"/>
            <w:tcMar>
              <w:left w:w="57" w:type="dxa"/>
              <w:right w:w="57" w:type="dxa"/>
            </w:tcMar>
          </w:tcPr>
          <w:p w14:paraId="1B315D5C" w14:textId="77777777" w:rsidR="006568C5" w:rsidRDefault="006568C5">
            <w:pPr>
              <w:pStyle w:val="TableDataColumnHeading"/>
            </w:pPr>
            <w:r>
              <w:t>TAS</w:t>
            </w:r>
          </w:p>
          <w:p w14:paraId="4FD75FD2" w14:textId="77777777" w:rsidR="006568C5" w:rsidRDefault="006568C5">
            <w:pPr>
              <w:pStyle w:val="TableDataColumnHeading"/>
            </w:pPr>
            <w:r>
              <w:t>$ million</w:t>
            </w:r>
          </w:p>
        </w:tc>
        <w:tc>
          <w:tcPr>
            <w:tcW w:w="797" w:type="dxa"/>
            <w:shd w:val="clear" w:color="auto" w:fill="6F6652"/>
            <w:tcMar>
              <w:left w:w="57" w:type="dxa"/>
              <w:right w:w="57" w:type="dxa"/>
            </w:tcMar>
          </w:tcPr>
          <w:p w14:paraId="1483ED7C" w14:textId="77777777" w:rsidR="006568C5" w:rsidRDefault="006568C5">
            <w:pPr>
              <w:pStyle w:val="TableDataColumnHeading"/>
            </w:pPr>
            <w:r>
              <w:t>ACT</w:t>
            </w:r>
          </w:p>
          <w:p w14:paraId="243A5AA2" w14:textId="77777777" w:rsidR="006568C5" w:rsidRDefault="006568C5">
            <w:pPr>
              <w:pStyle w:val="TableDataColumnHeading"/>
            </w:pPr>
            <w:r>
              <w:t>$ million</w:t>
            </w:r>
          </w:p>
        </w:tc>
        <w:tc>
          <w:tcPr>
            <w:tcW w:w="928" w:type="dxa"/>
            <w:shd w:val="clear" w:color="auto" w:fill="6F6652"/>
            <w:tcMar>
              <w:left w:w="57" w:type="dxa"/>
              <w:right w:w="57" w:type="dxa"/>
            </w:tcMar>
          </w:tcPr>
          <w:p w14:paraId="6DB3AF3F" w14:textId="77777777" w:rsidR="006568C5" w:rsidRDefault="006568C5">
            <w:pPr>
              <w:pStyle w:val="TableDataColumnHeading"/>
            </w:pPr>
            <w:r>
              <w:t>NT</w:t>
            </w:r>
          </w:p>
          <w:p w14:paraId="2156FF25" w14:textId="77777777" w:rsidR="006568C5" w:rsidRDefault="006568C5">
            <w:pPr>
              <w:pStyle w:val="TableDataColumnHeading"/>
            </w:pPr>
            <w:r>
              <w:t>$ million</w:t>
            </w:r>
          </w:p>
        </w:tc>
        <w:tc>
          <w:tcPr>
            <w:tcW w:w="808" w:type="dxa"/>
            <w:shd w:val="clear" w:color="auto" w:fill="6F6652"/>
            <w:tcMar>
              <w:left w:w="57" w:type="dxa"/>
              <w:right w:w="57" w:type="dxa"/>
            </w:tcMar>
          </w:tcPr>
          <w:p w14:paraId="218700A4" w14:textId="77777777" w:rsidR="006568C5" w:rsidRDefault="006568C5">
            <w:pPr>
              <w:pStyle w:val="TableDataColumnHeading"/>
            </w:pPr>
            <w:r>
              <w:t>Total</w:t>
            </w:r>
          </w:p>
          <w:p w14:paraId="53305105" w14:textId="77777777" w:rsidR="006568C5" w:rsidRDefault="006568C5">
            <w:pPr>
              <w:pStyle w:val="TableDataColumnHeading"/>
            </w:pPr>
            <w:r>
              <w:t>$ million</w:t>
            </w:r>
          </w:p>
        </w:tc>
      </w:tr>
      <w:tr w:rsidR="005F4C5E" w14:paraId="052075C7" w14:textId="77777777">
        <w:trPr>
          <w:trHeight w:val="245"/>
        </w:trPr>
        <w:tc>
          <w:tcPr>
            <w:tcW w:w="11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F38B053" w14:textId="77777777" w:rsidR="005F4C5E" w:rsidRDefault="005F4C5E" w:rsidP="005F4C5E">
            <w:pPr>
              <w:pStyle w:val="TableDataEntries"/>
              <w:jc w:val="left"/>
            </w:pPr>
            <w:r>
              <w:t>Avoided network capacity costs</w:t>
            </w:r>
          </w:p>
        </w:tc>
        <w:tc>
          <w:tcPr>
            <w:tcW w:w="79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CD139FE" w14:textId="32141C44" w:rsidR="005F4C5E" w:rsidRDefault="005F4C5E" w:rsidP="005F4C5E">
            <w:pPr>
              <w:pStyle w:val="TableDataEntries"/>
            </w:pPr>
            <w:r>
              <w:t xml:space="preserve"> 299.7</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1AA96F3" w14:textId="6B3EB201" w:rsidR="005F4C5E" w:rsidRDefault="005F4C5E" w:rsidP="005F4C5E">
            <w:pPr>
              <w:pStyle w:val="TableDataEntries"/>
            </w:pPr>
            <w:r>
              <w:t xml:space="preserve"> 200.7</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86D9B4E" w14:textId="2B375EC5" w:rsidR="005F4C5E" w:rsidRDefault="005F4C5E" w:rsidP="005F4C5E">
            <w:pPr>
              <w:pStyle w:val="TableDataEntries"/>
            </w:pPr>
            <w:r>
              <w:t xml:space="preserve"> 272.7</w:t>
            </w:r>
          </w:p>
        </w:tc>
        <w:tc>
          <w:tcPr>
            <w:tcW w:w="79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FEBCD90" w14:textId="336E647B" w:rsidR="005F4C5E" w:rsidRDefault="005F4C5E" w:rsidP="005F4C5E">
            <w:pPr>
              <w:pStyle w:val="TableDataEntries"/>
            </w:pPr>
            <w:r>
              <w:t xml:space="preserve"> 45.3</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439D910" w14:textId="178EF3C7" w:rsidR="005F4C5E" w:rsidRDefault="005F4C5E" w:rsidP="005F4C5E">
            <w:pPr>
              <w:pStyle w:val="TableDataEntries"/>
            </w:pPr>
            <w:r>
              <w:t xml:space="preserve"> 44.3</w:t>
            </w:r>
          </w:p>
        </w:tc>
        <w:tc>
          <w:tcPr>
            <w:tcW w:w="79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A492D28" w14:textId="1FF887FD" w:rsidR="005F4C5E" w:rsidRDefault="005F4C5E" w:rsidP="005F4C5E">
            <w:pPr>
              <w:pStyle w:val="TableDataEntries"/>
            </w:pPr>
            <w:r>
              <w:t xml:space="preserve"> 39.2</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456120E" w14:textId="524B6516" w:rsidR="005F4C5E" w:rsidRDefault="005F4C5E" w:rsidP="005F4C5E">
            <w:pPr>
              <w:pStyle w:val="TableDataEntries"/>
            </w:pPr>
            <w:r>
              <w:t xml:space="preserve"> 15.5</w:t>
            </w:r>
          </w:p>
        </w:tc>
        <w:tc>
          <w:tcPr>
            <w:tcW w:w="92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4FF513D" w14:textId="7B02F03E" w:rsidR="005F4C5E" w:rsidRDefault="005F4C5E" w:rsidP="005F4C5E">
            <w:pPr>
              <w:pStyle w:val="TableDataEntries"/>
            </w:pPr>
            <w:r>
              <w:t xml:space="preserve"> 21.6</w:t>
            </w:r>
          </w:p>
        </w:tc>
        <w:tc>
          <w:tcPr>
            <w:tcW w:w="8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1DC8D2C" w14:textId="0E7788E1" w:rsidR="005F4C5E" w:rsidRDefault="005F4C5E" w:rsidP="005F4C5E">
            <w:pPr>
              <w:pStyle w:val="TableDataEntries"/>
            </w:pPr>
            <w:r>
              <w:t xml:space="preserve"> 938.9</w:t>
            </w:r>
          </w:p>
        </w:tc>
      </w:tr>
      <w:tr w:rsidR="005F4C5E" w14:paraId="22A8D25F" w14:textId="77777777">
        <w:trPr>
          <w:trHeight w:val="245"/>
        </w:trPr>
        <w:tc>
          <w:tcPr>
            <w:tcW w:w="11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9530DE4" w14:textId="77777777" w:rsidR="005F4C5E" w:rsidRDefault="005F4C5E" w:rsidP="005F4C5E">
            <w:pPr>
              <w:pStyle w:val="TableDataEntries"/>
              <w:jc w:val="left"/>
            </w:pPr>
            <w:r>
              <w:t>Avoided wholesale costs</w:t>
            </w:r>
          </w:p>
        </w:tc>
        <w:tc>
          <w:tcPr>
            <w:tcW w:w="79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248AFF3" w14:textId="7382C63A" w:rsidR="005F4C5E" w:rsidRDefault="005F4C5E" w:rsidP="005F4C5E">
            <w:pPr>
              <w:pStyle w:val="TableDataEntries"/>
            </w:pPr>
            <w:r>
              <w:t xml:space="preserve"> 464.8</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992B674" w14:textId="1E571D6E" w:rsidR="005F4C5E" w:rsidRDefault="005F4C5E" w:rsidP="005F4C5E">
            <w:pPr>
              <w:pStyle w:val="TableDataEntries"/>
            </w:pPr>
            <w:r>
              <w:t xml:space="preserve"> 451.7</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C6E23F4" w14:textId="0F5DF3EA" w:rsidR="005F4C5E" w:rsidRDefault="005F4C5E" w:rsidP="005F4C5E">
            <w:pPr>
              <w:pStyle w:val="TableDataEntries"/>
            </w:pPr>
            <w:r>
              <w:t xml:space="preserve"> 499.9</w:t>
            </w:r>
          </w:p>
        </w:tc>
        <w:tc>
          <w:tcPr>
            <w:tcW w:w="79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866411A" w14:textId="4E54935B" w:rsidR="005F4C5E" w:rsidRDefault="005F4C5E" w:rsidP="005F4C5E">
            <w:pPr>
              <w:pStyle w:val="TableDataEntries"/>
            </w:pPr>
            <w:r>
              <w:t xml:space="preserve"> 202.5</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5DC46C7" w14:textId="7E9DD1D0" w:rsidR="005F4C5E" w:rsidRDefault="005F4C5E" w:rsidP="005F4C5E">
            <w:pPr>
              <w:pStyle w:val="TableDataEntries"/>
            </w:pPr>
            <w:r>
              <w:t xml:space="preserve"> 101.4</w:t>
            </w:r>
          </w:p>
        </w:tc>
        <w:tc>
          <w:tcPr>
            <w:tcW w:w="79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E94334E" w14:textId="627DC397" w:rsidR="005F4C5E" w:rsidRDefault="005F4C5E" w:rsidP="005F4C5E">
            <w:pPr>
              <w:pStyle w:val="TableDataEntries"/>
            </w:pPr>
            <w:r>
              <w:t xml:space="preserve"> 24.2</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6813093" w14:textId="6793B78C" w:rsidR="005F4C5E" w:rsidRDefault="005F4C5E" w:rsidP="005F4C5E">
            <w:pPr>
              <w:pStyle w:val="TableDataEntries"/>
            </w:pPr>
            <w:r>
              <w:t xml:space="preserve"> 22.4</w:t>
            </w:r>
          </w:p>
        </w:tc>
        <w:tc>
          <w:tcPr>
            <w:tcW w:w="92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53126FB" w14:textId="692CD319" w:rsidR="005F4C5E" w:rsidRDefault="005F4C5E" w:rsidP="005F4C5E">
            <w:pPr>
              <w:pStyle w:val="TableDataEntries"/>
            </w:pPr>
            <w:r>
              <w:t xml:space="preserve"> 71.9</w:t>
            </w:r>
          </w:p>
        </w:tc>
        <w:tc>
          <w:tcPr>
            <w:tcW w:w="8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9B15222" w14:textId="03214B7C" w:rsidR="005F4C5E" w:rsidRDefault="005F4C5E" w:rsidP="005F4C5E">
            <w:pPr>
              <w:pStyle w:val="TableDataEntries"/>
            </w:pPr>
            <w:r>
              <w:t>1 838.7</w:t>
            </w:r>
          </w:p>
        </w:tc>
      </w:tr>
      <w:tr w:rsidR="005F4C5E" w14:paraId="1B41FF65" w14:textId="77777777">
        <w:trPr>
          <w:trHeight w:val="245"/>
        </w:trPr>
        <w:tc>
          <w:tcPr>
            <w:tcW w:w="11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19B4F44" w14:textId="77777777" w:rsidR="005F4C5E" w:rsidRDefault="005F4C5E" w:rsidP="005F4C5E">
            <w:pPr>
              <w:pStyle w:val="TableDataEntries"/>
              <w:jc w:val="left"/>
            </w:pPr>
            <w:r>
              <w:t>Avoided network usage costs</w:t>
            </w:r>
          </w:p>
        </w:tc>
        <w:tc>
          <w:tcPr>
            <w:tcW w:w="79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E3CCBDA" w14:textId="16B7081E" w:rsidR="005F4C5E" w:rsidRDefault="005F4C5E" w:rsidP="005F4C5E">
            <w:pPr>
              <w:pStyle w:val="TableDataEntries"/>
            </w:pPr>
            <w:r>
              <w:t xml:space="preserve"> 251.9</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D655677" w14:textId="6F3AE5D3" w:rsidR="005F4C5E" w:rsidRDefault="005F4C5E" w:rsidP="005F4C5E">
            <w:pPr>
              <w:pStyle w:val="TableDataEntries"/>
            </w:pPr>
            <w:r>
              <w:t xml:space="preserve"> 469.1</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3B2FF34" w14:textId="440F02ED" w:rsidR="005F4C5E" w:rsidRDefault="005F4C5E" w:rsidP="005F4C5E">
            <w:pPr>
              <w:pStyle w:val="TableDataEntries"/>
            </w:pPr>
            <w:r>
              <w:t xml:space="preserve"> 305.2</w:t>
            </w:r>
          </w:p>
        </w:tc>
        <w:tc>
          <w:tcPr>
            <w:tcW w:w="79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4F53DFC" w14:textId="2A82D2FE" w:rsidR="005F4C5E" w:rsidRDefault="005F4C5E" w:rsidP="005F4C5E">
            <w:pPr>
              <w:pStyle w:val="TableDataEntries"/>
            </w:pPr>
            <w:r>
              <w:t xml:space="preserve"> 444.9</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F57F36A" w14:textId="2C808B91" w:rsidR="005F4C5E" w:rsidRDefault="005F4C5E" w:rsidP="005F4C5E">
            <w:pPr>
              <w:pStyle w:val="TableDataEntries"/>
            </w:pPr>
            <w:r>
              <w:t xml:space="preserve"> 207.4</w:t>
            </w:r>
          </w:p>
        </w:tc>
        <w:tc>
          <w:tcPr>
            <w:tcW w:w="79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C2227E9" w14:textId="219CAA03" w:rsidR="005F4C5E" w:rsidRDefault="005F4C5E" w:rsidP="005F4C5E">
            <w:pPr>
              <w:pStyle w:val="TableDataEntries"/>
            </w:pPr>
            <w:r>
              <w:t xml:space="preserve"> 35.5</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561FFF7" w14:textId="48277C4B" w:rsidR="005F4C5E" w:rsidRDefault="005F4C5E" w:rsidP="005F4C5E">
            <w:pPr>
              <w:pStyle w:val="TableDataEntries"/>
            </w:pPr>
            <w:r>
              <w:t xml:space="preserve"> 18.3</w:t>
            </w:r>
          </w:p>
        </w:tc>
        <w:tc>
          <w:tcPr>
            <w:tcW w:w="92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BA59D57" w14:textId="57D25425" w:rsidR="005F4C5E" w:rsidRDefault="005F4C5E" w:rsidP="005F4C5E">
            <w:pPr>
              <w:pStyle w:val="TableDataEntries"/>
            </w:pPr>
            <w:r>
              <w:t xml:space="preserve"> 36.6</w:t>
            </w:r>
          </w:p>
        </w:tc>
        <w:tc>
          <w:tcPr>
            <w:tcW w:w="8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B920120" w14:textId="17225BD8" w:rsidR="005F4C5E" w:rsidRDefault="005F4C5E" w:rsidP="005F4C5E">
            <w:pPr>
              <w:pStyle w:val="TableDataEntries"/>
            </w:pPr>
            <w:r>
              <w:t>1 768.8</w:t>
            </w:r>
          </w:p>
        </w:tc>
      </w:tr>
      <w:tr w:rsidR="005F4C5E" w14:paraId="425DFA77" w14:textId="77777777">
        <w:trPr>
          <w:trHeight w:val="245"/>
        </w:trPr>
        <w:tc>
          <w:tcPr>
            <w:tcW w:w="11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EF8634" w14:textId="77777777" w:rsidR="005F4C5E" w:rsidRDefault="005F4C5E" w:rsidP="005F4C5E">
            <w:pPr>
              <w:pStyle w:val="TableDataEntries"/>
              <w:jc w:val="left"/>
            </w:pPr>
            <w:r>
              <w:t>Avoided retail costs</w:t>
            </w:r>
          </w:p>
        </w:tc>
        <w:tc>
          <w:tcPr>
            <w:tcW w:w="79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8FC61C9" w14:textId="18C5A400" w:rsidR="005F4C5E" w:rsidRDefault="005F4C5E" w:rsidP="005F4C5E">
            <w:pPr>
              <w:pStyle w:val="TableDataEntries"/>
            </w:pPr>
            <w:r>
              <w:t xml:space="preserve"> 152.5</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540679D" w14:textId="0CBD8BE8" w:rsidR="005F4C5E" w:rsidRDefault="005F4C5E" w:rsidP="005F4C5E">
            <w:pPr>
              <w:pStyle w:val="TableDataEntries"/>
            </w:pPr>
            <w:r>
              <w:t xml:space="preserve"> 168.2</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2D3B4CD" w14:textId="2D5DB852" w:rsidR="005F4C5E" w:rsidRDefault="005F4C5E" w:rsidP="005F4C5E">
            <w:pPr>
              <w:pStyle w:val="TableDataEntries"/>
            </w:pPr>
            <w:r>
              <w:t xml:space="preserve"> 161.7</w:t>
            </w:r>
          </w:p>
        </w:tc>
        <w:tc>
          <w:tcPr>
            <w:tcW w:w="79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ECBC9E1" w14:textId="44E36CCD" w:rsidR="005F4C5E" w:rsidRDefault="005F4C5E" w:rsidP="005F4C5E">
            <w:pPr>
              <w:pStyle w:val="TableDataEntries"/>
            </w:pPr>
            <w:r>
              <w:t xml:space="preserve"> 103.9</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B0C996D" w14:textId="00EABB80" w:rsidR="005F4C5E" w:rsidRDefault="005F4C5E" w:rsidP="005F4C5E">
            <w:pPr>
              <w:pStyle w:val="TableDataEntries"/>
            </w:pPr>
            <w:r>
              <w:t xml:space="preserve"> 53.0</w:t>
            </w:r>
          </w:p>
        </w:tc>
        <w:tc>
          <w:tcPr>
            <w:tcW w:w="79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D66B886" w14:textId="39ED9F7A" w:rsidR="005F4C5E" w:rsidRDefault="005F4C5E" w:rsidP="005F4C5E">
            <w:pPr>
              <w:pStyle w:val="TableDataEntries"/>
            </w:pPr>
            <w:r>
              <w:t xml:space="preserve"> 14.8</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8C1C2ED" w14:textId="1FE481C0" w:rsidR="005F4C5E" w:rsidRDefault="005F4C5E" w:rsidP="005F4C5E">
            <w:pPr>
              <w:pStyle w:val="TableDataEntries"/>
            </w:pPr>
            <w:r>
              <w:t xml:space="preserve"> 8.4</w:t>
            </w:r>
          </w:p>
        </w:tc>
        <w:tc>
          <w:tcPr>
            <w:tcW w:w="92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C5FB433" w14:textId="1EA8B666" w:rsidR="005F4C5E" w:rsidRDefault="005F4C5E" w:rsidP="005F4C5E">
            <w:pPr>
              <w:pStyle w:val="TableDataEntries"/>
            </w:pPr>
            <w:r>
              <w:t xml:space="preserve"> 19.5</w:t>
            </w:r>
          </w:p>
        </w:tc>
        <w:tc>
          <w:tcPr>
            <w:tcW w:w="8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E90C18C" w14:textId="08CD4AF5" w:rsidR="005F4C5E" w:rsidRDefault="005F4C5E" w:rsidP="005F4C5E">
            <w:pPr>
              <w:pStyle w:val="TableDataEntries"/>
            </w:pPr>
            <w:r>
              <w:t xml:space="preserve"> 682.0</w:t>
            </w:r>
          </w:p>
        </w:tc>
      </w:tr>
      <w:tr w:rsidR="005F4C5E" w14:paraId="519C28A7" w14:textId="77777777">
        <w:trPr>
          <w:trHeight w:val="245"/>
        </w:trPr>
        <w:tc>
          <w:tcPr>
            <w:tcW w:w="11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5E8292" w14:textId="77777777" w:rsidR="005F4C5E" w:rsidRDefault="005F4C5E" w:rsidP="005F4C5E">
            <w:pPr>
              <w:pStyle w:val="TableDataEntries"/>
              <w:jc w:val="left"/>
            </w:pPr>
            <w:r>
              <w:t>Electricity exported to grid</w:t>
            </w:r>
          </w:p>
        </w:tc>
        <w:tc>
          <w:tcPr>
            <w:tcW w:w="79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6C3DEA1" w14:textId="02494938" w:rsidR="005F4C5E" w:rsidRDefault="005F4C5E" w:rsidP="005F4C5E">
            <w:pPr>
              <w:pStyle w:val="TableDataEntries"/>
            </w:pPr>
            <w:r>
              <w:t xml:space="preserve"> 12.8</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34073D2" w14:textId="71333003" w:rsidR="005F4C5E" w:rsidRDefault="005F4C5E" w:rsidP="005F4C5E">
            <w:pPr>
              <w:pStyle w:val="TableDataEntries"/>
            </w:pPr>
            <w:r>
              <w:t xml:space="preserve"> 13.6</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AA81501" w14:textId="67A53D79" w:rsidR="005F4C5E" w:rsidRDefault="005F4C5E" w:rsidP="005F4C5E">
            <w:pPr>
              <w:pStyle w:val="TableDataEntries"/>
            </w:pPr>
            <w:r>
              <w:t xml:space="preserve"> 7.6</w:t>
            </w:r>
          </w:p>
        </w:tc>
        <w:tc>
          <w:tcPr>
            <w:tcW w:w="79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D3ABFC7" w14:textId="75066325" w:rsidR="005F4C5E" w:rsidRDefault="005F4C5E" w:rsidP="005F4C5E">
            <w:pPr>
              <w:pStyle w:val="TableDataEntries"/>
            </w:pPr>
            <w:r>
              <w:t xml:space="preserve"> 5.4</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1DBE4DF" w14:textId="2368D61D" w:rsidR="005F4C5E" w:rsidRDefault="005F4C5E" w:rsidP="005F4C5E">
            <w:pPr>
              <w:pStyle w:val="TableDataEntries"/>
            </w:pPr>
            <w:r>
              <w:t xml:space="preserve"> 2.5</w:t>
            </w:r>
          </w:p>
        </w:tc>
        <w:tc>
          <w:tcPr>
            <w:tcW w:w="79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BE825F7" w14:textId="56E434C9" w:rsidR="005F4C5E" w:rsidRDefault="005F4C5E" w:rsidP="005F4C5E">
            <w:pPr>
              <w:pStyle w:val="TableDataEntries"/>
            </w:pPr>
            <w:r>
              <w:t xml:space="preserve"> 1.6</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4053E63" w14:textId="5A7E11D8" w:rsidR="005F4C5E" w:rsidRDefault="005F4C5E" w:rsidP="005F4C5E">
            <w:pPr>
              <w:pStyle w:val="TableDataEntries"/>
            </w:pPr>
            <w:r>
              <w:t xml:space="preserve"> 0.8</w:t>
            </w:r>
          </w:p>
        </w:tc>
        <w:tc>
          <w:tcPr>
            <w:tcW w:w="92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83724A5" w14:textId="7EA381C6" w:rsidR="005F4C5E" w:rsidRDefault="005F4C5E" w:rsidP="005F4C5E">
            <w:pPr>
              <w:pStyle w:val="TableDataEntries"/>
            </w:pPr>
            <w:r>
              <w:t xml:space="preserve"> 0.7</w:t>
            </w:r>
          </w:p>
        </w:tc>
        <w:tc>
          <w:tcPr>
            <w:tcW w:w="8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685AF21" w14:textId="328C90F7" w:rsidR="005F4C5E" w:rsidRDefault="005F4C5E" w:rsidP="005F4C5E">
            <w:pPr>
              <w:pStyle w:val="TableDataEntries"/>
            </w:pPr>
            <w:r>
              <w:t xml:space="preserve"> 45.0</w:t>
            </w:r>
          </w:p>
        </w:tc>
      </w:tr>
      <w:tr w:rsidR="005F4C5E" w14:paraId="72916733" w14:textId="77777777">
        <w:trPr>
          <w:trHeight w:val="245"/>
        </w:trPr>
        <w:tc>
          <w:tcPr>
            <w:tcW w:w="11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ED07A30" w14:textId="77777777" w:rsidR="005F4C5E" w:rsidRDefault="005F4C5E" w:rsidP="005F4C5E">
            <w:pPr>
              <w:pStyle w:val="TableDataEntries"/>
              <w:jc w:val="left"/>
            </w:pPr>
            <w:r>
              <w:t>Electricity exports — network costs</w:t>
            </w:r>
          </w:p>
        </w:tc>
        <w:tc>
          <w:tcPr>
            <w:tcW w:w="79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EEC7660" w14:textId="476DC639" w:rsidR="005F4C5E" w:rsidRDefault="005F4C5E" w:rsidP="005F4C5E">
            <w:pPr>
              <w:pStyle w:val="TableDataEntries"/>
            </w:pPr>
            <w:r>
              <w:t>- 2.7</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086334A" w14:textId="792BF5E2" w:rsidR="005F4C5E" w:rsidRDefault="005F4C5E" w:rsidP="005F4C5E">
            <w:pPr>
              <w:pStyle w:val="TableDataEntries"/>
            </w:pPr>
            <w:r>
              <w:t>- 3.7</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76A85BC" w14:textId="4F4FC97F" w:rsidR="005F4C5E" w:rsidRDefault="005F4C5E" w:rsidP="005F4C5E">
            <w:pPr>
              <w:pStyle w:val="TableDataEntries"/>
            </w:pPr>
            <w:r>
              <w:t>- 1.6</w:t>
            </w:r>
          </w:p>
        </w:tc>
        <w:tc>
          <w:tcPr>
            <w:tcW w:w="79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C994DB1" w14:textId="584D52ED" w:rsidR="005F4C5E" w:rsidRDefault="005F4C5E" w:rsidP="005F4C5E">
            <w:pPr>
              <w:pStyle w:val="TableDataEntries"/>
            </w:pPr>
            <w:r>
              <w:t>- 1.5</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0467BAE" w14:textId="4462363E" w:rsidR="005F4C5E" w:rsidRDefault="005F4C5E" w:rsidP="005F4C5E">
            <w:pPr>
              <w:pStyle w:val="TableDataEntries"/>
            </w:pPr>
            <w:r>
              <w:t>- 0.8</w:t>
            </w:r>
          </w:p>
        </w:tc>
        <w:tc>
          <w:tcPr>
            <w:tcW w:w="79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B03B022" w14:textId="3AB441B9" w:rsidR="005F4C5E" w:rsidRDefault="005F4C5E" w:rsidP="005F4C5E">
            <w:pPr>
              <w:pStyle w:val="TableDataEntries"/>
            </w:pPr>
            <w:r>
              <w:t>- 0.2</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788CDBD" w14:textId="26E607C5" w:rsidR="005F4C5E" w:rsidRDefault="005F4C5E" w:rsidP="005F4C5E">
            <w:pPr>
              <w:pStyle w:val="TableDataEntries"/>
            </w:pPr>
            <w:r>
              <w:t>- 0.2</w:t>
            </w:r>
          </w:p>
        </w:tc>
        <w:tc>
          <w:tcPr>
            <w:tcW w:w="92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64986C7" w14:textId="56BB337C" w:rsidR="005F4C5E" w:rsidRDefault="005F4C5E" w:rsidP="005F4C5E">
            <w:pPr>
              <w:pStyle w:val="TableDataEntries"/>
            </w:pPr>
            <w:r>
              <w:t xml:space="preserve"> 0.0</w:t>
            </w:r>
          </w:p>
        </w:tc>
        <w:tc>
          <w:tcPr>
            <w:tcW w:w="8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DC46631" w14:textId="79FD3DBB" w:rsidR="005F4C5E" w:rsidRDefault="005F4C5E" w:rsidP="005F4C5E">
            <w:pPr>
              <w:pStyle w:val="TableDataEntries"/>
            </w:pPr>
            <w:r>
              <w:t>- 10.7</w:t>
            </w:r>
          </w:p>
        </w:tc>
      </w:tr>
      <w:tr w:rsidR="005F4C5E" w14:paraId="295F8F36" w14:textId="77777777">
        <w:trPr>
          <w:trHeight w:val="245"/>
        </w:trPr>
        <w:tc>
          <w:tcPr>
            <w:tcW w:w="11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31040A" w14:textId="77777777" w:rsidR="005F4C5E" w:rsidRDefault="005F4C5E" w:rsidP="005F4C5E">
            <w:pPr>
              <w:pStyle w:val="TableDataEntries"/>
              <w:jc w:val="left"/>
            </w:pPr>
            <w:r>
              <w:t>Avoided gas costs</w:t>
            </w:r>
          </w:p>
        </w:tc>
        <w:tc>
          <w:tcPr>
            <w:tcW w:w="79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674DEDB" w14:textId="4DAA66D8" w:rsidR="005F4C5E" w:rsidRDefault="005F4C5E" w:rsidP="005F4C5E">
            <w:pPr>
              <w:pStyle w:val="TableDataEntries"/>
            </w:pPr>
            <w:r>
              <w:t>- 6.6</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C964E9F" w14:textId="1113E2B7" w:rsidR="005F4C5E" w:rsidRDefault="005F4C5E" w:rsidP="005F4C5E">
            <w:pPr>
              <w:pStyle w:val="TableDataEntries"/>
            </w:pPr>
            <w:r>
              <w:t>- 14.3</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D532C83" w14:textId="24929E1F" w:rsidR="005F4C5E" w:rsidRDefault="005F4C5E" w:rsidP="005F4C5E">
            <w:pPr>
              <w:pStyle w:val="TableDataEntries"/>
            </w:pPr>
            <w:r>
              <w:t>- 1.1</w:t>
            </w:r>
          </w:p>
        </w:tc>
        <w:tc>
          <w:tcPr>
            <w:tcW w:w="79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ADF7614" w14:textId="5FC236DC" w:rsidR="005F4C5E" w:rsidRDefault="005F4C5E" w:rsidP="005F4C5E">
            <w:pPr>
              <w:pStyle w:val="TableDataEntries"/>
            </w:pPr>
            <w:r>
              <w:t>- 3.2</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9C1CAF6" w14:textId="24884DFF" w:rsidR="005F4C5E" w:rsidRDefault="005F4C5E" w:rsidP="005F4C5E">
            <w:pPr>
              <w:pStyle w:val="TableDataEntries"/>
            </w:pPr>
            <w:r>
              <w:t>- 2.0</w:t>
            </w:r>
          </w:p>
        </w:tc>
        <w:tc>
          <w:tcPr>
            <w:tcW w:w="79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A941636" w14:textId="4EB95ABD" w:rsidR="005F4C5E" w:rsidRDefault="005F4C5E" w:rsidP="005F4C5E">
            <w:pPr>
              <w:pStyle w:val="TableDataEntries"/>
            </w:pPr>
            <w:r>
              <w:t>- 1.2</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E24DD1A" w14:textId="6622FD4E" w:rsidR="005F4C5E" w:rsidRDefault="005F4C5E" w:rsidP="005F4C5E">
            <w:pPr>
              <w:pStyle w:val="TableDataEntries"/>
            </w:pPr>
            <w:r>
              <w:t>- 0.2</w:t>
            </w:r>
          </w:p>
        </w:tc>
        <w:tc>
          <w:tcPr>
            <w:tcW w:w="92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742ECDD" w14:textId="60FA942C" w:rsidR="005F4C5E" w:rsidRDefault="005F4C5E" w:rsidP="005F4C5E">
            <w:pPr>
              <w:pStyle w:val="TableDataEntries"/>
            </w:pPr>
            <w:r>
              <w:t>- 0.1</w:t>
            </w:r>
          </w:p>
        </w:tc>
        <w:tc>
          <w:tcPr>
            <w:tcW w:w="8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D859987" w14:textId="679C87F0" w:rsidR="005F4C5E" w:rsidRDefault="005F4C5E" w:rsidP="005F4C5E">
            <w:pPr>
              <w:pStyle w:val="TableDataEntries"/>
            </w:pPr>
            <w:r>
              <w:t>- 28.7</w:t>
            </w:r>
          </w:p>
        </w:tc>
      </w:tr>
      <w:tr w:rsidR="005F4C5E" w14:paraId="2051F212" w14:textId="77777777">
        <w:trPr>
          <w:trHeight w:val="245"/>
        </w:trPr>
        <w:tc>
          <w:tcPr>
            <w:tcW w:w="11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05C2D0" w14:textId="77777777" w:rsidR="005F4C5E" w:rsidRDefault="005F4C5E" w:rsidP="005F4C5E">
            <w:pPr>
              <w:pStyle w:val="TableDataEntries"/>
              <w:jc w:val="left"/>
            </w:pPr>
            <w:r>
              <w:t>Avoided GHG emissions – electricity</w:t>
            </w:r>
          </w:p>
        </w:tc>
        <w:tc>
          <w:tcPr>
            <w:tcW w:w="79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20F883E" w14:textId="60E7619B" w:rsidR="005F4C5E" w:rsidRDefault="005F4C5E" w:rsidP="005F4C5E">
            <w:pPr>
              <w:pStyle w:val="TableDataEntries"/>
            </w:pPr>
            <w:r>
              <w:t xml:space="preserve"> 127.1</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8EA94D4" w14:textId="1AE95F68" w:rsidR="005F4C5E" w:rsidRDefault="005F4C5E" w:rsidP="005F4C5E">
            <w:pPr>
              <w:pStyle w:val="TableDataEntries"/>
            </w:pPr>
            <w:r>
              <w:t xml:space="preserve"> 247.6</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A5C6ED9" w14:textId="7937DC1B" w:rsidR="005F4C5E" w:rsidRDefault="005F4C5E" w:rsidP="005F4C5E">
            <w:pPr>
              <w:pStyle w:val="TableDataEntries"/>
            </w:pPr>
            <w:r>
              <w:t xml:space="preserve"> 540.5</w:t>
            </w:r>
          </w:p>
        </w:tc>
        <w:tc>
          <w:tcPr>
            <w:tcW w:w="79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715288B" w14:textId="03857CEA" w:rsidR="005F4C5E" w:rsidRDefault="005F4C5E" w:rsidP="005F4C5E">
            <w:pPr>
              <w:pStyle w:val="TableDataEntries"/>
            </w:pPr>
            <w:r>
              <w:t xml:space="preserve"> 188.5</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1C10855" w14:textId="65D80322" w:rsidR="005F4C5E" w:rsidRDefault="005F4C5E" w:rsidP="005F4C5E">
            <w:pPr>
              <w:pStyle w:val="TableDataEntries"/>
            </w:pPr>
            <w:r>
              <w:t xml:space="preserve"> 79.5</w:t>
            </w:r>
          </w:p>
        </w:tc>
        <w:tc>
          <w:tcPr>
            <w:tcW w:w="79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5696253" w14:textId="4A111A8E" w:rsidR="005F4C5E" w:rsidRDefault="005F4C5E" w:rsidP="005F4C5E">
            <w:pPr>
              <w:pStyle w:val="TableDataEntries"/>
            </w:pPr>
            <w:r>
              <w:t xml:space="preserve"> 1.6</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6EDBB88" w14:textId="3797F0C9" w:rsidR="005F4C5E" w:rsidRDefault="005F4C5E" w:rsidP="005F4C5E">
            <w:pPr>
              <w:pStyle w:val="TableDataEntries"/>
            </w:pPr>
            <w:r>
              <w:t xml:space="preserve"> 5.5</w:t>
            </w:r>
          </w:p>
        </w:tc>
        <w:tc>
          <w:tcPr>
            <w:tcW w:w="92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9401EC8" w14:textId="3A2FB2F6" w:rsidR="005F4C5E" w:rsidRDefault="005F4C5E" w:rsidP="005F4C5E">
            <w:pPr>
              <w:pStyle w:val="TableDataEntries"/>
            </w:pPr>
            <w:r>
              <w:t xml:space="preserve"> 59.3</w:t>
            </w:r>
          </w:p>
        </w:tc>
        <w:tc>
          <w:tcPr>
            <w:tcW w:w="8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BE9B859" w14:textId="0F761396" w:rsidR="005F4C5E" w:rsidRDefault="005F4C5E" w:rsidP="005F4C5E">
            <w:pPr>
              <w:pStyle w:val="TableDataEntries"/>
            </w:pPr>
            <w:r>
              <w:t>1 249.6</w:t>
            </w:r>
          </w:p>
        </w:tc>
      </w:tr>
      <w:tr w:rsidR="005F4C5E" w14:paraId="58807095" w14:textId="77777777">
        <w:trPr>
          <w:trHeight w:val="245"/>
        </w:trPr>
        <w:tc>
          <w:tcPr>
            <w:tcW w:w="11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C057D0" w14:textId="77777777" w:rsidR="005F4C5E" w:rsidRDefault="005F4C5E" w:rsidP="005F4C5E">
            <w:pPr>
              <w:pStyle w:val="TableDataEntries"/>
              <w:jc w:val="left"/>
            </w:pPr>
            <w:r>
              <w:t>Avoided GHG emissions — electricity exported</w:t>
            </w:r>
          </w:p>
        </w:tc>
        <w:tc>
          <w:tcPr>
            <w:tcW w:w="79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7F56DAD" w14:textId="2E34EAD1" w:rsidR="005F4C5E" w:rsidRDefault="005F4C5E" w:rsidP="005F4C5E">
            <w:pPr>
              <w:pStyle w:val="TableDataEntries"/>
            </w:pPr>
            <w:r>
              <w:t xml:space="preserve"> 9.4</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D7D58A6" w14:textId="7484254A" w:rsidR="005F4C5E" w:rsidRDefault="005F4C5E" w:rsidP="005F4C5E">
            <w:pPr>
              <w:pStyle w:val="TableDataEntries"/>
            </w:pPr>
            <w:r>
              <w:t xml:space="preserve"> 25.6</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CBE97C5" w14:textId="2AEDD585" w:rsidR="005F4C5E" w:rsidRDefault="005F4C5E" w:rsidP="005F4C5E">
            <w:pPr>
              <w:pStyle w:val="TableDataEntries"/>
            </w:pPr>
            <w:r>
              <w:t xml:space="preserve"> 19.1</w:t>
            </w:r>
          </w:p>
        </w:tc>
        <w:tc>
          <w:tcPr>
            <w:tcW w:w="79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6D134A3" w14:textId="057E4530" w:rsidR="005F4C5E" w:rsidRDefault="005F4C5E" w:rsidP="005F4C5E">
            <w:pPr>
              <w:pStyle w:val="TableDataEntries"/>
            </w:pPr>
            <w:r>
              <w:t xml:space="preserve"> 9.7</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2DD236A" w14:textId="686E19A6" w:rsidR="005F4C5E" w:rsidRDefault="005F4C5E" w:rsidP="005F4C5E">
            <w:pPr>
              <w:pStyle w:val="TableDataEntries"/>
            </w:pPr>
            <w:r>
              <w:t xml:space="preserve"> 5.3</w:t>
            </w:r>
          </w:p>
        </w:tc>
        <w:tc>
          <w:tcPr>
            <w:tcW w:w="79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8A456F2" w14:textId="044E764F" w:rsidR="005F4C5E" w:rsidRDefault="005F4C5E" w:rsidP="005F4C5E">
            <w:pPr>
              <w:pStyle w:val="TableDataEntries"/>
            </w:pPr>
            <w:r>
              <w:t xml:space="preserve"> 0.1</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3A88006" w14:textId="700739F5" w:rsidR="005F4C5E" w:rsidRDefault="005F4C5E" w:rsidP="005F4C5E">
            <w:pPr>
              <w:pStyle w:val="TableDataEntries"/>
            </w:pPr>
            <w:r>
              <w:t xml:space="preserve"> 0.5</w:t>
            </w:r>
          </w:p>
        </w:tc>
        <w:tc>
          <w:tcPr>
            <w:tcW w:w="92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2440E30" w14:textId="2CC1B997" w:rsidR="005F4C5E" w:rsidRDefault="005F4C5E" w:rsidP="005F4C5E">
            <w:pPr>
              <w:pStyle w:val="TableDataEntries"/>
            </w:pPr>
            <w:r>
              <w:t xml:space="preserve"> 0.7</w:t>
            </w:r>
          </w:p>
        </w:tc>
        <w:tc>
          <w:tcPr>
            <w:tcW w:w="8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7E1477E" w14:textId="683B5AD9" w:rsidR="005F4C5E" w:rsidRDefault="005F4C5E" w:rsidP="005F4C5E">
            <w:pPr>
              <w:pStyle w:val="TableDataEntries"/>
            </w:pPr>
            <w:r>
              <w:t xml:space="preserve"> 70.5</w:t>
            </w:r>
          </w:p>
        </w:tc>
      </w:tr>
      <w:tr w:rsidR="005F4C5E" w14:paraId="38FEB604" w14:textId="77777777">
        <w:trPr>
          <w:trHeight w:val="245"/>
        </w:trPr>
        <w:tc>
          <w:tcPr>
            <w:tcW w:w="11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6BECBA" w14:textId="77777777" w:rsidR="005F4C5E" w:rsidRDefault="005F4C5E" w:rsidP="005F4C5E">
            <w:pPr>
              <w:pStyle w:val="TableDataEntries"/>
              <w:jc w:val="left"/>
            </w:pPr>
            <w:r>
              <w:t>Avoided GHG emissions – gas</w:t>
            </w:r>
          </w:p>
        </w:tc>
        <w:tc>
          <w:tcPr>
            <w:tcW w:w="79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1658B4B" w14:textId="075628FE" w:rsidR="005F4C5E" w:rsidRDefault="005F4C5E" w:rsidP="005F4C5E">
            <w:pPr>
              <w:pStyle w:val="TableDataEntries"/>
            </w:pPr>
            <w:r>
              <w:t>- 15.3</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F9D690D" w14:textId="3C4C6FD4" w:rsidR="005F4C5E" w:rsidRDefault="005F4C5E" w:rsidP="005F4C5E">
            <w:pPr>
              <w:pStyle w:val="TableDataEntries"/>
            </w:pPr>
            <w:r>
              <w:t>- 25.5</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4D40963" w14:textId="2DFBB0B1" w:rsidR="005F4C5E" w:rsidRDefault="005F4C5E" w:rsidP="005F4C5E">
            <w:pPr>
              <w:pStyle w:val="TableDataEntries"/>
            </w:pPr>
            <w:r>
              <w:t>- 3.0</w:t>
            </w:r>
          </w:p>
        </w:tc>
        <w:tc>
          <w:tcPr>
            <w:tcW w:w="79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57909EF" w14:textId="0BE569FD" w:rsidR="005F4C5E" w:rsidRDefault="005F4C5E" w:rsidP="005F4C5E">
            <w:pPr>
              <w:pStyle w:val="TableDataEntries"/>
            </w:pPr>
            <w:r>
              <w:t>- 6.0</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F7EF009" w14:textId="0A91173D" w:rsidR="005F4C5E" w:rsidRDefault="005F4C5E" w:rsidP="005F4C5E">
            <w:pPr>
              <w:pStyle w:val="TableDataEntries"/>
            </w:pPr>
            <w:r>
              <w:t>- 4.2</w:t>
            </w:r>
          </w:p>
        </w:tc>
        <w:tc>
          <w:tcPr>
            <w:tcW w:w="79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3CB7DC8" w14:textId="427CED8B" w:rsidR="005F4C5E" w:rsidRDefault="005F4C5E" w:rsidP="005F4C5E">
            <w:pPr>
              <w:pStyle w:val="TableDataEntries"/>
            </w:pPr>
            <w:r>
              <w:t>- 1.5</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0A54CE1" w14:textId="376A093A" w:rsidR="005F4C5E" w:rsidRDefault="005F4C5E" w:rsidP="005F4C5E">
            <w:pPr>
              <w:pStyle w:val="TableDataEntries"/>
            </w:pPr>
            <w:r>
              <w:t>- 0.5</w:t>
            </w:r>
          </w:p>
        </w:tc>
        <w:tc>
          <w:tcPr>
            <w:tcW w:w="92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0832AE1" w14:textId="24CCC1AF" w:rsidR="005F4C5E" w:rsidRDefault="005F4C5E" w:rsidP="005F4C5E">
            <w:pPr>
              <w:pStyle w:val="TableDataEntries"/>
            </w:pPr>
            <w:r>
              <w:t>- 0.1</w:t>
            </w:r>
          </w:p>
        </w:tc>
        <w:tc>
          <w:tcPr>
            <w:tcW w:w="8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310DD19" w14:textId="4F05D65C" w:rsidR="005F4C5E" w:rsidRDefault="005F4C5E" w:rsidP="005F4C5E">
            <w:pPr>
              <w:pStyle w:val="TableDataEntries"/>
            </w:pPr>
            <w:r>
              <w:t>- 56.1</w:t>
            </w:r>
          </w:p>
        </w:tc>
      </w:tr>
      <w:tr w:rsidR="005F4C5E" w14:paraId="5A76489A" w14:textId="77777777">
        <w:trPr>
          <w:trHeight w:val="245"/>
        </w:trPr>
        <w:tc>
          <w:tcPr>
            <w:tcW w:w="119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E997832" w14:textId="77777777" w:rsidR="005F4C5E" w:rsidRDefault="005F4C5E" w:rsidP="005F4C5E">
            <w:pPr>
              <w:pStyle w:val="TableDataEntries"/>
              <w:jc w:val="left"/>
            </w:pPr>
            <w:r>
              <w:t>Capital costs</w:t>
            </w:r>
          </w:p>
        </w:tc>
        <w:tc>
          <w:tcPr>
            <w:tcW w:w="79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0A4DE40" w14:textId="6AA06EFF" w:rsidR="005F4C5E" w:rsidRDefault="005F4C5E" w:rsidP="005F4C5E">
            <w:pPr>
              <w:pStyle w:val="TableDataEntries"/>
            </w:pPr>
            <w:r>
              <w:t xml:space="preserve"> 67.0</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FEEE6AF" w14:textId="4DA83770" w:rsidR="005F4C5E" w:rsidRDefault="005F4C5E" w:rsidP="005F4C5E">
            <w:pPr>
              <w:pStyle w:val="TableDataEntries"/>
            </w:pPr>
            <w:r>
              <w:t xml:space="preserve"> 3.7</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B14B293" w14:textId="0EFDC5F1" w:rsidR="005F4C5E" w:rsidRDefault="005F4C5E" w:rsidP="005F4C5E">
            <w:pPr>
              <w:pStyle w:val="TableDataEntries"/>
            </w:pPr>
            <w:r>
              <w:t xml:space="preserve"> 172.6</w:t>
            </w:r>
          </w:p>
        </w:tc>
        <w:tc>
          <w:tcPr>
            <w:tcW w:w="79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4137F08" w14:textId="54D3FFF9" w:rsidR="005F4C5E" w:rsidRDefault="005F4C5E" w:rsidP="005F4C5E">
            <w:pPr>
              <w:pStyle w:val="TableDataEntries"/>
            </w:pPr>
            <w:r>
              <w:t xml:space="preserve"> 70.0</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AFD1046" w14:textId="4FC1D192" w:rsidR="005F4C5E" w:rsidRDefault="005F4C5E" w:rsidP="005F4C5E">
            <w:pPr>
              <w:pStyle w:val="TableDataEntries"/>
            </w:pPr>
            <w:r>
              <w:t xml:space="preserve"> 27.6</w:t>
            </w:r>
          </w:p>
        </w:tc>
        <w:tc>
          <w:tcPr>
            <w:tcW w:w="79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9663A60" w14:textId="44B12B19" w:rsidR="005F4C5E" w:rsidRDefault="005F4C5E" w:rsidP="005F4C5E">
            <w:pPr>
              <w:pStyle w:val="TableDataEntries"/>
            </w:pPr>
            <w:r>
              <w:t>- 2.9</w:t>
            </w:r>
          </w:p>
        </w:tc>
        <w:tc>
          <w:tcPr>
            <w:tcW w:w="79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1DA52E9" w14:textId="3916D998" w:rsidR="005F4C5E" w:rsidRDefault="005F4C5E" w:rsidP="005F4C5E">
            <w:pPr>
              <w:pStyle w:val="TableDataEntries"/>
            </w:pPr>
            <w:r>
              <w:t>- 5.2</w:t>
            </w:r>
          </w:p>
        </w:tc>
        <w:tc>
          <w:tcPr>
            <w:tcW w:w="92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FAB8CE8" w14:textId="592E6D91" w:rsidR="005F4C5E" w:rsidRDefault="005F4C5E" w:rsidP="005F4C5E">
            <w:pPr>
              <w:pStyle w:val="TableDataEntries"/>
            </w:pPr>
            <w:r>
              <w:t xml:space="preserve"> 8.8</w:t>
            </w:r>
          </w:p>
        </w:tc>
        <w:tc>
          <w:tcPr>
            <w:tcW w:w="8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3499F70" w14:textId="3B9A0454" w:rsidR="005F4C5E" w:rsidRDefault="005F4C5E" w:rsidP="005F4C5E">
            <w:pPr>
              <w:pStyle w:val="TableDataEntries"/>
            </w:pPr>
            <w:r>
              <w:t xml:space="preserve"> 341.7</w:t>
            </w:r>
          </w:p>
        </w:tc>
      </w:tr>
      <w:tr w:rsidR="005F4C5E" w:rsidRPr="005F4C5E" w14:paraId="582998CD" w14:textId="77777777">
        <w:trPr>
          <w:trHeight w:val="245"/>
        </w:trPr>
        <w:tc>
          <w:tcPr>
            <w:tcW w:w="1191"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6CC2FA3" w14:textId="77777777" w:rsidR="005F4C5E" w:rsidRPr="005F4C5E" w:rsidRDefault="005F4C5E" w:rsidP="005F4C5E">
            <w:pPr>
              <w:pStyle w:val="TableDataEntries"/>
              <w:jc w:val="left"/>
              <w:rPr>
                <w:rFonts w:ascii="Franklin Gothic Demi" w:hAnsi="Franklin Gothic Demi"/>
              </w:rPr>
            </w:pPr>
            <w:r w:rsidRPr="005F4C5E">
              <w:rPr>
                <w:rFonts w:ascii="Franklin Gothic Demi" w:hAnsi="Franklin Gothic Demi"/>
              </w:rPr>
              <w:t>Total</w:t>
            </w:r>
          </w:p>
        </w:tc>
        <w:tc>
          <w:tcPr>
            <w:tcW w:w="798"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624C4512" w14:textId="342767C5" w:rsidR="005F4C5E" w:rsidRPr="005F4C5E" w:rsidRDefault="005F4C5E" w:rsidP="005F4C5E">
            <w:pPr>
              <w:pStyle w:val="TableDataEntries"/>
              <w:rPr>
                <w:rFonts w:ascii="Franklin Gothic Demi" w:hAnsi="Franklin Gothic Demi"/>
              </w:rPr>
            </w:pPr>
            <w:r w:rsidRPr="005F4C5E">
              <w:rPr>
                <w:rFonts w:ascii="Franklin Gothic Demi" w:hAnsi="Franklin Gothic Demi"/>
              </w:rPr>
              <w:t>1 360.4</w:t>
            </w:r>
          </w:p>
        </w:tc>
        <w:tc>
          <w:tcPr>
            <w:tcW w:w="797"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2302C0F9" w14:textId="254298B7" w:rsidR="005F4C5E" w:rsidRPr="005F4C5E" w:rsidRDefault="005F4C5E" w:rsidP="005F4C5E">
            <w:pPr>
              <w:pStyle w:val="TableDataEntries"/>
              <w:rPr>
                <w:rFonts w:ascii="Franklin Gothic Demi" w:hAnsi="Franklin Gothic Demi"/>
              </w:rPr>
            </w:pPr>
            <w:r w:rsidRPr="005F4C5E">
              <w:rPr>
                <w:rFonts w:ascii="Franklin Gothic Demi" w:hAnsi="Franklin Gothic Demi"/>
              </w:rPr>
              <w:t>1 537.0</w:t>
            </w:r>
          </w:p>
        </w:tc>
        <w:tc>
          <w:tcPr>
            <w:tcW w:w="797"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3BB1C67B" w14:textId="44B177B4" w:rsidR="005F4C5E" w:rsidRPr="005F4C5E" w:rsidRDefault="005F4C5E" w:rsidP="005F4C5E">
            <w:pPr>
              <w:pStyle w:val="TableDataEntries"/>
              <w:rPr>
                <w:rFonts w:ascii="Franklin Gothic Demi" w:hAnsi="Franklin Gothic Demi"/>
              </w:rPr>
            </w:pPr>
            <w:r w:rsidRPr="005F4C5E">
              <w:rPr>
                <w:rFonts w:ascii="Franklin Gothic Demi" w:hAnsi="Franklin Gothic Demi"/>
              </w:rPr>
              <w:t>1 973.6</w:t>
            </w:r>
          </w:p>
        </w:tc>
        <w:tc>
          <w:tcPr>
            <w:tcW w:w="796"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2E18351A" w14:textId="21BCE054" w:rsidR="005F4C5E" w:rsidRPr="005F4C5E" w:rsidRDefault="005F4C5E" w:rsidP="005F4C5E">
            <w:pPr>
              <w:pStyle w:val="TableDataEntries"/>
              <w:rPr>
                <w:rFonts w:ascii="Franklin Gothic Demi" w:hAnsi="Franklin Gothic Demi"/>
              </w:rPr>
            </w:pPr>
            <w:r w:rsidRPr="005F4C5E">
              <w:rPr>
                <w:rFonts w:ascii="Franklin Gothic Demi" w:hAnsi="Franklin Gothic Demi"/>
              </w:rPr>
              <w:t>1 059.3</w:t>
            </w:r>
          </w:p>
        </w:tc>
        <w:tc>
          <w:tcPr>
            <w:tcW w:w="797"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71B9E6CE" w14:textId="45512B03" w:rsidR="005F4C5E" w:rsidRPr="005F4C5E" w:rsidRDefault="005F4C5E" w:rsidP="005F4C5E">
            <w:pPr>
              <w:pStyle w:val="TableDataEntries"/>
              <w:rPr>
                <w:rFonts w:ascii="Franklin Gothic Demi" w:hAnsi="Franklin Gothic Demi"/>
              </w:rPr>
            </w:pPr>
            <w:r w:rsidRPr="005F4C5E">
              <w:rPr>
                <w:rFonts w:ascii="Franklin Gothic Demi" w:hAnsi="Franklin Gothic Demi"/>
              </w:rPr>
              <w:t xml:space="preserve"> 514.1</w:t>
            </w:r>
          </w:p>
        </w:tc>
        <w:tc>
          <w:tcPr>
            <w:tcW w:w="796"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03D86E2B" w14:textId="558AA95C" w:rsidR="005F4C5E" w:rsidRPr="005F4C5E" w:rsidRDefault="005F4C5E" w:rsidP="005F4C5E">
            <w:pPr>
              <w:pStyle w:val="TableDataEntries"/>
              <w:rPr>
                <w:rFonts w:ascii="Franklin Gothic Demi" w:hAnsi="Franklin Gothic Demi"/>
              </w:rPr>
            </w:pPr>
            <w:r w:rsidRPr="005F4C5E">
              <w:rPr>
                <w:rFonts w:ascii="Franklin Gothic Demi" w:hAnsi="Franklin Gothic Demi"/>
              </w:rPr>
              <w:t xml:space="preserve"> 111.3</w:t>
            </w:r>
          </w:p>
        </w:tc>
        <w:tc>
          <w:tcPr>
            <w:tcW w:w="797"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21070884" w14:textId="067A50F3" w:rsidR="005F4C5E" w:rsidRPr="005F4C5E" w:rsidRDefault="005F4C5E" w:rsidP="005F4C5E">
            <w:pPr>
              <w:pStyle w:val="TableDataEntries"/>
              <w:rPr>
                <w:rFonts w:ascii="Franklin Gothic Demi" w:hAnsi="Franklin Gothic Demi"/>
              </w:rPr>
            </w:pPr>
            <w:r w:rsidRPr="005F4C5E">
              <w:rPr>
                <w:rFonts w:ascii="Franklin Gothic Demi" w:hAnsi="Franklin Gothic Demi"/>
              </w:rPr>
              <w:t xml:space="preserve"> 65.2</w:t>
            </w:r>
          </w:p>
        </w:tc>
        <w:tc>
          <w:tcPr>
            <w:tcW w:w="928"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25DE7FD4" w14:textId="57DB68A2" w:rsidR="005F4C5E" w:rsidRPr="005F4C5E" w:rsidRDefault="005F4C5E" w:rsidP="005F4C5E">
            <w:pPr>
              <w:pStyle w:val="TableDataEntries"/>
              <w:rPr>
                <w:rFonts w:ascii="Franklin Gothic Demi" w:hAnsi="Franklin Gothic Demi"/>
              </w:rPr>
            </w:pPr>
            <w:r w:rsidRPr="005F4C5E">
              <w:rPr>
                <w:rFonts w:ascii="Franklin Gothic Demi" w:hAnsi="Franklin Gothic Demi"/>
              </w:rPr>
              <w:t xml:space="preserve"> 218.9</w:t>
            </w:r>
          </w:p>
        </w:tc>
        <w:tc>
          <w:tcPr>
            <w:tcW w:w="808"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63DAB39E" w14:textId="085CAC64" w:rsidR="005F4C5E" w:rsidRPr="005F4C5E" w:rsidRDefault="005F4C5E" w:rsidP="005F4C5E">
            <w:pPr>
              <w:pStyle w:val="TableDataEntries"/>
              <w:rPr>
                <w:rFonts w:ascii="Franklin Gothic Demi" w:hAnsi="Franklin Gothic Demi"/>
              </w:rPr>
            </w:pPr>
            <w:r w:rsidRPr="005F4C5E">
              <w:rPr>
                <w:rFonts w:ascii="Franklin Gothic Demi" w:hAnsi="Franklin Gothic Demi"/>
              </w:rPr>
              <w:t>6 839.8</w:t>
            </w:r>
          </w:p>
        </w:tc>
      </w:tr>
    </w:tbl>
    <w:p w14:paraId="4ED7D999" w14:textId="77777777" w:rsidR="006568C5" w:rsidRDefault="006568C5" w:rsidP="006568C5">
      <w:pPr>
        <w:pStyle w:val="Note"/>
      </w:pPr>
      <w:r w:rsidRPr="007D1B4F">
        <w:rPr>
          <w:i/>
        </w:rPr>
        <w:t>Note:</w:t>
      </w:r>
      <w:r w:rsidRPr="00E879B8">
        <w:t xml:space="preserve"> </w:t>
      </w:r>
      <w:r>
        <w:t>Estimates presented in net present value terms over an assumed 50-year life of all buildings constructed over the 10 year period from 2025 to 2034, using a discount rate of 5 per cent.</w:t>
      </w:r>
    </w:p>
    <w:p w14:paraId="49C3965A" w14:textId="77777777" w:rsidR="006568C5" w:rsidRPr="00B215DD" w:rsidRDefault="006568C5" w:rsidP="006568C5">
      <w:pPr>
        <w:pStyle w:val="Source"/>
      </w:pPr>
      <w:r w:rsidRPr="00B215DD">
        <w:t>Source: CIE based on DeltaQ modelling.</w:t>
      </w:r>
    </w:p>
    <w:p w14:paraId="6F6BD761" w14:textId="77777777" w:rsidR="006568C5" w:rsidRPr="00844A6E" w:rsidRDefault="006568C5" w:rsidP="006568C5">
      <w:pPr>
        <w:pStyle w:val="BodyText"/>
        <w:rPr>
          <w:szCs w:val="22"/>
          <w:lang w:eastAsia="en-US"/>
        </w:rPr>
      </w:pPr>
      <w:r w:rsidRPr="00844A6E">
        <w:rPr>
          <w:szCs w:val="22"/>
          <w:lang w:eastAsia="en-US"/>
        </w:rPr>
        <w:t>Under Stringency Level 1:</w:t>
      </w:r>
    </w:p>
    <w:p w14:paraId="17329888" w14:textId="77777777" w:rsidR="006568C5" w:rsidRPr="00C872F7" w:rsidRDefault="006568C5" w:rsidP="006568C5">
      <w:pPr>
        <w:pStyle w:val="ListBullet"/>
        <w:tabs>
          <w:tab w:val="num" w:pos="709"/>
        </w:tabs>
      </w:pPr>
      <w:r w:rsidRPr="00C872F7">
        <w:t>There would be a significant reduction in electricity consumption and therefore electricity</w:t>
      </w:r>
      <w:r w:rsidRPr="00C872F7">
        <w:noBreakHyphen/>
        <w:t>related costs, including reduced GHG emissions.</w:t>
      </w:r>
    </w:p>
    <w:p w14:paraId="0B12494A" w14:textId="77777777" w:rsidR="006568C5" w:rsidRPr="00C872F7" w:rsidRDefault="006568C5" w:rsidP="006568C5">
      <w:pPr>
        <w:pStyle w:val="ListBullet"/>
        <w:tabs>
          <w:tab w:val="num" w:pos="709"/>
        </w:tabs>
      </w:pPr>
      <w:r w:rsidRPr="00C872F7">
        <w:t>There would also be a small increase in electricity exported to the grid — although there is no mandatory requirement for rooftop solar under Stringency Level 1, our base case assumes some voluntary uptake of solar. The increase in the minimum energy efficiency standards would result in these buildings consuming less energy, meaning more of the energy generated from the rooftop solar would be available for export.</w:t>
      </w:r>
    </w:p>
    <w:p w14:paraId="579251FB" w14:textId="77777777" w:rsidR="006568C5" w:rsidRPr="00C872F7" w:rsidRDefault="006568C5" w:rsidP="006568C5">
      <w:pPr>
        <w:pStyle w:val="ListBullet"/>
        <w:tabs>
          <w:tab w:val="num" w:pos="709"/>
        </w:tabs>
      </w:pPr>
      <w:r w:rsidRPr="00C872F7">
        <w:t>Electricity</w:t>
      </w:r>
      <w:r w:rsidRPr="00C872F7">
        <w:noBreakHyphen/>
        <w:t>related savings would be partly offset by a relatively small increase in gas consumption and a corresponding increase in GHG emissions.</w:t>
      </w:r>
    </w:p>
    <w:p w14:paraId="235FE992" w14:textId="77777777" w:rsidR="006568C5" w:rsidRPr="00C872F7" w:rsidRDefault="006568C5" w:rsidP="006568C5">
      <w:pPr>
        <w:pStyle w:val="ListBullet"/>
        <w:tabs>
          <w:tab w:val="num" w:pos="709"/>
        </w:tabs>
      </w:pPr>
      <w:r w:rsidRPr="00C872F7">
        <w:t>It is estimated that the improvements in energy efficiency could be achieved with lower capital</w:t>
      </w:r>
      <w:r w:rsidRPr="00C872F7">
        <w:noBreakHyphen/>
        <w:t>related costs than under the base case.</w:t>
      </w:r>
    </w:p>
    <w:p w14:paraId="31904248" w14:textId="77777777" w:rsidR="006568C5" w:rsidRDefault="006568C5" w:rsidP="006568C5">
      <w:pPr>
        <w:pStyle w:val="Heading4"/>
        <w:rPr>
          <w:lang w:bidi="fa-IR"/>
        </w:rPr>
      </w:pPr>
      <w:r>
        <w:rPr>
          <w:lang w:bidi="fa-IR"/>
        </w:rPr>
        <w:t>Stringency Level 2: Cost-effective energy efficiency standards with mandated on-site PV</w:t>
      </w:r>
    </w:p>
    <w:p w14:paraId="064B9F7F" w14:textId="0BB31946" w:rsidR="006568C5" w:rsidRPr="00844A6E" w:rsidRDefault="006568C5" w:rsidP="006568C5">
      <w:pPr>
        <w:pStyle w:val="BodyText"/>
        <w:rPr>
          <w:szCs w:val="22"/>
          <w:lang w:bidi="fa-IR"/>
        </w:rPr>
      </w:pPr>
      <w:r w:rsidRPr="00844A6E">
        <w:rPr>
          <w:szCs w:val="22"/>
          <w:lang w:bidi="fa-IR"/>
        </w:rPr>
        <w:t>The aggregate impacts of the proposed increase in the minimum energy efficiency standards and mandatory rooftop solar by state and territory are summarised in table </w:t>
      </w:r>
      <w:r>
        <w:rPr>
          <w:szCs w:val="22"/>
          <w:lang w:bidi="fa-IR"/>
        </w:rPr>
        <w:fldChar w:fldCharType="begin"/>
      </w:r>
      <w:r>
        <w:rPr>
          <w:szCs w:val="22"/>
          <w:lang w:bidi="fa-IR"/>
        </w:rPr>
        <w:instrText xml:space="preserve"> REF _Caption8310 </w:instrText>
      </w:r>
      <w:r>
        <w:rPr>
          <w:szCs w:val="22"/>
          <w:lang w:bidi="fa-IR"/>
        </w:rPr>
        <w:fldChar w:fldCharType="separate"/>
      </w:r>
      <w:r w:rsidR="006E00A7">
        <w:rPr>
          <w:noProof/>
        </w:rPr>
        <w:t>7</w:t>
      </w:r>
      <w:r w:rsidR="006E00A7" w:rsidRPr="006F0F88">
        <w:rPr>
          <w:noProof/>
        </w:rPr>
        <w:t>.</w:t>
      </w:r>
      <w:r w:rsidR="006E00A7">
        <w:rPr>
          <w:noProof/>
        </w:rPr>
        <w:t>7</w:t>
      </w:r>
      <w:r>
        <w:rPr>
          <w:szCs w:val="22"/>
          <w:lang w:bidi="fa-IR"/>
        </w:rPr>
        <w:fldChar w:fldCharType="end"/>
      </w:r>
      <w:r w:rsidRPr="00844A6E">
        <w:rPr>
          <w:szCs w:val="22"/>
          <w:lang w:bidi="fa-IR"/>
        </w:rPr>
        <w:t xml:space="preserve">. At the national level, the proposed increase in the minimum energy efficiency standards is estimated to deliver a net benefit of around </w:t>
      </w:r>
      <w:r w:rsidRPr="00844A6E">
        <w:rPr>
          <w:b/>
          <w:bCs/>
          <w:szCs w:val="22"/>
          <w:lang w:bidi="fa-IR"/>
        </w:rPr>
        <w:t>$</w:t>
      </w:r>
      <w:r w:rsidR="00980770">
        <w:rPr>
          <w:b/>
          <w:bCs/>
          <w:szCs w:val="22"/>
          <w:lang w:bidi="fa-IR"/>
        </w:rPr>
        <w:t>10.1</w:t>
      </w:r>
      <w:r w:rsidRPr="00844A6E">
        <w:rPr>
          <w:b/>
          <w:bCs/>
          <w:szCs w:val="22"/>
          <w:lang w:bidi="fa-IR"/>
        </w:rPr>
        <w:t> billion</w:t>
      </w:r>
      <w:r w:rsidRPr="00844A6E">
        <w:rPr>
          <w:szCs w:val="22"/>
          <w:lang w:bidi="fa-IR"/>
        </w:rPr>
        <w:t xml:space="preserve"> in net present value terms over the 50-year life of buildings constructed over the 10-year period from 2025, using a discount rate of 5 per cent.</w:t>
      </w:r>
    </w:p>
    <w:p w14:paraId="1E328EB9" w14:textId="709CBE18" w:rsidR="006568C5" w:rsidRPr="006F0F88" w:rsidRDefault="006568C5" w:rsidP="006568C5">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EA6E4C">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A6E4C">
          <w:rPr>
            <w:noProof/>
          </w:rPr>
          <w:instrText>7</w:instrText>
        </w:r>
      </w:fldSimple>
      <w:r w:rsidRPr="006F0F88">
        <w:instrText xml:space="preserve"> = 0 "" "</w:instrText>
      </w:r>
      <w:fldSimple w:instr=" STYLEREF &quot;Heading 1&quot; \l \n ">
        <w:r w:rsidR="00EA6E4C">
          <w:rPr>
            <w:noProof/>
          </w:rPr>
          <w:instrText>7</w:instrText>
        </w:r>
      </w:fldSimple>
      <w:r w:rsidRPr="006F0F88">
        <w:instrText xml:space="preserve">." </w:instrText>
      </w:r>
      <w:r w:rsidRPr="006F0F88">
        <w:fldChar w:fldCharType="separate"/>
      </w:r>
      <w:r w:rsidR="00EA6E4C">
        <w:rPr>
          <w:noProof/>
        </w:rPr>
        <w:instrText>7</w:instrText>
      </w:r>
      <w:r w:rsidR="00EA6E4C"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7</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EA6E4C">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A6E4C">
          <w:rPr>
            <w:noProof/>
          </w:rPr>
          <w:instrText>7</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EA6E4C">
        <w:rPr>
          <w:noProof/>
        </w:rPr>
        <w:instrText>7</w:instrText>
      </w:r>
      <w:r w:rsidRPr="006F0F88">
        <w:fldChar w:fldCharType="end"/>
      </w:r>
      <w:r w:rsidRPr="006F0F88">
        <w:instrText xml:space="preserve">" "" </w:instrText>
      </w:r>
      <w:r w:rsidRPr="006F0F88">
        <w:fldChar w:fldCharType="separate"/>
      </w:r>
      <w:bookmarkStart w:id="3644" w:name="_Caption6760"/>
      <w:bookmarkStart w:id="3645" w:name="_Caption3206"/>
      <w:bookmarkStart w:id="3646" w:name="_Caption2421"/>
      <w:bookmarkStart w:id="3647" w:name="_Caption0573"/>
      <w:bookmarkStart w:id="3648" w:name="_Caption3561"/>
      <w:bookmarkStart w:id="3649" w:name="_Caption1662"/>
      <w:bookmarkStart w:id="3650" w:name="_Caption7517"/>
      <w:bookmarkStart w:id="3651" w:name="_Caption3543"/>
      <w:bookmarkStart w:id="3652" w:name="_Caption7542"/>
      <w:bookmarkStart w:id="3653" w:name="_Caption5712"/>
      <w:bookmarkStart w:id="3654" w:name="_Caption1104"/>
      <w:bookmarkStart w:id="3655" w:name="_Caption8445"/>
      <w:bookmarkStart w:id="3656" w:name="_Caption5499"/>
      <w:bookmarkStart w:id="3657" w:name="_Caption6277"/>
      <w:bookmarkStart w:id="3658" w:name="_Caption3938"/>
      <w:bookmarkStart w:id="3659" w:name="_Caption6757"/>
      <w:bookmarkStart w:id="3660" w:name="_Caption5492"/>
      <w:bookmarkStart w:id="3661" w:name="_Caption2091"/>
      <w:bookmarkStart w:id="3662" w:name="_Caption3632"/>
      <w:bookmarkStart w:id="3663" w:name="_Caption8700"/>
      <w:bookmarkStart w:id="3664" w:name="_Caption6016"/>
      <w:bookmarkStart w:id="3665" w:name="_Caption1311"/>
      <w:bookmarkStart w:id="3666" w:name="_Caption8087"/>
      <w:bookmarkStart w:id="3667" w:name="_Caption6531"/>
      <w:bookmarkStart w:id="3668" w:name="_Caption5952"/>
      <w:bookmarkStart w:id="3669" w:name="_Caption3575"/>
      <w:bookmarkStart w:id="3670" w:name="_Caption5267"/>
      <w:bookmarkStart w:id="3671" w:name="_Caption8310"/>
      <w:bookmarkStart w:id="3672" w:name="_Caption9505"/>
      <w:bookmarkStart w:id="3673" w:name="_Caption8795"/>
      <w:bookmarkStart w:id="3674" w:name="_Caption5798"/>
      <w:bookmarkStart w:id="3675" w:name="_Caption2704"/>
      <w:bookmarkStart w:id="3676" w:name="_Caption3652"/>
      <w:bookmarkStart w:id="3677" w:name="_Caption2973"/>
      <w:bookmarkStart w:id="3678" w:name="_Caption9421"/>
      <w:bookmarkStart w:id="3679" w:name="_Caption9931"/>
      <w:bookmarkStart w:id="3680" w:name="_Caption9204"/>
      <w:bookmarkStart w:id="3681" w:name="_Caption5127"/>
      <w:bookmarkStart w:id="3682" w:name="_Caption8233"/>
      <w:bookmarkStart w:id="3683" w:name="_Caption4938"/>
      <w:bookmarkStart w:id="3684" w:name="_Caption0439"/>
      <w:bookmarkStart w:id="3685" w:name="_Caption9140"/>
      <w:bookmarkStart w:id="3686" w:name="_Caption1256"/>
      <w:bookmarkStart w:id="3687" w:name="_Caption9053"/>
      <w:bookmarkStart w:id="3688" w:name="_Caption9967"/>
      <w:bookmarkStart w:id="3689" w:name="_Caption2474"/>
      <w:bookmarkStart w:id="3690" w:name="_Caption8419"/>
      <w:bookmarkStart w:id="3691" w:name="_Caption3521"/>
      <w:bookmarkStart w:id="3692" w:name="_Caption9427"/>
      <w:bookmarkStart w:id="3693" w:name="_Caption6393"/>
      <w:bookmarkStart w:id="3694" w:name="_Caption5751"/>
      <w:bookmarkStart w:id="3695" w:name="_Caption1134"/>
      <w:bookmarkStart w:id="3696" w:name="_Caption4000"/>
      <w:bookmarkStart w:id="3697" w:name="_Caption2011"/>
      <w:bookmarkStart w:id="3698" w:name="_Caption6074"/>
      <w:bookmarkStart w:id="3699" w:name="_Caption0546"/>
      <w:bookmarkStart w:id="3700" w:name="_Caption4934"/>
      <w:bookmarkStart w:id="3701" w:name="_Caption4810"/>
      <w:bookmarkStart w:id="3702" w:name="_Caption7065"/>
      <w:bookmarkStart w:id="3703" w:name="_Caption9124"/>
      <w:bookmarkStart w:id="3704" w:name="_Caption7980"/>
      <w:bookmarkStart w:id="3705" w:name="_Caption3286"/>
      <w:bookmarkStart w:id="3706" w:name="_Caption3221"/>
      <w:bookmarkStart w:id="3707" w:name="_Caption8753"/>
      <w:bookmarkStart w:id="3708" w:name="_Caption1382"/>
      <w:bookmarkStart w:id="3709" w:name="_Caption7435"/>
      <w:bookmarkStart w:id="3710" w:name="_Caption6000"/>
      <w:bookmarkStart w:id="3711" w:name="_Caption1290"/>
      <w:bookmarkStart w:id="3712" w:name="_Caption0988"/>
      <w:bookmarkStart w:id="3713" w:name="_Caption9726"/>
      <w:bookmarkStart w:id="3714" w:name="_Caption3673"/>
      <w:bookmarkStart w:id="3715" w:name="_Caption6856"/>
      <w:bookmarkStart w:id="3716" w:name="_Caption2019"/>
      <w:bookmarkStart w:id="3717" w:name="_Caption3879"/>
      <w:bookmarkStart w:id="3718" w:name="_Caption2954"/>
      <w:bookmarkStart w:id="3719" w:name="_Caption1229"/>
      <w:bookmarkStart w:id="3720" w:name="_Caption6705"/>
      <w:bookmarkStart w:id="3721" w:name="_Caption4318"/>
      <w:bookmarkStart w:id="3722" w:name="_Caption4761"/>
      <w:bookmarkStart w:id="3723" w:name="_Caption7438"/>
      <w:bookmarkStart w:id="3724" w:name="_Caption4148"/>
      <w:bookmarkStart w:id="3725" w:name="_Caption8065"/>
      <w:bookmarkStart w:id="3726" w:name="_Caption9129"/>
      <w:bookmarkStart w:id="3727" w:name="_Caption5792"/>
      <w:bookmarkStart w:id="3728" w:name="_Caption1090"/>
      <w:bookmarkStart w:id="3729" w:name="_Caption9182"/>
      <w:bookmarkStart w:id="3730" w:name="_Caption9530"/>
      <w:bookmarkStart w:id="3731" w:name="_Caption7933"/>
      <w:bookmarkStart w:id="3732" w:name="_Caption7165"/>
      <w:bookmarkStart w:id="3733" w:name="_Caption3037"/>
      <w:bookmarkStart w:id="3734" w:name="_Caption8945"/>
      <w:bookmarkStart w:id="3735" w:name="_Caption7869"/>
      <w:bookmarkStart w:id="3736" w:name="_Caption9867"/>
      <w:bookmarkStart w:id="3737" w:name="_Caption4829"/>
      <w:bookmarkStart w:id="3738" w:name="_Caption3546"/>
      <w:bookmarkStart w:id="3739" w:name="_Caption9997"/>
      <w:bookmarkStart w:id="3740" w:name="_Caption6253"/>
      <w:bookmarkStart w:id="3741" w:name="_Caption6062"/>
      <w:bookmarkStart w:id="3742" w:name="_Caption1884"/>
      <w:bookmarkStart w:id="3743" w:name="_Caption0525"/>
      <w:bookmarkStart w:id="3744" w:name="_Caption3264"/>
      <w:bookmarkStart w:id="3745" w:name="_Caption6289"/>
      <w:bookmarkStart w:id="3746" w:name="_Caption4259"/>
      <w:bookmarkStart w:id="3747" w:name="_Caption4598"/>
      <w:bookmarkStart w:id="3748" w:name="_Caption6120"/>
      <w:bookmarkStart w:id="3749" w:name="_Caption1470"/>
      <w:bookmarkStart w:id="3750" w:name="_Caption8739"/>
      <w:bookmarkStart w:id="3751" w:name="_Caption9770"/>
      <w:bookmarkStart w:id="3752" w:name="_Caption5603"/>
      <w:bookmarkStart w:id="3753" w:name="_Caption0931"/>
      <w:bookmarkStart w:id="3754" w:name="_Caption2758"/>
      <w:bookmarkStart w:id="3755" w:name="_Caption4808"/>
      <w:bookmarkStart w:id="3756" w:name="_Caption4782"/>
      <w:bookmarkStart w:id="3757" w:name="_Caption2930"/>
      <w:bookmarkStart w:id="3758" w:name="_Caption2864"/>
      <w:bookmarkStart w:id="3759" w:name="_Caption5685"/>
      <w:bookmarkStart w:id="3760" w:name="_Caption4795"/>
      <w:bookmarkStart w:id="3761" w:name="_Caption1427"/>
      <w:bookmarkStart w:id="3762" w:name="_Caption4308"/>
      <w:bookmarkStart w:id="3763" w:name="_Caption5729"/>
      <w:bookmarkStart w:id="3764" w:name="_Caption4386"/>
      <w:bookmarkStart w:id="3765" w:name="_Caption3333"/>
      <w:bookmarkStart w:id="3766" w:name="_Caption6070"/>
      <w:bookmarkStart w:id="3767" w:name="_Caption2869"/>
      <w:bookmarkStart w:id="3768" w:name="_Caption5577"/>
      <w:bookmarkStart w:id="3769" w:name="_Caption0909"/>
      <w:bookmarkStart w:id="3770" w:name="_Caption0481"/>
      <w:bookmarkStart w:id="3771" w:name="_Caption7903"/>
      <w:bookmarkStart w:id="3772" w:name="_Caption6181"/>
      <w:bookmarkStart w:id="3773" w:name="_Caption8800"/>
      <w:bookmarkStart w:id="3774" w:name="_Toc177735176"/>
      <w:bookmarkStart w:id="3775" w:name="_Toc178292606"/>
      <w:r w:rsidR="008C60A3">
        <w:rPr>
          <w:noProof/>
        </w:rPr>
        <w:t>7</w:t>
      </w:r>
      <w:r w:rsidR="008C60A3" w:rsidRPr="006F0F88">
        <w:rPr>
          <w:noProof/>
        </w:rPr>
        <w:t>.</w:t>
      </w:r>
      <w:r w:rsidR="008C60A3">
        <w:rPr>
          <w:noProof/>
        </w:rPr>
        <w:t>7</w:t>
      </w:r>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r w:rsidRPr="006F0F88">
        <w:fldChar w:fldCharType="end"/>
      </w:r>
      <w:r w:rsidRPr="006F0F88">
        <w:tab/>
        <w:t>Estimated impacts by state/territory — Stringency Level 2</w:t>
      </w:r>
      <w:bookmarkEnd w:id="3774"/>
      <w:bookmarkEnd w:id="3775"/>
    </w:p>
    <w:tbl>
      <w:tblPr>
        <w:tblW w:w="8505" w:type="dxa"/>
        <w:tblLayout w:type="fixed"/>
        <w:tblLook w:val="0000" w:firstRow="0" w:lastRow="0" w:firstColumn="0" w:lastColumn="0" w:noHBand="0" w:noVBand="0"/>
        <w:tblCaption w:val="Table 6.7"/>
        <w:tblDescription w:val="Estimated impacts by state/territory — Stringency Level 2"/>
      </w:tblPr>
      <w:tblGrid>
        <w:gridCol w:w="1333"/>
        <w:gridCol w:w="779"/>
        <w:gridCol w:w="934"/>
        <w:gridCol w:w="754"/>
        <w:gridCol w:w="755"/>
        <w:gridCol w:w="831"/>
        <w:gridCol w:w="851"/>
        <w:gridCol w:w="754"/>
        <w:gridCol w:w="755"/>
        <w:gridCol w:w="759"/>
      </w:tblGrid>
      <w:tr w:rsidR="006568C5" w14:paraId="72646836" w14:textId="77777777">
        <w:trPr>
          <w:trHeight w:val="245"/>
          <w:tblHeader/>
        </w:trPr>
        <w:tc>
          <w:tcPr>
            <w:tcW w:w="1333" w:type="dxa"/>
            <w:shd w:val="clear" w:color="auto" w:fill="6F6652"/>
            <w:tcMar>
              <w:left w:w="57" w:type="dxa"/>
              <w:right w:w="57" w:type="dxa"/>
            </w:tcMar>
          </w:tcPr>
          <w:p w14:paraId="149A22E8" w14:textId="77777777" w:rsidR="006568C5" w:rsidRDefault="006568C5">
            <w:pPr>
              <w:pStyle w:val="TableDataColumnHeading"/>
              <w:jc w:val="left"/>
            </w:pPr>
            <w:r>
              <w:t>Impact</w:t>
            </w:r>
          </w:p>
        </w:tc>
        <w:tc>
          <w:tcPr>
            <w:tcW w:w="779" w:type="dxa"/>
            <w:shd w:val="clear" w:color="auto" w:fill="6F6652"/>
            <w:tcMar>
              <w:left w:w="57" w:type="dxa"/>
              <w:right w:w="57" w:type="dxa"/>
            </w:tcMar>
          </w:tcPr>
          <w:p w14:paraId="7839CDA2" w14:textId="77777777" w:rsidR="006568C5" w:rsidRDefault="006568C5">
            <w:pPr>
              <w:pStyle w:val="TableDataColumnHeading"/>
            </w:pPr>
            <w:r>
              <w:t>NSW</w:t>
            </w:r>
          </w:p>
          <w:p w14:paraId="5C92B843" w14:textId="77777777" w:rsidR="006568C5" w:rsidRDefault="006568C5">
            <w:pPr>
              <w:pStyle w:val="TableDataColumnHeading"/>
            </w:pPr>
            <w:r>
              <w:t>$ million</w:t>
            </w:r>
          </w:p>
        </w:tc>
        <w:tc>
          <w:tcPr>
            <w:tcW w:w="934" w:type="dxa"/>
            <w:shd w:val="clear" w:color="auto" w:fill="6F6652"/>
            <w:tcMar>
              <w:left w:w="57" w:type="dxa"/>
              <w:right w:w="57" w:type="dxa"/>
            </w:tcMar>
          </w:tcPr>
          <w:p w14:paraId="03B3B849" w14:textId="77777777" w:rsidR="006568C5" w:rsidRDefault="006568C5">
            <w:pPr>
              <w:pStyle w:val="TableDataColumnHeading"/>
            </w:pPr>
            <w:r>
              <w:t>VIC</w:t>
            </w:r>
          </w:p>
          <w:p w14:paraId="20B1891C" w14:textId="77777777" w:rsidR="006568C5" w:rsidRDefault="006568C5">
            <w:pPr>
              <w:pStyle w:val="TableDataColumnHeading"/>
            </w:pPr>
            <w:r>
              <w:t>$ million</w:t>
            </w:r>
          </w:p>
        </w:tc>
        <w:tc>
          <w:tcPr>
            <w:tcW w:w="754" w:type="dxa"/>
            <w:shd w:val="clear" w:color="auto" w:fill="6F6652"/>
            <w:tcMar>
              <w:left w:w="57" w:type="dxa"/>
              <w:right w:w="57" w:type="dxa"/>
            </w:tcMar>
          </w:tcPr>
          <w:p w14:paraId="55E5C0AD" w14:textId="77777777" w:rsidR="006568C5" w:rsidRDefault="006568C5">
            <w:pPr>
              <w:pStyle w:val="TableDataColumnHeading"/>
            </w:pPr>
            <w:r>
              <w:t>QLD</w:t>
            </w:r>
          </w:p>
          <w:p w14:paraId="6A1D8DF4" w14:textId="77777777" w:rsidR="006568C5" w:rsidRDefault="006568C5">
            <w:pPr>
              <w:pStyle w:val="TableDataColumnHeading"/>
            </w:pPr>
            <w:r>
              <w:t>$ million</w:t>
            </w:r>
          </w:p>
        </w:tc>
        <w:tc>
          <w:tcPr>
            <w:tcW w:w="755" w:type="dxa"/>
            <w:shd w:val="clear" w:color="auto" w:fill="6F6652"/>
            <w:tcMar>
              <w:left w:w="57" w:type="dxa"/>
              <w:right w:w="57" w:type="dxa"/>
            </w:tcMar>
          </w:tcPr>
          <w:p w14:paraId="0ADBB311" w14:textId="77777777" w:rsidR="006568C5" w:rsidRDefault="006568C5">
            <w:pPr>
              <w:pStyle w:val="TableDataColumnHeading"/>
            </w:pPr>
            <w:r>
              <w:t>WA</w:t>
            </w:r>
          </w:p>
          <w:p w14:paraId="29715C75" w14:textId="77777777" w:rsidR="006568C5" w:rsidRDefault="006568C5">
            <w:pPr>
              <w:pStyle w:val="TableDataColumnHeading"/>
            </w:pPr>
            <w:r>
              <w:t>$ million</w:t>
            </w:r>
          </w:p>
        </w:tc>
        <w:tc>
          <w:tcPr>
            <w:tcW w:w="831" w:type="dxa"/>
            <w:shd w:val="clear" w:color="auto" w:fill="6F6652"/>
            <w:tcMar>
              <w:left w:w="57" w:type="dxa"/>
              <w:right w:w="57" w:type="dxa"/>
            </w:tcMar>
          </w:tcPr>
          <w:p w14:paraId="7CF4C0B4" w14:textId="77777777" w:rsidR="006568C5" w:rsidRDefault="006568C5">
            <w:pPr>
              <w:pStyle w:val="TableDataColumnHeading"/>
            </w:pPr>
            <w:r>
              <w:t>SA</w:t>
            </w:r>
          </w:p>
          <w:p w14:paraId="5491AF2D" w14:textId="77777777" w:rsidR="006568C5" w:rsidRDefault="006568C5">
            <w:pPr>
              <w:pStyle w:val="TableDataColumnHeading"/>
            </w:pPr>
            <w:r>
              <w:t>$ million</w:t>
            </w:r>
          </w:p>
        </w:tc>
        <w:tc>
          <w:tcPr>
            <w:tcW w:w="851" w:type="dxa"/>
            <w:shd w:val="clear" w:color="auto" w:fill="6F6652"/>
            <w:tcMar>
              <w:left w:w="57" w:type="dxa"/>
              <w:right w:w="57" w:type="dxa"/>
            </w:tcMar>
          </w:tcPr>
          <w:p w14:paraId="73FA3FDD" w14:textId="77777777" w:rsidR="006568C5" w:rsidRDefault="006568C5">
            <w:pPr>
              <w:pStyle w:val="TableDataColumnHeading"/>
            </w:pPr>
            <w:r>
              <w:t>TAS</w:t>
            </w:r>
          </w:p>
          <w:p w14:paraId="6270FE6A" w14:textId="77777777" w:rsidR="006568C5" w:rsidRDefault="006568C5">
            <w:pPr>
              <w:pStyle w:val="TableDataColumnHeading"/>
            </w:pPr>
            <w:r>
              <w:t>$ million</w:t>
            </w:r>
          </w:p>
        </w:tc>
        <w:tc>
          <w:tcPr>
            <w:tcW w:w="754" w:type="dxa"/>
            <w:shd w:val="clear" w:color="auto" w:fill="6F6652"/>
            <w:tcMar>
              <w:left w:w="57" w:type="dxa"/>
              <w:right w:w="57" w:type="dxa"/>
            </w:tcMar>
          </w:tcPr>
          <w:p w14:paraId="23DD0F89" w14:textId="77777777" w:rsidR="006568C5" w:rsidRDefault="006568C5">
            <w:pPr>
              <w:pStyle w:val="TableDataColumnHeading"/>
            </w:pPr>
            <w:r>
              <w:t>ACT</w:t>
            </w:r>
          </w:p>
          <w:p w14:paraId="72A9CB3D" w14:textId="77777777" w:rsidR="006568C5" w:rsidRDefault="006568C5">
            <w:pPr>
              <w:pStyle w:val="TableDataColumnHeading"/>
            </w:pPr>
            <w:r>
              <w:t>$ million</w:t>
            </w:r>
          </w:p>
        </w:tc>
        <w:tc>
          <w:tcPr>
            <w:tcW w:w="755" w:type="dxa"/>
            <w:shd w:val="clear" w:color="auto" w:fill="6F6652"/>
            <w:tcMar>
              <w:left w:w="57" w:type="dxa"/>
              <w:right w:w="57" w:type="dxa"/>
            </w:tcMar>
          </w:tcPr>
          <w:p w14:paraId="76E6E682" w14:textId="77777777" w:rsidR="006568C5" w:rsidRDefault="006568C5">
            <w:pPr>
              <w:pStyle w:val="TableDataColumnHeading"/>
            </w:pPr>
            <w:r>
              <w:t>NT</w:t>
            </w:r>
          </w:p>
          <w:p w14:paraId="1325F31A" w14:textId="77777777" w:rsidR="006568C5" w:rsidRDefault="006568C5">
            <w:pPr>
              <w:pStyle w:val="TableDataColumnHeading"/>
            </w:pPr>
            <w:r>
              <w:t>$ million</w:t>
            </w:r>
          </w:p>
        </w:tc>
        <w:tc>
          <w:tcPr>
            <w:tcW w:w="759" w:type="dxa"/>
            <w:shd w:val="clear" w:color="auto" w:fill="6F6652"/>
            <w:tcMar>
              <w:left w:w="57" w:type="dxa"/>
              <w:right w:w="57" w:type="dxa"/>
            </w:tcMar>
          </w:tcPr>
          <w:p w14:paraId="31EBF93F" w14:textId="77777777" w:rsidR="006568C5" w:rsidRDefault="006568C5">
            <w:pPr>
              <w:pStyle w:val="TableDataColumnHeading"/>
            </w:pPr>
            <w:r>
              <w:t>Total</w:t>
            </w:r>
          </w:p>
          <w:p w14:paraId="44C5C6B2" w14:textId="77777777" w:rsidR="006568C5" w:rsidRDefault="006568C5">
            <w:pPr>
              <w:pStyle w:val="TableDataColumnHeading"/>
            </w:pPr>
            <w:r>
              <w:t>$ million</w:t>
            </w:r>
          </w:p>
        </w:tc>
      </w:tr>
      <w:tr w:rsidR="00980770" w14:paraId="0876CD82" w14:textId="77777777">
        <w:trPr>
          <w:trHeight w:val="245"/>
        </w:trPr>
        <w:tc>
          <w:tcPr>
            <w:tcW w:w="13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0FEDFBF" w14:textId="77777777" w:rsidR="00980770" w:rsidRDefault="00980770" w:rsidP="00980770">
            <w:pPr>
              <w:pStyle w:val="TableDataEntries"/>
              <w:jc w:val="left"/>
            </w:pPr>
            <w:r>
              <w:t>Avoided network capacity costs</w:t>
            </w:r>
          </w:p>
        </w:tc>
        <w:tc>
          <w:tcPr>
            <w:tcW w:w="77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CDA6D3E" w14:textId="4E799375" w:rsidR="00980770" w:rsidRDefault="00980770" w:rsidP="00980770">
            <w:pPr>
              <w:pStyle w:val="TableDataEntries"/>
            </w:pPr>
            <w:r>
              <w:t xml:space="preserve"> 497.6</w:t>
            </w:r>
          </w:p>
        </w:tc>
        <w:tc>
          <w:tcPr>
            <w:tcW w:w="9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29DA89D" w14:textId="03324C14" w:rsidR="00980770" w:rsidRDefault="00980770" w:rsidP="00980770">
            <w:pPr>
              <w:pStyle w:val="TableDataEntries"/>
            </w:pPr>
            <w:r>
              <w:t xml:space="preserve"> 414.4</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55A2E47" w14:textId="1A02C1CF" w:rsidR="00980770" w:rsidRDefault="00980770" w:rsidP="00980770">
            <w:pPr>
              <w:pStyle w:val="TableDataEntries"/>
            </w:pPr>
            <w:r>
              <w:t xml:space="preserve"> 401.7</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FAE502F" w14:textId="6B8079B3" w:rsidR="00980770" w:rsidRDefault="00980770" w:rsidP="00980770">
            <w:pPr>
              <w:pStyle w:val="TableDataEntries"/>
            </w:pPr>
            <w:r>
              <w:t xml:space="preserve"> 69.8</w:t>
            </w:r>
          </w:p>
        </w:tc>
        <w:tc>
          <w:tcPr>
            <w:tcW w:w="83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D46E553" w14:textId="6539890C" w:rsidR="00980770" w:rsidRDefault="00980770" w:rsidP="00980770">
            <w:pPr>
              <w:pStyle w:val="TableDataEntries"/>
            </w:pPr>
            <w:r>
              <w:t xml:space="preserve"> 72.0</w:t>
            </w:r>
          </w:p>
        </w:tc>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3D8A195" w14:textId="4AAC4F0C" w:rsidR="00980770" w:rsidRDefault="00980770" w:rsidP="00980770">
            <w:pPr>
              <w:pStyle w:val="TableDataEntries"/>
            </w:pPr>
            <w:r>
              <w:t xml:space="preserve"> 55.3</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8BB917E" w14:textId="66627748" w:rsidR="00980770" w:rsidRDefault="00980770" w:rsidP="00980770">
            <w:pPr>
              <w:pStyle w:val="TableDataEntries"/>
            </w:pPr>
            <w:r>
              <w:t xml:space="preserve"> 24.0</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EC969BC" w14:textId="55B510D2" w:rsidR="00980770" w:rsidRDefault="00980770" w:rsidP="00980770">
            <w:pPr>
              <w:pStyle w:val="TableDataEntries"/>
            </w:pPr>
            <w:r>
              <w:t xml:space="preserve"> 33.6</w:t>
            </w:r>
          </w:p>
        </w:tc>
        <w:tc>
          <w:tcPr>
            <w:tcW w:w="7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FEA3EC4" w14:textId="792B3CCF" w:rsidR="00980770" w:rsidRDefault="00980770" w:rsidP="00980770">
            <w:pPr>
              <w:pStyle w:val="TableDataEntries"/>
            </w:pPr>
            <w:r>
              <w:t>1 568.5</w:t>
            </w:r>
          </w:p>
        </w:tc>
      </w:tr>
      <w:tr w:rsidR="00980770" w14:paraId="57921F2C" w14:textId="77777777">
        <w:trPr>
          <w:trHeight w:val="245"/>
        </w:trPr>
        <w:tc>
          <w:tcPr>
            <w:tcW w:w="13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0B6A1B5" w14:textId="77777777" w:rsidR="00980770" w:rsidRDefault="00980770" w:rsidP="00980770">
            <w:pPr>
              <w:pStyle w:val="TableDataEntries"/>
              <w:jc w:val="left"/>
            </w:pPr>
            <w:r>
              <w:t>Avoided wholesale costs</w:t>
            </w:r>
          </w:p>
        </w:tc>
        <w:tc>
          <w:tcPr>
            <w:tcW w:w="77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966806A" w14:textId="536141D2" w:rsidR="00980770" w:rsidRDefault="00980770" w:rsidP="00980770">
            <w:pPr>
              <w:pStyle w:val="TableDataEntries"/>
            </w:pPr>
            <w:r>
              <w:t xml:space="preserve"> 861.2</w:t>
            </w:r>
          </w:p>
        </w:tc>
        <w:tc>
          <w:tcPr>
            <w:tcW w:w="9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C5905F3" w14:textId="548D95AE" w:rsidR="00980770" w:rsidRDefault="00980770" w:rsidP="00980770">
            <w:pPr>
              <w:pStyle w:val="TableDataEntries"/>
            </w:pPr>
            <w:r>
              <w:t xml:space="preserve"> 904.3</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E4611E5" w14:textId="57F892F3" w:rsidR="00980770" w:rsidRDefault="00980770" w:rsidP="00980770">
            <w:pPr>
              <w:pStyle w:val="TableDataEntries"/>
            </w:pPr>
            <w:r>
              <w:t xml:space="preserve"> 785.9</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1295722" w14:textId="514E37B2" w:rsidR="00980770" w:rsidRDefault="00980770" w:rsidP="00980770">
            <w:pPr>
              <w:pStyle w:val="TableDataEntries"/>
            </w:pPr>
            <w:r>
              <w:t xml:space="preserve"> 348.4</w:t>
            </w:r>
          </w:p>
        </w:tc>
        <w:tc>
          <w:tcPr>
            <w:tcW w:w="83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A007E21" w14:textId="780D195F" w:rsidR="00980770" w:rsidRDefault="00980770" w:rsidP="00980770">
            <w:pPr>
              <w:pStyle w:val="TableDataEntries"/>
            </w:pPr>
            <w:r>
              <w:t xml:space="preserve"> 165.5</w:t>
            </w:r>
          </w:p>
        </w:tc>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FF39C78" w14:textId="1384AD4D" w:rsidR="00980770" w:rsidRDefault="00980770" w:rsidP="00980770">
            <w:pPr>
              <w:pStyle w:val="TableDataEntries"/>
            </w:pPr>
            <w:r>
              <w:t xml:space="preserve"> 47.8</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FC67154" w14:textId="653B32D2" w:rsidR="00980770" w:rsidRDefault="00980770" w:rsidP="00980770">
            <w:pPr>
              <w:pStyle w:val="TableDataEntries"/>
            </w:pPr>
            <w:r>
              <w:t xml:space="preserve"> 43.8</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AF64CCD" w14:textId="0C5FA84B" w:rsidR="00980770" w:rsidRDefault="00980770" w:rsidP="00980770">
            <w:pPr>
              <w:pStyle w:val="TableDataEntries"/>
            </w:pPr>
            <w:r>
              <w:t xml:space="preserve"> 115.8</w:t>
            </w:r>
          </w:p>
        </w:tc>
        <w:tc>
          <w:tcPr>
            <w:tcW w:w="7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5ED3188" w14:textId="2DD74BCE" w:rsidR="00980770" w:rsidRDefault="00980770" w:rsidP="00980770">
            <w:pPr>
              <w:pStyle w:val="TableDataEntries"/>
            </w:pPr>
            <w:r>
              <w:t>3 272.7</w:t>
            </w:r>
          </w:p>
        </w:tc>
      </w:tr>
      <w:tr w:rsidR="00980770" w14:paraId="3AED14F2" w14:textId="77777777">
        <w:trPr>
          <w:trHeight w:val="245"/>
        </w:trPr>
        <w:tc>
          <w:tcPr>
            <w:tcW w:w="13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BC2C2FD" w14:textId="77777777" w:rsidR="00980770" w:rsidRDefault="00980770" w:rsidP="00980770">
            <w:pPr>
              <w:pStyle w:val="TableDataEntries"/>
              <w:jc w:val="left"/>
            </w:pPr>
            <w:r>
              <w:t>Avoided network usage costs</w:t>
            </w:r>
          </w:p>
        </w:tc>
        <w:tc>
          <w:tcPr>
            <w:tcW w:w="77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9BF1BE2" w14:textId="594F0139" w:rsidR="00980770" w:rsidRDefault="00980770" w:rsidP="00980770">
            <w:pPr>
              <w:pStyle w:val="TableDataEntries"/>
            </w:pPr>
            <w:r>
              <w:t xml:space="preserve"> 503.5</w:t>
            </w:r>
          </w:p>
        </w:tc>
        <w:tc>
          <w:tcPr>
            <w:tcW w:w="9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39D7AE0" w14:textId="50530BBB" w:rsidR="00980770" w:rsidRDefault="00980770" w:rsidP="00980770">
            <w:pPr>
              <w:pStyle w:val="TableDataEntries"/>
            </w:pPr>
            <w:r>
              <w:t>1 126.7</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B7FD20B" w14:textId="1E5F0FE4" w:rsidR="00980770" w:rsidRDefault="00980770" w:rsidP="00980770">
            <w:pPr>
              <w:pStyle w:val="TableDataEntries"/>
            </w:pPr>
            <w:r>
              <w:t xml:space="preserve"> 530.2</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1A9D4B3" w14:textId="28E58235" w:rsidR="00980770" w:rsidRDefault="00980770" w:rsidP="00980770">
            <w:pPr>
              <w:pStyle w:val="TableDataEntries"/>
            </w:pPr>
            <w:r>
              <w:t xml:space="preserve"> 843.9</w:t>
            </w:r>
          </w:p>
        </w:tc>
        <w:tc>
          <w:tcPr>
            <w:tcW w:w="83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B51B5A9" w14:textId="0F35C633" w:rsidR="00980770" w:rsidRDefault="00980770" w:rsidP="00980770">
            <w:pPr>
              <w:pStyle w:val="TableDataEntries"/>
            </w:pPr>
            <w:r>
              <w:t xml:space="preserve"> 410.9</w:t>
            </w:r>
          </w:p>
        </w:tc>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8B2FE0C" w14:textId="580961F4" w:rsidR="00980770" w:rsidRDefault="00980770" w:rsidP="00980770">
            <w:pPr>
              <w:pStyle w:val="TableDataEntries"/>
            </w:pPr>
            <w:r>
              <w:t xml:space="preserve"> 83.1</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5C8CA54" w14:textId="3CE2CA31" w:rsidR="00980770" w:rsidRDefault="00980770" w:rsidP="00980770">
            <w:pPr>
              <w:pStyle w:val="TableDataEntries"/>
            </w:pPr>
            <w:r>
              <w:t xml:space="preserve"> 43.6</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306ECA8" w14:textId="64164AB2" w:rsidR="00980770" w:rsidRDefault="00980770" w:rsidP="00980770">
            <w:pPr>
              <w:pStyle w:val="TableDataEntries"/>
            </w:pPr>
            <w:r>
              <w:t xml:space="preserve"> 54.7</w:t>
            </w:r>
          </w:p>
        </w:tc>
        <w:tc>
          <w:tcPr>
            <w:tcW w:w="7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BB1B157" w14:textId="1A87003D" w:rsidR="00980770" w:rsidRDefault="00980770" w:rsidP="00980770">
            <w:pPr>
              <w:pStyle w:val="TableDataEntries"/>
            </w:pPr>
            <w:r>
              <w:t>3 596.6</w:t>
            </w:r>
          </w:p>
        </w:tc>
      </w:tr>
      <w:tr w:rsidR="00980770" w14:paraId="10048364" w14:textId="77777777">
        <w:trPr>
          <w:trHeight w:val="245"/>
        </w:trPr>
        <w:tc>
          <w:tcPr>
            <w:tcW w:w="13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49668D" w14:textId="77777777" w:rsidR="00980770" w:rsidRDefault="00980770" w:rsidP="00980770">
            <w:pPr>
              <w:pStyle w:val="TableDataEntries"/>
              <w:jc w:val="left"/>
            </w:pPr>
            <w:r>
              <w:t>Avoided retail costs</w:t>
            </w:r>
          </w:p>
        </w:tc>
        <w:tc>
          <w:tcPr>
            <w:tcW w:w="77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EEFF281" w14:textId="320B36B6" w:rsidR="00980770" w:rsidRDefault="00980770" w:rsidP="00980770">
            <w:pPr>
              <w:pStyle w:val="TableDataEntries"/>
            </w:pPr>
            <w:r>
              <w:t xml:space="preserve"> 279.3</w:t>
            </w:r>
          </w:p>
        </w:tc>
        <w:tc>
          <w:tcPr>
            <w:tcW w:w="9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6374369" w14:textId="47B700F0" w:rsidR="00980770" w:rsidRDefault="00980770" w:rsidP="00980770">
            <w:pPr>
              <w:pStyle w:val="TableDataEntries"/>
            </w:pPr>
            <w:r>
              <w:t xml:space="preserve"> 366.8</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121F96D" w14:textId="22906176" w:rsidR="00980770" w:rsidRDefault="00980770" w:rsidP="00980770">
            <w:pPr>
              <w:pStyle w:val="TableDataEntries"/>
            </w:pPr>
            <w:r>
              <w:t xml:space="preserve"> 257.7</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F6A7BC1" w14:textId="1454E5DD" w:rsidR="00980770" w:rsidRDefault="00980770" w:rsidP="00980770">
            <w:pPr>
              <w:pStyle w:val="TableDataEntries"/>
            </w:pPr>
            <w:r>
              <w:t xml:space="preserve"> 189.3</w:t>
            </w:r>
          </w:p>
        </w:tc>
        <w:tc>
          <w:tcPr>
            <w:tcW w:w="83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31A5496" w14:textId="48FAA894" w:rsidR="00980770" w:rsidRDefault="00980770" w:rsidP="00980770">
            <w:pPr>
              <w:pStyle w:val="TableDataEntries"/>
            </w:pPr>
            <w:r>
              <w:t xml:space="preserve"> 97.2</w:t>
            </w:r>
          </w:p>
        </w:tc>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42BBE2E" w14:textId="5B814D34" w:rsidR="00980770" w:rsidRDefault="00980770" w:rsidP="00980770">
            <w:pPr>
              <w:pStyle w:val="TableDataEntries"/>
            </w:pPr>
            <w:r>
              <w:t xml:space="preserve"> 27.9</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D2BD3AF" w14:textId="47FF2B53" w:rsidR="00980770" w:rsidRDefault="00980770" w:rsidP="00980770">
            <w:pPr>
              <w:pStyle w:val="TableDataEntries"/>
            </w:pPr>
            <w:r>
              <w:t xml:space="preserve"> 16.7</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564CCC5" w14:textId="31C37BCB" w:rsidR="00980770" w:rsidRDefault="00980770" w:rsidP="00980770">
            <w:pPr>
              <w:pStyle w:val="TableDataEntries"/>
            </w:pPr>
            <w:r>
              <w:t xml:space="preserve"> 30.6</w:t>
            </w:r>
          </w:p>
        </w:tc>
        <w:tc>
          <w:tcPr>
            <w:tcW w:w="7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710867F" w14:textId="0E4FFC95" w:rsidR="00980770" w:rsidRDefault="00980770" w:rsidP="00980770">
            <w:pPr>
              <w:pStyle w:val="TableDataEntries"/>
            </w:pPr>
            <w:r>
              <w:t>1 265.7</w:t>
            </w:r>
          </w:p>
        </w:tc>
      </w:tr>
      <w:tr w:rsidR="00980770" w14:paraId="1F54F357" w14:textId="77777777">
        <w:trPr>
          <w:trHeight w:val="245"/>
        </w:trPr>
        <w:tc>
          <w:tcPr>
            <w:tcW w:w="13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8315139" w14:textId="77777777" w:rsidR="00980770" w:rsidRDefault="00980770" w:rsidP="00980770">
            <w:pPr>
              <w:pStyle w:val="TableDataEntries"/>
              <w:jc w:val="left"/>
            </w:pPr>
            <w:r>
              <w:t>Value of electricity exported to grid</w:t>
            </w:r>
          </w:p>
        </w:tc>
        <w:tc>
          <w:tcPr>
            <w:tcW w:w="77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705AC88" w14:textId="797B1F10" w:rsidR="00980770" w:rsidRDefault="00980770" w:rsidP="00980770">
            <w:pPr>
              <w:pStyle w:val="TableDataEntries"/>
            </w:pPr>
            <w:r>
              <w:t xml:space="preserve"> 76.9</w:t>
            </w:r>
          </w:p>
        </w:tc>
        <w:tc>
          <w:tcPr>
            <w:tcW w:w="9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FB8B96A" w14:textId="1E2774EE" w:rsidR="00980770" w:rsidRDefault="00980770" w:rsidP="00980770">
            <w:pPr>
              <w:pStyle w:val="TableDataEntries"/>
            </w:pPr>
            <w:r>
              <w:t xml:space="preserve"> 79.7</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CAE19D0" w14:textId="071418FD" w:rsidR="00980770" w:rsidRDefault="00980770" w:rsidP="00980770">
            <w:pPr>
              <w:pStyle w:val="TableDataEntries"/>
            </w:pPr>
            <w:r>
              <w:t xml:space="preserve"> 57.3</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E20EF3E" w14:textId="4AA4FBA6" w:rsidR="00980770" w:rsidRDefault="00980770" w:rsidP="00980770">
            <w:pPr>
              <w:pStyle w:val="TableDataEntries"/>
            </w:pPr>
            <w:r>
              <w:t xml:space="preserve"> 38.2</w:t>
            </w:r>
          </w:p>
        </w:tc>
        <w:tc>
          <w:tcPr>
            <w:tcW w:w="83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086FD95" w14:textId="3DF630BA" w:rsidR="00980770" w:rsidRDefault="00980770" w:rsidP="00980770">
            <w:pPr>
              <w:pStyle w:val="TableDataEntries"/>
            </w:pPr>
            <w:r>
              <w:t xml:space="preserve"> 15.1</w:t>
            </w:r>
          </w:p>
        </w:tc>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5BB11B9" w14:textId="3CD44A69" w:rsidR="00980770" w:rsidRDefault="00980770" w:rsidP="00980770">
            <w:pPr>
              <w:pStyle w:val="TableDataEntries"/>
            </w:pPr>
            <w:r>
              <w:t xml:space="preserve"> 9.5</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4A3C2D2" w14:textId="660B6FD4" w:rsidR="00980770" w:rsidRDefault="00980770" w:rsidP="00980770">
            <w:pPr>
              <w:pStyle w:val="TableDataEntries"/>
            </w:pPr>
            <w:r>
              <w:t xml:space="preserve"> 5.0</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975B940" w14:textId="7E986420" w:rsidR="00980770" w:rsidRDefault="00980770" w:rsidP="00980770">
            <w:pPr>
              <w:pStyle w:val="TableDataEntries"/>
            </w:pPr>
            <w:r>
              <w:t xml:space="preserve"> 9.7</w:t>
            </w:r>
          </w:p>
        </w:tc>
        <w:tc>
          <w:tcPr>
            <w:tcW w:w="7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4508041" w14:textId="1A4DE22C" w:rsidR="00980770" w:rsidRDefault="00980770" w:rsidP="00980770">
            <w:pPr>
              <w:pStyle w:val="TableDataEntries"/>
            </w:pPr>
            <w:r>
              <w:t xml:space="preserve"> 291.4</w:t>
            </w:r>
          </w:p>
        </w:tc>
      </w:tr>
      <w:tr w:rsidR="00980770" w14:paraId="7DA5D29F" w14:textId="77777777">
        <w:trPr>
          <w:trHeight w:val="245"/>
        </w:trPr>
        <w:tc>
          <w:tcPr>
            <w:tcW w:w="13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9080D26" w14:textId="77777777" w:rsidR="00980770" w:rsidRDefault="00980770" w:rsidP="00980770">
            <w:pPr>
              <w:pStyle w:val="TableDataEntries"/>
              <w:jc w:val="left"/>
            </w:pPr>
            <w:r>
              <w:t>Electricity exports — network costs</w:t>
            </w:r>
          </w:p>
        </w:tc>
        <w:tc>
          <w:tcPr>
            <w:tcW w:w="77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4ED3BA6" w14:textId="173FA3A2" w:rsidR="00980770" w:rsidRDefault="00980770" w:rsidP="00980770">
            <w:pPr>
              <w:pStyle w:val="TableDataEntries"/>
            </w:pPr>
            <w:r>
              <w:t>- 10.6</w:t>
            </w:r>
          </w:p>
        </w:tc>
        <w:tc>
          <w:tcPr>
            <w:tcW w:w="9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C164F21" w14:textId="4D1A9EE3" w:rsidR="00980770" w:rsidRDefault="00980770" w:rsidP="00980770">
            <w:pPr>
              <w:pStyle w:val="TableDataEntries"/>
            </w:pPr>
            <w:r>
              <w:t>- 13.3</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EE6A08B" w14:textId="02E432E8" w:rsidR="00980770" w:rsidRDefault="00980770" w:rsidP="00980770">
            <w:pPr>
              <w:pStyle w:val="TableDataEntries"/>
            </w:pPr>
            <w:r>
              <w:t>- 10.2</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0A9E290" w14:textId="158305FF" w:rsidR="00980770" w:rsidRDefault="00980770" w:rsidP="00980770">
            <w:pPr>
              <w:pStyle w:val="TableDataEntries"/>
            </w:pPr>
            <w:r>
              <w:t>- 6.4</w:t>
            </w:r>
          </w:p>
        </w:tc>
        <w:tc>
          <w:tcPr>
            <w:tcW w:w="83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065A812" w14:textId="6506DB4A" w:rsidR="00980770" w:rsidRDefault="00980770" w:rsidP="00980770">
            <w:pPr>
              <w:pStyle w:val="TableDataEntries"/>
            </w:pPr>
            <w:r>
              <w:t>- 3.0</w:t>
            </w:r>
          </w:p>
        </w:tc>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6ED9AD3" w14:textId="4CCA117C" w:rsidR="00980770" w:rsidRDefault="00980770" w:rsidP="00980770">
            <w:pPr>
              <w:pStyle w:val="TableDataEntries"/>
            </w:pPr>
            <w:r>
              <w:t>- 0.9</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45953CA" w14:textId="471C90E8" w:rsidR="00980770" w:rsidRDefault="00980770" w:rsidP="00980770">
            <w:pPr>
              <w:pStyle w:val="TableDataEntries"/>
            </w:pPr>
            <w:r>
              <w:t>- 0.8</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1F03CA1" w14:textId="6735FC73" w:rsidR="00980770" w:rsidRDefault="00980770" w:rsidP="00980770">
            <w:pPr>
              <w:pStyle w:val="TableDataEntries"/>
            </w:pPr>
            <w:r>
              <w:t>- 0.5</w:t>
            </w:r>
          </w:p>
        </w:tc>
        <w:tc>
          <w:tcPr>
            <w:tcW w:w="7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852DAEE" w14:textId="59AC81DF" w:rsidR="00980770" w:rsidRDefault="00980770" w:rsidP="00980770">
            <w:pPr>
              <w:pStyle w:val="TableDataEntries"/>
            </w:pPr>
            <w:r>
              <w:t>- 45.7</w:t>
            </w:r>
          </w:p>
        </w:tc>
      </w:tr>
      <w:tr w:rsidR="00980770" w14:paraId="235B456F" w14:textId="77777777">
        <w:trPr>
          <w:trHeight w:val="245"/>
        </w:trPr>
        <w:tc>
          <w:tcPr>
            <w:tcW w:w="13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8E08C2" w14:textId="77777777" w:rsidR="00980770" w:rsidRDefault="00980770" w:rsidP="00980770">
            <w:pPr>
              <w:pStyle w:val="TableDataEntries"/>
              <w:jc w:val="left"/>
            </w:pPr>
            <w:r>
              <w:t>Avoided gas costs</w:t>
            </w:r>
          </w:p>
        </w:tc>
        <w:tc>
          <w:tcPr>
            <w:tcW w:w="77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CF2E301" w14:textId="5F7CCEEE" w:rsidR="00980770" w:rsidRDefault="00980770" w:rsidP="00980770">
            <w:pPr>
              <w:pStyle w:val="TableDataEntries"/>
            </w:pPr>
            <w:r>
              <w:t>- 6.6</w:t>
            </w:r>
          </w:p>
        </w:tc>
        <w:tc>
          <w:tcPr>
            <w:tcW w:w="9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CFB5FBF" w14:textId="0041382E" w:rsidR="00980770" w:rsidRDefault="00980770" w:rsidP="00980770">
            <w:pPr>
              <w:pStyle w:val="TableDataEntries"/>
            </w:pPr>
            <w:r>
              <w:t>- 14.3</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295200A" w14:textId="7C3528C3" w:rsidR="00980770" w:rsidRDefault="00980770" w:rsidP="00980770">
            <w:pPr>
              <w:pStyle w:val="TableDataEntries"/>
            </w:pPr>
            <w:r>
              <w:t>- 1.1</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DFB1100" w14:textId="58CC6401" w:rsidR="00980770" w:rsidRDefault="00980770" w:rsidP="00980770">
            <w:pPr>
              <w:pStyle w:val="TableDataEntries"/>
            </w:pPr>
            <w:r>
              <w:t>- 3.2</w:t>
            </w:r>
          </w:p>
        </w:tc>
        <w:tc>
          <w:tcPr>
            <w:tcW w:w="83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3C80005" w14:textId="16390AC8" w:rsidR="00980770" w:rsidRDefault="00980770" w:rsidP="00980770">
            <w:pPr>
              <w:pStyle w:val="TableDataEntries"/>
            </w:pPr>
            <w:r>
              <w:t>- 2.0</w:t>
            </w:r>
          </w:p>
        </w:tc>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AB5A38D" w14:textId="56FFC099" w:rsidR="00980770" w:rsidRDefault="00980770" w:rsidP="00980770">
            <w:pPr>
              <w:pStyle w:val="TableDataEntries"/>
            </w:pPr>
            <w:r>
              <w:t>- 1.2</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55002A1" w14:textId="258A738A" w:rsidR="00980770" w:rsidRDefault="00980770" w:rsidP="00980770">
            <w:pPr>
              <w:pStyle w:val="TableDataEntries"/>
            </w:pPr>
            <w:r>
              <w:t>- 0.2</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981D35A" w14:textId="6A25C4BE" w:rsidR="00980770" w:rsidRDefault="00980770" w:rsidP="00980770">
            <w:pPr>
              <w:pStyle w:val="TableDataEntries"/>
            </w:pPr>
            <w:r>
              <w:t>- 0.1</w:t>
            </w:r>
          </w:p>
        </w:tc>
        <w:tc>
          <w:tcPr>
            <w:tcW w:w="7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495D6B9" w14:textId="16BF3883" w:rsidR="00980770" w:rsidRDefault="00980770" w:rsidP="00980770">
            <w:pPr>
              <w:pStyle w:val="TableDataEntries"/>
            </w:pPr>
            <w:r>
              <w:t>- 28.7</w:t>
            </w:r>
          </w:p>
        </w:tc>
      </w:tr>
      <w:tr w:rsidR="00980770" w14:paraId="1746BA8A" w14:textId="77777777">
        <w:trPr>
          <w:trHeight w:val="245"/>
        </w:trPr>
        <w:tc>
          <w:tcPr>
            <w:tcW w:w="13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F837F13" w14:textId="77777777" w:rsidR="00980770" w:rsidRDefault="00980770" w:rsidP="00980770">
            <w:pPr>
              <w:pStyle w:val="TableDataEntries"/>
              <w:jc w:val="left"/>
            </w:pPr>
            <w:r>
              <w:t>Avoided GHG emissions – electricity</w:t>
            </w:r>
          </w:p>
        </w:tc>
        <w:tc>
          <w:tcPr>
            <w:tcW w:w="77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2AEEE3D" w14:textId="14A4C2CE" w:rsidR="00980770" w:rsidRDefault="00980770" w:rsidP="00980770">
            <w:pPr>
              <w:pStyle w:val="TableDataEntries"/>
            </w:pPr>
            <w:r>
              <w:t xml:space="preserve"> 253.3</w:t>
            </w:r>
          </w:p>
        </w:tc>
        <w:tc>
          <w:tcPr>
            <w:tcW w:w="9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BF6A18E" w14:textId="0A20745D" w:rsidR="00980770" w:rsidRDefault="00980770" w:rsidP="00980770">
            <w:pPr>
              <w:pStyle w:val="TableDataEntries"/>
            </w:pPr>
            <w:r>
              <w:t xml:space="preserve"> 542.1</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FA0A71D" w14:textId="5F682C3D" w:rsidR="00980770" w:rsidRDefault="00980770" w:rsidP="00980770">
            <w:pPr>
              <w:pStyle w:val="TableDataEntries"/>
            </w:pPr>
            <w:r>
              <w:t xml:space="preserve"> 961.2</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137FE44" w14:textId="5F5751E1" w:rsidR="00980770" w:rsidRDefault="00980770" w:rsidP="00980770">
            <w:pPr>
              <w:pStyle w:val="TableDataEntries"/>
            </w:pPr>
            <w:r>
              <w:t xml:space="preserve"> 346.3</w:t>
            </w:r>
          </w:p>
        </w:tc>
        <w:tc>
          <w:tcPr>
            <w:tcW w:w="83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C2264EC" w14:textId="298FBBAB" w:rsidR="00980770" w:rsidRDefault="00980770" w:rsidP="00980770">
            <w:pPr>
              <w:pStyle w:val="TableDataEntries"/>
            </w:pPr>
            <w:r>
              <w:t xml:space="preserve"> 153.4</w:t>
            </w:r>
          </w:p>
        </w:tc>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E8692FD" w14:textId="6DF705FB" w:rsidR="00980770" w:rsidRDefault="00980770" w:rsidP="00980770">
            <w:pPr>
              <w:pStyle w:val="TableDataEntries"/>
            </w:pPr>
            <w:r>
              <w:t xml:space="preserve"> 3.4</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BC1EB6D" w14:textId="7056BEF3" w:rsidR="00980770" w:rsidRDefault="00980770" w:rsidP="00980770">
            <w:pPr>
              <w:pStyle w:val="TableDataEntries"/>
            </w:pPr>
            <w:r>
              <w:t xml:space="preserve"> 12.0</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9715D49" w14:textId="4E44BDA4" w:rsidR="00980770" w:rsidRDefault="00980770" w:rsidP="00980770">
            <w:pPr>
              <w:pStyle w:val="TableDataEntries"/>
            </w:pPr>
            <w:r>
              <w:t xml:space="preserve"> 95.3</w:t>
            </w:r>
          </w:p>
        </w:tc>
        <w:tc>
          <w:tcPr>
            <w:tcW w:w="7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D148532" w14:textId="3B7C0305" w:rsidR="00980770" w:rsidRDefault="00980770" w:rsidP="00980770">
            <w:pPr>
              <w:pStyle w:val="TableDataEntries"/>
            </w:pPr>
            <w:r>
              <w:t>2 366.9</w:t>
            </w:r>
          </w:p>
        </w:tc>
      </w:tr>
      <w:tr w:rsidR="00980770" w14:paraId="231870BF" w14:textId="77777777">
        <w:trPr>
          <w:trHeight w:val="245"/>
        </w:trPr>
        <w:tc>
          <w:tcPr>
            <w:tcW w:w="13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6EFEDA" w14:textId="77777777" w:rsidR="00980770" w:rsidRDefault="00980770" w:rsidP="00980770">
            <w:pPr>
              <w:pStyle w:val="TableDataEntries"/>
              <w:jc w:val="left"/>
            </w:pPr>
            <w:r>
              <w:t>Avoided GHG emissions — electricity exported</w:t>
            </w:r>
          </w:p>
        </w:tc>
        <w:tc>
          <w:tcPr>
            <w:tcW w:w="77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033A5F2" w14:textId="7198E343" w:rsidR="00980770" w:rsidRDefault="00980770" w:rsidP="00980770">
            <w:pPr>
              <w:pStyle w:val="TableDataEntries"/>
            </w:pPr>
            <w:r>
              <w:t xml:space="preserve"> 54.5</w:t>
            </w:r>
          </w:p>
        </w:tc>
        <w:tc>
          <w:tcPr>
            <w:tcW w:w="9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87209F5" w14:textId="4C021ECA" w:rsidR="00980770" w:rsidRDefault="00980770" w:rsidP="00980770">
            <w:pPr>
              <w:pStyle w:val="TableDataEntries"/>
            </w:pPr>
            <w:r>
              <w:t xml:space="preserve"> 146.6</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9F4DC10" w14:textId="03902632" w:rsidR="00980770" w:rsidRDefault="00980770" w:rsidP="00980770">
            <w:pPr>
              <w:pStyle w:val="TableDataEntries"/>
            </w:pPr>
            <w:r>
              <w:t xml:space="preserve"> 136.9</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1AB2669" w14:textId="0583CB28" w:rsidR="00980770" w:rsidRDefault="00980770" w:rsidP="00980770">
            <w:pPr>
              <w:pStyle w:val="TableDataEntries"/>
            </w:pPr>
            <w:r>
              <w:t xml:space="preserve"> 59.4</w:t>
            </w:r>
          </w:p>
        </w:tc>
        <w:tc>
          <w:tcPr>
            <w:tcW w:w="83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DED4065" w14:textId="4C91D76D" w:rsidR="00980770" w:rsidRDefault="00980770" w:rsidP="00980770">
            <w:pPr>
              <w:pStyle w:val="TableDataEntries"/>
            </w:pPr>
            <w:r>
              <w:t xml:space="preserve"> 29.9</w:t>
            </w:r>
          </w:p>
        </w:tc>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1CC29A6" w14:textId="7CCEDDC7" w:rsidR="00980770" w:rsidRDefault="00980770" w:rsidP="00980770">
            <w:pPr>
              <w:pStyle w:val="TableDataEntries"/>
            </w:pPr>
            <w:r>
              <w:t xml:space="preserve"> 0.8</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0669FAC" w14:textId="7068BDB4" w:rsidR="00980770" w:rsidRDefault="00980770" w:rsidP="00980770">
            <w:pPr>
              <w:pStyle w:val="TableDataEntries"/>
            </w:pPr>
            <w:r>
              <w:t xml:space="preserve"> 3.2</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C083F36" w14:textId="006D12A8" w:rsidR="00980770" w:rsidRDefault="00980770" w:rsidP="00980770">
            <w:pPr>
              <w:pStyle w:val="TableDataEntries"/>
            </w:pPr>
            <w:r>
              <w:t xml:space="preserve"> 8.9</w:t>
            </w:r>
          </w:p>
        </w:tc>
        <w:tc>
          <w:tcPr>
            <w:tcW w:w="7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36DB72A" w14:textId="613DCCD4" w:rsidR="00980770" w:rsidRDefault="00980770" w:rsidP="00980770">
            <w:pPr>
              <w:pStyle w:val="TableDataEntries"/>
            </w:pPr>
            <w:r>
              <w:t xml:space="preserve"> 440.2</w:t>
            </w:r>
          </w:p>
        </w:tc>
      </w:tr>
      <w:tr w:rsidR="00980770" w14:paraId="78AA673F" w14:textId="77777777">
        <w:trPr>
          <w:trHeight w:val="245"/>
        </w:trPr>
        <w:tc>
          <w:tcPr>
            <w:tcW w:w="13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BAA027C" w14:textId="77777777" w:rsidR="00980770" w:rsidRDefault="00980770" w:rsidP="00980770">
            <w:pPr>
              <w:pStyle w:val="TableDataEntries"/>
              <w:jc w:val="left"/>
            </w:pPr>
            <w:r>
              <w:t>Avoided GHG emissions – gas</w:t>
            </w:r>
          </w:p>
        </w:tc>
        <w:tc>
          <w:tcPr>
            <w:tcW w:w="77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42E4A9B" w14:textId="4A3F8F78" w:rsidR="00980770" w:rsidRDefault="00980770" w:rsidP="00980770">
            <w:pPr>
              <w:pStyle w:val="TableDataEntries"/>
            </w:pPr>
            <w:r>
              <w:t>- 15.3</w:t>
            </w:r>
          </w:p>
        </w:tc>
        <w:tc>
          <w:tcPr>
            <w:tcW w:w="9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EF0E404" w14:textId="703B7515" w:rsidR="00980770" w:rsidRDefault="00980770" w:rsidP="00980770">
            <w:pPr>
              <w:pStyle w:val="TableDataEntries"/>
            </w:pPr>
            <w:r>
              <w:t>- 25.5</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A6840C6" w14:textId="239B1682" w:rsidR="00980770" w:rsidRDefault="00980770" w:rsidP="00980770">
            <w:pPr>
              <w:pStyle w:val="TableDataEntries"/>
            </w:pPr>
            <w:r>
              <w:t>- 3.0</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C89C52B" w14:textId="1E43BDCF" w:rsidR="00980770" w:rsidRDefault="00980770" w:rsidP="00980770">
            <w:pPr>
              <w:pStyle w:val="TableDataEntries"/>
            </w:pPr>
            <w:r>
              <w:t>- 6.0</w:t>
            </w:r>
          </w:p>
        </w:tc>
        <w:tc>
          <w:tcPr>
            <w:tcW w:w="83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C5DE945" w14:textId="4435ABCC" w:rsidR="00980770" w:rsidRDefault="00980770" w:rsidP="00980770">
            <w:pPr>
              <w:pStyle w:val="TableDataEntries"/>
            </w:pPr>
            <w:r>
              <w:t>- 4.2</w:t>
            </w:r>
          </w:p>
        </w:tc>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9CAF66D" w14:textId="303DE6CD" w:rsidR="00980770" w:rsidRDefault="00980770" w:rsidP="00980770">
            <w:pPr>
              <w:pStyle w:val="TableDataEntries"/>
            </w:pPr>
            <w:r>
              <w:t>- 1.5</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A5C7ED4" w14:textId="1D9EDEA5" w:rsidR="00980770" w:rsidRDefault="00980770" w:rsidP="00980770">
            <w:pPr>
              <w:pStyle w:val="TableDataEntries"/>
            </w:pPr>
            <w:r>
              <w:t>- 0.5</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97A4C93" w14:textId="34ADD439" w:rsidR="00980770" w:rsidRDefault="00980770" w:rsidP="00980770">
            <w:pPr>
              <w:pStyle w:val="TableDataEntries"/>
            </w:pPr>
            <w:r>
              <w:t>- 0.1</w:t>
            </w:r>
          </w:p>
        </w:tc>
        <w:tc>
          <w:tcPr>
            <w:tcW w:w="7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3D8A123" w14:textId="7C515971" w:rsidR="00980770" w:rsidRDefault="00980770" w:rsidP="00980770">
            <w:pPr>
              <w:pStyle w:val="TableDataEntries"/>
            </w:pPr>
            <w:r>
              <w:t>- 56.1</w:t>
            </w:r>
          </w:p>
        </w:tc>
      </w:tr>
      <w:tr w:rsidR="00980770" w14:paraId="4CD30CF5" w14:textId="77777777">
        <w:trPr>
          <w:trHeight w:val="245"/>
        </w:trPr>
        <w:tc>
          <w:tcPr>
            <w:tcW w:w="13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C47CA2F" w14:textId="77777777" w:rsidR="00980770" w:rsidRDefault="00980770" w:rsidP="00980770">
            <w:pPr>
              <w:pStyle w:val="TableDataEntries"/>
              <w:jc w:val="left"/>
            </w:pPr>
            <w:r>
              <w:t>Capital costs</w:t>
            </w:r>
          </w:p>
        </w:tc>
        <w:tc>
          <w:tcPr>
            <w:tcW w:w="77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9242EF0" w14:textId="786BBEB4" w:rsidR="00980770" w:rsidRDefault="00980770" w:rsidP="00980770">
            <w:pPr>
              <w:pStyle w:val="TableDataEntries"/>
            </w:pPr>
            <w:r>
              <w:t>- 654.0</w:t>
            </w:r>
          </w:p>
        </w:tc>
        <w:tc>
          <w:tcPr>
            <w:tcW w:w="9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C297A10" w14:textId="3D7B0A36" w:rsidR="00980770" w:rsidRDefault="00980770" w:rsidP="00980770">
            <w:pPr>
              <w:pStyle w:val="TableDataEntries"/>
            </w:pPr>
            <w:r>
              <w:t>- 964.8</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E3C9F97" w14:textId="1DC4F4F7" w:rsidR="00980770" w:rsidRDefault="00980770" w:rsidP="00980770">
            <w:pPr>
              <w:pStyle w:val="TableDataEntries"/>
            </w:pPr>
            <w:r>
              <w:t>- 374.7</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6C32D5C" w14:textId="338595DD" w:rsidR="00980770" w:rsidRDefault="00980770" w:rsidP="00980770">
            <w:pPr>
              <w:pStyle w:val="TableDataEntries"/>
            </w:pPr>
            <w:r>
              <w:t>- 331.7</w:t>
            </w:r>
          </w:p>
        </w:tc>
        <w:tc>
          <w:tcPr>
            <w:tcW w:w="83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8B00387" w14:textId="099D67A4" w:rsidR="00980770" w:rsidRDefault="00980770" w:rsidP="00980770">
            <w:pPr>
              <w:pStyle w:val="TableDataEntries"/>
            </w:pPr>
            <w:r>
              <w:t>- 169.2</w:t>
            </w:r>
          </w:p>
        </w:tc>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3843B78" w14:textId="191E07C5" w:rsidR="00980770" w:rsidRDefault="00980770" w:rsidP="00980770">
            <w:pPr>
              <w:pStyle w:val="TableDataEntries"/>
            </w:pPr>
            <w:r>
              <w:t>- 42.2</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2EA33E0" w14:textId="5F1777F0" w:rsidR="00980770" w:rsidRDefault="00980770" w:rsidP="00980770">
            <w:pPr>
              <w:pStyle w:val="TableDataEntries"/>
            </w:pPr>
            <w:r>
              <w:t>- 41.7</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DD4E495" w14:textId="0033F8ED" w:rsidR="00980770" w:rsidRDefault="00980770" w:rsidP="00980770">
            <w:pPr>
              <w:pStyle w:val="TableDataEntries"/>
            </w:pPr>
            <w:r>
              <w:t>- 32.7</w:t>
            </w:r>
          </w:p>
        </w:tc>
        <w:tc>
          <w:tcPr>
            <w:tcW w:w="7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B51D131" w14:textId="323811C4" w:rsidR="00980770" w:rsidRDefault="00980770" w:rsidP="00980770">
            <w:pPr>
              <w:pStyle w:val="TableDataEntries"/>
            </w:pPr>
            <w:r>
              <w:t>-2 610.9</w:t>
            </w:r>
          </w:p>
        </w:tc>
      </w:tr>
      <w:tr w:rsidR="00980770" w:rsidRPr="00980770" w14:paraId="1D25F5EC" w14:textId="77777777">
        <w:trPr>
          <w:trHeight w:val="245"/>
        </w:trPr>
        <w:tc>
          <w:tcPr>
            <w:tcW w:w="133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7A4E9C5" w14:textId="77777777" w:rsidR="00980770" w:rsidRPr="00980770" w:rsidRDefault="00980770" w:rsidP="00980770">
            <w:pPr>
              <w:pStyle w:val="TableDataEntries"/>
              <w:jc w:val="left"/>
              <w:rPr>
                <w:rFonts w:ascii="Franklin Gothic Demi" w:hAnsi="Franklin Gothic Demi"/>
              </w:rPr>
            </w:pPr>
            <w:r w:rsidRPr="00980770">
              <w:rPr>
                <w:rFonts w:ascii="Franklin Gothic Demi" w:hAnsi="Franklin Gothic Demi"/>
              </w:rPr>
              <w:t>Total</w:t>
            </w:r>
          </w:p>
        </w:tc>
        <w:tc>
          <w:tcPr>
            <w:tcW w:w="779"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6CA91171" w14:textId="3FF1BFB8" w:rsidR="00980770" w:rsidRPr="00980770" w:rsidRDefault="00980770" w:rsidP="00980770">
            <w:pPr>
              <w:pStyle w:val="TableDataEntries"/>
              <w:rPr>
                <w:rFonts w:ascii="Franklin Gothic Demi" w:hAnsi="Franklin Gothic Demi"/>
              </w:rPr>
            </w:pPr>
            <w:r w:rsidRPr="00980770">
              <w:rPr>
                <w:rFonts w:ascii="Franklin Gothic Demi" w:hAnsi="Franklin Gothic Demi"/>
              </w:rPr>
              <w:t>1 839.7</w:t>
            </w:r>
          </w:p>
        </w:tc>
        <w:tc>
          <w:tcPr>
            <w:tcW w:w="934"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2D0F04F4" w14:textId="28F53B25" w:rsidR="00980770" w:rsidRPr="00980770" w:rsidRDefault="00980770" w:rsidP="00980770">
            <w:pPr>
              <w:pStyle w:val="TableDataEntries"/>
              <w:rPr>
                <w:rFonts w:ascii="Franklin Gothic Demi" w:hAnsi="Franklin Gothic Demi"/>
              </w:rPr>
            </w:pPr>
            <w:r w:rsidRPr="00980770">
              <w:rPr>
                <w:rFonts w:ascii="Franklin Gothic Demi" w:hAnsi="Franklin Gothic Demi"/>
              </w:rPr>
              <w:t>2 562.8</w:t>
            </w:r>
          </w:p>
        </w:tc>
        <w:tc>
          <w:tcPr>
            <w:tcW w:w="754"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343DC382" w14:textId="627A86E2" w:rsidR="00980770" w:rsidRPr="00980770" w:rsidRDefault="00980770" w:rsidP="00980770">
            <w:pPr>
              <w:pStyle w:val="TableDataEntries"/>
              <w:rPr>
                <w:rFonts w:ascii="Franklin Gothic Demi" w:hAnsi="Franklin Gothic Demi"/>
              </w:rPr>
            </w:pPr>
            <w:r w:rsidRPr="00980770">
              <w:rPr>
                <w:rFonts w:ascii="Franklin Gothic Demi" w:hAnsi="Franklin Gothic Demi"/>
              </w:rPr>
              <w:t>2 741.9</w:t>
            </w:r>
          </w:p>
        </w:tc>
        <w:tc>
          <w:tcPr>
            <w:tcW w:w="755"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408214EA" w14:textId="2DED03C6" w:rsidR="00980770" w:rsidRPr="00980770" w:rsidRDefault="00980770" w:rsidP="00980770">
            <w:pPr>
              <w:pStyle w:val="TableDataEntries"/>
              <w:rPr>
                <w:rFonts w:ascii="Franklin Gothic Demi" w:hAnsi="Franklin Gothic Demi"/>
              </w:rPr>
            </w:pPr>
            <w:r w:rsidRPr="00980770">
              <w:rPr>
                <w:rFonts w:ascii="Franklin Gothic Demi" w:hAnsi="Franklin Gothic Demi"/>
              </w:rPr>
              <w:t>1 548.1</w:t>
            </w:r>
          </w:p>
        </w:tc>
        <w:tc>
          <w:tcPr>
            <w:tcW w:w="831"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596921CF" w14:textId="0CF46DEB" w:rsidR="00980770" w:rsidRPr="00980770" w:rsidRDefault="00980770" w:rsidP="00980770">
            <w:pPr>
              <w:pStyle w:val="TableDataEntries"/>
              <w:rPr>
                <w:rFonts w:ascii="Franklin Gothic Demi" w:hAnsi="Franklin Gothic Demi"/>
              </w:rPr>
            </w:pPr>
            <w:r w:rsidRPr="00980770">
              <w:rPr>
                <w:rFonts w:ascii="Franklin Gothic Demi" w:hAnsi="Franklin Gothic Demi"/>
              </w:rPr>
              <w:t xml:space="preserve"> 765.6</w:t>
            </w:r>
          </w:p>
        </w:tc>
        <w:tc>
          <w:tcPr>
            <w:tcW w:w="851"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3142E302" w14:textId="0E37D08A" w:rsidR="00980770" w:rsidRPr="00980770" w:rsidRDefault="00980770" w:rsidP="00980770">
            <w:pPr>
              <w:pStyle w:val="TableDataEntries"/>
              <w:rPr>
                <w:rFonts w:ascii="Franklin Gothic Demi" w:hAnsi="Franklin Gothic Demi"/>
              </w:rPr>
            </w:pPr>
            <w:r w:rsidRPr="00980770">
              <w:rPr>
                <w:rFonts w:ascii="Franklin Gothic Demi" w:hAnsi="Franklin Gothic Demi"/>
              </w:rPr>
              <w:t xml:space="preserve"> 182.1</w:t>
            </w:r>
          </w:p>
        </w:tc>
        <w:tc>
          <w:tcPr>
            <w:tcW w:w="754"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6E0B9146" w14:textId="789F8441" w:rsidR="00980770" w:rsidRPr="00980770" w:rsidRDefault="00980770" w:rsidP="00980770">
            <w:pPr>
              <w:pStyle w:val="TableDataEntries"/>
              <w:rPr>
                <w:rFonts w:ascii="Franklin Gothic Demi" w:hAnsi="Franklin Gothic Demi"/>
              </w:rPr>
            </w:pPr>
            <w:r w:rsidRPr="00980770">
              <w:rPr>
                <w:rFonts w:ascii="Franklin Gothic Demi" w:hAnsi="Franklin Gothic Demi"/>
              </w:rPr>
              <w:t xml:space="preserve"> 105.3</w:t>
            </w:r>
          </w:p>
        </w:tc>
        <w:tc>
          <w:tcPr>
            <w:tcW w:w="755"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4CD12A8E" w14:textId="4896EC04" w:rsidR="00980770" w:rsidRPr="00980770" w:rsidRDefault="00980770" w:rsidP="00980770">
            <w:pPr>
              <w:pStyle w:val="TableDataEntries"/>
              <w:rPr>
                <w:rFonts w:ascii="Franklin Gothic Demi" w:hAnsi="Franklin Gothic Demi"/>
              </w:rPr>
            </w:pPr>
            <w:r w:rsidRPr="00980770">
              <w:rPr>
                <w:rFonts w:ascii="Franklin Gothic Demi" w:hAnsi="Franklin Gothic Demi"/>
              </w:rPr>
              <w:t xml:space="preserve"> 315.3</w:t>
            </w:r>
          </w:p>
        </w:tc>
        <w:tc>
          <w:tcPr>
            <w:tcW w:w="759"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0F5A7ACE" w14:textId="6E85ADDF" w:rsidR="00980770" w:rsidRPr="00980770" w:rsidRDefault="00980770" w:rsidP="00980770">
            <w:pPr>
              <w:pStyle w:val="TableDataEntries"/>
              <w:rPr>
                <w:rFonts w:ascii="Franklin Gothic Demi" w:hAnsi="Franklin Gothic Demi"/>
              </w:rPr>
            </w:pPr>
            <w:r w:rsidRPr="00980770">
              <w:rPr>
                <w:rFonts w:ascii="Franklin Gothic Demi" w:hAnsi="Franklin Gothic Demi"/>
              </w:rPr>
              <w:t>10 060.7</w:t>
            </w:r>
          </w:p>
        </w:tc>
      </w:tr>
    </w:tbl>
    <w:p w14:paraId="54582458" w14:textId="77777777" w:rsidR="006568C5" w:rsidRDefault="006568C5" w:rsidP="006568C5">
      <w:pPr>
        <w:pStyle w:val="Note"/>
      </w:pPr>
      <w:r w:rsidRPr="007D1B4F">
        <w:rPr>
          <w:i/>
        </w:rPr>
        <w:t>Note:</w:t>
      </w:r>
      <w:r w:rsidRPr="00E879B8">
        <w:t xml:space="preserve"> </w:t>
      </w:r>
      <w:r>
        <w:t>Estimates presented in net present value terms over an assumed 50-year life of all buildings constructed over the 10 year period from 2025 to 2034, using a discount rate of 5 per cent.</w:t>
      </w:r>
    </w:p>
    <w:p w14:paraId="547713FE" w14:textId="77777777" w:rsidR="006568C5" w:rsidRDefault="006568C5" w:rsidP="006568C5">
      <w:pPr>
        <w:pStyle w:val="Source"/>
      </w:pPr>
      <w:r>
        <w:rPr>
          <w:i/>
        </w:rPr>
        <w:t>Source</w:t>
      </w:r>
      <w:r w:rsidRPr="00E4232C">
        <w:rPr>
          <w:i/>
        </w:rPr>
        <w:t>:</w:t>
      </w:r>
      <w:r>
        <w:t xml:space="preserve"> CIE based on DeltaQ modelling.</w:t>
      </w:r>
    </w:p>
    <w:p w14:paraId="7746D0CF" w14:textId="77777777" w:rsidR="006568C5" w:rsidRPr="00844A6E" w:rsidRDefault="006568C5" w:rsidP="006568C5">
      <w:pPr>
        <w:pStyle w:val="BodyText"/>
        <w:rPr>
          <w:szCs w:val="22"/>
          <w:lang w:eastAsia="en-US"/>
        </w:rPr>
      </w:pPr>
      <w:r w:rsidRPr="00844A6E">
        <w:rPr>
          <w:szCs w:val="22"/>
          <w:lang w:eastAsia="en-US"/>
        </w:rPr>
        <w:t xml:space="preserve">Compared with Stringency Level 1, capital costs are higher (i.e. there is net increase in capital costs) reflecting the additional costs associated with installation of rooftop solar. </w:t>
      </w:r>
    </w:p>
    <w:p w14:paraId="72C597B9" w14:textId="77777777" w:rsidR="006568C5" w:rsidRPr="00844A6E" w:rsidRDefault="006568C5" w:rsidP="006568C5">
      <w:pPr>
        <w:pStyle w:val="BodyText"/>
        <w:rPr>
          <w:szCs w:val="22"/>
          <w:lang w:eastAsia="en-US"/>
        </w:rPr>
      </w:pPr>
      <w:r w:rsidRPr="00844A6E">
        <w:rPr>
          <w:szCs w:val="22"/>
          <w:lang w:eastAsia="en-US"/>
        </w:rPr>
        <w:t>However, these costs are outweighed by significant additional electricity</w:t>
      </w:r>
      <w:r w:rsidRPr="00844A6E">
        <w:rPr>
          <w:szCs w:val="22"/>
          <w:lang w:eastAsia="en-US"/>
        </w:rPr>
        <w:noBreakHyphen/>
        <w:t>related savings (including GHG emissions), due to reduced consumption of electricity from the grid and, to a lesser extent, increased export of electricity to the grid. Consumption of gas is unaffected by mandatory rooftop solar (relative to Stringency Level 1).</w:t>
      </w:r>
    </w:p>
    <w:p w14:paraId="215A7E3C" w14:textId="77777777" w:rsidR="006568C5" w:rsidRDefault="006568C5" w:rsidP="006568C5">
      <w:pPr>
        <w:pStyle w:val="Heading4"/>
        <w:rPr>
          <w:lang w:bidi="fa-IR"/>
        </w:rPr>
      </w:pPr>
      <w:r>
        <w:rPr>
          <w:lang w:bidi="fa-IR"/>
        </w:rPr>
        <w:t>Stringency Level 3: Least cost net zero carbon ready buildings</w:t>
      </w:r>
    </w:p>
    <w:p w14:paraId="27A9782C" w14:textId="4E7A6578" w:rsidR="006568C5" w:rsidRPr="00844A6E" w:rsidRDefault="006568C5" w:rsidP="006568C5">
      <w:pPr>
        <w:pStyle w:val="BodyText"/>
        <w:rPr>
          <w:szCs w:val="22"/>
          <w:lang w:bidi="fa-IR"/>
        </w:rPr>
      </w:pPr>
      <w:r w:rsidRPr="00844A6E">
        <w:rPr>
          <w:szCs w:val="22"/>
          <w:lang w:bidi="fa-IR"/>
        </w:rPr>
        <w:t>Details of the state</w:t>
      </w:r>
      <w:r w:rsidRPr="00844A6E">
        <w:rPr>
          <w:szCs w:val="22"/>
          <w:lang w:bidi="fa-IR"/>
        </w:rPr>
        <w:noBreakHyphen/>
        <w:t xml:space="preserve">level impacts for Stringency Level 3 </w:t>
      </w:r>
      <w:r>
        <w:rPr>
          <w:szCs w:val="22"/>
          <w:lang w:bidi="fa-IR"/>
        </w:rPr>
        <w:t>are</w:t>
      </w:r>
      <w:r w:rsidRPr="00844A6E">
        <w:rPr>
          <w:szCs w:val="22"/>
          <w:lang w:bidi="fa-IR"/>
        </w:rPr>
        <w:t xml:space="preserve"> summarised in table </w:t>
      </w:r>
      <w:r>
        <w:rPr>
          <w:szCs w:val="22"/>
          <w:lang w:bidi="fa-IR"/>
        </w:rPr>
        <w:fldChar w:fldCharType="begin"/>
      </w:r>
      <w:r>
        <w:rPr>
          <w:szCs w:val="22"/>
          <w:lang w:bidi="fa-IR"/>
        </w:rPr>
        <w:instrText xml:space="preserve"> REF _Caption9716 </w:instrText>
      </w:r>
      <w:r>
        <w:rPr>
          <w:szCs w:val="22"/>
          <w:lang w:bidi="fa-IR"/>
        </w:rPr>
        <w:fldChar w:fldCharType="separate"/>
      </w:r>
      <w:r w:rsidR="006E00A7">
        <w:rPr>
          <w:noProof/>
        </w:rPr>
        <w:t>7</w:t>
      </w:r>
      <w:r w:rsidR="006E00A7" w:rsidRPr="006F0F88">
        <w:rPr>
          <w:noProof/>
        </w:rPr>
        <w:t>.</w:t>
      </w:r>
      <w:r w:rsidR="006E00A7">
        <w:rPr>
          <w:noProof/>
        </w:rPr>
        <w:t>8</w:t>
      </w:r>
      <w:r>
        <w:rPr>
          <w:szCs w:val="22"/>
          <w:lang w:bidi="fa-IR"/>
        </w:rPr>
        <w:fldChar w:fldCharType="end"/>
      </w:r>
      <w:r w:rsidRPr="00844A6E">
        <w:rPr>
          <w:szCs w:val="22"/>
          <w:lang w:bidi="fa-IR"/>
        </w:rPr>
        <w:t xml:space="preserve">. At the national level, net benefits are estimated at around </w:t>
      </w:r>
      <w:r w:rsidRPr="003A1015">
        <w:rPr>
          <w:b/>
          <w:bCs/>
          <w:szCs w:val="22"/>
          <w:lang w:bidi="fa-IR"/>
        </w:rPr>
        <w:t>$</w:t>
      </w:r>
      <w:r w:rsidR="003A1015" w:rsidRPr="003A1015">
        <w:rPr>
          <w:b/>
          <w:bCs/>
          <w:szCs w:val="22"/>
          <w:lang w:bidi="fa-IR"/>
        </w:rPr>
        <w:t>9.</w:t>
      </w:r>
      <w:r w:rsidR="00C540AE">
        <w:rPr>
          <w:b/>
          <w:bCs/>
          <w:szCs w:val="22"/>
          <w:lang w:bidi="fa-IR"/>
        </w:rPr>
        <w:t>4</w:t>
      </w:r>
      <w:r w:rsidRPr="003A1015">
        <w:rPr>
          <w:b/>
          <w:bCs/>
          <w:szCs w:val="22"/>
          <w:lang w:bidi="fa-IR"/>
        </w:rPr>
        <w:t> billion</w:t>
      </w:r>
      <w:r w:rsidRPr="00844A6E">
        <w:rPr>
          <w:szCs w:val="22"/>
          <w:lang w:bidi="fa-IR"/>
        </w:rPr>
        <w:t>, slightly lower than the net</w:t>
      </w:r>
      <w:r>
        <w:rPr>
          <w:lang w:bidi="fa-IR"/>
        </w:rPr>
        <w:t xml:space="preserve"> </w:t>
      </w:r>
      <w:r w:rsidRPr="00844A6E">
        <w:rPr>
          <w:szCs w:val="22"/>
          <w:lang w:bidi="fa-IR"/>
        </w:rPr>
        <w:t xml:space="preserve">benefits of Stringency Level 2. This indicates that the incremental impact of Stringency Level 3 (compared with Stringency Level 2) is slightly negative (assuming dual fuel buildings are not required </w:t>
      </w:r>
      <w:r>
        <w:rPr>
          <w:szCs w:val="22"/>
          <w:lang w:bidi="fa-IR"/>
        </w:rPr>
        <w:t xml:space="preserve">to </w:t>
      </w:r>
      <w:r w:rsidRPr="00844A6E">
        <w:rPr>
          <w:szCs w:val="22"/>
          <w:lang w:bidi="fa-IR"/>
        </w:rPr>
        <w:t>convert to fully electric in the future).</w:t>
      </w:r>
    </w:p>
    <w:p w14:paraId="2B74088D" w14:textId="5F2C8C87" w:rsidR="006568C5" w:rsidRPr="00844A6E" w:rsidRDefault="006568C5" w:rsidP="006568C5">
      <w:pPr>
        <w:pStyle w:val="BodyText"/>
        <w:rPr>
          <w:szCs w:val="22"/>
          <w:lang w:bidi="fa-IR"/>
        </w:rPr>
      </w:pPr>
      <w:r w:rsidRPr="00844A6E">
        <w:rPr>
          <w:szCs w:val="22"/>
          <w:lang w:bidi="fa-IR"/>
        </w:rPr>
        <w:t xml:space="preserve">The incremental impact of Stringency Level 3 is relatively modest (compared to the other elements of the proposal) because only 3 of the 10 archetypes modelled (the large hotel, the large office building and large hospital ward) </w:t>
      </w:r>
      <w:r w:rsidR="00CB086E">
        <w:rPr>
          <w:szCs w:val="22"/>
          <w:lang w:bidi="fa-IR"/>
        </w:rPr>
        <w:t>were modelled as</w:t>
      </w:r>
      <w:r w:rsidRPr="00844A6E">
        <w:rPr>
          <w:szCs w:val="22"/>
          <w:lang w:bidi="fa-IR"/>
        </w:rPr>
        <w:t xml:space="preserve"> dual fuel buildings.</w:t>
      </w:r>
    </w:p>
    <w:p w14:paraId="1D78D786" w14:textId="6E5F658B" w:rsidR="006568C5" w:rsidRPr="006F0F88" w:rsidRDefault="006568C5" w:rsidP="006568C5">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EA6E4C">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A6E4C">
          <w:rPr>
            <w:noProof/>
          </w:rPr>
          <w:instrText>7</w:instrText>
        </w:r>
      </w:fldSimple>
      <w:r w:rsidRPr="006F0F88">
        <w:instrText xml:space="preserve"> = 0 "" "</w:instrText>
      </w:r>
      <w:fldSimple w:instr=" STYLEREF &quot;Heading 1&quot; \l \n ">
        <w:r w:rsidR="00EA6E4C">
          <w:rPr>
            <w:noProof/>
          </w:rPr>
          <w:instrText>7</w:instrText>
        </w:r>
      </w:fldSimple>
      <w:r w:rsidRPr="006F0F88">
        <w:instrText xml:space="preserve">." </w:instrText>
      </w:r>
      <w:r w:rsidRPr="006F0F88">
        <w:fldChar w:fldCharType="separate"/>
      </w:r>
      <w:r w:rsidR="00EA6E4C">
        <w:rPr>
          <w:noProof/>
        </w:rPr>
        <w:instrText>7</w:instrText>
      </w:r>
      <w:r w:rsidR="00EA6E4C"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7</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EA6E4C">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A6E4C">
          <w:rPr>
            <w:noProof/>
          </w:rPr>
          <w:instrText>7</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EA6E4C">
        <w:rPr>
          <w:noProof/>
        </w:rPr>
        <w:instrText>8</w:instrText>
      </w:r>
      <w:r w:rsidRPr="006F0F88">
        <w:fldChar w:fldCharType="end"/>
      </w:r>
      <w:r w:rsidRPr="006F0F88">
        <w:instrText xml:space="preserve">" "" </w:instrText>
      </w:r>
      <w:r w:rsidRPr="006F0F88">
        <w:fldChar w:fldCharType="separate"/>
      </w:r>
      <w:bookmarkStart w:id="3776" w:name="_Caption2663"/>
      <w:bookmarkStart w:id="3777" w:name="_Caption9468"/>
      <w:bookmarkStart w:id="3778" w:name="_Caption4237"/>
      <w:bookmarkStart w:id="3779" w:name="_Caption8905"/>
      <w:bookmarkStart w:id="3780" w:name="_Caption2626"/>
      <w:bookmarkStart w:id="3781" w:name="_Caption9485"/>
      <w:bookmarkStart w:id="3782" w:name="_Caption0534"/>
      <w:bookmarkStart w:id="3783" w:name="_Caption4505"/>
      <w:bookmarkStart w:id="3784" w:name="_Caption7583"/>
      <w:bookmarkStart w:id="3785" w:name="_Caption0865"/>
      <w:bookmarkStart w:id="3786" w:name="_Caption2383"/>
      <w:bookmarkStart w:id="3787" w:name="_Caption5988"/>
      <w:bookmarkStart w:id="3788" w:name="_Caption3830"/>
      <w:bookmarkStart w:id="3789" w:name="_Caption1257"/>
      <w:bookmarkStart w:id="3790" w:name="_Caption0003"/>
      <w:bookmarkStart w:id="3791" w:name="_Caption9196"/>
      <w:bookmarkStart w:id="3792" w:name="_Caption6159"/>
      <w:bookmarkStart w:id="3793" w:name="_Caption7351"/>
      <w:bookmarkStart w:id="3794" w:name="_Caption0067"/>
      <w:bookmarkStart w:id="3795" w:name="_Caption9849"/>
      <w:bookmarkStart w:id="3796" w:name="_Caption2762"/>
      <w:bookmarkStart w:id="3797" w:name="_Caption9108"/>
      <w:bookmarkStart w:id="3798" w:name="_Caption9222"/>
      <w:bookmarkStart w:id="3799" w:name="_Caption9768"/>
      <w:bookmarkStart w:id="3800" w:name="_Caption3981"/>
      <w:bookmarkStart w:id="3801" w:name="_Caption7066"/>
      <w:bookmarkStart w:id="3802" w:name="_Caption9716"/>
      <w:bookmarkStart w:id="3803" w:name="_Caption9698"/>
      <w:bookmarkStart w:id="3804" w:name="_Caption1321"/>
      <w:bookmarkStart w:id="3805" w:name="_Caption2147"/>
      <w:bookmarkStart w:id="3806" w:name="_Caption3942"/>
      <w:bookmarkStart w:id="3807" w:name="_Caption2615"/>
      <w:bookmarkStart w:id="3808" w:name="_Caption9913"/>
      <w:bookmarkStart w:id="3809" w:name="_Caption2542"/>
      <w:bookmarkStart w:id="3810" w:name="_Caption2703"/>
      <w:bookmarkStart w:id="3811" w:name="_Caption9267"/>
      <w:bookmarkStart w:id="3812" w:name="_Caption9024"/>
      <w:bookmarkStart w:id="3813" w:name="_Caption7099"/>
      <w:bookmarkStart w:id="3814" w:name="_Caption8114"/>
      <w:bookmarkStart w:id="3815" w:name="_Caption9578"/>
      <w:bookmarkStart w:id="3816" w:name="_Caption2804"/>
      <w:bookmarkStart w:id="3817" w:name="_Caption6515"/>
      <w:bookmarkStart w:id="3818" w:name="_Caption6622"/>
      <w:bookmarkStart w:id="3819" w:name="_Caption5143"/>
      <w:bookmarkStart w:id="3820" w:name="_Caption5791"/>
      <w:bookmarkStart w:id="3821" w:name="_Caption4788"/>
      <w:bookmarkStart w:id="3822" w:name="_Caption5452"/>
      <w:bookmarkStart w:id="3823" w:name="_Caption0816"/>
      <w:bookmarkStart w:id="3824" w:name="_Caption5449"/>
      <w:bookmarkStart w:id="3825" w:name="_Caption1497"/>
      <w:bookmarkStart w:id="3826" w:name="_Caption6302"/>
      <w:bookmarkStart w:id="3827" w:name="_Caption9846"/>
      <w:bookmarkStart w:id="3828" w:name="_Caption4427"/>
      <w:bookmarkStart w:id="3829" w:name="_Caption9385"/>
      <w:bookmarkStart w:id="3830" w:name="_Caption0352"/>
      <w:bookmarkStart w:id="3831" w:name="_Caption9117"/>
      <w:bookmarkStart w:id="3832" w:name="_Caption3343"/>
      <w:bookmarkStart w:id="3833" w:name="_Caption8525"/>
      <w:bookmarkStart w:id="3834" w:name="_Caption0847"/>
      <w:bookmarkStart w:id="3835" w:name="_Caption8900"/>
      <w:bookmarkStart w:id="3836" w:name="_Caption0939"/>
      <w:bookmarkStart w:id="3837" w:name="_Caption1826"/>
      <w:bookmarkStart w:id="3838" w:name="_Caption4285"/>
      <w:bookmarkStart w:id="3839" w:name="_Caption3442"/>
      <w:bookmarkStart w:id="3840" w:name="_Caption9077"/>
      <w:bookmarkStart w:id="3841" w:name="_Caption7769"/>
      <w:bookmarkStart w:id="3842" w:name="_Caption5221"/>
      <w:bookmarkStart w:id="3843" w:name="_Caption2649"/>
      <w:bookmarkStart w:id="3844" w:name="_Caption2406"/>
      <w:bookmarkStart w:id="3845" w:name="_Caption7622"/>
      <w:bookmarkStart w:id="3846" w:name="_Caption0105"/>
      <w:bookmarkStart w:id="3847" w:name="_Caption1611"/>
      <w:bookmarkStart w:id="3848" w:name="_Caption1876"/>
      <w:bookmarkStart w:id="3849" w:name="_Caption1624"/>
      <w:bookmarkStart w:id="3850" w:name="_Caption0800"/>
      <w:bookmarkStart w:id="3851" w:name="_Caption8230"/>
      <w:bookmarkStart w:id="3852" w:name="_Caption5074"/>
      <w:bookmarkStart w:id="3853" w:name="_Caption7415"/>
      <w:bookmarkStart w:id="3854" w:name="_Caption7107"/>
      <w:bookmarkStart w:id="3855" w:name="_Caption7224"/>
      <w:bookmarkStart w:id="3856" w:name="_Caption3355"/>
      <w:bookmarkStart w:id="3857" w:name="_Caption1718"/>
      <w:bookmarkStart w:id="3858" w:name="_Caption3380"/>
      <w:bookmarkStart w:id="3859" w:name="_Caption9676"/>
      <w:bookmarkStart w:id="3860" w:name="_Caption6032"/>
      <w:bookmarkStart w:id="3861" w:name="_Caption5605"/>
      <w:bookmarkStart w:id="3862" w:name="_Caption8024"/>
      <w:bookmarkStart w:id="3863" w:name="_Caption3567"/>
      <w:bookmarkStart w:id="3864" w:name="_Caption9545"/>
      <w:bookmarkStart w:id="3865" w:name="_Caption7171"/>
      <w:bookmarkStart w:id="3866" w:name="_Caption5515"/>
      <w:bookmarkStart w:id="3867" w:name="_Caption7882"/>
      <w:bookmarkStart w:id="3868" w:name="_Caption6919"/>
      <w:bookmarkStart w:id="3869" w:name="_Caption7925"/>
      <w:bookmarkStart w:id="3870" w:name="_Caption3714"/>
      <w:bookmarkStart w:id="3871" w:name="_Caption2411"/>
      <w:bookmarkStart w:id="3872" w:name="_Caption8921"/>
      <w:bookmarkStart w:id="3873" w:name="_Caption5494"/>
      <w:bookmarkStart w:id="3874" w:name="_Caption4575"/>
      <w:bookmarkStart w:id="3875" w:name="_Caption6476"/>
      <w:bookmarkStart w:id="3876" w:name="_Caption2288"/>
      <w:bookmarkStart w:id="3877" w:name="_Caption2183"/>
      <w:bookmarkStart w:id="3878" w:name="_Caption8029"/>
      <w:bookmarkStart w:id="3879" w:name="_Caption0332"/>
      <w:bookmarkStart w:id="3880" w:name="_Caption2575"/>
      <w:bookmarkStart w:id="3881" w:name="_Caption6031"/>
      <w:bookmarkStart w:id="3882" w:name="_Caption2170"/>
      <w:bookmarkStart w:id="3883" w:name="_Caption5488"/>
      <w:bookmarkStart w:id="3884" w:name="_Caption4484"/>
      <w:bookmarkStart w:id="3885" w:name="_Caption0121"/>
      <w:bookmarkStart w:id="3886" w:name="_Caption4402"/>
      <w:bookmarkStart w:id="3887" w:name="_Caption4858"/>
      <w:bookmarkStart w:id="3888" w:name="_Caption6192"/>
      <w:bookmarkStart w:id="3889" w:name="_Caption0753"/>
      <w:bookmarkStart w:id="3890" w:name="_Caption6943"/>
      <w:bookmarkStart w:id="3891" w:name="_Caption1468"/>
      <w:bookmarkStart w:id="3892" w:name="_Caption5860"/>
      <w:bookmarkStart w:id="3893" w:name="_Caption3736"/>
      <w:bookmarkStart w:id="3894" w:name="_Toc177735177"/>
      <w:bookmarkStart w:id="3895" w:name="_Toc178292607"/>
      <w:r w:rsidR="008C60A3">
        <w:rPr>
          <w:noProof/>
        </w:rPr>
        <w:t>7</w:t>
      </w:r>
      <w:r w:rsidR="008C60A3" w:rsidRPr="006F0F88">
        <w:rPr>
          <w:noProof/>
        </w:rPr>
        <w:t>.</w:t>
      </w:r>
      <w:r w:rsidR="008C60A3">
        <w:rPr>
          <w:noProof/>
        </w:rPr>
        <w:t>8</w:t>
      </w:r>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r w:rsidRPr="006F0F88">
        <w:fldChar w:fldCharType="end"/>
      </w:r>
      <w:r w:rsidRPr="006F0F88">
        <w:tab/>
        <w:t>Estimated impacts by state/territory — Stringency Level 3</w:t>
      </w:r>
      <w:bookmarkEnd w:id="3894"/>
      <w:bookmarkEnd w:id="3895"/>
    </w:p>
    <w:tbl>
      <w:tblPr>
        <w:tblW w:w="8505" w:type="dxa"/>
        <w:tblLayout w:type="fixed"/>
        <w:tblLook w:val="0000" w:firstRow="0" w:lastRow="0" w:firstColumn="0" w:lastColumn="0" w:noHBand="0" w:noVBand="0"/>
        <w:tblCaption w:val="Table 6.8 Estimated impacts by state/territory — Stringency Level 3"/>
      </w:tblPr>
      <w:tblGrid>
        <w:gridCol w:w="1333"/>
        <w:gridCol w:w="779"/>
        <w:gridCol w:w="934"/>
        <w:gridCol w:w="754"/>
        <w:gridCol w:w="755"/>
        <w:gridCol w:w="831"/>
        <w:gridCol w:w="851"/>
        <w:gridCol w:w="754"/>
        <w:gridCol w:w="755"/>
        <w:gridCol w:w="759"/>
      </w:tblGrid>
      <w:tr w:rsidR="006568C5" w14:paraId="303F5997" w14:textId="77777777">
        <w:trPr>
          <w:trHeight w:val="245"/>
          <w:tblHeader/>
        </w:trPr>
        <w:tc>
          <w:tcPr>
            <w:tcW w:w="1333" w:type="dxa"/>
            <w:shd w:val="clear" w:color="auto" w:fill="6F6652"/>
            <w:tcMar>
              <w:left w:w="57" w:type="dxa"/>
              <w:right w:w="57" w:type="dxa"/>
            </w:tcMar>
          </w:tcPr>
          <w:p w14:paraId="3FF10267" w14:textId="77777777" w:rsidR="006568C5" w:rsidRDefault="006568C5">
            <w:pPr>
              <w:pStyle w:val="TableDataColumnHeading"/>
              <w:jc w:val="left"/>
            </w:pPr>
            <w:r>
              <w:t>Impact</w:t>
            </w:r>
          </w:p>
        </w:tc>
        <w:tc>
          <w:tcPr>
            <w:tcW w:w="779" w:type="dxa"/>
            <w:shd w:val="clear" w:color="auto" w:fill="6F6652"/>
            <w:tcMar>
              <w:left w:w="57" w:type="dxa"/>
              <w:right w:w="57" w:type="dxa"/>
            </w:tcMar>
          </w:tcPr>
          <w:p w14:paraId="1BF5F147" w14:textId="77777777" w:rsidR="006568C5" w:rsidRDefault="006568C5">
            <w:pPr>
              <w:pStyle w:val="TableDataColumnHeading"/>
            </w:pPr>
            <w:r>
              <w:t>NSW</w:t>
            </w:r>
          </w:p>
          <w:p w14:paraId="4535EBB0" w14:textId="77777777" w:rsidR="006568C5" w:rsidRDefault="006568C5">
            <w:pPr>
              <w:pStyle w:val="TableDataColumnHeading"/>
            </w:pPr>
            <w:r>
              <w:t>$ million</w:t>
            </w:r>
          </w:p>
        </w:tc>
        <w:tc>
          <w:tcPr>
            <w:tcW w:w="934" w:type="dxa"/>
            <w:shd w:val="clear" w:color="auto" w:fill="6F6652"/>
            <w:tcMar>
              <w:left w:w="57" w:type="dxa"/>
              <w:right w:w="57" w:type="dxa"/>
            </w:tcMar>
          </w:tcPr>
          <w:p w14:paraId="409F8FEF" w14:textId="77777777" w:rsidR="006568C5" w:rsidRDefault="006568C5">
            <w:pPr>
              <w:pStyle w:val="TableDataColumnHeading"/>
            </w:pPr>
            <w:r>
              <w:t>VIC</w:t>
            </w:r>
          </w:p>
          <w:p w14:paraId="4461AB3A" w14:textId="77777777" w:rsidR="006568C5" w:rsidRDefault="006568C5">
            <w:pPr>
              <w:pStyle w:val="TableDataColumnHeading"/>
            </w:pPr>
            <w:r>
              <w:t>$ million</w:t>
            </w:r>
          </w:p>
        </w:tc>
        <w:tc>
          <w:tcPr>
            <w:tcW w:w="754" w:type="dxa"/>
            <w:shd w:val="clear" w:color="auto" w:fill="6F6652"/>
            <w:tcMar>
              <w:left w:w="57" w:type="dxa"/>
              <w:right w:w="57" w:type="dxa"/>
            </w:tcMar>
          </w:tcPr>
          <w:p w14:paraId="71F29D05" w14:textId="77777777" w:rsidR="006568C5" w:rsidRDefault="006568C5">
            <w:pPr>
              <w:pStyle w:val="TableDataColumnHeading"/>
            </w:pPr>
            <w:r>
              <w:t>QLD</w:t>
            </w:r>
          </w:p>
          <w:p w14:paraId="037EB791" w14:textId="77777777" w:rsidR="006568C5" w:rsidRDefault="006568C5">
            <w:pPr>
              <w:pStyle w:val="TableDataColumnHeading"/>
            </w:pPr>
            <w:r>
              <w:t>$ million</w:t>
            </w:r>
          </w:p>
        </w:tc>
        <w:tc>
          <w:tcPr>
            <w:tcW w:w="755" w:type="dxa"/>
            <w:shd w:val="clear" w:color="auto" w:fill="6F6652"/>
            <w:tcMar>
              <w:left w:w="57" w:type="dxa"/>
              <w:right w:w="57" w:type="dxa"/>
            </w:tcMar>
          </w:tcPr>
          <w:p w14:paraId="2F54D4C6" w14:textId="77777777" w:rsidR="006568C5" w:rsidRDefault="006568C5">
            <w:pPr>
              <w:pStyle w:val="TableDataColumnHeading"/>
            </w:pPr>
            <w:r>
              <w:t>WA</w:t>
            </w:r>
          </w:p>
          <w:p w14:paraId="64737204" w14:textId="77777777" w:rsidR="006568C5" w:rsidRDefault="006568C5">
            <w:pPr>
              <w:pStyle w:val="TableDataColumnHeading"/>
            </w:pPr>
            <w:r>
              <w:t>$ million</w:t>
            </w:r>
          </w:p>
        </w:tc>
        <w:tc>
          <w:tcPr>
            <w:tcW w:w="831" w:type="dxa"/>
            <w:shd w:val="clear" w:color="auto" w:fill="6F6652"/>
            <w:tcMar>
              <w:left w:w="57" w:type="dxa"/>
              <w:right w:w="57" w:type="dxa"/>
            </w:tcMar>
          </w:tcPr>
          <w:p w14:paraId="3BE9E53C" w14:textId="77777777" w:rsidR="006568C5" w:rsidRDefault="006568C5">
            <w:pPr>
              <w:pStyle w:val="TableDataColumnHeading"/>
            </w:pPr>
            <w:r>
              <w:t>SA</w:t>
            </w:r>
          </w:p>
          <w:p w14:paraId="170C0A36" w14:textId="77777777" w:rsidR="006568C5" w:rsidRDefault="006568C5">
            <w:pPr>
              <w:pStyle w:val="TableDataColumnHeading"/>
            </w:pPr>
            <w:r>
              <w:t>$ million</w:t>
            </w:r>
          </w:p>
        </w:tc>
        <w:tc>
          <w:tcPr>
            <w:tcW w:w="851" w:type="dxa"/>
            <w:shd w:val="clear" w:color="auto" w:fill="6F6652"/>
            <w:tcMar>
              <w:left w:w="57" w:type="dxa"/>
              <w:right w:w="57" w:type="dxa"/>
            </w:tcMar>
          </w:tcPr>
          <w:p w14:paraId="43F0842C" w14:textId="77777777" w:rsidR="006568C5" w:rsidRDefault="006568C5">
            <w:pPr>
              <w:pStyle w:val="TableDataColumnHeading"/>
            </w:pPr>
            <w:r>
              <w:t>TAS</w:t>
            </w:r>
          </w:p>
          <w:p w14:paraId="7D0B5B8E" w14:textId="77777777" w:rsidR="006568C5" w:rsidRDefault="006568C5">
            <w:pPr>
              <w:pStyle w:val="TableDataColumnHeading"/>
            </w:pPr>
            <w:r>
              <w:t>$ million</w:t>
            </w:r>
          </w:p>
        </w:tc>
        <w:tc>
          <w:tcPr>
            <w:tcW w:w="754" w:type="dxa"/>
            <w:shd w:val="clear" w:color="auto" w:fill="6F6652"/>
            <w:tcMar>
              <w:left w:w="57" w:type="dxa"/>
              <w:right w:w="57" w:type="dxa"/>
            </w:tcMar>
          </w:tcPr>
          <w:p w14:paraId="37C4530B" w14:textId="77777777" w:rsidR="006568C5" w:rsidRDefault="006568C5">
            <w:pPr>
              <w:pStyle w:val="TableDataColumnHeading"/>
            </w:pPr>
            <w:r>
              <w:t>ACT</w:t>
            </w:r>
          </w:p>
          <w:p w14:paraId="01B29B9A" w14:textId="77777777" w:rsidR="006568C5" w:rsidRDefault="006568C5">
            <w:pPr>
              <w:pStyle w:val="TableDataColumnHeading"/>
            </w:pPr>
            <w:r>
              <w:t>$ million</w:t>
            </w:r>
          </w:p>
        </w:tc>
        <w:tc>
          <w:tcPr>
            <w:tcW w:w="755" w:type="dxa"/>
            <w:shd w:val="clear" w:color="auto" w:fill="6F6652"/>
            <w:tcMar>
              <w:left w:w="57" w:type="dxa"/>
              <w:right w:w="57" w:type="dxa"/>
            </w:tcMar>
          </w:tcPr>
          <w:p w14:paraId="3C0804D0" w14:textId="77777777" w:rsidR="006568C5" w:rsidRDefault="006568C5">
            <w:pPr>
              <w:pStyle w:val="TableDataColumnHeading"/>
            </w:pPr>
            <w:r>
              <w:t>NT</w:t>
            </w:r>
          </w:p>
          <w:p w14:paraId="1AAD7D4E" w14:textId="77777777" w:rsidR="006568C5" w:rsidRDefault="006568C5">
            <w:pPr>
              <w:pStyle w:val="TableDataColumnHeading"/>
            </w:pPr>
            <w:r>
              <w:t>$ million</w:t>
            </w:r>
          </w:p>
        </w:tc>
        <w:tc>
          <w:tcPr>
            <w:tcW w:w="759" w:type="dxa"/>
            <w:shd w:val="clear" w:color="auto" w:fill="6F6652"/>
            <w:tcMar>
              <w:left w:w="57" w:type="dxa"/>
              <w:right w:w="57" w:type="dxa"/>
            </w:tcMar>
          </w:tcPr>
          <w:p w14:paraId="0CACC65F" w14:textId="77777777" w:rsidR="006568C5" w:rsidRDefault="006568C5">
            <w:pPr>
              <w:pStyle w:val="TableDataColumnHeading"/>
            </w:pPr>
            <w:r>
              <w:t>Total</w:t>
            </w:r>
          </w:p>
          <w:p w14:paraId="5B42E45B" w14:textId="77777777" w:rsidR="006568C5" w:rsidRDefault="006568C5">
            <w:pPr>
              <w:pStyle w:val="TableDataColumnHeading"/>
            </w:pPr>
            <w:r>
              <w:t>$ million</w:t>
            </w:r>
          </w:p>
        </w:tc>
      </w:tr>
      <w:tr w:rsidR="00FD0983" w14:paraId="2EE60F79" w14:textId="77777777">
        <w:trPr>
          <w:trHeight w:val="245"/>
        </w:trPr>
        <w:tc>
          <w:tcPr>
            <w:tcW w:w="13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95CCA3A" w14:textId="77777777" w:rsidR="00FD0983" w:rsidRDefault="00FD0983" w:rsidP="00FD0983">
            <w:pPr>
              <w:pStyle w:val="TableDataEntries"/>
              <w:jc w:val="left"/>
            </w:pPr>
            <w:r>
              <w:t>Avoided network capacity costs</w:t>
            </w:r>
          </w:p>
        </w:tc>
        <w:tc>
          <w:tcPr>
            <w:tcW w:w="77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7C6DAC7" w14:textId="07579338" w:rsidR="00FD0983" w:rsidRDefault="00FD0983" w:rsidP="00FD0983">
            <w:pPr>
              <w:pStyle w:val="TableDataEntries"/>
            </w:pPr>
            <w:r>
              <w:t xml:space="preserve"> 453.1</w:t>
            </w:r>
          </w:p>
        </w:tc>
        <w:tc>
          <w:tcPr>
            <w:tcW w:w="9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2C3D79D" w14:textId="2C4C9E29" w:rsidR="00FD0983" w:rsidRDefault="00FD0983" w:rsidP="00FD0983">
            <w:pPr>
              <w:pStyle w:val="TableDataEntries"/>
            </w:pPr>
            <w:r>
              <w:t xml:space="preserve"> 380.8</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E337B47" w14:textId="7DD92EBB" w:rsidR="00FD0983" w:rsidRDefault="00FD0983" w:rsidP="00FD0983">
            <w:pPr>
              <w:pStyle w:val="TableDataEntries"/>
            </w:pPr>
            <w:r>
              <w:t xml:space="preserve"> 387.8</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80D1315" w14:textId="0A15E87F" w:rsidR="00FD0983" w:rsidRDefault="00FD0983" w:rsidP="00FD0983">
            <w:pPr>
              <w:pStyle w:val="TableDataEntries"/>
            </w:pPr>
            <w:r>
              <w:t xml:space="preserve"> 65.9</w:t>
            </w:r>
          </w:p>
        </w:tc>
        <w:tc>
          <w:tcPr>
            <w:tcW w:w="83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8A1E09F" w14:textId="5930A37E" w:rsidR="00FD0983" w:rsidRDefault="00FD0983" w:rsidP="00FD0983">
            <w:pPr>
              <w:pStyle w:val="TableDataEntries"/>
            </w:pPr>
            <w:r>
              <w:t xml:space="preserve"> 68.3</w:t>
            </w:r>
          </w:p>
        </w:tc>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533255B" w14:textId="3A6406A5" w:rsidR="00FD0983" w:rsidRDefault="00FD0983" w:rsidP="00FD0983">
            <w:pPr>
              <w:pStyle w:val="TableDataEntries"/>
            </w:pPr>
            <w:r>
              <w:t xml:space="preserve"> 35.5</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62CD59F" w14:textId="34BF9CAB" w:rsidR="00FD0983" w:rsidRDefault="00FD0983" w:rsidP="00FD0983">
            <w:pPr>
              <w:pStyle w:val="TableDataEntries"/>
            </w:pPr>
            <w:r>
              <w:t xml:space="preserve"> 16.0</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10C0C20" w14:textId="7118930C" w:rsidR="00FD0983" w:rsidRDefault="00FD0983" w:rsidP="00FD0983">
            <w:pPr>
              <w:pStyle w:val="TableDataEntries"/>
            </w:pPr>
            <w:r>
              <w:t xml:space="preserve"> 32.8</w:t>
            </w:r>
          </w:p>
        </w:tc>
        <w:tc>
          <w:tcPr>
            <w:tcW w:w="7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63A1FE2" w14:textId="3E581BC0" w:rsidR="00FD0983" w:rsidRDefault="00FD0983" w:rsidP="00FD0983">
            <w:pPr>
              <w:pStyle w:val="TableDataEntries"/>
            </w:pPr>
            <w:r>
              <w:t>1 440.2</w:t>
            </w:r>
          </w:p>
        </w:tc>
      </w:tr>
      <w:tr w:rsidR="00FD0983" w14:paraId="5FD6F7C5" w14:textId="77777777">
        <w:trPr>
          <w:trHeight w:val="245"/>
        </w:trPr>
        <w:tc>
          <w:tcPr>
            <w:tcW w:w="13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AEC5DDD" w14:textId="77777777" w:rsidR="00FD0983" w:rsidRDefault="00FD0983" w:rsidP="00FD0983">
            <w:pPr>
              <w:pStyle w:val="TableDataEntries"/>
              <w:jc w:val="left"/>
            </w:pPr>
            <w:r>
              <w:t>Avoided wholesale costs</w:t>
            </w:r>
          </w:p>
        </w:tc>
        <w:tc>
          <w:tcPr>
            <w:tcW w:w="77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8D9B702" w14:textId="480A2A48" w:rsidR="00FD0983" w:rsidRDefault="00FD0983" w:rsidP="00FD0983">
            <w:pPr>
              <w:pStyle w:val="TableDataEntries"/>
            </w:pPr>
            <w:r>
              <w:t xml:space="preserve"> 762.5</w:t>
            </w:r>
          </w:p>
        </w:tc>
        <w:tc>
          <w:tcPr>
            <w:tcW w:w="9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34EABC3" w14:textId="5C1D97A0" w:rsidR="00FD0983" w:rsidRDefault="00FD0983" w:rsidP="00FD0983">
            <w:pPr>
              <w:pStyle w:val="TableDataEntries"/>
            </w:pPr>
            <w:r>
              <w:t xml:space="preserve"> 767.5</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C1FF7C2" w14:textId="47020437" w:rsidR="00FD0983" w:rsidRDefault="00FD0983" w:rsidP="00FD0983">
            <w:pPr>
              <w:pStyle w:val="TableDataEntries"/>
            </w:pPr>
            <w:r>
              <w:t xml:space="preserve"> 746.5</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170B5DA" w14:textId="4F526BBC" w:rsidR="00FD0983" w:rsidRDefault="00FD0983" w:rsidP="00FD0983">
            <w:pPr>
              <w:pStyle w:val="TableDataEntries"/>
            </w:pPr>
            <w:r>
              <w:t xml:space="preserve"> 316.8</w:t>
            </w:r>
          </w:p>
        </w:tc>
        <w:tc>
          <w:tcPr>
            <w:tcW w:w="83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BFD5E04" w14:textId="03E8D488" w:rsidR="00FD0983" w:rsidRDefault="00FD0983" w:rsidP="00FD0983">
            <w:pPr>
              <w:pStyle w:val="TableDataEntries"/>
            </w:pPr>
            <w:r>
              <w:t xml:space="preserve"> 139.9</w:t>
            </w:r>
          </w:p>
        </w:tc>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20C6FA3" w14:textId="00D6AF47" w:rsidR="00FD0983" w:rsidRDefault="00FD0983" w:rsidP="00FD0983">
            <w:pPr>
              <w:pStyle w:val="TableDataEntries"/>
            </w:pPr>
            <w:r>
              <w:t xml:space="preserve"> 35.4</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2236BD4" w14:textId="23801C42" w:rsidR="00FD0983" w:rsidRDefault="00FD0983" w:rsidP="00FD0983">
            <w:pPr>
              <w:pStyle w:val="TableDataEntries"/>
            </w:pPr>
            <w:r>
              <w:t xml:space="preserve"> 35.1</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3EC4C8E" w14:textId="267799DF" w:rsidR="00FD0983" w:rsidRDefault="00FD0983" w:rsidP="00FD0983">
            <w:pPr>
              <w:pStyle w:val="TableDataEntries"/>
            </w:pPr>
            <w:r>
              <w:t xml:space="preserve"> 113.5</w:t>
            </w:r>
          </w:p>
        </w:tc>
        <w:tc>
          <w:tcPr>
            <w:tcW w:w="7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B41A154" w14:textId="7F74B76D" w:rsidR="00FD0983" w:rsidRDefault="00FD0983" w:rsidP="00FD0983">
            <w:pPr>
              <w:pStyle w:val="TableDataEntries"/>
            </w:pPr>
            <w:r>
              <w:t>2 917.2</w:t>
            </w:r>
          </w:p>
        </w:tc>
      </w:tr>
      <w:tr w:rsidR="00FD0983" w14:paraId="13945B47" w14:textId="77777777">
        <w:trPr>
          <w:trHeight w:val="245"/>
        </w:trPr>
        <w:tc>
          <w:tcPr>
            <w:tcW w:w="13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4EC1BC1" w14:textId="77777777" w:rsidR="00FD0983" w:rsidRDefault="00FD0983" w:rsidP="00FD0983">
            <w:pPr>
              <w:pStyle w:val="TableDataEntries"/>
              <w:jc w:val="left"/>
            </w:pPr>
            <w:r>
              <w:t>Avoided network usage costs</w:t>
            </w:r>
          </w:p>
        </w:tc>
        <w:tc>
          <w:tcPr>
            <w:tcW w:w="77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0F19721" w14:textId="13EE544B" w:rsidR="00FD0983" w:rsidRDefault="00FD0983" w:rsidP="00FD0983">
            <w:pPr>
              <w:pStyle w:val="TableDataEntries"/>
            </w:pPr>
            <w:r>
              <w:t xml:space="preserve"> 463.9</w:t>
            </w:r>
          </w:p>
        </w:tc>
        <w:tc>
          <w:tcPr>
            <w:tcW w:w="9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F3F8290" w14:textId="464B52A1" w:rsidR="00FD0983" w:rsidRDefault="00FD0983" w:rsidP="00FD0983">
            <w:pPr>
              <w:pStyle w:val="TableDataEntries"/>
            </w:pPr>
            <w:r>
              <w:t>1 031.0</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280A348" w14:textId="6FE9F555" w:rsidR="00FD0983" w:rsidRDefault="00FD0983" w:rsidP="00FD0983">
            <w:pPr>
              <w:pStyle w:val="TableDataEntries"/>
            </w:pPr>
            <w:r>
              <w:t xml:space="preserve"> 511.7</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C04E5B6" w14:textId="24FC4C24" w:rsidR="00FD0983" w:rsidRDefault="00FD0983" w:rsidP="00FD0983">
            <w:pPr>
              <w:pStyle w:val="TableDataEntries"/>
            </w:pPr>
            <w:r>
              <w:t xml:space="preserve"> 793.8</w:t>
            </w:r>
          </w:p>
        </w:tc>
        <w:tc>
          <w:tcPr>
            <w:tcW w:w="83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2ED47D0" w14:textId="233BF477" w:rsidR="00FD0983" w:rsidRDefault="00FD0983" w:rsidP="00FD0983">
            <w:pPr>
              <w:pStyle w:val="TableDataEntries"/>
            </w:pPr>
            <w:r>
              <w:t xml:space="preserve"> 382.0</w:t>
            </w:r>
          </w:p>
        </w:tc>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3E8E873" w14:textId="7A99BFE6" w:rsidR="00FD0983" w:rsidRDefault="00FD0983" w:rsidP="00FD0983">
            <w:pPr>
              <w:pStyle w:val="TableDataEntries"/>
            </w:pPr>
            <w:r>
              <w:t xml:space="preserve"> 68.5</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92A8793" w14:textId="4DCECA95" w:rsidR="00FD0983" w:rsidRDefault="00FD0983" w:rsidP="00FD0983">
            <w:pPr>
              <w:pStyle w:val="TableDataEntries"/>
            </w:pPr>
            <w:r>
              <w:t xml:space="preserve"> 37.7</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F9FFFB8" w14:textId="2B0B8D67" w:rsidR="00FD0983" w:rsidRDefault="00FD0983" w:rsidP="00FD0983">
            <w:pPr>
              <w:pStyle w:val="TableDataEntries"/>
            </w:pPr>
            <w:r>
              <w:t xml:space="preserve"> 53.2</w:t>
            </w:r>
          </w:p>
        </w:tc>
        <w:tc>
          <w:tcPr>
            <w:tcW w:w="7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8223692" w14:textId="29309FC2" w:rsidR="00FD0983" w:rsidRDefault="00FD0983" w:rsidP="00FD0983">
            <w:pPr>
              <w:pStyle w:val="TableDataEntries"/>
            </w:pPr>
            <w:r>
              <w:t>3 341.8</w:t>
            </w:r>
          </w:p>
        </w:tc>
      </w:tr>
      <w:tr w:rsidR="00FD0983" w14:paraId="1F1A7906" w14:textId="77777777">
        <w:trPr>
          <w:trHeight w:val="245"/>
        </w:trPr>
        <w:tc>
          <w:tcPr>
            <w:tcW w:w="13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7E7D46" w14:textId="77777777" w:rsidR="00FD0983" w:rsidRDefault="00FD0983" w:rsidP="00FD0983">
            <w:pPr>
              <w:pStyle w:val="TableDataEntries"/>
              <w:jc w:val="left"/>
            </w:pPr>
            <w:r>
              <w:t>Avoided retail costs</w:t>
            </w:r>
          </w:p>
        </w:tc>
        <w:tc>
          <w:tcPr>
            <w:tcW w:w="77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898AF09" w14:textId="0FA68B34" w:rsidR="00FD0983" w:rsidRDefault="00FD0983" w:rsidP="00FD0983">
            <w:pPr>
              <w:pStyle w:val="TableDataEntries"/>
            </w:pPr>
            <w:r>
              <w:t xml:space="preserve"> 251.9</w:t>
            </w:r>
          </w:p>
        </w:tc>
        <w:tc>
          <w:tcPr>
            <w:tcW w:w="9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47FC67B" w14:textId="72E46B50" w:rsidR="00FD0983" w:rsidRDefault="00FD0983" w:rsidP="00FD0983">
            <w:pPr>
              <w:pStyle w:val="TableDataEntries"/>
            </w:pPr>
            <w:r>
              <w:t xml:space="preserve"> 326.9</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4EE5132" w14:textId="551E903E" w:rsidR="00FD0983" w:rsidRDefault="00FD0983" w:rsidP="00FD0983">
            <w:pPr>
              <w:pStyle w:val="TableDataEntries"/>
            </w:pPr>
            <w:r>
              <w:t xml:space="preserve"> 246.9</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5ADD651" w14:textId="0F825455" w:rsidR="00FD0983" w:rsidRDefault="00FD0983" w:rsidP="00FD0983">
            <w:pPr>
              <w:pStyle w:val="TableDataEntries"/>
            </w:pPr>
            <w:r>
              <w:t xml:space="preserve"> 176.5</w:t>
            </w:r>
          </w:p>
        </w:tc>
        <w:tc>
          <w:tcPr>
            <w:tcW w:w="83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9038B28" w14:textId="4D472219" w:rsidR="00FD0983" w:rsidRDefault="00FD0983" w:rsidP="00FD0983">
            <w:pPr>
              <w:pStyle w:val="TableDataEntries"/>
            </w:pPr>
            <w:r>
              <w:t xml:space="preserve"> 88.5</w:t>
            </w:r>
          </w:p>
        </w:tc>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7FE8468" w14:textId="76D1ECDC" w:rsidR="00FD0983" w:rsidRDefault="00FD0983" w:rsidP="00FD0983">
            <w:pPr>
              <w:pStyle w:val="TableDataEntries"/>
            </w:pPr>
            <w:r>
              <w:t xml:space="preserve"> 20.9</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A2A3B76" w14:textId="2527BE08" w:rsidR="00FD0983" w:rsidRDefault="00FD0983" w:rsidP="00FD0983">
            <w:pPr>
              <w:pStyle w:val="TableDataEntries"/>
            </w:pPr>
            <w:r>
              <w:t xml:space="preserve"> 13.3</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137E1C0" w14:textId="45503711" w:rsidR="00FD0983" w:rsidRDefault="00FD0983" w:rsidP="00FD0983">
            <w:pPr>
              <w:pStyle w:val="TableDataEntries"/>
            </w:pPr>
            <w:r>
              <w:t xml:space="preserve"> 29.9</w:t>
            </w:r>
          </w:p>
        </w:tc>
        <w:tc>
          <w:tcPr>
            <w:tcW w:w="7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7DC7252" w14:textId="65687EB6" w:rsidR="00FD0983" w:rsidRDefault="00FD0983" w:rsidP="00FD0983">
            <w:pPr>
              <w:pStyle w:val="TableDataEntries"/>
            </w:pPr>
            <w:r>
              <w:t>1 154.9</w:t>
            </w:r>
          </w:p>
        </w:tc>
      </w:tr>
      <w:tr w:rsidR="00FD0983" w14:paraId="2F356493" w14:textId="77777777">
        <w:trPr>
          <w:trHeight w:val="245"/>
        </w:trPr>
        <w:tc>
          <w:tcPr>
            <w:tcW w:w="13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A1AEB9" w14:textId="77777777" w:rsidR="00FD0983" w:rsidRDefault="00FD0983" w:rsidP="00FD0983">
            <w:pPr>
              <w:pStyle w:val="TableDataEntries"/>
              <w:jc w:val="left"/>
            </w:pPr>
            <w:r>
              <w:t>Value of electricity exported to grid</w:t>
            </w:r>
          </w:p>
        </w:tc>
        <w:tc>
          <w:tcPr>
            <w:tcW w:w="77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6B8DD5A" w14:textId="33899883" w:rsidR="00FD0983" w:rsidRDefault="00FD0983" w:rsidP="00FD0983">
            <w:pPr>
              <w:pStyle w:val="TableDataEntries"/>
            </w:pPr>
            <w:r>
              <w:t xml:space="preserve"> 76.9</w:t>
            </w:r>
          </w:p>
        </w:tc>
        <w:tc>
          <w:tcPr>
            <w:tcW w:w="9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D109FFB" w14:textId="3C8ED315" w:rsidR="00FD0983" w:rsidRDefault="00FD0983" w:rsidP="00FD0983">
            <w:pPr>
              <w:pStyle w:val="TableDataEntries"/>
            </w:pPr>
            <w:r>
              <w:t xml:space="preserve"> 79.7</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1D65BAB" w14:textId="38F86F2F" w:rsidR="00FD0983" w:rsidRDefault="00FD0983" w:rsidP="00FD0983">
            <w:pPr>
              <w:pStyle w:val="TableDataEntries"/>
            </w:pPr>
            <w:r>
              <w:t xml:space="preserve"> 57.3</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7876FCA" w14:textId="5891FCB7" w:rsidR="00FD0983" w:rsidRDefault="00FD0983" w:rsidP="00FD0983">
            <w:pPr>
              <w:pStyle w:val="TableDataEntries"/>
            </w:pPr>
            <w:r>
              <w:t xml:space="preserve"> 38.2</w:t>
            </w:r>
          </w:p>
        </w:tc>
        <w:tc>
          <w:tcPr>
            <w:tcW w:w="83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1D8427D" w14:textId="4D35F282" w:rsidR="00FD0983" w:rsidRDefault="00FD0983" w:rsidP="00FD0983">
            <w:pPr>
              <w:pStyle w:val="TableDataEntries"/>
            </w:pPr>
            <w:r>
              <w:t xml:space="preserve"> 15.1</w:t>
            </w:r>
          </w:p>
        </w:tc>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07BB8C3" w14:textId="4182D718" w:rsidR="00FD0983" w:rsidRDefault="00FD0983" w:rsidP="00FD0983">
            <w:pPr>
              <w:pStyle w:val="TableDataEntries"/>
            </w:pPr>
            <w:r>
              <w:t xml:space="preserve"> 9.5</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56BD459" w14:textId="4F69DC0E" w:rsidR="00FD0983" w:rsidRDefault="00FD0983" w:rsidP="00FD0983">
            <w:pPr>
              <w:pStyle w:val="TableDataEntries"/>
            </w:pPr>
            <w:r>
              <w:t xml:space="preserve"> 5.0</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4BE4D6C" w14:textId="4F80DFD6" w:rsidR="00FD0983" w:rsidRDefault="00FD0983" w:rsidP="00FD0983">
            <w:pPr>
              <w:pStyle w:val="TableDataEntries"/>
            </w:pPr>
            <w:r>
              <w:t xml:space="preserve"> 9.7</w:t>
            </w:r>
          </w:p>
        </w:tc>
        <w:tc>
          <w:tcPr>
            <w:tcW w:w="7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3AD0213" w14:textId="15EC6A08" w:rsidR="00FD0983" w:rsidRDefault="00FD0983" w:rsidP="00FD0983">
            <w:pPr>
              <w:pStyle w:val="TableDataEntries"/>
            </w:pPr>
            <w:r>
              <w:t xml:space="preserve"> 291.5</w:t>
            </w:r>
          </w:p>
        </w:tc>
      </w:tr>
      <w:tr w:rsidR="00FD0983" w14:paraId="383EE53B" w14:textId="77777777">
        <w:trPr>
          <w:trHeight w:val="245"/>
        </w:trPr>
        <w:tc>
          <w:tcPr>
            <w:tcW w:w="13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6034CB" w14:textId="77777777" w:rsidR="00FD0983" w:rsidRDefault="00FD0983" w:rsidP="00FD0983">
            <w:pPr>
              <w:pStyle w:val="TableDataEntries"/>
              <w:jc w:val="left"/>
            </w:pPr>
            <w:r>
              <w:t>Electricity exports — network costs</w:t>
            </w:r>
          </w:p>
        </w:tc>
        <w:tc>
          <w:tcPr>
            <w:tcW w:w="77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BD61DF9" w14:textId="550DD634" w:rsidR="00FD0983" w:rsidRDefault="00FD0983" w:rsidP="00FD0983">
            <w:pPr>
              <w:pStyle w:val="TableDataEntries"/>
            </w:pPr>
            <w:r>
              <w:t>- 10.6</w:t>
            </w:r>
          </w:p>
        </w:tc>
        <w:tc>
          <w:tcPr>
            <w:tcW w:w="9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048A536" w14:textId="2F0E813D" w:rsidR="00FD0983" w:rsidRDefault="00FD0983" w:rsidP="00FD0983">
            <w:pPr>
              <w:pStyle w:val="TableDataEntries"/>
            </w:pPr>
            <w:r>
              <w:t>- 13.3</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DF6D499" w14:textId="1B4A6D17" w:rsidR="00FD0983" w:rsidRDefault="00FD0983" w:rsidP="00FD0983">
            <w:pPr>
              <w:pStyle w:val="TableDataEntries"/>
            </w:pPr>
            <w:r>
              <w:t>- 10.2</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146AC1A" w14:textId="0A2B6F23" w:rsidR="00FD0983" w:rsidRDefault="00FD0983" w:rsidP="00FD0983">
            <w:pPr>
              <w:pStyle w:val="TableDataEntries"/>
            </w:pPr>
            <w:r>
              <w:t>- 6.4</w:t>
            </w:r>
          </w:p>
        </w:tc>
        <w:tc>
          <w:tcPr>
            <w:tcW w:w="83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F4535F7" w14:textId="7B219CFC" w:rsidR="00FD0983" w:rsidRDefault="00FD0983" w:rsidP="00FD0983">
            <w:pPr>
              <w:pStyle w:val="TableDataEntries"/>
            </w:pPr>
            <w:r>
              <w:t>- 3.0</w:t>
            </w:r>
          </w:p>
        </w:tc>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D341A60" w14:textId="64364BDC" w:rsidR="00FD0983" w:rsidRDefault="00FD0983" w:rsidP="00FD0983">
            <w:pPr>
              <w:pStyle w:val="TableDataEntries"/>
            </w:pPr>
            <w:r>
              <w:t>- 0.9</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2E49FF5" w14:textId="05EAFFEE" w:rsidR="00FD0983" w:rsidRDefault="00FD0983" w:rsidP="00FD0983">
            <w:pPr>
              <w:pStyle w:val="TableDataEntries"/>
            </w:pPr>
            <w:r>
              <w:t>- 0.8</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7D92DA1" w14:textId="1035D344" w:rsidR="00FD0983" w:rsidRDefault="00FD0983" w:rsidP="00FD0983">
            <w:pPr>
              <w:pStyle w:val="TableDataEntries"/>
            </w:pPr>
            <w:r>
              <w:t>- 0.5</w:t>
            </w:r>
          </w:p>
        </w:tc>
        <w:tc>
          <w:tcPr>
            <w:tcW w:w="7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1B85919" w14:textId="3C8E1226" w:rsidR="00FD0983" w:rsidRDefault="00FD0983" w:rsidP="00FD0983">
            <w:pPr>
              <w:pStyle w:val="TableDataEntries"/>
            </w:pPr>
            <w:r>
              <w:t>- 45.8</w:t>
            </w:r>
          </w:p>
        </w:tc>
      </w:tr>
      <w:tr w:rsidR="00FD0983" w14:paraId="45AFF907" w14:textId="77777777">
        <w:trPr>
          <w:trHeight w:val="245"/>
        </w:trPr>
        <w:tc>
          <w:tcPr>
            <w:tcW w:w="13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FECD768" w14:textId="77777777" w:rsidR="00FD0983" w:rsidRDefault="00FD0983" w:rsidP="00FD0983">
            <w:pPr>
              <w:pStyle w:val="TableDataEntries"/>
              <w:jc w:val="left"/>
            </w:pPr>
            <w:r>
              <w:t>Avoided gas costs</w:t>
            </w:r>
          </w:p>
        </w:tc>
        <w:tc>
          <w:tcPr>
            <w:tcW w:w="77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C109BDB" w14:textId="101A9871" w:rsidR="00FD0983" w:rsidRDefault="00FD0983" w:rsidP="00FD0983">
            <w:pPr>
              <w:pStyle w:val="TableDataEntries"/>
            </w:pPr>
            <w:r>
              <w:t xml:space="preserve"> 101.2</w:t>
            </w:r>
          </w:p>
        </w:tc>
        <w:tc>
          <w:tcPr>
            <w:tcW w:w="9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437E9B0" w14:textId="0B5D6F75" w:rsidR="00FD0983" w:rsidRDefault="00FD0983" w:rsidP="00FD0983">
            <w:pPr>
              <w:pStyle w:val="TableDataEntries"/>
            </w:pPr>
            <w:r>
              <w:t xml:space="preserve"> 176.8</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00CE991" w14:textId="2C0AF02A" w:rsidR="00FD0983" w:rsidRDefault="00FD0983" w:rsidP="00FD0983">
            <w:pPr>
              <w:pStyle w:val="TableDataEntries"/>
            </w:pPr>
            <w:r>
              <w:t xml:space="preserve"> 35.7</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A693757" w14:textId="7F243EF1" w:rsidR="00FD0983" w:rsidRDefault="00FD0983" w:rsidP="00FD0983">
            <w:pPr>
              <w:pStyle w:val="TableDataEntries"/>
            </w:pPr>
            <w:r>
              <w:t xml:space="preserve"> 57.8</w:t>
            </w:r>
          </w:p>
        </w:tc>
        <w:tc>
          <w:tcPr>
            <w:tcW w:w="83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17CF260" w14:textId="1D39787C" w:rsidR="00FD0983" w:rsidRDefault="00FD0983" w:rsidP="00FD0983">
            <w:pPr>
              <w:pStyle w:val="TableDataEntries"/>
            </w:pPr>
            <w:r>
              <w:t xml:space="preserve"> 26.3</w:t>
            </w:r>
          </w:p>
        </w:tc>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16B2AC3" w14:textId="02EADA96" w:rsidR="00FD0983" w:rsidRDefault="00FD0983" w:rsidP="00FD0983">
            <w:pPr>
              <w:pStyle w:val="TableDataEntries"/>
            </w:pPr>
            <w:r>
              <w:t xml:space="preserve"> 20.1</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754452C" w14:textId="0437D0AD" w:rsidR="00FD0983" w:rsidRDefault="00FD0983" w:rsidP="00FD0983">
            <w:pPr>
              <w:pStyle w:val="TableDataEntries"/>
            </w:pPr>
            <w:r>
              <w:t xml:space="preserve"> 8.7</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6EE63A7" w14:textId="67911DDB" w:rsidR="00FD0983" w:rsidRDefault="00FD0983" w:rsidP="00FD0983">
            <w:pPr>
              <w:pStyle w:val="TableDataEntries"/>
            </w:pPr>
            <w:r>
              <w:t xml:space="preserve"> 5.5</w:t>
            </w:r>
          </w:p>
        </w:tc>
        <w:tc>
          <w:tcPr>
            <w:tcW w:w="7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271E01F" w14:textId="5CF74A7A" w:rsidR="00FD0983" w:rsidRDefault="00FD0983" w:rsidP="00FD0983">
            <w:pPr>
              <w:pStyle w:val="TableDataEntries"/>
            </w:pPr>
            <w:r>
              <w:t xml:space="preserve"> 432.1</w:t>
            </w:r>
          </w:p>
        </w:tc>
      </w:tr>
      <w:tr w:rsidR="00FD0983" w14:paraId="22C59419" w14:textId="77777777">
        <w:trPr>
          <w:trHeight w:val="245"/>
        </w:trPr>
        <w:tc>
          <w:tcPr>
            <w:tcW w:w="13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AF14D60" w14:textId="77777777" w:rsidR="00FD0983" w:rsidRDefault="00FD0983" w:rsidP="00FD0983">
            <w:pPr>
              <w:pStyle w:val="TableDataEntries"/>
              <w:jc w:val="left"/>
            </w:pPr>
            <w:r>
              <w:t>Avoided GHG emissions – electricity</w:t>
            </w:r>
          </w:p>
        </w:tc>
        <w:tc>
          <w:tcPr>
            <w:tcW w:w="77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6320875" w14:textId="5D9D8382" w:rsidR="00FD0983" w:rsidRDefault="00FD0983" w:rsidP="00FD0983">
            <w:pPr>
              <w:pStyle w:val="TableDataEntries"/>
            </w:pPr>
            <w:r>
              <w:t xml:space="preserve"> 232.4</w:t>
            </w:r>
          </w:p>
        </w:tc>
        <w:tc>
          <w:tcPr>
            <w:tcW w:w="9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87B4D44" w14:textId="4CF3F5A3" w:rsidR="00FD0983" w:rsidRDefault="00FD0983" w:rsidP="00FD0983">
            <w:pPr>
              <w:pStyle w:val="TableDataEntries"/>
            </w:pPr>
            <w:r>
              <w:t xml:space="preserve"> 487.2</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D4FFE99" w14:textId="52119873" w:rsidR="00FD0983" w:rsidRDefault="00FD0983" w:rsidP="00FD0983">
            <w:pPr>
              <w:pStyle w:val="TableDataEntries"/>
            </w:pPr>
            <w:r>
              <w:t xml:space="preserve"> 930.4</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0E705B5" w14:textId="3F94CAF4" w:rsidR="00FD0983" w:rsidRDefault="00FD0983" w:rsidP="00FD0983">
            <w:pPr>
              <w:pStyle w:val="TableDataEntries"/>
            </w:pPr>
            <w:r>
              <w:t xml:space="preserve"> 323.0</w:t>
            </w:r>
          </w:p>
        </w:tc>
        <w:tc>
          <w:tcPr>
            <w:tcW w:w="83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9D2A73A" w14:textId="4AE07215" w:rsidR="00FD0983" w:rsidRDefault="00FD0983" w:rsidP="00FD0983">
            <w:pPr>
              <w:pStyle w:val="TableDataEntries"/>
            </w:pPr>
            <w:r>
              <w:t xml:space="preserve"> 141.8</w:t>
            </w:r>
          </w:p>
        </w:tc>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16637F0" w14:textId="5C5FAFF0" w:rsidR="00FD0983" w:rsidRDefault="00FD0983" w:rsidP="00FD0983">
            <w:pPr>
              <w:pStyle w:val="TableDataEntries"/>
            </w:pPr>
            <w:r>
              <w:t xml:space="preserve"> 2.7</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97C99D3" w14:textId="7773AE97" w:rsidR="00FD0983" w:rsidRDefault="00FD0983" w:rsidP="00FD0983">
            <w:pPr>
              <w:pStyle w:val="TableDataEntries"/>
            </w:pPr>
            <w:r>
              <w:t xml:space="preserve"> 10.2</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C2610DD" w14:textId="44136D7D" w:rsidR="00FD0983" w:rsidRDefault="00FD0983" w:rsidP="00FD0983">
            <w:pPr>
              <w:pStyle w:val="TableDataEntries"/>
            </w:pPr>
            <w:r>
              <w:t xml:space="preserve"> 93.4</w:t>
            </w:r>
          </w:p>
        </w:tc>
        <w:tc>
          <w:tcPr>
            <w:tcW w:w="7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B61D216" w14:textId="44CE6EC2" w:rsidR="00FD0983" w:rsidRDefault="00FD0983" w:rsidP="00FD0983">
            <w:pPr>
              <w:pStyle w:val="TableDataEntries"/>
            </w:pPr>
            <w:r>
              <w:t>2 221.1</w:t>
            </w:r>
          </w:p>
        </w:tc>
      </w:tr>
      <w:tr w:rsidR="00FD0983" w14:paraId="7B973F9F" w14:textId="77777777">
        <w:trPr>
          <w:trHeight w:val="245"/>
        </w:trPr>
        <w:tc>
          <w:tcPr>
            <w:tcW w:w="13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0CF5189" w14:textId="77777777" w:rsidR="00FD0983" w:rsidRDefault="00FD0983" w:rsidP="00FD0983">
            <w:pPr>
              <w:pStyle w:val="TableDataEntries"/>
              <w:jc w:val="left"/>
            </w:pPr>
            <w:r>
              <w:t>Avoided GHG emissions — electricity exported</w:t>
            </w:r>
          </w:p>
        </w:tc>
        <w:tc>
          <w:tcPr>
            <w:tcW w:w="77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C77AF0F" w14:textId="2F1F4C33" w:rsidR="00FD0983" w:rsidRDefault="00FD0983" w:rsidP="00FD0983">
            <w:pPr>
              <w:pStyle w:val="TableDataEntries"/>
            </w:pPr>
            <w:r>
              <w:t xml:space="preserve"> 54.5</w:t>
            </w:r>
          </w:p>
        </w:tc>
        <w:tc>
          <w:tcPr>
            <w:tcW w:w="9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683DECB" w14:textId="4618718F" w:rsidR="00FD0983" w:rsidRDefault="00FD0983" w:rsidP="00FD0983">
            <w:pPr>
              <w:pStyle w:val="TableDataEntries"/>
            </w:pPr>
            <w:r>
              <w:t xml:space="preserve"> 146.7</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C06CD76" w14:textId="726D280A" w:rsidR="00FD0983" w:rsidRDefault="00FD0983" w:rsidP="00FD0983">
            <w:pPr>
              <w:pStyle w:val="TableDataEntries"/>
            </w:pPr>
            <w:r>
              <w:t xml:space="preserve"> 136.8</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C051F28" w14:textId="5DA9C15A" w:rsidR="00FD0983" w:rsidRDefault="00FD0983" w:rsidP="00FD0983">
            <w:pPr>
              <w:pStyle w:val="TableDataEntries"/>
            </w:pPr>
            <w:r>
              <w:t xml:space="preserve"> 59.4</w:t>
            </w:r>
          </w:p>
        </w:tc>
        <w:tc>
          <w:tcPr>
            <w:tcW w:w="83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B88FB9A" w14:textId="3A083743" w:rsidR="00FD0983" w:rsidRDefault="00FD0983" w:rsidP="00FD0983">
            <w:pPr>
              <w:pStyle w:val="TableDataEntries"/>
            </w:pPr>
            <w:r>
              <w:t xml:space="preserve"> 29.9</w:t>
            </w:r>
          </w:p>
        </w:tc>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1291405" w14:textId="7E9EC3AB" w:rsidR="00FD0983" w:rsidRDefault="00FD0983" w:rsidP="00FD0983">
            <w:pPr>
              <w:pStyle w:val="TableDataEntries"/>
            </w:pPr>
            <w:r>
              <w:t xml:space="preserve"> 0.8</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FF1CBD2" w14:textId="52291558" w:rsidR="00FD0983" w:rsidRDefault="00FD0983" w:rsidP="00FD0983">
            <w:pPr>
              <w:pStyle w:val="TableDataEntries"/>
            </w:pPr>
            <w:r>
              <w:t xml:space="preserve"> 3.2</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A25267C" w14:textId="52CDB7F7" w:rsidR="00FD0983" w:rsidRDefault="00FD0983" w:rsidP="00FD0983">
            <w:pPr>
              <w:pStyle w:val="TableDataEntries"/>
            </w:pPr>
            <w:r>
              <w:t xml:space="preserve"> 8.9</w:t>
            </w:r>
          </w:p>
        </w:tc>
        <w:tc>
          <w:tcPr>
            <w:tcW w:w="7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E422BCD" w14:textId="51097B10" w:rsidR="00FD0983" w:rsidRDefault="00FD0983" w:rsidP="00FD0983">
            <w:pPr>
              <w:pStyle w:val="TableDataEntries"/>
            </w:pPr>
            <w:r>
              <w:t xml:space="preserve"> 440.3</w:t>
            </w:r>
          </w:p>
        </w:tc>
      </w:tr>
      <w:tr w:rsidR="00FD0983" w14:paraId="1F77B3CD" w14:textId="77777777">
        <w:trPr>
          <w:trHeight w:val="245"/>
        </w:trPr>
        <w:tc>
          <w:tcPr>
            <w:tcW w:w="13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470A32E" w14:textId="77777777" w:rsidR="00FD0983" w:rsidRDefault="00FD0983" w:rsidP="00FD0983">
            <w:pPr>
              <w:pStyle w:val="TableDataEntries"/>
              <w:jc w:val="left"/>
            </w:pPr>
            <w:r>
              <w:t>Avoided GHG emissions – gas</w:t>
            </w:r>
          </w:p>
        </w:tc>
        <w:tc>
          <w:tcPr>
            <w:tcW w:w="77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031159F" w14:textId="183BEEFD" w:rsidR="00FD0983" w:rsidRDefault="00FD0983" w:rsidP="00FD0983">
            <w:pPr>
              <w:pStyle w:val="TableDataEntries"/>
            </w:pPr>
            <w:r>
              <w:t xml:space="preserve"> 234.2</w:t>
            </w:r>
          </w:p>
        </w:tc>
        <w:tc>
          <w:tcPr>
            <w:tcW w:w="9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6173C9F" w14:textId="5A98ABB8" w:rsidR="00FD0983" w:rsidRDefault="00FD0983" w:rsidP="00FD0983">
            <w:pPr>
              <w:pStyle w:val="TableDataEntries"/>
            </w:pPr>
            <w:r>
              <w:t xml:space="preserve"> 316.0</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47D5AA9" w14:textId="65E48B47" w:rsidR="00FD0983" w:rsidRDefault="00FD0983" w:rsidP="00FD0983">
            <w:pPr>
              <w:pStyle w:val="TableDataEntries"/>
            </w:pPr>
            <w:r>
              <w:t xml:space="preserve"> 96.7</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80BB008" w14:textId="642B2C65" w:rsidR="00FD0983" w:rsidRDefault="00FD0983" w:rsidP="00FD0983">
            <w:pPr>
              <w:pStyle w:val="TableDataEntries"/>
            </w:pPr>
            <w:r>
              <w:t xml:space="preserve"> 107.9</w:t>
            </w:r>
          </w:p>
        </w:tc>
        <w:tc>
          <w:tcPr>
            <w:tcW w:w="83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36CE3F1" w14:textId="7731B2C3" w:rsidR="00FD0983" w:rsidRDefault="00FD0983" w:rsidP="00FD0983">
            <w:pPr>
              <w:pStyle w:val="TableDataEntries"/>
            </w:pPr>
            <w:r>
              <w:t xml:space="preserve"> 54.1</w:t>
            </w:r>
          </w:p>
        </w:tc>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37187DD" w14:textId="51193C73" w:rsidR="00FD0983" w:rsidRDefault="00FD0983" w:rsidP="00FD0983">
            <w:pPr>
              <w:pStyle w:val="TableDataEntries"/>
            </w:pPr>
            <w:r>
              <w:t xml:space="preserve"> 26.4</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5761808" w14:textId="017F7737" w:rsidR="00FD0983" w:rsidRDefault="00FD0983" w:rsidP="00FD0983">
            <w:pPr>
              <w:pStyle w:val="TableDataEntries"/>
            </w:pPr>
            <w:r>
              <w:t xml:space="preserve"> 20.2</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E84B036" w14:textId="20945D7A" w:rsidR="00FD0983" w:rsidRDefault="00FD0983" w:rsidP="00FD0983">
            <w:pPr>
              <w:pStyle w:val="TableDataEntries"/>
            </w:pPr>
            <w:r>
              <w:t xml:space="preserve"> 10.2</w:t>
            </w:r>
          </w:p>
        </w:tc>
        <w:tc>
          <w:tcPr>
            <w:tcW w:w="7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369087E" w14:textId="134294C4" w:rsidR="00FD0983" w:rsidRDefault="00FD0983" w:rsidP="00FD0983">
            <w:pPr>
              <w:pStyle w:val="TableDataEntries"/>
            </w:pPr>
            <w:r>
              <w:t xml:space="preserve"> 865.8</w:t>
            </w:r>
          </w:p>
        </w:tc>
      </w:tr>
      <w:tr w:rsidR="00FD0983" w14:paraId="46004594" w14:textId="77777777">
        <w:trPr>
          <w:trHeight w:val="245"/>
        </w:trPr>
        <w:tc>
          <w:tcPr>
            <w:tcW w:w="13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3973D9" w14:textId="77777777" w:rsidR="00FD0983" w:rsidRDefault="00FD0983" w:rsidP="00FD0983">
            <w:pPr>
              <w:pStyle w:val="TableDataEntries"/>
              <w:jc w:val="left"/>
            </w:pPr>
            <w:r>
              <w:t>Capital costs</w:t>
            </w:r>
          </w:p>
        </w:tc>
        <w:tc>
          <w:tcPr>
            <w:tcW w:w="77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D1E2467" w14:textId="6B4C5B61" w:rsidR="00FD0983" w:rsidRDefault="00FD0983" w:rsidP="00FD0983">
            <w:pPr>
              <w:pStyle w:val="TableDataEntries"/>
            </w:pPr>
            <w:r>
              <w:t>- 910.8</w:t>
            </w:r>
          </w:p>
        </w:tc>
        <w:tc>
          <w:tcPr>
            <w:tcW w:w="9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8672B5B" w14:textId="0C3288D6" w:rsidR="00FD0983" w:rsidRDefault="00FD0983" w:rsidP="00FD0983">
            <w:pPr>
              <w:pStyle w:val="TableDataEntries"/>
            </w:pPr>
            <w:r>
              <w:t>-1 341.4</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8F714C8" w14:textId="7C7FEE6C" w:rsidR="00FD0983" w:rsidRDefault="00FD0983" w:rsidP="00FD0983">
            <w:pPr>
              <w:pStyle w:val="TableDataEntries"/>
            </w:pPr>
            <w:r>
              <w:t>- 545.4</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9E50484" w14:textId="0E60D0DF" w:rsidR="00FD0983" w:rsidRDefault="00FD0983" w:rsidP="00FD0983">
            <w:pPr>
              <w:pStyle w:val="TableDataEntries"/>
            </w:pPr>
            <w:r>
              <w:t>- 476.7</w:t>
            </w:r>
          </w:p>
        </w:tc>
        <w:tc>
          <w:tcPr>
            <w:tcW w:w="83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1EAF6D9" w14:textId="4513382A" w:rsidR="00FD0983" w:rsidRDefault="00FD0983" w:rsidP="00FD0983">
            <w:pPr>
              <w:pStyle w:val="TableDataEntries"/>
            </w:pPr>
            <w:r>
              <w:t>- 240.0</w:t>
            </w:r>
          </w:p>
        </w:tc>
        <w:tc>
          <w:tcPr>
            <w:tcW w:w="85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E0CB3D5" w14:textId="7A0F3AFD" w:rsidR="00FD0983" w:rsidRDefault="00FD0983" w:rsidP="00FD0983">
            <w:pPr>
              <w:pStyle w:val="TableDataEntries"/>
            </w:pPr>
            <w:r>
              <w:t>- 56.7</w:t>
            </w:r>
          </w:p>
        </w:tc>
        <w:tc>
          <w:tcPr>
            <w:tcW w:w="75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85BB36A" w14:textId="62BFB0FA" w:rsidR="00FD0983" w:rsidRDefault="00FD0983" w:rsidP="00FD0983">
            <w:pPr>
              <w:pStyle w:val="TableDataEntries"/>
            </w:pPr>
            <w:r>
              <w:t>- 54.8</w:t>
            </w:r>
          </w:p>
        </w:tc>
        <w:tc>
          <w:tcPr>
            <w:tcW w:w="75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0FEDCD3" w14:textId="5308F631" w:rsidR="00FD0983" w:rsidRDefault="00FD0983" w:rsidP="00FD0983">
            <w:pPr>
              <w:pStyle w:val="TableDataEntries"/>
            </w:pPr>
            <w:r>
              <w:t>- 44.9</w:t>
            </w:r>
          </w:p>
        </w:tc>
        <w:tc>
          <w:tcPr>
            <w:tcW w:w="7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C6A5308" w14:textId="4E116E17" w:rsidR="00FD0983" w:rsidRDefault="00FD0983" w:rsidP="00FD0983">
            <w:pPr>
              <w:pStyle w:val="TableDataEntries"/>
            </w:pPr>
            <w:r>
              <w:t>-3 670.8</w:t>
            </w:r>
          </w:p>
        </w:tc>
      </w:tr>
      <w:tr w:rsidR="00FD0983" w:rsidRPr="00FD0983" w14:paraId="2991CDFC" w14:textId="77777777">
        <w:trPr>
          <w:trHeight w:val="245"/>
        </w:trPr>
        <w:tc>
          <w:tcPr>
            <w:tcW w:w="133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37A195B" w14:textId="77777777" w:rsidR="00FD0983" w:rsidRPr="00FD0983" w:rsidRDefault="00FD0983" w:rsidP="00FD0983">
            <w:pPr>
              <w:pStyle w:val="TableDataEntries"/>
              <w:jc w:val="left"/>
              <w:rPr>
                <w:rFonts w:ascii="Franklin Gothic Demi" w:hAnsi="Franklin Gothic Demi"/>
              </w:rPr>
            </w:pPr>
            <w:r w:rsidRPr="00FD0983">
              <w:rPr>
                <w:rFonts w:ascii="Franklin Gothic Demi" w:hAnsi="Franklin Gothic Demi"/>
              </w:rPr>
              <w:t>Total</w:t>
            </w:r>
          </w:p>
        </w:tc>
        <w:tc>
          <w:tcPr>
            <w:tcW w:w="779"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4E2B82B0" w14:textId="16FF4BE8" w:rsidR="00FD0983" w:rsidRPr="00FD0983" w:rsidRDefault="00FD0983" w:rsidP="00FD0983">
            <w:pPr>
              <w:pStyle w:val="TableDataEntries"/>
              <w:rPr>
                <w:rFonts w:ascii="Franklin Gothic Demi" w:hAnsi="Franklin Gothic Demi"/>
              </w:rPr>
            </w:pPr>
            <w:r w:rsidRPr="00FD0983">
              <w:rPr>
                <w:rFonts w:ascii="Franklin Gothic Demi" w:hAnsi="Franklin Gothic Demi"/>
              </w:rPr>
              <w:t>1 709.3</w:t>
            </w:r>
          </w:p>
        </w:tc>
        <w:tc>
          <w:tcPr>
            <w:tcW w:w="934"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7641707A" w14:textId="08F39356" w:rsidR="00FD0983" w:rsidRPr="00FD0983" w:rsidRDefault="00FD0983" w:rsidP="00FD0983">
            <w:pPr>
              <w:pStyle w:val="TableDataEntries"/>
              <w:rPr>
                <w:rFonts w:ascii="Franklin Gothic Demi" w:hAnsi="Franklin Gothic Demi"/>
              </w:rPr>
            </w:pPr>
            <w:r w:rsidRPr="00FD0983">
              <w:rPr>
                <w:rFonts w:ascii="Franklin Gothic Demi" w:hAnsi="Franklin Gothic Demi"/>
              </w:rPr>
              <w:t>2 357.9</w:t>
            </w:r>
          </w:p>
        </w:tc>
        <w:tc>
          <w:tcPr>
            <w:tcW w:w="754"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4784F0A8" w14:textId="4812C6CA" w:rsidR="00FD0983" w:rsidRPr="00FD0983" w:rsidRDefault="00FD0983" w:rsidP="00FD0983">
            <w:pPr>
              <w:pStyle w:val="TableDataEntries"/>
              <w:rPr>
                <w:rFonts w:ascii="Franklin Gothic Demi" w:hAnsi="Franklin Gothic Demi"/>
              </w:rPr>
            </w:pPr>
            <w:r w:rsidRPr="00FD0983">
              <w:rPr>
                <w:rFonts w:ascii="Franklin Gothic Demi" w:hAnsi="Franklin Gothic Demi"/>
              </w:rPr>
              <w:t>2 594.2</w:t>
            </w:r>
          </w:p>
        </w:tc>
        <w:tc>
          <w:tcPr>
            <w:tcW w:w="755"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52112C14" w14:textId="0F953ABE" w:rsidR="00FD0983" w:rsidRPr="00FD0983" w:rsidRDefault="00FD0983" w:rsidP="00FD0983">
            <w:pPr>
              <w:pStyle w:val="TableDataEntries"/>
              <w:rPr>
                <w:rFonts w:ascii="Franklin Gothic Demi" w:hAnsi="Franklin Gothic Demi"/>
              </w:rPr>
            </w:pPr>
            <w:r w:rsidRPr="00FD0983">
              <w:rPr>
                <w:rFonts w:ascii="Franklin Gothic Demi" w:hAnsi="Franklin Gothic Demi"/>
              </w:rPr>
              <w:t>1 456.3</w:t>
            </w:r>
          </w:p>
        </w:tc>
        <w:tc>
          <w:tcPr>
            <w:tcW w:w="831"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77D4ED4E" w14:textId="42CA8F7C" w:rsidR="00FD0983" w:rsidRPr="00FD0983" w:rsidRDefault="00FD0983" w:rsidP="00FD0983">
            <w:pPr>
              <w:pStyle w:val="TableDataEntries"/>
              <w:rPr>
                <w:rFonts w:ascii="Franklin Gothic Demi" w:hAnsi="Franklin Gothic Demi"/>
              </w:rPr>
            </w:pPr>
            <w:r w:rsidRPr="00FD0983">
              <w:rPr>
                <w:rFonts w:ascii="Franklin Gothic Demi" w:hAnsi="Franklin Gothic Demi"/>
              </w:rPr>
              <w:t xml:space="preserve"> 703.0</w:t>
            </w:r>
          </w:p>
        </w:tc>
        <w:tc>
          <w:tcPr>
            <w:tcW w:w="851"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3EA0B4B5" w14:textId="4BF8A53E" w:rsidR="00FD0983" w:rsidRPr="00FD0983" w:rsidRDefault="00FD0983" w:rsidP="00FD0983">
            <w:pPr>
              <w:pStyle w:val="TableDataEntries"/>
              <w:rPr>
                <w:rFonts w:ascii="Franklin Gothic Demi" w:hAnsi="Franklin Gothic Demi"/>
              </w:rPr>
            </w:pPr>
            <w:r w:rsidRPr="00FD0983">
              <w:rPr>
                <w:rFonts w:ascii="Franklin Gothic Demi" w:hAnsi="Franklin Gothic Demi"/>
              </w:rPr>
              <w:t xml:space="preserve"> 162.1</w:t>
            </w:r>
          </w:p>
        </w:tc>
        <w:tc>
          <w:tcPr>
            <w:tcW w:w="754"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364168D5" w14:textId="0EB66064" w:rsidR="00FD0983" w:rsidRPr="00FD0983" w:rsidRDefault="00FD0983" w:rsidP="00FD0983">
            <w:pPr>
              <w:pStyle w:val="TableDataEntries"/>
              <w:rPr>
                <w:rFonts w:ascii="Franklin Gothic Demi" w:hAnsi="Franklin Gothic Demi"/>
              </w:rPr>
            </w:pPr>
            <w:r w:rsidRPr="00FD0983">
              <w:rPr>
                <w:rFonts w:ascii="Franklin Gothic Demi" w:hAnsi="Franklin Gothic Demi"/>
              </w:rPr>
              <w:t xml:space="preserve"> 93.8</w:t>
            </w:r>
          </w:p>
        </w:tc>
        <w:tc>
          <w:tcPr>
            <w:tcW w:w="755"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065F8E7F" w14:textId="63D251A9" w:rsidR="00FD0983" w:rsidRPr="00FD0983" w:rsidRDefault="00FD0983" w:rsidP="00FD0983">
            <w:pPr>
              <w:pStyle w:val="TableDataEntries"/>
              <w:rPr>
                <w:rFonts w:ascii="Franklin Gothic Demi" w:hAnsi="Franklin Gothic Demi"/>
              </w:rPr>
            </w:pPr>
            <w:r w:rsidRPr="00FD0983">
              <w:rPr>
                <w:rFonts w:ascii="Franklin Gothic Demi" w:hAnsi="Franklin Gothic Demi"/>
              </w:rPr>
              <w:t xml:space="preserve"> 311.6</w:t>
            </w:r>
          </w:p>
        </w:tc>
        <w:tc>
          <w:tcPr>
            <w:tcW w:w="759"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1AEA4CD2" w14:textId="3882369B" w:rsidR="00FD0983" w:rsidRPr="00FD0983" w:rsidRDefault="00FD0983" w:rsidP="00FD0983">
            <w:pPr>
              <w:pStyle w:val="TableDataEntries"/>
              <w:rPr>
                <w:rFonts w:ascii="Franklin Gothic Demi" w:hAnsi="Franklin Gothic Demi"/>
              </w:rPr>
            </w:pPr>
            <w:r w:rsidRPr="00FD0983">
              <w:rPr>
                <w:rFonts w:ascii="Franklin Gothic Demi" w:hAnsi="Franklin Gothic Demi"/>
              </w:rPr>
              <w:t>9 388.3</w:t>
            </w:r>
          </w:p>
        </w:tc>
      </w:tr>
    </w:tbl>
    <w:p w14:paraId="59981124" w14:textId="77777777" w:rsidR="006568C5" w:rsidRDefault="006568C5" w:rsidP="006568C5">
      <w:pPr>
        <w:pStyle w:val="Note"/>
      </w:pPr>
      <w:r w:rsidRPr="007D1B4F">
        <w:rPr>
          <w:i/>
        </w:rPr>
        <w:t>Note:</w:t>
      </w:r>
      <w:r w:rsidRPr="00E879B8">
        <w:t xml:space="preserve"> </w:t>
      </w:r>
      <w:r>
        <w:t>Estimates presented in net present value terms over an assumed 50-year life of all buildings constructed over the 10 year period from 2025 to 2034, using a discount rate of 5 per cent.</w:t>
      </w:r>
    </w:p>
    <w:p w14:paraId="39D66EB1" w14:textId="77777777" w:rsidR="006568C5" w:rsidRDefault="006568C5" w:rsidP="006568C5">
      <w:pPr>
        <w:pStyle w:val="Source"/>
      </w:pPr>
      <w:r>
        <w:rPr>
          <w:i/>
        </w:rPr>
        <w:t>Source</w:t>
      </w:r>
      <w:r w:rsidRPr="00E4232C">
        <w:rPr>
          <w:i/>
        </w:rPr>
        <w:t>:</w:t>
      </w:r>
      <w:r>
        <w:t xml:space="preserve"> CIE based on DeltaQ modelling.</w:t>
      </w:r>
    </w:p>
    <w:p w14:paraId="72614341" w14:textId="12DB0ED5" w:rsidR="006568C5" w:rsidRPr="00844A6E" w:rsidRDefault="006568C5" w:rsidP="006568C5">
      <w:pPr>
        <w:pStyle w:val="BodyText"/>
        <w:rPr>
          <w:szCs w:val="22"/>
          <w:lang w:bidi="fa-IR"/>
        </w:rPr>
      </w:pPr>
      <w:r w:rsidRPr="00844A6E">
        <w:rPr>
          <w:szCs w:val="22"/>
          <w:lang w:bidi="fa-IR"/>
        </w:rPr>
        <w:t>Consistent with the objective of these provisions, there is a reduction in the costs associated with gas consumption (including GHG emissions) reflecting a shift towards fully</w:t>
      </w:r>
      <w:r w:rsidRPr="00844A6E">
        <w:rPr>
          <w:szCs w:val="22"/>
          <w:lang w:bidi="fa-IR"/>
        </w:rPr>
        <w:noBreakHyphen/>
        <w:t xml:space="preserve">electric buildings (i.e. </w:t>
      </w:r>
      <w:r w:rsidR="00414463">
        <w:rPr>
          <w:szCs w:val="22"/>
          <w:lang w:bidi="fa-IR"/>
        </w:rPr>
        <w:t>90</w:t>
      </w:r>
      <w:r w:rsidRPr="00844A6E">
        <w:rPr>
          <w:szCs w:val="22"/>
          <w:lang w:bidi="fa-IR"/>
        </w:rPr>
        <w:t> per cent of buildings are assumed to choose the ‘electrify now’ option). However, this is offset by a corresponding increase in electricity consumption.</w:t>
      </w:r>
    </w:p>
    <w:p w14:paraId="185E1558" w14:textId="77777777" w:rsidR="006568C5" w:rsidRDefault="006568C5" w:rsidP="006568C5">
      <w:pPr>
        <w:pStyle w:val="BodyText"/>
        <w:rPr>
          <w:szCs w:val="22"/>
          <w:lang w:bidi="fa-IR"/>
        </w:rPr>
      </w:pPr>
      <w:r w:rsidRPr="00844A6E">
        <w:rPr>
          <w:szCs w:val="22"/>
          <w:lang w:bidi="fa-IR"/>
        </w:rPr>
        <w:t>There is also an increase in aggregate costs, reflecting the additional costs associated of complying with the least cost net zero emissions requirements for the relevant buildings.</w:t>
      </w:r>
    </w:p>
    <w:p w14:paraId="0230E383" w14:textId="7BED55CF" w:rsidR="00C5321C" w:rsidRPr="00844A6E" w:rsidRDefault="00C5321C" w:rsidP="006568C5">
      <w:pPr>
        <w:pStyle w:val="BodyText"/>
        <w:rPr>
          <w:szCs w:val="22"/>
          <w:lang w:bidi="fa-IR"/>
        </w:rPr>
      </w:pPr>
      <w:r>
        <w:rPr>
          <w:szCs w:val="22"/>
          <w:lang w:bidi="fa-IR"/>
        </w:rPr>
        <w:t xml:space="preserve">Note that the central case assumes that these buildings would </w:t>
      </w:r>
      <w:r w:rsidR="00C0113E">
        <w:rPr>
          <w:szCs w:val="22"/>
          <w:lang w:bidi="fa-IR"/>
        </w:rPr>
        <w:t>operate as dual fuel buildings over their full life.</w:t>
      </w:r>
      <w:r w:rsidR="005E43CE">
        <w:rPr>
          <w:szCs w:val="22"/>
          <w:lang w:bidi="fa-IR"/>
        </w:rPr>
        <w:t xml:space="preserve"> This result suggests that based on current technologies</w:t>
      </w:r>
      <w:r w:rsidR="00A20C8D">
        <w:rPr>
          <w:szCs w:val="22"/>
          <w:lang w:bidi="fa-IR"/>
        </w:rPr>
        <w:t xml:space="preserve">, the lifetime cost of dual fuel buildings </w:t>
      </w:r>
      <w:r w:rsidR="001B3BE1">
        <w:rPr>
          <w:szCs w:val="22"/>
          <w:lang w:bidi="fa-IR"/>
        </w:rPr>
        <w:t>tends to be lower than ‘fully electric’ buildings for these archetypes.</w:t>
      </w:r>
    </w:p>
    <w:p w14:paraId="6C6586D7" w14:textId="77777777" w:rsidR="006568C5" w:rsidRDefault="006568C5" w:rsidP="006568C5">
      <w:pPr>
        <w:pStyle w:val="Heading3"/>
        <w:rPr>
          <w:lang w:bidi="fa-IR"/>
        </w:rPr>
      </w:pPr>
      <w:r>
        <w:rPr>
          <w:lang w:bidi="fa-IR"/>
        </w:rPr>
        <w:t>Aggregate reduction in GHG emissions</w:t>
      </w:r>
    </w:p>
    <w:p w14:paraId="0DF2D6F3" w14:textId="2B42050A" w:rsidR="006568C5" w:rsidRPr="00844A6E" w:rsidRDefault="006568C5" w:rsidP="006568C5">
      <w:pPr>
        <w:pStyle w:val="BodyText"/>
        <w:rPr>
          <w:szCs w:val="22"/>
          <w:lang w:bidi="fa-IR"/>
        </w:rPr>
      </w:pPr>
      <w:r w:rsidRPr="00844A6E">
        <w:rPr>
          <w:szCs w:val="22"/>
          <w:lang w:bidi="fa-IR"/>
        </w:rPr>
        <w:t>Avoided GHG emissions across the different stringency levels are shown in chart </w:t>
      </w:r>
      <w:r>
        <w:rPr>
          <w:szCs w:val="22"/>
          <w:lang w:bidi="fa-IR"/>
        </w:rPr>
        <w:fldChar w:fldCharType="begin"/>
      </w:r>
      <w:r>
        <w:rPr>
          <w:szCs w:val="22"/>
          <w:lang w:bidi="fa-IR"/>
        </w:rPr>
        <w:instrText xml:space="preserve"> REF _Caption8307 </w:instrText>
      </w:r>
      <w:r>
        <w:rPr>
          <w:szCs w:val="22"/>
          <w:lang w:bidi="fa-IR"/>
        </w:rPr>
        <w:fldChar w:fldCharType="separate"/>
      </w:r>
      <w:r w:rsidR="006E00A7">
        <w:rPr>
          <w:noProof/>
        </w:rPr>
        <w:t>7</w:t>
      </w:r>
      <w:r w:rsidR="006E00A7" w:rsidRPr="006F0F88">
        <w:rPr>
          <w:noProof/>
        </w:rPr>
        <w:t>.</w:t>
      </w:r>
      <w:r w:rsidR="006E00A7">
        <w:rPr>
          <w:noProof/>
        </w:rPr>
        <w:t>9</w:t>
      </w:r>
      <w:r>
        <w:rPr>
          <w:szCs w:val="22"/>
          <w:lang w:bidi="fa-IR"/>
        </w:rPr>
        <w:fldChar w:fldCharType="end"/>
      </w:r>
      <w:r w:rsidRPr="00844A6E">
        <w:rPr>
          <w:szCs w:val="22"/>
          <w:lang w:bidi="fa-IR"/>
        </w:rPr>
        <w:t xml:space="preserve">. </w:t>
      </w:r>
    </w:p>
    <w:p w14:paraId="382CF109" w14:textId="77777777" w:rsidR="006568C5" w:rsidRPr="00C872F7" w:rsidRDefault="006568C5" w:rsidP="006568C5">
      <w:pPr>
        <w:pStyle w:val="ListBullet"/>
        <w:tabs>
          <w:tab w:val="num" w:pos="709"/>
        </w:tabs>
      </w:pPr>
      <w:r w:rsidRPr="00C872F7">
        <w:t>Under all stringency levels:</w:t>
      </w:r>
    </w:p>
    <w:p w14:paraId="2F27A80F" w14:textId="77777777" w:rsidR="006568C5" w:rsidRPr="00844A6E" w:rsidRDefault="006568C5" w:rsidP="006568C5">
      <w:pPr>
        <w:pStyle w:val="ListBullet"/>
        <w:numPr>
          <w:ilvl w:val="1"/>
          <w:numId w:val="34"/>
        </w:numPr>
        <w:rPr>
          <w:szCs w:val="22"/>
          <w:lang w:bidi="fa-IR"/>
        </w:rPr>
      </w:pPr>
      <w:r w:rsidRPr="00844A6E">
        <w:rPr>
          <w:szCs w:val="22"/>
          <w:lang w:bidi="fa-IR"/>
        </w:rPr>
        <w:t>avoided GHG emissions initially increases as the effect of the increasing number of buildings built under the new code requirements outweighs the impact of declining carbon intensity of electricity supply</w:t>
      </w:r>
    </w:p>
    <w:p w14:paraId="1F670D5C" w14:textId="77777777" w:rsidR="006568C5" w:rsidRPr="00844A6E" w:rsidRDefault="006568C5" w:rsidP="006568C5">
      <w:pPr>
        <w:pStyle w:val="ListBullet"/>
        <w:numPr>
          <w:ilvl w:val="1"/>
          <w:numId w:val="34"/>
        </w:numPr>
        <w:rPr>
          <w:szCs w:val="22"/>
          <w:lang w:bidi="fa-IR"/>
        </w:rPr>
      </w:pPr>
      <w:r w:rsidRPr="00844A6E">
        <w:rPr>
          <w:szCs w:val="22"/>
          <w:lang w:bidi="fa-IR"/>
        </w:rPr>
        <w:t>as the number of buildings built under the new codes reaches a peak (at the end of the 10</w:t>
      </w:r>
      <w:r w:rsidRPr="00844A6E">
        <w:rPr>
          <w:szCs w:val="22"/>
          <w:lang w:bidi="fa-IR"/>
        </w:rPr>
        <w:noBreakHyphen/>
        <w:t>year regulatory period), avoided GHG emissions start to decline as the grid continues to decarbonise</w:t>
      </w:r>
    </w:p>
    <w:p w14:paraId="4F7847F4" w14:textId="77777777" w:rsidR="006568C5" w:rsidRPr="00844A6E" w:rsidRDefault="006568C5" w:rsidP="006568C5">
      <w:pPr>
        <w:pStyle w:val="ListBullet"/>
        <w:numPr>
          <w:ilvl w:val="1"/>
          <w:numId w:val="34"/>
        </w:numPr>
        <w:rPr>
          <w:szCs w:val="22"/>
          <w:lang w:bidi="fa-IR"/>
        </w:rPr>
      </w:pPr>
      <w:r w:rsidRPr="00844A6E">
        <w:rPr>
          <w:szCs w:val="22"/>
          <w:lang w:bidi="fa-IR"/>
        </w:rPr>
        <w:t>avoided GHG emission</w:t>
      </w:r>
      <w:r>
        <w:rPr>
          <w:szCs w:val="22"/>
          <w:lang w:bidi="fa-IR"/>
        </w:rPr>
        <w:t>s</w:t>
      </w:r>
      <w:r w:rsidRPr="00844A6E">
        <w:rPr>
          <w:szCs w:val="22"/>
          <w:lang w:bidi="fa-IR"/>
        </w:rPr>
        <w:t xml:space="preserve"> then level off as the GHG</w:t>
      </w:r>
      <w:r w:rsidRPr="00844A6E">
        <w:rPr>
          <w:szCs w:val="22"/>
          <w:lang w:bidi="fa-IR"/>
        </w:rPr>
        <w:noBreakHyphen/>
        <w:t>intensity of electricity supply reaches its minimum and then tails of</w:t>
      </w:r>
      <w:r>
        <w:rPr>
          <w:szCs w:val="22"/>
          <w:lang w:bidi="fa-IR"/>
        </w:rPr>
        <w:t>f</w:t>
      </w:r>
      <w:r w:rsidRPr="00844A6E">
        <w:rPr>
          <w:szCs w:val="22"/>
          <w:lang w:bidi="fa-IR"/>
        </w:rPr>
        <w:t xml:space="preserve"> to zero as the buildings built under the new code are assumed to reach the end of their life.</w:t>
      </w:r>
    </w:p>
    <w:p w14:paraId="546D4B0F" w14:textId="77777777" w:rsidR="006568C5" w:rsidRPr="00715A09" w:rsidRDefault="006568C5" w:rsidP="006568C5">
      <w:pPr>
        <w:pStyle w:val="ListBullet"/>
        <w:tabs>
          <w:tab w:val="num" w:pos="709"/>
        </w:tabs>
      </w:pPr>
      <w:r w:rsidRPr="00715A09">
        <w:t>Avoided GHG emissions are significantly higher for Stringency Levels 2 and 3, compared with Stringency Level 1.</w:t>
      </w:r>
    </w:p>
    <w:p w14:paraId="7FE55C1B" w14:textId="77777777" w:rsidR="006568C5" w:rsidRPr="00715A09" w:rsidRDefault="006568C5" w:rsidP="006568C5">
      <w:pPr>
        <w:pStyle w:val="ListBullet"/>
        <w:tabs>
          <w:tab w:val="num" w:pos="709"/>
        </w:tabs>
      </w:pPr>
      <w:r w:rsidRPr="00715A09">
        <w:t xml:space="preserve">The difference between Stringency Level 2 and Stringency Level 3 is minimal in the earlier years, with the shift to fully electric buildings </w:t>
      </w:r>
      <w:r>
        <w:t xml:space="preserve">initially </w:t>
      </w:r>
      <w:r w:rsidRPr="00715A09">
        <w:t>broadly carbon neutral. As the grid decarbonises, fully electric buildings become less carbon intensive, compared with dual fuel buildings, so more GHG emissions are avoided under Stringency Level 3.</w:t>
      </w:r>
    </w:p>
    <w:p w14:paraId="1D0B79F6" w14:textId="76884C14" w:rsidR="006568C5" w:rsidRPr="006F0F88" w:rsidRDefault="006568C5" w:rsidP="006568C5">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EA6E4C">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A6E4C">
          <w:rPr>
            <w:noProof/>
          </w:rPr>
          <w:instrText>7</w:instrText>
        </w:r>
      </w:fldSimple>
      <w:r w:rsidRPr="006F0F88">
        <w:instrText xml:space="preserve"> = 0 "" "</w:instrText>
      </w:r>
      <w:fldSimple w:instr=" STYLEREF &quot;Heading 1&quot; \l \n ">
        <w:r w:rsidR="00EA6E4C">
          <w:rPr>
            <w:noProof/>
          </w:rPr>
          <w:instrText>7</w:instrText>
        </w:r>
      </w:fldSimple>
      <w:r w:rsidRPr="006F0F88">
        <w:instrText xml:space="preserve">." </w:instrText>
      </w:r>
      <w:r w:rsidRPr="006F0F88">
        <w:fldChar w:fldCharType="separate"/>
      </w:r>
      <w:r w:rsidR="00EA6E4C">
        <w:rPr>
          <w:noProof/>
        </w:rPr>
        <w:instrText>7</w:instrText>
      </w:r>
      <w:r w:rsidR="00EA6E4C" w:rsidRPr="006F0F88">
        <w:rPr>
          <w:noProof/>
        </w:rPr>
        <w:instrText>.</w:instrText>
      </w:r>
      <w:r w:rsidRPr="006F0F88">
        <w:fldChar w:fldCharType="end"/>
      </w:r>
      <w:r w:rsidRPr="006F0F88">
        <w:instrText>" "</w:instrText>
      </w:r>
      <w:fldSimple w:instr=" STYLEREF &quot;Heading 6&quot; \l \n ">
        <w:r w:rsidRPr="006F0F88">
          <w:instrText>A</w:instrText>
        </w:r>
      </w:fldSimple>
      <w:r w:rsidRPr="006F0F88">
        <w:instrText xml:space="preserve">." </w:instrText>
      </w:r>
      <w:r w:rsidRPr="006F0F88">
        <w:fldChar w:fldCharType="separate"/>
      </w:r>
      <w:r w:rsidR="008C60A3">
        <w:rPr>
          <w:noProof/>
        </w:rPr>
        <w:instrText>7</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EA6E4C">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A6E4C">
          <w:rPr>
            <w:noProof/>
          </w:rPr>
          <w:instrText>7</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EA6E4C">
        <w:rPr>
          <w:noProof/>
        </w:rPr>
        <w:instrText>9</w:instrText>
      </w:r>
      <w:r w:rsidRPr="006F0F88">
        <w:fldChar w:fldCharType="end"/>
      </w:r>
      <w:r w:rsidRPr="006F0F88">
        <w:instrText xml:space="preserve">" "" </w:instrText>
      </w:r>
      <w:r w:rsidRPr="006F0F88">
        <w:fldChar w:fldCharType="separate"/>
      </w:r>
      <w:bookmarkStart w:id="3896" w:name="_Caption7495"/>
      <w:bookmarkStart w:id="3897" w:name="_Caption8226"/>
      <w:bookmarkStart w:id="3898" w:name="_Caption3599"/>
      <w:bookmarkStart w:id="3899" w:name="_Caption4797"/>
      <w:bookmarkStart w:id="3900" w:name="_Caption3707"/>
      <w:bookmarkStart w:id="3901" w:name="_Caption8017"/>
      <w:bookmarkStart w:id="3902" w:name="_Caption0537"/>
      <w:bookmarkStart w:id="3903" w:name="_Caption3520"/>
      <w:bookmarkStart w:id="3904" w:name="_Caption1975"/>
      <w:bookmarkStart w:id="3905" w:name="_Caption2846"/>
      <w:bookmarkStart w:id="3906" w:name="_Caption2597"/>
      <w:bookmarkStart w:id="3907" w:name="_Caption2735"/>
      <w:bookmarkStart w:id="3908" w:name="_Caption5553"/>
      <w:bookmarkStart w:id="3909" w:name="_Caption7857"/>
      <w:bookmarkStart w:id="3910" w:name="_Caption7480"/>
      <w:bookmarkStart w:id="3911" w:name="_Caption5782"/>
      <w:bookmarkStart w:id="3912" w:name="_Caption9238"/>
      <w:bookmarkStart w:id="3913" w:name="_Caption9377"/>
      <w:bookmarkStart w:id="3914" w:name="_Caption1331"/>
      <w:bookmarkStart w:id="3915" w:name="_Caption2965"/>
      <w:bookmarkStart w:id="3916" w:name="_Caption5112"/>
      <w:bookmarkStart w:id="3917" w:name="_Caption2437"/>
      <w:bookmarkStart w:id="3918" w:name="_Caption5195"/>
      <w:bookmarkStart w:id="3919" w:name="_Caption9661"/>
      <w:bookmarkStart w:id="3920" w:name="_Caption5369"/>
      <w:bookmarkStart w:id="3921" w:name="_Caption8307"/>
      <w:bookmarkStart w:id="3922" w:name="_Caption6246"/>
      <w:bookmarkStart w:id="3923" w:name="_Caption7565"/>
      <w:bookmarkStart w:id="3924" w:name="_Caption2594"/>
      <w:bookmarkStart w:id="3925" w:name="_Caption8813"/>
      <w:bookmarkStart w:id="3926" w:name="_Caption1543"/>
      <w:bookmarkStart w:id="3927" w:name="_Caption5701"/>
      <w:bookmarkStart w:id="3928" w:name="_Caption5788"/>
      <w:bookmarkStart w:id="3929" w:name="_Caption9046"/>
      <w:bookmarkStart w:id="3930" w:name="_Caption1302"/>
      <w:bookmarkStart w:id="3931" w:name="_Caption4983"/>
      <w:bookmarkStart w:id="3932" w:name="_Caption7344"/>
      <w:bookmarkStart w:id="3933" w:name="_Caption0540"/>
      <w:bookmarkStart w:id="3934" w:name="_Caption7951"/>
      <w:bookmarkStart w:id="3935" w:name="_Caption7427"/>
      <w:bookmarkStart w:id="3936" w:name="_Caption9706"/>
      <w:bookmarkStart w:id="3937" w:name="_Caption6721"/>
      <w:bookmarkStart w:id="3938" w:name="_Toc177735178"/>
      <w:bookmarkStart w:id="3939" w:name="_Toc178292608"/>
      <w:r w:rsidR="008C60A3">
        <w:rPr>
          <w:noProof/>
        </w:rPr>
        <w:t>7</w:t>
      </w:r>
      <w:r w:rsidR="008C60A3" w:rsidRPr="006F0F88">
        <w:rPr>
          <w:noProof/>
        </w:rPr>
        <w:t>.</w:t>
      </w:r>
      <w:r w:rsidR="008C60A3">
        <w:rPr>
          <w:noProof/>
        </w:rPr>
        <w:t>9</w:t>
      </w:r>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r w:rsidRPr="006F0F88">
        <w:fldChar w:fldCharType="end"/>
      </w:r>
      <w:r w:rsidRPr="006F0F88">
        <w:tab/>
        <w:t>Avoided GHG emissions</w:t>
      </w:r>
      <w:bookmarkEnd w:id="3938"/>
      <w:bookmarkEnd w:id="3939"/>
    </w:p>
    <w:tbl>
      <w:tblPr>
        <w:tblStyle w:val="TableGrid"/>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9E8E5" w:themeFill="background2"/>
        <w:tblLayout w:type="fixed"/>
        <w:tblCellMar>
          <w:left w:w="0" w:type="dxa"/>
          <w:right w:w="0" w:type="dxa"/>
        </w:tblCellMar>
        <w:tblLook w:val="04A0" w:firstRow="1" w:lastRow="0" w:firstColumn="1" w:lastColumn="0" w:noHBand="0" w:noVBand="1"/>
      </w:tblPr>
      <w:tblGrid>
        <w:gridCol w:w="7938"/>
      </w:tblGrid>
      <w:tr w:rsidR="006568C5" w14:paraId="67D69F41" w14:textId="77777777">
        <w:trPr>
          <w:cantSplit/>
        </w:trPr>
        <w:tc>
          <w:tcPr>
            <w:tcW w:w="7938" w:type="dxa"/>
            <w:shd w:val="clear" w:color="auto" w:fill="E9E8E5" w:themeFill="background2"/>
          </w:tcPr>
          <w:p w14:paraId="5C529979" w14:textId="11EA7622" w:rsidR="006568C5" w:rsidRDefault="00AC32FF">
            <w:pPr>
              <w:pStyle w:val="Chart"/>
            </w:pPr>
            <w:r w:rsidRPr="00AC32FF">
              <w:rPr>
                <w:noProof/>
              </w:rPr>
              <w:drawing>
                <wp:inline distT="0" distB="0" distL="0" distR="0" wp14:anchorId="64D0E578" wp14:editId="33EEAB5D">
                  <wp:extent cx="5035550" cy="2432050"/>
                  <wp:effectExtent l="0" t="0" r="0" b="0"/>
                  <wp:docPr id="116615340" name="Picture 1" descr="This chart shows the annual avoided GHG emissions by Stringency levels up to 2081. Stringency 3 has the highest reduction in emissions while Stringency 1 the low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15340" name="Picture 1" descr="This chart shows the annual avoided GHG emissions by Stringency levels up to 2081. Stringency 3 has the highest reduction in emissions while Stringency 1 the lowes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035550" cy="2432050"/>
                          </a:xfrm>
                          <a:prstGeom prst="rect">
                            <a:avLst/>
                          </a:prstGeom>
                          <a:noFill/>
                          <a:ln>
                            <a:noFill/>
                          </a:ln>
                        </pic:spPr>
                      </pic:pic>
                    </a:graphicData>
                  </a:graphic>
                </wp:inline>
              </w:drawing>
            </w:r>
          </w:p>
        </w:tc>
      </w:tr>
    </w:tbl>
    <w:p w14:paraId="2FA87AD3" w14:textId="77777777" w:rsidR="006568C5" w:rsidRDefault="006568C5" w:rsidP="006568C5">
      <w:pPr>
        <w:pStyle w:val="Source"/>
      </w:pPr>
      <w:r>
        <w:rPr>
          <w:i/>
        </w:rPr>
        <w:t>Data source</w:t>
      </w:r>
      <w:r w:rsidRPr="00A67576">
        <w:rPr>
          <w:i/>
        </w:rPr>
        <w:t>:</w:t>
      </w:r>
      <w:r>
        <w:t xml:space="preserve"> CIE based on DeltaQ modelling.</w:t>
      </w:r>
    </w:p>
    <w:p w14:paraId="6D7CADF1" w14:textId="4DE8C960" w:rsidR="006568C5" w:rsidRPr="00844A6E" w:rsidRDefault="006568C5" w:rsidP="006568C5">
      <w:pPr>
        <w:pStyle w:val="BodyText"/>
        <w:rPr>
          <w:szCs w:val="22"/>
          <w:lang w:bidi="fa-IR"/>
        </w:rPr>
      </w:pPr>
      <w:r w:rsidRPr="00844A6E">
        <w:rPr>
          <w:szCs w:val="22"/>
          <w:lang w:bidi="fa-IR"/>
        </w:rPr>
        <w:t>On a cumulative basis (see chart</w:t>
      </w:r>
      <w:r>
        <w:rPr>
          <w:szCs w:val="22"/>
          <w:lang w:bidi="fa-IR"/>
        </w:rPr>
        <w:t xml:space="preserve"> </w:t>
      </w:r>
      <w:r>
        <w:rPr>
          <w:szCs w:val="22"/>
          <w:lang w:bidi="fa-IR"/>
        </w:rPr>
        <w:fldChar w:fldCharType="begin"/>
      </w:r>
      <w:r>
        <w:rPr>
          <w:szCs w:val="22"/>
          <w:lang w:bidi="fa-IR"/>
        </w:rPr>
        <w:instrText xml:space="preserve"> REF _Caption0581 </w:instrText>
      </w:r>
      <w:r>
        <w:rPr>
          <w:szCs w:val="22"/>
          <w:lang w:bidi="fa-IR"/>
        </w:rPr>
        <w:fldChar w:fldCharType="separate"/>
      </w:r>
      <w:r w:rsidR="006E00A7">
        <w:rPr>
          <w:noProof/>
        </w:rPr>
        <w:t>7</w:t>
      </w:r>
      <w:r w:rsidR="006E00A7" w:rsidRPr="006F0F88">
        <w:rPr>
          <w:noProof/>
        </w:rPr>
        <w:t>.</w:t>
      </w:r>
      <w:r w:rsidR="006E00A7">
        <w:rPr>
          <w:noProof/>
        </w:rPr>
        <w:t>10</w:t>
      </w:r>
      <w:r>
        <w:rPr>
          <w:szCs w:val="22"/>
          <w:lang w:bidi="fa-IR"/>
        </w:rPr>
        <w:fldChar w:fldCharType="end"/>
      </w:r>
      <w:r w:rsidRPr="00844A6E">
        <w:rPr>
          <w:szCs w:val="22"/>
          <w:lang w:bidi="fa-IR"/>
        </w:rPr>
        <w:t>), avoided GHG emissions are estimated at around:</w:t>
      </w:r>
    </w:p>
    <w:p w14:paraId="6329E6B7" w14:textId="7CC4C800" w:rsidR="006568C5" w:rsidRPr="00F241DE" w:rsidRDefault="00CD1153" w:rsidP="006568C5">
      <w:pPr>
        <w:pStyle w:val="ListBullet"/>
        <w:tabs>
          <w:tab w:val="num" w:pos="709"/>
        </w:tabs>
      </w:pPr>
      <w:r>
        <w:t>6.2</w:t>
      </w:r>
      <w:r w:rsidR="006568C5" w:rsidRPr="00F241DE">
        <w:t> Mt CO2</w:t>
      </w:r>
      <w:r w:rsidR="006568C5" w:rsidRPr="00F241DE">
        <w:noBreakHyphen/>
        <w:t>e for Stringency Level 1</w:t>
      </w:r>
    </w:p>
    <w:p w14:paraId="5984F789" w14:textId="5534F0DF" w:rsidR="006568C5" w:rsidRPr="00F241DE" w:rsidRDefault="00546189" w:rsidP="006568C5">
      <w:pPr>
        <w:pStyle w:val="ListBullet"/>
        <w:tabs>
          <w:tab w:val="num" w:pos="709"/>
        </w:tabs>
      </w:pPr>
      <w:r>
        <w:t>13.6</w:t>
      </w:r>
      <w:r w:rsidR="006568C5" w:rsidRPr="00F241DE">
        <w:t> Mt CO2</w:t>
      </w:r>
      <w:r w:rsidR="006568C5" w:rsidRPr="00F241DE">
        <w:noBreakHyphen/>
        <w:t>e for Stringency Level 2</w:t>
      </w:r>
    </w:p>
    <w:p w14:paraId="5D1922AD" w14:textId="6011B098" w:rsidR="006568C5" w:rsidRPr="00F241DE" w:rsidRDefault="00546189" w:rsidP="006568C5">
      <w:pPr>
        <w:pStyle w:val="ListBullet"/>
        <w:tabs>
          <w:tab w:val="num" w:pos="709"/>
        </w:tabs>
      </w:pPr>
      <w:r>
        <w:t>19.6</w:t>
      </w:r>
      <w:r w:rsidR="006568C5" w:rsidRPr="00F241DE">
        <w:t xml:space="preserve"> Mt CO2</w:t>
      </w:r>
      <w:r w:rsidR="006568C5" w:rsidRPr="00F241DE">
        <w:noBreakHyphen/>
        <w:t>e for Stringency Level 3.</w:t>
      </w:r>
    </w:p>
    <w:p w14:paraId="285433DF" w14:textId="14613CDC" w:rsidR="006568C5" w:rsidRDefault="006568C5" w:rsidP="006568C5">
      <w:pPr>
        <w:pStyle w:val="BodyText"/>
        <w:rPr>
          <w:szCs w:val="22"/>
          <w:vertAlign w:val="subscript"/>
          <w:lang w:bidi="fa-IR"/>
        </w:rPr>
      </w:pPr>
      <w:r w:rsidRPr="00844A6E">
        <w:rPr>
          <w:szCs w:val="22"/>
          <w:lang w:bidi="fa-IR"/>
        </w:rPr>
        <w:t xml:space="preserve">The cumulative difference between Stringency Levels 2 and 3 across the whole period is therefore </w:t>
      </w:r>
      <w:r>
        <w:rPr>
          <w:szCs w:val="22"/>
          <w:lang w:bidi="fa-IR"/>
        </w:rPr>
        <w:t>around</w:t>
      </w:r>
      <w:r w:rsidRPr="00844A6E">
        <w:rPr>
          <w:szCs w:val="22"/>
          <w:lang w:bidi="fa-IR"/>
        </w:rPr>
        <w:t xml:space="preserve"> </w:t>
      </w:r>
      <w:r w:rsidR="000E7B19">
        <w:rPr>
          <w:szCs w:val="22"/>
          <w:lang w:bidi="fa-IR"/>
        </w:rPr>
        <w:t>6</w:t>
      </w:r>
      <w:r w:rsidRPr="00844A6E">
        <w:rPr>
          <w:szCs w:val="22"/>
          <w:lang w:bidi="fa-IR"/>
        </w:rPr>
        <w:t> Mt CO</w:t>
      </w:r>
      <w:r w:rsidRPr="00844A6E">
        <w:rPr>
          <w:szCs w:val="22"/>
          <w:vertAlign w:val="subscript"/>
          <w:lang w:bidi="fa-IR"/>
        </w:rPr>
        <w:t>2</w:t>
      </w:r>
      <w:r w:rsidRPr="00844A6E">
        <w:rPr>
          <w:szCs w:val="22"/>
          <w:vertAlign w:val="subscript"/>
          <w:lang w:bidi="fa-IR"/>
        </w:rPr>
        <w:noBreakHyphen/>
        <w:t>e</w:t>
      </w:r>
      <w:r w:rsidRPr="00844A6E">
        <w:rPr>
          <w:szCs w:val="22"/>
          <w:lang w:bidi="fa-IR"/>
        </w:rPr>
        <w:t>.</w:t>
      </w:r>
    </w:p>
    <w:p w14:paraId="4156B081" w14:textId="485F02B5" w:rsidR="006568C5" w:rsidRPr="006F0F88" w:rsidRDefault="006568C5" w:rsidP="006568C5">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EA6E4C">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A6E4C">
          <w:rPr>
            <w:noProof/>
          </w:rPr>
          <w:instrText>7</w:instrText>
        </w:r>
      </w:fldSimple>
      <w:r w:rsidRPr="006F0F88">
        <w:instrText xml:space="preserve"> = 0 "" "</w:instrText>
      </w:r>
      <w:fldSimple w:instr=" STYLEREF &quot;Heading 1&quot; \l \n ">
        <w:r w:rsidR="00EA6E4C">
          <w:rPr>
            <w:noProof/>
          </w:rPr>
          <w:instrText>7</w:instrText>
        </w:r>
      </w:fldSimple>
      <w:r w:rsidRPr="006F0F88">
        <w:instrText xml:space="preserve">." </w:instrText>
      </w:r>
      <w:r w:rsidRPr="006F0F88">
        <w:fldChar w:fldCharType="separate"/>
      </w:r>
      <w:r w:rsidR="00EA6E4C">
        <w:rPr>
          <w:noProof/>
        </w:rPr>
        <w:instrText>7</w:instrText>
      </w:r>
      <w:r w:rsidR="00EA6E4C" w:rsidRPr="006F0F88">
        <w:rPr>
          <w:noProof/>
        </w:rPr>
        <w:instrText>.</w:instrText>
      </w:r>
      <w:r w:rsidRPr="006F0F88">
        <w:fldChar w:fldCharType="end"/>
      </w:r>
      <w:r w:rsidRPr="006F0F88">
        <w:instrText>" "</w:instrText>
      </w:r>
      <w:fldSimple w:instr=" STYLEREF &quot;Heading 6&quot; \l \n ">
        <w:r w:rsidRPr="006F0F88">
          <w:instrText>A</w:instrText>
        </w:r>
      </w:fldSimple>
      <w:r w:rsidRPr="006F0F88">
        <w:instrText xml:space="preserve">." </w:instrText>
      </w:r>
      <w:r w:rsidRPr="006F0F88">
        <w:fldChar w:fldCharType="separate"/>
      </w:r>
      <w:r w:rsidR="008C60A3">
        <w:rPr>
          <w:noProof/>
        </w:rPr>
        <w:instrText>7</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EA6E4C">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A6E4C">
          <w:rPr>
            <w:noProof/>
          </w:rPr>
          <w:instrText>7</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EA6E4C">
        <w:rPr>
          <w:noProof/>
        </w:rPr>
        <w:instrText>10</w:instrText>
      </w:r>
      <w:r w:rsidRPr="006F0F88">
        <w:fldChar w:fldCharType="end"/>
      </w:r>
      <w:r w:rsidRPr="006F0F88">
        <w:instrText xml:space="preserve">" "" </w:instrText>
      </w:r>
      <w:r w:rsidRPr="006F0F88">
        <w:fldChar w:fldCharType="separate"/>
      </w:r>
      <w:bookmarkStart w:id="3940" w:name="_Caption2129"/>
      <w:bookmarkStart w:id="3941" w:name="_Caption0076"/>
      <w:bookmarkStart w:id="3942" w:name="_Caption2918"/>
      <w:bookmarkStart w:id="3943" w:name="_Caption9202"/>
      <w:bookmarkStart w:id="3944" w:name="_Caption5243"/>
      <w:bookmarkStart w:id="3945" w:name="_Caption0393"/>
      <w:bookmarkStart w:id="3946" w:name="_Caption5130"/>
      <w:bookmarkStart w:id="3947" w:name="_Caption4827"/>
      <w:bookmarkStart w:id="3948" w:name="_Caption6675"/>
      <w:bookmarkStart w:id="3949" w:name="_Caption8747"/>
      <w:bookmarkStart w:id="3950" w:name="_Caption2877"/>
      <w:bookmarkStart w:id="3951" w:name="_Caption2268"/>
      <w:bookmarkStart w:id="3952" w:name="_Caption1306"/>
      <w:bookmarkStart w:id="3953" w:name="_Caption9632"/>
      <w:bookmarkStart w:id="3954" w:name="_Caption4850"/>
      <w:bookmarkStart w:id="3955" w:name="_Caption4780"/>
      <w:bookmarkStart w:id="3956" w:name="_Caption9065"/>
      <w:bookmarkStart w:id="3957" w:name="_Caption0899"/>
      <w:bookmarkStart w:id="3958" w:name="_Caption2119"/>
      <w:bookmarkStart w:id="3959" w:name="_Caption4059"/>
      <w:bookmarkStart w:id="3960" w:name="_Caption3123"/>
      <w:bookmarkStart w:id="3961" w:name="_Caption1476"/>
      <w:bookmarkStart w:id="3962" w:name="_Caption0709"/>
      <w:bookmarkStart w:id="3963" w:name="_Caption0541"/>
      <w:bookmarkStart w:id="3964" w:name="_Caption0581"/>
      <w:bookmarkStart w:id="3965" w:name="_Caption0377"/>
      <w:bookmarkStart w:id="3966" w:name="_Caption9597"/>
      <w:bookmarkStart w:id="3967" w:name="_Caption2718"/>
      <w:bookmarkStart w:id="3968" w:name="_Caption1592"/>
      <w:bookmarkStart w:id="3969" w:name="_Caption4580"/>
      <w:bookmarkStart w:id="3970" w:name="_Caption1558"/>
      <w:bookmarkStart w:id="3971" w:name="_Caption0508"/>
      <w:bookmarkStart w:id="3972" w:name="_Caption8392"/>
      <w:bookmarkStart w:id="3973" w:name="_Caption0943"/>
      <w:bookmarkStart w:id="3974" w:name="_Caption4822"/>
      <w:bookmarkStart w:id="3975" w:name="_Caption2985"/>
      <w:bookmarkStart w:id="3976" w:name="_Caption3594"/>
      <w:bookmarkStart w:id="3977" w:name="_Caption7771"/>
      <w:bookmarkStart w:id="3978" w:name="_Caption4639"/>
      <w:bookmarkStart w:id="3979" w:name="_Caption1863"/>
      <w:bookmarkStart w:id="3980" w:name="_Caption2834"/>
      <w:bookmarkStart w:id="3981" w:name="_Caption4659"/>
      <w:bookmarkStart w:id="3982" w:name="_Caption7838"/>
      <w:bookmarkStart w:id="3983" w:name="_Toc177735179"/>
      <w:bookmarkStart w:id="3984" w:name="_Toc178292609"/>
      <w:r w:rsidR="008C60A3">
        <w:rPr>
          <w:noProof/>
        </w:rPr>
        <w:t>7</w:t>
      </w:r>
      <w:r w:rsidR="008C60A3" w:rsidRPr="006F0F88">
        <w:rPr>
          <w:noProof/>
        </w:rPr>
        <w:t>.</w:t>
      </w:r>
      <w:r w:rsidR="008C60A3">
        <w:rPr>
          <w:noProof/>
        </w:rPr>
        <w:t>10</w:t>
      </w:r>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r w:rsidRPr="006F0F88">
        <w:fldChar w:fldCharType="end"/>
      </w:r>
      <w:r w:rsidRPr="006F0F88">
        <w:tab/>
        <w:t>Cumulative avoided GHG emissions</w:t>
      </w:r>
      <w:bookmarkEnd w:id="3983"/>
      <w:bookmarkEnd w:id="3984"/>
    </w:p>
    <w:tbl>
      <w:tblPr>
        <w:tblStyle w:val="TableGrid"/>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9E8E5" w:themeFill="background2"/>
        <w:tblLayout w:type="fixed"/>
        <w:tblCellMar>
          <w:left w:w="0" w:type="dxa"/>
          <w:right w:w="0" w:type="dxa"/>
        </w:tblCellMar>
        <w:tblLook w:val="04A0" w:firstRow="1" w:lastRow="0" w:firstColumn="1" w:lastColumn="0" w:noHBand="0" w:noVBand="1"/>
      </w:tblPr>
      <w:tblGrid>
        <w:gridCol w:w="7938"/>
      </w:tblGrid>
      <w:tr w:rsidR="006568C5" w14:paraId="56BB92F2" w14:textId="77777777">
        <w:trPr>
          <w:cantSplit/>
        </w:trPr>
        <w:tc>
          <w:tcPr>
            <w:tcW w:w="7938" w:type="dxa"/>
            <w:shd w:val="clear" w:color="auto" w:fill="E9E8E5" w:themeFill="background2"/>
          </w:tcPr>
          <w:p w14:paraId="35BE0B12" w14:textId="20D8B8E0" w:rsidR="006568C5" w:rsidRDefault="00507672">
            <w:pPr>
              <w:pStyle w:val="Chart"/>
            </w:pPr>
            <w:r w:rsidRPr="00507672">
              <w:rPr>
                <w:noProof/>
              </w:rPr>
              <w:drawing>
                <wp:inline distT="0" distB="0" distL="0" distR="0" wp14:anchorId="13638C96" wp14:editId="3E3F1D1E">
                  <wp:extent cx="5035550" cy="2432050"/>
                  <wp:effectExtent l="0" t="0" r="0" b="0"/>
                  <wp:docPr id="2047387427" name="Picture 2" descr="This chart shows the accumulative avoided GHG emissions by Stringency levels up to 2081. Stringency 3 has the highest reduction in emissions while Stringency 1 the low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387427" name="Picture 2" descr="This chart shows the accumulative avoided GHG emissions by Stringency levels up to 2081. Stringency 3 has the highest reduction in emissions while Stringency 1 the lowes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035550" cy="2432050"/>
                          </a:xfrm>
                          <a:prstGeom prst="rect">
                            <a:avLst/>
                          </a:prstGeom>
                          <a:noFill/>
                          <a:ln>
                            <a:noFill/>
                          </a:ln>
                        </pic:spPr>
                      </pic:pic>
                    </a:graphicData>
                  </a:graphic>
                </wp:inline>
              </w:drawing>
            </w:r>
          </w:p>
        </w:tc>
      </w:tr>
    </w:tbl>
    <w:p w14:paraId="46C96120" w14:textId="77777777" w:rsidR="006568C5" w:rsidRDefault="006568C5" w:rsidP="006568C5">
      <w:pPr>
        <w:pStyle w:val="Source"/>
      </w:pPr>
      <w:r>
        <w:rPr>
          <w:i/>
        </w:rPr>
        <w:t>Data source</w:t>
      </w:r>
      <w:r w:rsidRPr="00A67576">
        <w:rPr>
          <w:i/>
        </w:rPr>
        <w:t>:</w:t>
      </w:r>
      <w:r>
        <w:t xml:space="preserve"> CIE based on DeltaQ modelling.</w:t>
      </w:r>
    </w:p>
    <w:p w14:paraId="369FD7E6" w14:textId="77777777" w:rsidR="006568C5" w:rsidRPr="00EF54D7" w:rsidRDefault="006568C5" w:rsidP="006568C5">
      <w:pPr>
        <w:pStyle w:val="Heading3"/>
        <w:rPr>
          <w:lang w:eastAsia="en-US"/>
        </w:rPr>
      </w:pPr>
      <w:r w:rsidRPr="00EF54D7">
        <w:rPr>
          <w:lang w:eastAsia="en-US"/>
        </w:rPr>
        <w:t>Electricity grid impacts</w:t>
      </w:r>
    </w:p>
    <w:p w14:paraId="66399088" w14:textId="3E918CDB" w:rsidR="00C43EE4" w:rsidRDefault="006A3984" w:rsidP="00C43EE4">
      <w:pPr>
        <w:pStyle w:val="BodyText"/>
        <w:rPr>
          <w:lang w:eastAsia="en-US"/>
        </w:rPr>
      </w:pPr>
      <w:r>
        <w:rPr>
          <w:lang w:eastAsia="en-US"/>
        </w:rPr>
        <w:t xml:space="preserve">The impacts on the electricity grid are broadly </w:t>
      </w:r>
      <w:r w:rsidR="006B5466">
        <w:rPr>
          <w:lang w:eastAsia="en-US"/>
        </w:rPr>
        <w:t>captured through the CBA methodology.</w:t>
      </w:r>
      <w:r w:rsidR="001A7C55">
        <w:rPr>
          <w:lang w:eastAsia="en-US"/>
        </w:rPr>
        <w:t xml:space="preserve"> </w:t>
      </w:r>
      <w:r w:rsidR="00343C79">
        <w:rPr>
          <w:lang w:eastAsia="en-US"/>
        </w:rPr>
        <w:t>One of the challenges</w:t>
      </w:r>
      <w:r w:rsidR="001776E7">
        <w:rPr>
          <w:lang w:eastAsia="en-US"/>
        </w:rPr>
        <w:t xml:space="preserve"> associated with </w:t>
      </w:r>
      <w:r w:rsidR="001C09B7">
        <w:rPr>
          <w:lang w:eastAsia="en-US"/>
        </w:rPr>
        <w:t xml:space="preserve">the energy transition is managing periods of </w:t>
      </w:r>
      <w:r w:rsidR="00B917F9">
        <w:rPr>
          <w:lang w:eastAsia="en-US"/>
        </w:rPr>
        <w:t xml:space="preserve">low </w:t>
      </w:r>
      <w:r w:rsidR="002243AC">
        <w:rPr>
          <w:lang w:eastAsia="en-US"/>
        </w:rPr>
        <w:t xml:space="preserve">operational </w:t>
      </w:r>
      <w:r w:rsidR="002243AC" w:rsidRPr="006F58B1">
        <w:rPr>
          <w:lang w:eastAsia="en-US"/>
        </w:rPr>
        <w:t>demand</w:t>
      </w:r>
      <w:r w:rsidR="007515F3" w:rsidRPr="006F58B1">
        <w:rPr>
          <w:lang w:eastAsia="en-US"/>
        </w:rPr>
        <w:t xml:space="preserve"> (see box</w:t>
      </w:r>
      <w:r w:rsidR="00C676A9" w:rsidRPr="006F58B1">
        <w:rPr>
          <w:lang w:eastAsia="en-US"/>
        </w:rPr>
        <w:t> </w:t>
      </w:r>
      <w:r w:rsidR="00FA6139" w:rsidRPr="006F58B1">
        <w:rPr>
          <w:lang w:eastAsia="en-US"/>
        </w:rPr>
        <w:t>5.6</w:t>
      </w:r>
      <w:r w:rsidR="00C676A9" w:rsidRPr="006F58B1">
        <w:rPr>
          <w:lang w:eastAsia="en-US"/>
        </w:rPr>
        <w:t xml:space="preserve"> above)</w:t>
      </w:r>
      <w:r w:rsidR="002A4F09" w:rsidRPr="006F58B1">
        <w:rPr>
          <w:lang w:eastAsia="en-US"/>
        </w:rPr>
        <w:t>.</w:t>
      </w:r>
      <w:r w:rsidR="00933683" w:rsidRPr="006F58B1">
        <w:rPr>
          <w:lang w:eastAsia="en-US"/>
        </w:rPr>
        <w:t xml:space="preserve"> </w:t>
      </w:r>
      <w:r w:rsidR="0030112F" w:rsidRPr="006F58B1">
        <w:rPr>
          <w:lang w:eastAsia="en-US"/>
        </w:rPr>
        <w:t>Where</w:t>
      </w:r>
      <w:r w:rsidR="0030112F">
        <w:rPr>
          <w:lang w:eastAsia="en-US"/>
        </w:rPr>
        <w:t xml:space="preserve"> there is h</w:t>
      </w:r>
      <w:r w:rsidR="00225819">
        <w:rPr>
          <w:lang w:eastAsia="en-US"/>
        </w:rPr>
        <w:t xml:space="preserve">igh rooftop </w:t>
      </w:r>
      <w:r w:rsidR="001F07F8">
        <w:rPr>
          <w:lang w:eastAsia="en-US"/>
        </w:rPr>
        <w:t>(and possibly ground mounted) solar</w:t>
      </w:r>
      <w:r w:rsidR="0030112F">
        <w:rPr>
          <w:lang w:eastAsia="en-US"/>
        </w:rPr>
        <w:t xml:space="preserve"> penetration,</w:t>
      </w:r>
      <w:r w:rsidR="00E96CBA">
        <w:rPr>
          <w:lang w:eastAsia="en-US"/>
        </w:rPr>
        <w:t xml:space="preserve"> </w:t>
      </w:r>
      <w:r w:rsidR="00AE1A7F">
        <w:rPr>
          <w:lang w:eastAsia="en-US"/>
        </w:rPr>
        <w:t xml:space="preserve">in certain conditions </w:t>
      </w:r>
      <w:r w:rsidR="00E96CBA">
        <w:rPr>
          <w:lang w:eastAsia="en-US"/>
        </w:rPr>
        <w:t>this can displace</w:t>
      </w:r>
      <w:r w:rsidR="00B47D97">
        <w:rPr>
          <w:lang w:eastAsia="en-US"/>
        </w:rPr>
        <w:t xml:space="preserve"> gas and coal-fired generation which</w:t>
      </w:r>
      <w:r w:rsidR="00B40AA1">
        <w:rPr>
          <w:lang w:eastAsia="en-US"/>
        </w:rPr>
        <w:t xml:space="preserve"> provides critical </w:t>
      </w:r>
      <w:r w:rsidR="00CB1598">
        <w:rPr>
          <w:lang w:eastAsia="en-US"/>
        </w:rPr>
        <w:t>system security service</w:t>
      </w:r>
      <w:r w:rsidR="008F1E20">
        <w:rPr>
          <w:lang w:eastAsia="en-US"/>
        </w:rPr>
        <w:t>.</w:t>
      </w:r>
      <w:r w:rsidR="00352ACB">
        <w:rPr>
          <w:lang w:eastAsia="en-US"/>
        </w:rPr>
        <w:t xml:space="preserve"> In these circumstances, AEMO may need to intervene in the market</w:t>
      </w:r>
      <w:r w:rsidR="00BF6ABA">
        <w:rPr>
          <w:lang w:eastAsia="en-US"/>
        </w:rPr>
        <w:t xml:space="preserve"> </w:t>
      </w:r>
      <w:r w:rsidR="00C43EE4" w:rsidRPr="003C7B5B">
        <w:t>to keep the grid in a secure operating state</w:t>
      </w:r>
      <w:r w:rsidR="00C43EE4">
        <w:t>.</w:t>
      </w:r>
    </w:p>
    <w:p w14:paraId="2D2A7324" w14:textId="532A27C0" w:rsidR="006568C5" w:rsidRDefault="0096460F" w:rsidP="006568C5">
      <w:pPr>
        <w:pStyle w:val="BodyText"/>
        <w:rPr>
          <w:lang w:eastAsia="en-US"/>
        </w:rPr>
      </w:pPr>
      <w:r>
        <w:rPr>
          <w:lang w:eastAsia="en-US"/>
        </w:rPr>
        <w:t xml:space="preserve">According to </w:t>
      </w:r>
      <w:r w:rsidR="007C0982">
        <w:rPr>
          <w:lang w:eastAsia="en-US"/>
        </w:rPr>
        <w:t>AEMO forecasts, minimum demand in NEM regions</w:t>
      </w:r>
      <w:r w:rsidR="007D672A">
        <w:rPr>
          <w:lang w:eastAsia="en-US"/>
        </w:rPr>
        <w:t xml:space="preserve"> </w:t>
      </w:r>
      <w:r w:rsidR="0069296B">
        <w:rPr>
          <w:lang w:eastAsia="en-US"/>
        </w:rPr>
        <w:t xml:space="preserve">will decline significantly </w:t>
      </w:r>
      <w:r w:rsidR="00540CA1">
        <w:rPr>
          <w:lang w:eastAsia="en-US"/>
        </w:rPr>
        <w:t xml:space="preserve">as the energy transition </w:t>
      </w:r>
      <w:r w:rsidR="00540CA1" w:rsidRPr="006F58B1">
        <w:rPr>
          <w:lang w:eastAsia="en-US"/>
        </w:rPr>
        <w:t>proceeds (chart </w:t>
      </w:r>
      <w:r w:rsidR="00801B91" w:rsidRPr="006F58B1">
        <w:rPr>
          <w:lang w:eastAsia="en-US"/>
        </w:rPr>
        <w:t>7.11</w:t>
      </w:r>
      <w:r w:rsidR="00540CA1" w:rsidRPr="006F58B1">
        <w:rPr>
          <w:lang w:eastAsia="en-US"/>
        </w:rPr>
        <w:t>).</w:t>
      </w:r>
    </w:p>
    <w:p w14:paraId="63A6614D" w14:textId="5B9AD84C" w:rsidR="00457AF6" w:rsidRPr="00695C93" w:rsidRDefault="00457AF6">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EA6E4C">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EA6E4C">
          <w:rPr>
            <w:noProof/>
          </w:rPr>
          <w:instrText>7</w:instrText>
        </w:r>
      </w:fldSimple>
      <w:r w:rsidRPr="00695C93">
        <w:instrText xml:space="preserve"> = 0 "" "</w:instrText>
      </w:r>
      <w:fldSimple w:instr=" STYLEREF &quot;Heading 1&quot; \l \n ">
        <w:r w:rsidR="00EA6E4C">
          <w:rPr>
            <w:noProof/>
          </w:rPr>
          <w:instrText>7</w:instrText>
        </w:r>
      </w:fldSimple>
      <w:r w:rsidRPr="00695C93">
        <w:instrText xml:space="preserve">." </w:instrText>
      </w:r>
      <w:r w:rsidRPr="00695C93">
        <w:fldChar w:fldCharType="separate"/>
      </w:r>
      <w:r w:rsidR="00EA6E4C">
        <w:rPr>
          <w:noProof/>
        </w:rPr>
        <w:instrText>7</w:instrText>
      </w:r>
      <w:r w:rsidR="00EA6E4C" w:rsidRPr="00695C93">
        <w:rPr>
          <w:noProof/>
        </w:rPr>
        <w:instrText>.</w:instrText>
      </w:r>
      <w:r w:rsidRPr="00695C93">
        <w:fldChar w:fldCharType="end"/>
      </w:r>
      <w:r w:rsidRPr="00695C93">
        <w:instrText>" "</w:instrText>
      </w:r>
      <w:fldSimple w:instr=" STYLEREF &quot;Heading 6&quot; \l \n ">
        <w:r>
          <w:rPr>
            <w:noProof/>
          </w:rPr>
          <w:instrText>A</w:instrText>
        </w:r>
      </w:fldSimple>
      <w:r w:rsidRPr="00695C93">
        <w:instrText xml:space="preserve">." </w:instrText>
      </w:r>
      <w:r w:rsidRPr="00695C93">
        <w:fldChar w:fldCharType="separate"/>
      </w:r>
      <w:r w:rsidR="008C60A3">
        <w:rPr>
          <w:noProof/>
        </w:rPr>
        <w:instrText>7</w:instrText>
      </w:r>
      <w:r w:rsidR="008C60A3"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EA6E4C">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EA6E4C">
          <w:rPr>
            <w:noProof/>
          </w:rPr>
          <w:instrText>7</w:instrText>
        </w:r>
      </w:fldSimple>
      <w:r w:rsidRPr="00695C93">
        <w:instrText xml:space="preserve"> = 0 "" "1" </w:instrText>
      </w:r>
      <w:r w:rsidRPr="00695C93">
        <w:fldChar w:fldCharType="separate"/>
      </w:r>
      <w:r w:rsidR="008C60A3" w:rsidRPr="00695C93">
        <w:rPr>
          <w:noProof/>
        </w:rPr>
        <w:instrText>1</w:instrText>
      </w:r>
      <w:r w:rsidRPr="00695C93">
        <w:fldChar w:fldCharType="end"/>
      </w:r>
      <w:r w:rsidRPr="00695C93">
        <w:instrText xml:space="preserve">" "6" </w:instrText>
      </w:r>
      <w:r w:rsidRPr="00695C93">
        <w:fldChar w:fldCharType="separate"/>
      </w:r>
      <w:r w:rsidR="008C60A3" w:rsidRPr="00695C93">
        <w:rPr>
          <w:noProof/>
        </w:rPr>
        <w:instrText>1</w:instrText>
      </w:r>
      <w:r w:rsidRPr="00695C93">
        <w:fldChar w:fldCharType="end"/>
      </w:r>
      <w:r w:rsidRPr="00695C93">
        <w:instrText xml:space="preserve"> </w:instrText>
      </w:r>
      <w:r w:rsidRPr="00695C93">
        <w:fldChar w:fldCharType="separate"/>
      </w:r>
      <w:r w:rsidR="00EA6E4C">
        <w:rPr>
          <w:noProof/>
        </w:rPr>
        <w:instrText>11</w:instrText>
      </w:r>
      <w:r w:rsidRPr="00695C93">
        <w:fldChar w:fldCharType="end"/>
      </w:r>
      <w:r w:rsidRPr="00695C93">
        <w:instrText xml:space="preserve">" "" </w:instrText>
      </w:r>
      <w:r w:rsidRPr="00695C93">
        <w:fldChar w:fldCharType="separate"/>
      </w:r>
      <w:bookmarkStart w:id="3985" w:name="_Caption1941"/>
      <w:bookmarkStart w:id="3986" w:name="_Caption3937"/>
      <w:bookmarkStart w:id="3987" w:name="_Toc178292610"/>
      <w:r w:rsidR="008C60A3">
        <w:rPr>
          <w:noProof/>
        </w:rPr>
        <w:t>7</w:t>
      </w:r>
      <w:r w:rsidR="008C60A3" w:rsidRPr="00695C93">
        <w:rPr>
          <w:noProof/>
        </w:rPr>
        <w:t>.</w:t>
      </w:r>
      <w:r w:rsidR="008C60A3">
        <w:rPr>
          <w:noProof/>
        </w:rPr>
        <w:t>11</w:t>
      </w:r>
      <w:bookmarkEnd w:id="3985"/>
      <w:bookmarkEnd w:id="3986"/>
      <w:r w:rsidRPr="00695C93">
        <w:fldChar w:fldCharType="end"/>
      </w:r>
      <w:r w:rsidRPr="00695C93">
        <w:tab/>
      </w:r>
      <w:r w:rsidR="004139B0">
        <w:t xml:space="preserve">Forecast minimum </w:t>
      </w:r>
      <w:r w:rsidR="007515F3">
        <w:t xml:space="preserve">operational </w:t>
      </w:r>
      <w:r w:rsidR="004139B0">
        <w:t>demand by NEM region</w:t>
      </w:r>
      <w:bookmarkEnd w:id="3987"/>
    </w:p>
    <w:tbl>
      <w:tblPr>
        <w:tblStyle w:val="TableGrid"/>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9E8E5" w:themeFill="background2"/>
        <w:tblLayout w:type="fixed"/>
        <w:tblCellMar>
          <w:left w:w="0" w:type="dxa"/>
          <w:right w:w="0" w:type="dxa"/>
        </w:tblCellMar>
        <w:tblLook w:val="04A0" w:firstRow="1" w:lastRow="0" w:firstColumn="1" w:lastColumn="0" w:noHBand="0" w:noVBand="1"/>
      </w:tblPr>
      <w:tblGrid>
        <w:gridCol w:w="7938"/>
      </w:tblGrid>
      <w:tr w:rsidR="00457AF6" w14:paraId="0906A30B" w14:textId="77777777">
        <w:trPr>
          <w:cantSplit/>
        </w:trPr>
        <w:tc>
          <w:tcPr>
            <w:tcW w:w="7938" w:type="dxa"/>
            <w:shd w:val="clear" w:color="auto" w:fill="E9E8E5" w:themeFill="background2"/>
          </w:tcPr>
          <w:p w14:paraId="00EFC289" w14:textId="043926F2" w:rsidR="00457AF6" w:rsidRDefault="00EA7D30">
            <w:pPr>
              <w:pStyle w:val="Chart"/>
            </w:pPr>
            <w:r w:rsidRPr="00EA7D30">
              <w:rPr>
                <w:noProof/>
              </w:rPr>
              <w:drawing>
                <wp:inline distT="0" distB="0" distL="0" distR="0" wp14:anchorId="322F937E" wp14:editId="603E6858">
                  <wp:extent cx="5040630" cy="2431415"/>
                  <wp:effectExtent l="0" t="0" r="0" b="0"/>
                  <wp:docPr id="898341595" name="Picture 1" descr="This chart shows forecast annual minimum operational demand by NEM region up to 2053. Minimum operational demand will dec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341595" name="Picture 1" descr="This chart shows forecast annual minimum operational demand by NEM region up to 2053. Minimum operational demand will declin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040630" cy="2431415"/>
                          </a:xfrm>
                          <a:prstGeom prst="rect">
                            <a:avLst/>
                          </a:prstGeom>
                          <a:noFill/>
                          <a:ln>
                            <a:noFill/>
                          </a:ln>
                        </pic:spPr>
                      </pic:pic>
                    </a:graphicData>
                  </a:graphic>
                </wp:inline>
              </w:drawing>
            </w:r>
          </w:p>
        </w:tc>
      </w:tr>
    </w:tbl>
    <w:p w14:paraId="219A8019" w14:textId="38776EAC" w:rsidR="000434BE" w:rsidRPr="00A97BEC" w:rsidRDefault="000434BE" w:rsidP="000434BE">
      <w:pPr>
        <w:pStyle w:val="Note"/>
      </w:pPr>
      <w:r w:rsidRPr="00A97BEC">
        <w:rPr>
          <w:i/>
        </w:rPr>
        <w:t xml:space="preserve">Note: </w:t>
      </w:r>
      <w:r>
        <w:rPr>
          <w:i/>
        </w:rPr>
        <w:t>B</w:t>
      </w:r>
      <w:r w:rsidR="00AF1366">
        <w:rPr>
          <w:i/>
        </w:rPr>
        <w:t>ased on AEMO’s Step Change scenario</w:t>
      </w:r>
      <w:r w:rsidR="00EE7351">
        <w:rPr>
          <w:i/>
        </w:rPr>
        <w:t xml:space="preserve"> with a 50 per cent probability of exceedance.</w:t>
      </w:r>
    </w:p>
    <w:p w14:paraId="781E18AB" w14:textId="38390193" w:rsidR="00457AF6" w:rsidRDefault="00457AF6">
      <w:pPr>
        <w:pStyle w:val="Source"/>
      </w:pPr>
      <w:r>
        <w:rPr>
          <w:i/>
        </w:rPr>
        <w:t>Data source</w:t>
      </w:r>
      <w:r w:rsidRPr="00A67576">
        <w:rPr>
          <w:i/>
        </w:rPr>
        <w:t>:</w:t>
      </w:r>
      <w:r>
        <w:t xml:space="preserve"> </w:t>
      </w:r>
      <w:r w:rsidR="000853AE">
        <w:t>AEMO forecasts.</w:t>
      </w:r>
    </w:p>
    <w:p w14:paraId="3865F6BA" w14:textId="7A2E2076" w:rsidR="00DA02A5" w:rsidRDefault="009E50DF" w:rsidP="006568C5">
      <w:pPr>
        <w:pStyle w:val="BodyText"/>
        <w:rPr>
          <w:lang w:eastAsia="en-US"/>
        </w:rPr>
      </w:pPr>
      <w:r>
        <w:rPr>
          <w:lang w:eastAsia="en-US"/>
        </w:rPr>
        <w:t>The forecast change</w:t>
      </w:r>
      <w:r w:rsidR="00745DD7">
        <w:rPr>
          <w:lang w:eastAsia="en-US"/>
        </w:rPr>
        <w:t>s</w:t>
      </w:r>
      <w:r>
        <w:rPr>
          <w:lang w:eastAsia="en-US"/>
        </w:rPr>
        <w:t xml:space="preserve"> in minimum operational demand </w:t>
      </w:r>
      <w:r w:rsidR="00FA258E">
        <w:rPr>
          <w:lang w:eastAsia="en-US"/>
        </w:rPr>
        <w:t>to 2034</w:t>
      </w:r>
      <w:r w:rsidR="00E73921">
        <w:rPr>
          <w:lang w:eastAsia="en-US"/>
        </w:rPr>
        <w:t xml:space="preserve"> </w:t>
      </w:r>
      <w:r w:rsidR="0030422D">
        <w:rPr>
          <w:lang w:eastAsia="en-US"/>
        </w:rPr>
        <w:t xml:space="preserve">— the end of the 10-year regulatory period </w:t>
      </w:r>
      <w:r w:rsidR="00F60FED">
        <w:rPr>
          <w:lang w:eastAsia="en-US"/>
        </w:rPr>
        <w:t>when the proposed changes to the NCC will have their maximum impact —</w:t>
      </w:r>
      <w:r w:rsidR="00745DD7">
        <w:rPr>
          <w:lang w:eastAsia="en-US"/>
        </w:rPr>
        <w:t xml:space="preserve"> in each NEM</w:t>
      </w:r>
      <w:r w:rsidR="00276C44">
        <w:rPr>
          <w:lang w:eastAsia="en-US"/>
        </w:rPr>
        <w:t xml:space="preserve"> region is </w:t>
      </w:r>
      <w:r w:rsidR="00276C44" w:rsidRPr="00DB1ECE">
        <w:rPr>
          <w:lang w:eastAsia="en-US"/>
        </w:rPr>
        <w:t>shown in table </w:t>
      </w:r>
      <w:r w:rsidR="00ED34DA" w:rsidRPr="00DB1ECE">
        <w:rPr>
          <w:lang w:eastAsia="en-US"/>
        </w:rPr>
        <w:t>7.12</w:t>
      </w:r>
      <w:r w:rsidR="00276C44" w:rsidRPr="00DB1ECE">
        <w:rPr>
          <w:lang w:eastAsia="en-US"/>
        </w:rPr>
        <w:t>.</w:t>
      </w:r>
    </w:p>
    <w:p w14:paraId="48F76E08" w14:textId="5903EE80" w:rsidR="00DA02A5" w:rsidRDefault="00DA02A5" w:rsidP="00DA02A5">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EA6E4C">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EA6E4C">
          <w:rPr>
            <w:noProof/>
          </w:rPr>
          <w:instrText>7</w:instrText>
        </w:r>
      </w:fldSimple>
      <w:r w:rsidRPr="00695C93">
        <w:instrText xml:space="preserve"> = 0 "" "</w:instrText>
      </w:r>
      <w:fldSimple w:instr=" STYLEREF &quot;Heading 1&quot; \l \n ">
        <w:r w:rsidR="00EA6E4C">
          <w:rPr>
            <w:noProof/>
          </w:rPr>
          <w:instrText>7</w:instrText>
        </w:r>
      </w:fldSimple>
      <w:r w:rsidRPr="00695C93">
        <w:instrText xml:space="preserve">." </w:instrText>
      </w:r>
      <w:r w:rsidRPr="00695C93">
        <w:fldChar w:fldCharType="separate"/>
      </w:r>
      <w:r w:rsidR="00EA6E4C">
        <w:rPr>
          <w:noProof/>
        </w:rPr>
        <w:instrText>7</w:instrText>
      </w:r>
      <w:r w:rsidR="00EA6E4C" w:rsidRPr="00695C93">
        <w:rPr>
          <w:noProof/>
        </w:rPr>
        <w:instrText>.</w:instrText>
      </w:r>
      <w:r w:rsidRPr="00695C93">
        <w:fldChar w:fldCharType="end"/>
      </w:r>
      <w:r w:rsidRPr="00695C93">
        <w:instrText>" "</w:instrText>
      </w:r>
      <w:fldSimple w:instr=" STYLEREF &quot;Heading 6&quot; \l \n ">
        <w:r w:rsidRPr="00695C93">
          <w:instrText>B</w:instrText>
        </w:r>
      </w:fldSimple>
      <w:r w:rsidRPr="00695C93">
        <w:instrText xml:space="preserve">." </w:instrText>
      </w:r>
      <w:r w:rsidRPr="00695C93">
        <w:fldChar w:fldCharType="separate"/>
      </w:r>
      <w:r w:rsidR="008C60A3">
        <w:rPr>
          <w:noProof/>
        </w:rPr>
        <w:instrText>7</w:instrText>
      </w:r>
      <w:r w:rsidR="008C60A3"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EA6E4C">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EA6E4C">
          <w:rPr>
            <w:noProof/>
          </w:rPr>
          <w:instrText>7</w:instrText>
        </w:r>
      </w:fldSimple>
      <w:r w:rsidRPr="00695C93">
        <w:instrText xml:space="preserve"> = 0 "" "1" </w:instrText>
      </w:r>
      <w:r w:rsidRPr="00695C93">
        <w:fldChar w:fldCharType="separate"/>
      </w:r>
      <w:r w:rsidR="008C60A3" w:rsidRPr="00695C93">
        <w:rPr>
          <w:noProof/>
        </w:rPr>
        <w:instrText>1</w:instrText>
      </w:r>
      <w:r w:rsidRPr="00695C93">
        <w:fldChar w:fldCharType="end"/>
      </w:r>
      <w:r w:rsidRPr="00695C93">
        <w:instrText xml:space="preserve">" "6" </w:instrText>
      </w:r>
      <w:r w:rsidRPr="00695C93">
        <w:fldChar w:fldCharType="separate"/>
      </w:r>
      <w:r w:rsidR="008C60A3" w:rsidRPr="00695C93">
        <w:rPr>
          <w:noProof/>
        </w:rPr>
        <w:instrText>1</w:instrText>
      </w:r>
      <w:r w:rsidRPr="00695C93">
        <w:fldChar w:fldCharType="end"/>
      </w:r>
      <w:r w:rsidRPr="00695C93">
        <w:instrText xml:space="preserve"> </w:instrText>
      </w:r>
      <w:r w:rsidRPr="00695C93">
        <w:fldChar w:fldCharType="separate"/>
      </w:r>
      <w:r w:rsidR="00EA6E4C">
        <w:rPr>
          <w:noProof/>
        </w:rPr>
        <w:instrText>12</w:instrText>
      </w:r>
      <w:r w:rsidRPr="00695C93">
        <w:fldChar w:fldCharType="end"/>
      </w:r>
      <w:r w:rsidRPr="00695C93">
        <w:instrText xml:space="preserve">" "" </w:instrText>
      </w:r>
      <w:r w:rsidRPr="00695C93">
        <w:fldChar w:fldCharType="separate"/>
      </w:r>
      <w:bookmarkStart w:id="3988" w:name="_Caption2858"/>
      <w:bookmarkStart w:id="3989" w:name="_Caption3844"/>
      <w:bookmarkStart w:id="3990" w:name="_Toc178292611"/>
      <w:r w:rsidR="008C60A3">
        <w:rPr>
          <w:noProof/>
        </w:rPr>
        <w:t>7</w:t>
      </w:r>
      <w:r w:rsidR="008C60A3" w:rsidRPr="00695C93">
        <w:rPr>
          <w:noProof/>
        </w:rPr>
        <w:t>.</w:t>
      </w:r>
      <w:r w:rsidR="008C60A3">
        <w:rPr>
          <w:noProof/>
        </w:rPr>
        <w:t>12</w:t>
      </w:r>
      <w:bookmarkEnd w:id="3988"/>
      <w:bookmarkEnd w:id="3989"/>
      <w:r w:rsidRPr="00695C93">
        <w:fldChar w:fldCharType="end"/>
      </w:r>
      <w:r w:rsidRPr="00695C93">
        <w:tab/>
      </w:r>
      <w:r w:rsidR="00542E4A">
        <w:t>Forecast c</w:t>
      </w:r>
      <w:r w:rsidR="00354A72">
        <w:t>hange in minimum demand</w:t>
      </w:r>
      <w:r w:rsidR="007E1421">
        <w:t xml:space="preserve"> by NEM Region</w:t>
      </w:r>
      <w:bookmarkEnd w:id="3990"/>
    </w:p>
    <w:tbl>
      <w:tblPr>
        <w:tblW w:w="7938" w:type="dxa"/>
        <w:tblLayout w:type="fixed"/>
        <w:tblLook w:val="0000" w:firstRow="0" w:lastRow="0" w:firstColumn="0" w:lastColumn="0" w:noHBand="0" w:noVBand="0"/>
      </w:tblPr>
      <w:tblGrid>
        <w:gridCol w:w="2701"/>
        <w:gridCol w:w="1746"/>
        <w:gridCol w:w="1745"/>
        <w:gridCol w:w="1746"/>
      </w:tblGrid>
      <w:tr w:rsidR="00DA02A5" w14:paraId="5CE83655" w14:textId="77777777" w:rsidTr="00DA02A5">
        <w:trPr>
          <w:trHeight w:val="245"/>
        </w:trPr>
        <w:tc>
          <w:tcPr>
            <w:tcW w:w="2701" w:type="dxa"/>
            <w:shd w:val="clear" w:color="auto" w:fill="6F6652"/>
            <w:tcMar>
              <w:left w:w="57" w:type="dxa"/>
              <w:right w:w="57" w:type="dxa"/>
            </w:tcMar>
          </w:tcPr>
          <w:p w14:paraId="6D7B690C" w14:textId="77777777" w:rsidR="00DA02A5" w:rsidRDefault="00DA02A5" w:rsidP="00DA02A5">
            <w:pPr>
              <w:pStyle w:val="TableDataColumnHeading"/>
              <w:jc w:val="left"/>
            </w:pPr>
          </w:p>
        </w:tc>
        <w:tc>
          <w:tcPr>
            <w:tcW w:w="1746" w:type="dxa"/>
            <w:shd w:val="clear" w:color="auto" w:fill="6F6652"/>
            <w:tcMar>
              <w:left w:w="57" w:type="dxa"/>
              <w:right w:w="57" w:type="dxa"/>
            </w:tcMar>
          </w:tcPr>
          <w:p w14:paraId="3279D757" w14:textId="40E22429" w:rsidR="00DA02A5" w:rsidRDefault="00DA02A5" w:rsidP="00DA02A5">
            <w:pPr>
              <w:pStyle w:val="TableDataColumnHeading"/>
            </w:pPr>
            <w:r>
              <w:t>2025</w:t>
            </w:r>
            <w:r w:rsidR="00A953DB">
              <w:br/>
              <w:t>MW</w:t>
            </w:r>
          </w:p>
        </w:tc>
        <w:tc>
          <w:tcPr>
            <w:tcW w:w="1745" w:type="dxa"/>
            <w:shd w:val="clear" w:color="auto" w:fill="6F6652"/>
            <w:tcMar>
              <w:left w:w="57" w:type="dxa"/>
              <w:right w:w="57" w:type="dxa"/>
            </w:tcMar>
          </w:tcPr>
          <w:p w14:paraId="0746E054" w14:textId="441711C0" w:rsidR="00DA02A5" w:rsidRDefault="00DA02A5" w:rsidP="00DA02A5">
            <w:pPr>
              <w:pStyle w:val="TableDataColumnHeading"/>
            </w:pPr>
            <w:r>
              <w:t>2034</w:t>
            </w:r>
            <w:r w:rsidR="00A953DB">
              <w:br/>
              <w:t>MW</w:t>
            </w:r>
          </w:p>
        </w:tc>
        <w:tc>
          <w:tcPr>
            <w:tcW w:w="1746" w:type="dxa"/>
            <w:shd w:val="clear" w:color="auto" w:fill="6F6652"/>
            <w:tcMar>
              <w:left w:w="57" w:type="dxa"/>
              <w:right w:w="57" w:type="dxa"/>
            </w:tcMar>
          </w:tcPr>
          <w:p w14:paraId="4518A113" w14:textId="5ED35C54" w:rsidR="00DA02A5" w:rsidRDefault="00DA02A5" w:rsidP="00DA02A5">
            <w:pPr>
              <w:pStyle w:val="TableDataColumnHeading"/>
            </w:pPr>
            <w:r>
              <w:t>Change</w:t>
            </w:r>
            <w:r w:rsidR="00967FC2">
              <w:br/>
              <w:t>MW</w:t>
            </w:r>
          </w:p>
        </w:tc>
      </w:tr>
      <w:tr w:rsidR="00DA02A5" w14:paraId="50A5B59E" w14:textId="77777777" w:rsidTr="00AE3EDD">
        <w:trPr>
          <w:trHeight w:val="245"/>
        </w:trPr>
        <w:tc>
          <w:tcPr>
            <w:tcW w:w="270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24FF43" w14:textId="77777777" w:rsidR="00DA02A5" w:rsidRDefault="00DA02A5" w:rsidP="00DA02A5">
            <w:pPr>
              <w:pStyle w:val="TableDataEntries"/>
              <w:jc w:val="left"/>
            </w:pPr>
            <w:r>
              <w:t>New South Wales</w:t>
            </w:r>
          </w:p>
        </w:tc>
        <w:tc>
          <w:tcPr>
            <w:tcW w:w="174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619544" w14:textId="77777777" w:rsidR="00DA02A5" w:rsidRDefault="00DA02A5" w:rsidP="00DA02A5">
            <w:pPr>
              <w:pStyle w:val="TableDataEntries"/>
            </w:pPr>
            <w:r>
              <w:t>3049</w:t>
            </w:r>
          </w:p>
        </w:tc>
        <w:tc>
          <w:tcPr>
            <w:tcW w:w="174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2A82912" w14:textId="77777777" w:rsidR="00DA02A5" w:rsidRDefault="00DA02A5" w:rsidP="00DA02A5">
            <w:pPr>
              <w:pStyle w:val="TableDataEntries"/>
            </w:pPr>
            <w:r>
              <w:t>-60</w:t>
            </w:r>
          </w:p>
        </w:tc>
        <w:tc>
          <w:tcPr>
            <w:tcW w:w="174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3C696F" w14:textId="77777777" w:rsidR="00DA02A5" w:rsidRDefault="00DA02A5" w:rsidP="00DA02A5">
            <w:pPr>
              <w:pStyle w:val="TableDataEntries"/>
            </w:pPr>
            <w:r>
              <w:t>-3109</w:t>
            </w:r>
          </w:p>
        </w:tc>
      </w:tr>
      <w:tr w:rsidR="00DA02A5" w14:paraId="14CD8992" w14:textId="77777777" w:rsidTr="00AE3EDD">
        <w:trPr>
          <w:trHeight w:val="245"/>
        </w:trPr>
        <w:tc>
          <w:tcPr>
            <w:tcW w:w="270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03556A1" w14:textId="77777777" w:rsidR="00DA02A5" w:rsidRDefault="00DA02A5" w:rsidP="00DA02A5">
            <w:pPr>
              <w:pStyle w:val="TableDataEntries"/>
              <w:jc w:val="left"/>
            </w:pPr>
            <w:r>
              <w:t>Victoria</w:t>
            </w:r>
          </w:p>
        </w:tc>
        <w:tc>
          <w:tcPr>
            <w:tcW w:w="174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9490501" w14:textId="77777777" w:rsidR="00DA02A5" w:rsidRDefault="00DA02A5" w:rsidP="00DA02A5">
            <w:pPr>
              <w:pStyle w:val="TableDataEntries"/>
            </w:pPr>
            <w:r>
              <w:t>1013</w:t>
            </w:r>
          </w:p>
        </w:tc>
        <w:tc>
          <w:tcPr>
            <w:tcW w:w="174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51B8C8" w14:textId="77777777" w:rsidR="00DA02A5" w:rsidRDefault="00DA02A5" w:rsidP="00DA02A5">
            <w:pPr>
              <w:pStyle w:val="TableDataEntries"/>
            </w:pPr>
            <w:r>
              <w:t>-1618</w:t>
            </w:r>
          </w:p>
        </w:tc>
        <w:tc>
          <w:tcPr>
            <w:tcW w:w="174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2A8217" w14:textId="77777777" w:rsidR="00DA02A5" w:rsidRDefault="00DA02A5" w:rsidP="00DA02A5">
            <w:pPr>
              <w:pStyle w:val="TableDataEntries"/>
            </w:pPr>
            <w:r>
              <w:t>-2631</w:t>
            </w:r>
          </w:p>
        </w:tc>
      </w:tr>
      <w:tr w:rsidR="00DA02A5" w14:paraId="3023AC16" w14:textId="77777777" w:rsidTr="00AE3EDD">
        <w:trPr>
          <w:trHeight w:val="245"/>
        </w:trPr>
        <w:tc>
          <w:tcPr>
            <w:tcW w:w="270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C235805" w14:textId="77777777" w:rsidR="00DA02A5" w:rsidRDefault="00DA02A5" w:rsidP="00DA02A5">
            <w:pPr>
              <w:pStyle w:val="TableDataEntries"/>
              <w:jc w:val="left"/>
            </w:pPr>
            <w:r>
              <w:t>Queensland</w:t>
            </w:r>
          </w:p>
        </w:tc>
        <w:tc>
          <w:tcPr>
            <w:tcW w:w="174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2F47136" w14:textId="77777777" w:rsidR="00DA02A5" w:rsidRDefault="00DA02A5" w:rsidP="00DA02A5">
            <w:pPr>
              <w:pStyle w:val="TableDataEntries"/>
            </w:pPr>
            <w:r>
              <w:t>2666</w:t>
            </w:r>
          </w:p>
        </w:tc>
        <w:tc>
          <w:tcPr>
            <w:tcW w:w="174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6A803B3" w14:textId="77777777" w:rsidR="00DA02A5" w:rsidRDefault="00DA02A5" w:rsidP="00DA02A5">
            <w:pPr>
              <w:pStyle w:val="TableDataEntries"/>
            </w:pPr>
            <w:r>
              <w:t>912</w:t>
            </w:r>
          </w:p>
        </w:tc>
        <w:tc>
          <w:tcPr>
            <w:tcW w:w="174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A2D720" w14:textId="77777777" w:rsidR="00DA02A5" w:rsidRDefault="00DA02A5" w:rsidP="00DA02A5">
            <w:pPr>
              <w:pStyle w:val="TableDataEntries"/>
            </w:pPr>
            <w:r>
              <w:t>-1754</w:t>
            </w:r>
          </w:p>
        </w:tc>
      </w:tr>
      <w:tr w:rsidR="00DA02A5" w14:paraId="4B07709F" w14:textId="77777777" w:rsidTr="00AE3EDD">
        <w:trPr>
          <w:trHeight w:val="245"/>
        </w:trPr>
        <w:tc>
          <w:tcPr>
            <w:tcW w:w="270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38D8A14" w14:textId="77777777" w:rsidR="00DA02A5" w:rsidRDefault="00DA02A5" w:rsidP="00DA02A5">
            <w:pPr>
              <w:pStyle w:val="TableDataEntries"/>
              <w:jc w:val="left"/>
            </w:pPr>
            <w:r>
              <w:t>South Australia</w:t>
            </w:r>
          </w:p>
        </w:tc>
        <w:tc>
          <w:tcPr>
            <w:tcW w:w="174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7F7030C" w14:textId="77777777" w:rsidR="00DA02A5" w:rsidRDefault="00DA02A5" w:rsidP="00DA02A5">
            <w:pPr>
              <w:pStyle w:val="TableDataEntries"/>
            </w:pPr>
            <w:r>
              <w:t>-163</w:t>
            </w:r>
          </w:p>
        </w:tc>
        <w:tc>
          <w:tcPr>
            <w:tcW w:w="174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3CBEC5" w14:textId="77777777" w:rsidR="00DA02A5" w:rsidRDefault="00DA02A5" w:rsidP="00DA02A5">
            <w:pPr>
              <w:pStyle w:val="TableDataEntries"/>
            </w:pPr>
            <w:r>
              <w:t>-1068</w:t>
            </w:r>
          </w:p>
        </w:tc>
        <w:tc>
          <w:tcPr>
            <w:tcW w:w="174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76F7C7C" w14:textId="77777777" w:rsidR="00DA02A5" w:rsidRDefault="00DA02A5" w:rsidP="00DA02A5">
            <w:pPr>
              <w:pStyle w:val="TableDataEntries"/>
            </w:pPr>
            <w:r>
              <w:t>-905</w:t>
            </w:r>
          </w:p>
        </w:tc>
      </w:tr>
      <w:tr w:rsidR="00DA02A5" w14:paraId="3C179EFA" w14:textId="77777777" w:rsidTr="00AE3EDD">
        <w:trPr>
          <w:trHeight w:val="245"/>
        </w:trPr>
        <w:tc>
          <w:tcPr>
            <w:tcW w:w="2701" w:type="dxa"/>
            <w:tcBorders>
              <w:top w:val="single" w:sz="8" w:space="0" w:color="FFFFFF" w:themeColor="background1"/>
              <w:bottom w:val="single" w:sz="6" w:space="0" w:color="6F6652"/>
            </w:tcBorders>
            <w:shd w:val="clear" w:color="auto" w:fill="E9E8E5" w:themeFill="background2"/>
            <w:tcMar>
              <w:left w:w="57" w:type="dxa"/>
              <w:right w:w="57" w:type="dxa"/>
            </w:tcMar>
          </w:tcPr>
          <w:p w14:paraId="777859DA" w14:textId="77777777" w:rsidR="00DA02A5" w:rsidRDefault="00DA02A5" w:rsidP="00DA02A5">
            <w:pPr>
              <w:pStyle w:val="TableDataEntries"/>
              <w:jc w:val="left"/>
            </w:pPr>
            <w:r>
              <w:t>Tasmania</w:t>
            </w:r>
          </w:p>
        </w:tc>
        <w:tc>
          <w:tcPr>
            <w:tcW w:w="1746" w:type="dxa"/>
            <w:tcBorders>
              <w:top w:val="single" w:sz="8" w:space="0" w:color="FFFFFF" w:themeColor="background1"/>
              <w:bottom w:val="single" w:sz="6" w:space="0" w:color="6F6652"/>
            </w:tcBorders>
            <w:shd w:val="clear" w:color="auto" w:fill="E9E8E5" w:themeFill="background2"/>
            <w:tcMar>
              <w:left w:w="57" w:type="dxa"/>
              <w:right w:w="57" w:type="dxa"/>
            </w:tcMar>
          </w:tcPr>
          <w:p w14:paraId="5F1BF515" w14:textId="77777777" w:rsidR="00DA02A5" w:rsidRDefault="00DA02A5" w:rsidP="00DA02A5">
            <w:pPr>
              <w:pStyle w:val="TableDataEntries"/>
            </w:pPr>
            <w:r>
              <w:t>836</w:t>
            </w:r>
          </w:p>
        </w:tc>
        <w:tc>
          <w:tcPr>
            <w:tcW w:w="1745" w:type="dxa"/>
            <w:tcBorders>
              <w:top w:val="single" w:sz="8" w:space="0" w:color="FFFFFF" w:themeColor="background1"/>
              <w:bottom w:val="single" w:sz="6" w:space="0" w:color="6F6652"/>
            </w:tcBorders>
            <w:shd w:val="clear" w:color="auto" w:fill="E9E8E5" w:themeFill="background2"/>
            <w:tcMar>
              <w:left w:w="57" w:type="dxa"/>
              <w:right w:w="57" w:type="dxa"/>
            </w:tcMar>
          </w:tcPr>
          <w:p w14:paraId="4E960E41" w14:textId="77777777" w:rsidR="00DA02A5" w:rsidRDefault="00DA02A5" w:rsidP="00DA02A5">
            <w:pPr>
              <w:pStyle w:val="TableDataEntries"/>
            </w:pPr>
            <w:r>
              <w:t>739</w:t>
            </w:r>
          </w:p>
        </w:tc>
        <w:tc>
          <w:tcPr>
            <w:tcW w:w="1746" w:type="dxa"/>
            <w:tcBorders>
              <w:top w:val="single" w:sz="8" w:space="0" w:color="FFFFFF" w:themeColor="background1"/>
              <w:bottom w:val="single" w:sz="6" w:space="0" w:color="6F6652"/>
            </w:tcBorders>
            <w:shd w:val="clear" w:color="auto" w:fill="E9E8E5" w:themeFill="background2"/>
            <w:tcMar>
              <w:left w:w="57" w:type="dxa"/>
              <w:right w:w="57" w:type="dxa"/>
            </w:tcMar>
          </w:tcPr>
          <w:p w14:paraId="6DADB578" w14:textId="77777777" w:rsidR="00DA02A5" w:rsidRDefault="00DA02A5" w:rsidP="00DA02A5">
            <w:pPr>
              <w:pStyle w:val="TableDataEntries"/>
            </w:pPr>
            <w:r>
              <w:t>-97</w:t>
            </w:r>
          </w:p>
        </w:tc>
      </w:tr>
    </w:tbl>
    <w:p w14:paraId="15862F36" w14:textId="541D47EF" w:rsidR="00DA02A5" w:rsidRDefault="00DA02A5" w:rsidP="00DA02A5">
      <w:pPr>
        <w:pStyle w:val="Source"/>
      </w:pPr>
      <w:r>
        <w:rPr>
          <w:i/>
        </w:rPr>
        <w:t>Source</w:t>
      </w:r>
      <w:r w:rsidRPr="00E4232C">
        <w:rPr>
          <w:i/>
        </w:rPr>
        <w:t>:</w:t>
      </w:r>
      <w:r>
        <w:t xml:space="preserve"> </w:t>
      </w:r>
      <w:r w:rsidR="00542E4A">
        <w:t>AEMO</w:t>
      </w:r>
    </w:p>
    <w:p w14:paraId="58573392" w14:textId="77777777" w:rsidR="00494E00" w:rsidRDefault="00494E00" w:rsidP="00494E00">
      <w:pPr>
        <w:pStyle w:val="BodyText"/>
        <w:rPr>
          <w:lang w:eastAsia="en-US"/>
        </w:rPr>
      </w:pPr>
      <w:r>
        <w:rPr>
          <w:lang w:eastAsia="en-US"/>
        </w:rPr>
        <w:t>The proposed changes to the NCC will contribute to decline in minimum operational demand (and the associated challenges) through both:</w:t>
      </w:r>
    </w:p>
    <w:p w14:paraId="246259DB" w14:textId="77777777" w:rsidR="00494E00" w:rsidRDefault="00494E00" w:rsidP="00494E00">
      <w:pPr>
        <w:pStyle w:val="ListBullet"/>
      </w:pPr>
      <w:r>
        <w:t>reducing total energy consumption in minimum demand periods (through more stringent minimum energy efficiency requirements)</w:t>
      </w:r>
    </w:p>
    <w:p w14:paraId="6C1DFD06" w14:textId="77777777" w:rsidR="00494E00" w:rsidRDefault="00494E00" w:rsidP="00494E00">
      <w:pPr>
        <w:pStyle w:val="ListBullet"/>
      </w:pPr>
      <w:r>
        <w:t>increasing energy generated from rooftop (and potentially ground mounted) solar panels, some of which would be exported to the grid.</w:t>
      </w:r>
    </w:p>
    <w:p w14:paraId="2111E414" w14:textId="640A1A7B" w:rsidR="00DA02A5" w:rsidRDefault="00520F70" w:rsidP="006568C5">
      <w:pPr>
        <w:pStyle w:val="BodyText"/>
      </w:pPr>
      <w:r>
        <w:t xml:space="preserve">Our hourly </w:t>
      </w:r>
      <w:r w:rsidR="00C062BD">
        <w:t xml:space="preserve">time-of-use </w:t>
      </w:r>
      <w:r>
        <w:t>model</w:t>
      </w:r>
      <w:r w:rsidR="00667D58">
        <w:t xml:space="preserve"> </w:t>
      </w:r>
      <w:r w:rsidR="006D180A">
        <w:t xml:space="preserve">provides some insights into the </w:t>
      </w:r>
      <w:r w:rsidR="00F86AD0">
        <w:t xml:space="preserve">potential impacts on </w:t>
      </w:r>
      <w:r w:rsidR="00312D15">
        <w:t>minimum operational d</w:t>
      </w:r>
      <w:r w:rsidR="00C062BD">
        <w:t>emand</w:t>
      </w:r>
      <w:r w:rsidR="00684BBB">
        <w:t xml:space="preserve"> at the aggregate level in each of the NEM regions</w:t>
      </w:r>
      <w:r w:rsidR="004063FE">
        <w:t xml:space="preserve"> (compared to the base case)</w:t>
      </w:r>
      <w:r w:rsidR="00684BBB">
        <w:t>.</w:t>
      </w:r>
      <w:r w:rsidR="004C1AC9">
        <w:t xml:space="preserve"> Table </w:t>
      </w:r>
      <w:r w:rsidR="00C657E9">
        <w:t>7</w:t>
      </w:r>
      <w:r w:rsidR="00EC7FC1">
        <w:t xml:space="preserve">.13 </w:t>
      </w:r>
      <w:r w:rsidR="004C1AC9">
        <w:t>shows the potential impact of the proposed changes to the NCC (Stringency 1 and Stringency 2)</w:t>
      </w:r>
      <w:r w:rsidR="001C1D57">
        <w:t xml:space="preserve"> on minimum demand </w:t>
      </w:r>
      <w:r w:rsidR="003462EB">
        <w:t xml:space="preserve">by 2034 </w:t>
      </w:r>
      <w:r w:rsidR="001C1D57">
        <w:t xml:space="preserve">(see appendix </w:t>
      </w:r>
      <w:r w:rsidR="00732440">
        <w:t>I</w:t>
      </w:r>
      <w:r w:rsidR="001C1D57">
        <w:t xml:space="preserve"> for further details).</w:t>
      </w:r>
      <w:r w:rsidR="00EA1876">
        <w:t xml:space="preserve"> </w:t>
      </w:r>
    </w:p>
    <w:p w14:paraId="6B8887AB" w14:textId="3AD62059" w:rsidR="00F30BE5" w:rsidRDefault="00F30BE5" w:rsidP="00F30BE5">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EA6E4C">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EA6E4C">
          <w:rPr>
            <w:noProof/>
          </w:rPr>
          <w:instrText>7</w:instrText>
        </w:r>
      </w:fldSimple>
      <w:r w:rsidRPr="00695C93">
        <w:instrText xml:space="preserve"> = 0 "" "</w:instrText>
      </w:r>
      <w:fldSimple w:instr=" STYLEREF &quot;Heading 1&quot; \l \n ">
        <w:r w:rsidR="00EA6E4C">
          <w:rPr>
            <w:noProof/>
          </w:rPr>
          <w:instrText>7</w:instrText>
        </w:r>
      </w:fldSimple>
      <w:r w:rsidRPr="00695C93">
        <w:instrText xml:space="preserve">." </w:instrText>
      </w:r>
      <w:r w:rsidRPr="00695C93">
        <w:fldChar w:fldCharType="separate"/>
      </w:r>
      <w:r w:rsidR="00EA6E4C">
        <w:rPr>
          <w:noProof/>
        </w:rPr>
        <w:instrText>7</w:instrText>
      </w:r>
      <w:r w:rsidR="00EA6E4C" w:rsidRPr="00695C93">
        <w:rPr>
          <w:noProof/>
        </w:rPr>
        <w:instrText>.</w:instrText>
      </w:r>
      <w:r w:rsidRPr="00695C93">
        <w:fldChar w:fldCharType="end"/>
      </w:r>
      <w:r w:rsidRPr="00695C93">
        <w:instrText>" "</w:instrText>
      </w:r>
      <w:fldSimple w:instr=" STYLEREF &quot;Heading 6&quot; \l \n ">
        <w:r w:rsidRPr="00695C93">
          <w:instrText>B</w:instrText>
        </w:r>
      </w:fldSimple>
      <w:r w:rsidRPr="00695C93">
        <w:instrText xml:space="preserve">." </w:instrText>
      </w:r>
      <w:r w:rsidRPr="00695C93">
        <w:fldChar w:fldCharType="separate"/>
      </w:r>
      <w:r w:rsidR="008C60A3">
        <w:rPr>
          <w:noProof/>
        </w:rPr>
        <w:instrText>7</w:instrText>
      </w:r>
      <w:r w:rsidR="008C60A3"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EA6E4C">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EA6E4C">
          <w:rPr>
            <w:noProof/>
          </w:rPr>
          <w:instrText>7</w:instrText>
        </w:r>
      </w:fldSimple>
      <w:r w:rsidRPr="00695C93">
        <w:instrText xml:space="preserve"> = 0 "" "1" </w:instrText>
      </w:r>
      <w:r w:rsidRPr="00695C93">
        <w:fldChar w:fldCharType="separate"/>
      </w:r>
      <w:r w:rsidR="008C60A3" w:rsidRPr="00695C93">
        <w:rPr>
          <w:noProof/>
        </w:rPr>
        <w:instrText>1</w:instrText>
      </w:r>
      <w:r w:rsidRPr="00695C93">
        <w:fldChar w:fldCharType="end"/>
      </w:r>
      <w:r w:rsidRPr="00695C93">
        <w:instrText xml:space="preserve">" "6" </w:instrText>
      </w:r>
      <w:r w:rsidRPr="00695C93">
        <w:fldChar w:fldCharType="separate"/>
      </w:r>
      <w:r w:rsidR="008C60A3" w:rsidRPr="00695C93">
        <w:rPr>
          <w:noProof/>
        </w:rPr>
        <w:instrText>1</w:instrText>
      </w:r>
      <w:r w:rsidRPr="00695C93">
        <w:fldChar w:fldCharType="end"/>
      </w:r>
      <w:r w:rsidRPr="00695C93">
        <w:instrText xml:space="preserve"> </w:instrText>
      </w:r>
      <w:r w:rsidRPr="00695C93">
        <w:fldChar w:fldCharType="separate"/>
      </w:r>
      <w:r w:rsidR="00EA6E4C">
        <w:rPr>
          <w:noProof/>
        </w:rPr>
        <w:instrText>13</w:instrText>
      </w:r>
      <w:r w:rsidRPr="00695C93">
        <w:fldChar w:fldCharType="end"/>
      </w:r>
      <w:r w:rsidRPr="00695C93">
        <w:instrText xml:space="preserve">" "" </w:instrText>
      </w:r>
      <w:r w:rsidRPr="00695C93">
        <w:fldChar w:fldCharType="separate"/>
      </w:r>
      <w:bookmarkStart w:id="3991" w:name="_Caption9251"/>
      <w:bookmarkStart w:id="3992" w:name="_Toc178292612"/>
      <w:r w:rsidR="008C60A3">
        <w:rPr>
          <w:noProof/>
        </w:rPr>
        <w:t>7</w:t>
      </w:r>
      <w:r w:rsidR="008C60A3" w:rsidRPr="00695C93">
        <w:rPr>
          <w:noProof/>
        </w:rPr>
        <w:t>.</w:t>
      </w:r>
      <w:r w:rsidR="008C60A3">
        <w:rPr>
          <w:noProof/>
        </w:rPr>
        <w:t>13</w:t>
      </w:r>
      <w:bookmarkEnd w:id="3991"/>
      <w:r w:rsidRPr="00695C93">
        <w:fldChar w:fldCharType="end"/>
      </w:r>
      <w:r w:rsidRPr="00695C93">
        <w:tab/>
      </w:r>
      <w:r w:rsidR="00A0497F">
        <w:t>Potential impacts on minimum operational demand</w:t>
      </w:r>
      <w:bookmarkEnd w:id="3992"/>
    </w:p>
    <w:tbl>
      <w:tblPr>
        <w:tblW w:w="0" w:type="auto"/>
        <w:tblLayout w:type="fixed"/>
        <w:tblLook w:val="0000" w:firstRow="0" w:lastRow="0" w:firstColumn="0" w:lastColumn="0" w:noHBand="0" w:noVBand="0"/>
      </w:tblPr>
      <w:tblGrid>
        <w:gridCol w:w="1701"/>
        <w:gridCol w:w="1559"/>
        <w:gridCol w:w="1559"/>
        <w:gridCol w:w="1559"/>
        <w:gridCol w:w="1559"/>
      </w:tblGrid>
      <w:tr w:rsidR="00F30BE5" w14:paraId="77DA0763" w14:textId="77777777" w:rsidTr="00F30BE5">
        <w:trPr>
          <w:trHeight w:val="1042"/>
        </w:trPr>
        <w:tc>
          <w:tcPr>
            <w:tcW w:w="1701" w:type="dxa"/>
            <w:tcBorders>
              <w:bottom w:val="single" w:sz="8" w:space="0" w:color="FFFFFF" w:themeColor="background1"/>
            </w:tcBorders>
            <w:shd w:val="clear" w:color="auto" w:fill="6F6652"/>
            <w:tcMar>
              <w:left w:w="57" w:type="dxa"/>
              <w:right w:w="57" w:type="dxa"/>
            </w:tcMar>
          </w:tcPr>
          <w:p w14:paraId="27E432CB" w14:textId="77777777" w:rsidR="00F30BE5" w:rsidRDefault="00F30BE5" w:rsidP="00F30BE5">
            <w:pPr>
              <w:pStyle w:val="TableDataColumnHeading"/>
              <w:jc w:val="left"/>
            </w:pPr>
          </w:p>
        </w:tc>
        <w:tc>
          <w:tcPr>
            <w:tcW w:w="1559" w:type="dxa"/>
            <w:tcBorders>
              <w:bottom w:val="single" w:sz="8" w:space="0" w:color="FFFFFF" w:themeColor="background1"/>
            </w:tcBorders>
            <w:shd w:val="clear" w:color="auto" w:fill="6F6652"/>
            <w:tcMar>
              <w:left w:w="57" w:type="dxa"/>
              <w:right w:w="57" w:type="dxa"/>
            </w:tcMar>
          </w:tcPr>
          <w:p w14:paraId="787D6218" w14:textId="7757064D" w:rsidR="00F30BE5" w:rsidRDefault="00F30BE5" w:rsidP="00F30BE5">
            <w:pPr>
              <w:pStyle w:val="TableDataColumnHeading"/>
            </w:pPr>
            <w:r>
              <w:t>Stringency 1</w:t>
            </w:r>
            <w:r>
              <w:br/>
              <w:t>MW</w:t>
            </w:r>
          </w:p>
        </w:tc>
        <w:tc>
          <w:tcPr>
            <w:tcW w:w="1559" w:type="dxa"/>
            <w:tcBorders>
              <w:bottom w:val="single" w:sz="8" w:space="0" w:color="FFFFFF" w:themeColor="background1"/>
            </w:tcBorders>
            <w:shd w:val="clear" w:color="auto" w:fill="6F6652"/>
            <w:tcMar>
              <w:left w:w="57" w:type="dxa"/>
              <w:right w:w="57" w:type="dxa"/>
            </w:tcMar>
          </w:tcPr>
          <w:p w14:paraId="7D293670" w14:textId="3603A926" w:rsidR="00F30BE5" w:rsidRDefault="00F30BE5" w:rsidP="00F30BE5">
            <w:pPr>
              <w:pStyle w:val="TableDataColumnHeading"/>
            </w:pPr>
            <w:r>
              <w:t>Share of overall decline - Stringency 1</w:t>
            </w:r>
            <w:r>
              <w:br/>
              <w:t>MW</w:t>
            </w:r>
          </w:p>
        </w:tc>
        <w:tc>
          <w:tcPr>
            <w:tcW w:w="1559" w:type="dxa"/>
            <w:tcBorders>
              <w:bottom w:val="single" w:sz="8" w:space="0" w:color="FFFFFF" w:themeColor="background1"/>
            </w:tcBorders>
            <w:shd w:val="clear" w:color="auto" w:fill="6F6652"/>
            <w:tcMar>
              <w:left w:w="57" w:type="dxa"/>
              <w:right w:w="57" w:type="dxa"/>
            </w:tcMar>
          </w:tcPr>
          <w:p w14:paraId="311A737B" w14:textId="23E6EC64" w:rsidR="00F30BE5" w:rsidRDefault="00F30BE5" w:rsidP="00F30BE5">
            <w:pPr>
              <w:pStyle w:val="TableDataColumnHeading"/>
            </w:pPr>
            <w:r>
              <w:t>Stringency Level 2</w:t>
            </w:r>
            <w:r>
              <w:br/>
              <w:t>MW</w:t>
            </w:r>
          </w:p>
        </w:tc>
        <w:tc>
          <w:tcPr>
            <w:tcW w:w="1559" w:type="dxa"/>
            <w:tcBorders>
              <w:bottom w:val="single" w:sz="8" w:space="0" w:color="FFFFFF" w:themeColor="background1"/>
            </w:tcBorders>
            <w:shd w:val="clear" w:color="auto" w:fill="6F6652"/>
            <w:tcMar>
              <w:left w:w="57" w:type="dxa"/>
              <w:right w:w="57" w:type="dxa"/>
            </w:tcMar>
          </w:tcPr>
          <w:p w14:paraId="5ECCF4D9" w14:textId="475651B5" w:rsidR="00F30BE5" w:rsidRDefault="00F30BE5" w:rsidP="00F30BE5">
            <w:pPr>
              <w:pStyle w:val="TableDataColumnHeading"/>
            </w:pPr>
            <w:r>
              <w:t xml:space="preserve">Share of overall decline - Stringency 2 </w:t>
            </w:r>
            <w:r>
              <w:br/>
              <w:t>MW</w:t>
            </w:r>
          </w:p>
        </w:tc>
      </w:tr>
      <w:tr w:rsidR="00F30BE5" w14:paraId="04D22894" w14:textId="77777777" w:rsidTr="00F30BE5">
        <w:trPr>
          <w:trHeight w:val="245"/>
        </w:trPr>
        <w:tc>
          <w:tcPr>
            <w:tcW w:w="170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5A6A03" w14:textId="77777777" w:rsidR="00F30BE5" w:rsidRDefault="00F30BE5" w:rsidP="00F30BE5">
            <w:pPr>
              <w:pStyle w:val="TableDataEntries"/>
              <w:jc w:val="left"/>
            </w:pPr>
            <w:r>
              <w:t>NSW</w:t>
            </w:r>
          </w:p>
        </w:tc>
        <w:tc>
          <w:tcPr>
            <w:tcW w:w="15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A1B11B" w14:textId="77777777" w:rsidR="00F30BE5" w:rsidRDefault="00F30BE5" w:rsidP="00F30BE5">
            <w:pPr>
              <w:pStyle w:val="TableDataEntries"/>
            </w:pPr>
            <w:r>
              <w:t>170</w:t>
            </w:r>
          </w:p>
        </w:tc>
        <w:tc>
          <w:tcPr>
            <w:tcW w:w="15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314459C" w14:textId="77777777" w:rsidR="00F30BE5" w:rsidRDefault="00F30BE5" w:rsidP="00F30BE5">
            <w:pPr>
              <w:pStyle w:val="TableDataEntries"/>
            </w:pPr>
            <w:r>
              <w:t>5.5</w:t>
            </w:r>
          </w:p>
        </w:tc>
        <w:tc>
          <w:tcPr>
            <w:tcW w:w="15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BBF3243" w14:textId="77777777" w:rsidR="00F30BE5" w:rsidRDefault="00F30BE5" w:rsidP="00F30BE5">
            <w:pPr>
              <w:pStyle w:val="TableDataEntries"/>
            </w:pPr>
            <w:r>
              <w:t>500</w:t>
            </w:r>
          </w:p>
        </w:tc>
        <w:tc>
          <w:tcPr>
            <w:tcW w:w="15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0F7FDD8" w14:textId="77777777" w:rsidR="00F30BE5" w:rsidRDefault="00F30BE5" w:rsidP="00F30BE5">
            <w:pPr>
              <w:pStyle w:val="TableDataEntries"/>
            </w:pPr>
            <w:r>
              <w:t>16.1</w:t>
            </w:r>
          </w:p>
        </w:tc>
      </w:tr>
      <w:tr w:rsidR="00F30BE5" w14:paraId="3296C039" w14:textId="77777777" w:rsidTr="00F30BE5">
        <w:trPr>
          <w:trHeight w:val="245"/>
        </w:trPr>
        <w:tc>
          <w:tcPr>
            <w:tcW w:w="170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6B78D4" w14:textId="77777777" w:rsidR="00F30BE5" w:rsidRDefault="00F30BE5" w:rsidP="00F30BE5">
            <w:pPr>
              <w:pStyle w:val="TableDataEntries"/>
              <w:jc w:val="left"/>
            </w:pPr>
            <w:r>
              <w:t>Victoria</w:t>
            </w:r>
          </w:p>
        </w:tc>
        <w:tc>
          <w:tcPr>
            <w:tcW w:w="15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F07264B" w14:textId="77777777" w:rsidR="00F30BE5" w:rsidRDefault="00F30BE5" w:rsidP="00F30BE5">
            <w:pPr>
              <w:pStyle w:val="TableDataEntries"/>
            </w:pPr>
            <w:r>
              <w:t>270</w:t>
            </w:r>
          </w:p>
        </w:tc>
        <w:tc>
          <w:tcPr>
            <w:tcW w:w="15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054FDD1" w14:textId="77777777" w:rsidR="00F30BE5" w:rsidRDefault="00F30BE5" w:rsidP="00F30BE5">
            <w:pPr>
              <w:pStyle w:val="TableDataEntries"/>
            </w:pPr>
            <w:r>
              <w:t>10.3</w:t>
            </w:r>
          </w:p>
        </w:tc>
        <w:tc>
          <w:tcPr>
            <w:tcW w:w="15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99E40F" w14:textId="77777777" w:rsidR="00F30BE5" w:rsidRDefault="00F30BE5" w:rsidP="00F30BE5">
            <w:pPr>
              <w:pStyle w:val="TableDataEntries"/>
            </w:pPr>
            <w:r>
              <w:t>700</w:t>
            </w:r>
          </w:p>
        </w:tc>
        <w:tc>
          <w:tcPr>
            <w:tcW w:w="15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5CF08F0" w14:textId="77777777" w:rsidR="00F30BE5" w:rsidRDefault="00F30BE5" w:rsidP="00F30BE5">
            <w:pPr>
              <w:pStyle w:val="TableDataEntries"/>
            </w:pPr>
            <w:r>
              <w:t>26.6</w:t>
            </w:r>
          </w:p>
        </w:tc>
      </w:tr>
      <w:tr w:rsidR="00F30BE5" w14:paraId="6F4BD8C1" w14:textId="77777777" w:rsidTr="00F30BE5">
        <w:trPr>
          <w:trHeight w:val="245"/>
        </w:trPr>
        <w:tc>
          <w:tcPr>
            <w:tcW w:w="170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5906CC" w14:textId="77777777" w:rsidR="00F30BE5" w:rsidRDefault="00F30BE5" w:rsidP="00F30BE5">
            <w:pPr>
              <w:pStyle w:val="TableDataEntries"/>
              <w:jc w:val="left"/>
            </w:pPr>
            <w:r>
              <w:t>Queensland</w:t>
            </w:r>
          </w:p>
        </w:tc>
        <w:tc>
          <w:tcPr>
            <w:tcW w:w="15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E66B3DF" w14:textId="77777777" w:rsidR="00F30BE5" w:rsidRDefault="00F30BE5" w:rsidP="00F30BE5">
            <w:pPr>
              <w:pStyle w:val="TableDataEntries"/>
            </w:pPr>
            <w:r>
              <w:t>150</w:t>
            </w:r>
          </w:p>
        </w:tc>
        <w:tc>
          <w:tcPr>
            <w:tcW w:w="15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50F6434" w14:textId="77777777" w:rsidR="00F30BE5" w:rsidRDefault="00F30BE5" w:rsidP="00F30BE5">
            <w:pPr>
              <w:pStyle w:val="TableDataEntries"/>
            </w:pPr>
            <w:r>
              <w:t>8.6</w:t>
            </w:r>
          </w:p>
        </w:tc>
        <w:tc>
          <w:tcPr>
            <w:tcW w:w="15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83F1D6" w14:textId="77777777" w:rsidR="00F30BE5" w:rsidRDefault="00F30BE5" w:rsidP="00F30BE5">
            <w:pPr>
              <w:pStyle w:val="TableDataEntries"/>
            </w:pPr>
            <w:r>
              <w:t>335</w:t>
            </w:r>
          </w:p>
        </w:tc>
        <w:tc>
          <w:tcPr>
            <w:tcW w:w="15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2E17B82" w14:textId="77777777" w:rsidR="00F30BE5" w:rsidRDefault="00F30BE5" w:rsidP="00F30BE5">
            <w:pPr>
              <w:pStyle w:val="TableDataEntries"/>
            </w:pPr>
            <w:r>
              <w:t>19.1</w:t>
            </w:r>
          </w:p>
        </w:tc>
      </w:tr>
      <w:tr w:rsidR="00F30BE5" w14:paraId="118864A2" w14:textId="77777777" w:rsidTr="00F30BE5">
        <w:trPr>
          <w:trHeight w:val="245"/>
        </w:trPr>
        <w:tc>
          <w:tcPr>
            <w:tcW w:w="170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BC75C99" w14:textId="77777777" w:rsidR="00F30BE5" w:rsidRDefault="00F30BE5" w:rsidP="00F30BE5">
            <w:pPr>
              <w:pStyle w:val="TableDataEntries"/>
              <w:jc w:val="left"/>
            </w:pPr>
            <w:r>
              <w:t>South Australia</w:t>
            </w:r>
          </w:p>
        </w:tc>
        <w:tc>
          <w:tcPr>
            <w:tcW w:w="15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A38366B" w14:textId="77777777" w:rsidR="00F30BE5" w:rsidRDefault="00F30BE5" w:rsidP="00F30BE5">
            <w:pPr>
              <w:pStyle w:val="TableDataEntries"/>
            </w:pPr>
            <w:r>
              <w:t>52</w:t>
            </w:r>
          </w:p>
        </w:tc>
        <w:tc>
          <w:tcPr>
            <w:tcW w:w="15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98C82BC" w14:textId="77777777" w:rsidR="00F30BE5" w:rsidRDefault="00F30BE5" w:rsidP="00F30BE5">
            <w:pPr>
              <w:pStyle w:val="TableDataEntries"/>
            </w:pPr>
            <w:r>
              <w:t>5.7</w:t>
            </w:r>
          </w:p>
        </w:tc>
        <w:tc>
          <w:tcPr>
            <w:tcW w:w="15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80344C" w14:textId="77777777" w:rsidR="00F30BE5" w:rsidRDefault="00F30BE5" w:rsidP="00F30BE5">
            <w:pPr>
              <w:pStyle w:val="TableDataEntries"/>
            </w:pPr>
            <w:r>
              <w:t>140</w:t>
            </w:r>
          </w:p>
        </w:tc>
        <w:tc>
          <w:tcPr>
            <w:tcW w:w="15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6324D2" w14:textId="77777777" w:rsidR="00F30BE5" w:rsidRDefault="00F30BE5" w:rsidP="00F30BE5">
            <w:pPr>
              <w:pStyle w:val="TableDataEntries"/>
            </w:pPr>
            <w:r>
              <w:t>15.5</w:t>
            </w:r>
          </w:p>
        </w:tc>
      </w:tr>
      <w:tr w:rsidR="00F30BE5" w14:paraId="72A5CE60" w14:textId="77777777" w:rsidTr="00F30BE5">
        <w:trPr>
          <w:trHeight w:val="245"/>
        </w:trPr>
        <w:tc>
          <w:tcPr>
            <w:tcW w:w="1701" w:type="dxa"/>
            <w:tcBorders>
              <w:top w:val="single" w:sz="8" w:space="0" w:color="FFFFFF" w:themeColor="background1"/>
              <w:bottom w:val="single" w:sz="6" w:space="0" w:color="6F6652"/>
            </w:tcBorders>
            <w:shd w:val="clear" w:color="auto" w:fill="E9E8E5" w:themeFill="background2"/>
            <w:tcMar>
              <w:left w:w="57" w:type="dxa"/>
              <w:right w:w="57" w:type="dxa"/>
            </w:tcMar>
          </w:tcPr>
          <w:p w14:paraId="3889543F" w14:textId="77777777" w:rsidR="00F30BE5" w:rsidRDefault="00F30BE5" w:rsidP="00F30BE5">
            <w:pPr>
              <w:pStyle w:val="TableDataEntries"/>
              <w:jc w:val="left"/>
            </w:pPr>
            <w:r>
              <w:t>Tasmania</w:t>
            </w:r>
          </w:p>
        </w:tc>
        <w:tc>
          <w:tcPr>
            <w:tcW w:w="1559" w:type="dxa"/>
            <w:tcBorders>
              <w:top w:val="single" w:sz="8" w:space="0" w:color="FFFFFF" w:themeColor="background1"/>
              <w:bottom w:val="single" w:sz="6" w:space="0" w:color="6F6652"/>
            </w:tcBorders>
            <w:shd w:val="clear" w:color="auto" w:fill="E9E8E5" w:themeFill="background2"/>
            <w:tcMar>
              <w:left w:w="57" w:type="dxa"/>
              <w:right w:w="57" w:type="dxa"/>
            </w:tcMar>
          </w:tcPr>
          <w:p w14:paraId="0771D3F9" w14:textId="77777777" w:rsidR="00F30BE5" w:rsidRDefault="00F30BE5" w:rsidP="00F30BE5">
            <w:pPr>
              <w:pStyle w:val="TableDataEntries"/>
            </w:pPr>
            <w:r>
              <w:t>10</w:t>
            </w:r>
          </w:p>
        </w:tc>
        <w:tc>
          <w:tcPr>
            <w:tcW w:w="1559" w:type="dxa"/>
            <w:tcBorders>
              <w:top w:val="single" w:sz="8" w:space="0" w:color="FFFFFF" w:themeColor="background1"/>
              <w:bottom w:val="single" w:sz="6" w:space="0" w:color="6F6652"/>
            </w:tcBorders>
            <w:shd w:val="clear" w:color="auto" w:fill="E9E8E5" w:themeFill="background2"/>
            <w:tcMar>
              <w:left w:w="57" w:type="dxa"/>
              <w:right w:w="57" w:type="dxa"/>
            </w:tcMar>
          </w:tcPr>
          <w:p w14:paraId="34DDBE31" w14:textId="77777777" w:rsidR="00F30BE5" w:rsidRDefault="00F30BE5" w:rsidP="00F30BE5">
            <w:pPr>
              <w:pStyle w:val="TableDataEntries"/>
            </w:pPr>
            <w:r>
              <w:t>10.3</w:t>
            </w:r>
          </w:p>
        </w:tc>
        <w:tc>
          <w:tcPr>
            <w:tcW w:w="1559" w:type="dxa"/>
            <w:tcBorders>
              <w:top w:val="single" w:sz="8" w:space="0" w:color="FFFFFF" w:themeColor="background1"/>
              <w:bottom w:val="single" w:sz="6" w:space="0" w:color="6F6652"/>
            </w:tcBorders>
            <w:shd w:val="clear" w:color="auto" w:fill="E9E8E5" w:themeFill="background2"/>
            <w:tcMar>
              <w:left w:w="57" w:type="dxa"/>
              <w:right w:w="57" w:type="dxa"/>
            </w:tcMar>
          </w:tcPr>
          <w:p w14:paraId="39D62343" w14:textId="77777777" w:rsidR="00F30BE5" w:rsidRDefault="00F30BE5" w:rsidP="00F30BE5">
            <w:pPr>
              <w:pStyle w:val="TableDataEntries"/>
            </w:pPr>
            <w:r>
              <w:t>26</w:t>
            </w:r>
          </w:p>
        </w:tc>
        <w:tc>
          <w:tcPr>
            <w:tcW w:w="1559" w:type="dxa"/>
            <w:tcBorders>
              <w:top w:val="single" w:sz="8" w:space="0" w:color="FFFFFF" w:themeColor="background1"/>
              <w:bottom w:val="single" w:sz="6" w:space="0" w:color="6F6652"/>
            </w:tcBorders>
            <w:shd w:val="clear" w:color="auto" w:fill="E9E8E5" w:themeFill="background2"/>
            <w:tcMar>
              <w:left w:w="57" w:type="dxa"/>
              <w:right w:w="57" w:type="dxa"/>
            </w:tcMar>
          </w:tcPr>
          <w:p w14:paraId="6713836D" w14:textId="77777777" w:rsidR="00F30BE5" w:rsidRDefault="00F30BE5" w:rsidP="00F30BE5">
            <w:pPr>
              <w:pStyle w:val="TableDataEntries"/>
            </w:pPr>
            <w:r>
              <w:t>26.7</w:t>
            </w:r>
          </w:p>
        </w:tc>
      </w:tr>
    </w:tbl>
    <w:p w14:paraId="3F3F9C85" w14:textId="77777777" w:rsidR="00F30BE5" w:rsidRDefault="00F30BE5" w:rsidP="00F30BE5">
      <w:pPr>
        <w:pStyle w:val="Source"/>
      </w:pPr>
      <w:r>
        <w:rPr>
          <w:i/>
        </w:rPr>
        <w:t>Source</w:t>
      </w:r>
      <w:r w:rsidRPr="00E4232C">
        <w:rPr>
          <w:i/>
        </w:rPr>
        <w:t>:</w:t>
      </w:r>
      <w:r>
        <w:t xml:space="preserve"> CIE estimates (see appendix H for further details).</w:t>
      </w:r>
    </w:p>
    <w:p w14:paraId="5257C93A" w14:textId="77777777" w:rsidR="005F2B08" w:rsidRDefault="00285A02" w:rsidP="006568C5">
      <w:pPr>
        <w:pStyle w:val="BodyText"/>
        <w:rPr>
          <w:lang w:eastAsia="en-US"/>
        </w:rPr>
      </w:pPr>
      <w:r>
        <w:rPr>
          <w:lang w:eastAsia="en-US"/>
        </w:rPr>
        <w:t>T</w:t>
      </w:r>
      <w:r w:rsidR="00144BE1">
        <w:rPr>
          <w:lang w:eastAsia="en-US"/>
        </w:rPr>
        <w:t>hese estimates suggest that the proposed changes to the NCC will make som</w:t>
      </w:r>
      <w:r w:rsidR="0068024B">
        <w:rPr>
          <w:lang w:eastAsia="en-US"/>
        </w:rPr>
        <w:t>e contribut</w:t>
      </w:r>
      <w:r w:rsidR="00B71BCB">
        <w:rPr>
          <w:lang w:eastAsia="en-US"/>
        </w:rPr>
        <w:t>ion to the overall decline in minimum operational demand by 2034</w:t>
      </w:r>
      <w:r w:rsidR="005465C1">
        <w:rPr>
          <w:lang w:eastAsia="en-US"/>
        </w:rPr>
        <w:t>.</w:t>
      </w:r>
    </w:p>
    <w:p w14:paraId="585F6D69" w14:textId="3EB662C1" w:rsidR="00DA02A5" w:rsidRDefault="00F34320" w:rsidP="006568C5">
      <w:pPr>
        <w:pStyle w:val="BodyText"/>
        <w:rPr>
          <w:lang w:eastAsia="en-US"/>
        </w:rPr>
      </w:pPr>
      <w:r>
        <w:rPr>
          <w:lang w:eastAsia="en-US"/>
        </w:rPr>
        <w:t>I</w:t>
      </w:r>
      <w:r w:rsidR="006562D1">
        <w:rPr>
          <w:lang w:eastAsia="en-US"/>
        </w:rPr>
        <w:t>t should be noted that</w:t>
      </w:r>
      <w:r w:rsidR="00C57A9D">
        <w:rPr>
          <w:lang w:eastAsia="en-US"/>
        </w:rPr>
        <w:t xml:space="preserve"> </w:t>
      </w:r>
      <w:r w:rsidR="005F2B08">
        <w:rPr>
          <w:lang w:eastAsia="en-US"/>
        </w:rPr>
        <w:t>the estimated</w:t>
      </w:r>
      <w:r w:rsidR="007D6FB9">
        <w:rPr>
          <w:lang w:eastAsia="en-US"/>
        </w:rPr>
        <w:t xml:space="preserve"> reduction in minimum operational demand</w:t>
      </w:r>
      <w:r w:rsidR="00211029">
        <w:rPr>
          <w:lang w:eastAsia="en-US"/>
        </w:rPr>
        <w:t xml:space="preserve"> c</w:t>
      </w:r>
      <w:r w:rsidR="000C356F">
        <w:rPr>
          <w:lang w:eastAsia="en-US"/>
        </w:rPr>
        <w:t>ompares to the base case</w:t>
      </w:r>
      <w:r w:rsidR="00C6775F">
        <w:rPr>
          <w:lang w:eastAsia="en-US"/>
        </w:rPr>
        <w:t xml:space="preserve"> (i.e.</w:t>
      </w:r>
      <w:r w:rsidR="004B641B">
        <w:rPr>
          <w:lang w:eastAsia="en-US"/>
        </w:rPr>
        <w:t xml:space="preserve"> under NCC</w:t>
      </w:r>
      <w:r w:rsidR="00925F20">
        <w:rPr>
          <w:lang w:eastAsia="en-US"/>
        </w:rPr>
        <w:t xml:space="preserve"> 2022), not </w:t>
      </w:r>
      <w:r w:rsidR="00120612">
        <w:rPr>
          <w:lang w:eastAsia="en-US"/>
        </w:rPr>
        <w:t xml:space="preserve">current </w:t>
      </w:r>
      <w:r w:rsidR="00861161">
        <w:rPr>
          <w:lang w:eastAsia="en-US"/>
        </w:rPr>
        <w:t>mi</w:t>
      </w:r>
      <w:r w:rsidR="00ED0685">
        <w:rPr>
          <w:lang w:eastAsia="en-US"/>
        </w:rPr>
        <w:t xml:space="preserve">nimum </w:t>
      </w:r>
      <w:r w:rsidR="006570DB">
        <w:rPr>
          <w:lang w:eastAsia="en-US"/>
        </w:rPr>
        <w:t>demand</w:t>
      </w:r>
      <w:r w:rsidR="00EF75AC">
        <w:rPr>
          <w:lang w:eastAsia="en-US"/>
        </w:rPr>
        <w:t>.</w:t>
      </w:r>
      <w:r w:rsidR="008F1F45">
        <w:rPr>
          <w:lang w:eastAsia="en-US"/>
        </w:rPr>
        <w:t xml:space="preserve"> </w:t>
      </w:r>
      <w:r w:rsidR="00E87597">
        <w:rPr>
          <w:lang w:eastAsia="en-US"/>
        </w:rPr>
        <w:t xml:space="preserve">The AEMO forecasts would already </w:t>
      </w:r>
      <w:r w:rsidR="0078205F">
        <w:rPr>
          <w:lang w:eastAsia="en-US"/>
        </w:rPr>
        <w:t>factor in</w:t>
      </w:r>
      <w:r w:rsidR="00E87597">
        <w:rPr>
          <w:lang w:eastAsia="en-US"/>
        </w:rPr>
        <w:t xml:space="preserve"> </w:t>
      </w:r>
      <w:r w:rsidR="00617897">
        <w:rPr>
          <w:lang w:eastAsia="en-US"/>
        </w:rPr>
        <w:t xml:space="preserve">new construction and </w:t>
      </w:r>
      <w:r w:rsidR="00566697">
        <w:rPr>
          <w:lang w:eastAsia="en-US"/>
        </w:rPr>
        <w:t>some assumed improvements in energy efficiency in commercial buildings and increased rooftop solar penetration.</w:t>
      </w:r>
    </w:p>
    <w:p w14:paraId="3B467356" w14:textId="77777777" w:rsidR="006568C5" w:rsidRDefault="006568C5" w:rsidP="006568C5">
      <w:pPr>
        <w:pStyle w:val="Heading2"/>
        <w:rPr>
          <w:lang w:bidi="fa-IR"/>
        </w:rPr>
      </w:pPr>
      <w:bookmarkStart w:id="3993" w:name="_Toc177735113"/>
      <w:bookmarkStart w:id="3994" w:name="_Toc178292547"/>
      <w:r>
        <w:rPr>
          <w:lang w:bidi="fa-IR"/>
        </w:rPr>
        <w:t>Scenario analysis</w:t>
      </w:r>
      <w:bookmarkEnd w:id="3993"/>
      <w:bookmarkEnd w:id="3994"/>
    </w:p>
    <w:p w14:paraId="18C373D3" w14:textId="77777777" w:rsidR="006568C5" w:rsidRPr="00844A6E" w:rsidRDefault="006568C5" w:rsidP="006568C5">
      <w:pPr>
        <w:pStyle w:val="BodyText"/>
        <w:rPr>
          <w:szCs w:val="22"/>
          <w:lang w:bidi="fa-IR"/>
        </w:rPr>
      </w:pPr>
      <w:r w:rsidRPr="00844A6E">
        <w:rPr>
          <w:szCs w:val="22"/>
          <w:lang w:bidi="fa-IR"/>
        </w:rPr>
        <w:t xml:space="preserve">To more fully understand the results and the extent to which they are sensitive to particular assumptions, extensive sensitivity and scenario analysis </w:t>
      </w:r>
      <w:r>
        <w:rPr>
          <w:szCs w:val="22"/>
          <w:lang w:bidi="fa-IR"/>
        </w:rPr>
        <w:t>has been</w:t>
      </w:r>
      <w:r w:rsidRPr="00844A6E">
        <w:rPr>
          <w:szCs w:val="22"/>
          <w:lang w:bidi="fa-IR"/>
        </w:rPr>
        <w:t xml:space="preserve"> undertaken</w:t>
      </w:r>
      <w:r>
        <w:rPr>
          <w:szCs w:val="22"/>
          <w:lang w:bidi="fa-IR"/>
        </w:rPr>
        <w:t>, as discussed</w:t>
      </w:r>
      <w:r w:rsidRPr="00844A6E">
        <w:rPr>
          <w:szCs w:val="22"/>
          <w:lang w:bidi="fa-IR"/>
        </w:rPr>
        <w:t xml:space="preserve"> below.</w:t>
      </w:r>
    </w:p>
    <w:p w14:paraId="1D3F275E" w14:textId="77777777" w:rsidR="006568C5" w:rsidRDefault="006568C5" w:rsidP="006568C5">
      <w:pPr>
        <w:pStyle w:val="Heading3"/>
        <w:rPr>
          <w:lang w:bidi="fa-IR"/>
        </w:rPr>
      </w:pPr>
      <w:r>
        <w:rPr>
          <w:lang w:bidi="fa-IR"/>
        </w:rPr>
        <w:t>Future electrification</w:t>
      </w:r>
    </w:p>
    <w:p w14:paraId="1AD60017" w14:textId="77777777" w:rsidR="006568C5" w:rsidRPr="00844A6E" w:rsidRDefault="006568C5" w:rsidP="006568C5">
      <w:pPr>
        <w:pStyle w:val="BodyText"/>
        <w:rPr>
          <w:szCs w:val="22"/>
          <w:lang w:bidi="fa-IR"/>
        </w:rPr>
      </w:pPr>
      <w:r w:rsidRPr="00844A6E">
        <w:rPr>
          <w:szCs w:val="22"/>
          <w:lang w:bidi="fa-IR"/>
        </w:rPr>
        <w:t>A key uncertainty relates to the possibility that dual</w:t>
      </w:r>
      <w:r w:rsidRPr="00844A6E">
        <w:rPr>
          <w:szCs w:val="22"/>
          <w:lang w:bidi="fa-IR"/>
        </w:rPr>
        <w:noBreakHyphen/>
        <w:t>fuel buildings will be required to convert to fully electric at some point in the future.</w:t>
      </w:r>
      <w:r>
        <w:rPr>
          <w:szCs w:val="22"/>
          <w:lang w:bidi="fa-IR"/>
        </w:rPr>
        <w:t xml:space="preserve"> </w:t>
      </w:r>
    </w:p>
    <w:p w14:paraId="1ECE3C03" w14:textId="77777777" w:rsidR="006568C5" w:rsidRPr="00844A6E" w:rsidRDefault="006568C5" w:rsidP="006568C5">
      <w:pPr>
        <w:pStyle w:val="BodyText"/>
        <w:rPr>
          <w:szCs w:val="22"/>
          <w:lang w:bidi="fa-IR"/>
        </w:rPr>
      </w:pPr>
      <w:r w:rsidRPr="00844A6E">
        <w:rPr>
          <w:szCs w:val="22"/>
          <w:lang w:bidi="fa-IR"/>
        </w:rPr>
        <w:t>As most of the buildings that will be constructed during the 2025</w:t>
      </w:r>
      <w:r w:rsidRPr="00844A6E">
        <w:rPr>
          <w:szCs w:val="22"/>
          <w:lang w:bidi="fa-IR"/>
        </w:rPr>
        <w:noBreakHyphen/>
        <w:t>2034 regulatory period will still be operating by 2050, this will be necessary (together with decarbonisation of the electricity grid) to achieve net zero emission buildings, consistent with economywide net zero commitments.</w:t>
      </w:r>
    </w:p>
    <w:p w14:paraId="68E107C5" w14:textId="77777777" w:rsidR="006568C5" w:rsidRPr="00844A6E" w:rsidRDefault="006568C5" w:rsidP="006568C5">
      <w:pPr>
        <w:pStyle w:val="BodyText"/>
        <w:rPr>
          <w:szCs w:val="22"/>
          <w:lang w:bidi="fa-IR"/>
        </w:rPr>
      </w:pPr>
      <w:r w:rsidRPr="00844A6E">
        <w:rPr>
          <w:szCs w:val="22"/>
          <w:lang w:bidi="fa-IR"/>
        </w:rPr>
        <w:t>However, as the policy or market mechanisms to encourage or force dual-fuel buildings to convert to fully electric buildings are currently not clear, the central case assumes that dual</w:t>
      </w:r>
      <w:r w:rsidRPr="00844A6E">
        <w:rPr>
          <w:szCs w:val="22"/>
          <w:lang w:bidi="fa-IR"/>
        </w:rPr>
        <w:noBreakHyphen/>
        <w:t>fuel buildings will continue to operate with both gas and electricity.</w:t>
      </w:r>
    </w:p>
    <w:p w14:paraId="1BF3F1C0" w14:textId="77777777" w:rsidR="006568C5" w:rsidRPr="00844A6E" w:rsidRDefault="006568C5" w:rsidP="006568C5">
      <w:pPr>
        <w:pStyle w:val="BodyText"/>
        <w:rPr>
          <w:szCs w:val="22"/>
          <w:lang w:bidi="fa-IR"/>
        </w:rPr>
      </w:pPr>
      <w:r w:rsidRPr="00844A6E">
        <w:rPr>
          <w:szCs w:val="22"/>
          <w:lang w:bidi="fa-IR"/>
        </w:rPr>
        <w:t>That said, it is also plausible that dual fuel buildings will be forced to convert to fully electric at some point in the future. Policy and market mechanisms that could force dual-fuel buildings to convert in the future include:</w:t>
      </w:r>
    </w:p>
    <w:p w14:paraId="788E1CC7" w14:textId="77777777" w:rsidR="006568C5" w:rsidRPr="00A9617E" w:rsidRDefault="006568C5" w:rsidP="006568C5">
      <w:pPr>
        <w:pStyle w:val="ListBullet"/>
        <w:tabs>
          <w:tab w:val="num" w:pos="709"/>
        </w:tabs>
      </w:pPr>
      <w:r w:rsidRPr="00A9617E">
        <w:t>a policy requirement from the relevant state government;</w:t>
      </w:r>
    </w:p>
    <w:p w14:paraId="7EF2E9D0" w14:textId="77777777" w:rsidR="006568C5" w:rsidRPr="00A9617E" w:rsidRDefault="006568C5" w:rsidP="006568C5">
      <w:pPr>
        <w:pStyle w:val="ListBullet"/>
        <w:tabs>
          <w:tab w:val="num" w:pos="709"/>
        </w:tabs>
      </w:pPr>
      <w:r w:rsidRPr="00A9617E">
        <w:t>inability to source gas (at a competitive price) in the future;</w:t>
      </w:r>
    </w:p>
    <w:p w14:paraId="4800C394" w14:textId="77777777" w:rsidR="006568C5" w:rsidRPr="00A9617E" w:rsidRDefault="006568C5" w:rsidP="006568C5">
      <w:pPr>
        <w:pStyle w:val="ListBullet"/>
        <w:tabs>
          <w:tab w:val="num" w:pos="709"/>
        </w:tabs>
      </w:pPr>
      <w:r w:rsidRPr="00A9617E">
        <w:t>inability to make a like</w:t>
      </w:r>
      <w:r w:rsidRPr="00A9617E">
        <w:noBreakHyphen/>
        <w:t>for</w:t>
      </w:r>
      <w:r w:rsidRPr="00A9617E">
        <w:noBreakHyphen/>
        <w:t>like replacement of the gas</w:t>
      </w:r>
      <w:r w:rsidRPr="00A9617E">
        <w:noBreakHyphen/>
        <w:t>fired boiler in the future.</w:t>
      </w:r>
    </w:p>
    <w:p w14:paraId="605BD7B6" w14:textId="77777777" w:rsidR="006568C5" w:rsidRPr="00844A6E" w:rsidRDefault="006568C5" w:rsidP="006568C5">
      <w:pPr>
        <w:pStyle w:val="BodyText"/>
        <w:rPr>
          <w:szCs w:val="22"/>
          <w:lang w:bidi="fa-IR"/>
        </w:rPr>
      </w:pPr>
      <w:r w:rsidRPr="00844A6E">
        <w:rPr>
          <w:szCs w:val="22"/>
          <w:lang w:bidi="fa-IR"/>
        </w:rPr>
        <w:t>As a shift towards fully electric buildings (either immediately or at some point in the future)</w:t>
      </w:r>
      <w:r>
        <w:rPr>
          <w:szCs w:val="22"/>
          <w:lang w:bidi="fa-IR"/>
        </w:rPr>
        <w:t xml:space="preserve"> —</w:t>
      </w:r>
      <w:r w:rsidRPr="00844A6E">
        <w:rPr>
          <w:szCs w:val="22"/>
          <w:lang w:bidi="fa-IR"/>
        </w:rPr>
        <w:t xml:space="preserve"> a key rationale behind Stringency Level 3</w:t>
      </w:r>
      <w:r>
        <w:rPr>
          <w:szCs w:val="22"/>
          <w:lang w:bidi="fa-IR"/>
        </w:rPr>
        <w:t xml:space="preserve"> —</w:t>
      </w:r>
      <w:r w:rsidRPr="00844A6E">
        <w:rPr>
          <w:szCs w:val="22"/>
          <w:lang w:bidi="fa-IR"/>
        </w:rPr>
        <w:t xml:space="preserve"> it is important to test the impacts of each of the stringencies under scenario</w:t>
      </w:r>
      <w:r>
        <w:rPr>
          <w:szCs w:val="22"/>
          <w:lang w:bidi="fa-IR"/>
        </w:rPr>
        <w:t>s</w:t>
      </w:r>
      <w:r w:rsidRPr="00844A6E">
        <w:rPr>
          <w:szCs w:val="22"/>
          <w:lang w:bidi="fa-IR"/>
        </w:rPr>
        <w:t xml:space="preserve"> where dual</w:t>
      </w:r>
      <w:r w:rsidRPr="00844A6E">
        <w:rPr>
          <w:szCs w:val="22"/>
          <w:lang w:bidi="fa-IR"/>
        </w:rPr>
        <w:noBreakHyphen/>
        <w:t xml:space="preserve">fuel buildings </w:t>
      </w:r>
      <w:r>
        <w:rPr>
          <w:szCs w:val="22"/>
          <w:lang w:bidi="fa-IR"/>
        </w:rPr>
        <w:t xml:space="preserve">are required to </w:t>
      </w:r>
      <w:r w:rsidRPr="00844A6E">
        <w:rPr>
          <w:szCs w:val="22"/>
          <w:lang w:bidi="fa-IR"/>
        </w:rPr>
        <w:t>convert to fully electric in the future.</w:t>
      </w:r>
    </w:p>
    <w:p w14:paraId="3E6F3DE1" w14:textId="77777777" w:rsidR="006568C5" w:rsidRDefault="006568C5" w:rsidP="006568C5">
      <w:pPr>
        <w:pStyle w:val="BodyText"/>
        <w:rPr>
          <w:szCs w:val="22"/>
          <w:lang w:bidi="fa-IR"/>
        </w:rPr>
      </w:pPr>
      <w:r w:rsidRPr="00844A6E">
        <w:rPr>
          <w:szCs w:val="22"/>
          <w:lang w:bidi="fa-IR"/>
        </w:rPr>
        <w:t>As the mechanism that prompts dual fuel buildings to electrify (i.e. convert to fully electric) or the timing is not known, we assume that the conversion occurs at the time that the gas boiler needs to be replaced. For consistency with the assumed life of HVAC equipment used elsewhere, we assume this occurs after 20 years.</w:t>
      </w:r>
    </w:p>
    <w:p w14:paraId="4CA5B5A2" w14:textId="77777777" w:rsidR="006568C5" w:rsidRPr="00844A6E" w:rsidRDefault="006568C5" w:rsidP="006568C5">
      <w:pPr>
        <w:pStyle w:val="Heading4"/>
        <w:rPr>
          <w:lang w:bidi="fa-IR"/>
        </w:rPr>
      </w:pPr>
      <w:r>
        <w:rPr>
          <w:lang w:bidi="fa-IR"/>
        </w:rPr>
        <w:t>Mandatory conversion to fully electric buildings in all states and territories</w:t>
      </w:r>
    </w:p>
    <w:p w14:paraId="0C35D9FA" w14:textId="77777777" w:rsidR="006568C5" w:rsidRDefault="006568C5" w:rsidP="006568C5">
      <w:pPr>
        <w:pStyle w:val="BodyText"/>
        <w:rPr>
          <w:szCs w:val="22"/>
          <w:lang w:bidi="fa-IR"/>
        </w:rPr>
      </w:pPr>
      <w:r>
        <w:rPr>
          <w:szCs w:val="22"/>
          <w:lang w:bidi="fa-IR"/>
        </w:rPr>
        <w:t>The first scenario we test is where dual fuel buildings in all states and territories are required to convert to fully electric after 20 years (i.e. around when the gas boiler requires replacing).</w:t>
      </w:r>
    </w:p>
    <w:p w14:paraId="08F8024C" w14:textId="0E371830" w:rsidR="006568C5" w:rsidRDefault="006568C5" w:rsidP="006568C5">
      <w:pPr>
        <w:pStyle w:val="BodyText"/>
        <w:rPr>
          <w:szCs w:val="22"/>
          <w:lang w:bidi="fa-IR"/>
        </w:rPr>
      </w:pPr>
      <w:r w:rsidRPr="00844A6E">
        <w:rPr>
          <w:szCs w:val="22"/>
          <w:lang w:bidi="fa-IR"/>
        </w:rPr>
        <w:t>A key finding under this scenario, the net benefits of Stringency Level 3 exceed Stringency Level 2, implying Stringency Level 3 is the preferred option (see table </w:t>
      </w:r>
      <w:r>
        <w:rPr>
          <w:szCs w:val="22"/>
          <w:lang w:bidi="fa-IR"/>
        </w:rPr>
        <w:fldChar w:fldCharType="begin"/>
      </w:r>
      <w:r>
        <w:rPr>
          <w:szCs w:val="22"/>
          <w:lang w:bidi="fa-IR"/>
        </w:rPr>
        <w:instrText xml:space="preserve"> REF _Caption5244 </w:instrText>
      </w:r>
      <w:r>
        <w:rPr>
          <w:szCs w:val="22"/>
          <w:lang w:bidi="fa-IR"/>
        </w:rPr>
        <w:fldChar w:fldCharType="separate"/>
      </w:r>
      <w:r w:rsidR="006E00A7">
        <w:rPr>
          <w:noProof/>
        </w:rPr>
        <w:t>7</w:t>
      </w:r>
      <w:r w:rsidR="006E00A7" w:rsidRPr="006F0F88">
        <w:rPr>
          <w:noProof/>
        </w:rPr>
        <w:t>.</w:t>
      </w:r>
      <w:r w:rsidR="006E00A7">
        <w:rPr>
          <w:noProof/>
        </w:rPr>
        <w:t>14</w:t>
      </w:r>
      <w:r>
        <w:rPr>
          <w:szCs w:val="22"/>
          <w:lang w:bidi="fa-IR"/>
        </w:rPr>
        <w:fldChar w:fldCharType="end"/>
      </w:r>
      <w:r w:rsidRPr="00844A6E">
        <w:rPr>
          <w:szCs w:val="22"/>
          <w:lang w:bidi="fa-IR"/>
        </w:rPr>
        <w:t xml:space="preserve">). </w:t>
      </w:r>
    </w:p>
    <w:p w14:paraId="007352A7" w14:textId="5760EA32" w:rsidR="003B5632" w:rsidRDefault="00AB5284" w:rsidP="00913B93">
      <w:pPr>
        <w:pStyle w:val="ListBullet"/>
        <w:rPr>
          <w:lang w:bidi="fa-IR"/>
        </w:rPr>
      </w:pPr>
      <w:r>
        <w:rPr>
          <w:lang w:bidi="fa-IR"/>
        </w:rPr>
        <w:t xml:space="preserve">Under Stringency Level 3, </w:t>
      </w:r>
      <w:r w:rsidR="00FC16A8">
        <w:rPr>
          <w:lang w:bidi="fa-IR"/>
        </w:rPr>
        <w:t>the costs associated with the future conversion to fully electric buildings is lower because:</w:t>
      </w:r>
    </w:p>
    <w:p w14:paraId="6E101540" w14:textId="3CCA3821" w:rsidR="00FC16A8" w:rsidRDefault="00597B88" w:rsidP="00913B93">
      <w:pPr>
        <w:pStyle w:val="ListBullet2"/>
        <w:rPr>
          <w:lang w:bidi="fa-IR"/>
        </w:rPr>
      </w:pPr>
      <w:r>
        <w:rPr>
          <w:lang w:bidi="fa-IR"/>
        </w:rPr>
        <w:t>m</w:t>
      </w:r>
      <w:r w:rsidR="00AE373E">
        <w:rPr>
          <w:lang w:bidi="fa-IR"/>
        </w:rPr>
        <w:t xml:space="preserve">ost buildings </w:t>
      </w:r>
      <w:r w:rsidR="003B0E2F">
        <w:rPr>
          <w:lang w:bidi="fa-IR"/>
        </w:rPr>
        <w:t>are already fully electric (we assumed that under Stringency Level 3, 90 per cent of buildings would choose to</w:t>
      </w:r>
      <w:r w:rsidR="006E6924">
        <w:rPr>
          <w:lang w:bidi="fa-IR"/>
        </w:rPr>
        <w:t xml:space="preserve"> be fully electric</w:t>
      </w:r>
      <w:r w:rsidR="004E46F5">
        <w:rPr>
          <w:lang w:bidi="fa-IR"/>
        </w:rPr>
        <w:t xml:space="preserve"> from the </w:t>
      </w:r>
      <w:r w:rsidR="001839BA">
        <w:rPr>
          <w:lang w:bidi="fa-IR"/>
        </w:rPr>
        <w:t>beginning)</w:t>
      </w:r>
      <w:r>
        <w:rPr>
          <w:lang w:bidi="fa-IR"/>
        </w:rPr>
        <w:t>; and</w:t>
      </w:r>
    </w:p>
    <w:p w14:paraId="6DC1E6BA" w14:textId="7224AEF1" w:rsidR="00982A0A" w:rsidRDefault="00597B88" w:rsidP="00913B93">
      <w:pPr>
        <w:pStyle w:val="ListBullet2"/>
        <w:rPr>
          <w:lang w:bidi="fa-IR"/>
        </w:rPr>
      </w:pPr>
      <w:r>
        <w:rPr>
          <w:lang w:bidi="fa-IR"/>
        </w:rPr>
        <w:t>i</w:t>
      </w:r>
      <w:r w:rsidR="00982A0A">
        <w:rPr>
          <w:lang w:bidi="fa-IR"/>
        </w:rPr>
        <w:t>t would be cheaper for the remaining dual fuel buildings to convert</w:t>
      </w:r>
      <w:r w:rsidR="00913B93">
        <w:rPr>
          <w:lang w:bidi="fa-IR"/>
        </w:rPr>
        <w:t xml:space="preserve"> to fully electric.</w:t>
      </w:r>
    </w:p>
    <w:p w14:paraId="1303C855" w14:textId="5258BFD2" w:rsidR="00FC16A8" w:rsidRPr="00844A6E" w:rsidRDefault="00FC16A8" w:rsidP="00EE617C">
      <w:pPr>
        <w:pStyle w:val="ListBullet"/>
        <w:rPr>
          <w:lang w:bidi="fa-IR"/>
        </w:rPr>
      </w:pPr>
      <w:r w:rsidRPr="00844A6E">
        <w:rPr>
          <w:lang w:bidi="fa-IR"/>
        </w:rPr>
        <w:t xml:space="preserve">This finding is relatively insensitive to the assumed </w:t>
      </w:r>
      <w:r w:rsidRPr="00FF3943">
        <w:rPr>
          <w:b/>
          <w:bCs/>
          <w:lang w:bidi="fa-IR"/>
        </w:rPr>
        <w:t>timing</w:t>
      </w:r>
      <w:r w:rsidRPr="00844A6E">
        <w:rPr>
          <w:lang w:bidi="fa-IR"/>
        </w:rPr>
        <w:t xml:space="preserve"> of the future conversion.</w:t>
      </w:r>
    </w:p>
    <w:p w14:paraId="2D7CD31C" w14:textId="0CEDDE39" w:rsidR="006568C5" w:rsidRPr="006F0F88" w:rsidRDefault="006568C5" w:rsidP="006568C5">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EA6E4C">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A6E4C">
          <w:rPr>
            <w:noProof/>
          </w:rPr>
          <w:instrText>7</w:instrText>
        </w:r>
      </w:fldSimple>
      <w:r w:rsidRPr="006F0F88">
        <w:instrText xml:space="preserve"> = 0 "" "</w:instrText>
      </w:r>
      <w:fldSimple w:instr=" STYLEREF &quot;Heading 1&quot; \l \n ">
        <w:r w:rsidR="00EA6E4C">
          <w:rPr>
            <w:noProof/>
          </w:rPr>
          <w:instrText>7</w:instrText>
        </w:r>
      </w:fldSimple>
      <w:r w:rsidRPr="006F0F88">
        <w:instrText xml:space="preserve">." </w:instrText>
      </w:r>
      <w:r w:rsidRPr="006F0F88">
        <w:fldChar w:fldCharType="separate"/>
      </w:r>
      <w:r w:rsidR="00EA6E4C">
        <w:rPr>
          <w:noProof/>
        </w:rPr>
        <w:instrText>7</w:instrText>
      </w:r>
      <w:r w:rsidR="00EA6E4C"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7</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EA6E4C">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A6E4C">
          <w:rPr>
            <w:noProof/>
          </w:rPr>
          <w:instrText>7</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EA6E4C">
        <w:rPr>
          <w:noProof/>
        </w:rPr>
        <w:instrText>14</w:instrText>
      </w:r>
      <w:r w:rsidRPr="006F0F88">
        <w:fldChar w:fldCharType="end"/>
      </w:r>
      <w:r w:rsidRPr="006F0F88">
        <w:instrText xml:space="preserve">" "" </w:instrText>
      </w:r>
      <w:r w:rsidRPr="006F0F88">
        <w:fldChar w:fldCharType="separate"/>
      </w:r>
      <w:bookmarkStart w:id="3995" w:name="_Caption7309"/>
      <w:bookmarkStart w:id="3996" w:name="_Caption3395"/>
      <w:bookmarkStart w:id="3997" w:name="_Caption9456"/>
      <w:bookmarkStart w:id="3998" w:name="_Caption6695"/>
      <w:bookmarkStart w:id="3999" w:name="_Caption5774"/>
      <w:bookmarkStart w:id="4000" w:name="_Caption1001"/>
      <w:bookmarkStart w:id="4001" w:name="_Caption6091"/>
      <w:bookmarkStart w:id="4002" w:name="_Caption6454"/>
      <w:bookmarkStart w:id="4003" w:name="_Caption1781"/>
      <w:bookmarkStart w:id="4004" w:name="_Caption8053"/>
      <w:bookmarkStart w:id="4005" w:name="_Caption4040"/>
      <w:bookmarkStart w:id="4006" w:name="_Caption0866"/>
      <w:bookmarkStart w:id="4007" w:name="_Caption8185"/>
      <w:bookmarkStart w:id="4008" w:name="_Caption7499"/>
      <w:bookmarkStart w:id="4009" w:name="_Caption5579"/>
      <w:bookmarkStart w:id="4010" w:name="_Caption9749"/>
      <w:bookmarkStart w:id="4011" w:name="_Caption9926"/>
      <w:bookmarkStart w:id="4012" w:name="_Caption9544"/>
      <w:bookmarkStart w:id="4013" w:name="_Caption4509"/>
      <w:bookmarkStart w:id="4014" w:name="_Caption2360"/>
      <w:bookmarkStart w:id="4015" w:name="_Caption5186"/>
      <w:bookmarkStart w:id="4016" w:name="_Caption1451"/>
      <w:bookmarkStart w:id="4017" w:name="_Caption8032"/>
      <w:bookmarkStart w:id="4018" w:name="_Caption5910"/>
      <w:bookmarkStart w:id="4019" w:name="_Caption5116"/>
      <w:bookmarkStart w:id="4020" w:name="_Caption4689"/>
      <w:bookmarkStart w:id="4021" w:name="_Caption9223"/>
      <w:bookmarkStart w:id="4022" w:name="_Caption4353"/>
      <w:bookmarkStart w:id="4023" w:name="_Caption8699"/>
      <w:bookmarkStart w:id="4024" w:name="_Caption9807"/>
      <w:bookmarkStart w:id="4025" w:name="_Caption9864"/>
      <w:bookmarkStart w:id="4026" w:name="_Caption9650"/>
      <w:bookmarkStart w:id="4027" w:name="_Caption6139"/>
      <w:bookmarkStart w:id="4028" w:name="_Caption8736"/>
      <w:bookmarkStart w:id="4029" w:name="_Caption2196"/>
      <w:bookmarkStart w:id="4030" w:name="_Caption5900"/>
      <w:bookmarkStart w:id="4031" w:name="_Caption6908"/>
      <w:bookmarkStart w:id="4032" w:name="_Caption5636"/>
      <w:bookmarkStart w:id="4033" w:name="_Caption4510"/>
      <w:bookmarkStart w:id="4034" w:name="_Caption3476"/>
      <w:bookmarkStart w:id="4035" w:name="_Caption0929"/>
      <w:bookmarkStart w:id="4036" w:name="_Caption6063"/>
      <w:bookmarkStart w:id="4037" w:name="_Caption3237"/>
      <w:bookmarkStart w:id="4038" w:name="_Caption9442"/>
      <w:bookmarkStart w:id="4039" w:name="_Caption2389"/>
      <w:bookmarkStart w:id="4040" w:name="_Caption3999"/>
      <w:bookmarkStart w:id="4041" w:name="_Caption8750"/>
      <w:bookmarkStart w:id="4042" w:name="_Caption2899"/>
      <w:bookmarkStart w:id="4043" w:name="_Caption5467"/>
      <w:bookmarkStart w:id="4044" w:name="_Caption6190"/>
      <w:bookmarkStart w:id="4045" w:name="_Caption1168"/>
      <w:bookmarkStart w:id="4046" w:name="_Caption4491"/>
      <w:bookmarkStart w:id="4047" w:name="_Caption9338"/>
      <w:bookmarkStart w:id="4048" w:name="_Caption6187"/>
      <w:bookmarkStart w:id="4049" w:name="_Caption9971"/>
      <w:bookmarkStart w:id="4050" w:name="_Caption1127"/>
      <w:bookmarkStart w:id="4051" w:name="_Caption2771"/>
      <w:bookmarkStart w:id="4052" w:name="_Caption8056"/>
      <w:bookmarkStart w:id="4053" w:name="_Caption8769"/>
      <w:bookmarkStart w:id="4054" w:name="_Caption6701"/>
      <w:bookmarkStart w:id="4055" w:name="_Caption4723"/>
      <w:bookmarkStart w:id="4056" w:name="_Caption1320"/>
      <w:bookmarkStart w:id="4057" w:name="_Caption4694"/>
      <w:bookmarkStart w:id="4058" w:name="_Caption2745"/>
      <w:bookmarkStart w:id="4059" w:name="_Caption0613"/>
      <w:bookmarkStart w:id="4060" w:name="_Caption1395"/>
      <w:bookmarkStart w:id="4061" w:name="_Caption2638"/>
      <w:bookmarkStart w:id="4062" w:name="_Caption0221"/>
      <w:bookmarkStart w:id="4063" w:name="_Caption8513"/>
      <w:bookmarkStart w:id="4064" w:name="_Caption3051"/>
      <w:bookmarkStart w:id="4065" w:name="_Caption7425"/>
      <w:bookmarkStart w:id="4066" w:name="_Caption0518"/>
      <w:bookmarkStart w:id="4067" w:name="_Caption6411"/>
      <w:bookmarkStart w:id="4068" w:name="_Caption8356"/>
      <w:bookmarkStart w:id="4069" w:name="_Caption2329"/>
      <w:bookmarkStart w:id="4070" w:name="_Caption9185"/>
      <w:bookmarkStart w:id="4071" w:name="_Caption7714"/>
      <w:bookmarkStart w:id="4072" w:name="_Caption9802"/>
      <w:bookmarkStart w:id="4073" w:name="_Caption6151"/>
      <w:bookmarkStart w:id="4074" w:name="_Caption3102"/>
      <w:bookmarkStart w:id="4075" w:name="_Caption6163"/>
      <w:bookmarkStart w:id="4076" w:name="_Caption7976"/>
      <w:bookmarkStart w:id="4077" w:name="_Caption1142"/>
      <w:bookmarkStart w:id="4078" w:name="_Caption5317"/>
      <w:bookmarkStart w:id="4079" w:name="_Caption5713"/>
      <w:bookmarkStart w:id="4080" w:name="_Caption8947"/>
      <w:bookmarkStart w:id="4081" w:name="_Caption1899"/>
      <w:bookmarkStart w:id="4082" w:name="_Caption2767"/>
      <w:bookmarkStart w:id="4083" w:name="_Caption4630"/>
      <w:bookmarkStart w:id="4084" w:name="_Caption2451"/>
      <w:bookmarkStart w:id="4085" w:name="_Caption3432"/>
      <w:bookmarkStart w:id="4086" w:name="_Caption3547"/>
      <w:bookmarkStart w:id="4087" w:name="_Caption9641"/>
      <w:bookmarkStart w:id="4088" w:name="_Caption7253"/>
      <w:bookmarkStart w:id="4089" w:name="_Caption3720"/>
      <w:bookmarkStart w:id="4090" w:name="_Caption7675"/>
      <w:bookmarkStart w:id="4091" w:name="_Caption3456"/>
      <w:bookmarkStart w:id="4092" w:name="_Caption0275"/>
      <w:bookmarkStart w:id="4093" w:name="_Caption5244"/>
      <w:bookmarkStart w:id="4094" w:name="_Caption5022"/>
      <w:bookmarkStart w:id="4095" w:name="_Caption3465"/>
      <w:bookmarkStart w:id="4096" w:name="_Caption5580"/>
      <w:bookmarkStart w:id="4097" w:name="_Caption0574"/>
      <w:bookmarkStart w:id="4098" w:name="_Caption4815"/>
      <w:bookmarkStart w:id="4099" w:name="_Caption6320"/>
      <w:bookmarkStart w:id="4100" w:name="_Caption9345"/>
      <w:bookmarkStart w:id="4101" w:name="_Caption0441"/>
      <w:bookmarkStart w:id="4102" w:name="_Caption9550"/>
      <w:bookmarkStart w:id="4103" w:name="_Caption6188"/>
      <w:bookmarkStart w:id="4104" w:name="_Caption2013"/>
      <w:bookmarkStart w:id="4105" w:name="_Caption3870"/>
      <w:bookmarkStart w:id="4106" w:name="_Caption7971"/>
      <w:bookmarkStart w:id="4107" w:name="_Caption8426"/>
      <w:bookmarkStart w:id="4108" w:name="_Caption6915"/>
      <w:bookmarkStart w:id="4109" w:name="_Caption8465"/>
      <w:bookmarkStart w:id="4110" w:name="_Caption1498"/>
      <w:bookmarkStart w:id="4111" w:name="_Caption2982"/>
      <w:bookmarkStart w:id="4112" w:name="_Caption6805"/>
      <w:bookmarkStart w:id="4113" w:name="_Caption7574"/>
      <w:bookmarkStart w:id="4114" w:name="_Caption8619"/>
      <w:bookmarkStart w:id="4115" w:name="_Caption3682"/>
      <w:bookmarkStart w:id="4116" w:name="_Caption0212"/>
      <w:bookmarkStart w:id="4117" w:name="_Toc177735180"/>
      <w:bookmarkStart w:id="4118" w:name="_Toc178292613"/>
      <w:r w:rsidR="008C60A3">
        <w:rPr>
          <w:noProof/>
        </w:rPr>
        <w:t>7</w:t>
      </w:r>
      <w:r w:rsidR="008C60A3" w:rsidRPr="006F0F88">
        <w:rPr>
          <w:noProof/>
        </w:rPr>
        <w:t>.</w:t>
      </w:r>
      <w:r w:rsidR="008C60A3">
        <w:rPr>
          <w:noProof/>
        </w:rPr>
        <w:t>14</w:t>
      </w:r>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r w:rsidRPr="006F0F88">
        <w:fldChar w:fldCharType="end"/>
      </w:r>
      <w:r w:rsidRPr="006F0F88">
        <w:tab/>
        <w:t>Future electrification scenario — summary</w:t>
      </w:r>
      <w:bookmarkEnd w:id="4117"/>
      <w:bookmarkEnd w:id="4118"/>
    </w:p>
    <w:tbl>
      <w:tblPr>
        <w:tblW w:w="8505" w:type="dxa"/>
        <w:tblLayout w:type="fixed"/>
        <w:tblLook w:val="0000" w:firstRow="0" w:lastRow="0" w:firstColumn="0" w:lastColumn="0" w:noHBand="0" w:noVBand="0"/>
        <w:tblCaption w:val="Table 6.11 - Future electrification scenario — summary"/>
      </w:tblPr>
      <w:tblGrid>
        <w:gridCol w:w="4446"/>
        <w:gridCol w:w="1353"/>
        <w:gridCol w:w="1353"/>
        <w:gridCol w:w="1353"/>
      </w:tblGrid>
      <w:tr w:rsidR="006568C5" w14:paraId="3B48F9F8" w14:textId="77777777">
        <w:trPr>
          <w:trHeight w:val="245"/>
          <w:tblHeader/>
        </w:trPr>
        <w:tc>
          <w:tcPr>
            <w:tcW w:w="4446" w:type="dxa"/>
            <w:shd w:val="clear" w:color="auto" w:fill="6F6652"/>
            <w:tcMar>
              <w:left w:w="57" w:type="dxa"/>
              <w:right w:w="57" w:type="dxa"/>
            </w:tcMar>
          </w:tcPr>
          <w:p w14:paraId="28BBA72D" w14:textId="77777777" w:rsidR="006568C5" w:rsidRDefault="006568C5">
            <w:pPr>
              <w:pStyle w:val="TableDataColumnHeading"/>
              <w:jc w:val="left"/>
            </w:pPr>
            <w:r>
              <w:t>Impact</w:t>
            </w:r>
          </w:p>
        </w:tc>
        <w:tc>
          <w:tcPr>
            <w:tcW w:w="1353" w:type="dxa"/>
            <w:shd w:val="clear" w:color="auto" w:fill="6F6652"/>
            <w:tcMar>
              <w:left w:w="57" w:type="dxa"/>
              <w:right w:w="57" w:type="dxa"/>
            </w:tcMar>
          </w:tcPr>
          <w:p w14:paraId="42092032" w14:textId="77777777" w:rsidR="006568C5" w:rsidRDefault="006568C5">
            <w:pPr>
              <w:pStyle w:val="TableDataColumnHeading"/>
            </w:pPr>
            <w:r>
              <w:t>Stringency Level 1</w:t>
            </w:r>
          </w:p>
          <w:p w14:paraId="7324F680" w14:textId="77777777" w:rsidR="006568C5" w:rsidRDefault="006568C5">
            <w:pPr>
              <w:pStyle w:val="TableDataColumnHeading"/>
            </w:pPr>
            <w:r>
              <w:t>$ million</w:t>
            </w:r>
          </w:p>
        </w:tc>
        <w:tc>
          <w:tcPr>
            <w:tcW w:w="1353" w:type="dxa"/>
            <w:shd w:val="clear" w:color="auto" w:fill="6F6652"/>
            <w:tcMar>
              <w:left w:w="57" w:type="dxa"/>
              <w:right w:w="57" w:type="dxa"/>
            </w:tcMar>
          </w:tcPr>
          <w:p w14:paraId="6C11929F" w14:textId="77777777" w:rsidR="006568C5" w:rsidRDefault="006568C5">
            <w:pPr>
              <w:pStyle w:val="TableDataColumnHeading"/>
            </w:pPr>
            <w:r>
              <w:t>Stringency Level 2</w:t>
            </w:r>
          </w:p>
          <w:p w14:paraId="7932BCFE" w14:textId="77777777" w:rsidR="006568C5" w:rsidRDefault="006568C5">
            <w:pPr>
              <w:pStyle w:val="TableDataColumnHeading"/>
            </w:pPr>
            <w:r>
              <w:t>$ million</w:t>
            </w:r>
          </w:p>
        </w:tc>
        <w:tc>
          <w:tcPr>
            <w:tcW w:w="1353" w:type="dxa"/>
            <w:shd w:val="clear" w:color="auto" w:fill="6F6652"/>
            <w:tcMar>
              <w:left w:w="57" w:type="dxa"/>
              <w:right w:w="57" w:type="dxa"/>
            </w:tcMar>
          </w:tcPr>
          <w:p w14:paraId="2A895762" w14:textId="77777777" w:rsidR="006568C5" w:rsidRDefault="006568C5">
            <w:pPr>
              <w:pStyle w:val="TableDataColumnHeading"/>
            </w:pPr>
            <w:r>
              <w:t>Stringency Level 3</w:t>
            </w:r>
          </w:p>
          <w:p w14:paraId="71EA0EDC" w14:textId="77777777" w:rsidR="006568C5" w:rsidRDefault="006568C5">
            <w:pPr>
              <w:pStyle w:val="TableDataColumnHeading"/>
            </w:pPr>
            <w:r>
              <w:t>$ million</w:t>
            </w:r>
          </w:p>
        </w:tc>
      </w:tr>
      <w:tr w:rsidR="00592970" w14:paraId="7677BD50" w14:textId="77777777">
        <w:trPr>
          <w:trHeight w:val="245"/>
        </w:trPr>
        <w:tc>
          <w:tcPr>
            <w:tcW w:w="444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9AA763B" w14:textId="77777777" w:rsidR="00592970" w:rsidRDefault="00592970" w:rsidP="00592970">
            <w:pPr>
              <w:pStyle w:val="TableDataEntries"/>
              <w:jc w:val="left"/>
            </w:pPr>
            <w:r>
              <w:t>Avoided network capacity costs</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B86BF28" w14:textId="73AD9DF4" w:rsidR="00592970" w:rsidRPr="00592970" w:rsidRDefault="00592970" w:rsidP="00592970">
            <w:pPr>
              <w:pStyle w:val="TableDataEntries"/>
            </w:pPr>
            <w:r w:rsidRPr="00592970">
              <w:t xml:space="preserve"> 932.32</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B600F9D" w14:textId="79D65013" w:rsidR="00592970" w:rsidRPr="00592970" w:rsidRDefault="00592970" w:rsidP="00592970">
            <w:pPr>
              <w:pStyle w:val="TableDataEntries"/>
            </w:pPr>
            <w:r w:rsidRPr="00592970">
              <w:t>1 562.20</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F43C8B6" w14:textId="5D7A15D3" w:rsidR="00592970" w:rsidRPr="00592970" w:rsidRDefault="00592970" w:rsidP="00592970">
            <w:pPr>
              <w:pStyle w:val="TableDataEntries"/>
            </w:pPr>
            <w:r w:rsidRPr="00592970">
              <w:t>1 477.15</w:t>
            </w:r>
          </w:p>
        </w:tc>
      </w:tr>
      <w:tr w:rsidR="00592970" w14:paraId="75E4E21A" w14:textId="77777777">
        <w:trPr>
          <w:trHeight w:val="245"/>
        </w:trPr>
        <w:tc>
          <w:tcPr>
            <w:tcW w:w="444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A6A60A" w14:textId="77777777" w:rsidR="00592970" w:rsidRDefault="00592970" w:rsidP="00592970">
            <w:pPr>
              <w:pStyle w:val="TableDataEntries"/>
              <w:jc w:val="left"/>
            </w:pPr>
            <w:r>
              <w:t>Avoided wholesale costs</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63CB0C4" w14:textId="4991B8FC" w:rsidR="00592970" w:rsidRPr="00592970" w:rsidRDefault="00592970" w:rsidP="00592970">
            <w:pPr>
              <w:pStyle w:val="TableDataEntries"/>
            </w:pPr>
            <w:r w:rsidRPr="00592970">
              <w:t>1 815.27</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1560E98" w14:textId="1D8D257B" w:rsidR="00592970" w:rsidRPr="00592970" w:rsidRDefault="00592970" w:rsidP="00592970">
            <w:pPr>
              <w:pStyle w:val="TableDataEntries"/>
            </w:pPr>
            <w:r w:rsidRPr="00592970">
              <w:t>3 249.28</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D7AAA52" w14:textId="1740E131" w:rsidR="00592970" w:rsidRPr="00592970" w:rsidRDefault="00592970" w:rsidP="00592970">
            <w:pPr>
              <w:pStyle w:val="TableDataEntries"/>
            </w:pPr>
            <w:r w:rsidRPr="00592970">
              <w:t>3 013.56</w:t>
            </w:r>
          </w:p>
        </w:tc>
      </w:tr>
      <w:tr w:rsidR="00592970" w14:paraId="47DACEA8" w14:textId="77777777">
        <w:trPr>
          <w:trHeight w:val="245"/>
        </w:trPr>
        <w:tc>
          <w:tcPr>
            <w:tcW w:w="444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8C3093C" w14:textId="77777777" w:rsidR="00592970" w:rsidRDefault="00592970" w:rsidP="00592970">
            <w:pPr>
              <w:pStyle w:val="TableDataEntries"/>
              <w:jc w:val="left"/>
            </w:pPr>
            <w:r>
              <w:t>Avoided network usage costs</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D464480" w14:textId="72095DB9" w:rsidR="00592970" w:rsidRPr="00592970" w:rsidRDefault="00592970" w:rsidP="00592970">
            <w:pPr>
              <w:pStyle w:val="TableDataEntries"/>
            </w:pPr>
            <w:r w:rsidRPr="00592970">
              <w:t>1 749.98</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BBEA616" w14:textId="55CBFCA8" w:rsidR="00592970" w:rsidRPr="00592970" w:rsidRDefault="00592970" w:rsidP="00592970">
            <w:pPr>
              <w:pStyle w:val="TableDataEntries"/>
            </w:pPr>
            <w:r w:rsidRPr="00592970">
              <w:t>3 577.75</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BF66DB0" w14:textId="171746B0" w:rsidR="00592970" w:rsidRPr="00592970" w:rsidRDefault="00592970" w:rsidP="00592970">
            <w:pPr>
              <w:pStyle w:val="TableDataEntries"/>
            </w:pPr>
            <w:r w:rsidRPr="00592970">
              <w:t>3 409.68</w:t>
            </w:r>
          </w:p>
        </w:tc>
      </w:tr>
      <w:tr w:rsidR="00592970" w14:paraId="5204DB61" w14:textId="77777777">
        <w:trPr>
          <w:trHeight w:val="245"/>
        </w:trPr>
        <w:tc>
          <w:tcPr>
            <w:tcW w:w="444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036D514" w14:textId="77777777" w:rsidR="00592970" w:rsidRDefault="00592970" w:rsidP="00592970">
            <w:pPr>
              <w:pStyle w:val="TableDataEntries"/>
              <w:jc w:val="left"/>
            </w:pPr>
            <w:r>
              <w:t>Avoided retail costs</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2993622" w14:textId="4F0351F4" w:rsidR="00592970" w:rsidRPr="00592970" w:rsidRDefault="00592970" w:rsidP="00592970">
            <w:pPr>
              <w:pStyle w:val="TableDataEntries"/>
            </w:pPr>
            <w:r w:rsidRPr="00592970">
              <w:t xml:space="preserve"> 674.63</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ABE9657" w14:textId="40D9B174" w:rsidR="00592970" w:rsidRPr="00592970" w:rsidRDefault="00592970" w:rsidP="00592970">
            <w:pPr>
              <w:pStyle w:val="TableDataEntries"/>
            </w:pPr>
            <w:r w:rsidRPr="00592970">
              <w:t>1 258.39</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C9A2EDE" w14:textId="24970AB3" w:rsidR="00592970" w:rsidRPr="00592970" w:rsidRDefault="00592970" w:rsidP="00592970">
            <w:pPr>
              <w:pStyle w:val="TableDataEntries"/>
            </w:pPr>
            <w:r w:rsidRPr="00592970">
              <w:t>1 185.06</w:t>
            </w:r>
          </w:p>
        </w:tc>
      </w:tr>
      <w:tr w:rsidR="00592970" w14:paraId="06968420" w14:textId="77777777">
        <w:trPr>
          <w:trHeight w:val="245"/>
        </w:trPr>
        <w:tc>
          <w:tcPr>
            <w:tcW w:w="444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F610530" w14:textId="77777777" w:rsidR="00592970" w:rsidRDefault="00592970" w:rsidP="00592970">
            <w:pPr>
              <w:pStyle w:val="TableDataEntries"/>
              <w:jc w:val="left"/>
            </w:pPr>
            <w:r>
              <w:t>Electricity exported to grid</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810B9F5" w14:textId="0E777391" w:rsidR="00592970" w:rsidRPr="00592970" w:rsidRDefault="00592970" w:rsidP="00592970">
            <w:pPr>
              <w:pStyle w:val="TableDataEntries"/>
            </w:pPr>
            <w:r w:rsidRPr="00592970">
              <w:t xml:space="preserve"> 44.96</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4BADCB2" w14:textId="6B9EAA94" w:rsidR="00592970" w:rsidRPr="00592970" w:rsidRDefault="00592970" w:rsidP="00592970">
            <w:pPr>
              <w:pStyle w:val="TableDataEntries"/>
            </w:pPr>
            <w:r w:rsidRPr="00592970">
              <w:t xml:space="preserve"> 291.43</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FB179B2" w14:textId="276F5DD8" w:rsidR="00592970" w:rsidRPr="00592970" w:rsidRDefault="00592970" w:rsidP="00592970">
            <w:pPr>
              <w:pStyle w:val="TableDataEntries"/>
            </w:pPr>
            <w:r w:rsidRPr="00592970">
              <w:t xml:space="preserve"> 291.48</w:t>
            </w:r>
          </w:p>
        </w:tc>
      </w:tr>
      <w:tr w:rsidR="00592970" w14:paraId="3F3EC469" w14:textId="77777777">
        <w:trPr>
          <w:trHeight w:val="245"/>
        </w:trPr>
        <w:tc>
          <w:tcPr>
            <w:tcW w:w="444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5766D0" w14:textId="77777777" w:rsidR="00592970" w:rsidRDefault="00592970" w:rsidP="00592970">
            <w:pPr>
              <w:pStyle w:val="TableDataEntries"/>
              <w:jc w:val="left"/>
            </w:pPr>
            <w:r>
              <w:t>Electricity exports — network costs</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F101353" w14:textId="3FCFBDD0" w:rsidR="00592970" w:rsidRPr="00592970" w:rsidRDefault="00592970" w:rsidP="00592970">
            <w:pPr>
              <w:pStyle w:val="TableDataEntries"/>
            </w:pPr>
            <w:r w:rsidRPr="00592970">
              <w:t>- 10.66</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6C24838" w14:textId="002BA3B2" w:rsidR="00592970" w:rsidRPr="00592970" w:rsidRDefault="00592970" w:rsidP="00592970">
            <w:pPr>
              <w:pStyle w:val="TableDataEntries"/>
            </w:pPr>
            <w:r w:rsidRPr="00592970">
              <w:t>- 45.74</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65969DA" w14:textId="46821A07" w:rsidR="00592970" w:rsidRPr="00592970" w:rsidRDefault="00592970" w:rsidP="00592970">
            <w:pPr>
              <w:pStyle w:val="TableDataEntries"/>
            </w:pPr>
            <w:r w:rsidRPr="00592970">
              <w:t>- 45.76</w:t>
            </w:r>
          </w:p>
        </w:tc>
      </w:tr>
      <w:tr w:rsidR="00592970" w14:paraId="56F7FA67" w14:textId="77777777">
        <w:trPr>
          <w:trHeight w:val="245"/>
        </w:trPr>
        <w:tc>
          <w:tcPr>
            <w:tcW w:w="444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01BF6B" w14:textId="77777777" w:rsidR="00592970" w:rsidRDefault="00592970" w:rsidP="00592970">
            <w:pPr>
              <w:pStyle w:val="TableDataEntries"/>
              <w:jc w:val="left"/>
            </w:pPr>
            <w:r>
              <w:t>Avoided gas costs</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C194C74" w14:textId="5003297F" w:rsidR="00592970" w:rsidRPr="00592970" w:rsidRDefault="00592970" w:rsidP="00592970">
            <w:pPr>
              <w:pStyle w:val="TableDataEntries"/>
            </w:pPr>
            <w:r w:rsidRPr="00592970">
              <w:t>- 19.45</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196DD27" w14:textId="6F40BE40" w:rsidR="00592970" w:rsidRPr="00592970" w:rsidRDefault="00592970" w:rsidP="00592970">
            <w:pPr>
              <w:pStyle w:val="TableDataEntries"/>
            </w:pPr>
            <w:r w:rsidRPr="00592970">
              <w:t>- 19.45</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3AEE0EF" w14:textId="3196A265" w:rsidR="00592970" w:rsidRPr="00592970" w:rsidRDefault="00592970" w:rsidP="00592970">
            <w:pPr>
              <w:pStyle w:val="TableDataEntries"/>
            </w:pPr>
            <w:r w:rsidRPr="00592970">
              <w:t xml:space="preserve"> 293.65</w:t>
            </w:r>
          </w:p>
        </w:tc>
      </w:tr>
      <w:tr w:rsidR="00592970" w14:paraId="172211FA" w14:textId="77777777">
        <w:trPr>
          <w:trHeight w:val="245"/>
        </w:trPr>
        <w:tc>
          <w:tcPr>
            <w:tcW w:w="444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4E297F" w14:textId="77777777" w:rsidR="00592970" w:rsidRDefault="00592970" w:rsidP="00592970">
            <w:pPr>
              <w:pStyle w:val="TableDataEntries"/>
              <w:jc w:val="left"/>
            </w:pPr>
            <w:r>
              <w:t>Avoided GHG emissions – electricity</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B9AAC14" w14:textId="1AAD7DF5" w:rsidR="00592970" w:rsidRPr="00592970" w:rsidRDefault="00592970" w:rsidP="00592970">
            <w:pPr>
              <w:pStyle w:val="TableDataEntries"/>
            </w:pPr>
            <w:r w:rsidRPr="00592970">
              <w:t>1 244.65</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7C844EC" w14:textId="1DD5D5C5" w:rsidR="00592970" w:rsidRPr="00592970" w:rsidRDefault="00592970" w:rsidP="00592970">
            <w:pPr>
              <w:pStyle w:val="TableDataEntries"/>
            </w:pPr>
            <w:r w:rsidRPr="00592970">
              <w:t>2 362.03</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908F168" w14:textId="762E1093" w:rsidR="00592970" w:rsidRPr="00592970" w:rsidRDefault="00592970" w:rsidP="00592970">
            <w:pPr>
              <w:pStyle w:val="TableDataEntries"/>
            </w:pPr>
            <w:r w:rsidRPr="00592970">
              <w:t>2 233.92</w:t>
            </w:r>
          </w:p>
        </w:tc>
      </w:tr>
      <w:tr w:rsidR="00592970" w14:paraId="6A44F468" w14:textId="77777777">
        <w:trPr>
          <w:trHeight w:val="245"/>
        </w:trPr>
        <w:tc>
          <w:tcPr>
            <w:tcW w:w="444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1186C94" w14:textId="77777777" w:rsidR="00592970" w:rsidRDefault="00592970" w:rsidP="00592970">
            <w:pPr>
              <w:pStyle w:val="TableDataEntries"/>
              <w:jc w:val="left"/>
            </w:pPr>
            <w:r>
              <w:t>Avoided GHG emissions – exported electricity</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10A2B8D" w14:textId="66BC9D39" w:rsidR="00592970" w:rsidRPr="00592970" w:rsidRDefault="00592970" w:rsidP="00592970">
            <w:pPr>
              <w:pStyle w:val="TableDataEntries"/>
            </w:pPr>
            <w:r w:rsidRPr="00592970">
              <w:t xml:space="preserve"> 70.49</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E35AC7F" w14:textId="3187C2EE" w:rsidR="00592970" w:rsidRPr="00592970" w:rsidRDefault="00592970" w:rsidP="00592970">
            <w:pPr>
              <w:pStyle w:val="TableDataEntries"/>
            </w:pPr>
            <w:r w:rsidRPr="00592970">
              <w:t xml:space="preserve"> 440.17</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C2749BE" w14:textId="0938F7A2" w:rsidR="00592970" w:rsidRPr="00592970" w:rsidRDefault="00592970" w:rsidP="00592970">
            <w:pPr>
              <w:pStyle w:val="TableDataEntries"/>
            </w:pPr>
            <w:r w:rsidRPr="00592970">
              <w:t xml:space="preserve"> 440.26</w:t>
            </w:r>
          </w:p>
        </w:tc>
      </w:tr>
      <w:tr w:rsidR="00592970" w14:paraId="3F927FBD" w14:textId="77777777">
        <w:trPr>
          <w:trHeight w:val="245"/>
        </w:trPr>
        <w:tc>
          <w:tcPr>
            <w:tcW w:w="444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6139AE" w14:textId="77777777" w:rsidR="00592970" w:rsidRDefault="00592970" w:rsidP="00592970">
            <w:pPr>
              <w:pStyle w:val="TableDataEntries"/>
              <w:jc w:val="left"/>
            </w:pPr>
            <w:r>
              <w:t>Avoided GHG emissions – gas</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6EECABD" w14:textId="0B2918A3" w:rsidR="00592970" w:rsidRPr="00592970" w:rsidRDefault="00592970" w:rsidP="00592970">
            <w:pPr>
              <w:pStyle w:val="TableDataEntries"/>
            </w:pPr>
            <w:r w:rsidRPr="00592970">
              <w:t>- 34.54</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1E47852" w14:textId="7DBE8031" w:rsidR="00592970" w:rsidRPr="00592970" w:rsidRDefault="00592970" w:rsidP="00592970">
            <w:pPr>
              <w:pStyle w:val="TableDataEntries"/>
            </w:pPr>
            <w:r w:rsidRPr="00592970">
              <w:t>- 34.54</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4E8BC75" w14:textId="54E6F7DE" w:rsidR="00592970" w:rsidRPr="00592970" w:rsidRDefault="00592970" w:rsidP="00592970">
            <w:pPr>
              <w:pStyle w:val="TableDataEntries"/>
            </w:pPr>
            <w:r w:rsidRPr="00592970">
              <w:t xml:space="preserve"> 533.01</w:t>
            </w:r>
          </w:p>
        </w:tc>
      </w:tr>
      <w:tr w:rsidR="00592970" w14:paraId="4DCFD6B5" w14:textId="77777777">
        <w:trPr>
          <w:trHeight w:val="245"/>
        </w:trPr>
        <w:tc>
          <w:tcPr>
            <w:tcW w:w="444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3B4814" w14:textId="77777777" w:rsidR="00592970" w:rsidRDefault="00592970" w:rsidP="00592970">
            <w:pPr>
              <w:pStyle w:val="TableDataEntries"/>
              <w:jc w:val="left"/>
            </w:pPr>
            <w:r>
              <w:t>Capital costs</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7491FF9" w14:textId="4D90D958" w:rsidR="00592970" w:rsidRPr="00592970" w:rsidRDefault="00592970" w:rsidP="00592970">
            <w:pPr>
              <w:pStyle w:val="TableDataEntries"/>
            </w:pPr>
            <w:r w:rsidRPr="00592970">
              <w:t xml:space="preserve"> 338.46</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B5C8545" w14:textId="0FC3D2EB" w:rsidR="00592970" w:rsidRPr="00592970" w:rsidRDefault="00592970" w:rsidP="00592970">
            <w:pPr>
              <w:pStyle w:val="TableDataEntries"/>
            </w:pPr>
            <w:r w:rsidRPr="00592970">
              <w:t>-2 614.10</w:t>
            </w:r>
          </w:p>
        </w:tc>
        <w:tc>
          <w:tcPr>
            <w:tcW w:w="13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771A4E6" w14:textId="377A6D42" w:rsidR="00592970" w:rsidRPr="00592970" w:rsidRDefault="00592970" w:rsidP="00592970">
            <w:pPr>
              <w:pStyle w:val="TableDataEntries"/>
            </w:pPr>
            <w:r w:rsidRPr="00592970">
              <w:t>-2 404.51</w:t>
            </w:r>
          </w:p>
        </w:tc>
      </w:tr>
      <w:tr w:rsidR="00592970" w:rsidRPr="00592970" w14:paraId="34A445D9" w14:textId="77777777">
        <w:trPr>
          <w:trHeight w:val="245"/>
        </w:trPr>
        <w:tc>
          <w:tcPr>
            <w:tcW w:w="4446"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96CBEB6" w14:textId="77777777" w:rsidR="00592970" w:rsidRPr="00592970" w:rsidRDefault="00592970" w:rsidP="00592970">
            <w:pPr>
              <w:pStyle w:val="TableDataEntries"/>
              <w:jc w:val="left"/>
              <w:rPr>
                <w:rFonts w:ascii="Franklin Gothic Demi" w:hAnsi="Franklin Gothic Demi"/>
              </w:rPr>
            </w:pPr>
            <w:r w:rsidRPr="00592970">
              <w:rPr>
                <w:rFonts w:ascii="Franklin Gothic Demi" w:hAnsi="Franklin Gothic Demi"/>
              </w:rPr>
              <w:t>Total building energy impacts</w:t>
            </w:r>
          </w:p>
        </w:tc>
        <w:tc>
          <w:tcPr>
            <w:tcW w:w="1353"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1BDD279B" w14:textId="14945E71" w:rsidR="00592970" w:rsidRPr="00592970" w:rsidRDefault="00592970" w:rsidP="00592970">
            <w:pPr>
              <w:pStyle w:val="TableDataEntries"/>
              <w:rPr>
                <w:rFonts w:ascii="Franklin Gothic Demi" w:hAnsi="Franklin Gothic Demi"/>
              </w:rPr>
            </w:pPr>
            <w:r w:rsidRPr="00592970">
              <w:rPr>
                <w:rFonts w:ascii="Franklin Gothic Demi" w:hAnsi="Franklin Gothic Demi"/>
              </w:rPr>
              <w:t>6 806.12</w:t>
            </w:r>
          </w:p>
        </w:tc>
        <w:tc>
          <w:tcPr>
            <w:tcW w:w="1353"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0E4536D5" w14:textId="2E843856" w:rsidR="00592970" w:rsidRPr="00592970" w:rsidRDefault="00592970" w:rsidP="00592970">
            <w:pPr>
              <w:pStyle w:val="TableDataEntries"/>
              <w:rPr>
                <w:rFonts w:ascii="Franklin Gothic Demi" w:hAnsi="Franklin Gothic Demi"/>
              </w:rPr>
            </w:pPr>
            <w:r w:rsidRPr="00592970">
              <w:rPr>
                <w:rFonts w:ascii="Franklin Gothic Demi" w:hAnsi="Franklin Gothic Demi"/>
              </w:rPr>
              <w:t>10 027.42</w:t>
            </w:r>
          </w:p>
        </w:tc>
        <w:tc>
          <w:tcPr>
            <w:tcW w:w="1353"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105554D6" w14:textId="3099D890" w:rsidR="00592970" w:rsidRPr="00592970" w:rsidRDefault="00592970" w:rsidP="00592970">
            <w:pPr>
              <w:pStyle w:val="TableDataEntries"/>
              <w:rPr>
                <w:rFonts w:ascii="Franklin Gothic Demi" w:hAnsi="Franklin Gothic Demi"/>
              </w:rPr>
            </w:pPr>
            <w:r w:rsidRPr="00592970">
              <w:rPr>
                <w:rFonts w:ascii="Franklin Gothic Demi" w:hAnsi="Franklin Gothic Demi"/>
              </w:rPr>
              <w:t>10 427.48</w:t>
            </w:r>
          </w:p>
        </w:tc>
      </w:tr>
    </w:tbl>
    <w:p w14:paraId="1D1860D6" w14:textId="77777777" w:rsidR="006568C5" w:rsidRDefault="006568C5" w:rsidP="006568C5">
      <w:pPr>
        <w:pStyle w:val="Note"/>
      </w:pPr>
      <w:r w:rsidRPr="007D1B4F">
        <w:rPr>
          <w:i/>
        </w:rPr>
        <w:t>Note:</w:t>
      </w:r>
      <w:r w:rsidRPr="00E879B8">
        <w:t xml:space="preserve"> </w:t>
      </w:r>
      <w:r>
        <w:t>Estimates presented in net present value terms over an assumed 50-year life of all buildings constructed over the 10 year period from 2025 to 2034, using a discount rate of 5 per cent.</w:t>
      </w:r>
    </w:p>
    <w:p w14:paraId="4B47C4C3" w14:textId="77777777" w:rsidR="006568C5" w:rsidRDefault="006568C5" w:rsidP="006568C5">
      <w:pPr>
        <w:pStyle w:val="Source"/>
      </w:pPr>
      <w:r>
        <w:rPr>
          <w:i/>
        </w:rPr>
        <w:t>Source</w:t>
      </w:r>
      <w:r w:rsidRPr="00E4232C">
        <w:rPr>
          <w:i/>
        </w:rPr>
        <w:t>:</w:t>
      </w:r>
      <w:r>
        <w:t xml:space="preserve"> CIE based on DeltaQ modelling.</w:t>
      </w:r>
    </w:p>
    <w:p w14:paraId="1B545092" w14:textId="5A4B9B18" w:rsidR="006568C5" w:rsidRPr="00061397" w:rsidRDefault="006568C5" w:rsidP="006568C5">
      <w:pPr>
        <w:pStyle w:val="BodyText"/>
        <w:rPr>
          <w:lang w:eastAsia="en-US"/>
        </w:rPr>
      </w:pPr>
      <w:r w:rsidRPr="00844A6E">
        <w:rPr>
          <w:szCs w:val="22"/>
          <w:lang w:bidi="fa-IR"/>
        </w:rPr>
        <w:t xml:space="preserve">This </w:t>
      </w:r>
      <w:r w:rsidR="001D7DC9">
        <w:rPr>
          <w:szCs w:val="22"/>
          <w:lang w:bidi="fa-IR"/>
        </w:rPr>
        <w:t>analysis</w:t>
      </w:r>
      <w:r w:rsidRPr="00844A6E">
        <w:rPr>
          <w:szCs w:val="22"/>
          <w:lang w:bidi="fa-IR"/>
        </w:rPr>
        <w:t xml:space="preserve"> </w:t>
      </w:r>
      <w:r w:rsidR="00EA7FF4">
        <w:rPr>
          <w:szCs w:val="22"/>
          <w:lang w:bidi="fa-IR"/>
        </w:rPr>
        <w:t>also</w:t>
      </w:r>
      <w:r w:rsidRPr="00844A6E">
        <w:rPr>
          <w:szCs w:val="22"/>
          <w:lang w:bidi="fa-IR"/>
        </w:rPr>
        <w:t xml:space="preserve"> demonstrates the results are highly dependent on future </w:t>
      </w:r>
      <w:r w:rsidR="0085613C">
        <w:rPr>
          <w:szCs w:val="22"/>
          <w:lang w:bidi="fa-IR"/>
        </w:rPr>
        <w:t xml:space="preserve">policy </w:t>
      </w:r>
      <w:r w:rsidR="00530748">
        <w:rPr>
          <w:szCs w:val="22"/>
          <w:lang w:bidi="fa-IR"/>
        </w:rPr>
        <w:t>requirement on electrification</w:t>
      </w:r>
      <w:r>
        <w:rPr>
          <w:szCs w:val="22"/>
          <w:lang w:bidi="fa-IR"/>
        </w:rPr>
        <w:t xml:space="preserve"> </w:t>
      </w:r>
      <w:r w:rsidRPr="00844A6E">
        <w:rPr>
          <w:szCs w:val="22"/>
          <w:lang w:bidi="fa-IR"/>
        </w:rPr>
        <w:t>which cannot be known with certainty</w:t>
      </w:r>
      <w:r>
        <w:rPr>
          <w:szCs w:val="22"/>
          <w:lang w:bidi="fa-IR"/>
        </w:rPr>
        <w:t xml:space="preserve"> at the present time</w:t>
      </w:r>
      <w:r w:rsidRPr="00844A6E">
        <w:rPr>
          <w:szCs w:val="22"/>
          <w:lang w:bidi="fa-IR"/>
        </w:rPr>
        <w:t>.</w:t>
      </w:r>
    </w:p>
    <w:p w14:paraId="0CA3C1D1" w14:textId="77777777" w:rsidR="006568C5" w:rsidRDefault="006568C5" w:rsidP="006568C5">
      <w:pPr>
        <w:pStyle w:val="Heading4"/>
        <w:rPr>
          <w:lang w:bidi="fa-IR"/>
        </w:rPr>
      </w:pPr>
      <w:r>
        <w:rPr>
          <w:lang w:bidi="fa-IR"/>
        </w:rPr>
        <w:t>Mandatory future conversion to fully electric buildings in Victoria and the ACT only</w:t>
      </w:r>
    </w:p>
    <w:p w14:paraId="014F1B10" w14:textId="77777777" w:rsidR="006568C5" w:rsidRDefault="006568C5" w:rsidP="006568C5">
      <w:pPr>
        <w:pStyle w:val="BodyText"/>
        <w:rPr>
          <w:szCs w:val="22"/>
          <w:lang w:bidi="fa-IR"/>
        </w:rPr>
      </w:pPr>
      <w:r>
        <w:rPr>
          <w:szCs w:val="22"/>
          <w:lang w:bidi="fa-IR"/>
        </w:rPr>
        <w:t>It is also possible that a future requirement for dual fuel buildings to convert to fully electric could apply in some states, but not others.</w:t>
      </w:r>
    </w:p>
    <w:p w14:paraId="52CDE7C3" w14:textId="1EA30751" w:rsidR="006568C5" w:rsidRDefault="006568C5" w:rsidP="006568C5">
      <w:pPr>
        <w:pStyle w:val="ListBullet"/>
        <w:rPr>
          <w:lang w:bidi="fa-IR"/>
        </w:rPr>
      </w:pPr>
      <w:r>
        <w:rPr>
          <w:lang w:bidi="fa-IR"/>
        </w:rPr>
        <w:t xml:space="preserve">A future requirement to convert dual fuel buildings to fully electric is arguably more likely in Victoria and the ACT as both governments have a plan/roadmap in place </w:t>
      </w:r>
      <w:r w:rsidR="00283CA8">
        <w:rPr>
          <w:lang w:bidi="fa-IR"/>
        </w:rPr>
        <w:t>to</w:t>
      </w:r>
      <w:r>
        <w:rPr>
          <w:lang w:bidi="fa-IR"/>
        </w:rPr>
        <w:t xml:space="preserve"> support electrification of buildings (although neither government has formally announced a policy that mandates future transitioning of dual fuel commercial buildings to fully electric at the </w:t>
      </w:r>
      <w:r w:rsidR="00B34D14">
        <w:rPr>
          <w:lang w:bidi="fa-IR"/>
        </w:rPr>
        <w:t>present</w:t>
      </w:r>
      <w:r>
        <w:rPr>
          <w:lang w:bidi="fa-IR"/>
        </w:rPr>
        <w:t xml:space="preserve"> time).</w:t>
      </w:r>
    </w:p>
    <w:p w14:paraId="40411176" w14:textId="77777777" w:rsidR="006568C5" w:rsidRDefault="006568C5" w:rsidP="006568C5">
      <w:pPr>
        <w:pStyle w:val="ListBullet"/>
        <w:rPr>
          <w:lang w:bidi="fa-IR"/>
        </w:rPr>
      </w:pPr>
      <w:r>
        <w:rPr>
          <w:lang w:bidi="fa-IR"/>
        </w:rPr>
        <w:t>By contrast, the other jurisdictions have not publicly released any plans to support electrification of commercial building at the present time.</w:t>
      </w:r>
    </w:p>
    <w:p w14:paraId="1B47B735" w14:textId="77777777" w:rsidR="006568C5" w:rsidRDefault="006568C5" w:rsidP="006568C5">
      <w:pPr>
        <w:pStyle w:val="BodyText"/>
        <w:rPr>
          <w:szCs w:val="22"/>
          <w:lang w:bidi="fa-IR"/>
        </w:rPr>
      </w:pPr>
      <w:r>
        <w:rPr>
          <w:szCs w:val="22"/>
          <w:lang w:bidi="fa-IR"/>
        </w:rPr>
        <w:t xml:space="preserve">We therefore test the scenario where there is a future requirement for commercial dual fuel buildings to transition to fully electric in Victoria and the ACT only. </w:t>
      </w:r>
    </w:p>
    <w:p w14:paraId="7F3FABCB" w14:textId="73C28B64" w:rsidR="00CF089A" w:rsidRDefault="006568C5" w:rsidP="006568C5">
      <w:pPr>
        <w:pStyle w:val="BodyText"/>
        <w:rPr>
          <w:szCs w:val="22"/>
          <w:lang w:bidi="fa-IR"/>
        </w:rPr>
      </w:pPr>
      <w:r w:rsidRPr="006568C5">
        <w:rPr>
          <w:szCs w:val="22"/>
          <w:lang w:bidi="fa-IR"/>
        </w:rPr>
        <w:t>Table </w:t>
      </w:r>
      <w:r w:rsidRPr="006568C5">
        <w:rPr>
          <w:szCs w:val="22"/>
          <w:lang w:bidi="fa-IR"/>
        </w:rPr>
        <w:fldChar w:fldCharType="begin"/>
      </w:r>
      <w:r w:rsidRPr="006568C5">
        <w:rPr>
          <w:szCs w:val="22"/>
          <w:lang w:bidi="fa-IR"/>
        </w:rPr>
        <w:instrText xml:space="preserve"> REF _Caption0153 </w:instrText>
      </w:r>
      <w:r>
        <w:rPr>
          <w:szCs w:val="22"/>
          <w:lang w:bidi="fa-IR"/>
        </w:rPr>
        <w:instrText xml:space="preserve"> \* MERGEFORMAT </w:instrText>
      </w:r>
      <w:r w:rsidRPr="006568C5">
        <w:rPr>
          <w:szCs w:val="22"/>
          <w:lang w:bidi="fa-IR"/>
        </w:rPr>
        <w:fldChar w:fldCharType="separate"/>
      </w:r>
      <w:r w:rsidR="006E00A7">
        <w:t>7</w:t>
      </w:r>
      <w:r w:rsidR="006E00A7" w:rsidRPr="006F0F88">
        <w:t>.</w:t>
      </w:r>
      <w:r w:rsidR="006E00A7">
        <w:t>15</w:t>
      </w:r>
      <w:r w:rsidRPr="006568C5">
        <w:rPr>
          <w:szCs w:val="22"/>
          <w:lang w:bidi="fa-IR"/>
        </w:rPr>
        <w:fldChar w:fldCharType="end"/>
      </w:r>
      <w:r w:rsidRPr="006568C5">
        <w:rPr>
          <w:szCs w:val="22"/>
          <w:lang w:bidi="fa-IR"/>
        </w:rPr>
        <w:t xml:space="preserve"> compares the net impacts of Stringency Level 2 and Stringency Level 3 under</w:t>
      </w:r>
      <w:r>
        <w:rPr>
          <w:szCs w:val="22"/>
          <w:lang w:bidi="fa-IR"/>
        </w:rPr>
        <w:t xml:space="preserve"> this scenario. The difference between Stringency Level 2 and Stringency Level 3 can be interpreted as the incremental impact of Stringency Level. Under this scenario</w:t>
      </w:r>
      <w:r w:rsidR="00CF089A">
        <w:rPr>
          <w:szCs w:val="22"/>
          <w:lang w:bidi="fa-IR"/>
        </w:rPr>
        <w:t>:</w:t>
      </w:r>
    </w:p>
    <w:p w14:paraId="3EB4566E" w14:textId="7E88699A" w:rsidR="00A74237" w:rsidRDefault="00CF089A" w:rsidP="002F109C">
      <w:pPr>
        <w:pStyle w:val="ListBullet"/>
        <w:rPr>
          <w:lang w:bidi="fa-IR"/>
        </w:rPr>
      </w:pPr>
      <w:r>
        <w:rPr>
          <w:lang w:bidi="fa-IR"/>
        </w:rPr>
        <w:t>There</w:t>
      </w:r>
      <w:r w:rsidR="00136555">
        <w:rPr>
          <w:lang w:bidi="fa-IR"/>
        </w:rPr>
        <w:t xml:space="preserve"> is an</w:t>
      </w:r>
      <w:r w:rsidR="006568C5">
        <w:rPr>
          <w:lang w:bidi="fa-IR"/>
        </w:rPr>
        <w:t xml:space="preserve"> incremental </w:t>
      </w:r>
      <w:r w:rsidR="00E11026">
        <w:rPr>
          <w:lang w:bidi="fa-IR"/>
        </w:rPr>
        <w:t xml:space="preserve">net </w:t>
      </w:r>
      <w:r w:rsidR="006568C5">
        <w:rPr>
          <w:lang w:bidi="fa-IR"/>
        </w:rPr>
        <w:t>benefit</w:t>
      </w:r>
      <w:r w:rsidR="00136555">
        <w:rPr>
          <w:lang w:bidi="fa-IR"/>
        </w:rPr>
        <w:t xml:space="preserve"> from</w:t>
      </w:r>
      <w:r w:rsidR="006568C5">
        <w:rPr>
          <w:lang w:bidi="fa-IR"/>
        </w:rPr>
        <w:t xml:space="preserve"> Stringency 3 </w:t>
      </w:r>
      <w:r w:rsidR="00024059">
        <w:rPr>
          <w:lang w:bidi="fa-IR"/>
        </w:rPr>
        <w:t>in Victoria and the ACT</w:t>
      </w:r>
      <w:r w:rsidR="00A74237">
        <w:rPr>
          <w:lang w:bidi="fa-IR"/>
        </w:rPr>
        <w:t xml:space="preserve"> (reflecting lower future conversion costs relative to the base case).</w:t>
      </w:r>
    </w:p>
    <w:p w14:paraId="7AE34AAD" w14:textId="77777777" w:rsidR="000A4052" w:rsidRDefault="00A05078" w:rsidP="002F109C">
      <w:pPr>
        <w:pStyle w:val="ListBullet"/>
        <w:rPr>
          <w:lang w:bidi="fa-IR"/>
        </w:rPr>
      </w:pPr>
      <w:r>
        <w:rPr>
          <w:lang w:bidi="fa-IR"/>
        </w:rPr>
        <w:t xml:space="preserve">There </w:t>
      </w:r>
      <w:r w:rsidR="00BA560B">
        <w:rPr>
          <w:lang w:bidi="fa-IR"/>
        </w:rPr>
        <w:t>w</w:t>
      </w:r>
      <w:r w:rsidR="00E11026">
        <w:rPr>
          <w:lang w:bidi="fa-IR"/>
        </w:rPr>
        <w:t>ould be an incremental net cost from Stringency 3 in the other jurisdictions</w:t>
      </w:r>
      <w:r w:rsidR="00E7108F">
        <w:rPr>
          <w:lang w:bidi="fa-IR"/>
        </w:rPr>
        <w:t xml:space="preserve"> (as </w:t>
      </w:r>
      <w:r w:rsidR="004A24FB">
        <w:rPr>
          <w:lang w:bidi="fa-IR"/>
        </w:rPr>
        <w:t xml:space="preserve">the </w:t>
      </w:r>
      <w:r w:rsidR="0048289F">
        <w:rPr>
          <w:lang w:bidi="fa-IR"/>
        </w:rPr>
        <w:t>full lifetime soci</w:t>
      </w:r>
      <w:r w:rsidR="005446E9">
        <w:rPr>
          <w:lang w:bidi="fa-IR"/>
        </w:rPr>
        <w:t>al costs associated with</w:t>
      </w:r>
      <w:r w:rsidR="00C43106">
        <w:rPr>
          <w:lang w:bidi="fa-IR"/>
        </w:rPr>
        <w:t xml:space="preserve"> </w:t>
      </w:r>
      <w:r w:rsidR="00E653F2">
        <w:rPr>
          <w:lang w:bidi="fa-IR"/>
        </w:rPr>
        <w:t xml:space="preserve">dual fuel </w:t>
      </w:r>
      <w:r w:rsidR="00AA1AFD">
        <w:rPr>
          <w:lang w:bidi="fa-IR"/>
        </w:rPr>
        <w:t>buildings</w:t>
      </w:r>
      <w:r w:rsidR="00DA3F4A">
        <w:rPr>
          <w:lang w:bidi="fa-IR"/>
        </w:rPr>
        <w:t xml:space="preserve"> are lower than fully electric buildings based on current technologies and energy prices</w:t>
      </w:r>
      <w:r w:rsidR="007F3D56">
        <w:rPr>
          <w:lang w:bidi="fa-IR"/>
        </w:rPr>
        <w:t>)</w:t>
      </w:r>
      <w:r w:rsidR="00933491">
        <w:rPr>
          <w:lang w:bidi="fa-IR"/>
        </w:rPr>
        <w:t>.</w:t>
      </w:r>
    </w:p>
    <w:p w14:paraId="294C2FD7" w14:textId="0045C110" w:rsidR="006568C5" w:rsidRDefault="000A4052" w:rsidP="002F109C">
      <w:pPr>
        <w:pStyle w:val="ListBullet"/>
        <w:rPr>
          <w:lang w:bidi="fa-IR"/>
        </w:rPr>
      </w:pPr>
      <w:r>
        <w:rPr>
          <w:lang w:bidi="fa-IR"/>
        </w:rPr>
        <w:t xml:space="preserve">There is a </w:t>
      </w:r>
      <w:r w:rsidR="002F109C">
        <w:rPr>
          <w:lang w:bidi="fa-IR"/>
        </w:rPr>
        <w:t>net cost at the national</w:t>
      </w:r>
      <w:r w:rsidR="00186868">
        <w:rPr>
          <w:lang w:bidi="fa-IR"/>
        </w:rPr>
        <w:t xml:space="preserve"> </w:t>
      </w:r>
      <w:r w:rsidR="002F109C">
        <w:rPr>
          <w:lang w:bidi="fa-IR"/>
        </w:rPr>
        <w:t xml:space="preserve">level with the </w:t>
      </w:r>
      <w:r w:rsidR="006568C5">
        <w:rPr>
          <w:lang w:bidi="fa-IR"/>
        </w:rPr>
        <w:t xml:space="preserve">with the net benefits to Victoria and the ACT </w:t>
      </w:r>
      <w:r w:rsidR="002F109C">
        <w:rPr>
          <w:lang w:bidi="fa-IR"/>
        </w:rPr>
        <w:t>not enough to outweigh</w:t>
      </w:r>
      <w:r w:rsidR="006568C5">
        <w:rPr>
          <w:lang w:bidi="fa-IR"/>
        </w:rPr>
        <w:t xml:space="preserve"> the net costs in the other jurisdictions.</w:t>
      </w:r>
    </w:p>
    <w:p w14:paraId="6AD41ECC" w14:textId="5AF89672" w:rsidR="006568C5" w:rsidRPr="006F0F88" w:rsidRDefault="006568C5" w:rsidP="006568C5">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EA6E4C">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A6E4C">
          <w:rPr>
            <w:noProof/>
          </w:rPr>
          <w:instrText>7</w:instrText>
        </w:r>
      </w:fldSimple>
      <w:r w:rsidRPr="006F0F88">
        <w:instrText xml:space="preserve"> = 0 "" "</w:instrText>
      </w:r>
      <w:fldSimple w:instr=" STYLEREF &quot;Heading 1&quot; \l \n ">
        <w:r w:rsidR="00EA6E4C">
          <w:rPr>
            <w:noProof/>
          </w:rPr>
          <w:instrText>7</w:instrText>
        </w:r>
      </w:fldSimple>
      <w:r w:rsidRPr="006F0F88">
        <w:instrText xml:space="preserve">." </w:instrText>
      </w:r>
      <w:r w:rsidRPr="006F0F88">
        <w:fldChar w:fldCharType="separate"/>
      </w:r>
      <w:r w:rsidR="00EA6E4C">
        <w:rPr>
          <w:noProof/>
        </w:rPr>
        <w:instrText>7</w:instrText>
      </w:r>
      <w:r w:rsidR="00EA6E4C"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7</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EA6E4C">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A6E4C">
          <w:rPr>
            <w:noProof/>
          </w:rPr>
          <w:instrText>7</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EA6E4C">
        <w:rPr>
          <w:noProof/>
        </w:rPr>
        <w:instrText>15</w:instrText>
      </w:r>
      <w:r w:rsidRPr="006F0F88">
        <w:fldChar w:fldCharType="end"/>
      </w:r>
      <w:r w:rsidRPr="006F0F88">
        <w:instrText xml:space="preserve">" "" </w:instrText>
      </w:r>
      <w:r w:rsidRPr="006F0F88">
        <w:fldChar w:fldCharType="separate"/>
      </w:r>
      <w:bookmarkStart w:id="4119" w:name="_Caption5340"/>
      <w:bookmarkStart w:id="4120" w:name="_Caption7841"/>
      <w:bookmarkStart w:id="4121" w:name="_Caption5972"/>
      <w:bookmarkStart w:id="4122" w:name="_Caption2102"/>
      <w:bookmarkStart w:id="4123" w:name="_Caption0860"/>
      <w:bookmarkStart w:id="4124" w:name="_Caption4073"/>
      <w:bookmarkStart w:id="4125" w:name="_Caption0415"/>
      <w:bookmarkStart w:id="4126" w:name="_Caption5920"/>
      <w:bookmarkStart w:id="4127" w:name="_Caption0153"/>
      <w:bookmarkStart w:id="4128" w:name="_Caption0471"/>
      <w:bookmarkStart w:id="4129" w:name="_Caption8372"/>
      <w:bookmarkStart w:id="4130" w:name="_Caption4321"/>
      <w:bookmarkStart w:id="4131" w:name="_Caption7628"/>
      <w:bookmarkStart w:id="4132" w:name="_Caption1784"/>
      <w:bookmarkStart w:id="4133" w:name="_Caption0802"/>
      <w:bookmarkStart w:id="4134" w:name="_Caption7854"/>
      <w:bookmarkStart w:id="4135" w:name="_Caption3437"/>
      <w:bookmarkStart w:id="4136" w:name="_Caption2547"/>
      <w:bookmarkStart w:id="4137" w:name="_Caption5299"/>
      <w:bookmarkStart w:id="4138" w:name="_Caption9868"/>
      <w:bookmarkStart w:id="4139" w:name="_Caption2378"/>
      <w:bookmarkStart w:id="4140" w:name="_Caption5732"/>
      <w:bookmarkStart w:id="4141" w:name="_Caption0148"/>
      <w:bookmarkStart w:id="4142" w:name="_Caption7055"/>
      <w:bookmarkStart w:id="4143" w:name="_Caption0713"/>
      <w:bookmarkStart w:id="4144" w:name="_Caption2705"/>
      <w:bookmarkStart w:id="4145" w:name="_Caption8722"/>
      <w:bookmarkStart w:id="4146" w:name="_Caption6990"/>
      <w:bookmarkStart w:id="4147" w:name="_Caption7019"/>
      <w:bookmarkStart w:id="4148" w:name="_Caption2949"/>
      <w:bookmarkStart w:id="4149" w:name="_Toc177735181"/>
      <w:bookmarkStart w:id="4150" w:name="_Toc178292614"/>
      <w:r w:rsidR="008C60A3">
        <w:rPr>
          <w:noProof/>
        </w:rPr>
        <w:t>7</w:t>
      </w:r>
      <w:r w:rsidR="008C60A3" w:rsidRPr="006F0F88">
        <w:rPr>
          <w:noProof/>
        </w:rPr>
        <w:t>.</w:t>
      </w:r>
      <w:r w:rsidR="008C60A3">
        <w:rPr>
          <w:noProof/>
        </w:rPr>
        <w:t>15</w:t>
      </w:r>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r w:rsidRPr="006F0F88">
        <w:fldChar w:fldCharType="end"/>
      </w:r>
      <w:r w:rsidRPr="006F0F88">
        <w:tab/>
        <w:t>Alternative future electrification scenario — net impacts</w:t>
      </w:r>
      <w:bookmarkEnd w:id="4149"/>
      <w:bookmarkEnd w:id="4150"/>
    </w:p>
    <w:tbl>
      <w:tblPr>
        <w:tblW w:w="7935" w:type="dxa"/>
        <w:tblLayout w:type="fixed"/>
        <w:tblLook w:val="0000" w:firstRow="0" w:lastRow="0" w:firstColumn="0" w:lastColumn="0" w:noHBand="0" w:noVBand="0"/>
      </w:tblPr>
      <w:tblGrid>
        <w:gridCol w:w="1134"/>
        <w:gridCol w:w="744"/>
        <w:gridCol w:w="744"/>
        <w:gridCol w:w="744"/>
        <w:gridCol w:w="745"/>
        <w:gridCol w:w="744"/>
        <w:gridCol w:w="744"/>
        <w:gridCol w:w="744"/>
        <w:gridCol w:w="745"/>
        <w:gridCol w:w="847"/>
      </w:tblGrid>
      <w:tr w:rsidR="006568C5" w14:paraId="50822BA0" w14:textId="77777777" w:rsidTr="00186868">
        <w:trPr>
          <w:trHeight w:val="245"/>
          <w:tblHeader/>
        </w:trPr>
        <w:tc>
          <w:tcPr>
            <w:tcW w:w="1134" w:type="dxa"/>
            <w:shd w:val="clear" w:color="auto" w:fill="6F6652"/>
            <w:tcMar>
              <w:left w:w="57" w:type="dxa"/>
              <w:right w:w="57" w:type="dxa"/>
            </w:tcMar>
          </w:tcPr>
          <w:p w14:paraId="66AE7430" w14:textId="77777777" w:rsidR="006568C5" w:rsidRDefault="006568C5">
            <w:pPr>
              <w:pStyle w:val="TableDataColumnHeading"/>
              <w:jc w:val="left"/>
            </w:pPr>
          </w:p>
        </w:tc>
        <w:tc>
          <w:tcPr>
            <w:tcW w:w="744" w:type="dxa"/>
            <w:shd w:val="clear" w:color="auto" w:fill="6F6652"/>
            <w:tcMar>
              <w:left w:w="57" w:type="dxa"/>
              <w:right w:w="57" w:type="dxa"/>
            </w:tcMar>
          </w:tcPr>
          <w:p w14:paraId="4DAC4DD9" w14:textId="77777777" w:rsidR="006568C5" w:rsidRDefault="006568C5">
            <w:pPr>
              <w:pStyle w:val="TableDataColumnHeading"/>
            </w:pPr>
            <w:r>
              <w:t>NSW</w:t>
            </w:r>
            <w:r>
              <w:br/>
              <w:t>$ million</w:t>
            </w:r>
          </w:p>
        </w:tc>
        <w:tc>
          <w:tcPr>
            <w:tcW w:w="744" w:type="dxa"/>
            <w:shd w:val="clear" w:color="auto" w:fill="6F6652"/>
            <w:tcMar>
              <w:left w:w="57" w:type="dxa"/>
              <w:right w:w="57" w:type="dxa"/>
            </w:tcMar>
          </w:tcPr>
          <w:p w14:paraId="663353B3" w14:textId="77777777" w:rsidR="006568C5" w:rsidRDefault="006568C5">
            <w:pPr>
              <w:pStyle w:val="TableDataColumnHeading"/>
            </w:pPr>
            <w:r>
              <w:t>VIC</w:t>
            </w:r>
            <w:r>
              <w:br/>
              <w:t>$ million</w:t>
            </w:r>
          </w:p>
        </w:tc>
        <w:tc>
          <w:tcPr>
            <w:tcW w:w="744" w:type="dxa"/>
            <w:shd w:val="clear" w:color="auto" w:fill="6F6652"/>
            <w:tcMar>
              <w:left w:w="57" w:type="dxa"/>
              <w:right w:w="57" w:type="dxa"/>
            </w:tcMar>
          </w:tcPr>
          <w:p w14:paraId="5A1EDA02" w14:textId="77777777" w:rsidR="006568C5" w:rsidRDefault="006568C5">
            <w:pPr>
              <w:pStyle w:val="TableDataColumnHeading"/>
            </w:pPr>
            <w:r>
              <w:t>QLD</w:t>
            </w:r>
            <w:r>
              <w:br/>
              <w:t>$ million</w:t>
            </w:r>
          </w:p>
        </w:tc>
        <w:tc>
          <w:tcPr>
            <w:tcW w:w="745" w:type="dxa"/>
            <w:shd w:val="clear" w:color="auto" w:fill="6F6652"/>
            <w:tcMar>
              <w:left w:w="57" w:type="dxa"/>
              <w:right w:w="57" w:type="dxa"/>
            </w:tcMar>
          </w:tcPr>
          <w:p w14:paraId="6C9E72B7" w14:textId="77777777" w:rsidR="006568C5" w:rsidRDefault="006568C5">
            <w:pPr>
              <w:pStyle w:val="TableDataColumnHeading"/>
            </w:pPr>
            <w:r>
              <w:t>WA</w:t>
            </w:r>
            <w:r>
              <w:br/>
              <w:t>$ million</w:t>
            </w:r>
          </w:p>
        </w:tc>
        <w:tc>
          <w:tcPr>
            <w:tcW w:w="744" w:type="dxa"/>
            <w:shd w:val="clear" w:color="auto" w:fill="6F6652"/>
            <w:tcMar>
              <w:left w:w="57" w:type="dxa"/>
              <w:right w:w="57" w:type="dxa"/>
            </w:tcMar>
          </w:tcPr>
          <w:p w14:paraId="15A3B737" w14:textId="77777777" w:rsidR="006568C5" w:rsidRDefault="006568C5">
            <w:pPr>
              <w:pStyle w:val="TableDataColumnHeading"/>
            </w:pPr>
            <w:r>
              <w:t>SA</w:t>
            </w:r>
            <w:r>
              <w:br/>
              <w:t>$ million</w:t>
            </w:r>
          </w:p>
        </w:tc>
        <w:tc>
          <w:tcPr>
            <w:tcW w:w="744" w:type="dxa"/>
            <w:shd w:val="clear" w:color="auto" w:fill="6F6652"/>
            <w:tcMar>
              <w:left w:w="57" w:type="dxa"/>
              <w:right w:w="57" w:type="dxa"/>
            </w:tcMar>
          </w:tcPr>
          <w:p w14:paraId="44B87FA3" w14:textId="77777777" w:rsidR="006568C5" w:rsidRDefault="006568C5">
            <w:pPr>
              <w:pStyle w:val="TableDataColumnHeading"/>
            </w:pPr>
            <w:r>
              <w:t>TAS</w:t>
            </w:r>
            <w:r>
              <w:br/>
              <w:t>$ million</w:t>
            </w:r>
          </w:p>
        </w:tc>
        <w:tc>
          <w:tcPr>
            <w:tcW w:w="744" w:type="dxa"/>
            <w:shd w:val="clear" w:color="auto" w:fill="6F6652"/>
            <w:tcMar>
              <w:left w:w="57" w:type="dxa"/>
              <w:right w:w="57" w:type="dxa"/>
            </w:tcMar>
          </w:tcPr>
          <w:p w14:paraId="75057511" w14:textId="77777777" w:rsidR="006568C5" w:rsidRDefault="006568C5">
            <w:pPr>
              <w:pStyle w:val="TableDataColumnHeading"/>
            </w:pPr>
            <w:r>
              <w:t>ACT</w:t>
            </w:r>
            <w:r>
              <w:br/>
              <w:t>$ million</w:t>
            </w:r>
          </w:p>
        </w:tc>
        <w:tc>
          <w:tcPr>
            <w:tcW w:w="745" w:type="dxa"/>
            <w:shd w:val="clear" w:color="auto" w:fill="6F6652"/>
            <w:tcMar>
              <w:left w:w="57" w:type="dxa"/>
              <w:right w:w="57" w:type="dxa"/>
            </w:tcMar>
          </w:tcPr>
          <w:p w14:paraId="6D68F9BF" w14:textId="77777777" w:rsidR="006568C5" w:rsidRDefault="006568C5">
            <w:pPr>
              <w:pStyle w:val="TableDataColumnHeading"/>
            </w:pPr>
            <w:r>
              <w:t>NT</w:t>
            </w:r>
            <w:r>
              <w:br/>
              <w:t>$ million</w:t>
            </w:r>
          </w:p>
        </w:tc>
        <w:tc>
          <w:tcPr>
            <w:tcW w:w="847" w:type="dxa"/>
            <w:shd w:val="clear" w:color="auto" w:fill="6F6652"/>
            <w:tcMar>
              <w:left w:w="57" w:type="dxa"/>
              <w:right w:w="57" w:type="dxa"/>
            </w:tcMar>
          </w:tcPr>
          <w:p w14:paraId="6F41F5DE" w14:textId="77777777" w:rsidR="006568C5" w:rsidRDefault="006568C5">
            <w:pPr>
              <w:pStyle w:val="TableDataColumnHeading"/>
            </w:pPr>
            <w:r>
              <w:t>Total</w:t>
            </w:r>
            <w:r>
              <w:br/>
              <w:t>$ million</w:t>
            </w:r>
          </w:p>
        </w:tc>
      </w:tr>
      <w:tr w:rsidR="00AF5BEA" w14:paraId="46FB25D2" w14:textId="77777777">
        <w:trPr>
          <w:trHeight w:val="245"/>
        </w:trPr>
        <w:tc>
          <w:tcPr>
            <w:tcW w:w="11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CD07B35" w14:textId="77777777" w:rsidR="00AF5BEA" w:rsidRDefault="00AF5BEA" w:rsidP="00AF5BEA">
            <w:pPr>
              <w:pStyle w:val="TableDataEntries"/>
              <w:jc w:val="left"/>
            </w:pPr>
            <w:r>
              <w:t>Stringency 2</w:t>
            </w:r>
          </w:p>
        </w:tc>
        <w:tc>
          <w:tcPr>
            <w:tcW w:w="74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513712D" w14:textId="1118BCDF" w:rsidR="00AF5BEA" w:rsidRPr="00592B9F" w:rsidRDefault="00AF5BEA" w:rsidP="00592B9F">
            <w:pPr>
              <w:pStyle w:val="TableDataEntries"/>
            </w:pPr>
            <w:r w:rsidRPr="00592B9F">
              <w:t>1 839.7</w:t>
            </w:r>
          </w:p>
        </w:tc>
        <w:tc>
          <w:tcPr>
            <w:tcW w:w="74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5E9ABC7" w14:textId="46C58C7F" w:rsidR="00AF5BEA" w:rsidRPr="00592B9F" w:rsidRDefault="00AF5BEA" w:rsidP="00592B9F">
            <w:pPr>
              <w:pStyle w:val="TableDataEntries"/>
            </w:pPr>
            <w:r w:rsidRPr="00592B9F">
              <w:t>2 557.1</w:t>
            </w:r>
          </w:p>
        </w:tc>
        <w:tc>
          <w:tcPr>
            <w:tcW w:w="74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06FE8BA" w14:textId="0DBDFBD7" w:rsidR="00AF5BEA" w:rsidRPr="00592B9F" w:rsidRDefault="00AF5BEA" w:rsidP="00592B9F">
            <w:pPr>
              <w:pStyle w:val="TableDataEntries"/>
            </w:pPr>
            <w:r w:rsidRPr="00592B9F">
              <w:t>2 741.9</w:t>
            </w:r>
          </w:p>
        </w:tc>
        <w:tc>
          <w:tcPr>
            <w:tcW w:w="74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04015F0" w14:textId="7A283142" w:rsidR="00AF5BEA" w:rsidRPr="00592B9F" w:rsidRDefault="00AF5BEA" w:rsidP="00592B9F">
            <w:pPr>
              <w:pStyle w:val="TableDataEntries"/>
            </w:pPr>
            <w:r w:rsidRPr="00592B9F">
              <w:t>1 548.1</w:t>
            </w:r>
          </w:p>
        </w:tc>
        <w:tc>
          <w:tcPr>
            <w:tcW w:w="74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5968761" w14:textId="7CD58502" w:rsidR="00AF5BEA" w:rsidRPr="00592B9F" w:rsidRDefault="00AF5BEA" w:rsidP="00592B9F">
            <w:pPr>
              <w:pStyle w:val="TableDataEntries"/>
            </w:pPr>
            <w:r w:rsidRPr="00592B9F">
              <w:t xml:space="preserve"> 765.6</w:t>
            </w:r>
          </w:p>
        </w:tc>
        <w:tc>
          <w:tcPr>
            <w:tcW w:w="74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AD4835B" w14:textId="470A28E7" w:rsidR="00AF5BEA" w:rsidRPr="00592B9F" w:rsidRDefault="00AF5BEA" w:rsidP="00592B9F">
            <w:pPr>
              <w:pStyle w:val="TableDataEntries"/>
            </w:pPr>
            <w:r w:rsidRPr="00592B9F">
              <w:t xml:space="preserve"> 182.1</w:t>
            </w:r>
          </w:p>
        </w:tc>
        <w:tc>
          <w:tcPr>
            <w:tcW w:w="74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5C02236" w14:textId="2488332D" w:rsidR="00AF5BEA" w:rsidRPr="00592B9F" w:rsidRDefault="00AF5BEA" w:rsidP="00592B9F">
            <w:pPr>
              <w:pStyle w:val="TableDataEntries"/>
            </w:pPr>
            <w:r w:rsidRPr="00592B9F">
              <w:t xml:space="preserve"> 104.9</w:t>
            </w:r>
          </w:p>
        </w:tc>
        <w:tc>
          <w:tcPr>
            <w:tcW w:w="74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6ED3786" w14:textId="233C8768" w:rsidR="00AF5BEA" w:rsidRPr="00592B9F" w:rsidRDefault="00AF5BEA" w:rsidP="00592B9F">
            <w:pPr>
              <w:pStyle w:val="TableDataEntries"/>
            </w:pPr>
            <w:r w:rsidRPr="00592B9F">
              <w:t xml:space="preserve"> 315.3</w:t>
            </w:r>
          </w:p>
        </w:tc>
        <w:tc>
          <w:tcPr>
            <w:tcW w:w="84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577FB93" w14:textId="3AC03583" w:rsidR="00AF5BEA" w:rsidRPr="00592B9F" w:rsidRDefault="00AF5BEA" w:rsidP="00592B9F">
            <w:pPr>
              <w:pStyle w:val="TableDataEntries"/>
            </w:pPr>
            <w:r w:rsidRPr="00592B9F">
              <w:t>10 054.6</w:t>
            </w:r>
          </w:p>
        </w:tc>
      </w:tr>
      <w:tr w:rsidR="00AF5BEA" w14:paraId="1E3987D7" w14:textId="77777777">
        <w:trPr>
          <w:trHeight w:val="245"/>
        </w:trPr>
        <w:tc>
          <w:tcPr>
            <w:tcW w:w="11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E6C6F3" w14:textId="77777777" w:rsidR="00AF5BEA" w:rsidRDefault="00AF5BEA" w:rsidP="00AF5BEA">
            <w:pPr>
              <w:pStyle w:val="TableDataEntries"/>
              <w:jc w:val="left"/>
            </w:pPr>
            <w:r>
              <w:t>Stringency 3</w:t>
            </w:r>
          </w:p>
        </w:tc>
        <w:tc>
          <w:tcPr>
            <w:tcW w:w="74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F6B3410" w14:textId="58A17760" w:rsidR="00AF5BEA" w:rsidRPr="00592B9F" w:rsidRDefault="00AF5BEA" w:rsidP="00592B9F">
            <w:pPr>
              <w:pStyle w:val="TableDataEntries"/>
            </w:pPr>
            <w:r w:rsidRPr="00592B9F">
              <w:t>1 709.3</w:t>
            </w:r>
          </w:p>
        </w:tc>
        <w:tc>
          <w:tcPr>
            <w:tcW w:w="74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EB93735" w14:textId="1795CB1D" w:rsidR="00AF5BEA" w:rsidRPr="00592B9F" w:rsidRDefault="00AF5BEA" w:rsidP="00592B9F">
            <w:pPr>
              <w:pStyle w:val="TableDataEntries"/>
            </w:pPr>
            <w:r w:rsidRPr="00592B9F">
              <w:t>2 712.8</w:t>
            </w:r>
          </w:p>
        </w:tc>
        <w:tc>
          <w:tcPr>
            <w:tcW w:w="74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287CD97" w14:textId="0CCC125D" w:rsidR="00AF5BEA" w:rsidRPr="00592B9F" w:rsidRDefault="00AF5BEA" w:rsidP="00592B9F">
            <w:pPr>
              <w:pStyle w:val="TableDataEntries"/>
            </w:pPr>
            <w:r w:rsidRPr="00592B9F">
              <w:t>2 594.2</w:t>
            </w:r>
          </w:p>
        </w:tc>
        <w:tc>
          <w:tcPr>
            <w:tcW w:w="74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EE6CB76" w14:textId="0B35381E" w:rsidR="00AF5BEA" w:rsidRPr="00592B9F" w:rsidRDefault="00AF5BEA" w:rsidP="00592B9F">
            <w:pPr>
              <w:pStyle w:val="TableDataEntries"/>
            </w:pPr>
            <w:r w:rsidRPr="00592B9F">
              <w:t>1 456.3</w:t>
            </w:r>
          </w:p>
        </w:tc>
        <w:tc>
          <w:tcPr>
            <w:tcW w:w="74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7182AC9" w14:textId="6028F10A" w:rsidR="00AF5BEA" w:rsidRPr="00592B9F" w:rsidRDefault="00AF5BEA" w:rsidP="00592B9F">
            <w:pPr>
              <w:pStyle w:val="TableDataEntries"/>
            </w:pPr>
            <w:r w:rsidRPr="00592B9F">
              <w:t xml:space="preserve"> 703.0</w:t>
            </w:r>
          </w:p>
        </w:tc>
        <w:tc>
          <w:tcPr>
            <w:tcW w:w="74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52E455A" w14:textId="1E6BCA48" w:rsidR="00AF5BEA" w:rsidRPr="00592B9F" w:rsidRDefault="00AF5BEA" w:rsidP="00592B9F">
            <w:pPr>
              <w:pStyle w:val="TableDataEntries"/>
            </w:pPr>
            <w:r w:rsidRPr="00592B9F">
              <w:t xml:space="preserve"> 162.1</w:t>
            </w:r>
          </w:p>
        </w:tc>
        <w:tc>
          <w:tcPr>
            <w:tcW w:w="74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B27497C" w14:textId="1C105AC0" w:rsidR="00AF5BEA" w:rsidRPr="00592B9F" w:rsidRDefault="00AF5BEA" w:rsidP="00592B9F">
            <w:pPr>
              <w:pStyle w:val="TableDataEntries"/>
            </w:pPr>
            <w:r w:rsidRPr="00592B9F">
              <w:t xml:space="preserve"> 107.8</w:t>
            </w:r>
          </w:p>
        </w:tc>
        <w:tc>
          <w:tcPr>
            <w:tcW w:w="74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D3B184D" w14:textId="645F0AFB" w:rsidR="00AF5BEA" w:rsidRPr="00592B9F" w:rsidRDefault="00AF5BEA" w:rsidP="00592B9F">
            <w:pPr>
              <w:pStyle w:val="TableDataEntries"/>
            </w:pPr>
            <w:r w:rsidRPr="00592B9F">
              <w:t xml:space="preserve"> 311.6</w:t>
            </w:r>
          </w:p>
        </w:tc>
        <w:tc>
          <w:tcPr>
            <w:tcW w:w="84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F201E5C" w14:textId="6986876B" w:rsidR="00AF5BEA" w:rsidRPr="00592B9F" w:rsidRDefault="00AF5BEA" w:rsidP="00592B9F">
            <w:pPr>
              <w:pStyle w:val="TableDataEntries"/>
            </w:pPr>
            <w:r w:rsidRPr="00592B9F">
              <w:t>9 757.2</w:t>
            </w:r>
          </w:p>
        </w:tc>
      </w:tr>
      <w:tr w:rsidR="00AF5BEA" w:rsidRPr="00492800" w14:paraId="4BD81136" w14:textId="77777777">
        <w:trPr>
          <w:trHeight w:val="245"/>
        </w:trPr>
        <w:tc>
          <w:tcPr>
            <w:tcW w:w="113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01D0379" w14:textId="77777777" w:rsidR="00AF5BEA" w:rsidRPr="00492800" w:rsidRDefault="00AF5BEA" w:rsidP="00AF5BEA">
            <w:pPr>
              <w:pStyle w:val="TableDataEntries"/>
              <w:jc w:val="left"/>
              <w:rPr>
                <w:rFonts w:ascii="Franklin Gothic Demi" w:hAnsi="Franklin Gothic Demi"/>
              </w:rPr>
            </w:pPr>
            <w:r w:rsidRPr="00492800">
              <w:rPr>
                <w:rFonts w:ascii="Franklin Gothic Demi" w:hAnsi="Franklin Gothic Demi"/>
              </w:rPr>
              <w:t>Difference</w:t>
            </w:r>
          </w:p>
        </w:tc>
        <w:tc>
          <w:tcPr>
            <w:tcW w:w="744"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141AED8F" w14:textId="263A913C" w:rsidR="00AF5BEA" w:rsidRPr="00492800" w:rsidRDefault="00AF5BEA" w:rsidP="00592B9F">
            <w:pPr>
              <w:pStyle w:val="TableDataEntries"/>
              <w:rPr>
                <w:rFonts w:ascii="Franklin Gothic Demi" w:hAnsi="Franklin Gothic Demi"/>
              </w:rPr>
            </w:pPr>
            <w:r w:rsidRPr="00492800">
              <w:rPr>
                <w:rFonts w:ascii="Franklin Gothic Demi" w:hAnsi="Franklin Gothic Demi"/>
              </w:rPr>
              <w:t>- 130.4</w:t>
            </w:r>
          </w:p>
        </w:tc>
        <w:tc>
          <w:tcPr>
            <w:tcW w:w="744"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68184E0E" w14:textId="1EBF81A2" w:rsidR="00AF5BEA" w:rsidRPr="00492800" w:rsidRDefault="00AF5BEA" w:rsidP="00592B9F">
            <w:pPr>
              <w:pStyle w:val="TableDataEntries"/>
              <w:rPr>
                <w:rFonts w:ascii="Franklin Gothic Demi" w:hAnsi="Franklin Gothic Demi"/>
              </w:rPr>
            </w:pPr>
            <w:r w:rsidRPr="00492800">
              <w:rPr>
                <w:rFonts w:ascii="Franklin Gothic Demi" w:hAnsi="Franklin Gothic Demi"/>
              </w:rPr>
              <w:t xml:space="preserve"> 155.7</w:t>
            </w:r>
          </w:p>
        </w:tc>
        <w:tc>
          <w:tcPr>
            <w:tcW w:w="744"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07775764" w14:textId="3B9673AB" w:rsidR="00AF5BEA" w:rsidRPr="00492800" w:rsidRDefault="00AF5BEA" w:rsidP="00592B9F">
            <w:pPr>
              <w:pStyle w:val="TableDataEntries"/>
              <w:rPr>
                <w:rFonts w:ascii="Franklin Gothic Demi" w:hAnsi="Franklin Gothic Demi"/>
              </w:rPr>
            </w:pPr>
            <w:r w:rsidRPr="00492800">
              <w:rPr>
                <w:rFonts w:ascii="Franklin Gothic Demi" w:hAnsi="Franklin Gothic Demi"/>
              </w:rPr>
              <w:t>- 147.7</w:t>
            </w:r>
          </w:p>
        </w:tc>
        <w:tc>
          <w:tcPr>
            <w:tcW w:w="745"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086044D0" w14:textId="57B8A892" w:rsidR="00AF5BEA" w:rsidRPr="00492800" w:rsidRDefault="00AF5BEA" w:rsidP="00592B9F">
            <w:pPr>
              <w:pStyle w:val="TableDataEntries"/>
              <w:rPr>
                <w:rFonts w:ascii="Franklin Gothic Demi" w:hAnsi="Franklin Gothic Demi"/>
              </w:rPr>
            </w:pPr>
            <w:r w:rsidRPr="00492800">
              <w:rPr>
                <w:rFonts w:ascii="Franklin Gothic Demi" w:hAnsi="Franklin Gothic Demi"/>
              </w:rPr>
              <w:t>- 91.7</w:t>
            </w:r>
          </w:p>
        </w:tc>
        <w:tc>
          <w:tcPr>
            <w:tcW w:w="744"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703C9CDA" w14:textId="2DF85A8B" w:rsidR="00AF5BEA" w:rsidRPr="00492800" w:rsidRDefault="00AF5BEA" w:rsidP="00592B9F">
            <w:pPr>
              <w:pStyle w:val="TableDataEntries"/>
              <w:rPr>
                <w:rFonts w:ascii="Franklin Gothic Demi" w:hAnsi="Franklin Gothic Demi"/>
              </w:rPr>
            </w:pPr>
            <w:r w:rsidRPr="00492800">
              <w:rPr>
                <w:rFonts w:ascii="Franklin Gothic Demi" w:hAnsi="Franklin Gothic Demi"/>
              </w:rPr>
              <w:t>- 62.6</w:t>
            </w:r>
          </w:p>
        </w:tc>
        <w:tc>
          <w:tcPr>
            <w:tcW w:w="744"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605A475C" w14:textId="0ED9D212" w:rsidR="00AF5BEA" w:rsidRPr="00492800" w:rsidRDefault="00AF5BEA" w:rsidP="00592B9F">
            <w:pPr>
              <w:pStyle w:val="TableDataEntries"/>
              <w:rPr>
                <w:rFonts w:ascii="Franklin Gothic Demi" w:hAnsi="Franklin Gothic Demi"/>
              </w:rPr>
            </w:pPr>
            <w:r w:rsidRPr="00492800">
              <w:rPr>
                <w:rFonts w:ascii="Franklin Gothic Demi" w:hAnsi="Franklin Gothic Demi"/>
              </w:rPr>
              <w:t>- 19.9</w:t>
            </w:r>
          </w:p>
        </w:tc>
        <w:tc>
          <w:tcPr>
            <w:tcW w:w="744"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0270917B" w14:textId="637131BD" w:rsidR="00AF5BEA" w:rsidRPr="00492800" w:rsidRDefault="00AF5BEA" w:rsidP="00592B9F">
            <w:pPr>
              <w:pStyle w:val="TableDataEntries"/>
              <w:rPr>
                <w:rFonts w:ascii="Franklin Gothic Demi" w:hAnsi="Franklin Gothic Demi"/>
              </w:rPr>
            </w:pPr>
            <w:r w:rsidRPr="00492800">
              <w:rPr>
                <w:rFonts w:ascii="Franklin Gothic Demi" w:hAnsi="Franklin Gothic Demi"/>
              </w:rPr>
              <w:t xml:space="preserve"> 2.9</w:t>
            </w:r>
          </w:p>
        </w:tc>
        <w:tc>
          <w:tcPr>
            <w:tcW w:w="745"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3389D53B" w14:textId="4D300C90" w:rsidR="00AF5BEA" w:rsidRPr="00492800" w:rsidRDefault="00AF5BEA" w:rsidP="00592B9F">
            <w:pPr>
              <w:pStyle w:val="TableDataEntries"/>
              <w:rPr>
                <w:rFonts w:ascii="Franklin Gothic Demi" w:hAnsi="Franklin Gothic Demi"/>
              </w:rPr>
            </w:pPr>
            <w:r w:rsidRPr="00492800">
              <w:rPr>
                <w:rFonts w:ascii="Franklin Gothic Demi" w:hAnsi="Franklin Gothic Demi"/>
              </w:rPr>
              <w:t>- 3.6</w:t>
            </w:r>
          </w:p>
        </w:tc>
        <w:tc>
          <w:tcPr>
            <w:tcW w:w="847"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49C5FF18" w14:textId="1BF97AC5" w:rsidR="00AF5BEA" w:rsidRPr="00492800" w:rsidRDefault="00AF5BEA" w:rsidP="00592B9F">
            <w:pPr>
              <w:pStyle w:val="TableDataEntries"/>
              <w:rPr>
                <w:rFonts w:ascii="Franklin Gothic Demi" w:hAnsi="Franklin Gothic Demi"/>
              </w:rPr>
            </w:pPr>
            <w:r w:rsidRPr="00492800">
              <w:rPr>
                <w:rFonts w:ascii="Franklin Gothic Demi" w:hAnsi="Franklin Gothic Demi"/>
              </w:rPr>
              <w:t>- 297.4</w:t>
            </w:r>
          </w:p>
        </w:tc>
      </w:tr>
    </w:tbl>
    <w:p w14:paraId="3B19281F" w14:textId="77777777" w:rsidR="006568C5" w:rsidRDefault="006568C5" w:rsidP="006568C5">
      <w:pPr>
        <w:pStyle w:val="Note"/>
        <w:rPr>
          <w:szCs w:val="22"/>
          <w:lang w:bidi="fa-IR"/>
        </w:rPr>
      </w:pPr>
      <w:r w:rsidRPr="007D1B4F">
        <w:rPr>
          <w:i/>
        </w:rPr>
        <w:t>Note:</w:t>
      </w:r>
      <w:r w:rsidRPr="00E879B8">
        <w:t xml:space="preserve"> </w:t>
      </w:r>
      <w:r>
        <w:t>Estimates presented in net present value terms over an assumed 50-year life of all buildings constructed over the 10 year period from 2025 to 2034, using a discount rate of 5 per cent.</w:t>
      </w:r>
    </w:p>
    <w:p w14:paraId="4F250F7E" w14:textId="77777777" w:rsidR="006568C5" w:rsidRDefault="006568C5" w:rsidP="006568C5">
      <w:pPr>
        <w:pStyle w:val="Source"/>
        <w:rPr>
          <w:lang w:bidi="fa-IR"/>
        </w:rPr>
      </w:pPr>
      <w:r w:rsidRPr="00EC3212">
        <w:rPr>
          <w:i/>
          <w:lang w:bidi="fa-IR"/>
        </w:rPr>
        <w:t>Source:</w:t>
      </w:r>
      <w:r>
        <w:rPr>
          <w:lang w:bidi="fa-IR"/>
        </w:rPr>
        <w:t xml:space="preserve"> </w:t>
      </w:r>
      <w:r>
        <w:t>CIE based on DeltaQ modelling.</w:t>
      </w:r>
    </w:p>
    <w:p w14:paraId="5BD033A2" w14:textId="77777777" w:rsidR="006568C5" w:rsidRPr="00446C4C" w:rsidRDefault="006568C5" w:rsidP="006568C5">
      <w:pPr>
        <w:pStyle w:val="Heading4"/>
        <w:rPr>
          <w:vertAlign w:val="subscript"/>
          <w:lang w:bidi="fa-IR"/>
        </w:rPr>
      </w:pPr>
      <w:r>
        <w:rPr>
          <w:lang w:bidi="fa-IR"/>
        </w:rPr>
        <w:t>Break-even analysis</w:t>
      </w:r>
    </w:p>
    <w:p w14:paraId="5D59A60A" w14:textId="01A156CB" w:rsidR="006568C5" w:rsidRDefault="006568C5" w:rsidP="006568C5">
      <w:pPr>
        <w:pStyle w:val="BodyText"/>
        <w:rPr>
          <w:szCs w:val="22"/>
          <w:lang w:bidi="fa-IR"/>
        </w:rPr>
      </w:pPr>
      <w:r>
        <w:rPr>
          <w:szCs w:val="22"/>
          <w:lang w:bidi="fa-IR"/>
        </w:rPr>
        <w:t>Uncertainty about future policy choices can also be considered probabilistically</w:t>
      </w:r>
      <w:r w:rsidR="001A2DD5">
        <w:rPr>
          <w:szCs w:val="22"/>
          <w:lang w:bidi="fa-IR"/>
        </w:rPr>
        <w:t xml:space="preserve">, </w:t>
      </w:r>
      <w:r>
        <w:rPr>
          <w:szCs w:val="22"/>
          <w:lang w:bidi="fa-IR"/>
        </w:rPr>
        <w:t xml:space="preserve">rather than deterministically. Rather than modelling one ‘future electrification’ scenario or the other, the future policy choice can be conceptualised </w:t>
      </w:r>
      <w:r w:rsidR="001B36B0">
        <w:rPr>
          <w:szCs w:val="22"/>
          <w:lang w:bidi="fa-IR"/>
        </w:rPr>
        <w:t xml:space="preserve">as a </w:t>
      </w:r>
      <w:r>
        <w:rPr>
          <w:szCs w:val="22"/>
          <w:lang w:bidi="fa-IR"/>
        </w:rPr>
        <w:t>probabili</w:t>
      </w:r>
      <w:r w:rsidR="001B36B0">
        <w:rPr>
          <w:szCs w:val="22"/>
          <w:lang w:bidi="fa-IR"/>
        </w:rPr>
        <w:t>ty</w:t>
      </w:r>
      <w:r>
        <w:rPr>
          <w:szCs w:val="22"/>
          <w:lang w:bidi="fa-IR"/>
        </w:rPr>
        <w:t>; there is some probability that dual fuel buildings will be forced to ‘electrify’ in the future.</w:t>
      </w:r>
    </w:p>
    <w:p w14:paraId="5343C5D1" w14:textId="77777777" w:rsidR="006568C5" w:rsidRDefault="006568C5" w:rsidP="006568C5">
      <w:pPr>
        <w:pStyle w:val="BodyText"/>
        <w:rPr>
          <w:szCs w:val="22"/>
          <w:lang w:bidi="fa-IR"/>
        </w:rPr>
      </w:pPr>
      <w:r>
        <w:rPr>
          <w:szCs w:val="22"/>
          <w:lang w:bidi="fa-IR"/>
        </w:rPr>
        <w:t xml:space="preserve">Under this approach </w:t>
      </w:r>
      <w:r w:rsidRPr="00844A6E">
        <w:rPr>
          <w:szCs w:val="22"/>
          <w:lang w:bidi="fa-IR"/>
        </w:rPr>
        <w:t>CBA results can be expressed as an ‘expected value’. The expected value is the probability</w:t>
      </w:r>
      <w:r w:rsidRPr="00844A6E">
        <w:rPr>
          <w:szCs w:val="22"/>
          <w:lang w:bidi="fa-IR"/>
        </w:rPr>
        <w:noBreakHyphen/>
        <w:t xml:space="preserve">weighted average of the different </w:t>
      </w:r>
      <w:r>
        <w:rPr>
          <w:szCs w:val="22"/>
          <w:lang w:bidi="fa-IR"/>
        </w:rPr>
        <w:t xml:space="preserve">future electrification </w:t>
      </w:r>
      <w:r w:rsidRPr="00844A6E">
        <w:rPr>
          <w:szCs w:val="22"/>
          <w:lang w:bidi="fa-IR"/>
        </w:rPr>
        <w:t>scenarios.</w:t>
      </w:r>
    </w:p>
    <w:p w14:paraId="6A08CA40" w14:textId="0C38946D" w:rsidR="006568C5" w:rsidRDefault="006568C5" w:rsidP="006568C5">
      <w:pPr>
        <w:pStyle w:val="BodyText"/>
        <w:rPr>
          <w:szCs w:val="22"/>
          <w:lang w:bidi="fa-IR"/>
        </w:rPr>
      </w:pPr>
      <w:r>
        <w:rPr>
          <w:szCs w:val="22"/>
          <w:lang w:bidi="fa-IR"/>
        </w:rPr>
        <w:t xml:space="preserve">Although in principle, there is some probability that dual fuel buildings will be forced to electrify in the future, we </w:t>
      </w:r>
      <w:r w:rsidR="00D44841">
        <w:rPr>
          <w:szCs w:val="22"/>
          <w:lang w:bidi="fa-IR"/>
        </w:rPr>
        <w:t>have no basis</w:t>
      </w:r>
      <w:r>
        <w:rPr>
          <w:szCs w:val="22"/>
          <w:lang w:bidi="fa-IR"/>
        </w:rPr>
        <w:t xml:space="preserve"> to make an assessment on what that probability is. Where a key variable is unknown, break-even analysis can provide some useful insights for decision-makers. In this context, the break-even point is the probability that dual fuel buildings will be forced to electrify in the future where Stringency Level 2 and Stringency Level 3 deliver the same net benefits.</w:t>
      </w:r>
    </w:p>
    <w:p w14:paraId="6E43E598" w14:textId="3B10388A" w:rsidR="006568C5" w:rsidRPr="00844A6E" w:rsidRDefault="006568C5" w:rsidP="006568C5">
      <w:pPr>
        <w:pStyle w:val="BodyText"/>
        <w:rPr>
          <w:szCs w:val="22"/>
          <w:lang w:bidi="fa-IR"/>
        </w:rPr>
      </w:pPr>
      <w:r w:rsidRPr="00844A6E">
        <w:rPr>
          <w:szCs w:val="22"/>
          <w:lang w:bidi="fa-IR"/>
        </w:rPr>
        <w:t xml:space="preserve">Based on the modelling results, the provisions to achieve net zero buildings at least cost </w:t>
      </w:r>
      <w:r>
        <w:rPr>
          <w:szCs w:val="22"/>
          <w:lang w:bidi="fa-IR"/>
        </w:rPr>
        <w:t xml:space="preserve">(i.e. Stringency Level 3) </w:t>
      </w:r>
      <w:r w:rsidRPr="00844A6E">
        <w:rPr>
          <w:szCs w:val="22"/>
          <w:lang w:bidi="fa-IR"/>
        </w:rPr>
        <w:t>‘breaks even’ (implying the costs are equal to the benefits), where the probability that dual</w:t>
      </w:r>
      <w:r w:rsidRPr="00844A6E">
        <w:rPr>
          <w:szCs w:val="22"/>
          <w:lang w:bidi="fa-IR"/>
        </w:rPr>
        <w:noBreakHyphen/>
        <w:t xml:space="preserve">fuel buildings are required to convert to fully electric in the future is around </w:t>
      </w:r>
      <w:r w:rsidR="00074FDD">
        <w:rPr>
          <w:b/>
          <w:bCs/>
          <w:szCs w:val="22"/>
          <w:lang w:bidi="fa-IR"/>
        </w:rPr>
        <w:t>63</w:t>
      </w:r>
      <w:r w:rsidRPr="00844A6E">
        <w:rPr>
          <w:b/>
          <w:bCs/>
          <w:szCs w:val="22"/>
          <w:lang w:bidi="fa-IR"/>
        </w:rPr>
        <w:t xml:space="preserve"> per cent </w:t>
      </w:r>
      <w:r w:rsidRPr="00844A6E">
        <w:rPr>
          <w:szCs w:val="22"/>
          <w:lang w:bidi="fa-IR"/>
        </w:rPr>
        <w:t xml:space="preserve">(where all other assumptions are held constant, including: </w:t>
      </w:r>
      <w:r>
        <w:rPr>
          <w:szCs w:val="22"/>
          <w:lang w:bidi="fa-IR"/>
        </w:rPr>
        <w:t>10</w:t>
      </w:r>
      <w:r w:rsidRPr="00844A6E">
        <w:rPr>
          <w:szCs w:val="22"/>
          <w:lang w:bidi="fa-IR"/>
        </w:rPr>
        <w:t xml:space="preserve"> per cent of buildings would choose the dual fuel offset; and </w:t>
      </w:r>
      <w:r>
        <w:rPr>
          <w:szCs w:val="22"/>
          <w:lang w:bidi="fa-IR"/>
        </w:rPr>
        <w:t>90</w:t>
      </w:r>
      <w:r w:rsidRPr="00844A6E">
        <w:rPr>
          <w:szCs w:val="22"/>
          <w:lang w:bidi="fa-IR"/>
        </w:rPr>
        <w:t> per cent would choose to ‘electrify now’; and all dual fuel buildings would be required to convert to fully electric 20 years after construction).</w:t>
      </w:r>
    </w:p>
    <w:p w14:paraId="3DCBEB16" w14:textId="34801AA2" w:rsidR="006568C5" w:rsidRPr="006F0F88" w:rsidRDefault="006568C5" w:rsidP="006568C5">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EA6E4C">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A6E4C">
          <w:rPr>
            <w:noProof/>
          </w:rPr>
          <w:instrText>7</w:instrText>
        </w:r>
      </w:fldSimple>
      <w:r w:rsidRPr="006F0F88">
        <w:instrText xml:space="preserve"> = 0 "" "</w:instrText>
      </w:r>
      <w:fldSimple w:instr=" STYLEREF &quot;Heading 1&quot; \l \n ">
        <w:r w:rsidR="00EA6E4C">
          <w:rPr>
            <w:noProof/>
          </w:rPr>
          <w:instrText>7</w:instrText>
        </w:r>
      </w:fldSimple>
      <w:r w:rsidRPr="006F0F88">
        <w:instrText xml:space="preserve">." </w:instrText>
      </w:r>
      <w:r w:rsidRPr="006F0F88">
        <w:fldChar w:fldCharType="separate"/>
      </w:r>
      <w:r w:rsidR="00EA6E4C">
        <w:rPr>
          <w:noProof/>
        </w:rPr>
        <w:instrText>7</w:instrText>
      </w:r>
      <w:r w:rsidR="00EA6E4C"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7</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EA6E4C">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A6E4C">
          <w:rPr>
            <w:noProof/>
          </w:rPr>
          <w:instrText>7</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EA6E4C">
        <w:rPr>
          <w:noProof/>
        </w:rPr>
        <w:instrText>16</w:instrText>
      </w:r>
      <w:r w:rsidRPr="006F0F88">
        <w:fldChar w:fldCharType="end"/>
      </w:r>
      <w:r w:rsidRPr="006F0F88">
        <w:instrText xml:space="preserve">" "" </w:instrText>
      </w:r>
      <w:r w:rsidRPr="006F0F88">
        <w:fldChar w:fldCharType="separate"/>
      </w:r>
      <w:bookmarkStart w:id="4151" w:name="_Caption9347"/>
      <w:bookmarkStart w:id="4152" w:name="_Caption4957"/>
      <w:bookmarkStart w:id="4153" w:name="_Caption9349"/>
      <w:bookmarkStart w:id="4154" w:name="_Caption0434"/>
      <w:bookmarkStart w:id="4155" w:name="_Caption7269"/>
      <w:bookmarkStart w:id="4156" w:name="_Caption5635"/>
      <w:bookmarkStart w:id="4157" w:name="_Caption0202"/>
      <w:bookmarkStart w:id="4158" w:name="_Caption0300"/>
      <w:bookmarkStart w:id="4159" w:name="_Caption5658"/>
      <w:bookmarkStart w:id="4160" w:name="_Caption9336"/>
      <w:bookmarkStart w:id="4161" w:name="_Caption4225"/>
      <w:bookmarkStart w:id="4162" w:name="_Caption7119"/>
      <w:bookmarkStart w:id="4163" w:name="_Caption9951"/>
      <w:bookmarkStart w:id="4164" w:name="_Caption1274"/>
      <w:bookmarkStart w:id="4165" w:name="_Caption0668"/>
      <w:bookmarkStart w:id="4166" w:name="_Caption4463"/>
      <w:bookmarkStart w:id="4167" w:name="_Caption2368"/>
      <w:bookmarkStart w:id="4168" w:name="_Caption9778"/>
      <w:bookmarkStart w:id="4169" w:name="_Caption0163"/>
      <w:bookmarkStart w:id="4170" w:name="_Caption2267"/>
      <w:bookmarkStart w:id="4171" w:name="_Caption5446"/>
      <w:bookmarkStart w:id="4172" w:name="_Caption8417"/>
      <w:bookmarkStart w:id="4173" w:name="_Caption7207"/>
      <w:bookmarkStart w:id="4174" w:name="_Caption8066"/>
      <w:bookmarkStart w:id="4175" w:name="_Caption1404"/>
      <w:bookmarkStart w:id="4176" w:name="_Caption9007"/>
      <w:bookmarkStart w:id="4177" w:name="_Caption0968"/>
      <w:bookmarkStart w:id="4178" w:name="_Caption0502"/>
      <w:bookmarkStart w:id="4179" w:name="_Caption2956"/>
      <w:bookmarkStart w:id="4180" w:name="_Caption7556"/>
      <w:bookmarkStart w:id="4181" w:name="_Caption7147"/>
      <w:bookmarkStart w:id="4182" w:name="_Caption3364"/>
      <w:bookmarkStart w:id="4183" w:name="_Caption3779"/>
      <w:bookmarkStart w:id="4184" w:name="_Caption7657"/>
      <w:bookmarkStart w:id="4185" w:name="_Caption1482"/>
      <w:bookmarkStart w:id="4186" w:name="_Caption8937"/>
      <w:bookmarkStart w:id="4187" w:name="_Caption2327"/>
      <w:bookmarkStart w:id="4188" w:name="_Caption2578"/>
      <w:bookmarkStart w:id="4189" w:name="_Caption4454"/>
      <w:bookmarkStart w:id="4190" w:name="_Caption1851"/>
      <w:bookmarkStart w:id="4191" w:name="_Caption0024"/>
      <w:bookmarkStart w:id="4192" w:name="_Caption3445"/>
      <w:bookmarkStart w:id="4193" w:name="_Caption7892"/>
      <w:bookmarkStart w:id="4194" w:name="_Caption7554"/>
      <w:bookmarkStart w:id="4195" w:name="_Caption1982"/>
      <w:bookmarkStart w:id="4196" w:name="_Caption3116"/>
      <w:bookmarkStart w:id="4197" w:name="_Caption7043"/>
      <w:bookmarkStart w:id="4198" w:name="_Caption2545"/>
      <w:bookmarkStart w:id="4199" w:name="_Caption3636"/>
      <w:bookmarkStart w:id="4200" w:name="_Caption3690"/>
      <w:bookmarkStart w:id="4201" w:name="_Caption4887"/>
      <w:bookmarkStart w:id="4202" w:name="_Caption3256"/>
      <w:bookmarkStart w:id="4203" w:name="_Caption6586"/>
      <w:bookmarkStart w:id="4204" w:name="_Caption3980"/>
      <w:bookmarkStart w:id="4205" w:name="_Caption1678"/>
      <w:bookmarkStart w:id="4206" w:name="_Caption3955"/>
      <w:bookmarkStart w:id="4207" w:name="_Caption4335"/>
      <w:bookmarkStart w:id="4208" w:name="_Caption5680"/>
      <w:bookmarkStart w:id="4209" w:name="_Caption9008"/>
      <w:bookmarkStart w:id="4210" w:name="_Caption9419"/>
      <w:bookmarkStart w:id="4211" w:name="_Caption9570"/>
      <w:bookmarkStart w:id="4212" w:name="_Caption8367"/>
      <w:bookmarkStart w:id="4213" w:name="_Caption4527"/>
      <w:bookmarkStart w:id="4214" w:name="_Caption5947"/>
      <w:bookmarkStart w:id="4215" w:name="_Caption0605"/>
      <w:bookmarkStart w:id="4216" w:name="_Caption2670"/>
      <w:bookmarkStart w:id="4217" w:name="_Caption6831"/>
      <w:bookmarkStart w:id="4218" w:name="_Caption5748"/>
      <w:bookmarkStart w:id="4219" w:name="_Caption5963"/>
      <w:bookmarkStart w:id="4220" w:name="_Caption3562"/>
      <w:bookmarkStart w:id="4221" w:name="_Caption6290"/>
      <w:bookmarkStart w:id="4222" w:name="_Caption0235"/>
      <w:bookmarkStart w:id="4223" w:name="_Caption1803"/>
      <w:bookmarkStart w:id="4224" w:name="_Caption6991"/>
      <w:bookmarkStart w:id="4225" w:name="_Caption4254"/>
      <w:bookmarkStart w:id="4226" w:name="_Caption2655"/>
      <w:bookmarkStart w:id="4227" w:name="_Caption0053"/>
      <w:bookmarkStart w:id="4228" w:name="_Caption4079"/>
      <w:bookmarkStart w:id="4229" w:name="_Caption8611"/>
      <w:bookmarkStart w:id="4230" w:name="_Caption1806"/>
      <w:bookmarkStart w:id="4231" w:name="_Caption0087"/>
      <w:bookmarkStart w:id="4232" w:name="_Caption3314"/>
      <w:bookmarkStart w:id="4233" w:name="_Caption2324"/>
      <w:bookmarkStart w:id="4234" w:name="_Caption3147"/>
      <w:bookmarkStart w:id="4235" w:name="_Caption5474"/>
      <w:bookmarkStart w:id="4236" w:name="_Caption0647"/>
      <w:bookmarkStart w:id="4237" w:name="_Caption0597"/>
      <w:bookmarkStart w:id="4238" w:name="_Caption1206"/>
      <w:bookmarkStart w:id="4239" w:name="_Caption7150"/>
      <w:bookmarkStart w:id="4240" w:name="_Caption0945"/>
      <w:bookmarkStart w:id="4241" w:name="_Caption3558"/>
      <w:bookmarkStart w:id="4242" w:name="_Caption8866"/>
      <w:bookmarkStart w:id="4243" w:name="_Caption6598"/>
      <w:bookmarkStart w:id="4244" w:name="_Caption4943"/>
      <w:bookmarkStart w:id="4245" w:name="_Caption4447"/>
      <w:bookmarkStart w:id="4246" w:name="_Caption5371"/>
      <w:bookmarkStart w:id="4247" w:name="_Caption6525"/>
      <w:bookmarkStart w:id="4248" w:name="_Caption1762"/>
      <w:bookmarkStart w:id="4249" w:name="_Caption3168"/>
      <w:bookmarkStart w:id="4250" w:name="_Caption2905"/>
      <w:bookmarkStart w:id="4251" w:name="_Caption7793"/>
      <w:bookmarkStart w:id="4252" w:name="_Caption6006"/>
      <w:bookmarkStart w:id="4253" w:name="_Toc177735182"/>
      <w:bookmarkStart w:id="4254" w:name="_Toc178292615"/>
      <w:r w:rsidR="008C60A3">
        <w:rPr>
          <w:noProof/>
        </w:rPr>
        <w:t>7</w:t>
      </w:r>
      <w:r w:rsidR="008C60A3" w:rsidRPr="006F0F88">
        <w:rPr>
          <w:noProof/>
        </w:rPr>
        <w:t>.</w:t>
      </w:r>
      <w:r w:rsidR="008C60A3">
        <w:rPr>
          <w:noProof/>
        </w:rPr>
        <w:t>16</w:t>
      </w:r>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r w:rsidRPr="006F0F88">
        <w:fldChar w:fldCharType="end"/>
      </w:r>
      <w:r w:rsidRPr="006F0F88">
        <w:tab/>
        <w:t>Break-even future electrification probability</w:t>
      </w:r>
      <w:bookmarkEnd w:id="4253"/>
      <w:bookmarkEnd w:id="4254"/>
    </w:p>
    <w:tbl>
      <w:tblPr>
        <w:tblW w:w="8505" w:type="dxa"/>
        <w:tblLayout w:type="fixed"/>
        <w:tblLook w:val="0000" w:firstRow="0" w:lastRow="0" w:firstColumn="0" w:lastColumn="0" w:noHBand="0" w:noVBand="0"/>
        <w:tblCaption w:val="Table 6.12 - Break-even future electrification probability"/>
      </w:tblPr>
      <w:tblGrid>
        <w:gridCol w:w="2127"/>
        <w:gridCol w:w="1701"/>
        <w:gridCol w:w="1417"/>
        <w:gridCol w:w="1559"/>
        <w:gridCol w:w="1701"/>
      </w:tblGrid>
      <w:tr w:rsidR="006568C5" w14:paraId="6F0373E2" w14:textId="77777777">
        <w:trPr>
          <w:trHeight w:val="734"/>
        </w:trPr>
        <w:tc>
          <w:tcPr>
            <w:tcW w:w="2127" w:type="dxa"/>
            <w:shd w:val="clear" w:color="auto" w:fill="6F6652"/>
            <w:tcMar>
              <w:left w:w="57" w:type="dxa"/>
              <w:right w:w="57" w:type="dxa"/>
            </w:tcMar>
          </w:tcPr>
          <w:p w14:paraId="53067000" w14:textId="77777777" w:rsidR="006568C5" w:rsidRPr="00492AD6" w:rsidRDefault="006568C5">
            <w:pPr>
              <w:pStyle w:val="TableDataColumnHeading"/>
              <w:jc w:val="left"/>
            </w:pPr>
            <w:r>
              <w:t>Future scenario</w:t>
            </w:r>
          </w:p>
        </w:tc>
        <w:tc>
          <w:tcPr>
            <w:tcW w:w="1701" w:type="dxa"/>
            <w:shd w:val="clear" w:color="auto" w:fill="6F6652"/>
            <w:tcMar>
              <w:left w:w="57" w:type="dxa"/>
              <w:right w:w="57" w:type="dxa"/>
            </w:tcMar>
          </w:tcPr>
          <w:p w14:paraId="39039501" w14:textId="77777777" w:rsidR="006568C5" w:rsidRPr="00492AD6" w:rsidRDefault="006568C5">
            <w:pPr>
              <w:pStyle w:val="TableDataColumnHeading"/>
              <w:ind w:firstLine="369"/>
            </w:pPr>
            <w:r w:rsidRPr="00492AD6">
              <w:t>Probability of scenario occurring</w:t>
            </w:r>
          </w:p>
          <w:p w14:paraId="59781B82" w14:textId="77777777" w:rsidR="006568C5" w:rsidRPr="00492AD6" w:rsidRDefault="006568C5">
            <w:pPr>
              <w:pStyle w:val="TableDataColumnHeading"/>
            </w:pPr>
            <w:r w:rsidRPr="00492AD6">
              <w:t>Per cent</w:t>
            </w:r>
          </w:p>
        </w:tc>
        <w:tc>
          <w:tcPr>
            <w:tcW w:w="1417" w:type="dxa"/>
            <w:shd w:val="clear" w:color="auto" w:fill="6F6652"/>
            <w:tcMar>
              <w:left w:w="57" w:type="dxa"/>
              <w:right w:w="57" w:type="dxa"/>
            </w:tcMar>
          </w:tcPr>
          <w:p w14:paraId="6FC42363" w14:textId="77777777" w:rsidR="006568C5" w:rsidRPr="00492AD6" w:rsidRDefault="006568C5">
            <w:pPr>
              <w:pStyle w:val="TableDataColumnHeading"/>
              <w:ind w:firstLine="77"/>
            </w:pPr>
            <w:r w:rsidRPr="00492AD6">
              <w:t>Stringency Level 2 – net impact</w:t>
            </w:r>
          </w:p>
          <w:p w14:paraId="528E9303" w14:textId="77777777" w:rsidR="006568C5" w:rsidRPr="00492AD6" w:rsidRDefault="006568C5">
            <w:pPr>
              <w:pStyle w:val="TableDataColumnHeading"/>
            </w:pPr>
            <w:r w:rsidRPr="00492AD6">
              <w:t>$ million</w:t>
            </w:r>
          </w:p>
        </w:tc>
        <w:tc>
          <w:tcPr>
            <w:tcW w:w="1559" w:type="dxa"/>
            <w:shd w:val="clear" w:color="auto" w:fill="6F6652"/>
            <w:tcMar>
              <w:left w:w="57" w:type="dxa"/>
              <w:right w:w="57" w:type="dxa"/>
            </w:tcMar>
          </w:tcPr>
          <w:p w14:paraId="42AAB248" w14:textId="77777777" w:rsidR="006568C5" w:rsidRPr="00492AD6" w:rsidRDefault="006568C5">
            <w:pPr>
              <w:pStyle w:val="TableDataColumnHeading"/>
              <w:ind w:firstLine="228"/>
            </w:pPr>
            <w:r w:rsidRPr="00492AD6">
              <w:t>Stringency Level 3 – net impact</w:t>
            </w:r>
          </w:p>
          <w:p w14:paraId="298645FB" w14:textId="77777777" w:rsidR="006568C5" w:rsidRPr="00492AD6" w:rsidRDefault="006568C5">
            <w:pPr>
              <w:pStyle w:val="TableDataColumnHeading"/>
            </w:pPr>
            <w:r w:rsidRPr="00492AD6">
              <w:t>$ million</w:t>
            </w:r>
          </w:p>
        </w:tc>
        <w:tc>
          <w:tcPr>
            <w:tcW w:w="1701" w:type="dxa"/>
            <w:shd w:val="clear" w:color="auto" w:fill="6F6652"/>
            <w:tcMar>
              <w:left w:w="57" w:type="dxa"/>
              <w:right w:w="57" w:type="dxa"/>
            </w:tcMar>
          </w:tcPr>
          <w:p w14:paraId="1F376F26" w14:textId="77777777" w:rsidR="006568C5" w:rsidRPr="00492AD6" w:rsidRDefault="006568C5">
            <w:pPr>
              <w:pStyle w:val="TableDataColumnHeading"/>
            </w:pPr>
            <w:r w:rsidRPr="00492AD6">
              <w:t>Incremental impact of Stringency Level 3</w:t>
            </w:r>
          </w:p>
          <w:p w14:paraId="2CAFCACA" w14:textId="77777777" w:rsidR="006568C5" w:rsidRDefault="006568C5">
            <w:pPr>
              <w:pStyle w:val="TableDataColumnHeading"/>
            </w:pPr>
            <w:r>
              <w:t>$ million</w:t>
            </w:r>
          </w:p>
        </w:tc>
      </w:tr>
      <w:tr w:rsidR="00811B74" w14:paraId="47EB1569" w14:textId="77777777">
        <w:trPr>
          <w:trHeight w:val="245"/>
        </w:trPr>
        <w:tc>
          <w:tcPr>
            <w:tcW w:w="21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819065" w14:textId="77777777" w:rsidR="00811B74" w:rsidRDefault="00811B74" w:rsidP="00811B74">
            <w:pPr>
              <w:pStyle w:val="TableDataEntries"/>
              <w:jc w:val="left"/>
            </w:pPr>
            <w:r>
              <w:t>No future electrification</w:t>
            </w:r>
          </w:p>
        </w:tc>
        <w:tc>
          <w:tcPr>
            <w:tcW w:w="170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F8D7716" w14:textId="7F18662A" w:rsidR="00811B74" w:rsidRPr="00811B74" w:rsidRDefault="00811B74" w:rsidP="00811B74">
            <w:pPr>
              <w:pStyle w:val="TableDataEntries"/>
            </w:pPr>
            <w:r w:rsidRPr="00811B74">
              <w:t>37%</w:t>
            </w:r>
          </w:p>
        </w:tc>
        <w:tc>
          <w:tcPr>
            <w:tcW w:w="141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11E85B3" w14:textId="32EFF5B0" w:rsidR="00811B74" w:rsidRPr="00811B74" w:rsidRDefault="00811B74" w:rsidP="00811B74">
            <w:pPr>
              <w:pStyle w:val="TableDataEntries"/>
            </w:pPr>
            <w:r w:rsidRPr="00811B74">
              <w:t>10 060.67</w:t>
            </w:r>
          </w:p>
        </w:tc>
        <w:tc>
          <w:tcPr>
            <w:tcW w:w="15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AFBDD80" w14:textId="3B11E283" w:rsidR="00811B74" w:rsidRPr="00811B74" w:rsidRDefault="00811B74" w:rsidP="00811B74">
            <w:pPr>
              <w:pStyle w:val="TableDataEntries"/>
            </w:pPr>
            <w:r w:rsidRPr="00811B74">
              <w:t>9 388.30</w:t>
            </w:r>
          </w:p>
        </w:tc>
        <w:tc>
          <w:tcPr>
            <w:tcW w:w="170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B6D3731" w14:textId="77A975D1" w:rsidR="00811B74" w:rsidRPr="00811B74" w:rsidRDefault="00811B74" w:rsidP="00811B74">
            <w:pPr>
              <w:pStyle w:val="TableDataEntries"/>
            </w:pPr>
            <w:r w:rsidRPr="00811B74">
              <w:t>- 672.37</w:t>
            </w:r>
          </w:p>
        </w:tc>
      </w:tr>
      <w:tr w:rsidR="00811B74" w14:paraId="1C25D441" w14:textId="77777777">
        <w:trPr>
          <w:trHeight w:val="245"/>
        </w:trPr>
        <w:tc>
          <w:tcPr>
            <w:tcW w:w="21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0A14958" w14:textId="77777777" w:rsidR="00811B74" w:rsidRDefault="00811B74" w:rsidP="00811B74">
            <w:pPr>
              <w:pStyle w:val="TableDataEntries"/>
              <w:jc w:val="left"/>
            </w:pPr>
            <w:r>
              <w:t>Future electrification</w:t>
            </w:r>
          </w:p>
        </w:tc>
        <w:tc>
          <w:tcPr>
            <w:tcW w:w="170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6877388" w14:textId="661C2975" w:rsidR="00811B74" w:rsidRPr="00811B74" w:rsidRDefault="00811B74" w:rsidP="00811B74">
            <w:pPr>
              <w:pStyle w:val="TableDataEntries"/>
            </w:pPr>
            <w:r w:rsidRPr="00811B74">
              <w:t>63%</w:t>
            </w:r>
          </w:p>
        </w:tc>
        <w:tc>
          <w:tcPr>
            <w:tcW w:w="141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5681BF1" w14:textId="09B9B6F9" w:rsidR="00811B74" w:rsidRPr="00811B74" w:rsidRDefault="00811B74" w:rsidP="00811B74">
            <w:pPr>
              <w:pStyle w:val="TableDataEntries"/>
            </w:pPr>
            <w:r w:rsidRPr="00811B74">
              <w:t>10 027.42</w:t>
            </w:r>
          </w:p>
        </w:tc>
        <w:tc>
          <w:tcPr>
            <w:tcW w:w="15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604F033" w14:textId="73546477" w:rsidR="00811B74" w:rsidRPr="00811B74" w:rsidRDefault="00811B74" w:rsidP="00811B74">
            <w:pPr>
              <w:pStyle w:val="TableDataEntries"/>
            </w:pPr>
            <w:r w:rsidRPr="00811B74">
              <w:t>10 427.48</w:t>
            </w:r>
          </w:p>
        </w:tc>
        <w:tc>
          <w:tcPr>
            <w:tcW w:w="170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67FB3E8" w14:textId="7D5C17CB" w:rsidR="00811B74" w:rsidRPr="00811B74" w:rsidRDefault="00811B74" w:rsidP="00811B74">
            <w:pPr>
              <w:pStyle w:val="TableDataEntries"/>
            </w:pPr>
            <w:r w:rsidRPr="00811B74">
              <w:t xml:space="preserve"> 400.06</w:t>
            </w:r>
          </w:p>
        </w:tc>
      </w:tr>
      <w:tr w:rsidR="00811B74" w:rsidRPr="00811B74" w14:paraId="5DA26398" w14:textId="77777777">
        <w:trPr>
          <w:trHeight w:val="245"/>
        </w:trPr>
        <w:tc>
          <w:tcPr>
            <w:tcW w:w="2127"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724C7696" w14:textId="77777777" w:rsidR="00811B74" w:rsidRPr="00811B74" w:rsidRDefault="00811B74" w:rsidP="00811B74">
            <w:pPr>
              <w:pStyle w:val="TableDataEntries"/>
              <w:jc w:val="left"/>
              <w:rPr>
                <w:rFonts w:ascii="Franklin Gothic Demi" w:hAnsi="Franklin Gothic Demi"/>
              </w:rPr>
            </w:pPr>
            <w:r w:rsidRPr="00811B74">
              <w:rPr>
                <w:rFonts w:ascii="Franklin Gothic Demi" w:hAnsi="Franklin Gothic Demi"/>
              </w:rPr>
              <w:t>Expected outcome</w:t>
            </w:r>
          </w:p>
        </w:tc>
        <w:tc>
          <w:tcPr>
            <w:tcW w:w="1701"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7A6E4270" w14:textId="77777777" w:rsidR="00811B74" w:rsidRPr="00811B74" w:rsidRDefault="00811B74" w:rsidP="00811B74">
            <w:pPr>
              <w:pStyle w:val="TableDataEntries"/>
              <w:rPr>
                <w:rFonts w:ascii="Franklin Gothic Demi" w:hAnsi="Franklin Gothic Demi"/>
              </w:rPr>
            </w:pPr>
          </w:p>
        </w:tc>
        <w:tc>
          <w:tcPr>
            <w:tcW w:w="1417"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72F7BCE5" w14:textId="7E0B56A4" w:rsidR="00811B74" w:rsidRPr="00811B74" w:rsidRDefault="00811B74" w:rsidP="00811B74">
            <w:pPr>
              <w:pStyle w:val="TableDataEntries"/>
              <w:rPr>
                <w:rFonts w:ascii="Franklin Gothic Demi" w:hAnsi="Franklin Gothic Demi"/>
              </w:rPr>
            </w:pPr>
            <w:r w:rsidRPr="00811B74">
              <w:rPr>
                <w:rFonts w:ascii="Franklin Gothic Demi" w:hAnsi="Franklin Gothic Demi"/>
              </w:rPr>
              <w:t>10 039.83</w:t>
            </w:r>
          </w:p>
        </w:tc>
        <w:tc>
          <w:tcPr>
            <w:tcW w:w="1559"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251680EC" w14:textId="09B7669D" w:rsidR="00811B74" w:rsidRPr="00811B74" w:rsidRDefault="00811B74" w:rsidP="00811B74">
            <w:pPr>
              <w:pStyle w:val="TableDataEntries"/>
              <w:rPr>
                <w:rFonts w:ascii="Franklin Gothic Demi" w:hAnsi="Franklin Gothic Demi"/>
              </w:rPr>
            </w:pPr>
            <w:r w:rsidRPr="00811B74">
              <w:rPr>
                <w:rFonts w:ascii="Franklin Gothic Demi" w:hAnsi="Franklin Gothic Demi"/>
              </w:rPr>
              <w:t>10 039.83</w:t>
            </w:r>
          </w:p>
        </w:tc>
        <w:tc>
          <w:tcPr>
            <w:tcW w:w="1701"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6B5CAE94" w14:textId="78BCC090" w:rsidR="00811B74" w:rsidRPr="00811B74" w:rsidRDefault="00811B74" w:rsidP="00811B74">
            <w:pPr>
              <w:pStyle w:val="TableDataEntries"/>
              <w:rPr>
                <w:rFonts w:ascii="Franklin Gothic Demi" w:hAnsi="Franklin Gothic Demi"/>
              </w:rPr>
            </w:pPr>
            <w:r w:rsidRPr="00811B74">
              <w:rPr>
                <w:rFonts w:ascii="Franklin Gothic Demi" w:hAnsi="Franklin Gothic Demi"/>
              </w:rPr>
              <w:t xml:space="preserve"> 0.00</w:t>
            </w:r>
          </w:p>
        </w:tc>
      </w:tr>
    </w:tbl>
    <w:p w14:paraId="39D39390" w14:textId="77777777" w:rsidR="006568C5" w:rsidRDefault="006568C5" w:rsidP="006568C5">
      <w:pPr>
        <w:pStyle w:val="Note"/>
      </w:pPr>
      <w:r w:rsidRPr="007D1B4F">
        <w:rPr>
          <w:i/>
        </w:rPr>
        <w:t>Note:</w:t>
      </w:r>
      <w:r w:rsidRPr="00E879B8">
        <w:t xml:space="preserve"> </w:t>
      </w:r>
      <w:r>
        <w:t>Estimates presented in net present value terms over an assumed 50-year life of all buildings constructed over the 10 year period from 2025 to 2034, using a discount rate of 5 per cent. Assumes that under Stringency Level 3, 50 per cent of building choose the dual</w:t>
      </w:r>
      <w:r>
        <w:noBreakHyphen/>
        <w:t>fuel offset; and 50 per cent choose to electrify now. Also assumes electrification occurs 20 years after construction.</w:t>
      </w:r>
    </w:p>
    <w:p w14:paraId="04D0D0E2" w14:textId="77777777" w:rsidR="006568C5" w:rsidRDefault="006568C5" w:rsidP="006568C5">
      <w:pPr>
        <w:pStyle w:val="Source"/>
      </w:pPr>
      <w:r>
        <w:rPr>
          <w:i/>
        </w:rPr>
        <w:t>Source</w:t>
      </w:r>
      <w:r w:rsidRPr="00E4232C">
        <w:rPr>
          <w:i/>
        </w:rPr>
        <w:t>:</w:t>
      </w:r>
      <w:r>
        <w:t xml:space="preserve"> CIE based on DeltaQ modelling.</w:t>
      </w:r>
    </w:p>
    <w:p w14:paraId="59EA3236" w14:textId="77777777" w:rsidR="006568C5" w:rsidRPr="00844A6E" w:rsidRDefault="006568C5" w:rsidP="006568C5">
      <w:pPr>
        <w:pStyle w:val="BodyText"/>
        <w:rPr>
          <w:szCs w:val="22"/>
          <w:lang w:bidi="fa-IR"/>
        </w:rPr>
      </w:pPr>
      <w:r w:rsidRPr="00844A6E">
        <w:rPr>
          <w:szCs w:val="22"/>
          <w:lang w:bidi="fa-IR"/>
        </w:rPr>
        <w:t>This implies the following:</w:t>
      </w:r>
    </w:p>
    <w:p w14:paraId="08951FBB" w14:textId="49433C40" w:rsidR="006568C5" w:rsidRPr="00586DE2" w:rsidRDefault="006568C5" w:rsidP="006568C5">
      <w:pPr>
        <w:pStyle w:val="ListBullet"/>
        <w:tabs>
          <w:tab w:val="num" w:pos="709"/>
        </w:tabs>
      </w:pPr>
      <w:r w:rsidRPr="00586DE2">
        <w:t xml:space="preserve">If the probability that dual fuel buildings will be required to convert to fully electric when the gas boiler requires replacement is considered greater than </w:t>
      </w:r>
      <w:r w:rsidR="00074FDD">
        <w:t>63</w:t>
      </w:r>
      <w:r w:rsidRPr="00586DE2">
        <w:t xml:space="preserve"> per cent, </w:t>
      </w:r>
      <w:r w:rsidR="005B6378">
        <w:t>Stringency Level 3 is likely to deliver the highest net benefits</w:t>
      </w:r>
      <w:r w:rsidRPr="00586DE2">
        <w:t>.</w:t>
      </w:r>
    </w:p>
    <w:p w14:paraId="5BEF01CE" w14:textId="52564B98" w:rsidR="006568C5" w:rsidRPr="00586DE2" w:rsidRDefault="006568C5" w:rsidP="006568C5">
      <w:pPr>
        <w:pStyle w:val="ListBullet"/>
        <w:tabs>
          <w:tab w:val="num" w:pos="709"/>
        </w:tabs>
      </w:pPr>
      <w:r w:rsidRPr="00586DE2">
        <w:t xml:space="preserve">If the probability that dual fuel buildings will be required to convert to fully electric when the gas boiler requires replacement is considered less than </w:t>
      </w:r>
      <w:r w:rsidR="00074FDD">
        <w:t>63</w:t>
      </w:r>
      <w:r w:rsidRPr="00586DE2">
        <w:t xml:space="preserve"> per cent, </w:t>
      </w:r>
      <w:r w:rsidR="00521DCB">
        <w:t>Stringency Level 2 is likely</w:t>
      </w:r>
      <w:r w:rsidRPr="00586DE2">
        <w:t xml:space="preserve"> to deliver </w:t>
      </w:r>
      <w:r w:rsidR="00521DCB">
        <w:t>the highest net benefits</w:t>
      </w:r>
      <w:r w:rsidRPr="00586DE2">
        <w:t>.</w:t>
      </w:r>
    </w:p>
    <w:p w14:paraId="7B251080" w14:textId="77777777" w:rsidR="006568C5" w:rsidRDefault="006568C5" w:rsidP="006568C5">
      <w:pPr>
        <w:pStyle w:val="Heading3"/>
        <w:rPr>
          <w:lang w:bidi="fa-IR"/>
        </w:rPr>
      </w:pPr>
      <w:r>
        <w:rPr>
          <w:lang w:bidi="fa-IR"/>
        </w:rPr>
        <w:t>No uptake of solar in the base case</w:t>
      </w:r>
    </w:p>
    <w:p w14:paraId="57F70871" w14:textId="5816AFF7" w:rsidR="006568C5" w:rsidRPr="00844A6E" w:rsidRDefault="006568C5" w:rsidP="006568C5">
      <w:pPr>
        <w:pStyle w:val="BodyText"/>
        <w:rPr>
          <w:szCs w:val="22"/>
          <w:lang w:bidi="fa-IR"/>
        </w:rPr>
      </w:pPr>
      <w:r w:rsidRPr="00844A6E">
        <w:rPr>
          <w:szCs w:val="22"/>
          <w:lang w:bidi="fa-IR"/>
        </w:rPr>
        <w:t>Although our assumption about the uptake of solar in the base case was based on the best available information,</w:t>
      </w:r>
      <w:r w:rsidRPr="00A87CD1">
        <w:rPr>
          <w:rStyle w:val="FootnoteReference"/>
          <w:lang w:bidi="fa-IR"/>
        </w:rPr>
        <w:footnoteReference w:id="132"/>
      </w:r>
      <w:r w:rsidRPr="00844A6E">
        <w:rPr>
          <w:szCs w:val="22"/>
          <w:lang w:bidi="fa-IR"/>
        </w:rPr>
        <w:t xml:space="preserve"> this was based on a limited sample size, and it is not clear to what extent the sample is representative of all buildings at the national level.</w:t>
      </w:r>
    </w:p>
    <w:p w14:paraId="3B0BC053" w14:textId="0089B811" w:rsidR="006568C5" w:rsidRPr="00844A6E" w:rsidRDefault="006568C5" w:rsidP="006568C5">
      <w:pPr>
        <w:pStyle w:val="BodyText"/>
        <w:rPr>
          <w:szCs w:val="22"/>
          <w:lang w:bidi="fa-IR"/>
        </w:rPr>
      </w:pPr>
      <w:r w:rsidRPr="00844A6E">
        <w:rPr>
          <w:szCs w:val="22"/>
          <w:lang w:bidi="fa-IR"/>
        </w:rPr>
        <w:t>To provide an indication of the aggregate net impacts of difference between the NCC 2022 minimum standards and the proposed 2025 options, table </w:t>
      </w:r>
      <w:r>
        <w:rPr>
          <w:szCs w:val="22"/>
          <w:lang w:bidi="fa-IR"/>
        </w:rPr>
        <w:fldChar w:fldCharType="begin"/>
      </w:r>
      <w:r>
        <w:rPr>
          <w:szCs w:val="22"/>
          <w:lang w:bidi="fa-IR"/>
        </w:rPr>
        <w:instrText xml:space="preserve"> REF _Caption5064 </w:instrText>
      </w:r>
      <w:r>
        <w:rPr>
          <w:szCs w:val="22"/>
          <w:lang w:bidi="fa-IR"/>
        </w:rPr>
        <w:fldChar w:fldCharType="separate"/>
      </w:r>
      <w:r w:rsidR="006E00A7">
        <w:rPr>
          <w:noProof/>
        </w:rPr>
        <w:t>7</w:t>
      </w:r>
      <w:r w:rsidR="006E00A7" w:rsidRPr="006F0F88">
        <w:rPr>
          <w:noProof/>
        </w:rPr>
        <w:t>.</w:t>
      </w:r>
      <w:r w:rsidR="006E00A7">
        <w:rPr>
          <w:noProof/>
        </w:rPr>
        <w:t>17</w:t>
      </w:r>
      <w:r>
        <w:rPr>
          <w:szCs w:val="22"/>
          <w:lang w:bidi="fa-IR"/>
        </w:rPr>
        <w:fldChar w:fldCharType="end"/>
      </w:r>
      <w:r w:rsidRPr="00844A6E">
        <w:rPr>
          <w:szCs w:val="22"/>
          <w:lang w:bidi="fa-IR"/>
        </w:rPr>
        <w:t xml:space="preserve"> summarises the CBA results under the scenario where there is no voluntary uptake of rooftop solar. Under this scenario, the impacts of the proposed changes are significantly higher for Stringency Level 2 and Stringency Level 3 (compared with the central case CBA results); note that this reflects the (incorrect) attribution of the impacts of voluntary uptake of rooftop solar to the proposed changes to the NCC.</w:t>
      </w:r>
    </w:p>
    <w:p w14:paraId="4CDE11DC" w14:textId="01B26E79" w:rsidR="006568C5" w:rsidRPr="00844A6E" w:rsidRDefault="006568C5" w:rsidP="006568C5">
      <w:pPr>
        <w:pStyle w:val="BodyText"/>
        <w:rPr>
          <w:szCs w:val="22"/>
          <w:lang w:bidi="fa-IR"/>
        </w:rPr>
      </w:pPr>
      <w:r w:rsidRPr="00844A6E">
        <w:rPr>
          <w:szCs w:val="22"/>
          <w:lang w:bidi="fa-IR"/>
        </w:rPr>
        <w:t xml:space="preserve">Although the magnitude of the net benefits from Scenario 2 and Scenario 3 are greater, the ordering of </w:t>
      </w:r>
      <w:r w:rsidR="005471DD">
        <w:rPr>
          <w:szCs w:val="22"/>
          <w:lang w:bidi="fa-IR"/>
        </w:rPr>
        <w:t>options</w:t>
      </w:r>
      <w:r w:rsidRPr="00844A6E">
        <w:rPr>
          <w:szCs w:val="22"/>
          <w:lang w:bidi="fa-IR"/>
        </w:rPr>
        <w:t xml:space="preserve"> does not change.</w:t>
      </w:r>
    </w:p>
    <w:p w14:paraId="7E5FF95D" w14:textId="28B4DD4D" w:rsidR="006568C5" w:rsidRPr="006F0F88" w:rsidRDefault="006568C5" w:rsidP="006568C5">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EA6E4C">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A6E4C">
          <w:rPr>
            <w:noProof/>
          </w:rPr>
          <w:instrText>7</w:instrText>
        </w:r>
      </w:fldSimple>
      <w:r w:rsidRPr="006F0F88">
        <w:instrText xml:space="preserve"> = 0 "" "</w:instrText>
      </w:r>
      <w:fldSimple w:instr=" STYLEREF &quot;Heading 1&quot; \l \n ">
        <w:r w:rsidR="00EA6E4C">
          <w:rPr>
            <w:noProof/>
          </w:rPr>
          <w:instrText>7</w:instrText>
        </w:r>
      </w:fldSimple>
      <w:r w:rsidRPr="006F0F88">
        <w:instrText xml:space="preserve">." </w:instrText>
      </w:r>
      <w:r w:rsidRPr="006F0F88">
        <w:fldChar w:fldCharType="separate"/>
      </w:r>
      <w:r w:rsidR="00EA6E4C">
        <w:rPr>
          <w:noProof/>
        </w:rPr>
        <w:instrText>7</w:instrText>
      </w:r>
      <w:r w:rsidR="00EA6E4C"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7</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EA6E4C">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A6E4C">
          <w:rPr>
            <w:noProof/>
          </w:rPr>
          <w:instrText>7</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EA6E4C">
        <w:rPr>
          <w:noProof/>
        </w:rPr>
        <w:instrText>17</w:instrText>
      </w:r>
      <w:r w:rsidRPr="006F0F88">
        <w:fldChar w:fldCharType="end"/>
      </w:r>
      <w:r w:rsidRPr="006F0F88">
        <w:instrText xml:space="preserve">" "" </w:instrText>
      </w:r>
      <w:r w:rsidRPr="006F0F88">
        <w:fldChar w:fldCharType="separate"/>
      </w:r>
      <w:bookmarkStart w:id="4255" w:name="_Caption8353"/>
      <w:bookmarkStart w:id="4256" w:name="_Caption8881"/>
      <w:bookmarkStart w:id="4257" w:name="_Caption8668"/>
      <w:bookmarkStart w:id="4258" w:name="_Caption5027"/>
      <w:bookmarkStart w:id="4259" w:name="_Caption4443"/>
      <w:bookmarkStart w:id="4260" w:name="_Caption8906"/>
      <w:bookmarkStart w:id="4261" w:name="_Caption0843"/>
      <w:bookmarkStart w:id="4262" w:name="_Caption7909"/>
      <w:bookmarkStart w:id="4263" w:name="_Caption6954"/>
      <w:bookmarkStart w:id="4264" w:name="_Caption5918"/>
      <w:bookmarkStart w:id="4265" w:name="_Caption9286"/>
      <w:bookmarkStart w:id="4266" w:name="_Caption6972"/>
      <w:bookmarkStart w:id="4267" w:name="_Caption1232"/>
      <w:bookmarkStart w:id="4268" w:name="_Caption4892"/>
      <w:bookmarkStart w:id="4269" w:name="_Caption3349"/>
      <w:bookmarkStart w:id="4270" w:name="_Caption7682"/>
      <w:bookmarkStart w:id="4271" w:name="_Caption3491"/>
      <w:bookmarkStart w:id="4272" w:name="_Caption5119"/>
      <w:bookmarkStart w:id="4273" w:name="_Caption0210"/>
      <w:bookmarkStart w:id="4274" w:name="_Caption6947"/>
      <w:bookmarkStart w:id="4275" w:name="_Caption0642"/>
      <w:bookmarkStart w:id="4276" w:name="_Caption6662"/>
      <w:bookmarkStart w:id="4277" w:name="_Caption9529"/>
      <w:bookmarkStart w:id="4278" w:name="_Caption4511"/>
      <w:bookmarkStart w:id="4279" w:name="_Caption8917"/>
      <w:bookmarkStart w:id="4280" w:name="_Caption4684"/>
      <w:bookmarkStart w:id="4281" w:name="_Caption1056"/>
      <w:bookmarkStart w:id="4282" w:name="_Caption6918"/>
      <w:bookmarkStart w:id="4283" w:name="_Caption3328"/>
      <w:bookmarkStart w:id="4284" w:name="_Caption3620"/>
      <w:bookmarkStart w:id="4285" w:name="_Caption2318"/>
      <w:bookmarkStart w:id="4286" w:name="_Caption7015"/>
      <w:bookmarkStart w:id="4287" w:name="_Caption3448"/>
      <w:bookmarkStart w:id="4288" w:name="_Caption0542"/>
      <w:bookmarkStart w:id="4289" w:name="_Caption4590"/>
      <w:bookmarkStart w:id="4290" w:name="_Caption4344"/>
      <w:bookmarkStart w:id="4291" w:name="_Caption9900"/>
      <w:bookmarkStart w:id="4292" w:name="_Caption9904"/>
      <w:bookmarkStart w:id="4293" w:name="_Caption3217"/>
      <w:bookmarkStart w:id="4294" w:name="_Caption6342"/>
      <w:bookmarkStart w:id="4295" w:name="_Caption6322"/>
      <w:bookmarkStart w:id="4296" w:name="_Caption9233"/>
      <w:bookmarkStart w:id="4297" w:name="_Caption5624"/>
      <w:bookmarkStart w:id="4298" w:name="_Caption8259"/>
      <w:bookmarkStart w:id="4299" w:name="_Caption7512"/>
      <w:bookmarkStart w:id="4300" w:name="_Caption6005"/>
      <w:bookmarkStart w:id="4301" w:name="_Caption9962"/>
      <w:bookmarkStart w:id="4302" w:name="_Caption3215"/>
      <w:bookmarkStart w:id="4303" w:name="_Caption0911"/>
      <w:bookmarkStart w:id="4304" w:name="_Caption7322"/>
      <w:bookmarkStart w:id="4305" w:name="_Caption7994"/>
      <w:bookmarkStart w:id="4306" w:name="_Caption0354"/>
      <w:bookmarkStart w:id="4307" w:name="_Caption2467"/>
      <w:bookmarkStart w:id="4308" w:name="_Caption9551"/>
      <w:bookmarkStart w:id="4309" w:name="_Caption3075"/>
      <w:bookmarkStart w:id="4310" w:name="_Caption8597"/>
      <w:bookmarkStart w:id="4311" w:name="_Caption1157"/>
      <w:bookmarkStart w:id="4312" w:name="_Caption3979"/>
      <w:bookmarkStart w:id="4313" w:name="_Caption4794"/>
      <w:bookmarkStart w:id="4314" w:name="_Caption9630"/>
      <w:bookmarkStart w:id="4315" w:name="_Caption3501"/>
      <w:bookmarkStart w:id="4316" w:name="_Caption3289"/>
      <w:bookmarkStart w:id="4317" w:name="_Caption7354"/>
      <w:bookmarkStart w:id="4318" w:name="_Caption5294"/>
      <w:bookmarkStart w:id="4319" w:name="_Caption4804"/>
      <w:bookmarkStart w:id="4320" w:name="_Caption8605"/>
      <w:bookmarkStart w:id="4321" w:name="_Caption7004"/>
      <w:bookmarkStart w:id="4322" w:name="_Caption9374"/>
      <w:bookmarkStart w:id="4323" w:name="_Caption0563"/>
      <w:bookmarkStart w:id="4324" w:name="_Caption1675"/>
      <w:bookmarkStart w:id="4325" w:name="_Caption7446"/>
      <w:bookmarkStart w:id="4326" w:name="_Caption8067"/>
      <w:bookmarkStart w:id="4327" w:name="_Caption8600"/>
      <w:bookmarkStart w:id="4328" w:name="_Caption2369"/>
      <w:bookmarkStart w:id="4329" w:name="_Caption9569"/>
      <w:bookmarkStart w:id="4330" w:name="_Caption3669"/>
      <w:bookmarkStart w:id="4331" w:name="_Caption7948"/>
      <w:bookmarkStart w:id="4332" w:name="_Caption0169"/>
      <w:bookmarkStart w:id="4333" w:name="_Caption3530"/>
      <w:bookmarkStart w:id="4334" w:name="_Caption3253"/>
      <w:bookmarkStart w:id="4335" w:name="_Caption6835"/>
      <w:bookmarkStart w:id="4336" w:name="_Caption7715"/>
      <w:bookmarkStart w:id="4337" w:name="_Caption8410"/>
      <w:bookmarkStart w:id="4338" w:name="_Caption4614"/>
      <w:bookmarkStart w:id="4339" w:name="_Caption1200"/>
      <w:bookmarkStart w:id="4340" w:name="_Caption6359"/>
      <w:bookmarkStart w:id="4341" w:name="_Caption9663"/>
      <w:bookmarkStart w:id="4342" w:name="_Caption5064"/>
      <w:bookmarkStart w:id="4343" w:name="_Caption9844"/>
      <w:bookmarkStart w:id="4344" w:name="_Caption7295"/>
      <w:bookmarkStart w:id="4345" w:name="_Caption0627"/>
      <w:bookmarkStart w:id="4346" w:name="_Caption9324"/>
      <w:bookmarkStart w:id="4347" w:name="_Caption2162"/>
      <w:bookmarkStart w:id="4348" w:name="_Caption8495"/>
      <w:bookmarkStart w:id="4349" w:name="_Caption6001"/>
      <w:bookmarkStart w:id="4350" w:name="_Caption5397"/>
      <w:bookmarkStart w:id="4351" w:name="_Caption2556"/>
      <w:bookmarkStart w:id="4352" w:name="_Caption1150"/>
      <w:bookmarkStart w:id="4353" w:name="_Caption5235"/>
      <w:bookmarkStart w:id="4354" w:name="_Caption1566"/>
      <w:bookmarkStart w:id="4355" w:name="_Caption2953"/>
      <w:bookmarkStart w:id="4356" w:name="_Caption5865"/>
      <w:bookmarkStart w:id="4357" w:name="_Caption1585"/>
      <w:bookmarkStart w:id="4358" w:name="_Caption2723"/>
      <w:bookmarkStart w:id="4359" w:name="_Caption5584"/>
      <w:bookmarkStart w:id="4360" w:name="_Caption8673"/>
      <w:bookmarkStart w:id="4361" w:name="_Caption7152"/>
      <w:bookmarkStart w:id="4362" w:name="_Caption3962"/>
      <w:bookmarkStart w:id="4363" w:name="_Toc177735183"/>
      <w:bookmarkStart w:id="4364" w:name="_Toc178292616"/>
      <w:r w:rsidR="008C60A3">
        <w:rPr>
          <w:noProof/>
        </w:rPr>
        <w:t>7</w:t>
      </w:r>
      <w:r w:rsidR="008C60A3" w:rsidRPr="006F0F88">
        <w:rPr>
          <w:noProof/>
        </w:rPr>
        <w:t>.</w:t>
      </w:r>
      <w:r w:rsidR="008C60A3">
        <w:rPr>
          <w:noProof/>
        </w:rPr>
        <w:t>17</w:t>
      </w:r>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r w:rsidRPr="006F0F88">
        <w:fldChar w:fldCharType="end"/>
      </w:r>
      <w:r w:rsidRPr="006F0F88">
        <w:tab/>
        <w:t>No voluntary uptake of rooftop solar in base case — summary</w:t>
      </w:r>
      <w:bookmarkEnd w:id="4363"/>
      <w:bookmarkEnd w:id="4364"/>
    </w:p>
    <w:tbl>
      <w:tblPr>
        <w:tblW w:w="0" w:type="auto"/>
        <w:tblLayout w:type="fixed"/>
        <w:tblLook w:val="0000" w:firstRow="0" w:lastRow="0" w:firstColumn="0" w:lastColumn="0" w:noHBand="0" w:noVBand="0"/>
        <w:tblCaption w:val="Table 6.13 - No voluntary uptake of rooftop solar in base case — summary"/>
      </w:tblPr>
      <w:tblGrid>
        <w:gridCol w:w="4148"/>
        <w:gridCol w:w="1263"/>
        <w:gridCol w:w="1263"/>
        <w:gridCol w:w="1263"/>
      </w:tblGrid>
      <w:tr w:rsidR="006568C5" w14:paraId="23C51E06" w14:textId="77777777">
        <w:trPr>
          <w:trHeight w:val="245"/>
          <w:tblHeader/>
        </w:trPr>
        <w:tc>
          <w:tcPr>
            <w:tcW w:w="4148" w:type="dxa"/>
            <w:shd w:val="clear" w:color="auto" w:fill="6F6652"/>
            <w:tcMar>
              <w:left w:w="57" w:type="dxa"/>
              <w:right w:w="57" w:type="dxa"/>
            </w:tcMar>
          </w:tcPr>
          <w:p w14:paraId="42EE59D3" w14:textId="77777777" w:rsidR="006568C5" w:rsidRDefault="006568C5">
            <w:pPr>
              <w:pStyle w:val="TableDataColumnHeading"/>
              <w:jc w:val="left"/>
            </w:pPr>
            <w:r>
              <w:t>Impact</w:t>
            </w:r>
          </w:p>
        </w:tc>
        <w:tc>
          <w:tcPr>
            <w:tcW w:w="1263" w:type="dxa"/>
            <w:shd w:val="clear" w:color="auto" w:fill="6F6652"/>
            <w:tcMar>
              <w:left w:w="57" w:type="dxa"/>
              <w:right w:w="57" w:type="dxa"/>
            </w:tcMar>
          </w:tcPr>
          <w:p w14:paraId="4CF8C300" w14:textId="77777777" w:rsidR="006568C5" w:rsidRDefault="006568C5">
            <w:pPr>
              <w:pStyle w:val="TableDataColumnHeading"/>
            </w:pPr>
            <w:r>
              <w:t>Stringency Level 1</w:t>
            </w:r>
          </w:p>
          <w:p w14:paraId="7E5DBE8C" w14:textId="77777777" w:rsidR="006568C5" w:rsidRDefault="006568C5">
            <w:pPr>
              <w:pStyle w:val="TableDataColumnHeading"/>
            </w:pPr>
            <w:r>
              <w:t>$ million</w:t>
            </w:r>
          </w:p>
        </w:tc>
        <w:tc>
          <w:tcPr>
            <w:tcW w:w="1263" w:type="dxa"/>
            <w:shd w:val="clear" w:color="auto" w:fill="6F6652"/>
            <w:tcMar>
              <w:left w:w="57" w:type="dxa"/>
              <w:right w:w="57" w:type="dxa"/>
            </w:tcMar>
          </w:tcPr>
          <w:p w14:paraId="6D64021C" w14:textId="77777777" w:rsidR="006568C5" w:rsidRDefault="006568C5">
            <w:pPr>
              <w:pStyle w:val="TableDataColumnHeading"/>
            </w:pPr>
            <w:r>
              <w:t>Stringency Level 2</w:t>
            </w:r>
          </w:p>
          <w:p w14:paraId="30B1D2C0" w14:textId="77777777" w:rsidR="006568C5" w:rsidRDefault="006568C5">
            <w:pPr>
              <w:pStyle w:val="TableDataColumnHeading"/>
            </w:pPr>
            <w:r>
              <w:t>$ million</w:t>
            </w:r>
          </w:p>
        </w:tc>
        <w:tc>
          <w:tcPr>
            <w:tcW w:w="1263" w:type="dxa"/>
            <w:shd w:val="clear" w:color="auto" w:fill="6F6652"/>
            <w:tcMar>
              <w:left w:w="57" w:type="dxa"/>
              <w:right w:w="57" w:type="dxa"/>
            </w:tcMar>
          </w:tcPr>
          <w:p w14:paraId="30EEDCDA" w14:textId="77777777" w:rsidR="006568C5" w:rsidRDefault="006568C5">
            <w:pPr>
              <w:pStyle w:val="TableDataColumnHeading"/>
            </w:pPr>
            <w:r>
              <w:t>Stringency Level 3</w:t>
            </w:r>
          </w:p>
          <w:p w14:paraId="569B6D83" w14:textId="77777777" w:rsidR="006568C5" w:rsidRDefault="006568C5">
            <w:pPr>
              <w:pStyle w:val="TableDataColumnHeading"/>
            </w:pPr>
            <w:r>
              <w:t>$ million</w:t>
            </w:r>
          </w:p>
        </w:tc>
      </w:tr>
      <w:tr w:rsidR="00FA2217" w14:paraId="39B61ADE"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1D8114" w14:textId="77777777" w:rsidR="00FA2217" w:rsidRDefault="00FA2217" w:rsidP="00FA2217">
            <w:pPr>
              <w:pStyle w:val="TableDataEntries"/>
              <w:jc w:val="left"/>
            </w:pPr>
            <w:r>
              <w:t>Avoided network capacity costs</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2EDBF3E" w14:textId="44A39E7F" w:rsidR="00FA2217" w:rsidRPr="00FA2217" w:rsidRDefault="00FA2217" w:rsidP="00FA2217">
            <w:pPr>
              <w:pStyle w:val="TableDataEntries"/>
            </w:pPr>
            <w:r w:rsidRPr="00FA2217">
              <w:t xml:space="preserve"> 981.64</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5CEABB4" w14:textId="43331487" w:rsidR="00FA2217" w:rsidRPr="00FA2217" w:rsidRDefault="00FA2217" w:rsidP="00FA2217">
            <w:pPr>
              <w:pStyle w:val="TableDataEntries"/>
            </w:pPr>
            <w:r w:rsidRPr="00FA2217">
              <w:t>2 536.70</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49DEDBD" w14:textId="432971DC" w:rsidR="00FA2217" w:rsidRPr="00FA2217" w:rsidRDefault="00FA2217" w:rsidP="00FA2217">
            <w:pPr>
              <w:pStyle w:val="TableDataEntries"/>
            </w:pPr>
            <w:r w:rsidRPr="00FA2217">
              <w:t>2 408.46</w:t>
            </w:r>
          </w:p>
        </w:tc>
      </w:tr>
      <w:tr w:rsidR="00FA2217" w14:paraId="77DC769C"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317AC3" w14:textId="77777777" w:rsidR="00FA2217" w:rsidRDefault="00FA2217" w:rsidP="00FA2217">
            <w:pPr>
              <w:pStyle w:val="TableDataEntries"/>
              <w:jc w:val="left"/>
            </w:pPr>
            <w:r>
              <w:t>Avoided wholesale costs</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73F4295" w14:textId="6CE81832" w:rsidR="00FA2217" w:rsidRPr="00FA2217" w:rsidRDefault="00FA2217" w:rsidP="00FA2217">
            <w:pPr>
              <w:pStyle w:val="TableDataEntries"/>
            </w:pPr>
            <w:r w:rsidRPr="00FA2217">
              <w:t>1 918.53</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0EA53BA" w14:textId="3F02D39B" w:rsidR="00FA2217" w:rsidRPr="00FA2217" w:rsidRDefault="00FA2217" w:rsidP="00FA2217">
            <w:pPr>
              <w:pStyle w:val="TableDataEntries"/>
            </w:pPr>
            <w:r w:rsidRPr="00FA2217">
              <w:t>5 385.65</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89ADB50" w14:textId="4B97EFD5" w:rsidR="00FA2217" w:rsidRPr="00FA2217" w:rsidRDefault="00FA2217" w:rsidP="00FA2217">
            <w:pPr>
              <w:pStyle w:val="TableDataEntries"/>
            </w:pPr>
            <w:r w:rsidRPr="00FA2217">
              <w:t>5 030.05</w:t>
            </w:r>
          </w:p>
        </w:tc>
      </w:tr>
      <w:tr w:rsidR="00FA2217" w14:paraId="2D9E8833"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FBF23C0" w14:textId="77777777" w:rsidR="00FA2217" w:rsidRDefault="00FA2217" w:rsidP="00FA2217">
            <w:pPr>
              <w:pStyle w:val="TableDataEntries"/>
              <w:jc w:val="left"/>
            </w:pPr>
            <w:r>
              <w:t>Avoided network usage costs</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2CB57F0" w14:textId="78797550" w:rsidR="00FA2217" w:rsidRPr="00FA2217" w:rsidRDefault="00FA2217" w:rsidP="00FA2217">
            <w:pPr>
              <w:pStyle w:val="TableDataEntries"/>
            </w:pPr>
            <w:r w:rsidRPr="00FA2217">
              <w:t>1 896.37</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DF96E34" w14:textId="336BCB6C" w:rsidR="00FA2217" w:rsidRPr="00FA2217" w:rsidRDefault="00FA2217" w:rsidP="00FA2217">
            <w:pPr>
              <w:pStyle w:val="TableDataEntries"/>
            </w:pPr>
            <w:r w:rsidRPr="00FA2217">
              <w:t>6 321.43</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5057677" w14:textId="2E05EBFB" w:rsidR="00FA2217" w:rsidRPr="00FA2217" w:rsidRDefault="00FA2217" w:rsidP="00FA2217">
            <w:pPr>
              <w:pStyle w:val="TableDataEntries"/>
            </w:pPr>
            <w:r w:rsidRPr="00FA2217">
              <w:t>6 066.64</w:t>
            </w:r>
          </w:p>
        </w:tc>
      </w:tr>
      <w:tr w:rsidR="00FA2217" w14:paraId="1B02C9C1"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DBE59E" w14:textId="77777777" w:rsidR="00FA2217" w:rsidRDefault="00FA2217" w:rsidP="00FA2217">
            <w:pPr>
              <w:pStyle w:val="TableDataEntries"/>
              <w:jc w:val="left"/>
            </w:pPr>
            <w:r>
              <w:t>Avoided retail costs</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004B71D" w14:textId="4D5FF650" w:rsidR="00FA2217" w:rsidRPr="00FA2217" w:rsidRDefault="00FA2217" w:rsidP="00FA2217">
            <w:pPr>
              <w:pStyle w:val="TableDataEntries"/>
            </w:pPr>
            <w:r w:rsidRPr="00FA2217">
              <w:t xml:space="preserve"> 719.48</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FF1AFC5" w14:textId="45A776D3" w:rsidR="00FA2217" w:rsidRPr="00FA2217" w:rsidRDefault="00FA2217" w:rsidP="00FA2217">
            <w:pPr>
              <w:pStyle w:val="TableDataEntries"/>
            </w:pPr>
            <w:r w:rsidRPr="00FA2217">
              <w:t>2 136.57</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5F10968" w14:textId="6ED3C6E9" w:rsidR="00FA2217" w:rsidRPr="00FA2217" w:rsidRDefault="00FA2217" w:rsidP="00FA2217">
            <w:pPr>
              <w:pStyle w:val="TableDataEntries"/>
            </w:pPr>
            <w:r w:rsidRPr="00FA2217">
              <w:t>2 025.77</w:t>
            </w:r>
          </w:p>
        </w:tc>
      </w:tr>
      <w:tr w:rsidR="00FA2217" w14:paraId="3F39A3E5"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02A4F6" w14:textId="77777777" w:rsidR="00FA2217" w:rsidRDefault="00FA2217" w:rsidP="00FA2217">
            <w:pPr>
              <w:pStyle w:val="TableDataEntries"/>
              <w:jc w:val="left"/>
            </w:pPr>
            <w:r>
              <w:t>Electricity exported to grid</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17F65E1" w14:textId="2EBD5A7A" w:rsidR="00FA2217" w:rsidRPr="00FA2217" w:rsidRDefault="00FA2217" w:rsidP="00FA2217">
            <w:pPr>
              <w:pStyle w:val="TableDataEntries"/>
            </w:pPr>
            <w:r w:rsidRPr="00FA2217">
              <w:t xml:space="preserve"> 0.00</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F7453E2" w14:textId="38D99713" w:rsidR="00FA2217" w:rsidRPr="00FA2217" w:rsidRDefault="00FA2217" w:rsidP="00FA2217">
            <w:pPr>
              <w:pStyle w:val="TableDataEntries"/>
            </w:pPr>
            <w:r w:rsidRPr="00FA2217">
              <w:t xml:space="preserve"> 640.53</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CC2FB90" w14:textId="351CDDE0" w:rsidR="00FA2217" w:rsidRPr="00FA2217" w:rsidRDefault="00FA2217" w:rsidP="00FA2217">
            <w:pPr>
              <w:pStyle w:val="TableDataEntries"/>
            </w:pPr>
            <w:r w:rsidRPr="00FA2217">
              <w:t xml:space="preserve"> 640.57</w:t>
            </w:r>
          </w:p>
        </w:tc>
      </w:tr>
      <w:tr w:rsidR="00FA2217" w14:paraId="60909BB0"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516734" w14:textId="77777777" w:rsidR="00FA2217" w:rsidRDefault="00FA2217" w:rsidP="00FA2217">
            <w:pPr>
              <w:pStyle w:val="TableDataEntries"/>
              <w:jc w:val="left"/>
            </w:pPr>
            <w:r>
              <w:t>Electricity exports — network costs</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AF0F5A7" w14:textId="45898970" w:rsidR="00FA2217" w:rsidRPr="00FA2217" w:rsidRDefault="00FA2217" w:rsidP="00FA2217">
            <w:pPr>
              <w:pStyle w:val="TableDataEntries"/>
            </w:pPr>
            <w:r w:rsidRPr="00FA2217">
              <w:t xml:space="preserve"> 0.00</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90CF79D" w14:textId="323578B2" w:rsidR="00FA2217" w:rsidRPr="00FA2217" w:rsidRDefault="00FA2217" w:rsidP="00FA2217">
            <w:pPr>
              <w:pStyle w:val="TableDataEntries"/>
            </w:pPr>
            <w:r w:rsidRPr="00FA2217">
              <w:t>- 89.75</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18403C0" w14:textId="4063D588" w:rsidR="00FA2217" w:rsidRPr="00FA2217" w:rsidRDefault="00FA2217" w:rsidP="00FA2217">
            <w:pPr>
              <w:pStyle w:val="TableDataEntries"/>
            </w:pPr>
            <w:r w:rsidRPr="00FA2217">
              <w:t>- 89.77</w:t>
            </w:r>
          </w:p>
        </w:tc>
      </w:tr>
      <w:tr w:rsidR="00FA2217" w14:paraId="73A60F62"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B19EF5" w14:textId="77777777" w:rsidR="00FA2217" w:rsidRDefault="00FA2217" w:rsidP="00FA2217">
            <w:pPr>
              <w:pStyle w:val="TableDataEntries"/>
              <w:jc w:val="left"/>
            </w:pPr>
            <w:r>
              <w:t>Avoided gas costs</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72BE5B0" w14:textId="12CA4BD9" w:rsidR="00FA2217" w:rsidRPr="00FA2217" w:rsidRDefault="00FA2217" w:rsidP="00FA2217">
            <w:pPr>
              <w:pStyle w:val="TableDataEntries"/>
            </w:pPr>
            <w:r w:rsidRPr="00FA2217">
              <w:t>- 28.66</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A174BC2" w14:textId="3E801517" w:rsidR="00FA2217" w:rsidRPr="00FA2217" w:rsidRDefault="00FA2217" w:rsidP="00FA2217">
            <w:pPr>
              <w:pStyle w:val="TableDataEntries"/>
            </w:pPr>
            <w:r w:rsidRPr="00FA2217">
              <w:t>- 28.66</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AC21B82" w14:textId="26AA3C3D" w:rsidR="00FA2217" w:rsidRPr="00FA2217" w:rsidRDefault="00FA2217" w:rsidP="00FA2217">
            <w:pPr>
              <w:pStyle w:val="TableDataEntries"/>
            </w:pPr>
            <w:r w:rsidRPr="00FA2217">
              <w:t xml:space="preserve"> 432.08</w:t>
            </w:r>
          </w:p>
        </w:tc>
      </w:tr>
      <w:tr w:rsidR="00FA2217" w14:paraId="3D8E52F9"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4A9158B" w14:textId="77777777" w:rsidR="00FA2217" w:rsidRDefault="00FA2217" w:rsidP="00FA2217">
            <w:pPr>
              <w:pStyle w:val="TableDataEntries"/>
              <w:jc w:val="left"/>
            </w:pPr>
            <w:r>
              <w:t>Avoided GHG emissions – electricity</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5AC418D" w14:textId="7E88EF29" w:rsidR="00FA2217" w:rsidRPr="00FA2217" w:rsidRDefault="00FA2217" w:rsidP="00FA2217">
            <w:pPr>
              <w:pStyle w:val="TableDataEntries"/>
            </w:pPr>
            <w:r w:rsidRPr="00FA2217">
              <w:t>1 320.07</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C5B7FB5" w14:textId="080FD026" w:rsidR="00FA2217" w:rsidRPr="00FA2217" w:rsidRDefault="00FA2217" w:rsidP="00FA2217">
            <w:pPr>
              <w:pStyle w:val="TableDataEntries"/>
            </w:pPr>
            <w:r w:rsidRPr="00FA2217">
              <w:t>4 015.41</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D3F3984" w14:textId="5BBEC856" w:rsidR="00FA2217" w:rsidRPr="00FA2217" w:rsidRDefault="00FA2217" w:rsidP="00FA2217">
            <w:pPr>
              <w:pStyle w:val="TableDataEntries"/>
            </w:pPr>
            <w:r w:rsidRPr="00FA2217">
              <w:t>3 869.54</w:t>
            </w:r>
          </w:p>
        </w:tc>
      </w:tr>
      <w:tr w:rsidR="00FA2217" w14:paraId="7E7A1A35"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811E204" w14:textId="77777777" w:rsidR="00FA2217" w:rsidRDefault="00FA2217" w:rsidP="00FA2217">
            <w:pPr>
              <w:pStyle w:val="TableDataEntries"/>
              <w:jc w:val="left"/>
            </w:pPr>
            <w:r>
              <w:t>Avoided GHG emissions – exported electricity</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11878D7" w14:textId="631263F5" w:rsidR="00FA2217" w:rsidRPr="00FA2217" w:rsidRDefault="00FA2217" w:rsidP="00FA2217">
            <w:pPr>
              <w:pStyle w:val="TableDataEntries"/>
            </w:pPr>
            <w:r w:rsidRPr="00FA2217">
              <w:t xml:space="preserve"> 0.00</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2E08B3A" w14:textId="15B2A5FE" w:rsidR="00FA2217" w:rsidRPr="00FA2217" w:rsidRDefault="00FA2217" w:rsidP="00FA2217">
            <w:pPr>
              <w:pStyle w:val="TableDataEntries"/>
            </w:pPr>
            <w:r w:rsidRPr="00FA2217">
              <w:t xml:space="preserve"> 959.49</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B49EF9D" w14:textId="0CB26629" w:rsidR="00FA2217" w:rsidRPr="00FA2217" w:rsidRDefault="00FA2217" w:rsidP="00FA2217">
            <w:pPr>
              <w:pStyle w:val="TableDataEntries"/>
            </w:pPr>
            <w:r w:rsidRPr="00FA2217">
              <w:t xml:space="preserve"> 959.59</w:t>
            </w:r>
          </w:p>
        </w:tc>
      </w:tr>
      <w:tr w:rsidR="00FA2217" w14:paraId="39AC2007"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D4C6658" w14:textId="77777777" w:rsidR="00FA2217" w:rsidRDefault="00FA2217" w:rsidP="00FA2217">
            <w:pPr>
              <w:pStyle w:val="TableDataEntries"/>
              <w:jc w:val="left"/>
            </w:pPr>
            <w:r>
              <w:t>Avoided GHG emissions – gas</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6FEFC3B" w14:textId="03D6CE07" w:rsidR="00FA2217" w:rsidRPr="00FA2217" w:rsidRDefault="00FA2217" w:rsidP="00FA2217">
            <w:pPr>
              <w:pStyle w:val="TableDataEntries"/>
            </w:pPr>
            <w:r w:rsidRPr="00FA2217">
              <w:t>- 56.11</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F1F6176" w14:textId="432F17BD" w:rsidR="00FA2217" w:rsidRPr="00FA2217" w:rsidRDefault="00FA2217" w:rsidP="00FA2217">
            <w:pPr>
              <w:pStyle w:val="TableDataEntries"/>
            </w:pPr>
            <w:r w:rsidRPr="00FA2217">
              <w:t>- 56.11</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1EAD9A3" w14:textId="4071C39D" w:rsidR="00FA2217" w:rsidRPr="00FA2217" w:rsidRDefault="00FA2217" w:rsidP="00FA2217">
            <w:pPr>
              <w:pStyle w:val="TableDataEntries"/>
            </w:pPr>
            <w:r w:rsidRPr="00FA2217">
              <w:t xml:space="preserve"> 865.82</w:t>
            </w:r>
          </w:p>
        </w:tc>
      </w:tr>
      <w:tr w:rsidR="00FA2217" w14:paraId="42FC1002"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B556FE8" w14:textId="77777777" w:rsidR="00FA2217" w:rsidRDefault="00FA2217" w:rsidP="00FA2217">
            <w:pPr>
              <w:pStyle w:val="TableDataEntries"/>
              <w:jc w:val="left"/>
            </w:pPr>
            <w:r>
              <w:t>Capital costs</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7B2D612" w14:textId="729AB63D" w:rsidR="00FA2217" w:rsidRPr="00FA2217" w:rsidRDefault="00FA2217" w:rsidP="00FA2217">
            <w:pPr>
              <w:pStyle w:val="TableDataEntries"/>
            </w:pPr>
            <w:r w:rsidRPr="00FA2217">
              <w:t xml:space="preserve"> 341.68</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2CB529E" w14:textId="38074A89" w:rsidR="00FA2217" w:rsidRPr="00FA2217" w:rsidRDefault="00FA2217" w:rsidP="00FA2217">
            <w:pPr>
              <w:pStyle w:val="TableDataEntries"/>
            </w:pPr>
            <w:r w:rsidRPr="00FA2217">
              <w:t>-6 816.24</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D2D6EB0" w14:textId="7DE641C8" w:rsidR="00FA2217" w:rsidRPr="00FA2217" w:rsidRDefault="00FA2217" w:rsidP="00FA2217">
            <w:pPr>
              <w:pStyle w:val="TableDataEntries"/>
            </w:pPr>
            <w:r w:rsidRPr="00FA2217">
              <w:t>-7 876.11</w:t>
            </w:r>
          </w:p>
        </w:tc>
      </w:tr>
      <w:tr w:rsidR="00FA2217" w:rsidRPr="00FA2217" w14:paraId="2ACD8F5F" w14:textId="77777777">
        <w:trPr>
          <w:trHeight w:val="245"/>
        </w:trPr>
        <w:tc>
          <w:tcPr>
            <w:tcW w:w="4148"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AFEEDCC" w14:textId="77777777" w:rsidR="00FA2217" w:rsidRPr="00FA2217" w:rsidRDefault="00FA2217" w:rsidP="00FA2217">
            <w:pPr>
              <w:pStyle w:val="TableDataEntries"/>
              <w:jc w:val="left"/>
              <w:rPr>
                <w:rFonts w:ascii="Franklin Gothic Demi" w:hAnsi="Franklin Gothic Demi"/>
              </w:rPr>
            </w:pPr>
            <w:r w:rsidRPr="00FA2217">
              <w:rPr>
                <w:rFonts w:ascii="Franklin Gothic Demi" w:hAnsi="Franklin Gothic Demi"/>
              </w:rPr>
              <w:t>Total building energy impacts</w:t>
            </w:r>
          </w:p>
        </w:tc>
        <w:tc>
          <w:tcPr>
            <w:tcW w:w="1263"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00F5997C" w14:textId="330C3753" w:rsidR="00FA2217" w:rsidRPr="00FA2217" w:rsidRDefault="00FA2217" w:rsidP="00FA2217">
            <w:pPr>
              <w:pStyle w:val="TableDataEntries"/>
              <w:rPr>
                <w:rFonts w:ascii="Franklin Gothic Demi" w:hAnsi="Franklin Gothic Demi"/>
              </w:rPr>
            </w:pPr>
            <w:r w:rsidRPr="00FA2217">
              <w:rPr>
                <w:rFonts w:ascii="Franklin Gothic Demi" w:hAnsi="Franklin Gothic Demi"/>
              </w:rPr>
              <w:t>7 092.99</w:t>
            </w:r>
          </w:p>
        </w:tc>
        <w:tc>
          <w:tcPr>
            <w:tcW w:w="1263"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690DCC83" w14:textId="5650B71C" w:rsidR="00FA2217" w:rsidRPr="00FA2217" w:rsidRDefault="00FA2217" w:rsidP="00FA2217">
            <w:pPr>
              <w:pStyle w:val="TableDataEntries"/>
              <w:rPr>
                <w:rFonts w:ascii="Franklin Gothic Demi" w:hAnsi="Franklin Gothic Demi"/>
              </w:rPr>
            </w:pPr>
            <w:r w:rsidRPr="00FA2217">
              <w:rPr>
                <w:rFonts w:ascii="Franklin Gothic Demi" w:hAnsi="Franklin Gothic Demi"/>
              </w:rPr>
              <w:t>15 005.02</w:t>
            </w:r>
          </w:p>
        </w:tc>
        <w:tc>
          <w:tcPr>
            <w:tcW w:w="1263"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516BACB5" w14:textId="5D42129B" w:rsidR="00FA2217" w:rsidRPr="00FA2217" w:rsidRDefault="00FA2217" w:rsidP="00FA2217">
            <w:pPr>
              <w:pStyle w:val="TableDataEntries"/>
              <w:rPr>
                <w:rFonts w:ascii="Franklin Gothic Demi" w:hAnsi="Franklin Gothic Demi"/>
              </w:rPr>
            </w:pPr>
            <w:r w:rsidRPr="00FA2217">
              <w:rPr>
                <w:rFonts w:ascii="Franklin Gothic Demi" w:hAnsi="Franklin Gothic Demi"/>
              </w:rPr>
              <w:t>14 332.65</w:t>
            </w:r>
          </w:p>
        </w:tc>
      </w:tr>
    </w:tbl>
    <w:p w14:paraId="2B01ED67" w14:textId="77777777" w:rsidR="006568C5" w:rsidRDefault="006568C5" w:rsidP="006568C5">
      <w:pPr>
        <w:pStyle w:val="Note"/>
      </w:pPr>
      <w:r w:rsidRPr="007D1B4F">
        <w:rPr>
          <w:i/>
        </w:rPr>
        <w:t>Note:</w:t>
      </w:r>
      <w:r w:rsidRPr="00E879B8">
        <w:t xml:space="preserve"> </w:t>
      </w:r>
      <w:r>
        <w:t>Estimates presented in net present value terms over an assumed 50-year life of all buildings constructed over the 10 year period from 2025 to 2034, using a discount rate of 5 per cent.</w:t>
      </w:r>
    </w:p>
    <w:p w14:paraId="03FD639C" w14:textId="77777777" w:rsidR="006568C5" w:rsidRDefault="006568C5" w:rsidP="006568C5">
      <w:pPr>
        <w:pStyle w:val="Source"/>
      </w:pPr>
      <w:r>
        <w:rPr>
          <w:i/>
        </w:rPr>
        <w:t>Source</w:t>
      </w:r>
      <w:r w:rsidRPr="00E4232C">
        <w:rPr>
          <w:i/>
        </w:rPr>
        <w:t>:</w:t>
      </w:r>
      <w:r>
        <w:t xml:space="preserve"> CIE based on DeltaQ modelling.</w:t>
      </w:r>
    </w:p>
    <w:p w14:paraId="2AE30D52" w14:textId="77777777" w:rsidR="006568C5" w:rsidRDefault="006568C5" w:rsidP="006568C5">
      <w:pPr>
        <w:pStyle w:val="Heading3"/>
        <w:rPr>
          <w:lang w:eastAsia="en-US"/>
        </w:rPr>
      </w:pPr>
      <w:r>
        <w:rPr>
          <w:lang w:eastAsia="en-US"/>
        </w:rPr>
        <w:t>Alternative glazing cost estimates</w:t>
      </w:r>
    </w:p>
    <w:p w14:paraId="6382DEB9" w14:textId="77777777" w:rsidR="006568C5" w:rsidRDefault="006568C5" w:rsidP="006568C5">
      <w:pPr>
        <w:pStyle w:val="BodyText"/>
        <w:rPr>
          <w:lang w:eastAsia="en-US"/>
        </w:rPr>
      </w:pPr>
      <w:r>
        <w:rPr>
          <w:lang w:eastAsia="en-US"/>
        </w:rPr>
        <w:t>DeltaQ’s modelling suggests that it is possible to reduce the cost of glazing (relative to the base case), while also improving energy performance (through lower SHGC). However, glazing with lower SHGC is generally (i.e. on average) more expensive.</w:t>
      </w:r>
    </w:p>
    <w:p w14:paraId="2EA75A8A" w14:textId="670E517B" w:rsidR="006568C5" w:rsidRDefault="006568C5" w:rsidP="006568C5">
      <w:pPr>
        <w:pStyle w:val="BodyText"/>
        <w:rPr>
          <w:lang w:eastAsia="en-US"/>
        </w:rPr>
      </w:pPr>
      <w:r>
        <w:rPr>
          <w:lang w:eastAsia="en-US"/>
        </w:rPr>
        <w:t>For each building archetype/climate zone, table </w:t>
      </w:r>
      <w:r>
        <w:rPr>
          <w:lang w:eastAsia="en-US"/>
        </w:rPr>
        <w:fldChar w:fldCharType="begin"/>
      </w:r>
      <w:r>
        <w:rPr>
          <w:lang w:eastAsia="en-US"/>
        </w:rPr>
        <w:instrText xml:space="preserve"> REF _Caption8069 </w:instrText>
      </w:r>
      <w:r>
        <w:rPr>
          <w:lang w:eastAsia="en-US"/>
        </w:rPr>
        <w:fldChar w:fldCharType="separate"/>
      </w:r>
      <w:r w:rsidR="006E00A7">
        <w:rPr>
          <w:noProof/>
        </w:rPr>
        <w:t>7</w:t>
      </w:r>
      <w:r w:rsidR="006E00A7" w:rsidRPr="006F0F88">
        <w:rPr>
          <w:noProof/>
        </w:rPr>
        <w:t>.</w:t>
      </w:r>
      <w:r w:rsidR="006E00A7">
        <w:rPr>
          <w:noProof/>
        </w:rPr>
        <w:t>18</w:t>
      </w:r>
      <w:r>
        <w:rPr>
          <w:lang w:eastAsia="en-US"/>
        </w:rPr>
        <w:fldChar w:fldCharType="end"/>
      </w:r>
      <w:r>
        <w:rPr>
          <w:lang w:eastAsia="en-US"/>
        </w:rPr>
        <w:t xml:space="preserve"> compares DeltaQ’s estimates of the change in glazing costs, compared to an alternative approach based on the average relationship between price and SHGC. In general, the alternative approach leads to significantly higher glazing costs compared with DeltaQ’s estimates.</w:t>
      </w:r>
    </w:p>
    <w:p w14:paraId="65493938" w14:textId="42BF9EAA" w:rsidR="006568C5" w:rsidRPr="006F0F88" w:rsidRDefault="006568C5" w:rsidP="006568C5">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EA6E4C">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A6E4C">
          <w:rPr>
            <w:noProof/>
          </w:rPr>
          <w:instrText>7</w:instrText>
        </w:r>
      </w:fldSimple>
      <w:r w:rsidRPr="006F0F88">
        <w:instrText xml:space="preserve"> = 0 "" "</w:instrText>
      </w:r>
      <w:fldSimple w:instr=" STYLEREF &quot;Heading 1&quot; \l \n ">
        <w:r w:rsidR="00EA6E4C">
          <w:rPr>
            <w:noProof/>
          </w:rPr>
          <w:instrText>7</w:instrText>
        </w:r>
      </w:fldSimple>
      <w:r w:rsidRPr="006F0F88">
        <w:instrText xml:space="preserve">." </w:instrText>
      </w:r>
      <w:r w:rsidRPr="006F0F88">
        <w:fldChar w:fldCharType="separate"/>
      </w:r>
      <w:r w:rsidR="00EA6E4C">
        <w:rPr>
          <w:noProof/>
        </w:rPr>
        <w:instrText>7</w:instrText>
      </w:r>
      <w:r w:rsidR="00EA6E4C"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7</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EA6E4C">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A6E4C">
          <w:rPr>
            <w:noProof/>
          </w:rPr>
          <w:instrText>7</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EA6E4C">
        <w:rPr>
          <w:noProof/>
        </w:rPr>
        <w:instrText>18</w:instrText>
      </w:r>
      <w:r w:rsidRPr="006F0F88">
        <w:fldChar w:fldCharType="end"/>
      </w:r>
      <w:r w:rsidRPr="006F0F88">
        <w:instrText xml:space="preserve">" "" </w:instrText>
      </w:r>
      <w:r w:rsidRPr="006F0F88">
        <w:fldChar w:fldCharType="separate"/>
      </w:r>
      <w:bookmarkStart w:id="4365" w:name="_Caption7268"/>
      <w:bookmarkStart w:id="4366" w:name="_Caption5249"/>
      <w:bookmarkStart w:id="4367" w:name="_Caption3475"/>
      <w:bookmarkStart w:id="4368" w:name="_Caption5307"/>
      <w:bookmarkStart w:id="4369" w:name="_Caption5298"/>
      <w:bookmarkStart w:id="4370" w:name="_Caption4264"/>
      <w:bookmarkStart w:id="4371" w:name="_Caption3299"/>
      <w:bookmarkStart w:id="4372" w:name="_Caption6027"/>
      <w:bookmarkStart w:id="4373" w:name="_Caption2693"/>
      <w:bookmarkStart w:id="4374" w:name="_Caption3440"/>
      <w:bookmarkStart w:id="4375" w:name="_Caption8770"/>
      <w:bookmarkStart w:id="4376" w:name="_Caption1900"/>
      <w:bookmarkStart w:id="4377" w:name="_Caption9745"/>
      <w:bookmarkStart w:id="4378" w:name="_Caption7335"/>
      <w:bookmarkStart w:id="4379" w:name="_Caption8166"/>
      <w:bookmarkStart w:id="4380" w:name="_Caption2415"/>
      <w:bookmarkStart w:id="4381" w:name="_Caption9877"/>
      <w:bookmarkStart w:id="4382" w:name="_Caption9879"/>
      <w:bookmarkStart w:id="4383" w:name="_Caption3011"/>
      <w:bookmarkStart w:id="4384" w:name="_Caption8743"/>
      <w:bookmarkStart w:id="4385" w:name="_Caption0045"/>
      <w:bookmarkStart w:id="4386" w:name="_Caption4377"/>
      <w:bookmarkStart w:id="4387" w:name="_Caption6879"/>
      <w:bookmarkStart w:id="4388" w:name="_Caption8069"/>
      <w:bookmarkStart w:id="4389" w:name="_Caption6720"/>
      <w:bookmarkStart w:id="4390" w:name="_Caption0479"/>
      <w:bookmarkStart w:id="4391" w:name="_Caption5586"/>
      <w:bookmarkStart w:id="4392" w:name="_Caption9985"/>
      <w:bookmarkStart w:id="4393" w:name="_Caption9283"/>
      <w:bookmarkStart w:id="4394" w:name="_Caption2356"/>
      <w:bookmarkStart w:id="4395" w:name="_Caption0536"/>
      <w:bookmarkStart w:id="4396" w:name="_Caption6935"/>
      <w:bookmarkStart w:id="4397" w:name="_Caption0589"/>
      <w:bookmarkStart w:id="4398" w:name="_Caption6156"/>
      <w:bookmarkStart w:id="4399" w:name="_Caption5437"/>
      <w:bookmarkStart w:id="4400" w:name="_Caption7145"/>
      <w:bookmarkStart w:id="4401" w:name="_Caption9095"/>
      <w:bookmarkStart w:id="4402" w:name="_Caption9088"/>
      <w:bookmarkStart w:id="4403" w:name="_Caption7183"/>
      <w:bookmarkStart w:id="4404" w:name="_Caption0556"/>
      <w:bookmarkStart w:id="4405" w:name="_Caption0061"/>
      <w:bookmarkStart w:id="4406" w:name="_Caption0596"/>
      <w:bookmarkStart w:id="4407" w:name="_Caption3174"/>
      <w:bookmarkStart w:id="4408" w:name="_Toc177735184"/>
      <w:bookmarkStart w:id="4409" w:name="_Toc178292617"/>
      <w:r w:rsidR="008C60A3">
        <w:rPr>
          <w:noProof/>
        </w:rPr>
        <w:t>7</w:t>
      </w:r>
      <w:r w:rsidR="008C60A3" w:rsidRPr="006F0F88">
        <w:rPr>
          <w:noProof/>
        </w:rPr>
        <w:t>.</w:t>
      </w:r>
      <w:r w:rsidR="008C60A3">
        <w:rPr>
          <w:noProof/>
        </w:rPr>
        <w:t>18</w:t>
      </w:r>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r w:rsidRPr="006F0F88">
        <w:fldChar w:fldCharType="end"/>
      </w:r>
      <w:r w:rsidRPr="006F0F88">
        <w:tab/>
        <w:t>Estimated change in glazing costs</w:t>
      </w:r>
      <w:bookmarkEnd w:id="4408"/>
      <w:bookmarkEnd w:id="4409"/>
    </w:p>
    <w:tbl>
      <w:tblPr>
        <w:tblW w:w="0" w:type="auto"/>
        <w:tblLayout w:type="fixed"/>
        <w:tblLook w:val="0000" w:firstRow="0" w:lastRow="0" w:firstColumn="0" w:lastColumn="0" w:noHBand="0" w:noVBand="0"/>
      </w:tblPr>
      <w:tblGrid>
        <w:gridCol w:w="1310"/>
        <w:gridCol w:w="1909"/>
        <w:gridCol w:w="2358"/>
        <w:gridCol w:w="2360"/>
      </w:tblGrid>
      <w:tr w:rsidR="006568C5" w14:paraId="34F8DF76" w14:textId="77777777">
        <w:trPr>
          <w:trHeight w:val="245"/>
          <w:tblHeader/>
        </w:trPr>
        <w:tc>
          <w:tcPr>
            <w:tcW w:w="1310" w:type="dxa"/>
            <w:shd w:val="clear" w:color="auto" w:fill="6F6652"/>
            <w:tcMar>
              <w:left w:w="57" w:type="dxa"/>
              <w:right w:w="57" w:type="dxa"/>
            </w:tcMar>
          </w:tcPr>
          <w:p w14:paraId="4525186C" w14:textId="77777777" w:rsidR="006568C5" w:rsidRDefault="006568C5">
            <w:pPr>
              <w:pStyle w:val="TableDataColumnHeading"/>
              <w:jc w:val="left"/>
            </w:pPr>
            <w:r>
              <w:t>Archetype</w:t>
            </w:r>
          </w:p>
        </w:tc>
        <w:tc>
          <w:tcPr>
            <w:tcW w:w="1909" w:type="dxa"/>
            <w:shd w:val="clear" w:color="auto" w:fill="6F6652"/>
            <w:tcMar>
              <w:left w:w="57" w:type="dxa"/>
              <w:right w:w="57" w:type="dxa"/>
            </w:tcMar>
          </w:tcPr>
          <w:p w14:paraId="3B26C379" w14:textId="77777777" w:rsidR="006568C5" w:rsidRDefault="006568C5">
            <w:pPr>
              <w:pStyle w:val="TableDataColumnHeading"/>
            </w:pPr>
            <w:r>
              <w:t>Climate zone</w:t>
            </w:r>
          </w:p>
        </w:tc>
        <w:tc>
          <w:tcPr>
            <w:tcW w:w="2358" w:type="dxa"/>
            <w:shd w:val="clear" w:color="auto" w:fill="6F6652"/>
            <w:tcMar>
              <w:left w:w="57" w:type="dxa"/>
              <w:right w:w="57" w:type="dxa"/>
            </w:tcMar>
          </w:tcPr>
          <w:p w14:paraId="5925C36F" w14:textId="44C91555" w:rsidR="006568C5" w:rsidRDefault="006568C5">
            <w:pPr>
              <w:pStyle w:val="TableDataColumnHeading"/>
            </w:pPr>
            <w:r>
              <w:t>DeltaQ estimates</w:t>
            </w:r>
            <w:r w:rsidR="00E96CE0">
              <w:t xml:space="preserve"> ($)</w:t>
            </w:r>
          </w:p>
        </w:tc>
        <w:tc>
          <w:tcPr>
            <w:tcW w:w="2360" w:type="dxa"/>
            <w:shd w:val="clear" w:color="auto" w:fill="6F6652"/>
            <w:tcMar>
              <w:left w:w="57" w:type="dxa"/>
              <w:right w:w="57" w:type="dxa"/>
            </w:tcMar>
          </w:tcPr>
          <w:p w14:paraId="18C7684C" w14:textId="1C882F52" w:rsidR="006568C5" w:rsidRDefault="006568C5">
            <w:pPr>
              <w:pStyle w:val="TableDataColumnHeading"/>
            </w:pPr>
            <w:r>
              <w:t>Alternative approach</w:t>
            </w:r>
            <w:r w:rsidR="00E96CE0">
              <w:t xml:space="preserve"> (</w:t>
            </w:r>
            <w:r w:rsidR="00252BD3">
              <w:t>$)</w:t>
            </w:r>
          </w:p>
        </w:tc>
      </w:tr>
      <w:tr w:rsidR="006568C5" w14:paraId="458969F7"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338722A" w14:textId="77777777" w:rsidR="006568C5" w:rsidRDefault="006568C5">
            <w:pPr>
              <w:pStyle w:val="TableDataEntries"/>
              <w:jc w:val="left"/>
            </w:pPr>
            <w:r>
              <w:t>C3HS</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780A4D4" w14:textId="77777777" w:rsidR="006568C5" w:rsidRDefault="006568C5">
            <w:pPr>
              <w:pStyle w:val="TableDataEntries"/>
            </w:pPr>
            <w:r>
              <w:t xml:space="preserve"> 1</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D401E3F" w14:textId="77777777" w:rsidR="006568C5" w:rsidRDefault="006568C5">
            <w:pPr>
              <w:pStyle w:val="TableDataEntries"/>
            </w:pPr>
            <w:r>
              <w:t>-1 155</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D550CB" w14:textId="77777777" w:rsidR="006568C5" w:rsidRDefault="006568C5">
            <w:pPr>
              <w:pStyle w:val="TableDataEntries"/>
            </w:pPr>
            <w:r>
              <w:t xml:space="preserve"> 0</w:t>
            </w:r>
          </w:p>
        </w:tc>
      </w:tr>
      <w:tr w:rsidR="006568C5" w14:paraId="46F56F6C"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B309FD" w14:textId="77777777" w:rsidR="006568C5" w:rsidRDefault="006568C5">
            <w:pPr>
              <w:pStyle w:val="TableDataEntries"/>
              <w:jc w:val="left"/>
            </w:pPr>
            <w:r>
              <w:t>C3HS</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692FFE8" w14:textId="77777777" w:rsidR="006568C5" w:rsidRDefault="006568C5">
            <w:pPr>
              <w:pStyle w:val="TableDataEntries"/>
            </w:pPr>
            <w:r>
              <w:t xml:space="preserve"> 2</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0704EAF" w14:textId="77777777" w:rsidR="006568C5" w:rsidRDefault="006568C5">
            <w:pPr>
              <w:pStyle w:val="TableDataEntries"/>
            </w:pPr>
            <w:r>
              <w:t>-1 155</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875C87" w14:textId="77777777" w:rsidR="006568C5" w:rsidRDefault="006568C5">
            <w:pPr>
              <w:pStyle w:val="TableDataEntries"/>
            </w:pPr>
            <w:r>
              <w:t>2 646</w:t>
            </w:r>
          </w:p>
        </w:tc>
      </w:tr>
      <w:tr w:rsidR="006568C5" w14:paraId="6FD3647E"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0C06DE8" w14:textId="77777777" w:rsidR="006568C5" w:rsidRDefault="006568C5">
            <w:pPr>
              <w:pStyle w:val="TableDataEntries"/>
              <w:jc w:val="left"/>
            </w:pPr>
            <w:r>
              <w:t>C3HS</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14537CC" w14:textId="77777777" w:rsidR="006568C5" w:rsidRDefault="006568C5">
            <w:pPr>
              <w:pStyle w:val="TableDataEntries"/>
            </w:pPr>
            <w:r>
              <w:t xml:space="preserve"> 3</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7A50C5" w14:textId="77777777" w:rsidR="006568C5" w:rsidRDefault="006568C5">
            <w:pPr>
              <w:pStyle w:val="TableDataEntries"/>
            </w:pPr>
            <w:r>
              <w:t>-3 709</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A79703C" w14:textId="77777777" w:rsidR="006568C5" w:rsidRDefault="006568C5">
            <w:pPr>
              <w:pStyle w:val="TableDataEntries"/>
            </w:pPr>
            <w:r>
              <w:t xml:space="preserve"> 144</w:t>
            </w:r>
          </w:p>
        </w:tc>
      </w:tr>
      <w:tr w:rsidR="006568C5" w14:paraId="2F89F7FE"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BC3268B" w14:textId="77777777" w:rsidR="006568C5" w:rsidRDefault="006568C5">
            <w:pPr>
              <w:pStyle w:val="TableDataEntries"/>
              <w:jc w:val="left"/>
            </w:pPr>
            <w:r>
              <w:t>C3HS</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AA6436" w14:textId="77777777" w:rsidR="006568C5" w:rsidRDefault="006568C5">
            <w:pPr>
              <w:pStyle w:val="TableDataEntries"/>
            </w:pPr>
            <w:r>
              <w:t xml:space="preserve"> 4</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D32A8F" w14:textId="77777777" w:rsidR="006568C5" w:rsidRDefault="006568C5">
            <w:pPr>
              <w:pStyle w:val="TableDataEntries"/>
            </w:pPr>
            <w:r>
              <w:t>-3 709</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F14799A" w14:textId="77777777" w:rsidR="006568C5" w:rsidRDefault="006568C5">
            <w:pPr>
              <w:pStyle w:val="TableDataEntries"/>
            </w:pPr>
            <w:r>
              <w:t xml:space="preserve"> 144</w:t>
            </w:r>
          </w:p>
        </w:tc>
      </w:tr>
      <w:tr w:rsidR="006568C5" w14:paraId="593B5B8E"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FB8617" w14:textId="77777777" w:rsidR="006568C5" w:rsidRDefault="006568C5">
            <w:pPr>
              <w:pStyle w:val="TableDataEntries"/>
              <w:jc w:val="left"/>
            </w:pPr>
            <w:r>
              <w:t>C3HS</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E5410BF" w14:textId="77777777" w:rsidR="006568C5" w:rsidRDefault="006568C5">
            <w:pPr>
              <w:pStyle w:val="TableDataEntries"/>
            </w:pPr>
            <w:r>
              <w:t xml:space="preserve"> 5</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135AE8" w14:textId="77777777" w:rsidR="006568C5" w:rsidRDefault="006568C5">
            <w:pPr>
              <w:pStyle w:val="TableDataEntries"/>
            </w:pPr>
            <w:r>
              <w:t>-1 155</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393694C" w14:textId="77777777" w:rsidR="006568C5" w:rsidRDefault="006568C5">
            <w:pPr>
              <w:pStyle w:val="TableDataEntries"/>
            </w:pPr>
            <w:r>
              <w:t>2 646</w:t>
            </w:r>
          </w:p>
        </w:tc>
      </w:tr>
      <w:tr w:rsidR="006568C5" w14:paraId="2E0C8214"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343359" w14:textId="77777777" w:rsidR="006568C5" w:rsidRDefault="006568C5">
            <w:pPr>
              <w:pStyle w:val="TableDataEntries"/>
              <w:jc w:val="left"/>
            </w:pPr>
            <w:r>
              <w:t>C3HS</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A2B23A" w14:textId="77777777" w:rsidR="006568C5" w:rsidRDefault="006568C5">
            <w:pPr>
              <w:pStyle w:val="TableDataEntries"/>
            </w:pPr>
            <w:r>
              <w:t xml:space="preserve"> 6</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9C2D31" w14:textId="77777777" w:rsidR="006568C5" w:rsidRDefault="006568C5">
            <w:pPr>
              <w:pStyle w:val="TableDataEntries"/>
            </w:pPr>
            <w:r>
              <w:t>-3 709</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7E8DA3" w14:textId="77777777" w:rsidR="006568C5" w:rsidRDefault="006568C5">
            <w:pPr>
              <w:pStyle w:val="TableDataEntries"/>
            </w:pPr>
            <w:r>
              <w:t xml:space="preserve"> 144</w:t>
            </w:r>
          </w:p>
        </w:tc>
      </w:tr>
      <w:tr w:rsidR="006568C5" w14:paraId="6745D870"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0E70744" w14:textId="77777777" w:rsidR="006568C5" w:rsidRDefault="006568C5">
            <w:pPr>
              <w:pStyle w:val="TableDataEntries"/>
              <w:jc w:val="left"/>
            </w:pPr>
            <w:r>
              <w:t>C3HS</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0E98EA" w14:textId="77777777" w:rsidR="006568C5" w:rsidRDefault="006568C5">
            <w:pPr>
              <w:pStyle w:val="TableDataEntries"/>
            </w:pPr>
            <w:r>
              <w:t xml:space="preserve"> 7</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0D215A" w14:textId="77777777" w:rsidR="006568C5" w:rsidRDefault="006568C5">
            <w:pPr>
              <w:pStyle w:val="TableDataEntries"/>
            </w:pPr>
            <w:r>
              <w:t>-3 709</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BC53317" w14:textId="77777777" w:rsidR="006568C5" w:rsidRDefault="006568C5">
            <w:pPr>
              <w:pStyle w:val="TableDataEntries"/>
            </w:pPr>
            <w:r>
              <w:t xml:space="preserve"> 144</w:t>
            </w:r>
          </w:p>
        </w:tc>
      </w:tr>
      <w:tr w:rsidR="006568C5" w14:paraId="3851E7A3"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D8D2DC8" w14:textId="77777777" w:rsidR="006568C5" w:rsidRDefault="006568C5">
            <w:pPr>
              <w:pStyle w:val="TableDataEntries"/>
              <w:jc w:val="left"/>
            </w:pPr>
            <w:r>
              <w:t>C3HS</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C223D7B" w14:textId="77777777" w:rsidR="006568C5" w:rsidRDefault="006568C5">
            <w:pPr>
              <w:pStyle w:val="TableDataEntries"/>
            </w:pPr>
            <w:r>
              <w:t xml:space="preserve"> 8</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89D59D9" w14:textId="77777777" w:rsidR="006568C5" w:rsidRDefault="006568C5">
            <w:pPr>
              <w:pStyle w:val="TableDataEntries"/>
            </w:pPr>
            <w:r>
              <w:t>-1 155</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78C9C39" w14:textId="77777777" w:rsidR="006568C5" w:rsidRDefault="006568C5">
            <w:pPr>
              <w:pStyle w:val="TableDataEntries"/>
            </w:pPr>
            <w:r>
              <w:t xml:space="preserve"> 0</w:t>
            </w:r>
          </w:p>
        </w:tc>
      </w:tr>
      <w:tr w:rsidR="006568C5" w14:paraId="268963B3"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9302325" w14:textId="77777777" w:rsidR="006568C5" w:rsidRDefault="006568C5">
            <w:pPr>
              <w:pStyle w:val="TableDataEntries"/>
              <w:jc w:val="left"/>
            </w:pPr>
            <w:r>
              <w:t>C3HL</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C10E7F" w14:textId="77777777" w:rsidR="006568C5" w:rsidRDefault="006568C5">
            <w:pPr>
              <w:pStyle w:val="TableDataEntries"/>
            </w:pPr>
            <w:r>
              <w:t xml:space="preserve"> 1</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755DFA0" w14:textId="77777777" w:rsidR="006568C5" w:rsidRDefault="006568C5">
            <w:pPr>
              <w:pStyle w:val="TableDataEntries"/>
            </w:pPr>
            <w:r>
              <w:t>-11 776</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470CD85" w14:textId="77777777" w:rsidR="006568C5" w:rsidRDefault="006568C5">
            <w:pPr>
              <w:pStyle w:val="TableDataEntries"/>
            </w:pPr>
            <w:r>
              <w:t>68 632</w:t>
            </w:r>
          </w:p>
        </w:tc>
      </w:tr>
      <w:tr w:rsidR="006568C5" w14:paraId="0429F6B1"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FC29195" w14:textId="77777777" w:rsidR="006568C5" w:rsidRDefault="006568C5">
            <w:pPr>
              <w:pStyle w:val="TableDataEntries"/>
              <w:jc w:val="left"/>
            </w:pPr>
            <w:r>
              <w:t>C3HL</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57ECE0" w14:textId="77777777" w:rsidR="006568C5" w:rsidRDefault="006568C5">
            <w:pPr>
              <w:pStyle w:val="TableDataEntries"/>
            </w:pPr>
            <w:r>
              <w:t xml:space="preserve"> 2</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6272F01" w14:textId="77777777" w:rsidR="006568C5" w:rsidRDefault="006568C5">
            <w:pPr>
              <w:pStyle w:val="TableDataEntries"/>
            </w:pPr>
            <w:r>
              <w:t>9 728</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8432D34" w14:textId="77777777" w:rsidR="006568C5" w:rsidRDefault="006568C5">
            <w:pPr>
              <w:pStyle w:val="TableDataEntries"/>
            </w:pPr>
            <w:r>
              <w:t>67 417</w:t>
            </w:r>
          </w:p>
        </w:tc>
      </w:tr>
      <w:tr w:rsidR="006568C5" w14:paraId="691E9DEB"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8E98CC3" w14:textId="77777777" w:rsidR="006568C5" w:rsidRDefault="006568C5">
            <w:pPr>
              <w:pStyle w:val="TableDataEntries"/>
              <w:jc w:val="left"/>
            </w:pPr>
            <w:r>
              <w:t>C3HL</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2C9F1FB" w14:textId="77777777" w:rsidR="006568C5" w:rsidRDefault="006568C5">
            <w:pPr>
              <w:pStyle w:val="TableDataEntries"/>
            </w:pPr>
            <w:r>
              <w:t xml:space="preserve"> 3</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854D531" w14:textId="77777777" w:rsidR="006568C5" w:rsidRDefault="006568C5">
            <w:pPr>
              <w:pStyle w:val="TableDataEntries"/>
            </w:pPr>
            <w:r>
              <w:t xml:space="preserve"> 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9839CAF" w14:textId="77777777" w:rsidR="006568C5" w:rsidRDefault="006568C5">
            <w:pPr>
              <w:pStyle w:val="TableDataEntries"/>
            </w:pPr>
            <w:r>
              <w:t>14 480</w:t>
            </w:r>
          </w:p>
        </w:tc>
      </w:tr>
      <w:tr w:rsidR="006568C5" w14:paraId="5CE22EF5"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69D30FD" w14:textId="77777777" w:rsidR="006568C5" w:rsidRDefault="006568C5">
            <w:pPr>
              <w:pStyle w:val="TableDataEntries"/>
              <w:jc w:val="left"/>
            </w:pPr>
            <w:r>
              <w:t>C3HL</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76D33F9" w14:textId="77777777" w:rsidR="006568C5" w:rsidRDefault="006568C5">
            <w:pPr>
              <w:pStyle w:val="TableDataEntries"/>
            </w:pPr>
            <w:r>
              <w:t xml:space="preserve"> 4</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36FBE08" w14:textId="77777777" w:rsidR="006568C5" w:rsidRDefault="006568C5">
            <w:pPr>
              <w:pStyle w:val="TableDataEntries"/>
            </w:pPr>
            <w:r>
              <w:t xml:space="preserve"> 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0DA2C4C" w14:textId="77777777" w:rsidR="006568C5" w:rsidRDefault="006568C5">
            <w:pPr>
              <w:pStyle w:val="TableDataEntries"/>
            </w:pPr>
            <w:r>
              <w:t>14 480</w:t>
            </w:r>
          </w:p>
        </w:tc>
      </w:tr>
      <w:tr w:rsidR="006568C5" w14:paraId="127F6B76"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C30548D" w14:textId="77777777" w:rsidR="006568C5" w:rsidRDefault="006568C5">
            <w:pPr>
              <w:pStyle w:val="TableDataEntries"/>
              <w:jc w:val="left"/>
            </w:pPr>
            <w:r>
              <w:t>C3HL</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28A67A" w14:textId="77777777" w:rsidR="006568C5" w:rsidRDefault="006568C5">
            <w:pPr>
              <w:pStyle w:val="TableDataEntries"/>
            </w:pPr>
            <w:r>
              <w:t xml:space="preserve"> 5</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3875688" w14:textId="77777777" w:rsidR="006568C5" w:rsidRDefault="006568C5">
            <w:pPr>
              <w:pStyle w:val="TableDataEntries"/>
            </w:pPr>
            <w:r>
              <w:t>9 728</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A0F92CD" w14:textId="77777777" w:rsidR="006568C5" w:rsidRDefault="006568C5">
            <w:pPr>
              <w:pStyle w:val="TableDataEntries"/>
            </w:pPr>
            <w:r>
              <w:t>67 417</w:t>
            </w:r>
          </w:p>
        </w:tc>
      </w:tr>
      <w:tr w:rsidR="006568C5" w14:paraId="5E380411"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4A4F0E" w14:textId="77777777" w:rsidR="006568C5" w:rsidRDefault="006568C5">
            <w:pPr>
              <w:pStyle w:val="TableDataEntries"/>
              <w:jc w:val="left"/>
            </w:pPr>
            <w:r>
              <w:t>C3HL</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C7A6F9" w14:textId="77777777" w:rsidR="006568C5" w:rsidRDefault="006568C5">
            <w:pPr>
              <w:pStyle w:val="TableDataEntries"/>
            </w:pPr>
            <w:r>
              <w:t xml:space="preserve"> 6</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45D84F6" w14:textId="77777777" w:rsidR="006568C5" w:rsidRDefault="006568C5">
            <w:pPr>
              <w:pStyle w:val="TableDataEntries"/>
            </w:pPr>
            <w:r>
              <w:t xml:space="preserve"> 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2C2976C" w14:textId="77777777" w:rsidR="006568C5" w:rsidRDefault="006568C5">
            <w:pPr>
              <w:pStyle w:val="TableDataEntries"/>
            </w:pPr>
            <w:r>
              <w:t>14 480</w:t>
            </w:r>
          </w:p>
        </w:tc>
      </w:tr>
      <w:tr w:rsidR="006568C5" w14:paraId="3D13A7A5"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00E75B" w14:textId="77777777" w:rsidR="006568C5" w:rsidRDefault="006568C5">
            <w:pPr>
              <w:pStyle w:val="TableDataEntries"/>
              <w:jc w:val="left"/>
            </w:pPr>
            <w:r>
              <w:t>C3HL</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BB8461C" w14:textId="77777777" w:rsidR="006568C5" w:rsidRDefault="006568C5">
            <w:pPr>
              <w:pStyle w:val="TableDataEntries"/>
            </w:pPr>
            <w:r>
              <w:t xml:space="preserve"> 7</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7664E8E" w14:textId="77777777" w:rsidR="006568C5" w:rsidRDefault="006568C5">
            <w:pPr>
              <w:pStyle w:val="TableDataEntries"/>
            </w:pPr>
            <w:r>
              <w:t>-21 504</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E061C5" w14:textId="77777777" w:rsidR="006568C5" w:rsidRDefault="006568C5">
            <w:pPr>
              <w:pStyle w:val="TableDataEntries"/>
            </w:pPr>
            <w:r>
              <w:t>14 584</w:t>
            </w:r>
          </w:p>
        </w:tc>
      </w:tr>
      <w:tr w:rsidR="006568C5" w14:paraId="789C2C9E"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134021" w14:textId="77777777" w:rsidR="006568C5" w:rsidRDefault="006568C5">
            <w:pPr>
              <w:pStyle w:val="TableDataEntries"/>
              <w:jc w:val="left"/>
            </w:pPr>
            <w:r>
              <w:t>C3HL</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B900E01" w14:textId="77777777" w:rsidR="006568C5" w:rsidRDefault="006568C5">
            <w:pPr>
              <w:pStyle w:val="TableDataEntries"/>
            </w:pPr>
            <w:r>
              <w:t xml:space="preserve"> 8</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075F1F1" w14:textId="77777777" w:rsidR="006568C5" w:rsidRDefault="006568C5">
            <w:pPr>
              <w:pStyle w:val="TableDataEntries"/>
            </w:pPr>
            <w:r>
              <w:t>-11 776</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7CF5928" w14:textId="77777777" w:rsidR="006568C5" w:rsidRDefault="006568C5">
            <w:pPr>
              <w:pStyle w:val="TableDataEntries"/>
            </w:pPr>
            <w:r>
              <w:t>68 632</w:t>
            </w:r>
          </w:p>
        </w:tc>
      </w:tr>
      <w:tr w:rsidR="006568C5" w14:paraId="5244248C"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68B3F2" w14:textId="77777777" w:rsidR="006568C5" w:rsidRDefault="006568C5">
            <w:pPr>
              <w:pStyle w:val="TableDataEntries"/>
              <w:jc w:val="left"/>
            </w:pPr>
            <w:r>
              <w:t>C5OS</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CBF8D8" w14:textId="77777777" w:rsidR="006568C5" w:rsidRDefault="006568C5">
            <w:pPr>
              <w:pStyle w:val="TableDataEntries"/>
            </w:pPr>
            <w:r>
              <w:t xml:space="preserve"> 1</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165D92" w14:textId="77777777" w:rsidR="006568C5" w:rsidRDefault="006568C5">
            <w:pPr>
              <w:pStyle w:val="TableDataEntries"/>
            </w:pPr>
            <w:r>
              <w:t>3 599</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610817B" w14:textId="77777777" w:rsidR="006568C5" w:rsidRDefault="006568C5">
            <w:pPr>
              <w:pStyle w:val="TableDataEntries"/>
            </w:pPr>
            <w:r>
              <w:t>- 203</w:t>
            </w:r>
          </w:p>
        </w:tc>
      </w:tr>
      <w:tr w:rsidR="006568C5" w14:paraId="6BE3B446"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B3AF909" w14:textId="77777777" w:rsidR="006568C5" w:rsidRDefault="006568C5">
            <w:pPr>
              <w:pStyle w:val="TableDataEntries"/>
              <w:jc w:val="left"/>
            </w:pPr>
            <w:r>
              <w:t>C5OS</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0709082" w14:textId="77777777" w:rsidR="006568C5" w:rsidRDefault="006568C5">
            <w:pPr>
              <w:pStyle w:val="TableDataEntries"/>
            </w:pPr>
            <w:r>
              <w:t xml:space="preserve"> 2</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9649495" w14:textId="77777777" w:rsidR="006568C5" w:rsidRDefault="006568C5">
            <w:pPr>
              <w:pStyle w:val="TableDataEntries"/>
            </w:pPr>
            <w:r>
              <w:t>-1 628</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2A4EB4C" w14:textId="77777777" w:rsidR="006568C5" w:rsidRDefault="006568C5">
            <w:pPr>
              <w:pStyle w:val="TableDataEntries"/>
            </w:pPr>
            <w:r>
              <w:t xml:space="preserve"> 0</w:t>
            </w:r>
          </w:p>
        </w:tc>
      </w:tr>
      <w:tr w:rsidR="006568C5" w14:paraId="5E295BB7"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987D054" w14:textId="77777777" w:rsidR="006568C5" w:rsidRDefault="006568C5">
            <w:pPr>
              <w:pStyle w:val="TableDataEntries"/>
              <w:jc w:val="left"/>
            </w:pPr>
            <w:r>
              <w:t>C5OS</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A4FD367" w14:textId="77777777" w:rsidR="006568C5" w:rsidRDefault="006568C5">
            <w:pPr>
              <w:pStyle w:val="TableDataEntries"/>
            </w:pPr>
            <w:r>
              <w:t xml:space="preserve"> 3</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36DC254" w14:textId="77777777" w:rsidR="006568C5" w:rsidRDefault="006568C5">
            <w:pPr>
              <w:pStyle w:val="TableDataEntries"/>
            </w:pPr>
            <w:r>
              <w:t>1 971</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4C4D4EE" w14:textId="77777777" w:rsidR="006568C5" w:rsidRDefault="006568C5">
            <w:pPr>
              <w:pStyle w:val="TableDataEntries"/>
            </w:pPr>
            <w:r>
              <w:t>- 203</w:t>
            </w:r>
          </w:p>
        </w:tc>
      </w:tr>
      <w:tr w:rsidR="006568C5" w14:paraId="521D02BD"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B07097" w14:textId="77777777" w:rsidR="006568C5" w:rsidRDefault="006568C5">
            <w:pPr>
              <w:pStyle w:val="TableDataEntries"/>
              <w:jc w:val="left"/>
            </w:pPr>
            <w:r>
              <w:t>C5OS</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DC4D63" w14:textId="77777777" w:rsidR="006568C5" w:rsidRDefault="006568C5">
            <w:pPr>
              <w:pStyle w:val="TableDataEntries"/>
            </w:pPr>
            <w:r>
              <w:t xml:space="preserve"> 4</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891A49B" w14:textId="77777777" w:rsidR="006568C5" w:rsidRDefault="006568C5">
            <w:pPr>
              <w:pStyle w:val="TableDataEntries"/>
            </w:pPr>
            <w:r>
              <w:t>-1 628</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64BFC0" w14:textId="77777777" w:rsidR="006568C5" w:rsidRDefault="006568C5">
            <w:pPr>
              <w:pStyle w:val="TableDataEntries"/>
            </w:pPr>
            <w:r>
              <w:t xml:space="preserve"> 0</w:t>
            </w:r>
          </w:p>
        </w:tc>
      </w:tr>
      <w:tr w:rsidR="006568C5" w14:paraId="5A92845A"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FEEC45" w14:textId="77777777" w:rsidR="006568C5" w:rsidRDefault="006568C5">
            <w:pPr>
              <w:pStyle w:val="TableDataEntries"/>
              <w:jc w:val="left"/>
            </w:pPr>
            <w:r>
              <w:t>C5OS</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7BAE436" w14:textId="77777777" w:rsidR="006568C5" w:rsidRDefault="006568C5">
            <w:pPr>
              <w:pStyle w:val="TableDataEntries"/>
            </w:pPr>
            <w:r>
              <w:t xml:space="preserve"> 5</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D1E0F4" w14:textId="77777777" w:rsidR="006568C5" w:rsidRDefault="006568C5">
            <w:pPr>
              <w:pStyle w:val="TableDataEntries"/>
            </w:pPr>
            <w:r>
              <w:t>-1 628</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AFDBDD" w14:textId="77777777" w:rsidR="006568C5" w:rsidRDefault="006568C5">
            <w:pPr>
              <w:pStyle w:val="TableDataEntries"/>
            </w:pPr>
            <w:r>
              <w:t xml:space="preserve"> 0</w:t>
            </w:r>
          </w:p>
        </w:tc>
      </w:tr>
      <w:tr w:rsidR="006568C5" w14:paraId="5336E23E"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1EC4D15" w14:textId="77777777" w:rsidR="006568C5" w:rsidRDefault="006568C5">
            <w:pPr>
              <w:pStyle w:val="TableDataEntries"/>
              <w:jc w:val="left"/>
            </w:pPr>
            <w:r>
              <w:t>C5OS</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55F70C" w14:textId="77777777" w:rsidR="006568C5" w:rsidRDefault="006568C5">
            <w:pPr>
              <w:pStyle w:val="TableDataEntries"/>
            </w:pPr>
            <w:r>
              <w:t xml:space="preserve"> 6</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9F347B8" w14:textId="77777777" w:rsidR="006568C5" w:rsidRDefault="006568C5">
            <w:pPr>
              <w:pStyle w:val="TableDataEntries"/>
            </w:pPr>
            <w:r>
              <w:t>-1 628</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5135F2D" w14:textId="77777777" w:rsidR="006568C5" w:rsidRDefault="006568C5">
            <w:pPr>
              <w:pStyle w:val="TableDataEntries"/>
            </w:pPr>
            <w:r>
              <w:t xml:space="preserve"> 0</w:t>
            </w:r>
          </w:p>
        </w:tc>
      </w:tr>
      <w:tr w:rsidR="006568C5" w14:paraId="08A72971"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B923465" w14:textId="77777777" w:rsidR="006568C5" w:rsidRDefault="006568C5">
            <w:pPr>
              <w:pStyle w:val="TableDataEntries"/>
              <w:jc w:val="left"/>
            </w:pPr>
            <w:r>
              <w:t>C5OS</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F0F8A9" w14:textId="77777777" w:rsidR="006568C5" w:rsidRDefault="006568C5">
            <w:pPr>
              <w:pStyle w:val="TableDataEntries"/>
            </w:pPr>
            <w:r>
              <w:t xml:space="preserve"> 7</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802982" w14:textId="77777777" w:rsidR="006568C5" w:rsidRDefault="006568C5">
            <w:pPr>
              <w:pStyle w:val="TableDataEntries"/>
            </w:pPr>
            <w:r>
              <w:t>-1 628</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CC55053" w14:textId="77777777" w:rsidR="006568C5" w:rsidRDefault="006568C5">
            <w:pPr>
              <w:pStyle w:val="TableDataEntries"/>
            </w:pPr>
            <w:r>
              <w:t xml:space="preserve"> 0</w:t>
            </w:r>
          </w:p>
        </w:tc>
      </w:tr>
      <w:tr w:rsidR="006568C5" w14:paraId="2C2B71DB"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ED8AC0" w14:textId="77777777" w:rsidR="006568C5" w:rsidRDefault="006568C5">
            <w:pPr>
              <w:pStyle w:val="TableDataEntries"/>
              <w:jc w:val="left"/>
            </w:pPr>
            <w:r>
              <w:t>C5OS</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F0B228" w14:textId="77777777" w:rsidR="006568C5" w:rsidRDefault="006568C5">
            <w:pPr>
              <w:pStyle w:val="TableDataEntries"/>
            </w:pPr>
            <w:r>
              <w:t xml:space="preserve"> 8</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EF6A2A" w14:textId="77777777" w:rsidR="006568C5" w:rsidRDefault="006568C5">
            <w:pPr>
              <w:pStyle w:val="TableDataEntries"/>
            </w:pPr>
            <w:r>
              <w:t>-1 628</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C8D1F5" w14:textId="77777777" w:rsidR="006568C5" w:rsidRDefault="006568C5">
            <w:pPr>
              <w:pStyle w:val="TableDataEntries"/>
            </w:pPr>
            <w:r>
              <w:t>3 728</w:t>
            </w:r>
          </w:p>
        </w:tc>
      </w:tr>
      <w:tr w:rsidR="006568C5" w14:paraId="52F04504"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9BBADD6" w14:textId="77777777" w:rsidR="006568C5" w:rsidRDefault="006568C5">
            <w:pPr>
              <w:pStyle w:val="TableDataEntries"/>
              <w:jc w:val="left"/>
            </w:pPr>
            <w:r>
              <w:t>C5OM</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008A4F6" w14:textId="77777777" w:rsidR="006568C5" w:rsidRDefault="006568C5">
            <w:pPr>
              <w:pStyle w:val="TableDataEntries"/>
            </w:pPr>
            <w:r>
              <w:t xml:space="preserve"> 1</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6AD5060" w14:textId="77777777" w:rsidR="006568C5" w:rsidRDefault="006568C5">
            <w:pPr>
              <w:pStyle w:val="TableDataEntries"/>
            </w:pPr>
            <w:r>
              <w:t>7 620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1F15900" w14:textId="77777777" w:rsidR="006568C5" w:rsidRDefault="006568C5">
            <w:pPr>
              <w:pStyle w:val="TableDataEntries"/>
            </w:pPr>
            <w:r>
              <w:t>- 430</w:t>
            </w:r>
          </w:p>
        </w:tc>
      </w:tr>
      <w:tr w:rsidR="006568C5" w14:paraId="32204998"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949992" w14:textId="77777777" w:rsidR="006568C5" w:rsidRDefault="006568C5">
            <w:pPr>
              <w:pStyle w:val="TableDataEntries"/>
              <w:jc w:val="left"/>
            </w:pPr>
            <w:r>
              <w:t>C5OM</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DD45E30" w14:textId="77777777" w:rsidR="006568C5" w:rsidRDefault="006568C5">
            <w:pPr>
              <w:pStyle w:val="TableDataEntries"/>
            </w:pPr>
            <w:r>
              <w:t xml:space="preserve"> 2</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72E43B6" w14:textId="77777777" w:rsidR="006568C5" w:rsidRDefault="006568C5">
            <w:pPr>
              <w:pStyle w:val="TableDataEntries"/>
            </w:pPr>
            <w:r>
              <w:t>-3 447</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4E862BB" w14:textId="77777777" w:rsidR="006568C5" w:rsidRDefault="006568C5">
            <w:pPr>
              <w:pStyle w:val="TableDataEntries"/>
            </w:pPr>
            <w:r>
              <w:t xml:space="preserve"> 0</w:t>
            </w:r>
          </w:p>
        </w:tc>
      </w:tr>
      <w:tr w:rsidR="006568C5" w14:paraId="50940C78"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BB425C3" w14:textId="77777777" w:rsidR="006568C5" w:rsidRDefault="006568C5">
            <w:pPr>
              <w:pStyle w:val="TableDataEntries"/>
              <w:jc w:val="left"/>
            </w:pPr>
            <w:r>
              <w:t>C5OM</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9195FA3" w14:textId="77777777" w:rsidR="006568C5" w:rsidRDefault="006568C5">
            <w:pPr>
              <w:pStyle w:val="TableDataEntries"/>
            </w:pPr>
            <w:r>
              <w:t xml:space="preserve"> 3</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76DA18" w14:textId="77777777" w:rsidR="006568C5" w:rsidRDefault="006568C5">
            <w:pPr>
              <w:pStyle w:val="TableDataEntries"/>
            </w:pPr>
            <w:r>
              <w:t>4 173</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3997116" w14:textId="77777777" w:rsidR="006568C5" w:rsidRDefault="006568C5">
            <w:pPr>
              <w:pStyle w:val="TableDataEntries"/>
            </w:pPr>
            <w:r>
              <w:t>- 430</w:t>
            </w:r>
          </w:p>
        </w:tc>
      </w:tr>
      <w:tr w:rsidR="006568C5" w14:paraId="2123A02D"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AF2944" w14:textId="77777777" w:rsidR="006568C5" w:rsidRDefault="006568C5">
            <w:pPr>
              <w:pStyle w:val="TableDataEntries"/>
              <w:jc w:val="left"/>
            </w:pPr>
            <w:r>
              <w:t>C5OM</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CCEEF19" w14:textId="77777777" w:rsidR="006568C5" w:rsidRDefault="006568C5">
            <w:pPr>
              <w:pStyle w:val="TableDataEntries"/>
            </w:pPr>
            <w:r>
              <w:t xml:space="preserve"> 4</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9B739F1" w14:textId="77777777" w:rsidR="006568C5" w:rsidRDefault="006568C5">
            <w:pPr>
              <w:pStyle w:val="TableDataEntries"/>
            </w:pPr>
            <w:r>
              <w:t>-3 447</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536C4AC" w14:textId="77777777" w:rsidR="006568C5" w:rsidRDefault="006568C5">
            <w:pPr>
              <w:pStyle w:val="TableDataEntries"/>
            </w:pPr>
            <w:r>
              <w:t xml:space="preserve"> 0</w:t>
            </w:r>
          </w:p>
        </w:tc>
      </w:tr>
      <w:tr w:rsidR="006568C5" w14:paraId="571EFCDA"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EC49FD5" w14:textId="77777777" w:rsidR="006568C5" w:rsidRDefault="006568C5">
            <w:pPr>
              <w:pStyle w:val="TableDataEntries"/>
              <w:jc w:val="left"/>
            </w:pPr>
            <w:r>
              <w:t>C5OM</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34A525" w14:textId="77777777" w:rsidR="006568C5" w:rsidRDefault="006568C5">
            <w:pPr>
              <w:pStyle w:val="TableDataEntries"/>
            </w:pPr>
            <w:r>
              <w:t xml:space="preserve"> 5</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B02C2B" w14:textId="77777777" w:rsidR="006568C5" w:rsidRDefault="006568C5">
            <w:pPr>
              <w:pStyle w:val="TableDataEntries"/>
            </w:pPr>
            <w:r>
              <w:t>-3 447</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9B6283" w14:textId="77777777" w:rsidR="006568C5" w:rsidRDefault="006568C5">
            <w:pPr>
              <w:pStyle w:val="TableDataEntries"/>
            </w:pPr>
            <w:r>
              <w:t xml:space="preserve"> 0</w:t>
            </w:r>
          </w:p>
        </w:tc>
      </w:tr>
      <w:tr w:rsidR="006568C5" w14:paraId="149DDA88"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D7190D" w14:textId="77777777" w:rsidR="006568C5" w:rsidRDefault="006568C5">
            <w:pPr>
              <w:pStyle w:val="TableDataEntries"/>
              <w:jc w:val="left"/>
            </w:pPr>
            <w:r>
              <w:t>C5OM</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E8EA1B" w14:textId="77777777" w:rsidR="006568C5" w:rsidRDefault="006568C5">
            <w:pPr>
              <w:pStyle w:val="TableDataEntries"/>
            </w:pPr>
            <w:r>
              <w:t xml:space="preserve"> 6</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69D43D" w14:textId="77777777" w:rsidR="006568C5" w:rsidRDefault="006568C5">
            <w:pPr>
              <w:pStyle w:val="TableDataEntries"/>
            </w:pPr>
            <w:r>
              <w:t>-3 447</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9001E78" w14:textId="77777777" w:rsidR="006568C5" w:rsidRDefault="006568C5">
            <w:pPr>
              <w:pStyle w:val="TableDataEntries"/>
            </w:pPr>
            <w:r>
              <w:t xml:space="preserve"> 0</w:t>
            </w:r>
          </w:p>
        </w:tc>
      </w:tr>
      <w:tr w:rsidR="006568C5" w14:paraId="488223AD"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D54D7B" w14:textId="77777777" w:rsidR="006568C5" w:rsidRDefault="006568C5">
            <w:pPr>
              <w:pStyle w:val="TableDataEntries"/>
              <w:jc w:val="left"/>
            </w:pPr>
            <w:r>
              <w:t>C5OM</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00A1265" w14:textId="77777777" w:rsidR="006568C5" w:rsidRDefault="006568C5">
            <w:pPr>
              <w:pStyle w:val="TableDataEntries"/>
            </w:pPr>
            <w:r>
              <w:t xml:space="preserve"> 7</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7074B2" w14:textId="77777777" w:rsidR="006568C5" w:rsidRDefault="006568C5">
            <w:pPr>
              <w:pStyle w:val="TableDataEntries"/>
            </w:pPr>
            <w:r>
              <w:t>-3 447</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39BFDC" w14:textId="77777777" w:rsidR="006568C5" w:rsidRDefault="006568C5">
            <w:pPr>
              <w:pStyle w:val="TableDataEntries"/>
            </w:pPr>
            <w:r>
              <w:t xml:space="preserve"> 0</w:t>
            </w:r>
          </w:p>
        </w:tc>
      </w:tr>
      <w:tr w:rsidR="006568C5" w14:paraId="011C6ADE"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9F8C00" w14:textId="77777777" w:rsidR="006568C5" w:rsidRDefault="006568C5">
            <w:pPr>
              <w:pStyle w:val="TableDataEntries"/>
              <w:jc w:val="left"/>
            </w:pPr>
            <w:r>
              <w:t>C5OM</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CAA1E8" w14:textId="77777777" w:rsidR="006568C5" w:rsidRDefault="006568C5">
            <w:pPr>
              <w:pStyle w:val="TableDataEntries"/>
            </w:pPr>
            <w:r>
              <w:t xml:space="preserve"> 8</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B22D2E" w14:textId="77777777" w:rsidR="006568C5" w:rsidRDefault="006568C5">
            <w:pPr>
              <w:pStyle w:val="TableDataEntries"/>
            </w:pPr>
            <w:r>
              <w:t>-3 447</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07C06C5" w14:textId="77777777" w:rsidR="006568C5" w:rsidRDefault="006568C5">
            <w:pPr>
              <w:pStyle w:val="TableDataEntries"/>
            </w:pPr>
            <w:r>
              <w:t>7 895</w:t>
            </w:r>
          </w:p>
        </w:tc>
      </w:tr>
      <w:tr w:rsidR="006568C5" w14:paraId="69420BB0"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A3C7C13" w14:textId="77777777" w:rsidR="006568C5" w:rsidRDefault="006568C5">
            <w:pPr>
              <w:pStyle w:val="TableDataEntries"/>
              <w:jc w:val="left"/>
            </w:pPr>
            <w:r>
              <w:t>C5OL</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70ABF0" w14:textId="77777777" w:rsidR="006568C5" w:rsidRDefault="006568C5">
            <w:pPr>
              <w:pStyle w:val="TableDataEntries"/>
            </w:pPr>
            <w:r>
              <w:t xml:space="preserve"> 1</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80DC9F" w14:textId="77777777" w:rsidR="006568C5" w:rsidRDefault="006568C5">
            <w:pPr>
              <w:pStyle w:val="TableDataEntries"/>
            </w:pPr>
            <w:r>
              <w:t xml:space="preserve"> 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89C8FB6" w14:textId="77777777" w:rsidR="006568C5" w:rsidRDefault="006568C5">
            <w:pPr>
              <w:pStyle w:val="TableDataEntries"/>
            </w:pPr>
            <w:r>
              <w:t xml:space="preserve"> 0</w:t>
            </w:r>
          </w:p>
        </w:tc>
      </w:tr>
      <w:tr w:rsidR="006568C5" w14:paraId="7E3A13E5"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5C73F39" w14:textId="77777777" w:rsidR="006568C5" w:rsidRDefault="006568C5">
            <w:pPr>
              <w:pStyle w:val="TableDataEntries"/>
              <w:jc w:val="left"/>
            </w:pPr>
            <w:r>
              <w:t>C5OL</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7D130D7" w14:textId="77777777" w:rsidR="006568C5" w:rsidRDefault="006568C5">
            <w:pPr>
              <w:pStyle w:val="TableDataEntries"/>
            </w:pPr>
            <w:r>
              <w:t xml:space="preserve"> 2</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F4B9EB7" w14:textId="77777777" w:rsidR="006568C5" w:rsidRDefault="006568C5">
            <w:pPr>
              <w:pStyle w:val="TableDataEntries"/>
            </w:pPr>
            <w:r>
              <w:t xml:space="preserve"> 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14C0EC" w14:textId="77777777" w:rsidR="006568C5" w:rsidRDefault="006568C5">
            <w:pPr>
              <w:pStyle w:val="TableDataEntries"/>
            </w:pPr>
            <w:r>
              <w:t>39 905</w:t>
            </w:r>
          </w:p>
        </w:tc>
      </w:tr>
      <w:tr w:rsidR="006568C5" w14:paraId="54AC0E4D"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1A2344" w14:textId="77777777" w:rsidR="006568C5" w:rsidRDefault="006568C5">
            <w:pPr>
              <w:pStyle w:val="TableDataEntries"/>
              <w:jc w:val="left"/>
            </w:pPr>
            <w:r>
              <w:t>C5OL</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C7B0E9" w14:textId="77777777" w:rsidR="006568C5" w:rsidRDefault="006568C5">
            <w:pPr>
              <w:pStyle w:val="TableDataEntries"/>
            </w:pPr>
            <w:r>
              <w:t xml:space="preserve"> 3</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DA9FE1" w14:textId="77777777" w:rsidR="006568C5" w:rsidRDefault="006568C5">
            <w:pPr>
              <w:pStyle w:val="TableDataEntries"/>
            </w:pPr>
            <w:r>
              <w:t>-32 453</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344E49" w14:textId="77777777" w:rsidR="006568C5" w:rsidRDefault="006568C5">
            <w:pPr>
              <w:pStyle w:val="TableDataEntries"/>
            </w:pPr>
            <w:r>
              <w:t>189 139</w:t>
            </w:r>
          </w:p>
        </w:tc>
      </w:tr>
      <w:tr w:rsidR="006568C5" w14:paraId="5ABC7DB9"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7AD7A42" w14:textId="77777777" w:rsidR="006568C5" w:rsidRDefault="006568C5">
            <w:pPr>
              <w:pStyle w:val="TableDataEntries"/>
              <w:jc w:val="left"/>
            </w:pPr>
            <w:r>
              <w:t>C5OL</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5383176" w14:textId="77777777" w:rsidR="006568C5" w:rsidRDefault="006568C5">
            <w:pPr>
              <w:pStyle w:val="TableDataEntries"/>
            </w:pPr>
            <w:r>
              <w:t xml:space="preserve"> 4</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CE3C87" w14:textId="77777777" w:rsidR="006568C5" w:rsidRDefault="006568C5">
            <w:pPr>
              <w:pStyle w:val="TableDataEntries"/>
            </w:pPr>
            <w:r>
              <w:t xml:space="preserve"> 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DF4FDE2" w14:textId="77777777" w:rsidR="006568C5" w:rsidRDefault="006568C5">
            <w:pPr>
              <w:pStyle w:val="TableDataEntries"/>
            </w:pPr>
            <w:r>
              <w:t>39 905</w:t>
            </w:r>
          </w:p>
        </w:tc>
      </w:tr>
      <w:tr w:rsidR="006568C5" w14:paraId="0D3D1A18"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C300C02" w14:textId="77777777" w:rsidR="006568C5" w:rsidRDefault="006568C5">
            <w:pPr>
              <w:pStyle w:val="TableDataEntries"/>
              <w:jc w:val="left"/>
            </w:pPr>
            <w:r>
              <w:t>C5OL</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496E7D" w14:textId="77777777" w:rsidR="006568C5" w:rsidRDefault="006568C5">
            <w:pPr>
              <w:pStyle w:val="TableDataEntries"/>
            </w:pPr>
            <w:r>
              <w:t xml:space="preserve"> 5</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E206901" w14:textId="77777777" w:rsidR="006568C5" w:rsidRDefault="006568C5">
            <w:pPr>
              <w:pStyle w:val="TableDataEntries"/>
            </w:pPr>
            <w:r>
              <w:t xml:space="preserve"> 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C694307" w14:textId="77777777" w:rsidR="006568C5" w:rsidRDefault="006568C5">
            <w:pPr>
              <w:pStyle w:val="TableDataEntries"/>
            </w:pPr>
            <w:r>
              <w:t>39 905</w:t>
            </w:r>
          </w:p>
        </w:tc>
      </w:tr>
      <w:tr w:rsidR="006568C5" w14:paraId="5B257B94"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C1EC72F" w14:textId="77777777" w:rsidR="006568C5" w:rsidRDefault="006568C5">
            <w:pPr>
              <w:pStyle w:val="TableDataEntries"/>
              <w:jc w:val="left"/>
            </w:pPr>
            <w:r>
              <w:t>C5OL</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CC4651" w14:textId="77777777" w:rsidR="006568C5" w:rsidRDefault="006568C5">
            <w:pPr>
              <w:pStyle w:val="TableDataEntries"/>
            </w:pPr>
            <w:r>
              <w:t xml:space="preserve"> 6</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B26F2A" w14:textId="77777777" w:rsidR="006568C5" w:rsidRDefault="006568C5">
            <w:pPr>
              <w:pStyle w:val="TableDataEntries"/>
            </w:pPr>
            <w:r>
              <w:t xml:space="preserve"> 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E5F5AA6" w14:textId="77777777" w:rsidR="006568C5" w:rsidRDefault="006568C5">
            <w:pPr>
              <w:pStyle w:val="TableDataEntries"/>
            </w:pPr>
            <w:r>
              <w:t>39 905</w:t>
            </w:r>
          </w:p>
        </w:tc>
      </w:tr>
      <w:tr w:rsidR="006568C5" w14:paraId="697CED5A"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02BE8C" w14:textId="77777777" w:rsidR="006568C5" w:rsidRDefault="006568C5">
            <w:pPr>
              <w:pStyle w:val="TableDataEntries"/>
              <w:jc w:val="left"/>
            </w:pPr>
            <w:r>
              <w:t>C5OL</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C54DC46" w14:textId="77777777" w:rsidR="006568C5" w:rsidRDefault="006568C5">
            <w:pPr>
              <w:pStyle w:val="TableDataEntries"/>
            </w:pPr>
            <w:r>
              <w:t xml:space="preserve"> 7</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9333FC" w14:textId="77777777" w:rsidR="006568C5" w:rsidRDefault="006568C5">
            <w:pPr>
              <w:pStyle w:val="TableDataEntries"/>
            </w:pPr>
            <w:r>
              <w:t xml:space="preserve"> 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03E1A20" w14:textId="77777777" w:rsidR="006568C5" w:rsidRDefault="006568C5">
            <w:pPr>
              <w:pStyle w:val="TableDataEntries"/>
            </w:pPr>
            <w:r>
              <w:t>39 905</w:t>
            </w:r>
          </w:p>
        </w:tc>
      </w:tr>
      <w:tr w:rsidR="006568C5" w14:paraId="044BC194"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8AA8A95" w14:textId="77777777" w:rsidR="006568C5" w:rsidRDefault="006568C5">
            <w:pPr>
              <w:pStyle w:val="TableDataEntries"/>
              <w:jc w:val="left"/>
            </w:pPr>
            <w:r>
              <w:t>C5OL</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1936C24" w14:textId="77777777" w:rsidR="006568C5" w:rsidRDefault="006568C5">
            <w:pPr>
              <w:pStyle w:val="TableDataEntries"/>
            </w:pPr>
            <w:r>
              <w:t xml:space="preserve"> 8</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A87E37" w14:textId="77777777" w:rsidR="006568C5" w:rsidRDefault="006568C5">
            <w:pPr>
              <w:pStyle w:val="TableDataEntries"/>
            </w:pPr>
            <w:r>
              <w:t xml:space="preserve"> 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FED55B" w14:textId="77777777" w:rsidR="006568C5" w:rsidRDefault="006568C5">
            <w:pPr>
              <w:pStyle w:val="TableDataEntries"/>
            </w:pPr>
            <w:r>
              <w:t>185 793</w:t>
            </w:r>
          </w:p>
        </w:tc>
      </w:tr>
      <w:tr w:rsidR="006568C5" w14:paraId="5FE8401D"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94E031C" w14:textId="77777777" w:rsidR="006568C5" w:rsidRDefault="006568C5">
            <w:pPr>
              <w:pStyle w:val="TableDataEntries"/>
              <w:jc w:val="left"/>
            </w:pPr>
            <w:r>
              <w:t>C6RS</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DA39C9" w14:textId="77777777" w:rsidR="006568C5" w:rsidRDefault="006568C5">
            <w:pPr>
              <w:pStyle w:val="TableDataEntries"/>
            </w:pPr>
            <w:r>
              <w:t xml:space="preserve"> 1</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EE7D471" w14:textId="77777777" w:rsidR="006568C5" w:rsidRDefault="006568C5">
            <w:pPr>
              <w:pStyle w:val="TableDataEntries"/>
            </w:pPr>
            <w:r>
              <w:t>-1 952</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ECE0025" w14:textId="77777777" w:rsidR="006568C5" w:rsidRDefault="006568C5">
            <w:pPr>
              <w:pStyle w:val="TableDataEntries"/>
            </w:pPr>
            <w:r>
              <w:t xml:space="preserve"> 0</w:t>
            </w:r>
          </w:p>
        </w:tc>
      </w:tr>
      <w:tr w:rsidR="006568C5" w14:paraId="18F760F6"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BF08CF9" w14:textId="77777777" w:rsidR="006568C5" w:rsidRDefault="006568C5">
            <w:pPr>
              <w:pStyle w:val="TableDataEntries"/>
              <w:jc w:val="left"/>
            </w:pPr>
            <w:r>
              <w:t>C6RS</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5D10A4" w14:textId="77777777" w:rsidR="006568C5" w:rsidRDefault="006568C5">
            <w:pPr>
              <w:pStyle w:val="TableDataEntries"/>
            </w:pPr>
            <w:r>
              <w:t xml:space="preserve"> 2</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541183" w14:textId="77777777" w:rsidR="006568C5" w:rsidRDefault="006568C5">
            <w:pPr>
              <w:pStyle w:val="TableDataEntries"/>
            </w:pPr>
            <w:r>
              <w:t xml:space="preserve"> 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3308F54" w14:textId="77777777" w:rsidR="006568C5" w:rsidRDefault="006568C5">
            <w:pPr>
              <w:pStyle w:val="TableDataEntries"/>
            </w:pPr>
            <w:r>
              <w:t>10 719</w:t>
            </w:r>
          </w:p>
        </w:tc>
      </w:tr>
      <w:tr w:rsidR="006568C5" w14:paraId="3D6B673F"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54F6FDE" w14:textId="77777777" w:rsidR="006568C5" w:rsidRDefault="006568C5">
            <w:pPr>
              <w:pStyle w:val="TableDataEntries"/>
              <w:jc w:val="left"/>
            </w:pPr>
            <w:r>
              <w:t>C6RS</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38381D3" w14:textId="77777777" w:rsidR="006568C5" w:rsidRDefault="006568C5">
            <w:pPr>
              <w:pStyle w:val="TableDataEntries"/>
            </w:pPr>
            <w:r>
              <w:t xml:space="preserve"> 3</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183DE3" w14:textId="77777777" w:rsidR="006568C5" w:rsidRDefault="006568C5">
            <w:pPr>
              <w:pStyle w:val="TableDataEntries"/>
            </w:pPr>
            <w:r>
              <w:t xml:space="preserve"> 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80B1D2F" w14:textId="77777777" w:rsidR="006568C5" w:rsidRDefault="006568C5">
            <w:pPr>
              <w:pStyle w:val="TableDataEntries"/>
            </w:pPr>
            <w:r>
              <w:t>15 190</w:t>
            </w:r>
          </w:p>
        </w:tc>
      </w:tr>
      <w:tr w:rsidR="006568C5" w14:paraId="12074BF8"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64A730" w14:textId="77777777" w:rsidR="006568C5" w:rsidRDefault="006568C5">
            <w:pPr>
              <w:pStyle w:val="TableDataEntries"/>
              <w:jc w:val="left"/>
            </w:pPr>
            <w:r>
              <w:t>C6RS</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C6ECB55" w14:textId="77777777" w:rsidR="006568C5" w:rsidRDefault="006568C5">
            <w:pPr>
              <w:pStyle w:val="TableDataEntries"/>
            </w:pPr>
            <w:r>
              <w:t xml:space="preserve"> 4</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7B4F1F" w14:textId="77777777" w:rsidR="006568C5" w:rsidRDefault="006568C5">
            <w:pPr>
              <w:pStyle w:val="TableDataEntries"/>
            </w:pPr>
            <w:r>
              <w:t xml:space="preserve"> 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9750E5" w14:textId="77777777" w:rsidR="006568C5" w:rsidRDefault="006568C5">
            <w:pPr>
              <w:pStyle w:val="TableDataEntries"/>
            </w:pPr>
            <w:r>
              <w:t>10 719</w:t>
            </w:r>
          </w:p>
        </w:tc>
      </w:tr>
      <w:tr w:rsidR="006568C5" w14:paraId="6F1E8C44"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CFA165A" w14:textId="77777777" w:rsidR="006568C5" w:rsidRDefault="006568C5">
            <w:pPr>
              <w:pStyle w:val="TableDataEntries"/>
              <w:jc w:val="left"/>
            </w:pPr>
            <w:r>
              <w:t>C6RS</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384971" w14:textId="77777777" w:rsidR="006568C5" w:rsidRDefault="006568C5">
            <w:pPr>
              <w:pStyle w:val="TableDataEntries"/>
            </w:pPr>
            <w:r>
              <w:t xml:space="preserve"> 5</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7667095" w14:textId="77777777" w:rsidR="006568C5" w:rsidRDefault="006568C5">
            <w:pPr>
              <w:pStyle w:val="TableDataEntries"/>
            </w:pPr>
            <w:r>
              <w:t>-1 952</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F9D99F" w14:textId="77777777" w:rsidR="006568C5" w:rsidRDefault="006568C5">
            <w:pPr>
              <w:pStyle w:val="TableDataEntries"/>
            </w:pPr>
            <w:r>
              <w:t xml:space="preserve"> 0</w:t>
            </w:r>
          </w:p>
        </w:tc>
      </w:tr>
      <w:tr w:rsidR="006568C5" w14:paraId="05767502"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1F7EEF0" w14:textId="77777777" w:rsidR="006568C5" w:rsidRDefault="006568C5">
            <w:pPr>
              <w:pStyle w:val="TableDataEntries"/>
              <w:jc w:val="left"/>
            </w:pPr>
            <w:r>
              <w:t>C6RS</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F9625C3" w14:textId="77777777" w:rsidR="006568C5" w:rsidRDefault="006568C5">
            <w:pPr>
              <w:pStyle w:val="TableDataEntries"/>
            </w:pPr>
            <w:r>
              <w:t xml:space="preserve"> 6</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E3362A3" w14:textId="77777777" w:rsidR="006568C5" w:rsidRDefault="006568C5">
            <w:pPr>
              <w:pStyle w:val="TableDataEntries"/>
            </w:pPr>
            <w:r>
              <w:t xml:space="preserve"> 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45BEBEA" w14:textId="77777777" w:rsidR="006568C5" w:rsidRDefault="006568C5">
            <w:pPr>
              <w:pStyle w:val="TableDataEntries"/>
            </w:pPr>
            <w:r>
              <w:t>10 719</w:t>
            </w:r>
          </w:p>
        </w:tc>
      </w:tr>
      <w:tr w:rsidR="006568C5" w14:paraId="014F1062"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C739117" w14:textId="77777777" w:rsidR="006568C5" w:rsidRDefault="006568C5">
            <w:pPr>
              <w:pStyle w:val="TableDataEntries"/>
              <w:jc w:val="left"/>
            </w:pPr>
            <w:r>
              <w:t>C6RS</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891DE25" w14:textId="77777777" w:rsidR="006568C5" w:rsidRDefault="006568C5">
            <w:pPr>
              <w:pStyle w:val="TableDataEntries"/>
            </w:pPr>
            <w:r>
              <w:t xml:space="preserve"> 7</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041386" w14:textId="77777777" w:rsidR="006568C5" w:rsidRDefault="006568C5">
            <w:pPr>
              <w:pStyle w:val="TableDataEntries"/>
            </w:pPr>
            <w:r>
              <w:t>-1 952</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6DCC9B" w14:textId="77777777" w:rsidR="006568C5" w:rsidRDefault="006568C5">
            <w:pPr>
              <w:pStyle w:val="TableDataEntries"/>
            </w:pPr>
            <w:r>
              <w:t xml:space="preserve"> 0</w:t>
            </w:r>
          </w:p>
        </w:tc>
      </w:tr>
      <w:tr w:rsidR="006568C5" w14:paraId="1991E921"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342A4F" w14:textId="77777777" w:rsidR="006568C5" w:rsidRDefault="006568C5">
            <w:pPr>
              <w:pStyle w:val="TableDataEntries"/>
              <w:jc w:val="left"/>
            </w:pPr>
            <w:r>
              <w:t>C6RS</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9480712" w14:textId="77777777" w:rsidR="006568C5" w:rsidRDefault="006568C5">
            <w:pPr>
              <w:pStyle w:val="TableDataEntries"/>
            </w:pPr>
            <w:r>
              <w:t xml:space="preserve"> 8</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4411D6" w14:textId="77777777" w:rsidR="006568C5" w:rsidRDefault="006568C5">
            <w:pPr>
              <w:pStyle w:val="TableDataEntries"/>
            </w:pPr>
            <w:r>
              <w:t>-1 952</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6CFF7B" w14:textId="77777777" w:rsidR="006568C5" w:rsidRDefault="006568C5">
            <w:pPr>
              <w:pStyle w:val="TableDataEntries"/>
            </w:pPr>
            <w:r>
              <w:t>4 471</w:t>
            </w:r>
          </w:p>
        </w:tc>
      </w:tr>
      <w:tr w:rsidR="006568C5" w14:paraId="40B50B0E"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A9497E" w14:textId="77777777" w:rsidR="006568C5" w:rsidRDefault="006568C5">
            <w:pPr>
              <w:pStyle w:val="TableDataEntries"/>
              <w:jc w:val="left"/>
            </w:pPr>
            <w:r>
              <w:t>C6RL</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752A96" w14:textId="77777777" w:rsidR="006568C5" w:rsidRDefault="006568C5">
            <w:pPr>
              <w:pStyle w:val="TableDataEntries"/>
            </w:pPr>
            <w:r>
              <w:t xml:space="preserve"> 1</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3EF7EBA" w14:textId="77777777" w:rsidR="006568C5" w:rsidRDefault="006568C5">
            <w:pPr>
              <w:pStyle w:val="TableDataEntries"/>
            </w:pPr>
            <w:r>
              <w:t xml:space="preserve"> 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5DD954A" w14:textId="77777777" w:rsidR="006568C5" w:rsidRDefault="006568C5">
            <w:pPr>
              <w:pStyle w:val="TableDataEntries"/>
            </w:pPr>
            <w:r>
              <w:t xml:space="preserve"> 0</w:t>
            </w:r>
          </w:p>
        </w:tc>
      </w:tr>
      <w:tr w:rsidR="006568C5" w14:paraId="1731F69B"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C75E363" w14:textId="77777777" w:rsidR="006568C5" w:rsidRDefault="006568C5">
            <w:pPr>
              <w:pStyle w:val="TableDataEntries"/>
              <w:jc w:val="left"/>
            </w:pPr>
            <w:r>
              <w:t>C6RL</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A13BDC" w14:textId="77777777" w:rsidR="006568C5" w:rsidRDefault="006568C5">
            <w:pPr>
              <w:pStyle w:val="TableDataEntries"/>
            </w:pPr>
            <w:r>
              <w:t xml:space="preserve"> 2</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1823A2B" w14:textId="77777777" w:rsidR="006568C5" w:rsidRDefault="006568C5">
            <w:pPr>
              <w:pStyle w:val="TableDataEntries"/>
            </w:pPr>
            <w:r>
              <w:t xml:space="preserve"> 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BFE55E4" w14:textId="77777777" w:rsidR="006568C5" w:rsidRDefault="006568C5">
            <w:pPr>
              <w:pStyle w:val="TableDataEntries"/>
            </w:pPr>
            <w:r>
              <w:t xml:space="preserve"> 0</w:t>
            </w:r>
          </w:p>
        </w:tc>
      </w:tr>
      <w:tr w:rsidR="006568C5" w14:paraId="715BF07B"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CE45A3" w14:textId="77777777" w:rsidR="006568C5" w:rsidRDefault="006568C5">
            <w:pPr>
              <w:pStyle w:val="TableDataEntries"/>
              <w:jc w:val="left"/>
            </w:pPr>
            <w:r>
              <w:t>C6RL</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E527A4B" w14:textId="77777777" w:rsidR="006568C5" w:rsidRDefault="006568C5">
            <w:pPr>
              <w:pStyle w:val="TableDataEntries"/>
            </w:pPr>
            <w:r>
              <w:t xml:space="preserve"> 3</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D2A87A7" w14:textId="77777777" w:rsidR="006568C5" w:rsidRDefault="006568C5">
            <w:pPr>
              <w:pStyle w:val="TableDataEntries"/>
            </w:pPr>
            <w:r>
              <w:t xml:space="preserve"> 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3A30DFA" w14:textId="77777777" w:rsidR="006568C5" w:rsidRDefault="006568C5">
            <w:pPr>
              <w:pStyle w:val="TableDataEntries"/>
            </w:pPr>
            <w:r>
              <w:t xml:space="preserve"> 0</w:t>
            </w:r>
          </w:p>
        </w:tc>
      </w:tr>
      <w:tr w:rsidR="006568C5" w14:paraId="4F2E3C32"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F259584" w14:textId="77777777" w:rsidR="006568C5" w:rsidRDefault="006568C5">
            <w:pPr>
              <w:pStyle w:val="TableDataEntries"/>
              <w:jc w:val="left"/>
            </w:pPr>
            <w:r>
              <w:t>C6RL</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E5EC75" w14:textId="77777777" w:rsidR="006568C5" w:rsidRDefault="006568C5">
            <w:pPr>
              <w:pStyle w:val="TableDataEntries"/>
            </w:pPr>
            <w:r>
              <w:t xml:space="preserve"> 4</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ACEF97" w14:textId="77777777" w:rsidR="006568C5" w:rsidRDefault="006568C5">
            <w:pPr>
              <w:pStyle w:val="TableDataEntries"/>
            </w:pPr>
            <w:r>
              <w:t xml:space="preserve"> 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703857" w14:textId="77777777" w:rsidR="006568C5" w:rsidRDefault="006568C5">
            <w:pPr>
              <w:pStyle w:val="TableDataEntries"/>
            </w:pPr>
            <w:r>
              <w:t xml:space="preserve"> 0</w:t>
            </w:r>
          </w:p>
        </w:tc>
      </w:tr>
      <w:tr w:rsidR="006568C5" w14:paraId="3F2D98E4"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C82BCC" w14:textId="77777777" w:rsidR="006568C5" w:rsidRDefault="006568C5">
            <w:pPr>
              <w:pStyle w:val="TableDataEntries"/>
              <w:jc w:val="left"/>
            </w:pPr>
            <w:r>
              <w:t>C6RL</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944FE97" w14:textId="77777777" w:rsidR="006568C5" w:rsidRDefault="006568C5">
            <w:pPr>
              <w:pStyle w:val="TableDataEntries"/>
            </w:pPr>
            <w:r>
              <w:t xml:space="preserve"> 5</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E7934A" w14:textId="77777777" w:rsidR="006568C5" w:rsidRDefault="006568C5">
            <w:pPr>
              <w:pStyle w:val="TableDataEntries"/>
            </w:pPr>
            <w:r>
              <w:t xml:space="preserve"> 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D0A4CB4" w14:textId="77777777" w:rsidR="006568C5" w:rsidRDefault="006568C5">
            <w:pPr>
              <w:pStyle w:val="TableDataEntries"/>
            </w:pPr>
            <w:r>
              <w:t xml:space="preserve"> 0</w:t>
            </w:r>
          </w:p>
        </w:tc>
      </w:tr>
      <w:tr w:rsidR="006568C5" w14:paraId="11EF69FB"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34F3446" w14:textId="77777777" w:rsidR="006568C5" w:rsidRDefault="006568C5">
            <w:pPr>
              <w:pStyle w:val="TableDataEntries"/>
              <w:jc w:val="left"/>
            </w:pPr>
            <w:r>
              <w:t>C6RL</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0954C48" w14:textId="77777777" w:rsidR="006568C5" w:rsidRDefault="006568C5">
            <w:pPr>
              <w:pStyle w:val="TableDataEntries"/>
            </w:pPr>
            <w:r>
              <w:t xml:space="preserve"> 6</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9C1A62" w14:textId="77777777" w:rsidR="006568C5" w:rsidRDefault="006568C5">
            <w:pPr>
              <w:pStyle w:val="TableDataEntries"/>
            </w:pPr>
            <w:r>
              <w:t xml:space="preserve"> 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1ACEC3A" w14:textId="77777777" w:rsidR="006568C5" w:rsidRDefault="006568C5">
            <w:pPr>
              <w:pStyle w:val="TableDataEntries"/>
            </w:pPr>
            <w:r>
              <w:t xml:space="preserve"> 0</w:t>
            </w:r>
          </w:p>
        </w:tc>
      </w:tr>
      <w:tr w:rsidR="006568C5" w14:paraId="6CE4DE4B"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C16DDE" w14:textId="77777777" w:rsidR="006568C5" w:rsidRDefault="006568C5">
            <w:pPr>
              <w:pStyle w:val="TableDataEntries"/>
              <w:jc w:val="left"/>
            </w:pPr>
            <w:r>
              <w:t>C6RL</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FA0B385" w14:textId="77777777" w:rsidR="006568C5" w:rsidRDefault="006568C5">
            <w:pPr>
              <w:pStyle w:val="TableDataEntries"/>
            </w:pPr>
            <w:r>
              <w:t xml:space="preserve"> 7</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13AEEF" w14:textId="77777777" w:rsidR="006568C5" w:rsidRDefault="006568C5">
            <w:pPr>
              <w:pStyle w:val="TableDataEntries"/>
            </w:pPr>
            <w:r>
              <w:t xml:space="preserve"> 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2AFAD0" w14:textId="77777777" w:rsidR="006568C5" w:rsidRDefault="006568C5">
            <w:pPr>
              <w:pStyle w:val="TableDataEntries"/>
            </w:pPr>
            <w:r>
              <w:t xml:space="preserve"> 0</w:t>
            </w:r>
          </w:p>
        </w:tc>
      </w:tr>
      <w:tr w:rsidR="006568C5" w14:paraId="55C1AF28"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330D032" w14:textId="77777777" w:rsidR="006568C5" w:rsidRDefault="006568C5">
            <w:pPr>
              <w:pStyle w:val="TableDataEntries"/>
              <w:jc w:val="left"/>
            </w:pPr>
            <w:r>
              <w:t>C6RL</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2AFC5D7" w14:textId="77777777" w:rsidR="006568C5" w:rsidRDefault="006568C5">
            <w:pPr>
              <w:pStyle w:val="TableDataEntries"/>
            </w:pPr>
            <w:r>
              <w:t xml:space="preserve"> 8</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457B02" w14:textId="77777777" w:rsidR="006568C5" w:rsidRDefault="006568C5">
            <w:pPr>
              <w:pStyle w:val="TableDataEntries"/>
            </w:pPr>
            <w:r>
              <w:t xml:space="preserve"> 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08CD485" w14:textId="77777777" w:rsidR="006568C5" w:rsidRDefault="006568C5">
            <w:pPr>
              <w:pStyle w:val="TableDataEntries"/>
            </w:pPr>
            <w:r>
              <w:t xml:space="preserve"> 0</w:t>
            </w:r>
          </w:p>
        </w:tc>
      </w:tr>
      <w:tr w:rsidR="006568C5" w14:paraId="0FBEA98B"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697E42" w14:textId="77777777" w:rsidR="006568C5" w:rsidRDefault="006568C5">
            <w:pPr>
              <w:pStyle w:val="TableDataEntries"/>
              <w:jc w:val="left"/>
            </w:pPr>
            <w:r>
              <w:t>C9A</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41D4C98" w14:textId="77777777" w:rsidR="006568C5" w:rsidRDefault="006568C5">
            <w:pPr>
              <w:pStyle w:val="TableDataEntries"/>
            </w:pPr>
            <w:r>
              <w:t xml:space="preserve"> 1</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31039EB" w14:textId="77777777" w:rsidR="006568C5" w:rsidRDefault="006568C5">
            <w:pPr>
              <w:pStyle w:val="TableDataEntries"/>
            </w:pPr>
            <w:r>
              <w:t>15 120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8A968E" w14:textId="77777777" w:rsidR="006568C5" w:rsidRDefault="006568C5">
            <w:pPr>
              <w:pStyle w:val="TableDataEntries"/>
            </w:pPr>
            <w:r>
              <w:t>- 403</w:t>
            </w:r>
          </w:p>
        </w:tc>
      </w:tr>
      <w:tr w:rsidR="006568C5" w14:paraId="322E9006"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07AF8F6" w14:textId="77777777" w:rsidR="006568C5" w:rsidRDefault="006568C5">
            <w:pPr>
              <w:pStyle w:val="TableDataEntries"/>
              <w:jc w:val="left"/>
            </w:pPr>
            <w:r>
              <w:t>C9A</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ADC970" w14:textId="77777777" w:rsidR="006568C5" w:rsidRDefault="006568C5">
            <w:pPr>
              <w:pStyle w:val="TableDataEntries"/>
            </w:pPr>
            <w:r>
              <w:t xml:space="preserve"> 2</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159FE3" w14:textId="77777777" w:rsidR="006568C5" w:rsidRDefault="006568C5">
            <w:pPr>
              <w:pStyle w:val="TableDataEntries"/>
            </w:pPr>
            <w:r>
              <w:t>-15 120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A384E9" w14:textId="77777777" w:rsidR="006568C5" w:rsidRDefault="006568C5">
            <w:pPr>
              <w:pStyle w:val="TableDataEntries"/>
            </w:pPr>
            <w:r>
              <w:t>38 075</w:t>
            </w:r>
          </w:p>
        </w:tc>
      </w:tr>
      <w:tr w:rsidR="006568C5" w14:paraId="4AAAAE53"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58048E" w14:textId="77777777" w:rsidR="006568C5" w:rsidRDefault="006568C5">
            <w:pPr>
              <w:pStyle w:val="TableDataEntries"/>
              <w:jc w:val="left"/>
            </w:pPr>
            <w:r>
              <w:t>C9A</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B39547" w14:textId="77777777" w:rsidR="006568C5" w:rsidRDefault="006568C5">
            <w:pPr>
              <w:pStyle w:val="TableDataEntries"/>
            </w:pPr>
            <w:r>
              <w:t xml:space="preserve"> 3</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A728887" w14:textId="77777777" w:rsidR="006568C5" w:rsidRDefault="006568C5">
            <w:pPr>
              <w:pStyle w:val="TableDataEntries"/>
            </w:pPr>
            <w:r>
              <w:t>-8 280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6EC84AC" w14:textId="77777777" w:rsidR="006568C5" w:rsidRDefault="006568C5">
            <w:pPr>
              <w:pStyle w:val="TableDataEntries"/>
            </w:pPr>
            <w:r>
              <w:t>38 075</w:t>
            </w:r>
          </w:p>
        </w:tc>
      </w:tr>
      <w:tr w:rsidR="006568C5" w14:paraId="483AEA61"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0EE78F4" w14:textId="77777777" w:rsidR="006568C5" w:rsidRDefault="006568C5">
            <w:pPr>
              <w:pStyle w:val="TableDataEntries"/>
              <w:jc w:val="left"/>
            </w:pPr>
            <w:r>
              <w:t>C9A</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7A2D11B" w14:textId="77777777" w:rsidR="006568C5" w:rsidRDefault="006568C5">
            <w:pPr>
              <w:pStyle w:val="TableDataEntries"/>
            </w:pPr>
            <w:r>
              <w:t xml:space="preserve"> 4</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C3CAF95" w14:textId="77777777" w:rsidR="006568C5" w:rsidRDefault="006568C5">
            <w:pPr>
              <w:pStyle w:val="TableDataEntries"/>
            </w:pPr>
            <w:r>
              <w:t>6 840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28B881" w14:textId="77777777" w:rsidR="006568C5" w:rsidRDefault="006568C5">
            <w:pPr>
              <w:pStyle w:val="TableDataEntries"/>
            </w:pPr>
            <w:r>
              <w:t>38 002</w:t>
            </w:r>
          </w:p>
        </w:tc>
      </w:tr>
      <w:tr w:rsidR="006568C5" w14:paraId="70468F15"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73E69F3" w14:textId="77777777" w:rsidR="006568C5" w:rsidRDefault="006568C5">
            <w:pPr>
              <w:pStyle w:val="TableDataEntries"/>
              <w:jc w:val="left"/>
            </w:pPr>
            <w:r>
              <w:t>C9A</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0735988" w14:textId="77777777" w:rsidR="006568C5" w:rsidRDefault="006568C5">
            <w:pPr>
              <w:pStyle w:val="TableDataEntries"/>
            </w:pPr>
            <w:r>
              <w:t xml:space="preserve"> 5</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43E9078" w14:textId="77777777" w:rsidR="006568C5" w:rsidRDefault="006568C5">
            <w:pPr>
              <w:pStyle w:val="TableDataEntries"/>
            </w:pPr>
            <w:r>
              <w:t>-15 120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F39322C" w14:textId="77777777" w:rsidR="006568C5" w:rsidRDefault="006568C5">
            <w:pPr>
              <w:pStyle w:val="TableDataEntries"/>
            </w:pPr>
            <w:r>
              <w:t>38 075</w:t>
            </w:r>
          </w:p>
        </w:tc>
      </w:tr>
      <w:tr w:rsidR="006568C5" w14:paraId="11AABD41"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EC154F" w14:textId="77777777" w:rsidR="006568C5" w:rsidRDefault="006568C5">
            <w:pPr>
              <w:pStyle w:val="TableDataEntries"/>
              <w:jc w:val="left"/>
            </w:pPr>
            <w:r>
              <w:t>C9A</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4FA5B21" w14:textId="77777777" w:rsidR="006568C5" w:rsidRDefault="006568C5">
            <w:pPr>
              <w:pStyle w:val="TableDataEntries"/>
            </w:pPr>
            <w:r>
              <w:t xml:space="preserve"> 6</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386DC40" w14:textId="77777777" w:rsidR="006568C5" w:rsidRDefault="006568C5">
            <w:pPr>
              <w:pStyle w:val="TableDataEntries"/>
            </w:pPr>
            <w:r>
              <w:t>-8 280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7BC663A" w14:textId="77777777" w:rsidR="006568C5" w:rsidRDefault="006568C5">
            <w:pPr>
              <w:pStyle w:val="TableDataEntries"/>
            </w:pPr>
            <w:r>
              <w:t>38 075</w:t>
            </w:r>
          </w:p>
        </w:tc>
      </w:tr>
      <w:tr w:rsidR="006568C5" w14:paraId="41B16256"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E2B1598" w14:textId="77777777" w:rsidR="006568C5" w:rsidRDefault="006568C5">
            <w:pPr>
              <w:pStyle w:val="TableDataEntries"/>
              <w:jc w:val="left"/>
            </w:pPr>
            <w:r>
              <w:t>C9A</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E83DCA" w14:textId="77777777" w:rsidR="006568C5" w:rsidRDefault="006568C5">
            <w:pPr>
              <w:pStyle w:val="TableDataEntries"/>
            </w:pPr>
            <w:r>
              <w:t xml:space="preserve"> 7</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97327F" w14:textId="77777777" w:rsidR="006568C5" w:rsidRDefault="006568C5">
            <w:pPr>
              <w:pStyle w:val="TableDataEntries"/>
            </w:pPr>
            <w:r>
              <w:t>-8 280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78E9E3" w14:textId="77777777" w:rsidR="006568C5" w:rsidRDefault="006568C5">
            <w:pPr>
              <w:pStyle w:val="TableDataEntries"/>
            </w:pPr>
            <w:r>
              <w:t>38 075</w:t>
            </w:r>
          </w:p>
        </w:tc>
      </w:tr>
      <w:tr w:rsidR="006568C5" w14:paraId="2860CD62"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1651E9" w14:textId="77777777" w:rsidR="006568C5" w:rsidRDefault="006568C5">
            <w:pPr>
              <w:pStyle w:val="TableDataEntries"/>
              <w:jc w:val="left"/>
            </w:pPr>
            <w:r>
              <w:t>C9A</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C513B39" w14:textId="77777777" w:rsidR="006568C5" w:rsidRDefault="006568C5">
            <w:pPr>
              <w:pStyle w:val="TableDataEntries"/>
            </w:pPr>
            <w:r>
              <w:t xml:space="preserve"> 8</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59E2E9" w14:textId="77777777" w:rsidR="006568C5" w:rsidRDefault="006568C5">
            <w:pPr>
              <w:pStyle w:val="TableDataEntries"/>
            </w:pPr>
            <w:r>
              <w:t>21 960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62B905" w14:textId="77777777" w:rsidR="006568C5" w:rsidRDefault="006568C5">
            <w:pPr>
              <w:pStyle w:val="TableDataEntries"/>
            </w:pPr>
            <w:r>
              <w:t>37 148</w:t>
            </w:r>
          </w:p>
        </w:tc>
      </w:tr>
      <w:tr w:rsidR="006568C5" w14:paraId="26243521"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4B3F6E7" w14:textId="77777777" w:rsidR="006568C5" w:rsidRDefault="006568C5">
            <w:pPr>
              <w:pStyle w:val="TableDataEntries"/>
              <w:jc w:val="left"/>
            </w:pPr>
            <w:r>
              <w:t>C9B</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713CEA4" w14:textId="77777777" w:rsidR="006568C5" w:rsidRDefault="006568C5">
            <w:pPr>
              <w:pStyle w:val="TableDataEntries"/>
            </w:pPr>
            <w:r>
              <w:t xml:space="preserve"> 1</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DEB316F" w14:textId="2F744DFF" w:rsidR="006568C5" w:rsidRDefault="003D32D6">
            <w:pPr>
              <w:pStyle w:val="TableDataEntries"/>
            </w:pPr>
            <w:r w:rsidRPr="003D32D6">
              <w:t>-3 648</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2D45096" w14:textId="2060FF96" w:rsidR="006568C5" w:rsidRDefault="006568C5">
            <w:pPr>
              <w:pStyle w:val="TableDataEntries"/>
            </w:pPr>
            <w:r>
              <w:t xml:space="preserve"> 0</w:t>
            </w:r>
          </w:p>
        </w:tc>
      </w:tr>
      <w:tr w:rsidR="006568C5" w14:paraId="765CCAE2"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616F407" w14:textId="77777777" w:rsidR="006568C5" w:rsidRDefault="006568C5">
            <w:pPr>
              <w:pStyle w:val="TableDataEntries"/>
              <w:jc w:val="left"/>
            </w:pPr>
            <w:r>
              <w:t>C9B</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99C947F" w14:textId="77777777" w:rsidR="006568C5" w:rsidRDefault="006568C5">
            <w:pPr>
              <w:pStyle w:val="TableDataEntries"/>
            </w:pPr>
            <w:r>
              <w:t xml:space="preserve"> 2</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6F9B1D1" w14:textId="7968C7E2" w:rsidR="006568C5" w:rsidRDefault="003D32D6">
            <w:pPr>
              <w:pStyle w:val="TableDataEntries"/>
            </w:pPr>
            <w:r w:rsidRPr="003D32D6">
              <w:t>-3 648</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4276510" w14:textId="15E9769B" w:rsidR="006568C5" w:rsidRDefault="006568C5">
            <w:pPr>
              <w:pStyle w:val="TableDataEntries"/>
            </w:pPr>
            <w:r>
              <w:t xml:space="preserve"> 0</w:t>
            </w:r>
          </w:p>
        </w:tc>
      </w:tr>
      <w:tr w:rsidR="006568C5" w14:paraId="27E84B3F"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0E04985" w14:textId="77777777" w:rsidR="006568C5" w:rsidRDefault="006568C5">
            <w:pPr>
              <w:pStyle w:val="TableDataEntries"/>
              <w:jc w:val="left"/>
            </w:pPr>
            <w:r>
              <w:t>C9B</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7715241" w14:textId="77777777" w:rsidR="006568C5" w:rsidRDefault="006568C5">
            <w:pPr>
              <w:pStyle w:val="TableDataEntries"/>
            </w:pPr>
            <w:r>
              <w:t xml:space="preserve"> 3</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16D4068" w14:textId="672ACBAE" w:rsidR="006568C5" w:rsidRDefault="003D32D6">
            <w:pPr>
              <w:pStyle w:val="TableDataEntries"/>
            </w:pPr>
            <w:r w:rsidRPr="003D32D6">
              <w:t>4 416</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74CC9D9" w14:textId="50A1F4D0" w:rsidR="006568C5" w:rsidRDefault="003D32D6">
            <w:pPr>
              <w:pStyle w:val="TableDataEntries"/>
            </w:pPr>
            <w:r w:rsidRPr="003D32D6">
              <w:t>7 899</w:t>
            </w:r>
          </w:p>
        </w:tc>
      </w:tr>
      <w:tr w:rsidR="006568C5" w14:paraId="316157BE"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9B7952" w14:textId="77777777" w:rsidR="006568C5" w:rsidRDefault="006568C5">
            <w:pPr>
              <w:pStyle w:val="TableDataEntries"/>
              <w:jc w:val="left"/>
            </w:pPr>
            <w:r>
              <w:t>C9B</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89F291" w14:textId="77777777" w:rsidR="006568C5" w:rsidRDefault="006568C5">
            <w:pPr>
              <w:pStyle w:val="TableDataEntries"/>
            </w:pPr>
            <w:r>
              <w:t xml:space="preserve"> 4</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F2B6BDC" w14:textId="6DEE340E" w:rsidR="006568C5" w:rsidRDefault="003D32D6">
            <w:pPr>
              <w:pStyle w:val="TableDataEntries"/>
            </w:pPr>
            <w:r w:rsidRPr="003D32D6">
              <w:t>-3 648</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FD59FD4" w14:textId="235EEC88" w:rsidR="006568C5" w:rsidRDefault="006568C5">
            <w:pPr>
              <w:pStyle w:val="TableDataEntries"/>
            </w:pPr>
            <w:r>
              <w:t xml:space="preserve"> 0</w:t>
            </w:r>
          </w:p>
        </w:tc>
      </w:tr>
      <w:tr w:rsidR="006568C5" w14:paraId="64D9EC29"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E6FD1B0" w14:textId="77777777" w:rsidR="006568C5" w:rsidRDefault="006568C5">
            <w:pPr>
              <w:pStyle w:val="TableDataEntries"/>
              <w:jc w:val="left"/>
            </w:pPr>
            <w:r>
              <w:t>C9B</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2CC3996" w14:textId="77777777" w:rsidR="006568C5" w:rsidRDefault="006568C5">
            <w:pPr>
              <w:pStyle w:val="TableDataEntries"/>
            </w:pPr>
            <w:r>
              <w:t xml:space="preserve"> 5</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FC9F1A8" w14:textId="4FE23DC3" w:rsidR="006568C5" w:rsidRDefault="003D32D6">
            <w:pPr>
              <w:pStyle w:val="TableDataEntries"/>
            </w:pPr>
            <w:r w:rsidRPr="003D32D6">
              <w:t>-3 648</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1487C6B" w14:textId="79424557" w:rsidR="006568C5" w:rsidRDefault="006568C5">
            <w:pPr>
              <w:pStyle w:val="TableDataEntries"/>
            </w:pPr>
            <w:r>
              <w:t xml:space="preserve"> 0</w:t>
            </w:r>
          </w:p>
        </w:tc>
      </w:tr>
      <w:tr w:rsidR="006568C5" w14:paraId="1E90786C"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745D230" w14:textId="77777777" w:rsidR="006568C5" w:rsidRDefault="006568C5">
            <w:pPr>
              <w:pStyle w:val="TableDataEntries"/>
              <w:jc w:val="left"/>
            </w:pPr>
            <w:r>
              <w:t>C9B</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C9D477D" w14:textId="77777777" w:rsidR="006568C5" w:rsidRDefault="006568C5">
            <w:pPr>
              <w:pStyle w:val="TableDataEntries"/>
            </w:pPr>
            <w:r>
              <w:t xml:space="preserve"> 6</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8CC6E42" w14:textId="6B020AC6" w:rsidR="006568C5" w:rsidRDefault="003D32D6">
            <w:pPr>
              <w:pStyle w:val="TableDataEntries"/>
            </w:pPr>
            <w:r w:rsidRPr="003D32D6">
              <w:t>-3 648</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5AED0E4" w14:textId="47956873" w:rsidR="006568C5" w:rsidRDefault="006568C5">
            <w:pPr>
              <w:pStyle w:val="TableDataEntries"/>
            </w:pPr>
            <w:r>
              <w:t xml:space="preserve"> 0</w:t>
            </w:r>
          </w:p>
        </w:tc>
      </w:tr>
      <w:tr w:rsidR="006568C5" w14:paraId="2F078375"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768868D" w14:textId="77777777" w:rsidR="006568C5" w:rsidRDefault="006568C5">
            <w:pPr>
              <w:pStyle w:val="TableDataEntries"/>
              <w:jc w:val="left"/>
            </w:pPr>
            <w:r>
              <w:t>C9B</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FFE955A" w14:textId="77777777" w:rsidR="006568C5" w:rsidRDefault="006568C5">
            <w:pPr>
              <w:pStyle w:val="TableDataEntries"/>
            </w:pPr>
            <w:r>
              <w:t xml:space="preserve"> 7</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4B49E80" w14:textId="0477FCE5" w:rsidR="006568C5" w:rsidRDefault="003D32D6">
            <w:pPr>
              <w:pStyle w:val="TableDataEntries"/>
            </w:pPr>
            <w:r w:rsidRPr="003D32D6">
              <w:t>-3 648</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0315144" w14:textId="12B48F0B" w:rsidR="006568C5" w:rsidRDefault="006568C5">
            <w:pPr>
              <w:pStyle w:val="TableDataEntries"/>
            </w:pPr>
            <w:r>
              <w:t xml:space="preserve"> 0</w:t>
            </w:r>
          </w:p>
        </w:tc>
      </w:tr>
      <w:tr w:rsidR="006568C5" w14:paraId="734EF18C"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4AECC1" w14:textId="77777777" w:rsidR="006568C5" w:rsidRDefault="006568C5">
            <w:pPr>
              <w:pStyle w:val="TableDataEntries"/>
              <w:jc w:val="left"/>
            </w:pPr>
            <w:r>
              <w:t>C9B</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698C5E" w14:textId="77777777" w:rsidR="006568C5" w:rsidRDefault="006568C5">
            <w:pPr>
              <w:pStyle w:val="TableDataEntries"/>
            </w:pPr>
            <w:r>
              <w:t xml:space="preserve"> 8</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B3ACD57" w14:textId="41411457" w:rsidR="006568C5" w:rsidRDefault="003D32D6">
            <w:pPr>
              <w:pStyle w:val="TableDataEntries"/>
            </w:pPr>
            <w:r w:rsidRPr="003D32D6">
              <w:t>8 064</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9E43840" w14:textId="00EE5CC0" w:rsidR="006568C5" w:rsidRDefault="003D32D6">
            <w:pPr>
              <w:pStyle w:val="TableDataEntries"/>
            </w:pPr>
            <w:r w:rsidRPr="003D32D6">
              <w:t>7 899</w:t>
            </w:r>
          </w:p>
        </w:tc>
      </w:tr>
      <w:tr w:rsidR="006568C5" w14:paraId="3BE8C542"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958331" w14:textId="77777777" w:rsidR="006568C5" w:rsidRDefault="006568C5">
            <w:pPr>
              <w:pStyle w:val="TableDataEntries"/>
              <w:jc w:val="left"/>
            </w:pPr>
            <w:r>
              <w:t>C9C</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0D6C80B" w14:textId="77777777" w:rsidR="006568C5" w:rsidRDefault="006568C5">
            <w:pPr>
              <w:pStyle w:val="TableDataEntries"/>
            </w:pPr>
            <w:r>
              <w:t xml:space="preserve"> 1</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AC50E48" w14:textId="7BB5A227" w:rsidR="006568C5" w:rsidRDefault="006568C5">
            <w:pPr>
              <w:pStyle w:val="TableDataEntries"/>
            </w:pPr>
            <w:r>
              <w:t xml:space="preserve"> 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4C1DA84" w14:textId="535F6DAC" w:rsidR="006568C5" w:rsidRDefault="006568C5">
            <w:pPr>
              <w:pStyle w:val="TableDataEntries"/>
            </w:pPr>
            <w:r>
              <w:t xml:space="preserve"> 0</w:t>
            </w:r>
          </w:p>
        </w:tc>
      </w:tr>
      <w:tr w:rsidR="006568C5" w14:paraId="5F32D221"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BE43D81" w14:textId="77777777" w:rsidR="006568C5" w:rsidRDefault="006568C5">
            <w:pPr>
              <w:pStyle w:val="TableDataEntries"/>
              <w:jc w:val="left"/>
            </w:pPr>
            <w:r>
              <w:t>C9C</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187779" w14:textId="77777777" w:rsidR="006568C5" w:rsidRDefault="006568C5">
            <w:pPr>
              <w:pStyle w:val="TableDataEntries"/>
            </w:pPr>
            <w:r>
              <w:t xml:space="preserve"> 2</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BAC2F4D" w14:textId="70B728C8" w:rsidR="006568C5" w:rsidRDefault="003D32D6">
            <w:pPr>
              <w:pStyle w:val="TableDataEntries"/>
            </w:pPr>
            <w:r w:rsidRPr="003D32D6">
              <w:t>-3 606</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79F8EB7" w14:textId="686C66A3" w:rsidR="006568C5" w:rsidRDefault="003D32D6">
            <w:pPr>
              <w:pStyle w:val="TableDataEntries"/>
            </w:pPr>
            <w:r w:rsidRPr="003D32D6">
              <w:t>21 018</w:t>
            </w:r>
          </w:p>
        </w:tc>
      </w:tr>
      <w:tr w:rsidR="006568C5" w14:paraId="74A699A4"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B4190D" w14:textId="77777777" w:rsidR="006568C5" w:rsidRDefault="006568C5">
            <w:pPr>
              <w:pStyle w:val="TableDataEntries"/>
              <w:jc w:val="left"/>
            </w:pPr>
            <w:r>
              <w:t>C9C</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731D221" w14:textId="77777777" w:rsidR="006568C5" w:rsidRDefault="006568C5">
            <w:pPr>
              <w:pStyle w:val="TableDataEntries"/>
            </w:pPr>
            <w:r>
              <w:t xml:space="preserve"> 3</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D56FDA1" w14:textId="1FE3DC5F" w:rsidR="006568C5" w:rsidRDefault="006568C5">
            <w:pPr>
              <w:pStyle w:val="TableDataEntries"/>
            </w:pPr>
            <w:r>
              <w:t xml:space="preserve"> 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D4CC176" w14:textId="5BF71D00" w:rsidR="006568C5" w:rsidRDefault="006568C5">
            <w:pPr>
              <w:pStyle w:val="TableDataEntries"/>
            </w:pPr>
            <w:r>
              <w:t xml:space="preserve"> 0</w:t>
            </w:r>
          </w:p>
        </w:tc>
      </w:tr>
      <w:tr w:rsidR="006568C5" w14:paraId="4E5685D6"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611740" w14:textId="77777777" w:rsidR="006568C5" w:rsidRDefault="006568C5">
            <w:pPr>
              <w:pStyle w:val="TableDataEntries"/>
              <w:jc w:val="left"/>
            </w:pPr>
            <w:r>
              <w:t>C9C</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5C5B0AA" w14:textId="77777777" w:rsidR="006568C5" w:rsidRDefault="006568C5">
            <w:pPr>
              <w:pStyle w:val="TableDataEntries"/>
            </w:pPr>
            <w:r>
              <w:t xml:space="preserve"> 4</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C174F5C" w14:textId="239014D6" w:rsidR="006568C5" w:rsidRDefault="006568C5">
            <w:pPr>
              <w:pStyle w:val="TableDataEntries"/>
            </w:pPr>
            <w:r>
              <w:t xml:space="preserve"> 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54C61F3" w14:textId="5671DB67" w:rsidR="006568C5" w:rsidRDefault="006568C5">
            <w:pPr>
              <w:pStyle w:val="TableDataEntries"/>
            </w:pPr>
            <w:r>
              <w:t xml:space="preserve"> 0</w:t>
            </w:r>
          </w:p>
        </w:tc>
      </w:tr>
      <w:tr w:rsidR="006568C5" w14:paraId="1BD1FCE3"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859456C" w14:textId="77777777" w:rsidR="006568C5" w:rsidRDefault="006568C5">
            <w:pPr>
              <w:pStyle w:val="TableDataEntries"/>
              <w:jc w:val="left"/>
            </w:pPr>
            <w:r>
              <w:t>C9C</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C9228A" w14:textId="77777777" w:rsidR="006568C5" w:rsidRDefault="006568C5">
            <w:pPr>
              <w:pStyle w:val="TableDataEntries"/>
            </w:pPr>
            <w:r>
              <w:t xml:space="preserve"> 5</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63EEDF7" w14:textId="7C103915" w:rsidR="006568C5" w:rsidRDefault="003D32D6">
            <w:pPr>
              <w:pStyle w:val="TableDataEntries"/>
            </w:pPr>
            <w:r w:rsidRPr="003D32D6">
              <w:t>-3 606</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73BCA71" w14:textId="3ED2D521" w:rsidR="006568C5" w:rsidRDefault="003D32D6">
            <w:pPr>
              <w:pStyle w:val="TableDataEntries"/>
            </w:pPr>
            <w:r w:rsidRPr="003D32D6">
              <w:t>21 018</w:t>
            </w:r>
          </w:p>
        </w:tc>
      </w:tr>
      <w:tr w:rsidR="006568C5" w14:paraId="5C20A187"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DF4DE8" w14:textId="77777777" w:rsidR="006568C5" w:rsidRDefault="006568C5">
            <w:pPr>
              <w:pStyle w:val="TableDataEntries"/>
              <w:jc w:val="left"/>
            </w:pPr>
            <w:r>
              <w:t>C9C</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BC9506" w14:textId="77777777" w:rsidR="006568C5" w:rsidRDefault="006568C5">
            <w:pPr>
              <w:pStyle w:val="TableDataEntries"/>
            </w:pPr>
            <w:r>
              <w:t xml:space="preserve"> 6</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3ADD58E" w14:textId="7AC6303A" w:rsidR="006568C5" w:rsidRDefault="006568C5">
            <w:pPr>
              <w:pStyle w:val="TableDataEntries"/>
            </w:pPr>
            <w:r>
              <w:t xml:space="preserve"> 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EE68247" w14:textId="30FCAF98" w:rsidR="006568C5" w:rsidRDefault="006568C5">
            <w:pPr>
              <w:pStyle w:val="TableDataEntries"/>
            </w:pPr>
            <w:r>
              <w:t xml:space="preserve"> 0</w:t>
            </w:r>
          </w:p>
        </w:tc>
      </w:tr>
      <w:tr w:rsidR="006568C5" w14:paraId="0F55883D" w14:textId="77777777">
        <w:trPr>
          <w:trHeight w:val="245"/>
        </w:trPr>
        <w:tc>
          <w:tcPr>
            <w:tcW w:w="131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E199AC" w14:textId="77777777" w:rsidR="006568C5" w:rsidRDefault="006568C5">
            <w:pPr>
              <w:pStyle w:val="TableDataEntries"/>
              <w:jc w:val="left"/>
            </w:pPr>
            <w:r>
              <w:t>C9C</w:t>
            </w:r>
          </w:p>
        </w:tc>
        <w:tc>
          <w:tcPr>
            <w:tcW w:w="19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BD14F52" w14:textId="77777777" w:rsidR="006568C5" w:rsidRDefault="006568C5">
            <w:pPr>
              <w:pStyle w:val="TableDataEntries"/>
            </w:pPr>
            <w:r>
              <w:t xml:space="preserve"> 7</w:t>
            </w:r>
          </w:p>
        </w:tc>
        <w:tc>
          <w:tcPr>
            <w:tcW w:w="23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7DCF619" w14:textId="54DB1C7E" w:rsidR="006568C5" w:rsidRDefault="006568C5">
            <w:pPr>
              <w:pStyle w:val="TableDataEntries"/>
            </w:pPr>
            <w:r>
              <w:t xml:space="preserve"> 0</w:t>
            </w:r>
          </w:p>
        </w:tc>
        <w:tc>
          <w:tcPr>
            <w:tcW w:w="23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2D9F9EB" w14:textId="73C61C55" w:rsidR="006568C5" w:rsidRDefault="006568C5">
            <w:pPr>
              <w:pStyle w:val="TableDataEntries"/>
            </w:pPr>
            <w:r>
              <w:t xml:space="preserve"> 0</w:t>
            </w:r>
          </w:p>
        </w:tc>
      </w:tr>
      <w:tr w:rsidR="006568C5" w14:paraId="6F95EB9E" w14:textId="77777777">
        <w:trPr>
          <w:trHeight w:val="245"/>
        </w:trPr>
        <w:tc>
          <w:tcPr>
            <w:tcW w:w="1310" w:type="dxa"/>
            <w:tcBorders>
              <w:top w:val="single" w:sz="8" w:space="0" w:color="FFFFFF" w:themeColor="background1"/>
              <w:bottom w:val="single" w:sz="6" w:space="0" w:color="6F6652"/>
            </w:tcBorders>
            <w:shd w:val="clear" w:color="auto" w:fill="E9E8E5" w:themeFill="background2"/>
            <w:tcMar>
              <w:left w:w="57" w:type="dxa"/>
              <w:right w:w="57" w:type="dxa"/>
            </w:tcMar>
          </w:tcPr>
          <w:p w14:paraId="5F5833CC" w14:textId="77777777" w:rsidR="006568C5" w:rsidRDefault="006568C5">
            <w:pPr>
              <w:pStyle w:val="TableDataEntries"/>
              <w:jc w:val="left"/>
            </w:pPr>
            <w:r>
              <w:t>C9C</w:t>
            </w:r>
          </w:p>
        </w:tc>
        <w:tc>
          <w:tcPr>
            <w:tcW w:w="1909" w:type="dxa"/>
            <w:tcBorders>
              <w:top w:val="single" w:sz="8" w:space="0" w:color="FFFFFF" w:themeColor="background1"/>
              <w:bottom w:val="single" w:sz="6" w:space="0" w:color="6F6652"/>
            </w:tcBorders>
            <w:shd w:val="clear" w:color="auto" w:fill="E9E8E5" w:themeFill="background2"/>
            <w:tcMar>
              <w:left w:w="57" w:type="dxa"/>
              <w:right w:w="57" w:type="dxa"/>
            </w:tcMar>
          </w:tcPr>
          <w:p w14:paraId="55C7F652" w14:textId="77777777" w:rsidR="006568C5" w:rsidRDefault="006568C5">
            <w:pPr>
              <w:pStyle w:val="TableDataEntries"/>
            </w:pPr>
            <w:r>
              <w:t xml:space="preserve"> 8</w:t>
            </w:r>
          </w:p>
        </w:tc>
        <w:tc>
          <w:tcPr>
            <w:tcW w:w="2358" w:type="dxa"/>
            <w:tcBorders>
              <w:top w:val="single" w:sz="8" w:space="0" w:color="FFFFFF" w:themeColor="background1"/>
              <w:bottom w:val="single" w:sz="6" w:space="0" w:color="6F6652"/>
            </w:tcBorders>
            <w:shd w:val="clear" w:color="auto" w:fill="E9E8E5" w:themeFill="background2"/>
            <w:tcMar>
              <w:left w:w="57" w:type="dxa"/>
              <w:right w:w="57" w:type="dxa"/>
            </w:tcMar>
            <w:vAlign w:val="bottom"/>
          </w:tcPr>
          <w:p w14:paraId="73418020" w14:textId="51EC252B" w:rsidR="006568C5" w:rsidRDefault="006568C5">
            <w:pPr>
              <w:pStyle w:val="TableDataEntries"/>
            </w:pPr>
            <w:r>
              <w:t xml:space="preserve"> 0</w:t>
            </w:r>
          </w:p>
        </w:tc>
        <w:tc>
          <w:tcPr>
            <w:tcW w:w="2360" w:type="dxa"/>
            <w:tcBorders>
              <w:top w:val="single" w:sz="8" w:space="0" w:color="FFFFFF" w:themeColor="background1"/>
              <w:bottom w:val="single" w:sz="6" w:space="0" w:color="6F6652"/>
            </w:tcBorders>
            <w:shd w:val="clear" w:color="auto" w:fill="E9E8E5" w:themeFill="background2"/>
            <w:tcMar>
              <w:left w:w="57" w:type="dxa"/>
              <w:right w:w="57" w:type="dxa"/>
            </w:tcMar>
            <w:vAlign w:val="bottom"/>
          </w:tcPr>
          <w:p w14:paraId="32DD51BF" w14:textId="15B74D1E" w:rsidR="006568C5" w:rsidRDefault="003D32D6">
            <w:pPr>
              <w:pStyle w:val="TableDataEntries"/>
            </w:pPr>
            <w:r w:rsidRPr="003D32D6">
              <w:t>4 435</w:t>
            </w:r>
          </w:p>
        </w:tc>
      </w:tr>
    </w:tbl>
    <w:p w14:paraId="0892EAB2" w14:textId="77777777" w:rsidR="006568C5" w:rsidRDefault="006568C5" w:rsidP="006568C5">
      <w:pPr>
        <w:pStyle w:val="Note"/>
      </w:pPr>
      <w:r w:rsidRPr="007D1B4F">
        <w:rPr>
          <w:i/>
        </w:rPr>
        <w:t>Note:</w:t>
      </w:r>
      <w:r w:rsidRPr="00E879B8">
        <w:t xml:space="preserve"> </w:t>
      </w:r>
      <w:r>
        <w:t>Negative numbers represent a reduction in the cost of glazing compared with the base case. Positive numbers represent an increase in cost of glazing compared to the base case.</w:t>
      </w:r>
    </w:p>
    <w:p w14:paraId="07425914" w14:textId="77777777" w:rsidR="006568C5" w:rsidRDefault="006568C5" w:rsidP="006568C5">
      <w:pPr>
        <w:pStyle w:val="Source"/>
      </w:pPr>
      <w:r>
        <w:rPr>
          <w:i/>
        </w:rPr>
        <w:t>Source</w:t>
      </w:r>
      <w:r w:rsidRPr="00E4232C">
        <w:rPr>
          <w:i/>
        </w:rPr>
        <w:t>:</w:t>
      </w:r>
      <w:r>
        <w:t xml:space="preserve"> DeltaQ, CIE.</w:t>
      </w:r>
    </w:p>
    <w:p w14:paraId="17600067" w14:textId="795F8332" w:rsidR="006568C5" w:rsidRDefault="006568C5" w:rsidP="006568C5">
      <w:pPr>
        <w:pStyle w:val="BodyText"/>
        <w:rPr>
          <w:lang w:eastAsia="en-US"/>
        </w:rPr>
      </w:pPr>
      <w:r>
        <w:rPr>
          <w:lang w:eastAsia="en-US"/>
        </w:rPr>
        <w:t xml:space="preserve">In general, the impact of using these alternative glazing cost estimates in the CBA is relatively modest </w:t>
      </w:r>
      <w:r w:rsidRPr="006568C5">
        <w:rPr>
          <w:lang w:eastAsia="en-US"/>
        </w:rPr>
        <w:t>(table </w:t>
      </w:r>
      <w:r>
        <w:rPr>
          <w:lang w:eastAsia="en-US"/>
        </w:rPr>
        <w:fldChar w:fldCharType="begin"/>
      </w:r>
      <w:r>
        <w:rPr>
          <w:lang w:eastAsia="en-US"/>
        </w:rPr>
        <w:instrText xml:space="preserve"> REF _Caption4408 </w:instrText>
      </w:r>
      <w:r>
        <w:rPr>
          <w:lang w:eastAsia="en-US"/>
        </w:rPr>
        <w:fldChar w:fldCharType="separate"/>
      </w:r>
      <w:r w:rsidR="006E00A7">
        <w:rPr>
          <w:noProof/>
        </w:rPr>
        <w:t>7</w:t>
      </w:r>
      <w:r w:rsidR="006E00A7" w:rsidRPr="006F0F88">
        <w:rPr>
          <w:noProof/>
        </w:rPr>
        <w:t>.</w:t>
      </w:r>
      <w:r w:rsidR="006E00A7">
        <w:rPr>
          <w:noProof/>
        </w:rPr>
        <w:t>19</w:t>
      </w:r>
      <w:r>
        <w:rPr>
          <w:lang w:eastAsia="en-US"/>
        </w:rPr>
        <w:fldChar w:fldCharType="end"/>
      </w:r>
      <w:r w:rsidRPr="006568C5">
        <w:rPr>
          <w:lang w:eastAsia="en-US"/>
        </w:rPr>
        <w:t>).</w:t>
      </w:r>
      <w:r>
        <w:rPr>
          <w:lang w:eastAsia="en-US"/>
        </w:rPr>
        <w:t xml:space="preserve"> As the change in glazing costs is a relatively small component of the total, the overall change in capital</w:t>
      </w:r>
      <w:r>
        <w:rPr>
          <w:lang w:eastAsia="en-US"/>
        </w:rPr>
        <w:noBreakHyphen/>
        <w:t>related costs is also generally small relative to the other costs and benefits.</w:t>
      </w:r>
    </w:p>
    <w:p w14:paraId="58FC225E" w14:textId="66BAF877" w:rsidR="006568C5" w:rsidRPr="006F0F88" w:rsidRDefault="006568C5" w:rsidP="006568C5">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EA6E4C">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A6E4C">
          <w:rPr>
            <w:noProof/>
          </w:rPr>
          <w:instrText>7</w:instrText>
        </w:r>
      </w:fldSimple>
      <w:r w:rsidRPr="006F0F88">
        <w:instrText xml:space="preserve"> = 0 "" "</w:instrText>
      </w:r>
      <w:fldSimple w:instr=" STYLEREF &quot;Heading 1&quot; \l \n ">
        <w:r w:rsidR="00EA6E4C">
          <w:rPr>
            <w:noProof/>
          </w:rPr>
          <w:instrText>7</w:instrText>
        </w:r>
      </w:fldSimple>
      <w:r w:rsidRPr="006F0F88">
        <w:instrText xml:space="preserve">." </w:instrText>
      </w:r>
      <w:r w:rsidRPr="006F0F88">
        <w:fldChar w:fldCharType="separate"/>
      </w:r>
      <w:r w:rsidR="00EA6E4C">
        <w:rPr>
          <w:noProof/>
        </w:rPr>
        <w:instrText>7</w:instrText>
      </w:r>
      <w:r w:rsidR="00EA6E4C"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7</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EA6E4C">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EA6E4C">
          <w:rPr>
            <w:noProof/>
          </w:rPr>
          <w:instrText>7</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EA6E4C">
        <w:rPr>
          <w:noProof/>
        </w:rPr>
        <w:instrText>19</w:instrText>
      </w:r>
      <w:r w:rsidRPr="006F0F88">
        <w:fldChar w:fldCharType="end"/>
      </w:r>
      <w:r w:rsidRPr="006F0F88">
        <w:instrText xml:space="preserve">" "" </w:instrText>
      </w:r>
      <w:r w:rsidRPr="006F0F88">
        <w:fldChar w:fldCharType="separate"/>
      </w:r>
      <w:bookmarkStart w:id="4410" w:name="_Caption4005"/>
      <w:bookmarkStart w:id="4411" w:name="_Caption3492"/>
      <w:bookmarkStart w:id="4412" w:name="_Caption8851"/>
      <w:bookmarkStart w:id="4413" w:name="_Caption3887"/>
      <w:bookmarkStart w:id="4414" w:name="_Caption3095"/>
      <w:bookmarkStart w:id="4415" w:name="_Caption8727"/>
      <w:bookmarkStart w:id="4416" w:name="_Caption9833"/>
      <w:bookmarkStart w:id="4417" w:name="_Caption7304"/>
      <w:bookmarkStart w:id="4418" w:name="_Caption7603"/>
      <w:bookmarkStart w:id="4419" w:name="_Caption5892"/>
      <w:bookmarkStart w:id="4420" w:name="_Caption9455"/>
      <w:bookmarkStart w:id="4421" w:name="_Caption7645"/>
      <w:bookmarkStart w:id="4422" w:name="_Caption3836"/>
      <w:bookmarkStart w:id="4423" w:name="_Caption0918"/>
      <w:bookmarkStart w:id="4424" w:name="_Caption8482"/>
      <w:bookmarkStart w:id="4425" w:name="_Caption5052"/>
      <w:bookmarkStart w:id="4426" w:name="_Caption8472"/>
      <w:bookmarkStart w:id="4427" w:name="_Caption8913"/>
      <w:bookmarkStart w:id="4428" w:name="_Caption6572"/>
      <w:bookmarkStart w:id="4429" w:name="_Caption4867"/>
      <w:bookmarkStart w:id="4430" w:name="_Caption2428"/>
      <w:bookmarkStart w:id="4431" w:name="_Caption3257"/>
      <w:bookmarkStart w:id="4432" w:name="_Caption7530"/>
      <w:bookmarkStart w:id="4433" w:name="_Caption6793"/>
      <w:bookmarkStart w:id="4434" w:name="_Caption4408"/>
      <w:bookmarkStart w:id="4435" w:name="_Caption4200"/>
      <w:bookmarkStart w:id="4436" w:name="_Caption5822"/>
      <w:bookmarkStart w:id="4437" w:name="_Caption0715"/>
      <w:bookmarkStart w:id="4438" w:name="_Caption8992"/>
      <w:bookmarkStart w:id="4439" w:name="_Caption1118"/>
      <w:bookmarkStart w:id="4440" w:name="_Caption5308"/>
      <w:bookmarkStart w:id="4441" w:name="_Caption8123"/>
      <w:bookmarkStart w:id="4442" w:name="_Caption4665"/>
      <w:bookmarkStart w:id="4443" w:name="_Caption1901"/>
      <w:bookmarkStart w:id="4444" w:name="_Caption7287"/>
      <w:bookmarkStart w:id="4445" w:name="_Caption1756"/>
      <w:bookmarkStart w:id="4446" w:name="_Caption1544"/>
      <w:bookmarkStart w:id="4447" w:name="_Caption2110"/>
      <w:bookmarkStart w:id="4448" w:name="_Caption9767"/>
      <w:bookmarkStart w:id="4449" w:name="_Caption1129"/>
      <w:bookmarkStart w:id="4450" w:name="_Caption9492"/>
      <w:bookmarkStart w:id="4451" w:name="_Caption1300"/>
      <w:bookmarkStart w:id="4452" w:name="_Caption5293"/>
      <w:bookmarkStart w:id="4453" w:name="_Toc177735185"/>
      <w:bookmarkStart w:id="4454" w:name="_Toc178292618"/>
      <w:r w:rsidR="008C60A3">
        <w:rPr>
          <w:noProof/>
        </w:rPr>
        <w:t>7</w:t>
      </w:r>
      <w:r w:rsidR="008C60A3" w:rsidRPr="006F0F88">
        <w:rPr>
          <w:noProof/>
        </w:rPr>
        <w:t>.</w:t>
      </w:r>
      <w:r w:rsidR="008C60A3">
        <w:rPr>
          <w:noProof/>
        </w:rPr>
        <w:t>19</w:t>
      </w:r>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r w:rsidRPr="006F0F88">
        <w:fldChar w:fldCharType="end"/>
      </w:r>
      <w:r w:rsidRPr="006F0F88">
        <w:tab/>
        <w:t>Alternative glazing cost estimates — summary</w:t>
      </w:r>
      <w:bookmarkEnd w:id="4453"/>
      <w:bookmarkEnd w:id="4454"/>
    </w:p>
    <w:tbl>
      <w:tblPr>
        <w:tblW w:w="5000" w:type="pct"/>
        <w:tblLayout w:type="fixed"/>
        <w:tblLook w:val="0000" w:firstRow="0" w:lastRow="0" w:firstColumn="0" w:lastColumn="0" w:noHBand="0" w:noVBand="0"/>
        <w:tblCaption w:val="Table 6.11 - Future electrification scenario — summary"/>
      </w:tblPr>
      <w:tblGrid>
        <w:gridCol w:w="4151"/>
        <w:gridCol w:w="1262"/>
        <w:gridCol w:w="1262"/>
        <w:gridCol w:w="1262"/>
      </w:tblGrid>
      <w:tr w:rsidR="006568C5" w14:paraId="5420A5EF" w14:textId="77777777" w:rsidTr="00CE2D3F">
        <w:trPr>
          <w:trHeight w:val="245"/>
          <w:tblHeader/>
        </w:trPr>
        <w:tc>
          <w:tcPr>
            <w:tcW w:w="2615" w:type="pct"/>
            <w:shd w:val="clear" w:color="auto" w:fill="6F6652"/>
            <w:tcMar>
              <w:left w:w="57" w:type="dxa"/>
              <w:right w:w="57" w:type="dxa"/>
            </w:tcMar>
          </w:tcPr>
          <w:p w14:paraId="5BBF5DC4" w14:textId="77777777" w:rsidR="006568C5" w:rsidRDefault="006568C5">
            <w:pPr>
              <w:pStyle w:val="TableDataColumnHeading"/>
              <w:jc w:val="left"/>
            </w:pPr>
            <w:r>
              <w:t>Impact</w:t>
            </w:r>
          </w:p>
        </w:tc>
        <w:tc>
          <w:tcPr>
            <w:tcW w:w="795" w:type="pct"/>
            <w:shd w:val="clear" w:color="auto" w:fill="6F6652"/>
            <w:tcMar>
              <w:left w:w="57" w:type="dxa"/>
              <w:right w:w="57" w:type="dxa"/>
            </w:tcMar>
          </w:tcPr>
          <w:p w14:paraId="577D1E70" w14:textId="77777777" w:rsidR="006568C5" w:rsidRDefault="006568C5">
            <w:pPr>
              <w:pStyle w:val="TableDataColumnHeading"/>
            </w:pPr>
            <w:r>
              <w:t>Stringency Level 1</w:t>
            </w:r>
          </w:p>
          <w:p w14:paraId="7605A0A7" w14:textId="77777777" w:rsidR="006568C5" w:rsidRDefault="006568C5">
            <w:pPr>
              <w:pStyle w:val="TableDataColumnHeading"/>
            </w:pPr>
            <w:r>
              <w:t>$ million</w:t>
            </w:r>
          </w:p>
        </w:tc>
        <w:tc>
          <w:tcPr>
            <w:tcW w:w="795" w:type="pct"/>
            <w:shd w:val="clear" w:color="auto" w:fill="6F6652"/>
            <w:tcMar>
              <w:left w:w="57" w:type="dxa"/>
              <w:right w:w="57" w:type="dxa"/>
            </w:tcMar>
          </w:tcPr>
          <w:p w14:paraId="50F10B12" w14:textId="77777777" w:rsidR="006568C5" w:rsidRDefault="006568C5">
            <w:pPr>
              <w:pStyle w:val="TableDataColumnHeading"/>
            </w:pPr>
            <w:r>
              <w:t>Stringency Level 2</w:t>
            </w:r>
          </w:p>
          <w:p w14:paraId="4A429AAA" w14:textId="77777777" w:rsidR="006568C5" w:rsidRDefault="006568C5">
            <w:pPr>
              <w:pStyle w:val="TableDataColumnHeading"/>
            </w:pPr>
            <w:r>
              <w:t>$ million</w:t>
            </w:r>
          </w:p>
        </w:tc>
        <w:tc>
          <w:tcPr>
            <w:tcW w:w="795" w:type="pct"/>
            <w:shd w:val="clear" w:color="auto" w:fill="6F6652"/>
            <w:tcMar>
              <w:left w:w="57" w:type="dxa"/>
              <w:right w:w="57" w:type="dxa"/>
            </w:tcMar>
          </w:tcPr>
          <w:p w14:paraId="78343F86" w14:textId="77777777" w:rsidR="006568C5" w:rsidRDefault="006568C5">
            <w:pPr>
              <w:pStyle w:val="TableDataColumnHeading"/>
            </w:pPr>
            <w:r>
              <w:t>Stringency Level 3</w:t>
            </w:r>
          </w:p>
          <w:p w14:paraId="0775FABC" w14:textId="77777777" w:rsidR="006568C5" w:rsidRDefault="006568C5">
            <w:pPr>
              <w:pStyle w:val="TableDataColumnHeading"/>
            </w:pPr>
            <w:r>
              <w:t>$ million</w:t>
            </w:r>
          </w:p>
        </w:tc>
      </w:tr>
      <w:tr w:rsidR="00E2459E" w14:paraId="2DAA65D6" w14:textId="77777777" w:rsidTr="00CE2D3F">
        <w:trPr>
          <w:trHeight w:val="245"/>
        </w:trPr>
        <w:tc>
          <w:tcPr>
            <w:tcW w:w="261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8A9F0A" w14:textId="77777777" w:rsidR="00E2459E" w:rsidRDefault="00E2459E" w:rsidP="00E2459E">
            <w:pPr>
              <w:pStyle w:val="TableDataEntries"/>
              <w:jc w:val="left"/>
            </w:pPr>
            <w:r>
              <w:t>Avoided network capacity costs</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803F49B" w14:textId="47F05BF7" w:rsidR="00E2459E" w:rsidRPr="00E2459E" w:rsidRDefault="00E2459E" w:rsidP="00E2459E">
            <w:pPr>
              <w:pStyle w:val="TableDataEntries"/>
            </w:pPr>
            <w:r w:rsidRPr="00E2459E">
              <w:t xml:space="preserve"> 938.92</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ACBE46E" w14:textId="353402E3" w:rsidR="00E2459E" w:rsidRPr="00E2459E" w:rsidRDefault="00E2459E" w:rsidP="00E2459E">
            <w:pPr>
              <w:pStyle w:val="TableDataEntries"/>
            </w:pPr>
            <w:r w:rsidRPr="00E2459E">
              <w:t>1 568.49</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B072F33" w14:textId="17F2CA90" w:rsidR="00E2459E" w:rsidRPr="00E2459E" w:rsidRDefault="00E2459E" w:rsidP="00E2459E">
            <w:pPr>
              <w:pStyle w:val="TableDataEntries"/>
            </w:pPr>
            <w:r w:rsidRPr="00E2459E">
              <w:t>1 440.25</w:t>
            </w:r>
          </w:p>
        </w:tc>
      </w:tr>
      <w:tr w:rsidR="00E2459E" w14:paraId="42D3B863" w14:textId="77777777" w:rsidTr="00CE2D3F">
        <w:trPr>
          <w:trHeight w:val="245"/>
        </w:trPr>
        <w:tc>
          <w:tcPr>
            <w:tcW w:w="261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D117FF5" w14:textId="77777777" w:rsidR="00E2459E" w:rsidRDefault="00E2459E" w:rsidP="00E2459E">
            <w:pPr>
              <w:pStyle w:val="TableDataEntries"/>
              <w:jc w:val="left"/>
            </w:pPr>
            <w:r>
              <w:t>Avoided wholesale costs</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366C335" w14:textId="542A0B2B" w:rsidR="00E2459E" w:rsidRPr="00E2459E" w:rsidRDefault="00E2459E" w:rsidP="00E2459E">
            <w:pPr>
              <w:pStyle w:val="TableDataEntries"/>
            </w:pPr>
            <w:r w:rsidRPr="00E2459E">
              <w:t>1 838.74</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85B7CA1" w14:textId="2497C931" w:rsidR="00E2459E" w:rsidRPr="00E2459E" w:rsidRDefault="00E2459E" w:rsidP="00E2459E">
            <w:pPr>
              <w:pStyle w:val="TableDataEntries"/>
            </w:pPr>
            <w:r w:rsidRPr="00E2459E">
              <w:t>3 272.75</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8C9050E" w14:textId="31F70764" w:rsidR="00E2459E" w:rsidRPr="00E2459E" w:rsidRDefault="00E2459E" w:rsidP="00E2459E">
            <w:pPr>
              <w:pStyle w:val="TableDataEntries"/>
            </w:pPr>
            <w:r w:rsidRPr="00E2459E">
              <w:t>2 917.15</w:t>
            </w:r>
          </w:p>
        </w:tc>
      </w:tr>
      <w:tr w:rsidR="00E2459E" w14:paraId="09DC23D4" w14:textId="77777777" w:rsidTr="00CE2D3F">
        <w:trPr>
          <w:trHeight w:val="245"/>
        </w:trPr>
        <w:tc>
          <w:tcPr>
            <w:tcW w:w="261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5580AF" w14:textId="77777777" w:rsidR="00E2459E" w:rsidRDefault="00E2459E" w:rsidP="00E2459E">
            <w:pPr>
              <w:pStyle w:val="TableDataEntries"/>
              <w:jc w:val="left"/>
            </w:pPr>
            <w:r>
              <w:t>Avoided network usage costs</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E36A7CC" w14:textId="66CC260E" w:rsidR="00E2459E" w:rsidRPr="00E2459E" w:rsidRDefault="00E2459E" w:rsidP="00E2459E">
            <w:pPr>
              <w:pStyle w:val="TableDataEntries"/>
            </w:pPr>
            <w:r w:rsidRPr="00E2459E">
              <w:t>1 768.84</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1CFF801" w14:textId="71F2FDF9" w:rsidR="00E2459E" w:rsidRPr="00E2459E" w:rsidRDefault="00E2459E" w:rsidP="00E2459E">
            <w:pPr>
              <w:pStyle w:val="TableDataEntries"/>
            </w:pPr>
            <w:r w:rsidRPr="00E2459E">
              <w:t>3 596.60</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26A0F5D" w14:textId="0F66CD9E" w:rsidR="00E2459E" w:rsidRPr="00E2459E" w:rsidRDefault="00E2459E" w:rsidP="00E2459E">
            <w:pPr>
              <w:pStyle w:val="TableDataEntries"/>
            </w:pPr>
            <w:r w:rsidRPr="00E2459E">
              <w:t>3 341.81</w:t>
            </w:r>
          </w:p>
        </w:tc>
      </w:tr>
      <w:tr w:rsidR="00E2459E" w14:paraId="734FF2F7" w14:textId="77777777" w:rsidTr="00CE2D3F">
        <w:trPr>
          <w:trHeight w:val="245"/>
        </w:trPr>
        <w:tc>
          <w:tcPr>
            <w:tcW w:w="261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57229A" w14:textId="77777777" w:rsidR="00E2459E" w:rsidRDefault="00E2459E" w:rsidP="00E2459E">
            <w:pPr>
              <w:pStyle w:val="TableDataEntries"/>
              <w:jc w:val="left"/>
            </w:pPr>
            <w:r>
              <w:t>Avoided retail costs</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2D75CB0" w14:textId="4D451D17" w:rsidR="00E2459E" w:rsidRPr="00E2459E" w:rsidRDefault="00E2459E" w:rsidP="00E2459E">
            <w:pPr>
              <w:pStyle w:val="TableDataEntries"/>
            </w:pPr>
            <w:r w:rsidRPr="00E2459E">
              <w:t xml:space="preserve"> 681.97</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B0BB79C" w14:textId="30FD24F0" w:rsidR="00E2459E" w:rsidRPr="00E2459E" w:rsidRDefault="00E2459E" w:rsidP="00E2459E">
            <w:pPr>
              <w:pStyle w:val="TableDataEntries"/>
            </w:pPr>
            <w:r w:rsidRPr="00E2459E">
              <w:t>1 265.68</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B8FB643" w14:textId="71C607F8" w:rsidR="00E2459E" w:rsidRPr="00E2459E" w:rsidRDefault="00E2459E" w:rsidP="00E2459E">
            <w:pPr>
              <w:pStyle w:val="TableDataEntries"/>
            </w:pPr>
            <w:r w:rsidRPr="00E2459E">
              <w:t>1 154.88</w:t>
            </w:r>
          </w:p>
        </w:tc>
      </w:tr>
      <w:tr w:rsidR="00E2459E" w14:paraId="238103DD" w14:textId="77777777" w:rsidTr="00CE2D3F">
        <w:trPr>
          <w:trHeight w:val="245"/>
        </w:trPr>
        <w:tc>
          <w:tcPr>
            <w:tcW w:w="261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28EAA2" w14:textId="77777777" w:rsidR="00E2459E" w:rsidRDefault="00E2459E" w:rsidP="00E2459E">
            <w:pPr>
              <w:pStyle w:val="TableDataEntries"/>
              <w:jc w:val="left"/>
            </w:pPr>
            <w:r>
              <w:t>Electricity exported to grid</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5BE4144" w14:textId="2F1177E9" w:rsidR="00E2459E" w:rsidRPr="00E2459E" w:rsidRDefault="00E2459E" w:rsidP="00E2459E">
            <w:pPr>
              <w:pStyle w:val="TableDataEntries"/>
            </w:pPr>
            <w:r w:rsidRPr="00E2459E">
              <w:t xml:space="preserve"> 44.96</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EDA7D35" w14:textId="3206CD8B" w:rsidR="00E2459E" w:rsidRPr="00E2459E" w:rsidRDefault="00E2459E" w:rsidP="00E2459E">
            <w:pPr>
              <w:pStyle w:val="TableDataEntries"/>
            </w:pPr>
            <w:r w:rsidRPr="00E2459E">
              <w:t xml:space="preserve"> 291.44</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F023A3D" w14:textId="346150DB" w:rsidR="00E2459E" w:rsidRPr="00E2459E" w:rsidRDefault="00E2459E" w:rsidP="00E2459E">
            <w:pPr>
              <w:pStyle w:val="TableDataEntries"/>
            </w:pPr>
            <w:r w:rsidRPr="00E2459E">
              <w:t xml:space="preserve"> 291.48</w:t>
            </w:r>
          </w:p>
        </w:tc>
      </w:tr>
      <w:tr w:rsidR="00E2459E" w14:paraId="12E16E3D" w14:textId="77777777" w:rsidTr="00CE2D3F">
        <w:trPr>
          <w:trHeight w:val="245"/>
        </w:trPr>
        <w:tc>
          <w:tcPr>
            <w:tcW w:w="261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77DF6A0" w14:textId="77777777" w:rsidR="00E2459E" w:rsidRDefault="00E2459E" w:rsidP="00E2459E">
            <w:pPr>
              <w:pStyle w:val="TableDataEntries"/>
              <w:jc w:val="left"/>
            </w:pPr>
            <w:r>
              <w:t>Electricity exports — network costs</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66B1A97" w14:textId="6AE625B7" w:rsidR="00E2459E" w:rsidRPr="00E2459E" w:rsidRDefault="00E2459E" w:rsidP="00E2459E">
            <w:pPr>
              <w:pStyle w:val="TableDataEntries"/>
            </w:pPr>
            <w:r w:rsidRPr="00E2459E">
              <w:t>- 10.66</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5E7CAC0" w14:textId="69EB4AE0" w:rsidR="00E2459E" w:rsidRPr="00E2459E" w:rsidRDefault="00E2459E" w:rsidP="00E2459E">
            <w:pPr>
              <w:pStyle w:val="TableDataEntries"/>
            </w:pPr>
            <w:r w:rsidRPr="00E2459E">
              <w:t>- 45.74</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85A14EB" w14:textId="78B97488" w:rsidR="00E2459E" w:rsidRPr="00E2459E" w:rsidRDefault="00E2459E" w:rsidP="00E2459E">
            <w:pPr>
              <w:pStyle w:val="TableDataEntries"/>
            </w:pPr>
            <w:r w:rsidRPr="00E2459E">
              <w:t>- 45.76</w:t>
            </w:r>
          </w:p>
        </w:tc>
      </w:tr>
      <w:tr w:rsidR="00E2459E" w14:paraId="56F134A3" w14:textId="77777777" w:rsidTr="00CE2D3F">
        <w:trPr>
          <w:trHeight w:val="245"/>
        </w:trPr>
        <w:tc>
          <w:tcPr>
            <w:tcW w:w="261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D4EDF17" w14:textId="77777777" w:rsidR="00E2459E" w:rsidRDefault="00E2459E" w:rsidP="00E2459E">
            <w:pPr>
              <w:pStyle w:val="TableDataEntries"/>
              <w:jc w:val="left"/>
            </w:pPr>
            <w:r>
              <w:t>Avoided gas costs</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5D179C2" w14:textId="292D0E78" w:rsidR="00E2459E" w:rsidRPr="00E2459E" w:rsidRDefault="00E2459E" w:rsidP="00E2459E">
            <w:pPr>
              <w:pStyle w:val="TableDataEntries"/>
            </w:pPr>
            <w:r w:rsidRPr="00E2459E">
              <w:t>- 28.66</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038B974" w14:textId="10436E6B" w:rsidR="00E2459E" w:rsidRPr="00E2459E" w:rsidRDefault="00E2459E" w:rsidP="00E2459E">
            <w:pPr>
              <w:pStyle w:val="TableDataEntries"/>
            </w:pPr>
            <w:r w:rsidRPr="00E2459E">
              <w:t>- 28.66</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B2F76E7" w14:textId="563B21C8" w:rsidR="00E2459E" w:rsidRPr="00E2459E" w:rsidRDefault="00E2459E" w:rsidP="00E2459E">
            <w:pPr>
              <w:pStyle w:val="TableDataEntries"/>
            </w:pPr>
            <w:r w:rsidRPr="00E2459E">
              <w:t xml:space="preserve"> 432.08</w:t>
            </w:r>
          </w:p>
        </w:tc>
      </w:tr>
      <w:tr w:rsidR="00E2459E" w14:paraId="0F55B6DA" w14:textId="77777777" w:rsidTr="00CE2D3F">
        <w:trPr>
          <w:trHeight w:val="245"/>
        </w:trPr>
        <w:tc>
          <w:tcPr>
            <w:tcW w:w="261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E7D3E4F" w14:textId="77777777" w:rsidR="00E2459E" w:rsidRDefault="00E2459E" w:rsidP="00E2459E">
            <w:pPr>
              <w:pStyle w:val="TableDataEntries"/>
              <w:jc w:val="left"/>
            </w:pPr>
            <w:r>
              <w:t>Avoided GHG emissions – electricity</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5CC4886" w14:textId="502E069A" w:rsidR="00E2459E" w:rsidRPr="00E2459E" w:rsidRDefault="00E2459E" w:rsidP="00E2459E">
            <w:pPr>
              <w:pStyle w:val="TableDataEntries"/>
            </w:pPr>
            <w:r w:rsidRPr="00E2459E">
              <w:t>1 249.57</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906FED8" w14:textId="33FF8AD1" w:rsidR="00E2459E" w:rsidRPr="00E2459E" w:rsidRDefault="00E2459E" w:rsidP="00E2459E">
            <w:pPr>
              <w:pStyle w:val="TableDataEntries"/>
            </w:pPr>
            <w:r w:rsidRPr="00E2459E">
              <w:t>2 366.95</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C6B66DC" w14:textId="76AADD16" w:rsidR="00E2459E" w:rsidRPr="00E2459E" w:rsidRDefault="00E2459E" w:rsidP="00E2459E">
            <w:pPr>
              <w:pStyle w:val="TableDataEntries"/>
            </w:pPr>
            <w:r w:rsidRPr="00E2459E">
              <w:t>2 221.08</w:t>
            </w:r>
          </w:p>
        </w:tc>
      </w:tr>
      <w:tr w:rsidR="00E2459E" w14:paraId="4F9E9D9D" w14:textId="77777777" w:rsidTr="00CE2D3F">
        <w:trPr>
          <w:trHeight w:val="245"/>
        </w:trPr>
        <w:tc>
          <w:tcPr>
            <w:tcW w:w="261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54941F" w14:textId="77777777" w:rsidR="00E2459E" w:rsidRDefault="00E2459E" w:rsidP="00E2459E">
            <w:pPr>
              <w:pStyle w:val="TableDataEntries"/>
              <w:jc w:val="left"/>
            </w:pPr>
            <w:r>
              <w:t>Avoided GHG emissions – exported electricity</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5C35BAD" w14:textId="0CE68FF4" w:rsidR="00E2459E" w:rsidRPr="00E2459E" w:rsidRDefault="00E2459E" w:rsidP="00E2459E">
            <w:pPr>
              <w:pStyle w:val="TableDataEntries"/>
            </w:pPr>
            <w:r w:rsidRPr="00E2459E">
              <w:t xml:space="preserve"> 70.50</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2A0E3B3" w14:textId="55606ECD" w:rsidR="00E2459E" w:rsidRPr="00E2459E" w:rsidRDefault="00E2459E" w:rsidP="00E2459E">
            <w:pPr>
              <w:pStyle w:val="TableDataEntries"/>
            </w:pPr>
            <w:r w:rsidRPr="00E2459E">
              <w:t xml:space="preserve"> 440.17</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14C1A6D" w14:textId="4164EA1E" w:rsidR="00E2459E" w:rsidRPr="00E2459E" w:rsidRDefault="00E2459E" w:rsidP="00E2459E">
            <w:pPr>
              <w:pStyle w:val="TableDataEntries"/>
            </w:pPr>
            <w:r w:rsidRPr="00E2459E">
              <w:t xml:space="preserve"> 440.26</w:t>
            </w:r>
          </w:p>
        </w:tc>
      </w:tr>
      <w:tr w:rsidR="00E2459E" w14:paraId="4F865577" w14:textId="77777777" w:rsidTr="00CE2D3F">
        <w:trPr>
          <w:trHeight w:val="245"/>
        </w:trPr>
        <w:tc>
          <w:tcPr>
            <w:tcW w:w="261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3117DF5" w14:textId="77777777" w:rsidR="00E2459E" w:rsidRDefault="00E2459E" w:rsidP="00E2459E">
            <w:pPr>
              <w:pStyle w:val="TableDataEntries"/>
              <w:jc w:val="left"/>
            </w:pPr>
            <w:r>
              <w:t>Avoided GHG emissions – gas</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119E564" w14:textId="721C5AFC" w:rsidR="00E2459E" w:rsidRPr="00E2459E" w:rsidRDefault="00E2459E" w:rsidP="00E2459E">
            <w:pPr>
              <w:pStyle w:val="TableDataEntries"/>
            </w:pPr>
            <w:r w:rsidRPr="00E2459E">
              <w:t>- 56.11</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981E872" w14:textId="316C6211" w:rsidR="00E2459E" w:rsidRPr="00E2459E" w:rsidRDefault="00E2459E" w:rsidP="00E2459E">
            <w:pPr>
              <w:pStyle w:val="TableDataEntries"/>
            </w:pPr>
            <w:r w:rsidRPr="00E2459E">
              <w:t>- 56.11</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7BF4352" w14:textId="29EBC33D" w:rsidR="00E2459E" w:rsidRPr="00E2459E" w:rsidRDefault="00E2459E" w:rsidP="00E2459E">
            <w:pPr>
              <w:pStyle w:val="TableDataEntries"/>
            </w:pPr>
            <w:r w:rsidRPr="00E2459E">
              <w:t xml:space="preserve"> 865.82</w:t>
            </w:r>
          </w:p>
        </w:tc>
      </w:tr>
      <w:tr w:rsidR="00E2459E" w14:paraId="217C805B" w14:textId="77777777" w:rsidTr="00CE2D3F">
        <w:trPr>
          <w:trHeight w:val="245"/>
        </w:trPr>
        <w:tc>
          <w:tcPr>
            <w:tcW w:w="261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F89844E" w14:textId="77777777" w:rsidR="00E2459E" w:rsidRDefault="00E2459E" w:rsidP="00E2459E">
            <w:pPr>
              <w:pStyle w:val="TableDataEntries"/>
              <w:jc w:val="left"/>
            </w:pPr>
            <w:r>
              <w:t>Capital costs</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9A58885" w14:textId="2892780C" w:rsidR="00E2459E" w:rsidRPr="00E2459E" w:rsidRDefault="00E2459E" w:rsidP="00E2459E">
            <w:pPr>
              <w:pStyle w:val="TableDataEntries"/>
            </w:pPr>
            <w:r w:rsidRPr="00E2459E">
              <w:t xml:space="preserve"> 97.52</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E730440" w14:textId="21D3DA01" w:rsidR="00E2459E" w:rsidRPr="00E2459E" w:rsidRDefault="00E2459E" w:rsidP="00E2459E">
            <w:pPr>
              <w:pStyle w:val="TableDataEntries"/>
            </w:pPr>
            <w:r w:rsidRPr="00E2459E">
              <w:t>-2 855.05</w:t>
            </w:r>
          </w:p>
        </w:tc>
        <w:tc>
          <w:tcPr>
            <w:tcW w:w="795"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D76CBFE" w14:textId="75449E0A" w:rsidR="00E2459E" w:rsidRPr="00E2459E" w:rsidRDefault="00E2459E" w:rsidP="00E2459E">
            <w:pPr>
              <w:pStyle w:val="TableDataEntries"/>
            </w:pPr>
            <w:r w:rsidRPr="00E2459E">
              <w:t>-3 914.92</w:t>
            </w:r>
          </w:p>
        </w:tc>
      </w:tr>
      <w:tr w:rsidR="00E2459E" w:rsidRPr="00E2459E" w14:paraId="5F5DA3BF" w14:textId="77777777" w:rsidTr="00CE2D3F">
        <w:trPr>
          <w:trHeight w:val="245"/>
        </w:trPr>
        <w:tc>
          <w:tcPr>
            <w:tcW w:w="2615" w:type="pct"/>
            <w:tcBorders>
              <w:top w:val="single" w:sz="8" w:space="0" w:color="FFFFFF" w:themeColor="background1"/>
              <w:bottom w:val="single" w:sz="6" w:space="0" w:color="6F6652"/>
            </w:tcBorders>
            <w:shd w:val="clear" w:color="auto" w:fill="C2DADB" w:themeFill="accent6" w:themeFillTint="99"/>
            <w:tcMar>
              <w:left w:w="57" w:type="dxa"/>
              <w:right w:w="57" w:type="dxa"/>
            </w:tcMar>
          </w:tcPr>
          <w:p w14:paraId="4054D590" w14:textId="77777777" w:rsidR="00E2459E" w:rsidRPr="00E2459E" w:rsidRDefault="00E2459E" w:rsidP="00E2459E">
            <w:pPr>
              <w:pStyle w:val="TableDataEntries"/>
              <w:jc w:val="left"/>
              <w:rPr>
                <w:rFonts w:ascii="Franklin Gothic Demi" w:hAnsi="Franklin Gothic Demi"/>
              </w:rPr>
            </w:pPr>
            <w:r w:rsidRPr="00E2459E">
              <w:rPr>
                <w:rFonts w:ascii="Franklin Gothic Demi" w:hAnsi="Franklin Gothic Demi"/>
              </w:rPr>
              <w:t>Total building energy impacts</w:t>
            </w:r>
          </w:p>
        </w:tc>
        <w:tc>
          <w:tcPr>
            <w:tcW w:w="795" w:type="pct"/>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1191B920" w14:textId="343B6FA1" w:rsidR="00E2459E" w:rsidRPr="00E2459E" w:rsidRDefault="00E2459E" w:rsidP="00E2459E">
            <w:pPr>
              <w:pStyle w:val="TableDataEntries"/>
              <w:rPr>
                <w:rFonts w:ascii="Franklin Gothic Demi" w:hAnsi="Franklin Gothic Demi"/>
              </w:rPr>
            </w:pPr>
            <w:r w:rsidRPr="00E2459E">
              <w:rPr>
                <w:rFonts w:ascii="Franklin Gothic Demi" w:hAnsi="Franklin Gothic Demi"/>
              </w:rPr>
              <w:t>6 595.59</w:t>
            </w:r>
          </w:p>
        </w:tc>
        <w:tc>
          <w:tcPr>
            <w:tcW w:w="795" w:type="pct"/>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1E77C2DD" w14:textId="29558049" w:rsidR="00E2459E" w:rsidRPr="00E2459E" w:rsidRDefault="00E2459E" w:rsidP="00E2459E">
            <w:pPr>
              <w:pStyle w:val="TableDataEntries"/>
              <w:rPr>
                <w:rFonts w:ascii="Franklin Gothic Demi" w:hAnsi="Franklin Gothic Demi"/>
              </w:rPr>
            </w:pPr>
            <w:r w:rsidRPr="00E2459E">
              <w:rPr>
                <w:rFonts w:ascii="Franklin Gothic Demi" w:hAnsi="Franklin Gothic Demi"/>
              </w:rPr>
              <w:t>9 816.51</w:t>
            </w:r>
          </w:p>
        </w:tc>
        <w:tc>
          <w:tcPr>
            <w:tcW w:w="795" w:type="pct"/>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737B61A3" w14:textId="09F88FAA" w:rsidR="00E2459E" w:rsidRPr="00E2459E" w:rsidRDefault="00E2459E" w:rsidP="00E2459E">
            <w:pPr>
              <w:pStyle w:val="TableDataEntries"/>
              <w:rPr>
                <w:rFonts w:ascii="Franklin Gothic Demi" w:hAnsi="Franklin Gothic Demi"/>
              </w:rPr>
            </w:pPr>
            <w:r w:rsidRPr="00E2459E">
              <w:rPr>
                <w:rFonts w:ascii="Franklin Gothic Demi" w:hAnsi="Franklin Gothic Demi"/>
              </w:rPr>
              <w:t>9 144.14</w:t>
            </w:r>
          </w:p>
        </w:tc>
      </w:tr>
    </w:tbl>
    <w:p w14:paraId="265FC834" w14:textId="77777777" w:rsidR="006568C5" w:rsidRDefault="006568C5" w:rsidP="006568C5">
      <w:pPr>
        <w:pStyle w:val="Note"/>
      </w:pPr>
      <w:r w:rsidRPr="007D1B4F">
        <w:rPr>
          <w:i/>
        </w:rPr>
        <w:t>Note:</w:t>
      </w:r>
      <w:r w:rsidRPr="00E879B8">
        <w:t xml:space="preserve"> </w:t>
      </w:r>
      <w:r>
        <w:t>Estimates presented in net present value terms over an assumed 50-year life of all buildings constructed over the 10 year period from 2025 to 2034, using a discount rate of 5 per cent.</w:t>
      </w:r>
    </w:p>
    <w:p w14:paraId="4390495C" w14:textId="77777777" w:rsidR="006568C5" w:rsidRDefault="006568C5" w:rsidP="006568C5">
      <w:pPr>
        <w:pStyle w:val="Source"/>
      </w:pPr>
      <w:r>
        <w:rPr>
          <w:i/>
        </w:rPr>
        <w:t>Source</w:t>
      </w:r>
      <w:r w:rsidRPr="00E4232C">
        <w:rPr>
          <w:i/>
        </w:rPr>
        <w:t>:</w:t>
      </w:r>
      <w:r>
        <w:t xml:space="preserve"> CIE based on DeltaQ modelling.</w:t>
      </w:r>
    </w:p>
    <w:p w14:paraId="549D6B27" w14:textId="19F1909E" w:rsidR="004E2DA2" w:rsidRDefault="00880BF8" w:rsidP="00880BF8">
      <w:pPr>
        <w:pStyle w:val="Heading3"/>
        <w:rPr>
          <w:lang w:eastAsia="en-US"/>
        </w:rPr>
      </w:pPr>
      <w:r>
        <w:rPr>
          <w:lang w:eastAsia="en-US"/>
        </w:rPr>
        <w:t>Additional costs: external shading</w:t>
      </w:r>
    </w:p>
    <w:p w14:paraId="21ADF30D" w14:textId="43B83814" w:rsidR="004E2DA2" w:rsidRDefault="00963E95" w:rsidP="004E2DA2">
      <w:pPr>
        <w:pStyle w:val="BodyText"/>
        <w:rPr>
          <w:lang w:eastAsia="en-US"/>
        </w:rPr>
      </w:pPr>
      <w:r>
        <w:rPr>
          <w:lang w:eastAsia="en-US"/>
        </w:rPr>
        <w:t>There are various ways that buildings would be able to achieve compliance with the proposed changes to the NCC</w:t>
      </w:r>
      <w:r w:rsidR="006B5010">
        <w:rPr>
          <w:lang w:eastAsia="en-US"/>
        </w:rPr>
        <w:t>.</w:t>
      </w:r>
      <w:r w:rsidR="009511D1">
        <w:rPr>
          <w:lang w:eastAsia="en-US"/>
        </w:rPr>
        <w:t xml:space="preserve"> Th</w:t>
      </w:r>
      <w:r w:rsidR="00E0239E">
        <w:rPr>
          <w:lang w:eastAsia="en-US"/>
        </w:rPr>
        <w:t>ese approaches</w:t>
      </w:r>
      <w:r w:rsidR="009511D1">
        <w:rPr>
          <w:lang w:eastAsia="en-US"/>
        </w:rPr>
        <w:t xml:space="preserve"> could include:</w:t>
      </w:r>
    </w:p>
    <w:p w14:paraId="629DDD11" w14:textId="56B15616" w:rsidR="009511D1" w:rsidRDefault="00E0239E" w:rsidP="00E0239E">
      <w:pPr>
        <w:pStyle w:val="ListBullet"/>
        <w:rPr>
          <w:lang w:eastAsia="en-US"/>
        </w:rPr>
      </w:pPr>
      <w:r>
        <w:rPr>
          <w:lang w:eastAsia="en-US"/>
        </w:rPr>
        <w:t>s</w:t>
      </w:r>
      <w:r w:rsidR="009511D1">
        <w:rPr>
          <w:lang w:eastAsia="en-US"/>
        </w:rPr>
        <w:t>electing darker glazing (i.e. the approach modelled by DeltaQ in the central case)</w:t>
      </w:r>
    </w:p>
    <w:p w14:paraId="26915FD3" w14:textId="2C254E3C" w:rsidR="009511D1" w:rsidRDefault="00E0239E" w:rsidP="00E0239E">
      <w:pPr>
        <w:pStyle w:val="ListBullet"/>
        <w:rPr>
          <w:lang w:eastAsia="en-US"/>
        </w:rPr>
      </w:pPr>
      <w:r>
        <w:rPr>
          <w:lang w:eastAsia="en-US"/>
        </w:rPr>
        <w:t>reducing the window-to-wall ratio</w:t>
      </w:r>
    </w:p>
    <w:p w14:paraId="71DE5A30" w14:textId="5B04E520" w:rsidR="00E0239E" w:rsidRDefault="00E0239E" w:rsidP="00E0239E">
      <w:pPr>
        <w:pStyle w:val="ListBullet"/>
        <w:rPr>
          <w:lang w:eastAsia="en-US"/>
        </w:rPr>
      </w:pPr>
      <w:r>
        <w:rPr>
          <w:lang w:eastAsia="en-US"/>
        </w:rPr>
        <w:t>installing external shading.</w:t>
      </w:r>
    </w:p>
    <w:p w14:paraId="09836EBF" w14:textId="1F67FDEB" w:rsidR="00604331" w:rsidRDefault="00CD0D44" w:rsidP="004E2DA2">
      <w:pPr>
        <w:pStyle w:val="BodyText"/>
        <w:rPr>
          <w:lang w:eastAsia="en-US"/>
        </w:rPr>
      </w:pPr>
      <w:r>
        <w:rPr>
          <w:lang w:eastAsia="en-US"/>
        </w:rPr>
        <w:t xml:space="preserve">The </w:t>
      </w:r>
      <w:r w:rsidR="00302D19">
        <w:rPr>
          <w:lang w:eastAsia="en-US"/>
        </w:rPr>
        <w:t xml:space="preserve">approach </w:t>
      </w:r>
      <w:r>
        <w:rPr>
          <w:lang w:eastAsia="en-US"/>
        </w:rPr>
        <w:t xml:space="preserve">modelled by DeltaQ </w:t>
      </w:r>
      <w:r w:rsidR="003D5836">
        <w:rPr>
          <w:lang w:eastAsia="en-US"/>
        </w:rPr>
        <w:t xml:space="preserve">incurs the </w:t>
      </w:r>
      <w:r w:rsidR="00063E65">
        <w:rPr>
          <w:lang w:eastAsia="en-US"/>
        </w:rPr>
        <w:t>lowest financial cost</w:t>
      </w:r>
      <w:r w:rsidR="00A73C58">
        <w:rPr>
          <w:lang w:eastAsia="en-US"/>
        </w:rPr>
        <w:t>.</w:t>
      </w:r>
    </w:p>
    <w:p w14:paraId="32D6A184" w14:textId="6E27E1FB" w:rsidR="00950861" w:rsidRDefault="00A73C58" w:rsidP="003A6C89">
      <w:pPr>
        <w:pStyle w:val="ListBullet"/>
        <w:rPr>
          <w:lang w:eastAsia="en-US"/>
        </w:rPr>
      </w:pPr>
      <w:r>
        <w:rPr>
          <w:lang w:eastAsia="en-US"/>
        </w:rPr>
        <w:t>However</w:t>
      </w:r>
      <w:r w:rsidR="00604331">
        <w:rPr>
          <w:lang w:eastAsia="en-US"/>
        </w:rPr>
        <w:t>,</w:t>
      </w:r>
      <w:r w:rsidR="00C567E0">
        <w:rPr>
          <w:lang w:eastAsia="en-US"/>
        </w:rPr>
        <w:t xml:space="preserve"> </w:t>
      </w:r>
      <w:r w:rsidR="00660307">
        <w:rPr>
          <w:lang w:eastAsia="en-US"/>
        </w:rPr>
        <w:t>if</w:t>
      </w:r>
      <w:r w:rsidR="00604331">
        <w:rPr>
          <w:lang w:eastAsia="en-US"/>
        </w:rPr>
        <w:t xml:space="preserve"> the glass </w:t>
      </w:r>
      <w:r w:rsidR="00F56B19">
        <w:rPr>
          <w:lang w:eastAsia="en-US"/>
        </w:rPr>
        <w:t xml:space="preserve">is darker </w:t>
      </w:r>
      <w:r w:rsidR="002632E9">
        <w:rPr>
          <w:lang w:eastAsia="en-US"/>
        </w:rPr>
        <w:t xml:space="preserve">(or </w:t>
      </w:r>
      <w:r w:rsidR="008E6E37">
        <w:rPr>
          <w:lang w:eastAsia="en-US"/>
        </w:rPr>
        <w:t xml:space="preserve">windows are smaller) </w:t>
      </w:r>
      <w:r w:rsidR="00F56B19">
        <w:rPr>
          <w:lang w:eastAsia="en-US"/>
        </w:rPr>
        <w:t xml:space="preserve">than </w:t>
      </w:r>
      <w:r w:rsidR="00660307">
        <w:rPr>
          <w:lang w:eastAsia="en-US"/>
        </w:rPr>
        <w:t xml:space="preserve">is preferred, there may be some </w:t>
      </w:r>
      <w:r w:rsidR="00F67505">
        <w:rPr>
          <w:lang w:eastAsia="en-US"/>
        </w:rPr>
        <w:t>amenity/aesthetic costs that have not been measured.</w:t>
      </w:r>
    </w:p>
    <w:p w14:paraId="31F66FBB" w14:textId="77CCD2B1" w:rsidR="00F67505" w:rsidRDefault="008E50CB" w:rsidP="003A6C89">
      <w:pPr>
        <w:pStyle w:val="ListBullet"/>
        <w:rPr>
          <w:lang w:eastAsia="en-US"/>
        </w:rPr>
      </w:pPr>
      <w:r>
        <w:rPr>
          <w:lang w:eastAsia="en-US"/>
        </w:rPr>
        <w:t>Alternatively, some building owners (and their design teams) could choose</w:t>
      </w:r>
      <w:r w:rsidR="005763AB">
        <w:rPr>
          <w:lang w:eastAsia="en-US"/>
        </w:rPr>
        <w:t xml:space="preserve"> to preserve </w:t>
      </w:r>
      <w:r w:rsidR="003F065C">
        <w:rPr>
          <w:lang w:eastAsia="en-US"/>
        </w:rPr>
        <w:t>their preferred design</w:t>
      </w:r>
      <w:r w:rsidR="00217AA4">
        <w:rPr>
          <w:lang w:eastAsia="en-US"/>
        </w:rPr>
        <w:t xml:space="preserve"> through </w:t>
      </w:r>
      <w:r w:rsidR="003A6C89">
        <w:rPr>
          <w:lang w:eastAsia="en-US"/>
        </w:rPr>
        <w:t>installing external shading</w:t>
      </w:r>
      <w:r w:rsidR="00CA5839">
        <w:rPr>
          <w:lang w:eastAsia="en-US"/>
        </w:rPr>
        <w:t xml:space="preserve"> (which involves additional financial cost)</w:t>
      </w:r>
      <w:r w:rsidR="003A6C89">
        <w:rPr>
          <w:lang w:eastAsia="en-US"/>
        </w:rPr>
        <w:t>.</w:t>
      </w:r>
    </w:p>
    <w:p w14:paraId="72549C8F" w14:textId="4EBAB601" w:rsidR="008E6E37" w:rsidRDefault="008E6E37" w:rsidP="008E6E37">
      <w:pPr>
        <w:pStyle w:val="BodyText"/>
        <w:rPr>
          <w:lang w:eastAsia="en-US"/>
        </w:rPr>
      </w:pPr>
      <w:r>
        <w:rPr>
          <w:lang w:eastAsia="en-US"/>
        </w:rPr>
        <w:t xml:space="preserve">These design restrictions mainly apply to the large office buildings, which tend to </w:t>
      </w:r>
      <w:r w:rsidR="006E59AA">
        <w:rPr>
          <w:lang w:eastAsia="en-US"/>
        </w:rPr>
        <w:t>be more extensively glazed than other building types.</w:t>
      </w:r>
    </w:p>
    <w:p w14:paraId="5E2AE6AC" w14:textId="4E437BF2" w:rsidR="00B85072" w:rsidRDefault="00EA7A31" w:rsidP="00EA7A31">
      <w:pPr>
        <w:pStyle w:val="Heading4"/>
        <w:rPr>
          <w:lang w:eastAsia="en-US"/>
        </w:rPr>
      </w:pPr>
      <w:r>
        <w:rPr>
          <w:lang w:eastAsia="en-US"/>
        </w:rPr>
        <w:t>Building-level shading costs</w:t>
      </w:r>
    </w:p>
    <w:p w14:paraId="5E4D1BBC" w14:textId="11AFF484" w:rsidR="00B85072" w:rsidRDefault="009A3579" w:rsidP="004E2DA2">
      <w:pPr>
        <w:pStyle w:val="BodyText"/>
        <w:rPr>
          <w:lang w:eastAsia="en-US"/>
        </w:rPr>
      </w:pPr>
      <w:r>
        <w:rPr>
          <w:lang w:eastAsia="en-US"/>
        </w:rPr>
        <w:t>Using the approach set out</w:t>
      </w:r>
      <w:r w:rsidR="00CA5839">
        <w:rPr>
          <w:lang w:eastAsia="en-US"/>
        </w:rPr>
        <w:t xml:space="preserve"> in </w:t>
      </w:r>
      <w:r w:rsidR="00CA5839" w:rsidRPr="002D3445">
        <w:rPr>
          <w:lang w:eastAsia="en-US"/>
        </w:rPr>
        <w:t xml:space="preserve">chapter 2, </w:t>
      </w:r>
      <w:r w:rsidR="006E59AA" w:rsidRPr="002D3445">
        <w:rPr>
          <w:lang w:eastAsia="en-US"/>
        </w:rPr>
        <w:t>table </w:t>
      </w:r>
      <w:r w:rsidR="00F21D7B" w:rsidRPr="002D3445">
        <w:rPr>
          <w:lang w:eastAsia="en-US"/>
        </w:rPr>
        <w:t>7.20</w:t>
      </w:r>
      <w:r w:rsidR="006E59AA" w:rsidRPr="002D3445">
        <w:rPr>
          <w:lang w:eastAsia="en-US"/>
        </w:rPr>
        <w:t xml:space="preserve"> summarises</w:t>
      </w:r>
      <w:r w:rsidR="006E59AA">
        <w:rPr>
          <w:lang w:eastAsia="en-US"/>
        </w:rPr>
        <w:t xml:space="preserve"> </w:t>
      </w:r>
      <w:r w:rsidR="00AB4274">
        <w:rPr>
          <w:lang w:eastAsia="en-US"/>
        </w:rPr>
        <w:t xml:space="preserve">the </w:t>
      </w:r>
      <w:r w:rsidR="004E0EAF">
        <w:rPr>
          <w:lang w:eastAsia="en-US"/>
        </w:rPr>
        <w:t>additional costs associated with shading</w:t>
      </w:r>
      <w:r w:rsidR="005C619C">
        <w:rPr>
          <w:lang w:eastAsia="en-US"/>
        </w:rPr>
        <w:t xml:space="preserve"> (based on </w:t>
      </w:r>
      <w:r w:rsidR="005F09A4">
        <w:rPr>
          <w:lang w:eastAsia="en-US"/>
        </w:rPr>
        <w:t>Public Comment Draft glazing stringency</w:t>
      </w:r>
      <w:r w:rsidR="005C619C">
        <w:rPr>
          <w:lang w:eastAsia="en-US"/>
        </w:rPr>
        <w:t xml:space="preserve"> modelled by DeltaQ) and</w:t>
      </w:r>
      <w:r w:rsidR="007A01EC">
        <w:rPr>
          <w:lang w:eastAsia="en-US"/>
        </w:rPr>
        <w:t xml:space="preserve"> the building-level impacts when the shading costs are included</w:t>
      </w:r>
      <w:r w:rsidR="002F40E4">
        <w:rPr>
          <w:lang w:eastAsia="en-US"/>
        </w:rPr>
        <w:t xml:space="preserve"> (for the capital city climate zone in each state/territory).</w:t>
      </w:r>
    </w:p>
    <w:p w14:paraId="378FDE5D" w14:textId="6A012A73" w:rsidR="00746504" w:rsidRDefault="00F21E2C" w:rsidP="00F21E2C">
      <w:pPr>
        <w:pStyle w:val="BodyText"/>
        <w:rPr>
          <w:lang w:eastAsia="en-US"/>
        </w:rPr>
      </w:pPr>
      <w:r>
        <w:rPr>
          <w:lang w:eastAsia="en-US"/>
        </w:rPr>
        <w:t xml:space="preserve">It is worth noting that based on public consultation feedback, the ABCB has decided to withdraw the glazing stringency to the same level included in the CRIS. Under that stringency level, it is unlikely to anticipate shading will be commonly used due to the NCC requirements: </w:t>
      </w:r>
    </w:p>
    <w:p w14:paraId="5214D061" w14:textId="1175C409" w:rsidR="00506A8C" w:rsidRDefault="00DE74A2" w:rsidP="00F21E2C">
      <w:pPr>
        <w:pStyle w:val="BodyText"/>
        <w:rPr>
          <w:lang w:eastAsia="en-US"/>
        </w:rPr>
      </w:pPr>
      <w:r>
        <w:rPr>
          <w:lang w:eastAsia="en-US"/>
        </w:rPr>
        <w:t>The technical analysis shows that a building can meet the stringency proposed for solar admittance</w:t>
      </w:r>
      <w:r w:rsidR="004337AF">
        <w:rPr>
          <w:lang w:eastAsia="en-US"/>
        </w:rPr>
        <w:t xml:space="preserve"> while</w:t>
      </w:r>
      <w:r>
        <w:rPr>
          <w:lang w:eastAsia="en-US"/>
        </w:rPr>
        <w:t xml:space="preserve"> maintaining </w:t>
      </w:r>
      <w:r w:rsidR="004337AF">
        <w:rPr>
          <w:lang w:eastAsia="en-US"/>
        </w:rPr>
        <w:t>typical</w:t>
      </w:r>
      <w:r>
        <w:rPr>
          <w:lang w:eastAsia="en-US"/>
        </w:rPr>
        <w:t xml:space="preserve"> window</w:t>
      </w:r>
      <w:r w:rsidR="004337AF">
        <w:rPr>
          <w:lang w:eastAsia="en-US"/>
        </w:rPr>
        <w:t>-</w:t>
      </w:r>
      <w:r>
        <w:rPr>
          <w:lang w:eastAsia="en-US"/>
        </w:rPr>
        <w:t>to</w:t>
      </w:r>
      <w:r w:rsidR="004337AF">
        <w:rPr>
          <w:lang w:eastAsia="en-US"/>
        </w:rPr>
        <w:t>-</w:t>
      </w:r>
      <w:r>
        <w:rPr>
          <w:lang w:eastAsia="en-US"/>
        </w:rPr>
        <w:t xml:space="preserve">wall ratios without </w:t>
      </w:r>
      <w:r w:rsidR="00743D7F">
        <w:rPr>
          <w:lang w:eastAsia="en-US"/>
        </w:rPr>
        <w:t xml:space="preserve">using </w:t>
      </w:r>
      <w:r>
        <w:rPr>
          <w:lang w:eastAsia="en-US"/>
        </w:rPr>
        <w:t xml:space="preserve">shading. </w:t>
      </w:r>
      <w:r w:rsidR="004F4D6C">
        <w:rPr>
          <w:lang w:eastAsia="en-US"/>
        </w:rPr>
        <w:t xml:space="preserve">This means that the </w:t>
      </w:r>
      <w:r w:rsidR="00A04481">
        <w:rPr>
          <w:lang w:eastAsia="en-US"/>
        </w:rPr>
        <w:t xml:space="preserve">proportion </w:t>
      </w:r>
      <w:r w:rsidR="004F4D6C">
        <w:rPr>
          <w:lang w:eastAsia="en-US"/>
        </w:rPr>
        <w:t xml:space="preserve">of </w:t>
      </w:r>
      <w:r w:rsidR="00A04481">
        <w:rPr>
          <w:lang w:eastAsia="en-US"/>
        </w:rPr>
        <w:t xml:space="preserve">buildings that use </w:t>
      </w:r>
      <w:r w:rsidR="004F4D6C">
        <w:rPr>
          <w:lang w:eastAsia="en-US"/>
        </w:rPr>
        <w:t>shading is expected to be</w:t>
      </w:r>
      <w:r w:rsidR="00A04481">
        <w:rPr>
          <w:lang w:eastAsia="en-US"/>
        </w:rPr>
        <w:t xml:space="preserve"> about</w:t>
      </w:r>
      <w:r w:rsidR="004F4D6C">
        <w:rPr>
          <w:lang w:eastAsia="en-US"/>
        </w:rPr>
        <w:t xml:space="preserve"> the same as it is currently.</w:t>
      </w:r>
    </w:p>
    <w:p w14:paraId="74288DEA" w14:textId="30232BCA" w:rsidR="007C7B98" w:rsidRDefault="007C7B98" w:rsidP="007C7B98">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520F9E">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520F9E">
          <w:rPr>
            <w:noProof/>
          </w:rPr>
          <w:instrText>7</w:instrText>
        </w:r>
      </w:fldSimple>
      <w:r w:rsidRPr="00695C93">
        <w:instrText xml:space="preserve"> = 0 "" "</w:instrText>
      </w:r>
      <w:fldSimple w:instr=" STYLEREF &quot;Heading 1&quot; \l \n ">
        <w:r w:rsidR="00520F9E">
          <w:rPr>
            <w:noProof/>
          </w:rPr>
          <w:instrText>7</w:instrText>
        </w:r>
      </w:fldSimple>
      <w:r w:rsidRPr="00695C93">
        <w:instrText xml:space="preserve">." </w:instrText>
      </w:r>
      <w:r w:rsidRPr="00695C93">
        <w:fldChar w:fldCharType="separate"/>
      </w:r>
      <w:r w:rsidR="00520F9E">
        <w:rPr>
          <w:noProof/>
        </w:rPr>
        <w:instrText>7</w:instrText>
      </w:r>
      <w:r w:rsidR="00520F9E" w:rsidRPr="00695C93">
        <w:rPr>
          <w:noProof/>
        </w:rPr>
        <w:instrText>.</w:instrText>
      </w:r>
      <w:r w:rsidRPr="00695C93">
        <w:fldChar w:fldCharType="end"/>
      </w:r>
      <w:r w:rsidRPr="00695C93">
        <w:instrText>" "</w:instrText>
      </w:r>
      <w:fldSimple w:instr=" STYLEREF &quot;Heading 6&quot; \l \n ">
        <w:r w:rsidRPr="00695C93">
          <w:instrText>B</w:instrText>
        </w:r>
      </w:fldSimple>
      <w:r w:rsidRPr="00695C93">
        <w:instrText xml:space="preserve">." </w:instrText>
      </w:r>
      <w:r w:rsidRPr="00695C93">
        <w:fldChar w:fldCharType="separate"/>
      </w:r>
      <w:r w:rsidR="008C60A3">
        <w:rPr>
          <w:noProof/>
        </w:rPr>
        <w:instrText>7</w:instrText>
      </w:r>
      <w:r w:rsidR="008C60A3"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520F9E">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520F9E">
          <w:rPr>
            <w:noProof/>
          </w:rPr>
          <w:instrText>7</w:instrText>
        </w:r>
      </w:fldSimple>
      <w:r w:rsidRPr="00695C93">
        <w:instrText xml:space="preserve"> = 0 "" "1" </w:instrText>
      </w:r>
      <w:r w:rsidRPr="00695C93">
        <w:fldChar w:fldCharType="separate"/>
      </w:r>
      <w:r w:rsidR="008C60A3" w:rsidRPr="00695C93">
        <w:rPr>
          <w:noProof/>
        </w:rPr>
        <w:instrText>1</w:instrText>
      </w:r>
      <w:r w:rsidRPr="00695C93">
        <w:fldChar w:fldCharType="end"/>
      </w:r>
      <w:r w:rsidRPr="00695C93">
        <w:instrText xml:space="preserve">" "6" </w:instrText>
      </w:r>
      <w:r w:rsidRPr="00695C93">
        <w:fldChar w:fldCharType="separate"/>
      </w:r>
      <w:r w:rsidR="008C60A3" w:rsidRPr="00695C93">
        <w:rPr>
          <w:noProof/>
        </w:rPr>
        <w:instrText>1</w:instrText>
      </w:r>
      <w:r w:rsidRPr="00695C93">
        <w:fldChar w:fldCharType="end"/>
      </w:r>
      <w:r w:rsidRPr="00695C93">
        <w:instrText xml:space="preserve"> </w:instrText>
      </w:r>
      <w:r w:rsidRPr="00695C93">
        <w:fldChar w:fldCharType="separate"/>
      </w:r>
      <w:r w:rsidR="00520F9E">
        <w:rPr>
          <w:noProof/>
        </w:rPr>
        <w:instrText>20</w:instrText>
      </w:r>
      <w:r w:rsidRPr="00695C93">
        <w:fldChar w:fldCharType="end"/>
      </w:r>
      <w:r w:rsidRPr="00695C93">
        <w:instrText xml:space="preserve">" "" </w:instrText>
      </w:r>
      <w:r w:rsidRPr="00695C93">
        <w:fldChar w:fldCharType="separate"/>
      </w:r>
      <w:bookmarkStart w:id="4455" w:name="_Caption0454"/>
      <w:bookmarkStart w:id="4456" w:name="_Caption6240"/>
      <w:bookmarkStart w:id="4457" w:name="_Toc178292619"/>
      <w:r w:rsidR="008C60A3">
        <w:rPr>
          <w:noProof/>
        </w:rPr>
        <w:t>7</w:t>
      </w:r>
      <w:r w:rsidR="008C60A3" w:rsidRPr="00695C93">
        <w:rPr>
          <w:noProof/>
        </w:rPr>
        <w:t>.</w:t>
      </w:r>
      <w:r w:rsidR="008C60A3">
        <w:rPr>
          <w:noProof/>
        </w:rPr>
        <w:t>20</w:t>
      </w:r>
      <w:bookmarkEnd w:id="4455"/>
      <w:bookmarkEnd w:id="4456"/>
      <w:r w:rsidRPr="00695C93">
        <w:fldChar w:fldCharType="end"/>
      </w:r>
      <w:r w:rsidRPr="00695C93">
        <w:tab/>
      </w:r>
      <w:r w:rsidR="002D7655">
        <w:t>Building level impacts</w:t>
      </w:r>
      <w:r w:rsidR="00C53FCA">
        <w:t xml:space="preserve"> incorporating shading costs — large office buildings</w:t>
      </w:r>
      <w:bookmarkEnd w:id="4457"/>
    </w:p>
    <w:tbl>
      <w:tblPr>
        <w:tblW w:w="7935" w:type="dxa"/>
        <w:tblLayout w:type="fixed"/>
        <w:tblLook w:val="0000" w:firstRow="0" w:lastRow="0" w:firstColumn="0" w:lastColumn="0" w:noHBand="0" w:noVBand="0"/>
      </w:tblPr>
      <w:tblGrid>
        <w:gridCol w:w="1276"/>
        <w:gridCol w:w="832"/>
        <w:gridCol w:w="832"/>
        <w:gridCol w:w="833"/>
        <w:gridCol w:w="832"/>
        <w:gridCol w:w="832"/>
        <w:gridCol w:w="833"/>
        <w:gridCol w:w="832"/>
        <w:gridCol w:w="833"/>
      </w:tblGrid>
      <w:tr w:rsidR="007C7B98" w14:paraId="364E6A74" w14:textId="77777777" w:rsidTr="00BB2C6A">
        <w:trPr>
          <w:trHeight w:val="245"/>
          <w:tblHeader/>
        </w:trPr>
        <w:tc>
          <w:tcPr>
            <w:tcW w:w="1276" w:type="dxa"/>
            <w:shd w:val="clear" w:color="auto" w:fill="6F6652"/>
            <w:tcMar>
              <w:left w:w="57" w:type="dxa"/>
              <w:right w:w="57" w:type="dxa"/>
            </w:tcMar>
          </w:tcPr>
          <w:p w14:paraId="477401C9" w14:textId="77777777" w:rsidR="007B39CC" w:rsidRDefault="007B39CC" w:rsidP="007C7B98">
            <w:pPr>
              <w:pStyle w:val="TableDataColumnHeading"/>
              <w:jc w:val="left"/>
            </w:pPr>
          </w:p>
        </w:tc>
        <w:tc>
          <w:tcPr>
            <w:tcW w:w="832" w:type="dxa"/>
            <w:shd w:val="clear" w:color="auto" w:fill="6F6652"/>
            <w:tcMar>
              <w:left w:w="57" w:type="dxa"/>
              <w:right w:w="57" w:type="dxa"/>
            </w:tcMar>
          </w:tcPr>
          <w:p w14:paraId="48756824" w14:textId="22BE2D91" w:rsidR="007B39CC" w:rsidRDefault="007B39CC" w:rsidP="007C7B98">
            <w:pPr>
              <w:pStyle w:val="TableDataColumnHeading"/>
            </w:pPr>
            <w:r>
              <w:t>NSW</w:t>
            </w:r>
            <w:r w:rsidR="005663C7">
              <w:t xml:space="preserve"> (CZ</w:t>
            </w:r>
            <w:r w:rsidR="00AA5A40">
              <w:t>5)</w:t>
            </w:r>
            <w:r w:rsidR="00AA5A40">
              <w:br/>
              <w:t>$ per m</w:t>
            </w:r>
            <w:r w:rsidR="00AA5A40" w:rsidRPr="00AA5A40">
              <w:rPr>
                <w:vertAlign w:val="superscript"/>
              </w:rPr>
              <w:t>2</w:t>
            </w:r>
          </w:p>
        </w:tc>
        <w:tc>
          <w:tcPr>
            <w:tcW w:w="832" w:type="dxa"/>
            <w:shd w:val="clear" w:color="auto" w:fill="6F6652"/>
            <w:tcMar>
              <w:left w:w="57" w:type="dxa"/>
              <w:right w:w="57" w:type="dxa"/>
            </w:tcMar>
          </w:tcPr>
          <w:p w14:paraId="5B290B09" w14:textId="4D6A9D39" w:rsidR="00AA5A40" w:rsidRDefault="007B39CC" w:rsidP="002E2AAE">
            <w:pPr>
              <w:pStyle w:val="TableDataColumnHeading"/>
            </w:pPr>
            <w:r>
              <w:t>VIC</w:t>
            </w:r>
            <w:r w:rsidR="00AA5A40">
              <w:t xml:space="preserve"> (CZ6)</w:t>
            </w:r>
            <w:r w:rsidR="002E2AAE">
              <w:br/>
              <w:t>$ per m</w:t>
            </w:r>
            <w:r w:rsidR="002E2AAE" w:rsidRPr="00AA5A40">
              <w:rPr>
                <w:vertAlign w:val="superscript"/>
              </w:rPr>
              <w:t>2</w:t>
            </w:r>
          </w:p>
        </w:tc>
        <w:tc>
          <w:tcPr>
            <w:tcW w:w="833" w:type="dxa"/>
            <w:shd w:val="clear" w:color="auto" w:fill="6F6652"/>
            <w:tcMar>
              <w:left w:w="57" w:type="dxa"/>
              <w:right w:w="57" w:type="dxa"/>
            </w:tcMar>
          </w:tcPr>
          <w:p w14:paraId="50994FEE" w14:textId="2C4322A1" w:rsidR="002E2AAE" w:rsidRDefault="007B39CC" w:rsidP="002E2AAE">
            <w:pPr>
              <w:pStyle w:val="TableDataColumnHeading"/>
            </w:pPr>
            <w:r>
              <w:t>QLD</w:t>
            </w:r>
            <w:r w:rsidR="00A77AA2">
              <w:t xml:space="preserve"> (CZ2)</w:t>
            </w:r>
            <w:r w:rsidR="002E2AAE">
              <w:br/>
              <w:t>$ per m</w:t>
            </w:r>
            <w:r w:rsidR="002E2AAE" w:rsidRPr="00AA5A40">
              <w:rPr>
                <w:vertAlign w:val="superscript"/>
              </w:rPr>
              <w:t>2</w:t>
            </w:r>
          </w:p>
        </w:tc>
        <w:tc>
          <w:tcPr>
            <w:tcW w:w="832" w:type="dxa"/>
            <w:shd w:val="clear" w:color="auto" w:fill="6F6652"/>
            <w:tcMar>
              <w:left w:w="57" w:type="dxa"/>
              <w:right w:w="57" w:type="dxa"/>
            </w:tcMar>
          </w:tcPr>
          <w:p w14:paraId="249C3A60" w14:textId="0D60A23D" w:rsidR="007B39CC" w:rsidRDefault="007B39CC" w:rsidP="007C7B98">
            <w:pPr>
              <w:pStyle w:val="TableDataColumnHeading"/>
            </w:pPr>
            <w:r>
              <w:t>WA</w:t>
            </w:r>
            <w:r w:rsidR="00A77AA2">
              <w:t xml:space="preserve"> (CZ5)</w:t>
            </w:r>
            <w:r w:rsidR="002E2AAE">
              <w:br/>
              <w:t>$ per m</w:t>
            </w:r>
            <w:r w:rsidR="002E2AAE" w:rsidRPr="00AA5A40">
              <w:rPr>
                <w:vertAlign w:val="superscript"/>
              </w:rPr>
              <w:t>2</w:t>
            </w:r>
          </w:p>
        </w:tc>
        <w:tc>
          <w:tcPr>
            <w:tcW w:w="832" w:type="dxa"/>
            <w:shd w:val="clear" w:color="auto" w:fill="6F6652"/>
            <w:tcMar>
              <w:left w:w="57" w:type="dxa"/>
              <w:right w:w="57" w:type="dxa"/>
            </w:tcMar>
          </w:tcPr>
          <w:p w14:paraId="18783158" w14:textId="7211F73F" w:rsidR="007B39CC" w:rsidRDefault="007B39CC" w:rsidP="007C7B98">
            <w:pPr>
              <w:pStyle w:val="TableDataColumnHeading"/>
            </w:pPr>
            <w:r>
              <w:t>SA</w:t>
            </w:r>
            <w:r w:rsidR="00A77AA2">
              <w:t xml:space="preserve"> (CZ</w:t>
            </w:r>
            <w:r w:rsidR="009E1B1F">
              <w:t>5</w:t>
            </w:r>
            <w:r w:rsidR="008D0469">
              <w:t>)</w:t>
            </w:r>
            <w:r w:rsidR="002E2AAE">
              <w:br/>
              <w:t>$ per m</w:t>
            </w:r>
            <w:r w:rsidR="002E2AAE" w:rsidRPr="00AA5A40">
              <w:rPr>
                <w:vertAlign w:val="superscript"/>
              </w:rPr>
              <w:t>2</w:t>
            </w:r>
          </w:p>
        </w:tc>
        <w:tc>
          <w:tcPr>
            <w:tcW w:w="833" w:type="dxa"/>
            <w:shd w:val="clear" w:color="auto" w:fill="6F6652"/>
            <w:tcMar>
              <w:left w:w="57" w:type="dxa"/>
              <w:right w:w="57" w:type="dxa"/>
            </w:tcMar>
          </w:tcPr>
          <w:p w14:paraId="5609C6D9" w14:textId="10D769EA" w:rsidR="007B39CC" w:rsidRDefault="007B39CC" w:rsidP="007C7B98">
            <w:pPr>
              <w:pStyle w:val="TableDataColumnHeading"/>
            </w:pPr>
            <w:r>
              <w:t>TAS</w:t>
            </w:r>
            <w:r w:rsidR="009E1B1F">
              <w:t xml:space="preserve"> (CZ7)</w:t>
            </w:r>
            <w:r w:rsidR="002E2AAE">
              <w:br/>
              <w:t>$ per m</w:t>
            </w:r>
            <w:r w:rsidR="002E2AAE" w:rsidRPr="00AA5A40">
              <w:rPr>
                <w:vertAlign w:val="superscript"/>
              </w:rPr>
              <w:t>2</w:t>
            </w:r>
          </w:p>
        </w:tc>
        <w:tc>
          <w:tcPr>
            <w:tcW w:w="832" w:type="dxa"/>
            <w:shd w:val="clear" w:color="auto" w:fill="6F6652"/>
            <w:tcMar>
              <w:left w:w="57" w:type="dxa"/>
              <w:right w:w="57" w:type="dxa"/>
            </w:tcMar>
          </w:tcPr>
          <w:p w14:paraId="501E506B" w14:textId="76DA3288" w:rsidR="007B39CC" w:rsidRDefault="007B39CC" w:rsidP="007C7B98">
            <w:pPr>
              <w:pStyle w:val="TableDataColumnHeading"/>
            </w:pPr>
            <w:r>
              <w:t>ACT</w:t>
            </w:r>
            <w:r w:rsidR="009E1B1F">
              <w:t xml:space="preserve"> (CZ7)</w:t>
            </w:r>
            <w:r w:rsidR="002E2AAE">
              <w:br/>
              <w:t>$ per m</w:t>
            </w:r>
            <w:r w:rsidR="002E2AAE" w:rsidRPr="00AA5A40">
              <w:rPr>
                <w:vertAlign w:val="superscript"/>
              </w:rPr>
              <w:t>2</w:t>
            </w:r>
          </w:p>
        </w:tc>
        <w:tc>
          <w:tcPr>
            <w:tcW w:w="833" w:type="dxa"/>
            <w:shd w:val="clear" w:color="auto" w:fill="6F6652"/>
            <w:tcMar>
              <w:left w:w="57" w:type="dxa"/>
              <w:right w:w="57" w:type="dxa"/>
            </w:tcMar>
          </w:tcPr>
          <w:p w14:paraId="35FFEDB1" w14:textId="00C27E37" w:rsidR="007B39CC" w:rsidRDefault="007B39CC" w:rsidP="007C7B98">
            <w:pPr>
              <w:pStyle w:val="TableDataColumnHeading"/>
            </w:pPr>
            <w:r>
              <w:t>N</w:t>
            </w:r>
            <w:r w:rsidR="00BB2C6A">
              <w:t>T</w:t>
            </w:r>
            <w:r w:rsidR="009E1B1F">
              <w:t xml:space="preserve"> (CZ</w:t>
            </w:r>
            <w:r w:rsidR="00BB2C6A">
              <w:t>1)</w:t>
            </w:r>
            <w:r w:rsidR="00A77AA2">
              <w:br/>
              <w:t>$ per m</w:t>
            </w:r>
            <w:r w:rsidR="00A77AA2" w:rsidRPr="00AA5A40">
              <w:rPr>
                <w:vertAlign w:val="superscript"/>
              </w:rPr>
              <w:t>2</w:t>
            </w:r>
          </w:p>
        </w:tc>
      </w:tr>
      <w:tr w:rsidR="00BB2C6A" w14:paraId="46EE7152" w14:textId="77777777" w:rsidTr="00BB2C6A">
        <w:trPr>
          <w:trHeight w:val="245"/>
        </w:trPr>
        <w:tc>
          <w:tcPr>
            <w:tcW w:w="1276"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55FF652B" w14:textId="77777777" w:rsidR="007B39CC" w:rsidRPr="00372838" w:rsidRDefault="007B39CC" w:rsidP="007C7B98">
            <w:pPr>
              <w:pStyle w:val="TableHeading1"/>
              <w:rPr>
                <w:color w:val="373329" w:themeColor="text2" w:themeShade="80"/>
              </w:rPr>
            </w:pPr>
            <w:r w:rsidRPr="00372838">
              <w:rPr>
                <w:color w:val="373329" w:themeColor="text2" w:themeShade="80"/>
              </w:rPr>
              <w:t>Stringency 1</w:t>
            </w:r>
          </w:p>
        </w:tc>
        <w:tc>
          <w:tcPr>
            <w:tcW w:w="832"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41D8F33F" w14:textId="77777777" w:rsidR="007B39CC" w:rsidRDefault="007B39CC" w:rsidP="007C7B98">
            <w:pPr>
              <w:pStyle w:val="TableHeading1"/>
            </w:pPr>
          </w:p>
        </w:tc>
        <w:tc>
          <w:tcPr>
            <w:tcW w:w="832"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3AF87C72" w14:textId="77777777" w:rsidR="007B39CC" w:rsidRDefault="007B39CC" w:rsidP="007C7B98">
            <w:pPr>
              <w:pStyle w:val="TableHeading1"/>
            </w:pPr>
          </w:p>
        </w:tc>
        <w:tc>
          <w:tcPr>
            <w:tcW w:w="833"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69CB02F8" w14:textId="77777777" w:rsidR="007B39CC" w:rsidRDefault="007B39CC" w:rsidP="007C7B98">
            <w:pPr>
              <w:pStyle w:val="TableHeading1"/>
            </w:pPr>
          </w:p>
        </w:tc>
        <w:tc>
          <w:tcPr>
            <w:tcW w:w="832"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2C3DD0F7" w14:textId="77777777" w:rsidR="007B39CC" w:rsidRDefault="007B39CC" w:rsidP="007C7B98">
            <w:pPr>
              <w:pStyle w:val="TableHeading1"/>
            </w:pPr>
          </w:p>
        </w:tc>
        <w:tc>
          <w:tcPr>
            <w:tcW w:w="832"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5A866AA5" w14:textId="77777777" w:rsidR="007B39CC" w:rsidRDefault="007B39CC" w:rsidP="007C7B98">
            <w:pPr>
              <w:pStyle w:val="TableHeading1"/>
            </w:pPr>
          </w:p>
        </w:tc>
        <w:tc>
          <w:tcPr>
            <w:tcW w:w="833"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71B630C0" w14:textId="77777777" w:rsidR="007B39CC" w:rsidRDefault="007B39CC" w:rsidP="007C7B98">
            <w:pPr>
              <w:pStyle w:val="TableHeading1"/>
            </w:pPr>
          </w:p>
        </w:tc>
        <w:tc>
          <w:tcPr>
            <w:tcW w:w="832"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75793CC5" w14:textId="77777777" w:rsidR="007B39CC" w:rsidRDefault="007B39CC" w:rsidP="007C7B98">
            <w:pPr>
              <w:pStyle w:val="TableHeading1"/>
            </w:pPr>
          </w:p>
        </w:tc>
        <w:tc>
          <w:tcPr>
            <w:tcW w:w="833"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471D37B2" w14:textId="77777777" w:rsidR="007B39CC" w:rsidRDefault="007B39CC" w:rsidP="007C7B98">
            <w:pPr>
              <w:pStyle w:val="TableHeading1"/>
            </w:pPr>
          </w:p>
        </w:tc>
      </w:tr>
      <w:tr w:rsidR="007C7B98" w14:paraId="6EEA7128" w14:textId="77777777" w:rsidTr="00BB2C6A">
        <w:trPr>
          <w:trHeight w:val="245"/>
        </w:trPr>
        <w:tc>
          <w:tcPr>
            <w:tcW w:w="127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47E1F78" w14:textId="77777777" w:rsidR="007B39CC" w:rsidRDefault="007B39CC" w:rsidP="007C7B98">
            <w:pPr>
              <w:pStyle w:val="TableDataEntries"/>
              <w:jc w:val="left"/>
            </w:pPr>
            <w:r>
              <w:t>Net impact</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8A1FC7" w14:textId="77777777" w:rsidR="007B39CC" w:rsidRDefault="007B39CC" w:rsidP="007C7B98">
            <w:pPr>
              <w:pStyle w:val="TableDataEntries"/>
            </w:pPr>
            <w:r>
              <w:t xml:space="preserve"> 16.19</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F1DF53" w14:textId="77777777" w:rsidR="007B39CC" w:rsidRDefault="007B39CC" w:rsidP="007C7B98">
            <w:pPr>
              <w:pStyle w:val="TableDataEntries"/>
            </w:pPr>
            <w:r>
              <w:t xml:space="preserve"> 14.53</w:t>
            </w:r>
          </w:p>
        </w:tc>
        <w:tc>
          <w:tcPr>
            <w:tcW w:w="8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11384F" w14:textId="77777777" w:rsidR="007B39CC" w:rsidRDefault="007B39CC" w:rsidP="007C7B98">
            <w:pPr>
              <w:pStyle w:val="TableDataEntries"/>
            </w:pPr>
            <w:r>
              <w:t xml:space="preserve"> 19.71</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FAA21A3" w14:textId="77777777" w:rsidR="007B39CC" w:rsidRDefault="007B39CC" w:rsidP="007C7B98">
            <w:pPr>
              <w:pStyle w:val="TableDataEntries"/>
            </w:pPr>
            <w:r>
              <w:t xml:space="preserve"> 20.46</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CD95CA2" w14:textId="77777777" w:rsidR="007B39CC" w:rsidRDefault="007B39CC" w:rsidP="007C7B98">
            <w:pPr>
              <w:pStyle w:val="TableDataEntries"/>
            </w:pPr>
            <w:r>
              <w:t xml:space="preserve"> 24.57</w:t>
            </w:r>
          </w:p>
        </w:tc>
        <w:tc>
          <w:tcPr>
            <w:tcW w:w="8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9C37456" w14:textId="77777777" w:rsidR="007B39CC" w:rsidRDefault="007B39CC" w:rsidP="007C7B98">
            <w:pPr>
              <w:pStyle w:val="TableDataEntries"/>
            </w:pPr>
            <w:r>
              <w:t xml:space="preserve"> 18.52</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A52FE01" w14:textId="77777777" w:rsidR="007B39CC" w:rsidRDefault="007B39CC" w:rsidP="007C7B98">
            <w:pPr>
              <w:pStyle w:val="TableDataEntries"/>
            </w:pPr>
            <w:r>
              <w:t xml:space="preserve"> 13.58</w:t>
            </w:r>
          </w:p>
        </w:tc>
        <w:tc>
          <w:tcPr>
            <w:tcW w:w="8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CE74262" w14:textId="77777777" w:rsidR="007B39CC" w:rsidRDefault="007B39CC" w:rsidP="007C7B98">
            <w:pPr>
              <w:pStyle w:val="TableDataEntries"/>
            </w:pPr>
            <w:r>
              <w:t xml:space="preserve"> 34.82</w:t>
            </w:r>
          </w:p>
        </w:tc>
      </w:tr>
      <w:tr w:rsidR="007C7B98" w14:paraId="1B786D49" w14:textId="77777777" w:rsidTr="00BB2C6A">
        <w:trPr>
          <w:trHeight w:val="245"/>
        </w:trPr>
        <w:tc>
          <w:tcPr>
            <w:tcW w:w="127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303F747" w14:textId="77777777" w:rsidR="007B39CC" w:rsidRDefault="007B39CC" w:rsidP="007C7B98">
            <w:pPr>
              <w:pStyle w:val="TableDataEntries"/>
              <w:jc w:val="left"/>
            </w:pPr>
            <w:r>
              <w:t>Shading costs</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A32406D" w14:textId="77777777" w:rsidR="007B39CC" w:rsidRDefault="007B39CC" w:rsidP="007C7B98">
            <w:pPr>
              <w:pStyle w:val="TableDataEntries"/>
            </w:pPr>
            <w:r>
              <w:t>- 11.83</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DE6313" w14:textId="77777777" w:rsidR="007B39CC" w:rsidRDefault="007B39CC" w:rsidP="007C7B98">
            <w:pPr>
              <w:pStyle w:val="TableDataEntries"/>
            </w:pPr>
            <w:r>
              <w:t>- 45.94</w:t>
            </w:r>
          </w:p>
        </w:tc>
        <w:tc>
          <w:tcPr>
            <w:tcW w:w="8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8BA2B3" w14:textId="77777777" w:rsidR="007B39CC" w:rsidRDefault="007B39CC" w:rsidP="007C7B98">
            <w:pPr>
              <w:pStyle w:val="TableDataEntries"/>
            </w:pPr>
            <w:r>
              <w:t>- 13.44</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ED7BDA" w14:textId="77777777" w:rsidR="007B39CC" w:rsidRDefault="007B39CC" w:rsidP="007C7B98">
            <w:pPr>
              <w:pStyle w:val="TableDataEntries"/>
            </w:pPr>
            <w:r>
              <w:t>- 11.83</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EB53755" w14:textId="77777777" w:rsidR="007B39CC" w:rsidRDefault="007B39CC" w:rsidP="007C7B98">
            <w:pPr>
              <w:pStyle w:val="TableDataEntries"/>
            </w:pPr>
            <w:r>
              <w:t>- 11.83</w:t>
            </w:r>
          </w:p>
        </w:tc>
        <w:tc>
          <w:tcPr>
            <w:tcW w:w="8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188941" w14:textId="77777777" w:rsidR="007B39CC" w:rsidRDefault="007B39CC" w:rsidP="007C7B98">
            <w:pPr>
              <w:pStyle w:val="TableDataEntries"/>
            </w:pPr>
            <w:r>
              <w:t>- 38.04</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D564022" w14:textId="77777777" w:rsidR="007B39CC" w:rsidRDefault="007B39CC" w:rsidP="007C7B98">
            <w:pPr>
              <w:pStyle w:val="TableDataEntries"/>
            </w:pPr>
            <w:r>
              <w:t>- 38.04</w:t>
            </w:r>
          </w:p>
        </w:tc>
        <w:tc>
          <w:tcPr>
            <w:tcW w:w="8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0E710B2" w14:textId="77777777" w:rsidR="007B39CC" w:rsidRDefault="007B39CC" w:rsidP="007C7B98">
            <w:pPr>
              <w:pStyle w:val="TableDataEntries"/>
            </w:pPr>
            <w:r>
              <w:t>- 55.67</w:t>
            </w:r>
          </w:p>
        </w:tc>
      </w:tr>
      <w:tr w:rsidR="007C7B98" w:rsidRPr="007C7B98" w14:paraId="673DD4E1" w14:textId="77777777" w:rsidTr="00BB2C6A">
        <w:trPr>
          <w:trHeight w:val="245"/>
        </w:trPr>
        <w:tc>
          <w:tcPr>
            <w:tcW w:w="1276"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tcPr>
          <w:p w14:paraId="76053D38" w14:textId="77777777" w:rsidR="007B39CC" w:rsidRPr="007C7B98" w:rsidRDefault="007B39CC" w:rsidP="007C7B98">
            <w:pPr>
              <w:pStyle w:val="TableDataEntries"/>
              <w:jc w:val="left"/>
              <w:rPr>
                <w:rFonts w:ascii="Franklin Gothic Demi" w:hAnsi="Franklin Gothic Demi"/>
              </w:rPr>
            </w:pPr>
            <w:r w:rsidRPr="007C7B98">
              <w:rPr>
                <w:rFonts w:ascii="Franklin Gothic Demi" w:hAnsi="Franklin Gothic Demi"/>
              </w:rPr>
              <w:t>Total</w:t>
            </w:r>
          </w:p>
        </w:tc>
        <w:tc>
          <w:tcPr>
            <w:tcW w:w="832"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tcPr>
          <w:p w14:paraId="420A73EC" w14:textId="77777777" w:rsidR="007B39CC" w:rsidRPr="007C7B98" w:rsidRDefault="007B39CC" w:rsidP="007C7B98">
            <w:pPr>
              <w:pStyle w:val="TableDataEntries"/>
              <w:rPr>
                <w:rFonts w:ascii="Franklin Gothic Demi" w:hAnsi="Franklin Gothic Demi"/>
              </w:rPr>
            </w:pPr>
            <w:r w:rsidRPr="007C7B98">
              <w:rPr>
                <w:rFonts w:ascii="Franklin Gothic Demi" w:hAnsi="Franklin Gothic Demi"/>
              </w:rPr>
              <w:t xml:space="preserve"> 4.36</w:t>
            </w:r>
          </w:p>
        </w:tc>
        <w:tc>
          <w:tcPr>
            <w:tcW w:w="832"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tcPr>
          <w:p w14:paraId="260DF1D6" w14:textId="77777777" w:rsidR="007B39CC" w:rsidRPr="007C7B98" w:rsidRDefault="007B39CC" w:rsidP="007C7B98">
            <w:pPr>
              <w:pStyle w:val="TableDataEntries"/>
              <w:rPr>
                <w:rFonts w:ascii="Franklin Gothic Demi" w:hAnsi="Franklin Gothic Demi"/>
              </w:rPr>
            </w:pPr>
            <w:r w:rsidRPr="007C7B98">
              <w:rPr>
                <w:rFonts w:ascii="Franklin Gothic Demi" w:hAnsi="Franklin Gothic Demi"/>
              </w:rPr>
              <w:t>- 31.41</w:t>
            </w:r>
          </w:p>
        </w:tc>
        <w:tc>
          <w:tcPr>
            <w:tcW w:w="833"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tcPr>
          <w:p w14:paraId="00037510" w14:textId="77777777" w:rsidR="007B39CC" w:rsidRPr="007C7B98" w:rsidRDefault="007B39CC" w:rsidP="007C7B98">
            <w:pPr>
              <w:pStyle w:val="TableDataEntries"/>
              <w:rPr>
                <w:rFonts w:ascii="Franklin Gothic Demi" w:hAnsi="Franklin Gothic Demi"/>
              </w:rPr>
            </w:pPr>
            <w:r w:rsidRPr="007C7B98">
              <w:rPr>
                <w:rFonts w:ascii="Franklin Gothic Demi" w:hAnsi="Franklin Gothic Demi"/>
              </w:rPr>
              <w:t xml:space="preserve"> 6.27</w:t>
            </w:r>
          </w:p>
        </w:tc>
        <w:tc>
          <w:tcPr>
            <w:tcW w:w="832"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tcPr>
          <w:p w14:paraId="1FAEA3E2" w14:textId="77777777" w:rsidR="007B39CC" w:rsidRPr="007C7B98" w:rsidRDefault="007B39CC" w:rsidP="007C7B98">
            <w:pPr>
              <w:pStyle w:val="TableDataEntries"/>
              <w:rPr>
                <w:rFonts w:ascii="Franklin Gothic Demi" w:hAnsi="Franklin Gothic Demi"/>
              </w:rPr>
            </w:pPr>
            <w:r w:rsidRPr="007C7B98">
              <w:rPr>
                <w:rFonts w:ascii="Franklin Gothic Demi" w:hAnsi="Franklin Gothic Demi"/>
              </w:rPr>
              <w:t xml:space="preserve"> 8.63</w:t>
            </w:r>
          </w:p>
        </w:tc>
        <w:tc>
          <w:tcPr>
            <w:tcW w:w="832"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tcPr>
          <w:p w14:paraId="09D1CA02" w14:textId="0E169546" w:rsidR="007B39CC" w:rsidRPr="007C7B98" w:rsidRDefault="007B39CC" w:rsidP="007C7B98">
            <w:pPr>
              <w:pStyle w:val="TableDataEntries"/>
              <w:rPr>
                <w:rFonts w:ascii="Franklin Gothic Demi" w:hAnsi="Franklin Gothic Demi"/>
              </w:rPr>
            </w:pPr>
            <w:r w:rsidRPr="007C7B98">
              <w:rPr>
                <w:rFonts w:ascii="Franklin Gothic Demi" w:hAnsi="Franklin Gothic Demi"/>
              </w:rPr>
              <w:t xml:space="preserve"> 12.75</w:t>
            </w:r>
          </w:p>
        </w:tc>
        <w:tc>
          <w:tcPr>
            <w:tcW w:w="833"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tcPr>
          <w:p w14:paraId="503F52CE" w14:textId="77777777" w:rsidR="007B39CC" w:rsidRPr="007C7B98" w:rsidRDefault="007B39CC" w:rsidP="007C7B98">
            <w:pPr>
              <w:pStyle w:val="TableDataEntries"/>
              <w:rPr>
                <w:rFonts w:ascii="Franklin Gothic Demi" w:hAnsi="Franklin Gothic Demi"/>
              </w:rPr>
            </w:pPr>
            <w:r w:rsidRPr="007C7B98">
              <w:rPr>
                <w:rFonts w:ascii="Franklin Gothic Demi" w:hAnsi="Franklin Gothic Demi"/>
              </w:rPr>
              <w:t>- 19.52</w:t>
            </w:r>
          </w:p>
        </w:tc>
        <w:tc>
          <w:tcPr>
            <w:tcW w:w="832"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tcPr>
          <w:p w14:paraId="28588124" w14:textId="77777777" w:rsidR="007B39CC" w:rsidRPr="007C7B98" w:rsidRDefault="007B39CC" w:rsidP="007C7B98">
            <w:pPr>
              <w:pStyle w:val="TableDataEntries"/>
              <w:rPr>
                <w:rFonts w:ascii="Franklin Gothic Demi" w:hAnsi="Franklin Gothic Demi"/>
              </w:rPr>
            </w:pPr>
            <w:r w:rsidRPr="007C7B98">
              <w:rPr>
                <w:rFonts w:ascii="Franklin Gothic Demi" w:hAnsi="Franklin Gothic Demi"/>
              </w:rPr>
              <w:t>- 24.47</w:t>
            </w:r>
          </w:p>
        </w:tc>
        <w:tc>
          <w:tcPr>
            <w:tcW w:w="833"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tcPr>
          <w:p w14:paraId="665F0B35" w14:textId="77777777" w:rsidR="007B39CC" w:rsidRPr="007C7B98" w:rsidRDefault="007B39CC" w:rsidP="007C7B98">
            <w:pPr>
              <w:pStyle w:val="TableDataEntries"/>
              <w:rPr>
                <w:rFonts w:ascii="Franklin Gothic Demi" w:hAnsi="Franklin Gothic Demi"/>
              </w:rPr>
            </w:pPr>
            <w:r w:rsidRPr="007C7B98">
              <w:rPr>
                <w:rFonts w:ascii="Franklin Gothic Demi" w:hAnsi="Franklin Gothic Demi"/>
              </w:rPr>
              <w:t>- 20.84</w:t>
            </w:r>
          </w:p>
        </w:tc>
      </w:tr>
      <w:tr w:rsidR="00BB2C6A" w14:paraId="123E6628" w14:textId="77777777" w:rsidTr="00BB2C6A">
        <w:trPr>
          <w:trHeight w:val="245"/>
        </w:trPr>
        <w:tc>
          <w:tcPr>
            <w:tcW w:w="1276"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4A1CB9C4" w14:textId="77777777" w:rsidR="007B39CC" w:rsidRPr="00372838" w:rsidRDefault="007B39CC" w:rsidP="007C7B98">
            <w:pPr>
              <w:pStyle w:val="TableHeading1"/>
              <w:rPr>
                <w:color w:val="373329" w:themeColor="text2" w:themeShade="80"/>
              </w:rPr>
            </w:pPr>
            <w:r w:rsidRPr="00372838">
              <w:rPr>
                <w:color w:val="373329" w:themeColor="text2" w:themeShade="80"/>
              </w:rPr>
              <w:t>Stringency 2</w:t>
            </w:r>
          </w:p>
        </w:tc>
        <w:tc>
          <w:tcPr>
            <w:tcW w:w="832"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4B0F81F9" w14:textId="77777777" w:rsidR="007B39CC" w:rsidRDefault="007B39CC" w:rsidP="007C7B98">
            <w:pPr>
              <w:pStyle w:val="TableHeading1"/>
            </w:pPr>
          </w:p>
        </w:tc>
        <w:tc>
          <w:tcPr>
            <w:tcW w:w="832"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2CFA0B45" w14:textId="77777777" w:rsidR="007B39CC" w:rsidRDefault="007B39CC" w:rsidP="007C7B98">
            <w:pPr>
              <w:pStyle w:val="TableHeading1"/>
            </w:pPr>
          </w:p>
        </w:tc>
        <w:tc>
          <w:tcPr>
            <w:tcW w:w="833"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0F8F196E" w14:textId="77777777" w:rsidR="007B39CC" w:rsidRDefault="007B39CC" w:rsidP="007C7B98">
            <w:pPr>
              <w:pStyle w:val="TableHeading1"/>
            </w:pPr>
          </w:p>
        </w:tc>
        <w:tc>
          <w:tcPr>
            <w:tcW w:w="832"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7FCF4FBF" w14:textId="77777777" w:rsidR="007B39CC" w:rsidRDefault="007B39CC" w:rsidP="007C7B98">
            <w:pPr>
              <w:pStyle w:val="TableHeading1"/>
            </w:pPr>
          </w:p>
        </w:tc>
        <w:tc>
          <w:tcPr>
            <w:tcW w:w="832"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4F335AD5" w14:textId="77777777" w:rsidR="007B39CC" w:rsidRDefault="007B39CC" w:rsidP="007C7B98">
            <w:pPr>
              <w:pStyle w:val="TableHeading1"/>
            </w:pPr>
          </w:p>
        </w:tc>
        <w:tc>
          <w:tcPr>
            <w:tcW w:w="833"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00306E61" w14:textId="77777777" w:rsidR="007B39CC" w:rsidRDefault="007B39CC" w:rsidP="007C7B98">
            <w:pPr>
              <w:pStyle w:val="TableHeading1"/>
            </w:pPr>
          </w:p>
        </w:tc>
        <w:tc>
          <w:tcPr>
            <w:tcW w:w="832"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5D074046" w14:textId="77777777" w:rsidR="007B39CC" w:rsidRDefault="007B39CC" w:rsidP="007C7B98">
            <w:pPr>
              <w:pStyle w:val="TableHeading1"/>
            </w:pPr>
          </w:p>
        </w:tc>
        <w:tc>
          <w:tcPr>
            <w:tcW w:w="833"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7A39B0BE" w14:textId="77777777" w:rsidR="007B39CC" w:rsidRDefault="007B39CC" w:rsidP="007C7B98">
            <w:pPr>
              <w:pStyle w:val="TableHeading1"/>
            </w:pPr>
          </w:p>
        </w:tc>
      </w:tr>
      <w:tr w:rsidR="007C7B98" w14:paraId="0B72A89B" w14:textId="77777777" w:rsidTr="00BB2C6A">
        <w:trPr>
          <w:trHeight w:val="245"/>
        </w:trPr>
        <w:tc>
          <w:tcPr>
            <w:tcW w:w="127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EE1CD31" w14:textId="77777777" w:rsidR="007B39CC" w:rsidRDefault="007B39CC" w:rsidP="007C7B98">
            <w:pPr>
              <w:pStyle w:val="TableDataEntries"/>
              <w:jc w:val="left"/>
            </w:pPr>
            <w:r>
              <w:t>Net impact</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789C7A3" w14:textId="77777777" w:rsidR="007B39CC" w:rsidRDefault="007B39CC" w:rsidP="007C7B98">
            <w:pPr>
              <w:pStyle w:val="TableDataEntries"/>
            </w:pPr>
            <w:r>
              <w:t xml:space="preserve"> 22.02</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BC955A" w14:textId="77777777" w:rsidR="007B39CC" w:rsidRDefault="007B39CC" w:rsidP="007C7B98">
            <w:pPr>
              <w:pStyle w:val="TableDataEntries"/>
            </w:pPr>
            <w:r>
              <w:t xml:space="preserve"> 21.77</w:t>
            </w:r>
          </w:p>
        </w:tc>
        <w:tc>
          <w:tcPr>
            <w:tcW w:w="8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BA6F11" w14:textId="77777777" w:rsidR="007B39CC" w:rsidRDefault="007B39CC" w:rsidP="007C7B98">
            <w:pPr>
              <w:pStyle w:val="TableDataEntries"/>
            </w:pPr>
            <w:r>
              <w:t xml:space="preserve"> 27.92</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743C30F" w14:textId="77777777" w:rsidR="007B39CC" w:rsidRDefault="007B39CC" w:rsidP="007C7B98">
            <w:pPr>
              <w:pStyle w:val="TableDataEntries"/>
            </w:pPr>
            <w:r>
              <w:t xml:space="preserve"> 28.92</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D9ECECB" w14:textId="77777777" w:rsidR="007B39CC" w:rsidRDefault="007B39CC" w:rsidP="007C7B98">
            <w:pPr>
              <w:pStyle w:val="TableDataEntries"/>
            </w:pPr>
            <w:r>
              <w:t xml:space="preserve"> 33.40</w:t>
            </w:r>
          </w:p>
        </w:tc>
        <w:tc>
          <w:tcPr>
            <w:tcW w:w="8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070325E" w14:textId="77777777" w:rsidR="007B39CC" w:rsidRDefault="007B39CC" w:rsidP="007C7B98">
            <w:pPr>
              <w:pStyle w:val="TableDataEntries"/>
            </w:pPr>
            <w:r>
              <w:t xml:space="preserve"> 28.84</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B48F3EC" w14:textId="77777777" w:rsidR="007B39CC" w:rsidRDefault="007B39CC" w:rsidP="007C7B98">
            <w:pPr>
              <w:pStyle w:val="TableDataEntries"/>
            </w:pPr>
            <w:r>
              <w:t xml:space="preserve"> 20.95</w:t>
            </w:r>
          </w:p>
        </w:tc>
        <w:tc>
          <w:tcPr>
            <w:tcW w:w="8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8C29247" w14:textId="77777777" w:rsidR="007B39CC" w:rsidRDefault="007B39CC" w:rsidP="007C7B98">
            <w:pPr>
              <w:pStyle w:val="TableDataEntries"/>
            </w:pPr>
            <w:r>
              <w:t xml:space="preserve"> 48.04</w:t>
            </w:r>
          </w:p>
        </w:tc>
      </w:tr>
      <w:tr w:rsidR="007C7B98" w14:paraId="7BCCACFB" w14:textId="77777777" w:rsidTr="00BB2C6A">
        <w:trPr>
          <w:trHeight w:val="245"/>
        </w:trPr>
        <w:tc>
          <w:tcPr>
            <w:tcW w:w="127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BAEA9F" w14:textId="77777777" w:rsidR="007B39CC" w:rsidRDefault="007B39CC" w:rsidP="007C7B98">
            <w:pPr>
              <w:pStyle w:val="TableDataEntries"/>
              <w:jc w:val="left"/>
            </w:pPr>
            <w:r>
              <w:t>Shading costs</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5C7A4F6" w14:textId="77777777" w:rsidR="007B39CC" w:rsidRDefault="007B39CC" w:rsidP="007C7B98">
            <w:pPr>
              <w:pStyle w:val="TableDataEntries"/>
            </w:pPr>
            <w:r>
              <w:t>- 11.83</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7104AFC" w14:textId="77777777" w:rsidR="007B39CC" w:rsidRDefault="007B39CC" w:rsidP="007C7B98">
            <w:pPr>
              <w:pStyle w:val="TableDataEntries"/>
            </w:pPr>
            <w:r>
              <w:t>- 45.94</w:t>
            </w:r>
          </w:p>
        </w:tc>
        <w:tc>
          <w:tcPr>
            <w:tcW w:w="8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7196250" w14:textId="77777777" w:rsidR="007B39CC" w:rsidRDefault="007B39CC" w:rsidP="007C7B98">
            <w:pPr>
              <w:pStyle w:val="TableDataEntries"/>
            </w:pPr>
            <w:r>
              <w:t>- 13.44</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3DD7CD0" w14:textId="77777777" w:rsidR="007B39CC" w:rsidRDefault="007B39CC" w:rsidP="007C7B98">
            <w:pPr>
              <w:pStyle w:val="TableDataEntries"/>
            </w:pPr>
            <w:r>
              <w:t>- 11.83</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0A2B06" w14:textId="77777777" w:rsidR="007B39CC" w:rsidRDefault="007B39CC" w:rsidP="007C7B98">
            <w:pPr>
              <w:pStyle w:val="TableDataEntries"/>
            </w:pPr>
            <w:r>
              <w:t>- 11.83</w:t>
            </w:r>
          </w:p>
        </w:tc>
        <w:tc>
          <w:tcPr>
            <w:tcW w:w="8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82181DC" w14:textId="77777777" w:rsidR="007B39CC" w:rsidRDefault="007B39CC" w:rsidP="007C7B98">
            <w:pPr>
              <w:pStyle w:val="TableDataEntries"/>
            </w:pPr>
            <w:r>
              <w:t>- 38.04</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87FB859" w14:textId="77777777" w:rsidR="007B39CC" w:rsidRDefault="007B39CC" w:rsidP="007C7B98">
            <w:pPr>
              <w:pStyle w:val="TableDataEntries"/>
            </w:pPr>
            <w:r>
              <w:t>- 38.04</w:t>
            </w:r>
          </w:p>
        </w:tc>
        <w:tc>
          <w:tcPr>
            <w:tcW w:w="8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D02FF6" w14:textId="77777777" w:rsidR="007B39CC" w:rsidRDefault="007B39CC" w:rsidP="007C7B98">
            <w:pPr>
              <w:pStyle w:val="TableDataEntries"/>
            </w:pPr>
            <w:r>
              <w:t>- 55.67</w:t>
            </w:r>
          </w:p>
        </w:tc>
      </w:tr>
      <w:tr w:rsidR="007C7B98" w:rsidRPr="007C7B98" w14:paraId="7B29E7F0" w14:textId="77777777" w:rsidTr="00BB2C6A">
        <w:trPr>
          <w:trHeight w:val="245"/>
        </w:trPr>
        <w:tc>
          <w:tcPr>
            <w:tcW w:w="1276"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tcPr>
          <w:p w14:paraId="7615175C" w14:textId="77777777" w:rsidR="007B39CC" w:rsidRPr="007C7B98" w:rsidRDefault="007B39CC" w:rsidP="007C7B98">
            <w:pPr>
              <w:pStyle w:val="TableDataEntries"/>
              <w:jc w:val="left"/>
              <w:rPr>
                <w:rFonts w:ascii="Franklin Gothic Demi" w:hAnsi="Franklin Gothic Demi"/>
              </w:rPr>
            </w:pPr>
            <w:r w:rsidRPr="007C7B98">
              <w:rPr>
                <w:rFonts w:ascii="Franklin Gothic Demi" w:hAnsi="Franklin Gothic Demi"/>
              </w:rPr>
              <w:t>Total</w:t>
            </w:r>
          </w:p>
        </w:tc>
        <w:tc>
          <w:tcPr>
            <w:tcW w:w="832"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tcPr>
          <w:p w14:paraId="222E2021" w14:textId="77777777" w:rsidR="007B39CC" w:rsidRPr="007C7B98" w:rsidRDefault="007B39CC" w:rsidP="007C7B98">
            <w:pPr>
              <w:pStyle w:val="TableDataEntries"/>
              <w:rPr>
                <w:rFonts w:ascii="Franklin Gothic Demi" w:hAnsi="Franklin Gothic Demi"/>
              </w:rPr>
            </w:pPr>
            <w:r w:rsidRPr="007C7B98">
              <w:rPr>
                <w:rFonts w:ascii="Franklin Gothic Demi" w:hAnsi="Franklin Gothic Demi"/>
              </w:rPr>
              <w:t xml:space="preserve"> 10.19</w:t>
            </w:r>
          </w:p>
        </w:tc>
        <w:tc>
          <w:tcPr>
            <w:tcW w:w="832"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tcPr>
          <w:p w14:paraId="5E9367A1" w14:textId="77777777" w:rsidR="007B39CC" w:rsidRPr="007C7B98" w:rsidRDefault="007B39CC" w:rsidP="007C7B98">
            <w:pPr>
              <w:pStyle w:val="TableDataEntries"/>
              <w:rPr>
                <w:rFonts w:ascii="Franklin Gothic Demi" w:hAnsi="Franklin Gothic Demi"/>
              </w:rPr>
            </w:pPr>
            <w:r w:rsidRPr="007C7B98">
              <w:rPr>
                <w:rFonts w:ascii="Franklin Gothic Demi" w:hAnsi="Franklin Gothic Demi"/>
              </w:rPr>
              <w:t>- 24.17</w:t>
            </w:r>
          </w:p>
        </w:tc>
        <w:tc>
          <w:tcPr>
            <w:tcW w:w="833"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tcPr>
          <w:p w14:paraId="57FB7CEE" w14:textId="77777777" w:rsidR="007B39CC" w:rsidRPr="007C7B98" w:rsidRDefault="007B39CC" w:rsidP="007C7B98">
            <w:pPr>
              <w:pStyle w:val="TableDataEntries"/>
              <w:rPr>
                <w:rFonts w:ascii="Franklin Gothic Demi" w:hAnsi="Franklin Gothic Demi"/>
              </w:rPr>
            </w:pPr>
            <w:r w:rsidRPr="007C7B98">
              <w:rPr>
                <w:rFonts w:ascii="Franklin Gothic Demi" w:hAnsi="Franklin Gothic Demi"/>
              </w:rPr>
              <w:t xml:space="preserve"> 14.49</w:t>
            </w:r>
          </w:p>
        </w:tc>
        <w:tc>
          <w:tcPr>
            <w:tcW w:w="832"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tcPr>
          <w:p w14:paraId="65F49073" w14:textId="77777777" w:rsidR="007B39CC" w:rsidRPr="007C7B98" w:rsidRDefault="007B39CC" w:rsidP="007C7B98">
            <w:pPr>
              <w:pStyle w:val="TableDataEntries"/>
              <w:rPr>
                <w:rFonts w:ascii="Franklin Gothic Demi" w:hAnsi="Franklin Gothic Demi"/>
              </w:rPr>
            </w:pPr>
            <w:r w:rsidRPr="007C7B98">
              <w:rPr>
                <w:rFonts w:ascii="Franklin Gothic Demi" w:hAnsi="Franklin Gothic Demi"/>
              </w:rPr>
              <w:t xml:space="preserve"> 17.09</w:t>
            </w:r>
          </w:p>
        </w:tc>
        <w:tc>
          <w:tcPr>
            <w:tcW w:w="832"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tcPr>
          <w:p w14:paraId="72566B62" w14:textId="77777777" w:rsidR="007B39CC" w:rsidRPr="007C7B98" w:rsidRDefault="007B39CC" w:rsidP="007C7B98">
            <w:pPr>
              <w:pStyle w:val="TableDataEntries"/>
              <w:rPr>
                <w:rFonts w:ascii="Franklin Gothic Demi" w:hAnsi="Franklin Gothic Demi"/>
              </w:rPr>
            </w:pPr>
            <w:r w:rsidRPr="007C7B98">
              <w:rPr>
                <w:rFonts w:ascii="Franklin Gothic Demi" w:hAnsi="Franklin Gothic Demi"/>
              </w:rPr>
              <w:t xml:space="preserve"> 21.57</w:t>
            </w:r>
          </w:p>
        </w:tc>
        <w:tc>
          <w:tcPr>
            <w:tcW w:w="833"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tcPr>
          <w:p w14:paraId="7862861C" w14:textId="77777777" w:rsidR="007B39CC" w:rsidRPr="007C7B98" w:rsidRDefault="007B39CC" w:rsidP="007C7B98">
            <w:pPr>
              <w:pStyle w:val="TableDataEntries"/>
              <w:rPr>
                <w:rFonts w:ascii="Franklin Gothic Demi" w:hAnsi="Franklin Gothic Demi"/>
              </w:rPr>
            </w:pPr>
            <w:r w:rsidRPr="007C7B98">
              <w:rPr>
                <w:rFonts w:ascii="Franklin Gothic Demi" w:hAnsi="Franklin Gothic Demi"/>
              </w:rPr>
              <w:t>- 9.20</w:t>
            </w:r>
          </w:p>
        </w:tc>
        <w:tc>
          <w:tcPr>
            <w:tcW w:w="832"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tcPr>
          <w:p w14:paraId="76BFD595" w14:textId="77777777" w:rsidR="007B39CC" w:rsidRPr="007C7B98" w:rsidRDefault="007B39CC" w:rsidP="007C7B98">
            <w:pPr>
              <w:pStyle w:val="TableDataEntries"/>
              <w:rPr>
                <w:rFonts w:ascii="Franklin Gothic Demi" w:hAnsi="Franklin Gothic Demi"/>
              </w:rPr>
            </w:pPr>
            <w:r w:rsidRPr="007C7B98">
              <w:rPr>
                <w:rFonts w:ascii="Franklin Gothic Demi" w:hAnsi="Franklin Gothic Demi"/>
              </w:rPr>
              <w:t>- 17.10</w:t>
            </w:r>
          </w:p>
        </w:tc>
        <w:tc>
          <w:tcPr>
            <w:tcW w:w="833"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tcPr>
          <w:p w14:paraId="3871A73F" w14:textId="77777777" w:rsidR="007B39CC" w:rsidRPr="007C7B98" w:rsidRDefault="007B39CC" w:rsidP="007C7B98">
            <w:pPr>
              <w:pStyle w:val="TableDataEntries"/>
              <w:rPr>
                <w:rFonts w:ascii="Franklin Gothic Demi" w:hAnsi="Franklin Gothic Demi"/>
              </w:rPr>
            </w:pPr>
            <w:r w:rsidRPr="007C7B98">
              <w:rPr>
                <w:rFonts w:ascii="Franklin Gothic Demi" w:hAnsi="Franklin Gothic Demi"/>
              </w:rPr>
              <w:t>- 7.63</w:t>
            </w:r>
          </w:p>
        </w:tc>
      </w:tr>
      <w:tr w:rsidR="00BB2C6A" w14:paraId="18A6C4CC" w14:textId="77777777" w:rsidTr="00BB2C6A">
        <w:trPr>
          <w:trHeight w:val="245"/>
        </w:trPr>
        <w:tc>
          <w:tcPr>
            <w:tcW w:w="1276"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11B3CA0B" w14:textId="77777777" w:rsidR="007B39CC" w:rsidRPr="00372838" w:rsidRDefault="007B39CC" w:rsidP="007C7B98">
            <w:pPr>
              <w:pStyle w:val="TableHeading1"/>
              <w:rPr>
                <w:color w:val="373329" w:themeColor="text2" w:themeShade="80"/>
              </w:rPr>
            </w:pPr>
            <w:r w:rsidRPr="00372838">
              <w:rPr>
                <w:color w:val="373329" w:themeColor="text2" w:themeShade="80"/>
              </w:rPr>
              <w:t>Stringency 3</w:t>
            </w:r>
          </w:p>
        </w:tc>
        <w:tc>
          <w:tcPr>
            <w:tcW w:w="832"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395AB22E" w14:textId="77777777" w:rsidR="007B39CC" w:rsidRDefault="007B39CC" w:rsidP="007C7B98">
            <w:pPr>
              <w:pStyle w:val="TableHeading1"/>
            </w:pPr>
          </w:p>
        </w:tc>
        <w:tc>
          <w:tcPr>
            <w:tcW w:w="832"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677272AA" w14:textId="77777777" w:rsidR="007B39CC" w:rsidRDefault="007B39CC" w:rsidP="007C7B98">
            <w:pPr>
              <w:pStyle w:val="TableHeading1"/>
            </w:pPr>
          </w:p>
        </w:tc>
        <w:tc>
          <w:tcPr>
            <w:tcW w:w="833"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2CA5C970" w14:textId="77777777" w:rsidR="007B39CC" w:rsidRDefault="007B39CC" w:rsidP="007C7B98">
            <w:pPr>
              <w:pStyle w:val="TableHeading1"/>
            </w:pPr>
          </w:p>
        </w:tc>
        <w:tc>
          <w:tcPr>
            <w:tcW w:w="832"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6F2D93D1" w14:textId="77777777" w:rsidR="007B39CC" w:rsidRDefault="007B39CC" w:rsidP="007C7B98">
            <w:pPr>
              <w:pStyle w:val="TableHeading1"/>
            </w:pPr>
          </w:p>
        </w:tc>
        <w:tc>
          <w:tcPr>
            <w:tcW w:w="832"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428CB9BA" w14:textId="77777777" w:rsidR="007B39CC" w:rsidRDefault="007B39CC" w:rsidP="007C7B98">
            <w:pPr>
              <w:pStyle w:val="TableHeading1"/>
            </w:pPr>
          </w:p>
        </w:tc>
        <w:tc>
          <w:tcPr>
            <w:tcW w:w="833"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2BBDF7B4" w14:textId="77777777" w:rsidR="007B39CC" w:rsidRDefault="007B39CC" w:rsidP="007C7B98">
            <w:pPr>
              <w:pStyle w:val="TableHeading1"/>
            </w:pPr>
          </w:p>
        </w:tc>
        <w:tc>
          <w:tcPr>
            <w:tcW w:w="832"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31D473C8" w14:textId="77777777" w:rsidR="007B39CC" w:rsidRDefault="007B39CC" w:rsidP="007C7B98">
            <w:pPr>
              <w:pStyle w:val="TableHeading1"/>
            </w:pPr>
          </w:p>
        </w:tc>
        <w:tc>
          <w:tcPr>
            <w:tcW w:w="833"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3E6A8CC2" w14:textId="77777777" w:rsidR="007B39CC" w:rsidRDefault="007B39CC" w:rsidP="007C7B98">
            <w:pPr>
              <w:pStyle w:val="TableHeading1"/>
            </w:pPr>
          </w:p>
        </w:tc>
      </w:tr>
      <w:tr w:rsidR="0060427E" w14:paraId="747BD723" w14:textId="77777777" w:rsidTr="00400EFB">
        <w:trPr>
          <w:trHeight w:val="245"/>
        </w:trPr>
        <w:tc>
          <w:tcPr>
            <w:tcW w:w="127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0D8832D" w14:textId="77777777" w:rsidR="0060427E" w:rsidRDefault="0060427E" w:rsidP="0060427E">
            <w:pPr>
              <w:pStyle w:val="TableDataEntries"/>
              <w:jc w:val="left"/>
            </w:pPr>
            <w:r>
              <w:t>Net impact</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D2D309D" w14:textId="7F9D7F30" w:rsidR="0060427E" w:rsidRPr="0060427E" w:rsidRDefault="0060427E" w:rsidP="0060427E">
            <w:pPr>
              <w:pStyle w:val="TableDataEntries"/>
            </w:pPr>
            <w:r w:rsidRPr="0060427E">
              <w:t xml:space="preserve"> 7.95</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9AEB3A6" w14:textId="29FC3709" w:rsidR="0060427E" w:rsidRPr="0060427E" w:rsidRDefault="0060427E" w:rsidP="0060427E">
            <w:pPr>
              <w:pStyle w:val="TableDataEntries"/>
            </w:pPr>
            <w:r w:rsidRPr="0060427E">
              <w:t>- 16.60</w:t>
            </w:r>
          </w:p>
        </w:tc>
        <w:tc>
          <w:tcPr>
            <w:tcW w:w="8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E2EE57B" w14:textId="3CE13734" w:rsidR="0060427E" w:rsidRPr="0060427E" w:rsidRDefault="0060427E" w:rsidP="0060427E">
            <w:pPr>
              <w:pStyle w:val="TableDataEntries"/>
            </w:pPr>
            <w:r w:rsidRPr="0060427E">
              <w:t xml:space="preserve"> 17.66</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8269B65" w14:textId="19D4E41F" w:rsidR="0060427E" w:rsidRPr="0060427E" w:rsidRDefault="0060427E" w:rsidP="0060427E">
            <w:pPr>
              <w:pStyle w:val="TableDataEntries"/>
            </w:pPr>
            <w:r w:rsidRPr="0060427E">
              <w:t xml:space="preserve"> 13.09</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C2420F9" w14:textId="16B5E12B" w:rsidR="0060427E" w:rsidRPr="0060427E" w:rsidRDefault="0060427E" w:rsidP="0060427E">
            <w:pPr>
              <w:pStyle w:val="TableDataEntries"/>
            </w:pPr>
            <w:r w:rsidRPr="0060427E">
              <w:t xml:space="preserve"> 15.11</w:t>
            </w:r>
          </w:p>
        </w:tc>
        <w:tc>
          <w:tcPr>
            <w:tcW w:w="8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111BB89" w14:textId="44004429" w:rsidR="0060427E" w:rsidRPr="0060427E" w:rsidRDefault="0060427E" w:rsidP="0060427E">
            <w:pPr>
              <w:pStyle w:val="TableDataEntries"/>
            </w:pPr>
            <w:r w:rsidRPr="0060427E">
              <w:t>- 48.91</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05450C3" w14:textId="125B286F" w:rsidR="0060427E" w:rsidRPr="0060427E" w:rsidRDefault="0060427E" w:rsidP="0060427E">
            <w:pPr>
              <w:pStyle w:val="TableDataEntries"/>
            </w:pPr>
            <w:r w:rsidRPr="0060427E">
              <w:t>- 24.88</w:t>
            </w:r>
          </w:p>
        </w:tc>
        <w:tc>
          <w:tcPr>
            <w:tcW w:w="8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DAB0217" w14:textId="5D43F660" w:rsidR="0060427E" w:rsidRPr="0060427E" w:rsidRDefault="0060427E" w:rsidP="0060427E">
            <w:pPr>
              <w:pStyle w:val="TableDataEntries"/>
            </w:pPr>
            <w:r w:rsidRPr="0060427E">
              <w:t xml:space="preserve"> 30.33</w:t>
            </w:r>
          </w:p>
        </w:tc>
      </w:tr>
      <w:tr w:rsidR="0060427E" w14:paraId="46003F64" w14:textId="77777777" w:rsidTr="00400EFB">
        <w:trPr>
          <w:trHeight w:val="245"/>
        </w:trPr>
        <w:tc>
          <w:tcPr>
            <w:tcW w:w="127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F94F0D" w14:textId="77777777" w:rsidR="0060427E" w:rsidRDefault="0060427E" w:rsidP="0060427E">
            <w:pPr>
              <w:pStyle w:val="TableDataEntries"/>
              <w:jc w:val="left"/>
            </w:pPr>
            <w:r>
              <w:t>Shading costs</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05A90F1" w14:textId="73CEE388" w:rsidR="0060427E" w:rsidRPr="0060427E" w:rsidRDefault="0060427E" w:rsidP="0060427E">
            <w:pPr>
              <w:pStyle w:val="TableDataEntries"/>
            </w:pPr>
            <w:r w:rsidRPr="0060427E">
              <w:t>- 11.83</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D776AFB" w14:textId="72474F47" w:rsidR="0060427E" w:rsidRPr="0060427E" w:rsidRDefault="0060427E" w:rsidP="0060427E">
            <w:pPr>
              <w:pStyle w:val="TableDataEntries"/>
            </w:pPr>
            <w:r w:rsidRPr="0060427E">
              <w:t>- 45.94</w:t>
            </w:r>
          </w:p>
        </w:tc>
        <w:tc>
          <w:tcPr>
            <w:tcW w:w="8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94FFBB8" w14:textId="416B9313" w:rsidR="0060427E" w:rsidRPr="0060427E" w:rsidRDefault="0060427E" w:rsidP="0060427E">
            <w:pPr>
              <w:pStyle w:val="TableDataEntries"/>
            </w:pPr>
            <w:r w:rsidRPr="0060427E">
              <w:t>- 13.44</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C78A833" w14:textId="3CA4E468" w:rsidR="0060427E" w:rsidRPr="0060427E" w:rsidRDefault="0060427E" w:rsidP="0060427E">
            <w:pPr>
              <w:pStyle w:val="TableDataEntries"/>
            </w:pPr>
            <w:r w:rsidRPr="0060427E">
              <w:t>- 11.83</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BD964A6" w14:textId="24984719" w:rsidR="0060427E" w:rsidRPr="0060427E" w:rsidRDefault="0060427E" w:rsidP="0060427E">
            <w:pPr>
              <w:pStyle w:val="TableDataEntries"/>
            </w:pPr>
            <w:r w:rsidRPr="0060427E">
              <w:t>- 11.83</w:t>
            </w:r>
          </w:p>
        </w:tc>
        <w:tc>
          <w:tcPr>
            <w:tcW w:w="8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DF71004" w14:textId="0386772B" w:rsidR="0060427E" w:rsidRPr="0060427E" w:rsidRDefault="0060427E" w:rsidP="0060427E">
            <w:pPr>
              <w:pStyle w:val="TableDataEntries"/>
            </w:pPr>
            <w:r w:rsidRPr="0060427E">
              <w:t>- 38.04</w:t>
            </w:r>
          </w:p>
        </w:tc>
        <w:tc>
          <w:tcPr>
            <w:tcW w:w="83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A2E4FE1" w14:textId="18FD7E44" w:rsidR="0060427E" w:rsidRPr="0060427E" w:rsidRDefault="0060427E" w:rsidP="0060427E">
            <w:pPr>
              <w:pStyle w:val="TableDataEntries"/>
            </w:pPr>
            <w:r w:rsidRPr="0060427E">
              <w:t>- 38.04</w:t>
            </w:r>
          </w:p>
        </w:tc>
        <w:tc>
          <w:tcPr>
            <w:tcW w:w="8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DBB5030" w14:textId="21BA3C52" w:rsidR="0060427E" w:rsidRPr="0060427E" w:rsidRDefault="0060427E" w:rsidP="0060427E">
            <w:pPr>
              <w:pStyle w:val="TableDataEntries"/>
            </w:pPr>
            <w:r w:rsidRPr="0060427E">
              <w:t>- 55.67</w:t>
            </w:r>
          </w:p>
        </w:tc>
      </w:tr>
      <w:tr w:rsidR="0060427E" w:rsidRPr="0060427E" w14:paraId="124A0123" w14:textId="77777777" w:rsidTr="00400EFB">
        <w:trPr>
          <w:trHeight w:val="245"/>
        </w:trPr>
        <w:tc>
          <w:tcPr>
            <w:tcW w:w="1276"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28CC635" w14:textId="066651A3" w:rsidR="0060427E" w:rsidRPr="0060427E" w:rsidRDefault="0060427E" w:rsidP="0060427E">
            <w:pPr>
              <w:pStyle w:val="TableDataEntries"/>
              <w:jc w:val="left"/>
              <w:rPr>
                <w:rFonts w:ascii="Franklin Gothic Demi" w:hAnsi="Franklin Gothic Demi"/>
              </w:rPr>
            </w:pPr>
            <w:r w:rsidRPr="0060427E">
              <w:rPr>
                <w:rFonts w:ascii="Franklin Gothic Demi" w:hAnsi="Franklin Gothic Demi"/>
              </w:rPr>
              <w:t xml:space="preserve">Total </w:t>
            </w:r>
          </w:p>
        </w:tc>
        <w:tc>
          <w:tcPr>
            <w:tcW w:w="832"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3D9CA1CA" w14:textId="6A237A7F" w:rsidR="0060427E" w:rsidRPr="0060427E" w:rsidRDefault="0060427E" w:rsidP="0060427E">
            <w:pPr>
              <w:pStyle w:val="TableDataEntries"/>
              <w:rPr>
                <w:rFonts w:ascii="Franklin Gothic Demi" w:hAnsi="Franklin Gothic Demi"/>
              </w:rPr>
            </w:pPr>
            <w:r w:rsidRPr="0060427E">
              <w:rPr>
                <w:rFonts w:ascii="Franklin Gothic Demi" w:hAnsi="Franklin Gothic Demi"/>
              </w:rPr>
              <w:t>- 3.88</w:t>
            </w:r>
          </w:p>
        </w:tc>
        <w:tc>
          <w:tcPr>
            <w:tcW w:w="832"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3CF7A79D" w14:textId="42330BC1" w:rsidR="0060427E" w:rsidRPr="0060427E" w:rsidRDefault="0060427E" w:rsidP="0060427E">
            <w:pPr>
              <w:pStyle w:val="TableDataEntries"/>
              <w:rPr>
                <w:rFonts w:ascii="Franklin Gothic Demi" w:hAnsi="Franklin Gothic Demi"/>
              </w:rPr>
            </w:pPr>
            <w:r w:rsidRPr="0060427E">
              <w:rPr>
                <w:rFonts w:ascii="Franklin Gothic Demi" w:hAnsi="Franklin Gothic Demi"/>
              </w:rPr>
              <w:t>- 62.54</w:t>
            </w:r>
          </w:p>
        </w:tc>
        <w:tc>
          <w:tcPr>
            <w:tcW w:w="833"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03E5F4BA" w14:textId="085632C5" w:rsidR="0060427E" w:rsidRPr="0060427E" w:rsidRDefault="0060427E" w:rsidP="0060427E">
            <w:pPr>
              <w:pStyle w:val="TableDataEntries"/>
              <w:rPr>
                <w:rFonts w:ascii="Franklin Gothic Demi" w:hAnsi="Franklin Gothic Demi"/>
              </w:rPr>
            </w:pPr>
            <w:r w:rsidRPr="0060427E">
              <w:rPr>
                <w:rFonts w:ascii="Franklin Gothic Demi" w:hAnsi="Franklin Gothic Demi"/>
              </w:rPr>
              <w:t xml:space="preserve"> 4.23</w:t>
            </w:r>
          </w:p>
        </w:tc>
        <w:tc>
          <w:tcPr>
            <w:tcW w:w="832"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27EA2A03" w14:textId="3844C7C2" w:rsidR="0060427E" w:rsidRPr="0060427E" w:rsidRDefault="0060427E" w:rsidP="0060427E">
            <w:pPr>
              <w:pStyle w:val="TableDataEntries"/>
              <w:rPr>
                <w:rFonts w:ascii="Franklin Gothic Demi" w:hAnsi="Franklin Gothic Demi"/>
              </w:rPr>
            </w:pPr>
            <w:r w:rsidRPr="0060427E">
              <w:rPr>
                <w:rFonts w:ascii="Franklin Gothic Demi" w:hAnsi="Franklin Gothic Demi"/>
              </w:rPr>
              <w:t xml:space="preserve"> 1.26</w:t>
            </w:r>
          </w:p>
        </w:tc>
        <w:tc>
          <w:tcPr>
            <w:tcW w:w="832"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5D5A6F88" w14:textId="1F49FB7B" w:rsidR="0060427E" w:rsidRPr="0060427E" w:rsidRDefault="0060427E" w:rsidP="0060427E">
            <w:pPr>
              <w:pStyle w:val="TableDataEntries"/>
              <w:rPr>
                <w:rFonts w:ascii="Franklin Gothic Demi" w:hAnsi="Franklin Gothic Demi"/>
              </w:rPr>
            </w:pPr>
            <w:r w:rsidRPr="0060427E">
              <w:rPr>
                <w:rFonts w:ascii="Franklin Gothic Demi" w:hAnsi="Franklin Gothic Demi"/>
              </w:rPr>
              <w:t xml:space="preserve"> 3.28</w:t>
            </w:r>
          </w:p>
        </w:tc>
        <w:tc>
          <w:tcPr>
            <w:tcW w:w="833"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7175A851" w14:textId="0B5D0658" w:rsidR="0060427E" w:rsidRPr="0060427E" w:rsidRDefault="0060427E" w:rsidP="0060427E">
            <w:pPr>
              <w:pStyle w:val="TableDataEntries"/>
              <w:rPr>
                <w:rFonts w:ascii="Franklin Gothic Demi" w:hAnsi="Franklin Gothic Demi"/>
              </w:rPr>
            </w:pPr>
            <w:r w:rsidRPr="0060427E">
              <w:rPr>
                <w:rFonts w:ascii="Franklin Gothic Demi" w:hAnsi="Franklin Gothic Demi"/>
              </w:rPr>
              <w:t>- 86.95</w:t>
            </w:r>
          </w:p>
        </w:tc>
        <w:tc>
          <w:tcPr>
            <w:tcW w:w="832"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49C72B8E" w14:textId="5D05A73A" w:rsidR="0060427E" w:rsidRPr="0060427E" w:rsidRDefault="0060427E" w:rsidP="0060427E">
            <w:pPr>
              <w:pStyle w:val="TableDataEntries"/>
              <w:rPr>
                <w:rFonts w:ascii="Franklin Gothic Demi" w:hAnsi="Franklin Gothic Demi"/>
              </w:rPr>
            </w:pPr>
            <w:r w:rsidRPr="0060427E">
              <w:rPr>
                <w:rFonts w:ascii="Franklin Gothic Demi" w:hAnsi="Franklin Gothic Demi"/>
              </w:rPr>
              <w:t>- 62.92</w:t>
            </w:r>
          </w:p>
        </w:tc>
        <w:tc>
          <w:tcPr>
            <w:tcW w:w="833"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78DEB170" w14:textId="729344D1" w:rsidR="0060427E" w:rsidRPr="0060427E" w:rsidRDefault="0060427E" w:rsidP="0060427E">
            <w:pPr>
              <w:pStyle w:val="TableDataEntries"/>
              <w:rPr>
                <w:rFonts w:ascii="Franklin Gothic Demi" w:hAnsi="Franklin Gothic Demi"/>
              </w:rPr>
            </w:pPr>
            <w:r w:rsidRPr="0060427E">
              <w:rPr>
                <w:rFonts w:ascii="Franklin Gothic Demi" w:hAnsi="Franklin Gothic Demi"/>
              </w:rPr>
              <w:t>- 25.34</w:t>
            </w:r>
          </w:p>
        </w:tc>
      </w:tr>
    </w:tbl>
    <w:p w14:paraId="491A7113" w14:textId="77F36034" w:rsidR="007B39CC" w:rsidRDefault="007C7B98" w:rsidP="007C7B98">
      <w:pPr>
        <w:pStyle w:val="Note"/>
      </w:pPr>
      <w:r w:rsidRPr="007D1B4F">
        <w:rPr>
          <w:i/>
        </w:rPr>
        <w:t>Note:</w:t>
      </w:r>
      <w:r w:rsidRPr="00E879B8">
        <w:t xml:space="preserve"> </w:t>
      </w:r>
      <w:r w:rsidR="007649CD">
        <w:t>Estimates presented in net present value terms over an assumed 50-year, using a discount rate of 5 per cent.</w:t>
      </w:r>
    </w:p>
    <w:p w14:paraId="3B6C151C" w14:textId="744D66F7" w:rsidR="007C7B98" w:rsidRDefault="007C7B98" w:rsidP="007C7B98">
      <w:pPr>
        <w:pStyle w:val="Source"/>
      </w:pPr>
      <w:r>
        <w:rPr>
          <w:i/>
        </w:rPr>
        <w:t>Source</w:t>
      </w:r>
      <w:r w:rsidRPr="00E4232C">
        <w:rPr>
          <w:i/>
        </w:rPr>
        <w:t>:</w:t>
      </w:r>
      <w:r>
        <w:t xml:space="preserve"> </w:t>
      </w:r>
      <w:r w:rsidR="004176E6">
        <w:t xml:space="preserve">CIE based on DeltaQ </w:t>
      </w:r>
      <w:r w:rsidR="00FD2870">
        <w:t>modelling.</w:t>
      </w:r>
    </w:p>
    <w:p w14:paraId="605B8150" w14:textId="09CCBDD4" w:rsidR="00EA7A31" w:rsidRDefault="00EA7A31" w:rsidP="00EA7A31">
      <w:pPr>
        <w:pStyle w:val="Heading4"/>
        <w:rPr>
          <w:lang w:eastAsia="en-US"/>
        </w:rPr>
      </w:pPr>
      <w:r>
        <w:rPr>
          <w:lang w:eastAsia="en-US"/>
        </w:rPr>
        <w:t>Aggregate impacts</w:t>
      </w:r>
    </w:p>
    <w:p w14:paraId="1BF5EE16" w14:textId="4E434CC1" w:rsidR="00B85072" w:rsidRDefault="00FC1A72" w:rsidP="004E2DA2">
      <w:pPr>
        <w:pStyle w:val="BodyText"/>
        <w:rPr>
          <w:lang w:eastAsia="en-US"/>
        </w:rPr>
      </w:pPr>
      <w:r>
        <w:rPr>
          <w:lang w:eastAsia="en-US"/>
        </w:rPr>
        <w:t xml:space="preserve">Although </w:t>
      </w:r>
      <w:r w:rsidR="007649CD">
        <w:rPr>
          <w:lang w:eastAsia="en-US"/>
        </w:rPr>
        <w:t xml:space="preserve">the </w:t>
      </w:r>
      <w:r w:rsidR="00983A5E">
        <w:rPr>
          <w:lang w:eastAsia="en-US"/>
        </w:rPr>
        <w:t>building-level impacts are significant, the</w:t>
      </w:r>
      <w:r w:rsidR="00FA673C">
        <w:rPr>
          <w:lang w:eastAsia="en-US"/>
        </w:rPr>
        <w:t xml:space="preserve"> aggregate impacts are relatively modest as </w:t>
      </w:r>
      <w:r w:rsidR="003162C1">
        <w:rPr>
          <w:lang w:eastAsia="en-US"/>
        </w:rPr>
        <w:t xml:space="preserve">the proposed changes are likely to </w:t>
      </w:r>
      <w:r w:rsidR="0091434B">
        <w:rPr>
          <w:lang w:eastAsia="en-US"/>
        </w:rPr>
        <w:t xml:space="preserve">materially </w:t>
      </w:r>
      <w:r w:rsidR="003162C1">
        <w:rPr>
          <w:lang w:eastAsia="en-US"/>
        </w:rPr>
        <w:t xml:space="preserve">restrict </w:t>
      </w:r>
      <w:r w:rsidR="0091434B">
        <w:rPr>
          <w:lang w:eastAsia="en-US"/>
        </w:rPr>
        <w:t xml:space="preserve">design choices mostly </w:t>
      </w:r>
      <w:r w:rsidR="003162C1">
        <w:rPr>
          <w:lang w:eastAsia="en-US"/>
        </w:rPr>
        <w:t>for large office buildings.</w:t>
      </w:r>
    </w:p>
    <w:p w14:paraId="10316AB9" w14:textId="4E573476" w:rsidR="0091434B" w:rsidRDefault="00085222" w:rsidP="004E2DA2">
      <w:pPr>
        <w:pStyle w:val="BodyText"/>
        <w:rPr>
          <w:lang w:eastAsia="en-US"/>
        </w:rPr>
      </w:pPr>
      <w:r>
        <w:rPr>
          <w:lang w:eastAsia="en-US"/>
        </w:rPr>
        <w:t>At the aggregate level, external shading would increase capital costs by around $139 million in present value terms over the period from 2025 to 2034, using a discount rate of 5 per cent</w:t>
      </w:r>
      <w:r w:rsidR="00652760">
        <w:rPr>
          <w:lang w:eastAsia="en-US"/>
        </w:rPr>
        <w:t xml:space="preserve"> (assuming</w:t>
      </w:r>
      <w:r w:rsidR="00812F72">
        <w:rPr>
          <w:lang w:eastAsia="en-US"/>
        </w:rPr>
        <w:t xml:space="preserve"> only </w:t>
      </w:r>
      <w:r w:rsidR="00BF7C0E">
        <w:rPr>
          <w:lang w:eastAsia="en-US"/>
        </w:rPr>
        <w:t>large office buildings would need to install external shading)</w:t>
      </w:r>
      <w:r>
        <w:rPr>
          <w:lang w:eastAsia="en-US"/>
        </w:rPr>
        <w:t>.</w:t>
      </w:r>
      <w:r w:rsidR="0097525F">
        <w:rPr>
          <w:lang w:eastAsia="en-US"/>
        </w:rPr>
        <w:t xml:space="preserve"> </w:t>
      </w:r>
      <w:r w:rsidR="007E3902">
        <w:rPr>
          <w:lang w:eastAsia="en-US"/>
        </w:rPr>
        <w:t>When these costs are included in the CBA</w:t>
      </w:r>
      <w:r w:rsidR="00D540DA">
        <w:rPr>
          <w:lang w:eastAsia="en-US"/>
        </w:rPr>
        <w:t xml:space="preserve"> (see table 7.21):</w:t>
      </w:r>
    </w:p>
    <w:p w14:paraId="0A6AEEA3" w14:textId="5F3FE3D4" w:rsidR="00D540DA" w:rsidRDefault="00D540DA" w:rsidP="00D540DA">
      <w:pPr>
        <w:pStyle w:val="ListBullet"/>
        <w:rPr>
          <w:lang w:eastAsia="en-US"/>
        </w:rPr>
      </w:pPr>
      <w:r>
        <w:rPr>
          <w:lang w:eastAsia="en-US"/>
        </w:rPr>
        <w:t>all options still deliver significant net benefits</w:t>
      </w:r>
    </w:p>
    <w:p w14:paraId="7A445A93" w14:textId="3D3A7564" w:rsidR="00D540DA" w:rsidRDefault="00D540DA" w:rsidP="00D540DA">
      <w:pPr>
        <w:pStyle w:val="ListBullet"/>
        <w:rPr>
          <w:lang w:eastAsia="en-US"/>
        </w:rPr>
      </w:pPr>
      <w:r>
        <w:rPr>
          <w:lang w:eastAsia="en-US"/>
        </w:rPr>
        <w:t>there is no change in the ordering of options.</w:t>
      </w:r>
    </w:p>
    <w:p w14:paraId="4348DDAC" w14:textId="4E4913B5" w:rsidR="00BC1351" w:rsidRDefault="00BC1351" w:rsidP="00BC1351">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520F9E">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520F9E">
          <w:rPr>
            <w:noProof/>
          </w:rPr>
          <w:instrText>7</w:instrText>
        </w:r>
      </w:fldSimple>
      <w:r w:rsidRPr="00695C93">
        <w:instrText xml:space="preserve"> = 0 "" "</w:instrText>
      </w:r>
      <w:fldSimple w:instr=" STYLEREF &quot;Heading 1&quot; \l \n ">
        <w:r w:rsidR="00520F9E">
          <w:rPr>
            <w:noProof/>
          </w:rPr>
          <w:instrText>7</w:instrText>
        </w:r>
      </w:fldSimple>
      <w:r w:rsidRPr="00695C93">
        <w:instrText xml:space="preserve">." </w:instrText>
      </w:r>
      <w:r w:rsidRPr="00695C93">
        <w:fldChar w:fldCharType="separate"/>
      </w:r>
      <w:r w:rsidR="00520F9E">
        <w:rPr>
          <w:noProof/>
        </w:rPr>
        <w:instrText>7</w:instrText>
      </w:r>
      <w:r w:rsidR="00520F9E" w:rsidRPr="00695C93">
        <w:rPr>
          <w:noProof/>
        </w:rPr>
        <w:instrText>.</w:instrText>
      </w:r>
      <w:r w:rsidRPr="00695C93">
        <w:fldChar w:fldCharType="end"/>
      </w:r>
      <w:r w:rsidRPr="00695C93">
        <w:instrText>" "</w:instrText>
      </w:r>
      <w:fldSimple w:instr=" STYLEREF &quot;Heading 6&quot; \l \n ">
        <w:r w:rsidRPr="00695C93">
          <w:instrText>B</w:instrText>
        </w:r>
      </w:fldSimple>
      <w:r w:rsidRPr="00695C93">
        <w:instrText xml:space="preserve">." </w:instrText>
      </w:r>
      <w:r w:rsidRPr="00695C93">
        <w:fldChar w:fldCharType="separate"/>
      </w:r>
      <w:r w:rsidR="008C60A3">
        <w:rPr>
          <w:noProof/>
        </w:rPr>
        <w:instrText>7</w:instrText>
      </w:r>
      <w:r w:rsidR="008C60A3"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520F9E">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520F9E">
          <w:rPr>
            <w:noProof/>
          </w:rPr>
          <w:instrText>7</w:instrText>
        </w:r>
      </w:fldSimple>
      <w:r w:rsidRPr="00695C93">
        <w:instrText xml:space="preserve"> = 0 "" "1" </w:instrText>
      </w:r>
      <w:r w:rsidRPr="00695C93">
        <w:fldChar w:fldCharType="separate"/>
      </w:r>
      <w:r w:rsidR="008C60A3" w:rsidRPr="00695C93">
        <w:rPr>
          <w:noProof/>
        </w:rPr>
        <w:instrText>1</w:instrText>
      </w:r>
      <w:r w:rsidRPr="00695C93">
        <w:fldChar w:fldCharType="end"/>
      </w:r>
      <w:r w:rsidRPr="00695C93">
        <w:instrText xml:space="preserve">" "6" </w:instrText>
      </w:r>
      <w:r w:rsidRPr="00695C93">
        <w:fldChar w:fldCharType="separate"/>
      </w:r>
      <w:r w:rsidR="008C60A3" w:rsidRPr="00695C93">
        <w:rPr>
          <w:noProof/>
        </w:rPr>
        <w:instrText>1</w:instrText>
      </w:r>
      <w:r w:rsidRPr="00695C93">
        <w:fldChar w:fldCharType="end"/>
      </w:r>
      <w:r w:rsidRPr="00695C93">
        <w:instrText xml:space="preserve"> </w:instrText>
      </w:r>
      <w:r w:rsidRPr="00695C93">
        <w:fldChar w:fldCharType="separate"/>
      </w:r>
      <w:r w:rsidR="00520F9E">
        <w:rPr>
          <w:noProof/>
        </w:rPr>
        <w:instrText>21</w:instrText>
      </w:r>
      <w:r w:rsidRPr="00695C93">
        <w:fldChar w:fldCharType="end"/>
      </w:r>
      <w:r w:rsidRPr="00695C93">
        <w:instrText xml:space="preserve">" "" </w:instrText>
      </w:r>
      <w:r w:rsidRPr="00695C93">
        <w:fldChar w:fldCharType="separate"/>
      </w:r>
      <w:bookmarkStart w:id="4458" w:name="_Caption1184"/>
      <w:bookmarkStart w:id="4459" w:name="_Caption7248"/>
      <w:bookmarkStart w:id="4460" w:name="_Toc178292620"/>
      <w:r w:rsidR="008C60A3">
        <w:rPr>
          <w:noProof/>
        </w:rPr>
        <w:t>7</w:t>
      </w:r>
      <w:r w:rsidR="008C60A3" w:rsidRPr="00695C93">
        <w:rPr>
          <w:noProof/>
        </w:rPr>
        <w:t>.</w:t>
      </w:r>
      <w:r w:rsidR="008C60A3">
        <w:rPr>
          <w:noProof/>
        </w:rPr>
        <w:t>21</w:t>
      </w:r>
      <w:bookmarkEnd w:id="4458"/>
      <w:bookmarkEnd w:id="4459"/>
      <w:r w:rsidRPr="00695C93">
        <w:fldChar w:fldCharType="end"/>
      </w:r>
      <w:r w:rsidRPr="00695C93">
        <w:tab/>
      </w:r>
      <w:r>
        <w:t>Aggregate impacts with shading costs included</w:t>
      </w:r>
      <w:bookmarkEnd w:id="4460"/>
    </w:p>
    <w:tbl>
      <w:tblPr>
        <w:tblW w:w="7936" w:type="dxa"/>
        <w:tblLayout w:type="fixed"/>
        <w:tblLook w:val="0000" w:firstRow="0" w:lastRow="0" w:firstColumn="0" w:lastColumn="0" w:noHBand="0" w:noVBand="0"/>
      </w:tblPr>
      <w:tblGrid>
        <w:gridCol w:w="4461"/>
        <w:gridCol w:w="1159"/>
        <w:gridCol w:w="1158"/>
        <w:gridCol w:w="1158"/>
      </w:tblGrid>
      <w:tr w:rsidR="00BC1351" w14:paraId="4637677E" w14:textId="77777777" w:rsidTr="00D82C77">
        <w:trPr>
          <w:trHeight w:val="490"/>
          <w:tblHeader/>
        </w:trPr>
        <w:tc>
          <w:tcPr>
            <w:tcW w:w="4461" w:type="dxa"/>
            <w:tcBorders>
              <w:bottom w:val="single" w:sz="8" w:space="0" w:color="FFFFFF" w:themeColor="background1"/>
            </w:tcBorders>
            <w:shd w:val="clear" w:color="auto" w:fill="6F6652"/>
            <w:tcMar>
              <w:left w:w="57" w:type="dxa"/>
              <w:right w:w="57" w:type="dxa"/>
            </w:tcMar>
          </w:tcPr>
          <w:p w14:paraId="2E898E73" w14:textId="77777777" w:rsidR="00BC1351" w:rsidRDefault="00BC1351" w:rsidP="00BC1351">
            <w:pPr>
              <w:pStyle w:val="TableDataColumnHeading"/>
              <w:jc w:val="left"/>
            </w:pPr>
          </w:p>
        </w:tc>
        <w:tc>
          <w:tcPr>
            <w:tcW w:w="1159" w:type="dxa"/>
            <w:tcBorders>
              <w:bottom w:val="single" w:sz="8" w:space="0" w:color="FFFFFF" w:themeColor="background1"/>
            </w:tcBorders>
            <w:shd w:val="clear" w:color="auto" w:fill="6F6652"/>
            <w:tcMar>
              <w:left w:w="57" w:type="dxa"/>
              <w:right w:w="57" w:type="dxa"/>
            </w:tcMar>
          </w:tcPr>
          <w:p w14:paraId="6E2AA086" w14:textId="71F7E01D" w:rsidR="00BC1351" w:rsidRDefault="00BC1351" w:rsidP="00BC1351">
            <w:pPr>
              <w:pStyle w:val="TableDataColumnHeading"/>
            </w:pPr>
            <w:r>
              <w:t>Stringency 1</w:t>
            </w:r>
            <w:r w:rsidR="008C42FF">
              <w:br/>
            </w:r>
            <w:r>
              <w:t>$ million</w:t>
            </w:r>
          </w:p>
        </w:tc>
        <w:tc>
          <w:tcPr>
            <w:tcW w:w="1158" w:type="dxa"/>
            <w:tcBorders>
              <w:bottom w:val="single" w:sz="8" w:space="0" w:color="FFFFFF" w:themeColor="background1"/>
            </w:tcBorders>
            <w:shd w:val="clear" w:color="auto" w:fill="6F6652"/>
            <w:tcMar>
              <w:left w:w="57" w:type="dxa"/>
              <w:right w:w="57" w:type="dxa"/>
            </w:tcMar>
          </w:tcPr>
          <w:p w14:paraId="745D3135" w14:textId="7C2AFF86" w:rsidR="00BC1351" w:rsidRDefault="00BC1351" w:rsidP="00BC1351">
            <w:pPr>
              <w:pStyle w:val="TableDataColumnHeading"/>
            </w:pPr>
            <w:r>
              <w:t xml:space="preserve">Stringency 2 </w:t>
            </w:r>
            <w:r w:rsidR="008C42FF">
              <w:br/>
            </w:r>
            <w:r>
              <w:t>$ million</w:t>
            </w:r>
          </w:p>
        </w:tc>
        <w:tc>
          <w:tcPr>
            <w:tcW w:w="1158" w:type="dxa"/>
            <w:tcBorders>
              <w:bottom w:val="single" w:sz="8" w:space="0" w:color="FFFFFF" w:themeColor="background1"/>
            </w:tcBorders>
            <w:shd w:val="clear" w:color="auto" w:fill="6F6652"/>
            <w:tcMar>
              <w:left w:w="57" w:type="dxa"/>
              <w:right w:w="57" w:type="dxa"/>
            </w:tcMar>
          </w:tcPr>
          <w:p w14:paraId="3635BA43" w14:textId="37487F84" w:rsidR="00BC1351" w:rsidRDefault="00BC1351" w:rsidP="00BC1351">
            <w:pPr>
              <w:pStyle w:val="TableDataColumnHeading"/>
            </w:pPr>
            <w:r>
              <w:t xml:space="preserve">Stringency 3 </w:t>
            </w:r>
            <w:r w:rsidR="008C42FF">
              <w:br/>
            </w:r>
            <w:r>
              <w:t>$ million</w:t>
            </w:r>
          </w:p>
        </w:tc>
      </w:tr>
      <w:tr w:rsidR="00FD4D88" w14:paraId="2C76EBEE" w14:textId="77777777" w:rsidTr="00400EFB">
        <w:trPr>
          <w:trHeight w:val="245"/>
        </w:trPr>
        <w:tc>
          <w:tcPr>
            <w:tcW w:w="446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68A2DBB" w14:textId="77777777" w:rsidR="00FD4D88" w:rsidRDefault="00FD4D88" w:rsidP="00FD4D88">
            <w:pPr>
              <w:pStyle w:val="TableDataEntries"/>
              <w:jc w:val="left"/>
            </w:pPr>
            <w:r>
              <w:t>Net impact (excluding shading costs)</w:t>
            </w:r>
          </w:p>
        </w:tc>
        <w:tc>
          <w:tcPr>
            <w:tcW w:w="11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093A6D" w14:textId="77777777" w:rsidR="00FD4D88" w:rsidRDefault="00FD4D88" w:rsidP="00FD4D88">
            <w:pPr>
              <w:pStyle w:val="TableDataEntries"/>
            </w:pPr>
            <w:r>
              <w:t>6 839.8</w:t>
            </w:r>
          </w:p>
        </w:tc>
        <w:tc>
          <w:tcPr>
            <w:tcW w:w="11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31312C2" w14:textId="77777777" w:rsidR="00FD4D88" w:rsidRDefault="00FD4D88" w:rsidP="00FD4D88">
            <w:pPr>
              <w:pStyle w:val="TableDataEntries"/>
            </w:pPr>
            <w:r>
              <w:t>10 060.7</w:t>
            </w:r>
          </w:p>
        </w:tc>
        <w:tc>
          <w:tcPr>
            <w:tcW w:w="11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DC367EE" w14:textId="4D9827FB" w:rsidR="00FD4D88" w:rsidRPr="00FD4D88" w:rsidRDefault="00FD4D88" w:rsidP="00FD4D88">
            <w:pPr>
              <w:pStyle w:val="TableDataEntries"/>
            </w:pPr>
            <w:r w:rsidRPr="00FD4D88">
              <w:t>9 388.3</w:t>
            </w:r>
          </w:p>
        </w:tc>
      </w:tr>
      <w:tr w:rsidR="00FD4D88" w14:paraId="58904880" w14:textId="77777777" w:rsidTr="00400EFB">
        <w:trPr>
          <w:trHeight w:val="245"/>
        </w:trPr>
        <w:tc>
          <w:tcPr>
            <w:tcW w:w="446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945D476" w14:textId="77777777" w:rsidR="00FD4D88" w:rsidRDefault="00FD4D88" w:rsidP="00FD4D88">
            <w:pPr>
              <w:pStyle w:val="TableDataEntries"/>
              <w:jc w:val="left"/>
            </w:pPr>
            <w:r>
              <w:t>Shading costs</w:t>
            </w:r>
          </w:p>
        </w:tc>
        <w:tc>
          <w:tcPr>
            <w:tcW w:w="11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F4AC40" w14:textId="77777777" w:rsidR="00FD4D88" w:rsidRDefault="00FD4D88" w:rsidP="00FD4D88">
            <w:pPr>
              <w:pStyle w:val="TableDataEntries"/>
            </w:pPr>
            <w:r>
              <w:t>- 139.1</w:t>
            </w:r>
          </w:p>
        </w:tc>
        <w:tc>
          <w:tcPr>
            <w:tcW w:w="11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380F6FA" w14:textId="77777777" w:rsidR="00FD4D88" w:rsidRDefault="00FD4D88" w:rsidP="00FD4D88">
            <w:pPr>
              <w:pStyle w:val="TableDataEntries"/>
            </w:pPr>
            <w:r>
              <w:t>- 139.1</w:t>
            </w:r>
          </w:p>
        </w:tc>
        <w:tc>
          <w:tcPr>
            <w:tcW w:w="11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58FCBF4" w14:textId="532C3EEA" w:rsidR="00FD4D88" w:rsidRPr="00FD4D88" w:rsidRDefault="00FD4D88" w:rsidP="00FD4D88">
            <w:pPr>
              <w:pStyle w:val="TableDataEntries"/>
            </w:pPr>
            <w:r w:rsidRPr="00FD4D88">
              <w:t>- 139.1</w:t>
            </w:r>
          </w:p>
        </w:tc>
      </w:tr>
      <w:tr w:rsidR="00FD4D88" w:rsidRPr="00FD4D88" w14:paraId="3B48A2F6" w14:textId="77777777" w:rsidTr="00400EFB">
        <w:trPr>
          <w:trHeight w:val="245"/>
        </w:trPr>
        <w:tc>
          <w:tcPr>
            <w:tcW w:w="4461"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23A2FD1" w14:textId="77777777" w:rsidR="00FD4D88" w:rsidRPr="00FD4D88" w:rsidRDefault="00FD4D88" w:rsidP="00FD4D88">
            <w:pPr>
              <w:pStyle w:val="TableDataEntries"/>
              <w:jc w:val="left"/>
              <w:rPr>
                <w:rFonts w:ascii="Franklin Gothic Demi" w:hAnsi="Franklin Gothic Demi"/>
              </w:rPr>
            </w:pPr>
            <w:r w:rsidRPr="00FD4D88">
              <w:rPr>
                <w:rFonts w:ascii="Franklin Gothic Demi" w:hAnsi="Franklin Gothic Demi"/>
              </w:rPr>
              <w:t>Total impacts</w:t>
            </w:r>
          </w:p>
        </w:tc>
        <w:tc>
          <w:tcPr>
            <w:tcW w:w="1159"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7D492C2E" w14:textId="77777777" w:rsidR="00FD4D88" w:rsidRPr="00FD4D88" w:rsidRDefault="00FD4D88" w:rsidP="00FD4D88">
            <w:pPr>
              <w:pStyle w:val="TableDataEntries"/>
              <w:rPr>
                <w:rFonts w:ascii="Franklin Gothic Demi" w:hAnsi="Franklin Gothic Demi"/>
              </w:rPr>
            </w:pPr>
            <w:r w:rsidRPr="00FD4D88">
              <w:rPr>
                <w:rFonts w:ascii="Franklin Gothic Demi" w:hAnsi="Franklin Gothic Demi"/>
              </w:rPr>
              <w:t>6 700.6</w:t>
            </w:r>
          </w:p>
        </w:tc>
        <w:tc>
          <w:tcPr>
            <w:tcW w:w="1158"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7B30D6F2" w14:textId="77777777" w:rsidR="00FD4D88" w:rsidRPr="00FD4D88" w:rsidRDefault="00FD4D88" w:rsidP="00FD4D88">
            <w:pPr>
              <w:pStyle w:val="TableDataEntries"/>
              <w:rPr>
                <w:rFonts w:ascii="Franklin Gothic Demi" w:hAnsi="Franklin Gothic Demi"/>
              </w:rPr>
            </w:pPr>
            <w:r w:rsidRPr="00FD4D88">
              <w:rPr>
                <w:rFonts w:ascii="Franklin Gothic Demi" w:hAnsi="Franklin Gothic Demi"/>
              </w:rPr>
              <w:t>9 921.5</w:t>
            </w:r>
          </w:p>
        </w:tc>
        <w:tc>
          <w:tcPr>
            <w:tcW w:w="1158"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1BB2F408" w14:textId="50E5713D" w:rsidR="00FD4D88" w:rsidRPr="00FD4D88" w:rsidRDefault="00FD4D88" w:rsidP="00FD4D88">
            <w:pPr>
              <w:pStyle w:val="TableDataEntries"/>
              <w:rPr>
                <w:rFonts w:ascii="Franklin Gothic Demi" w:hAnsi="Franklin Gothic Demi"/>
              </w:rPr>
            </w:pPr>
            <w:r w:rsidRPr="00FD4D88">
              <w:rPr>
                <w:rFonts w:ascii="Franklin Gothic Demi" w:hAnsi="Franklin Gothic Demi"/>
              </w:rPr>
              <w:t>9 249.2</w:t>
            </w:r>
          </w:p>
        </w:tc>
      </w:tr>
    </w:tbl>
    <w:p w14:paraId="77617C33" w14:textId="0A6221B9" w:rsidR="00BC1351" w:rsidRDefault="00BC1351" w:rsidP="00BC1351">
      <w:pPr>
        <w:pStyle w:val="Note"/>
      </w:pPr>
      <w:r w:rsidRPr="007D1B4F">
        <w:rPr>
          <w:i/>
        </w:rPr>
        <w:t>Note:</w:t>
      </w:r>
      <w:r w:rsidRPr="00E879B8">
        <w:t xml:space="preserve"> </w:t>
      </w:r>
      <w:r w:rsidR="007649CD">
        <w:t>Estimates presented in net present value terms over an assumed 50-year life of all buildings constructed over the 10 year period from 2025 to 2034, using a discount rate of 5 per cent.</w:t>
      </w:r>
    </w:p>
    <w:p w14:paraId="7A8C29BA" w14:textId="72E7568D" w:rsidR="00BC1351" w:rsidRDefault="00BC1351" w:rsidP="00BC1351">
      <w:pPr>
        <w:pStyle w:val="Source"/>
      </w:pPr>
      <w:r>
        <w:rPr>
          <w:i/>
        </w:rPr>
        <w:t>Source</w:t>
      </w:r>
      <w:r w:rsidRPr="00E4232C">
        <w:rPr>
          <w:i/>
        </w:rPr>
        <w:t>:</w:t>
      </w:r>
      <w:r>
        <w:t xml:space="preserve"> CIE based on DeltaQ modelling.</w:t>
      </w:r>
    </w:p>
    <w:p w14:paraId="115B196E" w14:textId="77777777" w:rsidR="006568C5" w:rsidRDefault="006568C5" w:rsidP="006568C5">
      <w:pPr>
        <w:pStyle w:val="Heading3"/>
        <w:rPr>
          <w:lang w:eastAsia="en-US"/>
        </w:rPr>
      </w:pPr>
      <w:r>
        <w:rPr>
          <w:lang w:eastAsia="en-US"/>
        </w:rPr>
        <w:t>Realisation rate</w:t>
      </w:r>
    </w:p>
    <w:p w14:paraId="6EEB3D9E" w14:textId="77777777" w:rsidR="006568C5" w:rsidRPr="00844A6E" w:rsidRDefault="006568C5" w:rsidP="006568C5">
      <w:pPr>
        <w:pStyle w:val="BodyText"/>
        <w:rPr>
          <w:szCs w:val="22"/>
          <w:lang w:eastAsia="en-US"/>
        </w:rPr>
      </w:pPr>
      <w:r w:rsidRPr="00844A6E">
        <w:rPr>
          <w:szCs w:val="22"/>
          <w:lang w:eastAsia="en-US"/>
        </w:rPr>
        <w:t>The central case for the CBA assumes full realisation. However, the extent to which modelled energy savings are realised in practice was identified as a key issue for the CRIS.</w:t>
      </w:r>
    </w:p>
    <w:p w14:paraId="51A7BA21" w14:textId="77777777" w:rsidR="006568C5" w:rsidRPr="00844A6E" w:rsidRDefault="006568C5" w:rsidP="006568C5">
      <w:pPr>
        <w:pStyle w:val="BodyText"/>
        <w:rPr>
          <w:szCs w:val="22"/>
          <w:lang w:eastAsia="en-US"/>
        </w:rPr>
      </w:pPr>
      <w:r w:rsidRPr="00844A6E">
        <w:rPr>
          <w:szCs w:val="22"/>
          <w:lang w:eastAsia="en-US"/>
        </w:rPr>
        <w:t>Although there is some evidence that modelled energy savings are not fully realised, the extent of the discrepancy between modelled and actual outcomes is not clear. Nevertheless, we test the extent to which this issue affects the CBA outcome using realisation rate of:</w:t>
      </w:r>
    </w:p>
    <w:p w14:paraId="2A9C54D6" w14:textId="7B90A666" w:rsidR="006568C5" w:rsidRPr="00DF7BBA" w:rsidRDefault="006568C5" w:rsidP="006568C5">
      <w:pPr>
        <w:pStyle w:val="ListBullet"/>
        <w:tabs>
          <w:tab w:val="num" w:pos="709"/>
        </w:tabs>
      </w:pPr>
      <w:r w:rsidRPr="00DF7BBA">
        <w:t>50 per cent (</w:t>
      </w:r>
      <w:r w:rsidRPr="00D540DA">
        <w:t>table</w:t>
      </w:r>
      <w:r w:rsidR="00D540DA" w:rsidRPr="00D540DA">
        <w:t> 7.22</w:t>
      </w:r>
      <w:r w:rsidRPr="00DF7BBA">
        <w:t>), and</w:t>
      </w:r>
    </w:p>
    <w:p w14:paraId="4A6F6F35" w14:textId="31AD4950" w:rsidR="006568C5" w:rsidRDefault="006568C5" w:rsidP="006568C5">
      <w:pPr>
        <w:pStyle w:val="ListBullet"/>
        <w:tabs>
          <w:tab w:val="num" w:pos="709"/>
        </w:tabs>
      </w:pPr>
      <w:r w:rsidRPr="00DF7BBA">
        <w:t>75 per cent (</w:t>
      </w:r>
      <w:r w:rsidRPr="00971012">
        <w:t>table </w:t>
      </w:r>
      <w:r w:rsidR="00971012">
        <w:t>7.23</w:t>
      </w:r>
      <w:r w:rsidRPr="00DF7BBA">
        <w:t>).</w:t>
      </w:r>
    </w:p>
    <w:p w14:paraId="65C552E3" w14:textId="7B4F9D94" w:rsidR="00872590" w:rsidRPr="00DF7BBA" w:rsidRDefault="007D5EB7" w:rsidP="00872590">
      <w:pPr>
        <w:pStyle w:val="BodyText"/>
      </w:pPr>
      <w:r>
        <w:t xml:space="preserve">These realisation rates are applied to </w:t>
      </w:r>
      <w:r w:rsidR="00DA5BB2">
        <w:t xml:space="preserve">all energy-related benefits, although the evidence that </w:t>
      </w:r>
      <w:r w:rsidR="0028441B">
        <w:t>modelled benefits are not fully realised relates to energy efficiency changes</w:t>
      </w:r>
      <w:r w:rsidR="00D864A1">
        <w:t>, rather than the benefits from rooftop (or ground-mounted) solar.</w:t>
      </w:r>
    </w:p>
    <w:p w14:paraId="300A1973" w14:textId="0F086166" w:rsidR="006568C5" w:rsidRPr="006F0F88" w:rsidRDefault="006568C5" w:rsidP="006568C5">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7</w:instrText>
        </w:r>
      </w:fldSimple>
      <w:r w:rsidRPr="006F0F88">
        <w:instrText xml:space="preserve"> = 0 "" "</w:instrText>
      </w:r>
      <w:fldSimple w:instr=" STYLEREF &quot;Heading 1&quot; \l \n ">
        <w:r w:rsidR="00520F9E">
          <w:rPr>
            <w:noProof/>
          </w:rPr>
          <w:instrText>7</w:instrText>
        </w:r>
      </w:fldSimple>
      <w:r w:rsidRPr="006F0F88">
        <w:instrText xml:space="preserve">." </w:instrText>
      </w:r>
      <w:r w:rsidRPr="006F0F88">
        <w:fldChar w:fldCharType="separate"/>
      </w:r>
      <w:r w:rsidR="00520F9E">
        <w:rPr>
          <w:noProof/>
        </w:rPr>
        <w:instrText>7</w:instrText>
      </w:r>
      <w:r w:rsidR="00520F9E"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7</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7</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520F9E">
        <w:rPr>
          <w:noProof/>
        </w:rPr>
        <w:instrText>22</w:instrText>
      </w:r>
      <w:r w:rsidRPr="006F0F88">
        <w:fldChar w:fldCharType="end"/>
      </w:r>
      <w:r w:rsidRPr="006F0F88">
        <w:instrText xml:space="preserve">" "" </w:instrText>
      </w:r>
      <w:r w:rsidRPr="006F0F88">
        <w:fldChar w:fldCharType="separate"/>
      </w:r>
      <w:bookmarkStart w:id="4461" w:name="_Caption6126"/>
      <w:bookmarkStart w:id="4462" w:name="_Caption3131"/>
      <w:bookmarkStart w:id="4463" w:name="_Caption7823"/>
      <w:bookmarkStart w:id="4464" w:name="_Caption2178"/>
      <w:bookmarkStart w:id="4465" w:name="_Caption7070"/>
      <w:bookmarkStart w:id="4466" w:name="_Caption7018"/>
      <w:bookmarkStart w:id="4467" w:name="_Caption2743"/>
      <w:bookmarkStart w:id="4468" w:name="_Caption2004"/>
      <w:bookmarkStart w:id="4469" w:name="_Caption6679"/>
      <w:bookmarkStart w:id="4470" w:name="_Caption9685"/>
      <w:bookmarkStart w:id="4471" w:name="_Caption4799"/>
      <w:bookmarkStart w:id="4472" w:name="_Caption1859"/>
      <w:bookmarkStart w:id="4473" w:name="_Caption4414"/>
      <w:bookmarkStart w:id="4474" w:name="_Caption4777"/>
      <w:bookmarkStart w:id="4475" w:name="_Caption1182"/>
      <w:bookmarkStart w:id="4476" w:name="_Caption6885"/>
      <w:bookmarkStart w:id="4477" w:name="_Caption4497"/>
      <w:bookmarkStart w:id="4478" w:name="_Caption4012"/>
      <w:bookmarkStart w:id="4479" w:name="_Caption1014"/>
      <w:bookmarkStart w:id="4480" w:name="_Caption5582"/>
      <w:bookmarkStart w:id="4481" w:name="_Caption7726"/>
      <w:bookmarkStart w:id="4482" w:name="_Caption9519"/>
      <w:bookmarkStart w:id="4483" w:name="_Caption0401"/>
      <w:bookmarkStart w:id="4484" w:name="_Caption5139"/>
      <w:bookmarkStart w:id="4485" w:name="_Caption3763"/>
      <w:bookmarkStart w:id="4486" w:name="_Caption0741"/>
      <w:bookmarkStart w:id="4487" w:name="_Caption4458"/>
      <w:bookmarkStart w:id="4488" w:name="_Caption8030"/>
      <w:bookmarkStart w:id="4489" w:name="_Caption6083"/>
      <w:bookmarkStart w:id="4490" w:name="_Caption8318"/>
      <w:bookmarkStart w:id="4491" w:name="_Caption0497"/>
      <w:bookmarkStart w:id="4492" w:name="_Caption1461"/>
      <w:bookmarkStart w:id="4493" w:name="_Caption4515"/>
      <w:bookmarkStart w:id="4494" w:name="_Caption1875"/>
      <w:bookmarkStart w:id="4495" w:name="_Caption9694"/>
      <w:bookmarkStart w:id="4496" w:name="_Caption6754"/>
      <w:bookmarkStart w:id="4497" w:name="_Caption5614"/>
      <w:bookmarkStart w:id="4498" w:name="_Caption9143"/>
      <w:bookmarkStart w:id="4499" w:name="_Caption4798"/>
      <w:bookmarkStart w:id="4500" w:name="_Caption0220"/>
      <w:bookmarkStart w:id="4501" w:name="_Caption7036"/>
      <w:bookmarkStart w:id="4502" w:name="_Caption9070"/>
      <w:bookmarkStart w:id="4503" w:name="_Caption7676"/>
      <w:bookmarkStart w:id="4504" w:name="_Caption9885"/>
      <w:bookmarkStart w:id="4505" w:name="_Caption8963"/>
      <w:bookmarkStart w:id="4506" w:name="_Caption7897"/>
      <w:bookmarkStart w:id="4507" w:name="_Caption0729"/>
      <w:bookmarkStart w:id="4508" w:name="_Caption2152"/>
      <w:bookmarkStart w:id="4509" w:name="_Caption0101"/>
      <w:bookmarkStart w:id="4510" w:name="_Caption2788"/>
      <w:bookmarkStart w:id="4511" w:name="_Caption5673"/>
      <w:bookmarkStart w:id="4512" w:name="_Caption6528"/>
      <w:bookmarkStart w:id="4513" w:name="_Caption3482"/>
      <w:bookmarkStart w:id="4514" w:name="_Caption8614"/>
      <w:bookmarkStart w:id="4515" w:name="_Caption5531"/>
      <w:bookmarkStart w:id="4516" w:name="_Caption5929"/>
      <w:bookmarkStart w:id="4517" w:name="_Caption1356"/>
      <w:bookmarkStart w:id="4518" w:name="_Caption0449"/>
      <w:bookmarkStart w:id="4519" w:name="_Caption2507"/>
      <w:bookmarkStart w:id="4520" w:name="_Caption7297"/>
      <w:bookmarkStart w:id="4521" w:name="_Caption0981"/>
      <w:bookmarkStart w:id="4522" w:name="_Caption4772"/>
      <w:bookmarkStart w:id="4523" w:name="_Caption2492"/>
      <w:bookmarkStart w:id="4524" w:name="_Caption3015"/>
      <w:bookmarkStart w:id="4525" w:name="_Caption3609"/>
      <w:bookmarkStart w:id="4526" w:name="_Caption3036"/>
      <w:bookmarkStart w:id="4527" w:name="_Caption2938"/>
      <w:bookmarkStart w:id="4528" w:name="_Caption3811"/>
      <w:bookmarkStart w:id="4529" w:name="_Caption4654"/>
      <w:bookmarkStart w:id="4530" w:name="_Caption3831"/>
      <w:bookmarkStart w:id="4531" w:name="_Caption0659"/>
      <w:bookmarkStart w:id="4532" w:name="_Caption8957"/>
      <w:bookmarkStart w:id="4533" w:name="_Toc177735186"/>
      <w:bookmarkStart w:id="4534" w:name="_Toc178292621"/>
      <w:r w:rsidR="008C60A3">
        <w:rPr>
          <w:noProof/>
        </w:rPr>
        <w:t>7</w:t>
      </w:r>
      <w:r w:rsidR="008C60A3" w:rsidRPr="006F0F88">
        <w:rPr>
          <w:noProof/>
        </w:rPr>
        <w:t>.</w:t>
      </w:r>
      <w:r w:rsidR="008C60A3">
        <w:rPr>
          <w:noProof/>
        </w:rPr>
        <w:t>22</w:t>
      </w:r>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r w:rsidRPr="006F0F88">
        <w:fldChar w:fldCharType="end"/>
      </w:r>
      <w:r w:rsidRPr="006F0F88">
        <w:tab/>
        <w:t>CBA results using realisation rate of 50 per cent</w:t>
      </w:r>
      <w:bookmarkEnd w:id="4533"/>
      <w:bookmarkEnd w:id="4534"/>
    </w:p>
    <w:tbl>
      <w:tblPr>
        <w:tblW w:w="0" w:type="auto"/>
        <w:tblLayout w:type="fixed"/>
        <w:tblLook w:val="0000" w:firstRow="0" w:lastRow="0" w:firstColumn="0" w:lastColumn="0" w:noHBand="0" w:noVBand="0"/>
        <w:tblCaption w:val="Table 6.14 - CBA results using realisation rate of 50 per cent"/>
      </w:tblPr>
      <w:tblGrid>
        <w:gridCol w:w="4148"/>
        <w:gridCol w:w="1263"/>
        <w:gridCol w:w="1263"/>
        <w:gridCol w:w="1263"/>
      </w:tblGrid>
      <w:tr w:rsidR="006568C5" w14:paraId="25A44A0E" w14:textId="77777777">
        <w:trPr>
          <w:trHeight w:val="245"/>
          <w:tblHeader/>
        </w:trPr>
        <w:tc>
          <w:tcPr>
            <w:tcW w:w="4148" w:type="dxa"/>
            <w:shd w:val="clear" w:color="auto" w:fill="6F6652"/>
            <w:tcMar>
              <w:left w:w="57" w:type="dxa"/>
              <w:right w:w="57" w:type="dxa"/>
            </w:tcMar>
          </w:tcPr>
          <w:p w14:paraId="0E7F186A" w14:textId="77777777" w:rsidR="006568C5" w:rsidRDefault="006568C5">
            <w:pPr>
              <w:pStyle w:val="TableDataColumnHeading"/>
              <w:jc w:val="left"/>
            </w:pPr>
            <w:r>
              <w:t>Impact</w:t>
            </w:r>
          </w:p>
        </w:tc>
        <w:tc>
          <w:tcPr>
            <w:tcW w:w="1263" w:type="dxa"/>
            <w:shd w:val="clear" w:color="auto" w:fill="6F6652"/>
            <w:tcMar>
              <w:left w:w="57" w:type="dxa"/>
              <w:right w:w="57" w:type="dxa"/>
            </w:tcMar>
          </w:tcPr>
          <w:p w14:paraId="3CD8407F" w14:textId="77777777" w:rsidR="006568C5" w:rsidRDefault="006568C5">
            <w:pPr>
              <w:pStyle w:val="TableDataColumnHeading"/>
            </w:pPr>
            <w:r>
              <w:t>Stringency Level 1</w:t>
            </w:r>
          </w:p>
          <w:p w14:paraId="4F2F257F" w14:textId="77777777" w:rsidR="006568C5" w:rsidRDefault="006568C5">
            <w:pPr>
              <w:pStyle w:val="TableDataColumnHeading"/>
            </w:pPr>
            <w:r>
              <w:t>$ million</w:t>
            </w:r>
          </w:p>
        </w:tc>
        <w:tc>
          <w:tcPr>
            <w:tcW w:w="1263" w:type="dxa"/>
            <w:shd w:val="clear" w:color="auto" w:fill="6F6652"/>
            <w:tcMar>
              <w:left w:w="57" w:type="dxa"/>
              <w:right w:w="57" w:type="dxa"/>
            </w:tcMar>
          </w:tcPr>
          <w:p w14:paraId="5EBE5F6A" w14:textId="77777777" w:rsidR="006568C5" w:rsidRDefault="006568C5">
            <w:pPr>
              <w:pStyle w:val="TableDataColumnHeading"/>
            </w:pPr>
            <w:r>
              <w:t>Stringency Level 2</w:t>
            </w:r>
          </w:p>
          <w:p w14:paraId="485F3D06" w14:textId="77777777" w:rsidR="006568C5" w:rsidRDefault="006568C5">
            <w:pPr>
              <w:pStyle w:val="TableDataColumnHeading"/>
            </w:pPr>
            <w:r>
              <w:t>$ million</w:t>
            </w:r>
          </w:p>
        </w:tc>
        <w:tc>
          <w:tcPr>
            <w:tcW w:w="1263" w:type="dxa"/>
            <w:shd w:val="clear" w:color="auto" w:fill="6F6652"/>
            <w:tcMar>
              <w:left w:w="57" w:type="dxa"/>
              <w:right w:w="57" w:type="dxa"/>
            </w:tcMar>
          </w:tcPr>
          <w:p w14:paraId="08B4EF04" w14:textId="77777777" w:rsidR="006568C5" w:rsidRDefault="006568C5">
            <w:pPr>
              <w:pStyle w:val="TableDataColumnHeading"/>
            </w:pPr>
            <w:r>
              <w:t>Stringency Level 3</w:t>
            </w:r>
          </w:p>
          <w:p w14:paraId="20422C25" w14:textId="77777777" w:rsidR="006568C5" w:rsidRDefault="006568C5">
            <w:pPr>
              <w:pStyle w:val="TableDataColumnHeading"/>
            </w:pPr>
            <w:r>
              <w:t>$ million</w:t>
            </w:r>
          </w:p>
        </w:tc>
      </w:tr>
      <w:tr w:rsidR="003B02ED" w14:paraId="2915DFAA"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B9C0EC" w14:textId="77777777" w:rsidR="003B02ED" w:rsidRDefault="003B02ED" w:rsidP="003B02ED">
            <w:pPr>
              <w:pStyle w:val="TableDataEntries"/>
              <w:jc w:val="left"/>
            </w:pPr>
            <w:r>
              <w:t>Avoided network capacity costs</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32ADC4D" w14:textId="61D381F4" w:rsidR="003B02ED" w:rsidRPr="003B02ED" w:rsidRDefault="003B02ED" w:rsidP="003B02ED">
            <w:pPr>
              <w:pStyle w:val="TableDataEntries"/>
            </w:pPr>
            <w:r w:rsidRPr="003B02ED">
              <w:t xml:space="preserve"> 469.46</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E524327" w14:textId="09ED5F63" w:rsidR="003B02ED" w:rsidRPr="003B02ED" w:rsidRDefault="003B02ED" w:rsidP="003B02ED">
            <w:pPr>
              <w:pStyle w:val="TableDataEntries"/>
            </w:pPr>
            <w:r w:rsidRPr="003B02ED">
              <w:t xml:space="preserve"> 784.24</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4E6E618" w14:textId="78A33DF1" w:rsidR="003B02ED" w:rsidRPr="003B02ED" w:rsidRDefault="003B02ED" w:rsidP="003B02ED">
            <w:pPr>
              <w:pStyle w:val="TableDataEntries"/>
            </w:pPr>
            <w:r w:rsidRPr="003B02ED">
              <w:t xml:space="preserve"> 720.12</w:t>
            </w:r>
          </w:p>
        </w:tc>
      </w:tr>
      <w:tr w:rsidR="003B02ED" w14:paraId="17FBA156"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7325865" w14:textId="77777777" w:rsidR="003B02ED" w:rsidRDefault="003B02ED" w:rsidP="003B02ED">
            <w:pPr>
              <w:pStyle w:val="TableDataEntries"/>
              <w:jc w:val="left"/>
            </w:pPr>
            <w:r>
              <w:t>Avoided wholesale costs</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175FA26" w14:textId="02305225" w:rsidR="003B02ED" w:rsidRPr="003B02ED" w:rsidRDefault="003B02ED" w:rsidP="003B02ED">
            <w:pPr>
              <w:pStyle w:val="TableDataEntries"/>
            </w:pPr>
            <w:r w:rsidRPr="003B02ED">
              <w:t xml:space="preserve"> 919.37</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60A6D61" w14:textId="384E133F" w:rsidR="003B02ED" w:rsidRPr="003B02ED" w:rsidRDefault="003B02ED" w:rsidP="003B02ED">
            <w:pPr>
              <w:pStyle w:val="TableDataEntries"/>
            </w:pPr>
            <w:r w:rsidRPr="003B02ED">
              <w:t>1 636.37</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912F987" w14:textId="4433250A" w:rsidR="003B02ED" w:rsidRPr="003B02ED" w:rsidRDefault="003B02ED" w:rsidP="003B02ED">
            <w:pPr>
              <w:pStyle w:val="TableDataEntries"/>
            </w:pPr>
            <w:r w:rsidRPr="003B02ED">
              <w:t>1 458.58</w:t>
            </w:r>
          </w:p>
        </w:tc>
      </w:tr>
      <w:tr w:rsidR="003B02ED" w14:paraId="692340D1"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692C4C" w14:textId="77777777" w:rsidR="003B02ED" w:rsidRDefault="003B02ED" w:rsidP="003B02ED">
            <w:pPr>
              <w:pStyle w:val="TableDataEntries"/>
              <w:jc w:val="left"/>
            </w:pPr>
            <w:r>
              <w:t>Avoided network usage costs</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CD52118" w14:textId="7B408766" w:rsidR="003B02ED" w:rsidRPr="003B02ED" w:rsidRDefault="003B02ED" w:rsidP="003B02ED">
            <w:pPr>
              <w:pStyle w:val="TableDataEntries"/>
            </w:pPr>
            <w:r w:rsidRPr="003B02ED">
              <w:t xml:space="preserve"> 884.42</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7638C7C" w14:textId="4A852E58" w:rsidR="003B02ED" w:rsidRPr="003B02ED" w:rsidRDefault="003B02ED" w:rsidP="003B02ED">
            <w:pPr>
              <w:pStyle w:val="TableDataEntries"/>
            </w:pPr>
            <w:r w:rsidRPr="003B02ED">
              <w:t>1 798.30</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11120C6" w14:textId="76E04C7E" w:rsidR="003B02ED" w:rsidRPr="003B02ED" w:rsidRDefault="003B02ED" w:rsidP="003B02ED">
            <w:pPr>
              <w:pStyle w:val="TableDataEntries"/>
            </w:pPr>
            <w:r w:rsidRPr="003B02ED">
              <w:t>1 670.91</w:t>
            </w:r>
          </w:p>
        </w:tc>
      </w:tr>
      <w:tr w:rsidR="003B02ED" w14:paraId="4BBCF19C"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7A798E" w14:textId="77777777" w:rsidR="003B02ED" w:rsidRDefault="003B02ED" w:rsidP="003B02ED">
            <w:pPr>
              <w:pStyle w:val="TableDataEntries"/>
              <w:jc w:val="left"/>
            </w:pPr>
            <w:r>
              <w:t>Avoided retail costs</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D95F814" w14:textId="504B5543" w:rsidR="003B02ED" w:rsidRPr="003B02ED" w:rsidRDefault="003B02ED" w:rsidP="003B02ED">
            <w:pPr>
              <w:pStyle w:val="TableDataEntries"/>
            </w:pPr>
            <w:r w:rsidRPr="003B02ED">
              <w:t xml:space="preserve"> 340.99</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D5AF9A5" w14:textId="6B17F368" w:rsidR="003B02ED" w:rsidRPr="003B02ED" w:rsidRDefault="003B02ED" w:rsidP="003B02ED">
            <w:pPr>
              <w:pStyle w:val="TableDataEntries"/>
            </w:pPr>
            <w:r w:rsidRPr="003B02ED">
              <w:t xml:space="preserve"> 632.84</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6281BBE" w14:textId="43CAC296" w:rsidR="003B02ED" w:rsidRPr="003B02ED" w:rsidRDefault="003B02ED" w:rsidP="003B02ED">
            <w:pPr>
              <w:pStyle w:val="TableDataEntries"/>
            </w:pPr>
            <w:r w:rsidRPr="003B02ED">
              <w:t xml:space="preserve"> 577.44</w:t>
            </w:r>
          </w:p>
        </w:tc>
      </w:tr>
      <w:tr w:rsidR="003B02ED" w14:paraId="60484ADA"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8DC03F" w14:textId="77777777" w:rsidR="003B02ED" w:rsidRDefault="003B02ED" w:rsidP="003B02ED">
            <w:pPr>
              <w:pStyle w:val="TableDataEntries"/>
              <w:jc w:val="left"/>
            </w:pPr>
            <w:r>
              <w:t>Electricity exported to grid</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B14EACF" w14:textId="603AB462" w:rsidR="003B02ED" w:rsidRPr="003B02ED" w:rsidRDefault="003B02ED" w:rsidP="003B02ED">
            <w:pPr>
              <w:pStyle w:val="TableDataEntries"/>
            </w:pPr>
            <w:r w:rsidRPr="003B02ED">
              <w:t xml:space="preserve"> 22.48</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C80CA57" w14:textId="3EA8D49B" w:rsidR="003B02ED" w:rsidRPr="003B02ED" w:rsidRDefault="003B02ED" w:rsidP="003B02ED">
            <w:pPr>
              <w:pStyle w:val="TableDataEntries"/>
            </w:pPr>
            <w:r w:rsidRPr="003B02ED">
              <w:t xml:space="preserve"> 145.72</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3DF157E" w14:textId="56211100" w:rsidR="003B02ED" w:rsidRPr="003B02ED" w:rsidRDefault="003B02ED" w:rsidP="003B02ED">
            <w:pPr>
              <w:pStyle w:val="TableDataEntries"/>
            </w:pPr>
            <w:r w:rsidRPr="003B02ED">
              <w:t xml:space="preserve"> 145.74</w:t>
            </w:r>
          </w:p>
        </w:tc>
      </w:tr>
      <w:tr w:rsidR="003B02ED" w14:paraId="3920AE3C"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5DDAE7" w14:textId="1B67F2F5" w:rsidR="003B02ED" w:rsidRDefault="003B02ED" w:rsidP="003B02ED">
            <w:pPr>
              <w:pStyle w:val="TableDataEntries"/>
              <w:jc w:val="left"/>
            </w:pPr>
            <w:r>
              <w:t>Electricity exports — network costs</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6A3B05A" w14:textId="113AA4A4" w:rsidR="003B02ED" w:rsidRPr="003B02ED" w:rsidRDefault="003B02ED" w:rsidP="003B02ED">
            <w:pPr>
              <w:pStyle w:val="TableDataEntries"/>
            </w:pPr>
            <w:r w:rsidRPr="003B02ED">
              <w:t>- 5.33</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0B13DC5" w14:textId="2EC6B3CF" w:rsidR="003B02ED" w:rsidRPr="003B02ED" w:rsidRDefault="003B02ED" w:rsidP="003B02ED">
            <w:pPr>
              <w:pStyle w:val="TableDataEntries"/>
            </w:pPr>
            <w:r w:rsidRPr="003B02ED">
              <w:t>- 22.87</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A9B7692" w14:textId="7686DC33" w:rsidR="003B02ED" w:rsidRPr="003B02ED" w:rsidRDefault="003B02ED" w:rsidP="003B02ED">
            <w:pPr>
              <w:pStyle w:val="TableDataEntries"/>
            </w:pPr>
            <w:r w:rsidRPr="003B02ED">
              <w:t>- 22.88</w:t>
            </w:r>
          </w:p>
        </w:tc>
      </w:tr>
      <w:tr w:rsidR="003B02ED" w14:paraId="6D69ED65"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06C835B" w14:textId="77777777" w:rsidR="003B02ED" w:rsidRDefault="003B02ED" w:rsidP="003B02ED">
            <w:pPr>
              <w:pStyle w:val="TableDataEntries"/>
              <w:jc w:val="left"/>
            </w:pPr>
            <w:r>
              <w:t>Avoided gas costs</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DF8250E" w14:textId="42EB0EBD" w:rsidR="003B02ED" w:rsidRPr="003B02ED" w:rsidRDefault="003B02ED" w:rsidP="003B02ED">
            <w:pPr>
              <w:pStyle w:val="TableDataEntries"/>
            </w:pPr>
            <w:r w:rsidRPr="003B02ED">
              <w:t>- 14.33</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3B2729C" w14:textId="1944F3E9" w:rsidR="003B02ED" w:rsidRPr="003B02ED" w:rsidRDefault="003B02ED" w:rsidP="003B02ED">
            <w:pPr>
              <w:pStyle w:val="TableDataEntries"/>
            </w:pPr>
            <w:r w:rsidRPr="003B02ED">
              <w:t>- 14.33</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FE3B37F" w14:textId="1A752FC1" w:rsidR="003B02ED" w:rsidRPr="003B02ED" w:rsidRDefault="003B02ED" w:rsidP="003B02ED">
            <w:pPr>
              <w:pStyle w:val="TableDataEntries"/>
            </w:pPr>
            <w:r w:rsidRPr="003B02ED">
              <w:t xml:space="preserve"> 216.04</w:t>
            </w:r>
          </w:p>
        </w:tc>
      </w:tr>
      <w:tr w:rsidR="003B02ED" w14:paraId="7649F821"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3C528DD" w14:textId="77777777" w:rsidR="003B02ED" w:rsidRDefault="003B02ED" w:rsidP="003B02ED">
            <w:pPr>
              <w:pStyle w:val="TableDataEntries"/>
              <w:jc w:val="left"/>
            </w:pPr>
            <w:r>
              <w:t>Avoided GHG emissions – electricity</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DBD72CA" w14:textId="00FE8321" w:rsidR="003B02ED" w:rsidRPr="003B02ED" w:rsidRDefault="003B02ED" w:rsidP="003B02ED">
            <w:pPr>
              <w:pStyle w:val="TableDataEntries"/>
            </w:pPr>
            <w:r w:rsidRPr="003B02ED">
              <w:t xml:space="preserve"> 624.79</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7E97451" w14:textId="7780B635" w:rsidR="003B02ED" w:rsidRPr="003B02ED" w:rsidRDefault="003B02ED" w:rsidP="003B02ED">
            <w:pPr>
              <w:pStyle w:val="TableDataEntries"/>
            </w:pPr>
            <w:r w:rsidRPr="003B02ED">
              <w:t>1 183.47</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2202577" w14:textId="2FB3A6DC" w:rsidR="003B02ED" w:rsidRPr="003B02ED" w:rsidRDefault="003B02ED" w:rsidP="003B02ED">
            <w:pPr>
              <w:pStyle w:val="TableDataEntries"/>
            </w:pPr>
            <w:r w:rsidRPr="003B02ED">
              <w:t>1 110.54</w:t>
            </w:r>
          </w:p>
        </w:tc>
      </w:tr>
      <w:tr w:rsidR="003B02ED" w14:paraId="7427E0D0"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C10925" w14:textId="77777777" w:rsidR="003B02ED" w:rsidRDefault="003B02ED" w:rsidP="003B02ED">
            <w:pPr>
              <w:pStyle w:val="TableDataEntries"/>
              <w:jc w:val="left"/>
            </w:pPr>
            <w:r>
              <w:t>Avoided GHG emissions – exported electricity</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E888D5C" w14:textId="343752A1" w:rsidR="003B02ED" w:rsidRPr="003B02ED" w:rsidRDefault="003B02ED" w:rsidP="003B02ED">
            <w:pPr>
              <w:pStyle w:val="TableDataEntries"/>
            </w:pPr>
            <w:r w:rsidRPr="003B02ED">
              <w:t xml:space="preserve"> 35.25</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7A3CFBF" w14:textId="78924836" w:rsidR="003B02ED" w:rsidRPr="003B02ED" w:rsidRDefault="003B02ED" w:rsidP="003B02ED">
            <w:pPr>
              <w:pStyle w:val="TableDataEntries"/>
            </w:pPr>
            <w:r w:rsidRPr="003B02ED">
              <w:t xml:space="preserve"> 220.08</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265BD9B" w14:textId="75228E61" w:rsidR="003B02ED" w:rsidRPr="003B02ED" w:rsidRDefault="003B02ED" w:rsidP="003B02ED">
            <w:pPr>
              <w:pStyle w:val="TableDataEntries"/>
            </w:pPr>
            <w:r w:rsidRPr="003B02ED">
              <w:t xml:space="preserve"> 220.13</w:t>
            </w:r>
          </w:p>
        </w:tc>
      </w:tr>
      <w:tr w:rsidR="003B02ED" w14:paraId="6F9F0121"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8E86EEB" w14:textId="77777777" w:rsidR="003B02ED" w:rsidRDefault="003B02ED" w:rsidP="003B02ED">
            <w:pPr>
              <w:pStyle w:val="TableDataEntries"/>
              <w:jc w:val="left"/>
            </w:pPr>
            <w:r>
              <w:t>Avoided GHG emissions – gas</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7F401D1" w14:textId="7866189E" w:rsidR="003B02ED" w:rsidRPr="003B02ED" w:rsidRDefault="003B02ED" w:rsidP="003B02ED">
            <w:pPr>
              <w:pStyle w:val="TableDataEntries"/>
            </w:pPr>
            <w:r w:rsidRPr="003B02ED">
              <w:t>- 28.05</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6F67D99" w14:textId="390E3661" w:rsidR="003B02ED" w:rsidRPr="003B02ED" w:rsidRDefault="003B02ED" w:rsidP="003B02ED">
            <w:pPr>
              <w:pStyle w:val="TableDataEntries"/>
            </w:pPr>
            <w:r w:rsidRPr="003B02ED">
              <w:t>- 28.05</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93D4C24" w14:textId="18E92BDF" w:rsidR="003B02ED" w:rsidRPr="003B02ED" w:rsidRDefault="003B02ED" w:rsidP="003B02ED">
            <w:pPr>
              <w:pStyle w:val="TableDataEntries"/>
            </w:pPr>
            <w:r w:rsidRPr="003B02ED">
              <w:t xml:space="preserve"> 432.91</w:t>
            </w:r>
          </w:p>
        </w:tc>
      </w:tr>
      <w:tr w:rsidR="003B02ED" w14:paraId="0EA47EDA"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1FB3916" w14:textId="77777777" w:rsidR="003B02ED" w:rsidRDefault="003B02ED" w:rsidP="003B02ED">
            <w:pPr>
              <w:pStyle w:val="TableDataEntries"/>
              <w:jc w:val="left"/>
            </w:pPr>
            <w:r>
              <w:t>Capital costs</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DC9E29F" w14:textId="1DB8A3FB" w:rsidR="003B02ED" w:rsidRPr="003B02ED" w:rsidRDefault="003B02ED" w:rsidP="003B02ED">
            <w:pPr>
              <w:pStyle w:val="TableDataEntries"/>
            </w:pPr>
            <w:r w:rsidRPr="003B02ED">
              <w:t xml:space="preserve"> 341.68</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507E19A" w14:textId="3751736E" w:rsidR="003B02ED" w:rsidRPr="003B02ED" w:rsidRDefault="003B02ED" w:rsidP="003B02ED">
            <w:pPr>
              <w:pStyle w:val="TableDataEntries"/>
            </w:pPr>
            <w:r w:rsidRPr="003B02ED">
              <w:t>-2 610.88</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A66A3BE" w14:textId="2C09C4A1" w:rsidR="003B02ED" w:rsidRPr="003B02ED" w:rsidRDefault="003B02ED" w:rsidP="003B02ED">
            <w:pPr>
              <w:pStyle w:val="TableDataEntries"/>
            </w:pPr>
            <w:r w:rsidRPr="003B02ED">
              <w:t>-3 670.75</w:t>
            </w:r>
          </w:p>
        </w:tc>
      </w:tr>
      <w:tr w:rsidR="003B02ED" w:rsidRPr="003B02ED" w14:paraId="7F6B775A" w14:textId="77777777">
        <w:trPr>
          <w:trHeight w:val="245"/>
        </w:trPr>
        <w:tc>
          <w:tcPr>
            <w:tcW w:w="4148"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7A327F7" w14:textId="77777777" w:rsidR="003B02ED" w:rsidRPr="003B02ED" w:rsidRDefault="003B02ED" w:rsidP="003B02ED">
            <w:pPr>
              <w:pStyle w:val="TableDataEntries"/>
              <w:jc w:val="left"/>
              <w:rPr>
                <w:rFonts w:ascii="Franklin Gothic Demi" w:hAnsi="Franklin Gothic Demi"/>
              </w:rPr>
            </w:pPr>
            <w:r w:rsidRPr="003B02ED">
              <w:rPr>
                <w:rFonts w:ascii="Franklin Gothic Demi" w:hAnsi="Franklin Gothic Demi"/>
              </w:rPr>
              <w:t>Total building energy impacts</w:t>
            </w:r>
          </w:p>
        </w:tc>
        <w:tc>
          <w:tcPr>
            <w:tcW w:w="1263"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29412678" w14:textId="7A1FDCE4" w:rsidR="003B02ED" w:rsidRPr="003B02ED" w:rsidRDefault="003B02ED" w:rsidP="003B02ED">
            <w:pPr>
              <w:pStyle w:val="TableDataEntries"/>
              <w:rPr>
                <w:rFonts w:ascii="Franklin Gothic Demi" w:hAnsi="Franklin Gothic Demi"/>
              </w:rPr>
            </w:pPr>
            <w:r w:rsidRPr="003B02ED">
              <w:rPr>
                <w:rFonts w:ascii="Franklin Gothic Demi" w:hAnsi="Franklin Gothic Demi"/>
              </w:rPr>
              <w:t>3 590.72</w:t>
            </w:r>
          </w:p>
        </w:tc>
        <w:tc>
          <w:tcPr>
            <w:tcW w:w="1263"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436D871C" w14:textId="0783E559" w:rsidR="003B02ED" w:rsidRPr="003B02ED" w:rsidRDefault="003B02ED" w:rsidP="003B02ED">
            <w:pPr>
              <w:pStyle w:val="TableDataEntries"/>
              <w:rPr>
                <w:rFonts w:ascii="Franklin Gothic Demi" w:hAnsi="Franklin Gothic Demi"/>
              </w:rPr>
            </w:pPr>
            <w:r w:rsidRPr="003B02ED">
              <w:rPr>
                <w:rFonts w:ascii="Franklin Gothic Demi" w:hAnsi="Franklin Gothic Demi"/>
              </w:rPr>
              <w:t>3 724.89</w:t>
            </w:r>
          </w:p>
        </w:tc>
        <w:tc>
          <w:tcPr>
            <w:tcW w:w="1263"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5BE51BE1" w14:textId="71FE8FB9" w:rsidR="003B02ED" w:rsidRPr="003B02ED" w:rsidRDefault="003B02ED" w:rsidP="003B02ED">
            <w:pPr>
              <w:pStyle w:val="TableDataEntries"/>
              <w:rPr>
                <w:rFonts w:ascii="Franklin Gothic Demi" w:hAnsi="Franklin Gothic Demi"/>
              </w:rPr>
            </w:pPr>
            <w:r w:rsidRPr="003B02ED">
              <w:rPr>
                <w:rFonts w:ascii="Franklin Gothic Demi" w:hAnsi="Franklin Gothic Demi"/>
              </w:rPr>
              <w:t>2 858.77</w:t>
            </w:r>
          </w:p>
        </w:tc>
      </w:tr>
    </w:tbl>
    <w:p w14:paraId="58CEB81F" w14:textId="77777777" w:rsidR="006568C5" w:rsidRDefault="006568C5" w:rsidP="006568C5">
      <w:pPr>
        <w:pStyle w:val="Note"/>
      </w:pPr>
      <w:r w:rsidRPr="007D1B4F">
        <w:rPr>
          <w:i/>
        </w:rPr>
        <w:t>Note:</w:t>
      </w:r>
      <w:r w:rsidRPr="00E879B8">
        <w:t xml:space="preserve"> </w:t>
      </w:r>
      <w:r>
        <w:t>Estimates presented in net present value terms over an assumed 50-year life of all buildings constructed over the 10 year period from 2025 to 2034, using a discount rate of 5 per cent.</w:t>
      </w:r>
    </w:p>
    <w:p w14:paraId="0D7A63FE" w14:textId="77777777" w:rsidR="006568C5" w:rsidRDefault="006568C5" w:rsidP="006568C5">
      <w:pPr>
        <w:pStyle w:val="Source"/>
      </w:pPr>
      <w:r>
        <w:rPr>
          <w:i/>
        </w:rPr>
        <w:t>Source</w:t>
      </w:r>
      <w:r w:rsidRPr="00E4232C">
        <w:rPr>
          <w:i/>
        </w:rPr>
        <w:t>:</w:t>
      </w:r>
      <w:r>
        <w:t xml:space="preserve"> CIE based on DeltaQ modelling.</w:t>
      </w:r>
    </w:p>
    <w:p w14:paraId="2B5ABBE0" w14:textId="5E17D118" w:rsidR="006568C5" w:rsidRPr="006F0F88" w:rsidRDefault="006568C5" w:rsidP="006568C5">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7</w:instrText>
        </w:r>
      </w:fldSimple>
      <w:r w:rsidRPr="006F0F88">
        <w:instrText xml:space="preserve"> = 0 "" "</w:instrText>
      </w:r>
      <w:fldSimple w:instr=" STYLEREF &quot;Heading 1&quot; \l \n ">
        <w:r w:rsidR="00520F9E">
          <w:rPr>
            <w:noProof/>
          </w:rPr>
          <w:instrText>7</w:instrText>
        </w:r>
      </w:fldSimple>
      <w:r w:rsidRPr="006F0F88">
        <w:instrText xml:space="preserve">." </w:instrText>
      </w:r>
      <w:r w:rsidRPr="006F0F88">
        <w:fldChar w:fldCharType="separate"/>
      </w:r>
      <w:r w:rsidR="00520F9E">
        <w:rPr>
          <w:noProof/>
        </w:rPr>
        <w:instrText>7</w:instrText>
      </w:r>
      <w:r w:rsidR="00520F9E"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7</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7</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520F9E">
        <w:rPr>
          <w:noProof/>
        </w:rPr>
        <w:instrText>23</w:instrText>
      </w:r>
      <w:r w:rsidRPr="006F0F88">
        <w:fldChar w:fldCharType="end"/>
      </w:r>
      <w:r w:rsidRPr="006F0F88">
        <w:instrText xml:space="preserve">" "" </w:instrText>
      </w:r>
      <w:r w:rsidRPr="006F0F88">
        <w:fldChar w:fldCharType="separate"/>
      </w:r>
      <w:bookmarkStart w:id="4535" w:name="_Caption5433"/>
      <w:bookmarkStart w:id="4536" w:name="_Caption0969"/>
      <w:bookmarkStart w:id="4537" w:name="_Caption6674"/>
      <w:bookmarkStart w:id="4538" w:name="_Caption0255"/>
      <w:bookmarkStart w:id="4539" w:name="_Caption3479"/>
      <w:bookmarkStart w:id="4540" w:name="_Caption2613"/>
      <w:bookmarkStart w:id="4541" w:name="_Caption4830"/>
      <w:bookmarkStart w:id="4542" w:name="_Caption6236"/>
      <w:bookmarkStart w:id="4543" w:name="_Caption9420"/>
      <w:bookmarkStart w:id="4544" w:name="_Caption9713"/>
      <w:bookmarkStart w:id="4545" w:name="_Caption7440"/>
      <w:bookmarkStart w:id="4546" w:name="_Caption3732"/>
      <w:bookmarkStart w:id="4547" w:name="_Caption1040"/>
      <w:bookmarkStart w:id="4548" w:name="_Caption3633"/>
      <w:bookmarkStart w:id="4549" w:name="_Caption6103"/>
      <w:bookmarkStart w:id="4550" w:name="_Caption6324"/>
      <w:bookmarkStart w:id="4551" w:name="_Caption1545"/>
      <w:bookmarkStart w:id="4552" w:name="_Caption7876"/>
      <w:bookmarkStart w:id="4553" w:name="_Caption5571"/>
      <w:bookmarkStart w:id="4554" w:name="_Caption1251"/>
      <w:bookmarkStart w:id="4555" w:name="_Caption3662"/>
      <w:bookmarkStart w:id="4556" w:name="_Caption4920"/>
      <w:bookmarkStart w:id="4557" w:name="_Caption9051"/>
      <w:bookmarkStart w:id="4558" w:name="_Caption0879"/>
      <w:bookmarkStart w:id="4559" w:name="_Caption5187"/>
      <w:bookmarkStart w:id="4560" w:name="_Caption9510"/>
      <w:bookmarkStart w:id="4561" w:name="_Caption0126"/>
      <w:bookmarkStart w:id="4562" w:name="_Caption6790"/>
      <w:bookmarkStart w:id="4563" w:name="_Caption1817"/>
      <w:bookmarkStart w:id="4564" w:name="_Caption2018"/>
      <w:bookmarkStart w:id="4565" w:name="_Caption4091"/>
      <w:bookmarkStart w:id="4566" w:name="_Caption2835"/>
      <w:bookmarkStart w:id="4567" w:name="_Caption8294"/>
      <w:bookmarkStart w:id="4568" w:name="_Caption2190"/>
      <w:bookmarkStart w:id="4569" w:name="_Caption9341"/>
      <w:bookmarkStart w:id="4570" w:name="_Caption1146"/>
      <w:bookmarkStart w:id="4571" w:name="_Caption8857"/>
      <w:bookmarkStart w:id="4572" w:name="_Caption6054"/>
      <w:bookmarkStart w:id="4573" w:name="_Caption9025"/>
      <w:bookmarkStart w:id="4574" w:name="_Caption3368"/>
      <w:bookmarkStart w:id="4575" w:name="_Caption3499"/>
      <w:bookmarkStart w:id="4576" w:name="_Caption9711"/>
      <w:bookmarkStart w:id="4577" w:name="_Caption2292"/>
      <w:bookmarkStart w:id="4578" w:name="_Caption2276"/>
      <w:bookmarkStart w:id="4579" w:name="_Caption4280"/>
      <w:bookmarkStart w:id="4580" w:name="_Caption5010"/>
      <w:bookmarkStart w:id="4581" w:name="_Caption4399"/>
      <w:bookmarkStart w:id="4582" w:name="_Caption8427"/>
      <w:bookmarkStart w:id="4583" w:name="_Caption5146"/>
      <w:bookmarkStart w:id="4584" w:name="_Caption2189"/>
      <w:bookmarkStart w:id="4585" w:name="_Caption8104"/>
      <w:bookmarkStart w:id="4586" w:name="_Caption3963"/>
      <w:bookmarkStart w:id="4587" w:name="_Caption6065"/>
      <w:bookmarkStart w:id="4588" w:name="_Caption6232"/>
      <w:bookmarkStart w:id="4589" w:name="_Caption5816"/>
      <w:bookmarkStart w:id="4590" w:name="_Caption2357"/>
      <w:bookmarkStart w:id="4591" w:name="_Caption8341"/>
      <w:bookmarkStart w:id="4592" w:name="_Caption1463"/>
      <w:bookmarkStart w:id="4593" w:name="_Caption3202"/>
      <w:bookmarkStart w:id="4594" w:name="_Caption2529"/>
      <w:bookmarkStart w:id="4595" w:name="_Caption5082"/>
      <w:bookmarkStart w:id="4596" w:name="_Caption1346"/>
      <w:bookmarkStart w:id="4597" w:name="_Caption9327"/>
      <w:bookmarkStart w:id="4598" w:name="_Caption6134"/>
      <w:bookmarkStart w:id="4599" w:name="_Caption6876"/>
      <w:bookmarkStart w:id="4600" w:name="_Caption5093"/>
      <w:bookmarkStart w:id="4601" w:name="_Caption5803"/>
      <w:bookmarkStart w:id="4602" w:name="_Caption4645"/>
      <w:bookmarkStart w:id="4603" w:name="_Caption6747"/>
      <w:bookmarkStart w:id="4604" w:name="_Caption5259"/>
      <w:bookmarkStart w:id="4605" w:name="_Toc177735187"/>
      <w:bookmarkStart w:id="4606" w:name="_Toc178292622"/>
      <w:r w:rsidR="008C60A3">
        <w:rPr>
          <w:noProof/>
        </w:rPr>
        <w:t>7</w:t>
      </w:r>
      <w:r w:rsidR="008C60A3" w:rsidRPr="006F0F88">
        <w:rPr>
          <w:noProof/>
        </w:rPr>
        <w:t>.</w:t>
      </w:r>
      <w:r w:rsidR="008C60A3">
        <w:rPr>
          <w:noProof/>
        </w:rPr>
        <w:t>23</w:t>
      </w:r>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r w:rsidRPr="006F0F88">
        <w:fldChar w:fldCharType="end"/>
      </w:r>
      <w:r w:rsidRPr="006F0F88">
        <w:tab/>
        <w:t>CBA results using realisation rate of 75 per cent</w:t>
      </w:r>
      <w:bookmarkEnd w:id="4605"/>
      <w:bookmarkEnd w:id="4606"/>
    </w:p>
    <w:tbl>
      <w:tblPr>
        <w:tblW w:w="0" w:type="auto"/>
        <w:tblLayout w:type="fixed"/>
        <w:tblLook w:val="0000" w:firstRow="0" w:lastRow="0" w:firstColumn="0" w:lastColumn="0" w:noHBand="0" w:noVBand="0"/>
        <w:tblCaption w:val="Table 6.15 - CBA results using realisation rate of 75 per cent"/>
      </w:tblPr>
      <w:tblGrid>
        <w:gridCol w:w="4148"/>
        <w:gridCol w:w="1263"/>
        <w:gridCol w:w="1263"/>
        <w:gridCol w:w="1263"/>
      </w:tblGrid>
      <w:tr w:rsidR="006568C5" w14:paraId="59DDAE24" w14:textId="77777777">
        <w:trPr>
          <w:trHeight w:val="245"/>
          <w:tblHeader/>
        </w:trPr>
        <w:tc>
          <w:tcPr>
            <w:tcW w:w="4148" w:type="dxa"/>
            <w:shd w:val="clear" w:color="auto" w:fill="6F6652"/>
            <w:tcMar>
              <w:left w:w="57" w:type="dxa"/>
              <w:right w:w="57" w:type="dxa"/>
            </w:tcMar>
          </w:tcPr>
          <w:p w14:paraId="52E6477B" w14:textId="77777777" w:rsidR="006568C5" w:rsidRDefault="006568C5">
            <w:pPr>
              <w:pStyle w:val="TableDataColumnHeading"/>
              <w:jc w:val="left"/>
            </w:pPr>
            <w:r>
              <w:t>Impact</w:t>
            </w:r>
          </w:p>
        </w:tc>
        <w:tc>
          <w:tcPr>
            <w:tcW w:w="1263" w:type="dxa"/>
            <w:shd w:val="clear" w:color="auto" w:fill="6F6652"/>
            <w:tcMar>
              <w:left w:w="57" w:type="dxa"/>
              <w:right w:w="57" w:type="dxa"/>
            </w:tcMar>
          </w:tcPr>
          <w:p w14:paraId="675121FB" w14:textId="77777777" w:rsidR="006568C5" w:rsidRDefault="006568C5">
            <w:pPr>
              <w:pStyle w:val="TableDataColumnHeading"/>
            </w:pPr>
            <w:r>
              <w:t>Stringency Level 1</w:t>
            </w:r>
          </w:p>
          <w:p w14:paraId="2E919465" w14:textId="77777777" w:rsidR="006568C5" w:rsidRDefault="006568C5">
            <w:pPr>
              <w:pStyle w:val="TableDataColumnHeading"/>
            </w:pPr>
            <w:r>
              <w:t>$ million</w:t>
            </w:r>
          </w:p>
        </w:tc>
        <w:tc>
          <w:tcPr>
            <w:tcW w:w="1263" w:type="dxa"/>
            <w:shd w:val="clear" w:color="auto" w:fill="6F6652"/>
            <w:tcMar>
              <w:left w:w="57" w:type="dxa"/>
              <w:right w:w="57" w:type="dxa"/>
            </w:tcMar>
          </w:tcPr>
          <w:p w14:paraId="21F6A3FC" w14:textId="77777777" w:rsidR="006568C5" w:rsidRDefault="006568C5">
            <w:pPr>
              <w:pStyle w:val="TableDataColumnHeading"/>
            </w:pPr>
            <w:r>
              <w:t>Stringency Level 2</w:t>
            </w:r>
          </w:p>
          <w:p w14:paraId="0DFDC45B" w14:textId="77777777" w:rsidR="006568C5" w:rsidRDefault="006568C5">
            <w:pPr>
              <w:pStyle w:val="TableDataColumnHeading"/>
            </w:pPr>
            <w:r>
              <w:t>$ million</w:t>
            </w:r>
          </w:p>
        </w:tc>
        <w:tc>
          <w:tcPr>
            <w:tcW w:w="1263" w:type="dxa"/>
            <w:shd w:val="clear" w:color="auto" w:fill="6F6652"/>
            <w:tcMar>
              <w:left w:w="57" w:type="dxa"/>
              <w:right w:w="57" w:type="dxa"/>
            </w:tcMar>
          </w:tcPr>
          <w:p w14:paraId="5B628750" w14:textId="77777777" w:rsidR="006568C5" w:rsidRDefault="006568C5">
            <w:pPr>
              <w:pStyle w:val="TableDataColumnHeading"/>
            </w:pPr>
            <w:r>
              <w:t>Stringency Level 3</w:t>
            </w:r>
          </w:p>
          <w:p w14:paraId="6DEDE100" w14:textId="77777777" w:rsidR="006568C5" w:rsidRDefault="006568C5">
            <w:pPr>
              <w:pStyle w:val="TableDataColumnHeading"/>
            </w:pPr>
            <w:r>
              <w:t>$ million</w:t>
            </w:r>
          </w:p>
        </w:tc>
      </w:tr>
      <w:tr w:rsidR="00110290" w14:paraId="68E574B0"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6E7FB5" w14:textId="77777777" w:rsidR="00110290" w:rsidRDefault="00110290" w:rsidP="00110290">
            <w:pPr>
              <w:pStyle w:val="TableDataEntries"/>
              <w:jc w:val="left"/>
            </w:pPr>
            <w:r>
              <w:t>Avoided network capacity costs</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2261A6C" w14:textId="69941DF3" w:rsidR="00110290" w:rsidRPr="00110290" w:rsidRDefault="00110290" w:rsidP="00110290">
            <w:pPr>
              <w:pStyle w:val="TableDataEntries"/>
            </w:pPr>
            <w:r w:rsidRPr="00110290">
              <w:t xml:space="preserve"> 704.19</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AD068A3" w14:textId="2EF37BDD" w:rsidR="00110290" w:rsidRPr="00110290" w:rsidRDefault="00110290" w:rsidP="00110290">
            <w:pPr>
              <w:pStyle w:val="TableDataEntries"/>
            </w:pPr>
            <w:r w:rsidRPr="00110290">
              <w:t>1 176.37</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84B3964" w14:textId="2F44E2AE" w:rsidR="00110290" w:rsidRPr="00110290" w:rsidRDefault="00110290" w:rsidP="00110290">
            <w:pPr>
              <w:pStyle w:val="TableDataEntries"/>
            </w:pPr>
            <w:r w:rsidRPr="00110290">
              <w:t>1 080.19</w:t>
            </w:r>
          </w:p>
        </w:tc>
      </w:tr>
      <w:tr w:rsidR="00110290" w14:paraId="3674F7E2"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5BA6917" w14:textId="77777777" w:rsidR="00110290" w:rsidRDefault="00110290" w:rsidP="00110290">
            <w:pPr>
              <w:pStyle w:val="TableDataEntries"/>
              <w:jc w:val="left"/>
            </w:pPr>
            <w:r>
              <w:t>Avoided wholesale costs</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B5E7970" w14:textId="54C095DC" w:rsidR="00110290" w:rsidRPr="00110290" w:rsidRDefault="00110290" w:rsidP="00110290">
            <w:pPr>
              <w:pStyle w:val="TableDataEntries"/>
            </w:pPr>
            <w:r w:rsidRPr="00110290">
              <w:t>1 379.05</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2658E9D" w14:textId="2E1BE82E" w:rsidR="00110290" w:rsidRPr="00110290" w:rsidRDefault="00110290" w:rsidP="00110290">
            <w:pPr>
              <w:pStyle w:val="TableDataEntries"/>
            </w:pPr>
            <w:r w:rsidRPr="00110290">
              <w:t>2 454.56</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D1CD71A" w14:textId="45CA1FDC" w:rsidR="00110290" w:rsidRPr="00110290" w:rsidRDefault="00110290" w:rsidP="00110290">
            <w:pPr>
              <w:pStyle w:val="TableDataEntries"/>
            </w:pPr>
            <w:r w:rsidRPr="00110290">
              <w:t>2 187.86</w:t>
            </w:r>
          </w:p>
        </w:tc>
      </w:tr>
      <w:tr w:rsidR="00110290" w14:paraId="343EE2A2"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056611C" w14:textId="77777777" w:rsidR="00110290" w:rsidRDefault="00110290" w:rsidP="00110290">
            <w:pPr>
              <w:pStyle w:val="TableDataEntries"/>
              <w:jc w:val="left"/>
            </w:pPr>
            <w:r>
              <w:t>Avoided network usage costs</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CD83800" w14:textId="6E2DC5B7" w:rsidR="00110290" w:rsidRPr="00110290" w:rsidRDefault="00110290" w:rsidP="00110290">
            <w:pPr>
              <w:pStyle w:val="TableDataEntries"/>
            </w:pPr>
            <w:r w:rsidRPr="00110290">
              <w:t>1 326.63</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DE9471F" w14:textId="3E730903" w:rsidR="00110290" w:rsidRPr="00110290" w:rsidRDefault="00110290" w:rsidP="00110290">
            <w:pPr>
              <w:pStyle w:val="TableDataEntries"/>
            </w:pPr>
            <w:r w:rsidRPr="00110290">
              <w:t>2 697.45</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95A320D" w14:textId="17551157" w:rsidR="00110290" w:rsidRPr="00110290" w:rsidRDefault="00110290" w:rsidP="00110290">
            <w:pPr>
              <w:pStyle w:val="TableDataEntries"/>
            </w:pPr>
            <w:r w:rsidRPr="00110290">
              <w:t>2 506.36</w:t>
            </w:r>
          </w:p>
        </w:tc>
      </w:tr>
      <w:tr w:rsidR="00110290" w14:paraId="529CDD18"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B892662" w14:textId="77777777" w:rsidR="00110290" w:rsidRDefault="00110290" w:rsidP="00110290">
            <w:pPr>
              <w:pStyle w:val="TableDataEntries"/>
              <w:jc w:val="left"/>
            </w:pPr>
            <w:r>
              <w:t>Avoided retail costs</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7926D06" w14:textId="1516AA8F" w:rsidR="00110290" w:rsidRPr="00110290" w:rsidRDefault="00110290" w:rsidP="00110290">
            <w:pPr>
              <w:pStyle w:val="TableDataEntries"/>
            </w:pPr>
            <w:r w:rsidRPr="00110290">
              <w:t xml:space="preserve"> 511.48</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76D368E" w14:textId="2BFAED21" w:rsidR="00110290" w:rsidRPr="00110290" w:rsidRDefault="00110290" w:rsidP="00110290">
            <w:pPr>
              <w:pStyle w:val="TableDataEntries"/>
            </w:pPr>
            <w:r w:rsidRPr="00110290">
              <w:t xml:space="preserve"> 949.26</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3D2A1FA" w14:textId="2BF9E1C8" w:rsidR="00110290" w:rsidRPr="00110290" w:rsidRDefault="00110290" w:rsidP="00110290">
            <w:pPr>
              <w:pStyle w:val="TableDataEntries"/>
            </w:pPr>
            <w:r w:rsidRPr="00110290">
              <w:t xml:space="preserve"> 866.16</w:t>
            </w:r>
          </w:p>
        </w:tc>
      </w:tr>
      <w:tr w:rsidR="00110290" w14:paraId="73BC0CED"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DAC36C" w14:textId="77777777" w:rsidR="00110290" w:rsidRDefault="00110290" w:rsidP="00110290">
            <w:pPr>
              <w:pStyle w:val="TableDataEntries"/>
              <w:jc w:val="left"/>
            </w:pPr>
            <w:r>
              <w:t>Electricity exported to grid</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188010A" w14:textId="34B8DD5D" w:rsidR="00110290" w:rsidRPr="00110290" w:rsidRDefault="00110290" w:rsidP="00110290">
            <w:pPr>
              <w:pStyle w:val="TableDataEntries"/>
            </w:pPr>
            <w:r w:rsidRPr="00110290">
              <w:t xml:space="preserve"> 33.72</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99CD1AD" w14:textId="2F832721" w:rsidR="00110290" w:rsidRPr="00110290" w:rsidRDefault="00110290" w:rsidP="00110290">
            <w:pPr>
              <w:pStyle w:val="TableDataEntries"/>
            </w:pPr>
            <w:r w:rsidRPr="00110290">
              <w:t xml:space="preserve"> 218.58</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02482D5" w14:textId="4BFD9D8E" w:rsidR="00110290" w:rsidRPr="00110290" w:rsidRDefault="00110290" w:rsidP="00110290">
            <w:pPr>
              <w:pStyle w:val="TableDataEntries"/>
            </w:pPr>
            <w:r w:rsidRPr="00110290">
              <w:t xml:space="preserve"> 218.61</w:t>
            </w:r>
          </w:p>
        </w:tc>
      </w:tr>
      <w:tr w:rsidR="00110290" w14:paraId="064A7FEF"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048E15A" w14:textId="062DB9E7" w:rsidR="00110290" w:rsidRDefault="00861990" w:rsidP="00110290">
            <w:pPr>
              <w:pStyle w:val="TableDataEntries"/>
              <w:jc w:val="left"/>
            </w:pPr>
            <w:r>
              <w:t xml:space="preserve">Electricity exports </w:t>
            </w:r>
            <w:r w:rsidR="00172465">
              <w:t>— network costs</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6F9F9E8" w14:textId="1110ADAB" w:rsidR="00110290" w:rsidRPr="00110290" w:rsidRDefault="00110290" w:rsidP="00110290">
            <w:pPr>
              <w:pStyle w:val="TableDataEntries"/>
            </w:pPr>
            <w:r w:rsidRPr="00110290">
              <w:t>- 8.00</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EF52CAC" w14:textId="74E190D5" w:rsidR="00110290" w:rsidRPr="00110290" w:rsidRDefault="00110290" w:rsidP="00110290">
            <w:pPr>
              <w:pStyle w:val="TableDataEntries"/>
            </w:pPr>
            <w:r w:rsidRPr="00110290">
              <w:t>- 34.31</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EBF91D6" w14:textId="6056652B" w:rsidR="00110290" w:rsidRPr="00110290" w:rsidRDefault="00110290" w:rsidP="00110290">
            <w:pPr>
              <w:pStyle w:val="TableDataEntries"/>
            </w:pPr>
            <w:r w:rsidRPr="00110290">
              <w:t>- 34.32</w:t>
            </w:r>
          </w:p>
        </w:tc>
      </w:tr>
      <w:tr w:rsidR="00110290" w14:paraId="7752A6B9"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1AA859" w14:textId="7B69E720" w:rsidR="00110290" w:rsidRDefault="007C775D" w:rsidP="00110290">
            <w:pPr>
              <w:pStyle w:val="TableDataEntries"/>
              <w:jc w:val="left"/>
            </w:pPr>
            <w:r>
              <w:t>Avoided gas costs</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0B944D5" w14:textId="19B6BDDB" w:rsidR="00110290" w:rsidRPr="00110290" w:rsidRDefault="00110290" w:rsidP="00110290">
            <w:pPr>
              <w:pStyle w:val="TableDataEntries"/>
            </w:pPr>
            <w:r w:rsidRPr="00110290">
              <w:t>- 21.50</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E928BCD" w14:textId="5A8F52F9" w:rsidR="00110290" w:rsidRPr="00110290" w:rsidRDefault="00110290" w:rsidP="00110290">
            <w:pPr>
              <w:pStyle w:val="TableDataEntries"/>
            </w:pPr>
            <w:r w:rsidRPr="00110290">
              <w:t>- 21.50</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70A0AF2" w14:textId="08D7FFAE" w:rsidR="00110290" w:rsidRPr="00110290" w:rsidRDefault="00110290" w:rsidP="00110290">
            <w:pPr>
              <w:pStyle w:val="TableDataEntries"/>
            </w:pPr>
            <w:r w:rsidRPr="00110290">
              <w:t xml:space="preserve"> 324.06</w:t>
            </w:r>
          </w:p>
        </w:tc>
      </w:tr>
      <w:tr w:rsidR="00110290" w14:paraId="7A8BEBED"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8D30BFB" w14:textId="77777777" w:rsidR="00110290" w:rsidRDefault="00110290" w:rsidP="00110290">
            <w:pPr>
              <w:pStyle w:val="TableDataEntries"/>
              <w:jc w:val="left"/>
            </w:pPr>
            <w:r>
              <w:t>Avoided GHG emissions – electricity</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37F70EE" w14:textId="61DD693B" w:rsidR="00110290" w:rsidRPr="00110290" w:rsidRDefault="00110290" w:rsidP="00110290">
            <w:pPr>
              <w:pStyle w:val="TableDataEntries"/>
            </w:pPr>
            <w:r w:rsidRPr="00110290">
              <w:t xml:space="preserve"> 937.18</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B1C1EA6" w14:textId="513BAED7" w:rsidR="00110290" w:rsidRPr="00110290" w:rsidRDefault="00110290" w:rsidP="00110290">
            <w:pPr>
              <w:pStyle w:val="TableDataEntries"/>
            </w:pPr>
            <w:r w:rsidRPr="00110290">
              <w:t>1 775.21</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0D08506" w14:textId="538D6A6A" w:rsidR="00110290" w:rsidRPr="00110290" w:rsidRDefault="00110290" w:rsidP="00110290">
            <w:pPr>
              <w:pStyle w:val="TableDataEntries"/>
            </w:pPr>
            <w:r w:rsidRPr="00110290">
              <w:t>1 665.81</w:t>
            </w:r>
          </w:p>
        </w:tc>
      </w:tr>
      <w:tr w:rsidR="00110290" w14:paraId="097E5427"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4E6DE81" w14:textId="77777777" w:rsidR="00110290" w:rsidRDefault="00110290" w:rsidP="00110290">
            <w:pPr>
              <w:pStyle w:val="TableDataEntries"/>
              <w:jc w:val="left"/>
            </w:pPr>
            <w:r>
              <w:t>Avoided GHG emissions – exported electricity</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7F2DB00" w14:textId="50A2A3A8" w:rsidR="00110290" w:rsidRPr="00110290" w:rsidRDefault="00110290" w:rsidP="00110290">
            <w:pPr>
              <w:pStyle w:val="TableDataEntries"/>
            </w:pPr>
            <w:r w:rsidRPr="00110290">
              <w:t xml:space="preserve"> 52.87</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AC84434" w14:textId="1E35CB4E" w:rsidR="00110290" w:rsidRPr="00110290" w:rsidRDefault="00110290" w:rsidP="00110290">
            <w:pPr>
              <w:pStyle w:val="TableDataEntries"/>
            </w:pPr>
            <w:r w:rsidRPr="00110290">
              <w:t xml:space="preserve"> 330.12</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FED3105" w14:textId="76429251" w:rsidR="00110290" w:rsidRPr="00110290" w:rsidRDefault="00110290" w:rsidP="00110290">
            <w:pPr>
              <w:pStyle w:val="TableDataEntries"/>
            </w:pPr>
            <w:r w:rsidRPr="00110290">
              <w:t xml:space="preserve"> 330.20</w:t>
            </w:r>
          </w:p>
        </w:tc>
      </w:tr>
      <w:tr w:rsidR="00110290" w14:paraId="0E49D0A6"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6F0CA5" w14:textId="77777777" w:rsidR="00110290" w:rsidRDefault="00110290" w:rsidP="00110290">
            <w:pPr>
              <w:pStyle w:val="TableDataEntries"/>
              <w:jc w:val="left"/>
            </w:pPr>
            <w:r>
              <w:t>Avoided GHG emissions – gas</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54503CA" w14:textId="1BFD5172" w:rsidR="00110290" w:rsidRPr="00110290" w:rsidRDefault="00110290" w:rsidP="00110290">
            <w:pPr>
              <w:pStyle w:val="TableDataEntries"/>
            </w:pPr>
            <w:r w:rsidRPr="00110290">
              <w:t>- 42.08</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3AF1ACD" w14:textId="504527C6" w:rsidR="00110290" w:rsidRPr="00110290" w:rsidRDefault="00110290" w:rsidP="00110290">
            <w:pPr>
              <w:pStyle w:val="TableDataEntries"/>
            </w:pPr>
            <w:r w:rsidRPr="00110290">
              <w:t>- 42.08</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FA3E9B6" w14:textId="761B0B1D" w:rsidR="00110290" w:rsidRPr="00110290" w:rsidRDefault="00110290" w:rsidP="00110290">
            <w:pPr>
              <w:pStyle w:val="TableDataEntries"/>
            </w:pPr>
            <w:r w:rsidRPr="00110290">
              <w:t xml:space="preserve"> 649.37</w:t>
            </w:r>
          </w:p>
        </w:tc>
      </w:tr>
      <w:tr w:rsidR="00110290" w14:paraId="7621FD39" w14:textId="77777777">
        <w:trPr>
          <w:trHeight w:val="245"/>
        </w:trPr>
        <w:tc>
          <w:tcPr>
            <w:tcW w:w="41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0D62880" w14:textId="77777777" w:rsidR="00110290" w:rsidRDefault="00110290" w:rsidP="00110290">
            <w:pPr>
              <w:pStyle w:val="TableDataEntries"/>
              <w:jc w:val="left"/>
            </w:pPr>
            <w:r>
              <w:t>Capital costs</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2DC992E" w14:textId="6C173170" w:rsidR="00110290" w:rsidRPr="00110290" w:rsidRDefault="00110290" w:rsidP="00110290">
            <w:pPr>
              <w:pStyle w:val="TableDataEntries"/>
            </w:pPr>
            <w:r w:rsidRPr="00110290">
              <w:t xml:space="preserve"> 341.68</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3ED5C05" w14:textId="6A97DA3B" w:rsidR="00110290" w:rsidRPr="00110290" w:rsidRDefault="00110290" w:rsidP="00110290">
            <w:pPr>
              <w:pStyle w:val="TableDataEntries"/>
            </w:pPr>
            <w:r w:rsidRPr="00110290">
              <w:t>-2 610.88</w:t>
            </w:r>
          </w:p>
        </w:tc>
        <w:tc>
          <w:tcPr>
            <w:tcW w:w="12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3EFEB49" w14:textId="1DF1E007" w:rsidR="00110290" w:rsidRPr="00110290" w:rsidRDefault="00110290" w:rsidP="00110290">
            <w:pPr>
              <w:pStyle w:val="TableDataEntries"/>
            </w:pPr>
            <w:r w:rsidRPr="00110290">
              <w:t>-3 670.75</w:t>
            </w:r>
          </w:p>
        </w:tc>
      </w:tr>
      <w:tr w:rsidR="00110290" w:rsidRPr="00110290" w14:paraId="39E82F7D" w14:textId="77777777">
        <w:trPr>
          <w:trHeight w:val="245"/>
        </w:trPr>
        <w:tc>
          <w:tcPr>
            <w:tcW w:w="4148"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0FC6C45" w14:textId="77777777" w:rsidR="00110290" w:rsidRPr="00110290" w:rsidRDefault="00110290" w:rsidP="00110290">
            <w:pPr>
              <w:pStyle w:val="TableDataEntries"/>
              <w:jc w:val="left"/>
              <w:rPr>
                <w:rFonts w:ascii="Franklin Gothic Demi" w:hAnsi="Franklin Gothic Demi"/>
              </w:rPr>
            </w:pPr>
            <w:r w:rsidRPr="00110290">
              <w:rPr>
                <w:rFonts w:ascii="Franklin Gothic Demi" w:hAnsi="Franklin Gothic Demi"/>
              </w:rPr>
              <w:t>Total building energy impacts</w:t>
            </w:r>
          </w:p>
        </w:tc>
        <w:tc>
          <w:tcPr>
            <w:tcW w:w="1263"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3ED25095" w14:textId="2E7C1580" w:rsidR="00110290" w:rsidRPr="00110290" w:rsidRDefault="00110290" w:rsidP="00110290">
            <w:pPr>
              <w:pStyle w:val="TableDataEntries"/>
              <w:rPr>
                <w:rFonts w:ascii="Franklin Gothic Demi" w:hAnsi="Franklin Gothic Demi"/>
              </w:rPr>
            </w:pPr>
            <w:r w:rsidRPr="00110290">
              <w:rPr>
                <w:rFonts w:ascii="Franklin Gothic Demi" w:hAnsi="Franklin Gothic Demi"/>
              </w:rPr>
              <w:t>5 215.23</w:t>
            </w:r>
          </w:p>
        </w:tc>
        <w:tc>
          <w:tcPr>
            <w:tcW w:w="1263"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256A42D7" w14:textId="78EF0D69" w:rsidR="00110290" w:rsidRPr="00110290" w:rsidRDefault="00110290" w:rsidP="00110290">
            <w:pPr>
              <w:pStyle w:val="TableDataEntries"/>
              <w:rPr>
                <w:rFonts w:ascii="Franklin Gothic Demi" w:hAnsi="Franklin Gothic Demi"/>
              </w:rPr>
            </w:pPr>
            <w:r w:rsidRPr="00110290">
              <w:rPr>
                <w:rFonts w:ascii="Franklin Gothic Demi" w:hAnsi="Franklin Gothic Demi"/>
              </w:rPr>
              <w:t>6 892.78</w:t>
            </w:r>
          </w:p>
        </w:tc>
        <w:tc>
          <w:tcPr>
            <w:tcW w:w="1263"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7892FC5B" w14:textId="58BD2B88" w:rsidR="00110290" w:rsidRPr="00110290" w:rsidRDefault="00110290" w:rsidP="00110290">
            <w:pPr>
              <w:pStyle w:val="TableDataEntries"/>
              <w:rPr>
                <w:rFonts w:ascii="Franklin Gothic Demi" w:hAnsi="Franklin Gothic Demi"/>
              </w:rPr>
            </w:pPr>
            <w:r w:rsidRPr="00110290">
              <w:rPr>
                <w:rFonts w:ascii="Franklin Gothic Demi" w:hAnsi="Franklin Gothic Demi"/>
              </w:rPr>
              <w:t>6 123.54</w:t>
            </w:r>
          </w:p>
        </w:tc>
      </w:tr>
    </w:tbl>
    <w:p w14:paraId="1B728EC7" w14:textId="77777777" w:rsidR="006568C5" w:rsidRDefault="006568C5" w:rsidP="006568C5">
      <w:pPr>
        <w:pStyle w:val="Note"/>
      </w:pPr>
      <w:r w:rsidRPr="007D1B4F">
        <w:rPr>
          <w:i/>
        </w:rPr>
        <w:t>Note:</w:t>
      </w:r>
      <w:r w:rsidRPr="00E879B8">
        <w:t xml:space="preserve"> </w:t>
      </w:r>
      <w:r>
        <w:t>Estimates presented in net present value terms over an assumed 50-year life of all buildings constructed over the 10 year period from 2025 to 2034, using a discount rate of 5 per cent.</w:t>
      </w:r>
    </w:p>
    <w:p w14:paraId="14DC1CE5" w14:textId="77777777" w:rsidR="006568C5" w:rsidRDefault="006568C5" w:rsidP="006568C5">
      <w:pPr>
        <w:pStyle w:val="Source"/>
      </w:pPr>
      <w:r>
        <w:rPr>
          <w:i/>
        </w:rPr>
        <w:t>Source</w:t>
      </w:r>
      <w:r w:rsidRPr="00E4232C">
        <w:rPr>
          <w:i/>
        </w:rPr>
        <w:t>:</w:t>
      </w:r>
      <w:r>
        <w:t xml:space="preserve"> CIE based on DeltaQ modelling.</w:t>
      </w:r>
    </w:p>
    <w:p w14:paraId="5B4D444C" w14:textId="77777777" w:rsidR="006568C5" w:rsidRDefault="006568C5" w:rsidP="006568C5">
      <w:pPr>
        <w:pStyle w:val="BodyText"/>
        <w:rPr>
          <w:lang w:eastAsia="en-US"/>
        </w:rPr>
      </w:pPr>
      <w:r>
        <w:rPr>
          <w:lang w:eastAsia="en-US"/>
        </w:rPr>
        <w:t>Although the magnitude of the net benefits is relatively sensitive to lower (but broadly plausible) realisation rates, the key conclusions are broadly unchanged. In particular:</w:t>
      </w:r>
    </w:p>
    <w:p w14:paraId="3E41FFE9" w14:textId="04196A25" w:rsidR="006568C5" w:rsidRDefault="00F46E49" w:rsidP="006568C5">
      <w:pPr>
        <w:pStyle w:val="ListBullet"/>
        <w:tabs>
          <w:tab w:val="num" w:pos="709"/>
        </w:tabs>
      </w:pPr>
      <w:r>
        <w:t>A</w:t>
      </w:r>
      <w:r w:rsidR="006568C5">
        <w:t>ll stringency levels are estimated to deliver net benefits (compared to current arrangements)</w:t>
      </w:r>
      <w:r>
        <w:t>.</w:t>
      </w:r>
    </w:p>
    <w:p w14:paraId="6110ABF7" w14:textId="010C34C3" w:rsidR="00CB3E98" w:rsidRDefault="00CB3E98" w:rsidP="006568C5">
      <w:pPr>
        <w:pStyle w:val="ListBullet"/>
        <w:tabs>
          <w:tab w:val="num" w:pos="709"/>
        </w:tabs>
      </w:pPr>
      <w:r>
        <w:t>Stringency Level 2 is estimated to deliver the largest net benefits in all scenarios</w:t>
      </w:r>
      <w:r w:rsidR="00003571">
        <w:t xml:space="preserve"> (</w:t>
      </w:r>
      <w:r w:rsidR="00577402">
        <w:t xml:space="preserve">note that </w:t>
      </w:r>
      <w:r w:rsidR="00003571">
        <w:t>Stringency Level 2 would</w:t>
      </w:r>
      <w:r w:rsidR="00577402">
        <w:t xml:space="preserve"> appear even more favourable if the realisation rates were applied only to the energy efficiency requirements consistent with the evidence)</w:t>
      </w:r>
      <w:r w:rsidR="00F46E49">
        <w:t>.</w:t>
      </w:r>
    </w:p>
    <w:p w14:paraId="0503617E" w14:textId="075E6D1F" w:rsidR="006568C5" w:rsidRDefault="00F46E49" w:rsidP="006568C5">
      <w:pPr>
        <w:pStyle w:val="ListBullet"/>
        <w:tabs>
          <w:tab w:val="num" w:pos="709"/>
        </w:tabs>
      </w:pPr>
      <w:r>
        <w:t xml:space="preserve">When a 50 per cent realisation rate is applied, </w:t>
      </w:r>
      <w:r w:rsidR="006C513C">
        <w:t>the net benefits of Stringency Level 1 is greater than Stringency Level 3.</w:t>
      </w:r>
    </w:p>
    <w:p w14:paraId="6DBFDC10" w14:textId="77777777" w:rsidR="006568C5" w:rsidRDefault="006568C5" w:rsidP="006568C5">
      <w:pPr>
        <w:pStyle w:val="Heading3"/>
        <w:rPr>
          <w:lang w:bidi="fa-IR"/>
        </w:rPr>
      </w:pPr>
      <w:r>
        <w:rPr>
          <w:lang w:bidi="fa-IR"/>
        </w:rPr>
        <w:t>Other sensitivity testing</w:t>
      </w:r>
    </w:p>
    <w:p w14:paraId="746A41FA" w14:textId="25711C16" w:rsidR="006568C5" w:rsidRPr="0098044D" w:rsidRDefault="006568C5" w:rsidP="006568C5">
      <w:pPr>
        <w:pStyle w:val="BodyText"/>
      </w:pPr>
      <w:r w:rsidRPr="0098044D">
        <w:t>We also tested the sensitivity of the CBA results to various other input parameters and assumptions as set out in table </w:t>
      </w:r>
      <w:fldSimple w:instr=" REF _Caption9269 ">
        <w:r w:rsidR="006E00A7">
          <w:rPr>
            <w:noProof/>
          </w:rPr>
          <w:t>7</w:t>
        </w:r>
        <w:r w:rsidR="006E00A7" w:rsidRPr="006F0F88">
          <w:rPr>
            <w:noProof/>
          </w:rPr>
          <w:t>.</w:t>
        </w:r>
        <w:r w:rsidR="006E00A7">
          <w:rPr>
            <w:noProof/>
          </w:rPr>
          <w:t>24</w:t>
        </w:r>
      </w:fldSimple>
      <w:r w:rsidRPr="0098044D">
        <w:t>.</w:t>
      </w:r>
    </w:p>
    <w:p w14:paraId="2B7210E1" w14:textId="29046A79" w:rsidR="006568C5" w:rsidRPr="006F0F88" w:rsidRDefault="006568C5" w:rsidP="006568C5">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7</w:instrText>
        </w:r>
      </w:fldSimple>
      <w:r w:rsidRPr="006F0F88">
        <w:instrText xml:space="preserve"> = 0 "" "</w:instrText>
      </w:r>
      <w:fldSimple w:instr=" STYLEREF &quot;Heading 1&quot; \l \n ">
        <w:r w:rsidR="00520F9E">
          <w:rPr>
            <w:noProof/>
          </w:rPr>
          <w:instrText>7</w:instrText>
        </w:r>
      </w:fldSimple>
      <w:r w:rsidRPr="006F0F88">
        <w:instrText xml:space="preserve">." </w:instrText>
      </w:r>
      <w:r w:rsidRPr="006F0F88">
        <w:fldChar w:fldCharType="separate"/>
      </w:r>
      <w:r w:rsidR="00520F9E">
        <w:rPr>
          <w:noProof/>
        </w:rPr>
        <w:instrText>7</w:instrText>
      </w:r>
      <w:r w:rsidR="00520F9E"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7</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7</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520F9E">
        <w:rPr>
          <w:noProof/>
        </w:rPr>
        <w:instrText>24</w:instrText>
      </w:r>
      <w:r w:rsidRPr="006F0F88">
        <w:fldChar w:fldCharType="end"/>
      </w:r>
      <w:r w:rsidRPr="006F0F88">
        <w:instrText xml:space="preserve">" "" </w:instrText>
      </w:r>
      <w:r w:rsidRPr="006F0F88">
        <w:fldChar w:fldCharType="separate"/>
      </w:r>
      <w:bookmarkStart w:id="4607" w:name="_Caption7497"/>
      <w:bookmarkStart w:id="4608" w:name="_Caption0862"/>
      <w:bookmarkStart w:id="4609" w:name="_Caption9639"/>
      <w:bookmarkStart w:id="4610" w:name="_Caption8012"/>
      <w:bookmarkStart w:id="4611" w:name="_Caption0168"/>
      <w:bookmarkStart w:id="4612" w:name="_Caption9498"/>
      <w:bookmarkStart w:id="4613" w:name="_Caption0731"/>
      <w:bookmarkStart w:id="4614" w:name="_Caption8239"/>
      <w:bookmarkStart w:id="4615" w:name="_Caption2809"/>
      <w:bookmarkStart w:id="4616" w:name="_Caption8938"/>
      <w:bookmarkStart w:id="4617" w:name="_Caption4413"/>
      <w:bookmarkStart w:id="4618" w:name="_Caption2330"/>
      <w:bookmarkStart w:id="4619" w:name="_Caption9139"/>
      <w:bookmarkStart w:id="4620" w:name="_Caption3078"/>
      <w:bookmarkStart w:id="4621" w:name="_Caption0705"/>
      <w:bookmarkStart w:id="4622" w:name="_Caption1067"/>
      <w:bookmarkStart w:id="4623" w:name="_Caption6165"/>
      <w:bookmarkStart w:id="4624" w:name="_Caption5808"/>
      <w:bookmarkStart w:id="4625" w:name="_Caption1945"/>
      <w:bookmarkStart w:id="4626" w:name="_Caption9135"/>
      <w:bookmarkStart w:id="4627" w:name="_Caption4141"/>
      <w:bookmarkStart w:id="4628" w:name="_Caption9737"/>
      <w:bookmarkStart w:id="4629" w:name="_Caption0276"/>
      <w:bookmarkStart w:id="4630" w:name="_Caption7078"/>
      <w:bookmarkStart w:id="4631" w:name="_Caption1867"/>
      <w:bookmarkStart w:id="4632" w:name="_Caption5651"/>
      <w:bookmarkStart w:id="4633" w:name="_Caption3433"/>
      <w:bookmarkStart w:id="4634" w:name="_Caption4890"/>
      <w:bookmarkStart w:id="4635" w:name="_Caption3193"/>
      <w:bookmarkStart w:id="4636" w:name="_Caption2508"/>
      <w:bookmarkStart w:id="4637" w:name="_Caption1732"/>
      <w:bookmarkStart w:id="4638" w:name="_Caption6225"/>
      <w:bookmarkStart w:id="4639" w:name="_Caption3659"/>
      <w:bookmarkStart w:id="4640" w:name="_Caption2896"/>
      <w:bookmarkStart w:id="4641" w:name="_Caption4719"/>
      <w:bookmarkStart w:id="4642" w:name="_Caption5818"/>
      <w:bookmarkStart w:id="4643" w:name="_Caption3711"/>
      <w:bookmarkStart w:id="4644" w:name="_Caption6412"/>
      <w:bookmarkStart w:id="4645" w:name="_Caption6984"/>
      <w:bookmarkStart w:id="4646" w:name="_Caption5121"/>
      <w:bookmarkStart w:id="4647" w:name="_Caption3317"/>
      <w:bookmarkStart w:id="4648" w:name="_Caption9744"/>
      <w:bookmarkStart w:id="4649" w:name="_Caption2414"/>
      <w:bookmarkStart w:id="4650" w:name="_Caption6408"/>
      <w:bookmarkStart w:id="4651" w:name="_Caption1676"/>
      <w:bookmarkStart w:id="4652" w:name="_Caption8027"/>
      <w:bookmarkStart w:id="4653" w:name="_Caption4683"/>
      <w:bookmarkStart w:id="4654" w:name="_Caption6216"/>
      <w:bookmarkStart w:id="4655" w:name="_Caption6227"/>
      <w:bookmarkStart w:id="4656" w:name="_Caption6541"/>
      <w:bookmarkStart w:id="4657" w:name="_Caption1709"/>
      <w:bookmarkStart w:id="4658" w:name="_Caption2089"/>
      <w:bookmarkStart w:id="4659" w:name="_Caption4746"/>
      <w:bookmarkStart w:id="4660" w:name="_Caption4196"/>
      <w:bookmarkStart w:id="4661" w:name="_Caption9055"/>
      <w:bookmarkStart w:id="4662" w:name="_Caption8676"/>
      <w:bookmarkStart w:id="4663" w:name="_Caption4310"/>
      <w:bookmarkStart w:id="4664" w:name="_Caption9153"/>
      <w:bookmarkStart w:id="4665" w:name="_Caption3803"/>
      <w:bookmarkStart w:id="4666" w:name="_Caption9317"/>
      <w:bookmarkStart w:id="4667" w:name="_Caption8111"/>
      <w:bookmarkStart w:id="4668" w:name="_Caption8376"/>
      <w:bookmarkStart w:id="4669" w:name="_Caption0903"/>
      <w:bookmarkStart w:id="4670" w:name="_Caption8967"/>
      <w:bookmarkStart w:id="4671" w:name="_Caption0108"/>
      <w:bookmarkStart w:id="4672" w:name="_Caption6950"/>
      <w:bookmarkStart w:id="4673" w:name="_Caption0861"/>
      <w:bookmarkStart w:id="4674" w:name="_Caption1115"/>
      <w:bookmarkStart w:id="4675" w:name="_Caption2222"/>
      <w:bookmarkStart w:id="4676" w:name="_Caption7860"/>
      <w:bookmarkStart w:id="4677" w:name="_Caption9348"/>
      <w:bookmarkStart w:id="4678" w:name="_Caption0591"/>
      <w:bookmarkStart w:id="4679" w:name="_Caption8552"/>
      <w:bookmarkStart w:id="4680" w:name="_Caption5714"/>
      <w:bookmarkStart w:id="4681" w:name="_Caption5161"/>
      <w:bookmarkStart w:id="4682" w:name="_Caption0096"/>
      <w:bookmarkStart w:id="4683" w:name="_Caption6827"/>
      <w:bookmarkStart w:id="4684" w:name="_Caption0436"/>
      <w:bookmarkStart w:id="4685" w:name="_Caption6483"/>
      <w:bookmarkStart w:id="4686" w:name="_Caption7023"/>
      <w:bookmarkStart w:id="4687" w:name="_Caption1979"/>
      <w:bookmarkStart w:id="4688" w:name="_Caption4160"/>
      <w:bookmarkStart w:id="4689" w:name="_Caption9642"/>
      <w:bookmarkStart w:id="4690" w:name="_Caption4932"/>
      <w:bookmarkStart w:id="4691" w:name="_Caption2550"/>
      <w:bookmarkStart w:id="4692" w:name="_Caption2992"/>
      <w:bookmarkStart w:id="4693" w:name="_Caption5097"/>
      <w:bookmarkStart w:id="4694" w:name="_Caption9269"/>
      <w:bookmarkStart w:id="4695" w:name="_Caption7193"/>
      <w:bookmarkStart w:id="4696" w:name="_Caption7320"/>
      <w:bookmarkStart w:id="4697" w:name="_Caption9834"/>
      <w:bookmarkStart w:id="4698" w:name="_Caption0838"/>
      <w:bookmarkStart w:id="4699" w:name="_Caption3444"/>
      <w:bookmarkStart w:id="4700" w:name="_Caption9423"/>
      <w:bookmarkStart w:id="4701" w:name="_Caption5706"/>
      <w:bookmarkStart w:id="4702" w:name="_Caption2625"/>
      <w:bookmarkStart w:id="4703" w:name="_Caption7407"/>
      <w:bookmarkStart w:id="4704" w:name="_Caption2277"/>
      <w:bookmarkStart w:id="4705" w:name="_Caption2075"/>
      <w:bookmarkStart w:id="4706" w:name="_Caption0187"/>
      <w:bookmarkStart w:id="4707" w:name="_Caption5014"/>
      <w:bookmarkStart w:id="4708" w:name="_Caption2041"/>
      <w:bookmarkStart w:id="4709" w:name="_Caption2139"/>
      <w:bookmarkStart w:id="4710" w:name="_Caption6560"/>
      <w:bookmarkStart w:id="4711" w:name="_Caption8821"/>
      <w:bookmarkStart w:id="4712" w:name="_Toc177735188"/>
      <w:bookmarkStart w:id="4713" w:name="_Toc178292623"/>
      <w:r w:rsidR="008C60A3">
        <w:rPr>
          <w:noProof/>
        </w:rPr>
        <w:t>7</w:t>
      </w:r>
      <w:r w:rsidR="008C60A3" w:rsidRPr="006F0F88">
        <w:rPr>
          <w:noProof/>
        </w:rPr>
        <w:t>.</w:t>
      </w:r>
      <w:r w:rsidR="008C60A3">
        <w:rPr>
          <w:noProof/>
        </w:rPr>
        <w:t>24</w:t>
      </w:r>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r w:rsidRPr="006F0F88">
        <w:fldChar w:fldCharType="end"/>
      </w:r>
      <w:r w:rsidRPr="006F0F88">
        <w:tab/>
        <w:t>Alternative assumptions for sensitivity testing</w:t>
      </w:r>
      <w:bookmarkEnd w:id="4712"/>
      <w:bookmarkEnd w:id="4713"/>
    </w:p>
    <w:tbl>
      <w:tblPr>
        <w:tblW w:w="7938" w:type="dxa"/>
        <w:tblLayout w:type="fixed"/>
        <w:tblLook w:val="0000" w:firstRow="0" w:lastRow="0" w:firstColumn="0" w:lastColumn="0" w:noHBand="0" w:noVBand="0"/>
        <w:tblCaption w:val="Table 6.16 - Alternative assumptions for sensitivity testing"/>
      </w:tblPr>
      <w:tblGrid>
        <w:gridCol w:w="2646"/>
        <w:gridCol w:w="2646"/>
        <w:gridCol w:w="2646"/>
      </w:tblGrid>
      <w:tr w:rsidR="00B97E93" w14:paraId="249AC402" w14:textId="77777777" w:rsidTr="00B97E93">
        <w:trPr>
          <w:tblHeader/>
        </w:trPr>
        <w:tc>
          <w:tcPr>
            <w:tcW w:w="1984" w:type="dxa"/>
            <w:tcBorders>
              <w:bottom w:val="single" w:sz="8" w:space="0" w:color="FFFFFF" w:themeColor="background1"/>
            </w:tcBorders>
            <w:shd w:val="clear" w:color="auto" w:fill="6F6652"/>
            <w:tcMar>
              <w:left w:w="57" w:type="dxa"/>
              <w:right w:w="57" w:type="dxa"/>
            </w:tcMar>
          </w:tcPr>
          <w:p w14:paraId="51FE415B" w14:textId="77777777" w:rsidR="00B97E93" w:rsidRDefault="00B97E93">
            <w:pPr>
              <w:pStyle w:val="TableTextColumnHeading"/>
              <w:rPr>
                <w:lang w:bidi="fa-IR"/>
              </w:rPr>
            </w:pPr>
            <w:r>
              <w:rPr>
                <w:lang w:bidi="fa-IR"/>
              </w:rPr>
              <w:t>Parameter/assumption</w:t>
            </w:r>
          </w:p>
        </w:tc>
        <w:tc>
          <w:tcPr>
            <w:tcW w:w="1984" w:type="dxa"/>
            <w:tcBorders>
              <w:bottom w:val="single" w:sz="8" w:space="0" w:color="FFFFFF" w:themeColor="background1"/>
            </w:tcBorders>
            <w:shd w:val="clear" w:color="auto" w:fill="6F6652"/>
            <w:tcMar>
              <w:left w:w="57" w:type="dxa"/>
              <w:right w:w="57" w:type="dxa"/>
            </w:tcMar>
          </w:tcPr>
          <w:p w14:paraId="221E340D" w14:textId="77777777" w:rsidR="00B97E93" w:rsidRPr="002F19F0" w:rsidRDefault="00B97E93" w:rsidP="002F19F0">
            <w:pPr>
              <w:pStyle w:val="TableTextColumnHeading"/>
            </w:pPr>
            <w:r w:rsidRPr="002F19F0">
              <w:t>Central case</w:t>
            </w:r>
          </w:p>
        </w:tc>
        <w:tc>
          <w:tcPr>
            <w:tcW w:w="1984" w:type="dxa"/>
            <w:tcBorders>
              <w:bottom w:val="single" w:sz="8" w:space="0" w:color="FFFFFF" w:themeColor="background1"/>
            </w:tcBorders>
            <w:shd w:val="clear" w:color="auto" w:fill="6F6652"/>
            <w:tcMar>
              <w:left w:w="57" w:type="dxa"/>
              <w:right w:w="57" w:type="dxa"/>
            </w:tcMar>
          </w:tcPr>
          <w:p w14:paraId="7BBF9117" w14:textId="77777777" w:rsidR="00B97E93" w:rsidRPr="002F19F0" w:rsidRDefault="00B97E93" w:rsidP="002F19F0">
            <w:pPr>
              <w:pStyle w:val="TableTextColumnHeading"/>
            </w:pPr>
            <w:r w:rsidRPr="002F19F0">
              <w:t>Alternative case(s)</w:t>
            </w:r>
          </w:p>
        </w:tc>
      </w:tr>
      <w:tr w:rsidR="00B97E93" w14:paraId="71DBC2B2" w14:textId="77777777" w:rsidTr="00B97E93">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05E5911" w14:textId="77777777" w:rsidR="00B97E93" w:rsidRDefault="00B97E93">
            <w:pPr>
              <w:pStyle w:val="TableTextEntries"/>
              <w:rPr>
                <w:lang w:bidi="fa-IR"/>
              </w:rPr>
            </w:pPr>
            <w:r>
              <w:rPr>
                <w:lang w:bidi="fa-IR"/>
              </w:rPr>
              <w:t>Regulatory period</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E8BC0F0" w14:textId="77777777" w:rsidR="00B97E93" w:rsidRPr="002F19F0" w:rsidRDefault="00B97E93" w:rsidP="002F19F0">
            <w:pPr>
              <w:pStyle w:val="TableTextEntries"/>
            </w:pPr>
            <w:r w:rsidRPr="002F19F0">
              <w:t>10 years (2025</w:t>
            </w:r>
            <w:r w:rsidRPr="002F19F0">
              <w:noBreakHyphen/>
              <w:t>2034)</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756FE8" w14:textId="77777777" w:rsidR="00B97E93" w:rsidRDefault="00B97E93" w:rsidP="002F19F0">
            <w:pPr>
              <w:pStyle w:val="TableTextEntries"/>
              <w:rPr>
                <w:lang w:bidi="fa-IR"/>
              </w:rPr>
            </w:pPr>
            <w:r>
              <w:rPr>
                <w:lang w:bidi="fa-IR"/>
              </w:rPr>
              <w:t>20 years</w:t>
            </w:r>
          </w:p>
        </w:tc>
      </w:tr>
      <w:tr w:rsidR="00B97E93" w14:paraId="5DA4CDEC" w14:textId="77777777" w:rsidTr="00B97E93">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C90F1E" w14:textId="77777777" w:rsidR="00B97E93" w:rsidRDefault="00B97E93">
            <w:pPr>
              <w:pStyle w:val="TableTextEntries"/>
              <w:rPr>
                <w:lang w:bidi="fa-IR"/>
              </w:rPr>
            </w:pPr>
            <w:r>
              <w:rPr>
                <w:lang w:bidi="fa-IR"/>
              </w:rPr>
              <w:t>Discount rate</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A55AD78" w14:textId="77777777" w:rsidR="00B97E93" w:rsidRPr="002F19F0" w:rsidRDefault="00B97E93" w:rsidP="002F19F0">
            <w:pPr>
              <w:pStyle w:val="TableTextEntries"/>
            </w:pPr>
            <w:r w:rsidRPr="002F19F0">
              <w:t>5 per cent</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EC9795" w14:textId="77777777" w:rsidR="00B97E93" w:rsidRDefault="00B97E93" w:rsidP="002F19F0">
            <w:pPr>
              <w:pStyle w:val="TableListBullet"/>
              <w:rPr>
                <w:lang w:bidi="fa-IR"/>
              </w:rPr>
            </w:pPr>
            <w:r>
              <w:rPr>
                <w:lang w:bidi="fa-IR"/>
              </w:rPr>
              <w:t>2 per cent</w:t>
            </w:r>
          </w:p>
          <w:p w14:paraId="267FF171" w14:textId="329F9D95" w:rsidR="00B97E93" w:rsidRDefault="00B97E93" w:rsidP="002F19F0">
            <w:pPr>
              <w:pStyle w:val="TableListBullet"/>
              <w:rPr>
                <w:lang w:bidi="fa-IR"/>
              </w:rPr>
            </w:pPr>
            <w:r>
              <w:rPr>
                <w:lang w:bidi="fa-IR"/>
              </w:rPr>
              <w:t>7 per cent</w:t>
            </w:r>
          </w:p>
        </w:tc>
      </w:tr>
      <w:tr w:rsidR="00B97E93" w14:paraId="27FB57E6" w14:textId="77777777" w:rsidTr="00B97E93">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7CC8C7" w14:textId="77777777" w:rsidR="00B97E93" w:rsidRDefault="00B97E93">
            <w:pPr>
              <w:pStyle w:val="TableTextEntries"/>
              <w:rPr>
                <w:lang w:bidi="fa-IR"/>
              </w:rPr>
            </w:pPr>
            <w:r>
              <w:rPr>
                <w:lang w:bidi="fa-IR"/>
              </w:rPr>
              <w:t>Building life</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2F3F4D" w14:textId="77777777" w:rsidR="00B97E93" w:rsidRPr="002F19F0" w:rsidRDefault="00B97E93" w:rsidP="002F19F0">
            <w:pPr>
              <w:pStyle w:val="TableTextEntries"/>
            </w:pPr>
            <w:r w:rsidRPr="002F19F0">
              <w:t>50 years</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D2C5F8" w14:textId="77777777" w:rsidR="00B97E93" w:rsidRDefault="00B97E93" w:rsidP="002F19F0">
            <w:pPr>
              <w:pStyle w:val="TableListBullet"/>
              <w:rPr>
                <w:lang w:bidi="fa-IR"/>
              </w:rPr>
            </w:pPr>
            <w:r>
              <w:rPr>
                <w:lang w:bidi="fa-IR"/>
              </w:rPr>
              <w:t>40 years</w:t>
            </w:r>
          </w:p>
          <w:p w14:paraId="4B9C51FA" w14:textId="379EE7BD" w:rsidR="00B97E93" w:rsidRDefault="00B97E93" w:rsidP="002F19F0">
            <w:pPr>
              <w:pStyle w:val="TableListBullet"/>
              <w:rPr>
                <w:lang w:bidi="fa-IR"/>
              </w:rPr>
            </w:pPr>
            <w:r>
              <w:rPr>
                <w:lang w:bidi="fa-IR"/>
              </w:rPr>
              <w:t>60 years</w:t>
            </w:r>
          </w:p>
        </w:tc>
      </w:tr>
      <w:tr w:rsidR="00B97E93" w14:paraId="2FBBD203" w14:textId="77777777" w:rsidTr="00B97E93">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67CBDF" w14:textId="77777777" w:rsidR="00B97E93" w:rsidRDefault="00B97E93">
            <w:pPr>
              <w:pStyle w:val="TableTextEntries"/>
              <w:rPr>
                <w:lang w:bidi="fa-IR"/>
              </w:rPr>
            </w:pPr>
            <w:r>
              <w:rPr>
                <w:lang w:bidi="fa-IR"/>
              </w:rPr>
              <w:t>Equipment life</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905287D" w14:textId="77777777" w:rsidR="00B97E93" w:rsidRPr="002F19F0" w:rsidRDefault="00B97E93" w:rsidP="002F19F0">
            <w:pPr>
              <w:pStyle w:val="TableTextEntries"/>
            </w:pPr>
            <w:r w:rsidRPr="002F19F0">
              <w:t>20 years</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EF34A1" w14:textId="77777777" w:rsidR="00B97E93" w:rsidRDefault="00B97E93" w:rsidP="002F19F0">
            <w:pPr>
              <w:pStyle w:val="TableListBullet"/>
              <w:rPr>
                <w:lang w:bidi="fa-IR"/>
              </w:rPr>
            </w:pPr>
            <w:r>
              <w:rPr>
                <w:lang w:bidi="fa-IR"/>
              </w:rPr>
              <w:t>15 years</w:t>
            </w:r>
          </w:p>
        </w:tc>
      </w:tr>
      <w:tr w:rsidR="00B97E93" w14:paraId="6BAF13A9" w14:textId="77777777" w:rsidTr="00B97E93">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3748D1D" w14:textId="77777777" w:rsidR="00B97E93" w:rsidRDefault="00B97E93">
            <w:pPr>
              <w:pStyle w:val="TableTextEntries"/>
              <w:rPr>
                <w:lang w:bidi="fa-IR"/>
              </w:rPr>
            </w:pPr>
            <w:r>
              <w:rPr>
                <w:lang w:bidi="fa-IR"/>
              </w:rPr>
              <w:t>Carbon value</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9566B13" w14:textId="77777777" w:rsidR="00B97E93" w:rsidRPr="002F19F0" w:rsidRDefault="00B97E93" w:rsidP="002F19F0">
            <w:pPr>
              <w:pStyle w:val="TableTextEntries"/>
            </w:pPr>
            <w:r w:rsidRPr="002F19F0">
              <w:t>SCC 2.0% discount rate</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4FE83F" w14:textId="77777777" w:rsidR="00B97E93" w:rsidRDefault="00B97E93" w:rsidP="002F19F0">
            <w:pPr>
              <w:pStyle w:val="TableListBullet"/>
              <w:rPr>
                <w:lang w:bidi="fa-IR"/>
              </w:rPr>
            </w:pPr>
            <w:r>
              <w:rPr>
                <w:lang w:bidi="fa-IR"/>
              </w:rPr>
              <w:t>SCC 1.5% discount rate</w:t>
            </w:r>
          </w:p>
          <w:p w14:paraId="666DECAF" w14:textId="77777777" w:rsidR="00B97E93" w:rsidRDefault="00B97E93" w:rsidP="002F19F0">
            <w:pPr>
              <w:pStyle w:val="TableListBullet"/>
              <w:rPr>
                <w:lang w:bidi="fa-IR"/>
              </w:rPr>
            </w:pPr>
            <w:r>
              <w:rPr>
                <w:lang w:bidi="fa-IR"/>
              </w:rPr>
              <w:t>SCC 2.5% discount rate</w:t>
            </w:r>
          </w:p>
          <w:p w14:paraId="6993827A" w14:textId="77777777" w:rsidR="00B97E93" w:rsidRDefault="00B97E93" w:rsidP="002F19F0">
            <w:pPr>
              <w:pStyle w:val="TableListBullet"/>
              <w:rPr>
                <w:lang w:bidi="fa-IR"/>
              </w:rPr>
            </w:pPr>
            <w:r>
              <w:rPr>
                <w:lang w:bidi="fa-IR"/>
              </w:rPr>
              <w:t>IA (low)</w:t>
            </w:r>
          </w:p>
          <w:p w14:paraId="32AA9DF3" w14:textId="77777777" w:rsidR="00B97E93" w:rsidRDefault="00B97E93" w:rsidP="002F19F0">
            <w:pPr>
              <w:pStyle w:val="TableListBullet"/>
              <w:rPr>
                <w:lang w:bidi="fa-IR"/>
              </w:rPr>
            </w:pPr>
            <w:r>
              <w:rPr>
                <w:lang w:bidi="fa-IR"/>
              </w:rPr>
              <w:t>IA (medium)</w:t>
            </w:r>
          </w:p>
          <w:p w14:paraId="43569410" w14:textId="2EA721F9" w:rsidR="00B97E93" w:rsidRDefault="00B97E93" w:rsidP="002F19F0">
            <w:pPr>
              <w:pStyle w:val="TableListBullet"/>
              <w:rPr>
                <w:lang w:bidi="fa-IR"/>
              </w:rPr>
            </w:pPr>
            <w:r>
              <w:rPr>
                <w:lang w:bidi="fa-IR"/>
              </w:rPr>
              <w:t>IA (high)</w:t>
            </w:r>
          </w:p>
        </w:tc>
      </w:tr>
      <w:tr w:rsidR="00B97E93" w14:paraId="38954925" w14:textId="77777777" w:rsidTr="00B97E93">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9636804" w14:textId="77777777" w:rsidR="00B97E93" w:rsidRDefault="00B97E93">
            <w:pPr>
              <w:pStyle w:val="TableTextEntries"/>
              <w:rPr>
                <w:lang w:bidi="fa-IR"/>
              </w:rPr>
            </w:pPr>
            <w:r>
              <w:rPr>
                <w:lang w:bidi="fa-IR"/>
              </w:rPr>
              <w:t>Avoided retail costs</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59A542A" w14:textId="77777777" w:rsidR="00B97E93" w:rsidRPr="002F19F0" w:rsidRDefault="00B97E93" w:rsidP="002F19F0">
            <w:pPr>
              <w:pStyle w:val="TableTextEntries"/>
            </w:pPr>
            <w:r w:rsidRPr="002F19F0">
              <w:t>15% (based on retail margin).</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C9BD30F" w14:textId="77777777" w:rsidR="00B97E93" w:rsidRDefault="00B97E93" w:rsidP="002F19F0">
            <w:pPr>
              <w:pStyle w:val="TableListBullet"/>
              <w:rPr>
                <w:lang w:bidi="fa-IR"/>
              </w:rPr>
            </w:pPr>
            <w:r>
              <w:rPr>
                <w:lang w:bidi="fa-IR"/>
              </w:rPr>
              <w:t>No avoided retail costs (all retail costs are fixed).</w:t>
            </w:r>
          </w:p>
        </w:tc>
      </w:tr>
      <w:tr w:rsidR="00B97E93" w14:paraId="3068F5E9" w14:textId="77777777" w:rsidTr="00B97E93">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99A5098" w14:textId="77777777" w:rsidR="00B97E93" w:rsidRDefault="00B97E93">
            <w:pPr>
              <w:pStyle w:val="TableTextEntries"/>
              <w:rPr>
                <w:lang w:bidi="fa-IR"/>
              </w:rPr>
            </w:pPr>
            <w:r>
              <w:rPr>
                <w:lang w:bidi="fa-IR"/>
              </w:rPr>
              <w:t>Share of relevant buildings choosing dual fuel offset option (Stringency Level 3)</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012C1B1" w14:textId="39A6C46A" w:rsidR="00B97E93" w:rsidRPr="002F19F0" w:rsidRDefault="00B97E93" w:rsidP="002F19F0">
            <w:pPr>
              <w:pStyle w:val="TableTextEntries"/>
            </w:pPr>
            <w:r w:rsidRPr="002F19F0">
              <w:t>10%</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2A39B4E" w14:textId="77777777" w:rsidR="00B97E93" w:rsidRDefault="00B97E93" w:rsidP="002F19F0">
            <w:pPr>
              <w:pStyle w:val="TableListBullet"/>
              <w:rPr>
                <w:lang w:bidi="fa-IR"/>
              </w:rPr>
            </w:pPr>
            <w:r>
              <w:rPr>
                <w:lang w:bidi="fa-IR"/>
              </w:rPr>
              <w:t>100%</w:t>
            </w:r>
          </w:p>
          <w:p w14:paraId="2A9D816A" w14:textId="28FC2BA1" w:rsidR="00B97E93" w:rsidRDefault="00B97E93" w:rsidP="002F19F0">
            <w:pPr>
              <w:pStyle w:val="TableListBullet"/>
              <w:rPr>
                <w:lang w:bidi="fa-IR"/>
              </w:rPr>
            </w:pPr>
            <w:r>
              <w:rPr>
                <w:lang w:bidi="fa-IR"/>
              </w:rPr>
              <w:t>100% with future electrification</w:t>
            </w:r>
          </w:p>
        </w:tc>
      </w:tr>
      <w:tr w:rsidR="00B97E93" w14:paraId="0C38BCB8" w14:textId="77777777" w:rsidTr="00B97E93">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5AEA903" w14:textId="77777777" w:rsidR="00B97E93" w:rsidRDefault="00B97E93">
            <w:pPr>
              <w:pStyle w:val="TableTextEntries"/>
              <w:rPr>
                <w:lang w:bidi="fa-IR"/>
              </w:rPr>
            </w:pPr>
            <w:r>
              <w:rPr>
                <w:lang w:bidi="fa-IR"/>
              </w:rPr>
              <w:t>Share of relevant buildings choosing ‘electrify now’ option (for Stringency Level 3)</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896A8DD" w14:textId="1051D135" w:rsidR="00B97E93" w:rsidRPr="002F19F0" w:rsidRDefault="00B97E93" w:rsidP="002F19F0">
            <w:pPr>
              <w:pStyle w:val="TableTextEntries"/>
            </w:pPr>
            <w:r w:rsidRPr="002F19F0">
              <w:t>90%</w:t>
            </w:r>
          </w:p>
        </w:tc>
        <w:tc>
          <w:tcPr>
            <w:tcW w:w="198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979F9C1" w14:textId="77777777" w:rsidR="00B97E93" w:rsidRDefault="00B97E93" w:rsidP="002F19F0">
            <w:pPr>
              <w:pStyle w:val="TableListBullet"/>
              <w:rPr>
                <w:lang w:bidi="fa-IR"/>
              </w:rPr>
            </w:pPr>
            <w:r>
              <w:rPr>
                <w:lang w:bidi="fa-IR"/>
              </w:rPr>
              <w:t>100%</w:t>
            </w:r>
          </w:p>
          <w:p w14:paraId="26D8F8C8" w14:textId="33F36EFA" w:rsidR="00B97E93" w:rsidRDefault="00B97E93" w:rsidP="002F19F0">
            <w:pPr>
              <w:pStyle w:val="TableListBullet"/>
              <w:rPr>
                <w:lang w:bidi="fa-IR"/>
              </w:rPr>
            </w:pPr>
            <w:r>
              <w:rPr>
                <w:lang w:bidi="fa-IR"/>
              </w:rPr>
              <w:t>100% with future electrification</w:t>
            </w:r>
          </w:p>
        </w:tc>
      </w:tr>
      <w:tr w:rsidR="00B97E93" w:rsidRPr="00492AD6" w14:paraId="5B2DC3AC" w14:textId="77777777" w:rsidTr="00B97E93">
        <w:tc>
          <w:tcPr>
            <w:tcW w:w="1984" w:type="dxa"/>
            <w:tcBorders>
              <w:top w:val="single" w:sz="8" w:space="0" w:color="FFFFFF" w:themeColor="background1"/>
              <w:bottom w:val="single" w:sz="6" w:space="0" w:color="6F6652"/>
            </w:tcBorders>
            <w:shd w:val="clear" w:color="auto" w:fill="E9E8E5" w:themeFill="background2"/>
            <w:tcMar>
              <w:left w:w="57" w:type="dxa"/>
              <w:right w:w="57" w:type="dxa"/>
            </w:tcMar>
          </w:tcPr>
          <w:p w14:paraId="77AC886D" w14:textId="77777777" w:rsidR="00B97E93" w:rsidRPr="00492AD6" w:rsidRDefault="00B97E93">
            <w:pPr>
              <w:pStyle w:val="TableTextEntries"/>
              <w:rPr>
                <w:lang w:bidi="fa-IR"/>
              </w:rPr>
            </w:pPr>
            <w:r w:rsidRPr="00492AD6">
              <w:rPr>
                <w:lang w:bidi="fa-IR"/>
              </w:rPr>
              <w:t>Learning rate</w:t>
            </w:r>
            <w:r w:rsidRPr="00492AD6">
              <w:rPr>
                <w:rStyle w:val="NoteLabel"/>
                <w:color w:val="auto"/>
              </w:rPr>
              <w:t>a</w:t>
            </w:r>
          </w:p>
        </w:tc>
        <w:tc>
          <w:tcPr>
            <w:tcW w:w="1984" w:type="dxa"/>
            <w:tcBorders>
              <w:top w:val="single" w:sz="8" w:space="0" w:color="FFFFFF" w:themeColor="background1"/>
              <w:bottom w:val="single" w:sz="6" w:space="0" w:color="6F6652"/>
            </w:tcBorders>
            <w:shd w:val="clear" w:color="auto" w:fill="E9E8E5" w:themeFill="background2"/>
            <w:tcMar>
              <w:left w:w="57" w:type="dxa"/>
              <w:right w:w="57" w:type="dxa"/>
            </w:tcMar>
          </w:tcPr>
          <w:p w14:paraId="30FAB688" w14:textId="77777777" w:rsidR="00B97E93" w:rsidRPr="002F19F0" w:rsidRDefault="00B97E93" w:rsidP="002F19F0">
            <w:pPr>
              <w:pStyle w:val="TableTextEntries"/>
            </w:pPr>
            <w:r w:rsidRPr="002F19F0">
              <w:t>No future learning rate</w:t>
            </w:r>
          </w:p>
        </w:tc>
        <w:tc>
          <w:tcPr>
            <w:tcW w:w="1984" w:type="dxa"/>
            <w:tcBorders>
              <w:top w:val="single" w:sz="8" w:space="0" w:color="FFFFFF" w:themeColor="background1"/>
              <w:bottom w:val="single" w:sz="6" w:space="0" w:color="6F6652"/>
            </w:tcBorders>
            <w:shd w:val="clear" w:color="auto" w:fill="E9E8E5" w:themeFill="background2"/>
            <w:tcMar>
              <w:left w:w="57" w:type="dxa"/>
              <w:right w:w="57" w:type="dxa"/>
            </w:tcMar>
          </w:tcPr>
          <w:p w14:paraId="7BBD4EA8" w14:textId="77777777" w:rsidR="00B97E93" w:rsidRDefault="00B97E93" w:rsidP="002F19F0">
            <w:pPr>
              <w:pStyle w:val="TableListBullet"/>
              <w:rPr>
                <w:lang w:bidi="fa-IR"/>
              </w:rPr>
            </w:pPr>
            <w:r w:rsidRPr="00492AD6">
              <w:rPr>
                <w:lang w:bidi="fa-IR"/>
              </w:rPr>
              <w:t>Future costs decrease by 20% over 10 years (1.8% per year)</w:t>
            </w:r>
          </w:p>
          <w:p w14:paraId="28E4BC46" w14:textId="77777777" w:rsidR="00B97E93" w:rsidRPr="00492AD6" w:rsidRDefault="00B97E93" w:rsidP="002F19F0">
            <w:pPr>
              <w:pStyle w:val="TableListBullet"/>
              <w:rPr>
                <w:lang w:bidi="fa-IR"/>
              </w:rPr>
            </w:pPr>
            <w:r w:rsidRPr="00492AD6">
              <w:rPr>
                <w:lang w:bidi="fa-IR"/>
              </w:rPr>
              <w:t>Future PV costs decrease by 10% over 10 years.</w:t>
            </w:r>
          </w:p>
          <w:p w14:paraId="1D395FD7" w14:textId="6A179CE6" w:rsidR="00B97E93" w:rsidRPr="00492AD6" w:rsidRDefault="00B97E93" w:rsidP="002F19F0">
            <w:pPr>
              <w:pStyle w:val="TableListBullet"/>
              <w:rPr>
                <w:lang w:bidi="fa-IR"/>
              </w:rPr>
            </w:pPr>
            <w:r w:rsidRPr="00492AD6">
              <w:rPr>
                <w:lang w:bidi="fa-IR"/>
              </w:rPr>
              <w:t>Applied as a reduction in plant costs of 5% over 10 years (0.5 per cent per year)</w:t>
            </w:r>
          </w:p>
        </w:tc>
      </w:tr>
    </w:tbl>
    <w:p w14:paraId="05B88C9B" w14:textId="77777777" w:rsidR="006568C5" w:rsidRPr="00492AD6" w:rsidRDefault="006568C5" w:rsidP="006568C5">
      <w:pPr>
        <w:pStyle w:val="Note"/>
      </w:pPr>
      <w:r w:rsidRPr="00492AD6">
        <w:rPr>
          <w:rStyle w:val="NoteLabel"/>
          <w:color w:val="auto"/>
        </w:rPr>
        <w:t>a</w:t>
      </w:r>
      <w:r w:rsidRPr="00492AD6">
        <w:t xml:space="preserve"> Based on advice from the paper by Hutley (2023).</w:t>
      </w:r>
    </w:p>
    <w:p w14:paraId="13F6D819" w14:textId="77777777" w:rsidR="006568C5" w:rsidRPr="00492AD6" w:rsidRDefault="006568C5" w:rsidP="006568C5">
      <w:pPr>
        <w:pStyle w:val="Source"/>
        <w:rPr>
          <w:lang w:bidi="fa-IR"/>
        </w:rPr>
      </w:pPr>
      <w:r w:rsidRPr="00492AD6">
        <w:rPr>
          <w:i/>
          <w:lang w:bidi="fa-IR"/>
        </w:rPr>
        <w:t>Source:</w:t>
      </w:r>
      <w:r w:rsidRPr="00492AD6">
        <w:rPr>
          <w:lang w:bidi="fa-IR"/>
        </w:rPr>
        <w:t xml:space="preserve"> CIE.</w:t>
      </w:r>
    </w:p>
    <w:p w14:paraId="7FCCFCFD" w14:textId="5CE69102" w:rsidR="006568C5" w:rsidRDefault="006568C5" w:rsidP="006568C5">
      <w:pPr>
        <w:pStyle w:val="BodyText"/>
        <w:rPr>
          <w:lang w:bidi="fa-IR"/>
        </w:rPr>
      </w:pPr>
      <w:r>
        <w:rPr>
          <w:lang w:bidi="fa-IR"/>
        </w:rPr>
        <w:t xml:space="preserve">The CBA results for each stringency under the alternative assumptions set out in </w:t>
      </w:r>
      <w:r w:rsidR="008C112A">
        <w:rPr>
          <w:lang w:bidi="fa-IR"/>
        </w:rPr>
        <w:t>table </w:t>
      </w:r>
      <w:fldSimple w:instr=" REF _Caption9269 ">
        <w:r w:rsidR="006E00A7">
          <w:rPr>
            <w:noProof/>
          </w:rPr>
          <w:t>7</w:t>
        </w:r>
        <w:r w:rsidR="006E00A7" w:rsidRPr="006F0F88">
          <w:rPr>
            <w:noProof/>
          </w:rPr>
          <w:t>.</w:t>
        </w:r>
        <w:r w:rsidR="006E00A7">
          <w:rPr>
            <w:noProof/>
          </w:rPr>
          <w:t>24</w:t>
        </w:r>
      </w:fldSimple>
      <w:r w:rsidR="00C43AA9">
        <w:rPr>
          <w:lang w:bidi="fa-IR"/>
        </w:rPr>
        <w:t xml:space="preserve"> </w:t>
      </w:r>
      <w:r>
        <w:rPr>
          <w:lang w:bidi="fa-IR"/>
        </w:rPr>
        <w:t xml:space="preserve">are summarised in </w:t>
      </w:r>
      <w:r w:rsidRPr="00173DCE">
        <w:rPr>
          <w:lang w:bidi="fa-IR"/>
        </w:rPr>
        <w:t>table </w:t>
      </w:r>
      <w:r w:rsidR="00173DCE">
        <w:rPr>
          <w:lang w:bidi="fa-IR"/>
        </w:rPr>
        <w:t>7.25</w:t>
      </w:r>
      <w:r>
        <w:rPr>
          <w:lang w:bidi="fa-IR"/>
        </w:rPr>
        <w:t>. Unless otherwise stated (i.e. explicitly varied to test the sensitivity of the results), the CBA results are expressed in net present value terms over the 50-year life of all buildings constructed over the 10</w:t>
      </w:r>
      <w:r>
        <w:rPr>
          <w:lang w:bidi="fa-IR"/>
        </w:rPr>
        <w:noBreakHyphen/>
        <w:t>year regulatory period from 2025 to 2034. The stringency with the highest net present value under each of the alternative assumptions are highlighted in blue.</w:t>
      </w:r>
    </w:p>
    <w:p w14:paraId="761261CE" w14:textId="5820AF0C" w:rsidR="006568C5" w:rsidRPr="006F0F88" w:rsidRDefault="006568C5" w:rsidP="006568C5">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7</w:instrText>
        </w:r>
      </w:fldSimple>
      <w:r w:rsidRPr="006F0F88">
        <w:instrText xml:space="preserve"> = 0 "" "</w:instrText>
      </w:r>
      <w:fldSimple w:instr=" STYLEREF &quot;Heading 1&quot; \l \n ">
        <w:r w:rsidR="00520F9E">
          <w:rPr>
            <w:noProof/>
          </w:rPr>
          <w:instrText>7</w:instrText>
        </w:r>
      </w:fldSimple>
      <w:r w:rsidRPr="006F0F88">
        <w:instrText xml:space="preserve">." </w:instrText>
      </w:r>
      <w:r w:rsidRPr="006F0F88">
        <w:fldChar w:fldCharType="separate"/>
      </w:r>
      <w:r w:rsidR="00520F9E">
        <w:rPr>
          <w:noProof/>
        </w:rPr>
        <w:instrText>7</w:instrText>
      </w:r>
      <w:r w:rsidR="00520F9E"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7</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7</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520F9E">
        <w:rPr>
          <w:noProof/>
        </w:rPr>
        <w:instrText>25</w:instrText>
      </w:r>
      <w:r w:rsidRPr="006F0F88">
        <w:fldChar w:fldCharType="end"/>
      </w:r>
      <w:r w:rsidRPr="006F0F88">
        <w:instrText xml:space="preserve">" "" </w:instrText>
      </w:r>
      <w:r w:rsidRPr="006F0F88">
        <w:fldChar w:fldCharType="separate"/>
      </w:r>
      <w:bookmarkStart w:id="4714" w:name="_Caption1625"/>
      <w:bookmarkStart w:id="4715" w:name="_Caption3016"/>
      <w:bookmarkStart w:id="4716" w:name="_Caption1374"/>
      <w:bookmarkStart w:id="4717" w:name="_Caption6491"/>
      <w:bookmarkStart w:id="4718" w:name="_Caption0942"/>
      <w:bookmarkStart w:id="4719" w:name="_Caption2489"/>
      <w:bookmarkStart w:id="4720" w:name="_Caption3508"/>
      <w:bookmarkStart w:id="4721" w:name="_Caption6917"/>
      <w:bookmarkStart w:id="4722" w:name="_Caption4986"/>
      <w:bookmarkStart w:id="4723" w:name="_Caption5767"/>
      <w:bookmarkStart w:id="4724" w:name="_Caption5784"/>
      <w:bookmarkStart w:id="4725" w:name="_Caption6643"/>
      <w:bookmarkStart w:id="4726" w:name="_Caption3559"/>
      <w:bookmarkStart w:id="4727" w:name="_Caption0180"/>
      <w:bookmarkStart w:id="4728" w:name="_Caption1225"/>
      <w:bookmarkStart w:id="4729" w:name="_Caption4820"/>
      <w:bookmarkStart w:id="4730" w:name="_Caption8275"/>
      <w:bookmarkStart w:id="4731" w:name="_Caption7984"/>
      <w:bookmarkStart w:id="4732" w:name="_Caption2675"/>
      <w:bookmarkStart w:id="4733" w:name="_Caption5223"/>
      <w:bookmarkStart w:id="4734" w:name="_Caption1298"/>
      <w:bookmarkStart w:id="4735" w:name="_Caption7433"/>
      <w:bookmarkStart w:id="4736" w:name="_Caption3207"/>
      <w:bookmarkStart w:id="4737" w:name="_Caption3406"/>
      <w:bookmarkStart w:id="4738" w:name="_Caption3886"/>
      <w:bookmarkStart w:id="4739" w:name="_Caption2860"/>
      <w:bookmarkStart w:id="4740" w:name="_Caption6291"/>
      <w:bookmarkStart w:id="4741" w:name="_Caption1519"/>
      <w:bookmarkStart w:id="4742" w:name="_Caption2848"/>
      <w:bookmarkStart w:id="4743" w:name="_Caption6663"/>
      <w:bookmarkStart w:id="4744" w:name="_Caption2805"/>
      <w:bookmarkStart w:id="4745" w:name="_Caption3919"/>
      <w:bookmarkStart w:id="4746" w:name="_Caption4514"/>
      <w:bookmarkStart w:id="4747" w:name="_Caption6704"/>
      <w:bookmarkStart w:id="4748" w:name="_Caption3352"/>
      <w:bookmarkStart w:id="4749" w:name="_Caption0633"/>
      <w:bookmarkStart w:id="4750" w:name="_Caption9980"/>
      <w:bookmarkStart w:id="4751" w:name="_Caption4331"/>
      <w:bookmarkStart w:id="4752" w:name="_Caption1362"/>
      <w:bookmarkStart w:id="4753" w:name="_Caption5374"/>
      <w:bookmarkStart w:id="4754" w:name="_Caption4646"/>
      <w:bookmarkStart w:id="4755" w:name="_Caption2884"/>
      <w:bookmarkStart w:id="4756" w:name="_Caption4750"/>
      <w:bookmarkStart w:id="4757" w:name="_Caption1634"/>
      <w:bookmarkStart w:id="4758" w:name="_Caption1388"/>
      <w:bookmarkStart w:id="4759" w:name="_Caption0295"/>
      <w:bookmarkStart w:id="4760" w:name="_Caption1529"/>
      <w:bookmarkStart w:id="4761" w:name="_Caption7056"/>
      <w:bookmarkStart w:id="4762" w:name="_Caption8962"/>
      <w:bookmarkStart w:id="4763" w:name="_Caption0912"/>
      <w:bookmarkStart w:id="4764" w:name="_Caption7154"/>
      <w:bookmarkStart w:id="4765" w:name="_Caption7875"/>
      <w:bookmarkStart w:id="4766" w:name="_Caption0033"/>
      <w:bookmarkStart w:id="4767" w:name="_Caption2027"/>
      <w:bookmarkStart w:id="4768" w:name="_Caption1265"/>
      <w:bookmarkStart w:id="4769" w:name="_Caption0594"/>
      <w:bookmarkStart w:id="4770" w:name="_Caption5065"/>
      <w:bookmarkStart w:id="4771" w:name="_Caption9982"/>
      <w:bookmarkStart w:id="4772" w:name="_Caption5405"/>
      <w:bookmarkStart w:id="4773" w:name="_Caption6369"/>
      <w:bookmarkStart w:id="4774" w:name="_Caption5175"/>
      <w:bookmarkStart w:id="4775" w:name="_Caption0233"/>
      <w:bookmarkStart w:id="4776" w:name="_Caption6193"/>
      <w:bookmarkStart w:id="4777" w:name="_Caption7230"/>
      <w:bookmarkStart w:id="4778" w:name="_Caption2426"/>
      <w:bookmarkStart w:id="4779" w:name="_Caption8833"/>
      <w:bookmarkStart w:id="4780" w:name="_Caption6446"/>
      <w:bookmarkStart w:id="4781" w:name="_Caption9992"/>
      <w:bookmarkStart w:id="4782" w:name="_Caption2961"/>
      <w:bookmarkStart w:id="4783" w:name="_Caption4863"/>
      <w:bookmarkStart w:id="4784" w:name="_Caption3532"/>
      <w:bookmarkStart w:id="4785" w:name="_Caption5804"/>
      <w:bookmarkStart w:id="4786" w:name="_Caption7742"/>
      <w:bookmarkStart w:id="4787" w:name="_Caption1319"/>
      <w:bookmarkStart w:id="4788" w:name="_Caption9618"/>
      <w:bookmarkStart w:id="4789" w:name="_Caption9288"/>
      <w:bookmarkStart w:id="4790" w:name="_Caption0459"/>
      <w:bookmarkStart w:id="4791" w:name="_Caption1489"/>
      <w:bookmarkStart w:id="4792" w:name="_Caption3954"/>
      <w:bookmarkStart w:id="4793" w:name="_Caption0535"/>
      <w:bookmarkStart w:id="4794" w:name="_Caption4332"/>
      <w:bookmarkStart w:id="4795" w:name="_Caption4111"/>
      <w:bookmarkStart w:id="4796" w:name="_Caption8335"/>
      <w:bookmarkStart w:id="4797" w:name="_Caption8993"/>
      <w:bookmarkStart w:id="4798" w:name="_Caption1278"/>
      <w:bookmarkStart w:id="4799" w:name="_Toc178292624"/>
      <w:r w:rsidR="008C60A3">
        <w:rPr>
          <w:noProof/>
        </w:rPr>
        <w:t>7</w:t>
      </w:r>
      <w:r w:rsidR="008C60A3" w:rsidRPr="006F0F88">
        <w:rPr>
          <w:noProof/>
        </w:rPr>
        <w:t>.</w:t>
      </w:r>
      <w:r w:rsidR="008C60A3">
        <w:rPr>
          <w:noProof/>
        </w:rPr>
        <w:t>25</w:t>
      </w:r>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r w:rsidRPr="006F0F88">
        <w:fldChar w:fldCharType="end"/>
      </w:r>
      <w:r w:rsidRPr="006F0F88">
        <w:tab/>
        <w:t xml:space="preserve">CBA results under different sensitivity assumptions — net present </w:t>
      </w:r>
      <w:bookmarkStart w:id="4800" w:name="_Toc177735189"/>
      <w:r w:rsidRPr="006F0F88">
        <w:t>value</w:t>
      </w:r>
      <w:bookmarkEnd w:id="4799"/>
      <w:bookmarkEnd w:id="4800"/>
    </w:p>
    <w:tbl>
      <w:tblPr>
        <w:tblW w:w="7938" w:type="dxa"/>
        <w:tblLayout w:type="fixed"/>
        <w:tblLook w:val="0000" w:firstRow="0" w:lastRow="0" w:firstColumn="0" w:lastColumn="0" w:noHBand="0" w:noVBand="0"/>
        <w:tblCaption w:val="Table 6.17 - CBA results under different sensitivity assumptions — net present value"/>
      </w:tblPr>
      <w:tblGrid>
        <w:gridCol w:w="4404"/>
        <w:gridCol w:w="1178"/>
        <w:gridCol w:w="1178"/>
        <w:gridCol w:w="1178"/>
      </w:tblGrid>
      <w:tr w:rsidR="006568C5" w14:paraId="0722019C" w14:textId="77777777">
        <w:trPr>
          <w:trHeight w:val="1110"/>
          <w:tblHeader/>
        </w:trPr>
        <w:tc>
          <w:tcPr>
            <w:tcW w:w="4404" w:type="dxa"/>
            <w:shd w:val="clear" w:color="auto" w:fill="6F6652"/>
            <w:tcMar>
              <w:left w:w="57" w:type="dxa"/>
              <w:right w:w="57" w:type="dxa"/>
            </w:tcMar>
          </w:tcPr>
          <w:p w14:paraId="3A3F0B41" w14:textId="77777777" w:rsidR="006568C5" w:rsidRDefault="006568C5">
            <w:pPr>
              <w:pStyle w:val="TableDataColumnHeading"/>
              <w:jc w:val="left"/>
            </w:pPr>
            <w:r>
              <w:t>Sensitivity scenario</w:t>
            </w:r>
          </w:p>
        </w:tc>
        <w:tc>
          <w:tcPr>
            <w:tcW w:w="1178" w:type="dxa"/>
            <w:shd w:val="clear" w:color="auto" w:fill="6F6652"/>
            <w:tcMar>
              <w:left w:w="57" w:type="dxa"/>
              <w:right w:w="57" w:type="dxa"/>
            </w:tcMar>
          </w:tcPr>
          <w:p w14:paraId="1F9F9A5A" w14:textId="77777777" w:rsidR="006568C5" w:rsidRDefault="006568C5">
            <w:pPr>
              <w:pStyle w:val="TableDataColumnHeading"/>
            </w:pPr>
            <w:r>
              <w:t>Stringency Level 1</w:t>
            </w:r>
          </w:p>
          <w:p w14:paraId="48F12B16" w14:textId="77777777" w:rsidR="006568C5" w:rsidRDefault="006568C5">
            <w:pPr>
              <w:pStyle w:val="TableDataColumnHeading"/>
            </w:pPr>
            <w:r>
              <w:t>$ million</w:t>
            </w:r>
          </w:p>
        </w:tc>
        <w:tc>
          <w:tcPr>
            <w:tcW w:w="1178" w:type="dxa"/>
            <w:shd w:val="clear" w:color="auto" w:fill="6F6652"/>
            <w:tcMar>
              <w:left w:w="57" w:type="dxa"/>
              <w:right w:w="57" w:type="dxa"/>
            </w:tcMar>
          </w:tcPr>
          <w:p w14:paraId="670ED444" w14:textId="77777777" w:rsidR="006568C5" w:rsidRDefault="006568C5">
            <w:pPr>
              <w:pStyle w:val="TableDataColumnHeading"/>
            </w:pPr>
            <w:r>
              <w:t>Stringency Level 2</w:t>
            </w:r>
          </w:p>
          <w:p w14:paraId="3EF21669" w14:textId="77777777" w:rsidR="006568C5" w:rsidRDefault="006568C5">
            <w:pPr>
              <w:pStyle w:val="TableDataColumnHeading"/>
            </w:pPr>
            <w:r>
              <w:t>$ million</w:t>
            </w:r>
          </w:p>
        </w:tc>
        <w:tc>
          <w:tcPr>
            <w:tcW w:w="1178" w:type="dxa"/>
            <w:shd w:val="clear" w:color="auto" w:fill="6F6652"/>
            <w:tcMar>
              <w:left w:w="57" w:type="dxa"/>
              <w:right w:w="57" w:type="dxa"/>
            </w:tcMar>
          </w:tcPr>
          <w:p w14:paraId="68528E96" w14:textId="77777777" w:rsidR="006568C5" w:rsidRDefault="006568C5">
            <w:pPr>
              <w:pStyle w:val="TableDataColumnHeading"/>
            </w:pPr>
            <w:r>
              <w:t>Stringency Level 3</w:t>
            </w:r>
          </w:p>
          <w:p w14:paraId="42350588" w14:textId="77777777" w:rsidR="006568C5" w:rsidRDefault="006568C5">
            <w:pPr>
              <w:pStyle w:val="TableDataColumnHeading"/>
            </w:pPr>
            <w:r>
              <w:t>$ million</w:t>
            </w:r>
          </w:p>
        </w:tc>
      </w:tr>
      <w:tr w:rsidR="007C6812" w14:paraId="21F8729E" w14:textId="77777777">
        <w:trPr>
          <w:trHeight w:val="245"/>
        </w:trPr>
        <w:tc>
          <w:tcPr>
            <w:tcW w:w="440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A470EC" w14:textId="77777777" w:rsidR="007C6812" w:rsidRDefault="007C6812" w:rsidP="007C6812">
            <w:pPr>
              <w:pStyle w:val="TableDataEntries"/>
              <w:jc w:val="left"/>
            </w:pPr>
            <w:r>
              <w:t>Central case</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58CF0DD" w14:textId="0B70CD5A" w:rsidR="007C6812" w:rsidRPr="005A3D0B" w:rsidRDefault="007C6812" w:rsidP="007C6812">
            <w:pPr>
              <w:pStyle w:val="TableDataEntries"/>
            </w:pPr>
            <w:r>
              <w:rPr>
                <w:szCs w:val="16"/>
              </w:rPr>
              <w:t>6 840</w:t>
            </w:r>
          </w:p>
        </w:tc>
        <w:tc>
          <w:tcPr>
            <w:tcW w:w="1178"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vAlign w:val="bottom"/>
          </w:tcPr>
          <w:p w14:paraId="4B01340A" w14:textId="0E1C3D97" w:rsidR="007C6812" w:rsidRPr="005A3D0B" w:rsidRDefault="007C6812" w:rsidP="007C6812">
            <w:pPr>
              <w:pStyle w:val="TableDataEntries"/>
            </w:pPr>
            <w:r>
              <w:rPr>
                <w:szCs w:val="16"/>
              </w:rPr>
              <w:t>10 061</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83630BD" w14:textId="576F6A00" w:rsidR="007C6812" w:rsidRPr="005A3D0B" w:rsidRDefault="007C6812" w:rsidP="007C6812">
            <w:pPr>
              <w:pStyle w:val="TableDataEntries"/>
            </w:pPr>
            <w:r>
              <w:rPr>
                <w:szCs w:val="16"/>
              </w:rPr>
              <w:t>9 388</w:t>
            </w:r>
          </w:p>
        </w:tc>
      </w:tr>
      <w:tr w:rsidR="007C6812" w14:paraId="2B26BECE" w14:textId="77777777">
        <w:trPr>
          <w:trHeight w:val="245"/>
        </w:trPr>
        <w:tc>
          <w:tcPr>
            <w:tcW w:w="440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351D477" w14:textId="77777777" w:rsidR="007C6812" w:rsidRDefault="007C6812" w:rsidP="007C6812">
            <w:pPr>
              <w:pStyle w:val="TableDataEntries"/>
              <w:jc w:val="left"/>
            </w:pPr>
            <w:r>
              <w:t>Regulatory period (20 years)</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550B47F" w14:textId="536B508A" w:rsidR="007C6812" w:rsidRPr="005A3D0B" w:rsidRDefault="007C6812" w:rsidP="007C6812">
            <w:pPr>
              <w:pStyle w:val="TableDataEntries"/>
            </w:pPr>
            <w:r>
              <w:rPr>
                <w:szCs w:val="16"/>
              </w:rPr>
              <w:t>10 622</w:t>
            </w:r>
          </w:p>
        </w:tc>
        <w:tc>
          <w:tcPr>
            <w:tcW w:w="1178"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vAlign w:val="bottom"/>
          </w:tcPr>
          <w:p w14:paraId="042928C2" w14:textId="5D09171B" w:rsidR="007C6812" w:rsidRPr="005A3D0B" w:rsidRDefault="007C6812" w:rsidP="007C6812">
            <w:pPr>
              <w:pStyle w:val="TableDataEntries"/>
            </w:pPr>
            <w:r>
              <w:rPr>
                <w:szCs w:val="16"/>
              </w:rPr>
              <w:t>15 399</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A0D4BEE" w14:textId="54236047" w:rsidR="007C6812" w:rsidRPr="005A3D0B" w:rsidRDefault="007C6812" w:rsidP="007C6812">
            <w:pPr>
              <w:pStyle w:val="TableDataEntries"/>
            </w:pPr>
            <w:r>
              <w:rPr>
                <w:szCs w:val="16"/>
              </w:rPr>
              <w:t>14 428</w:t>
            </w:r>
          </w:p>
        </w:tc>
      </w:tr>
      <w:tr w:rsidR="007C6812" w14:paraId="1B09A0E8" w14:textId="77777777">
        <w:trPr>
          <w:trHeight w:val="245"/>
        </w:trPr>
        <w:tc>
          <w:tcPr>
            <w:tcW w:w="440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72BA68" w14:textId="77777777" w:rsidR="007C6812" w:rsidRDefault="007C6812" w:rsidP="007C6812">
            <w:pPr>
              <w:pStyle w:val="TableDataEntries"/>
              <w:jc w:val="left"/>
            </w:pPr>
            <w:r>
              <w:t>Discount rate (2 per cent)</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465EBE4" w14:textId="4B6B5904" w:rsidR="007C6812" w:rsidRPr="005A3D0B" w:rsidRDefault="007C6812" w:rsidP="007C6812">
            <w:pPr>
              <w:pStyle w:val="TableDataEntries"/>
            </w:pPr>
            <w:r>
              <w:rPr>
                <w:szCs w:val="16"/>
              </w:rPr>
              <w:t>12 227</w:t>
            </w:r>
          </w:p>
        </w:tc>
        <w:tc>
          <w:tcPr>
            <w:tcW w:w="1178"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vAlign w:val="bottom"/>
          </w:tcPr>
          <w:p w14:paraId="451767F0" w14:textId="50241339" w:rsidR="007C6812" w:rsidRPr="005A3D0B" w:rsidRDefault="007C6812" w:rsidP="007C6812">
            <w:pPr>
              <w:pStyle w:val="TableDataEntries"/>
            </w:pPr>
            <w:r>
              <w:rPr>
                <w:szCs w:val="16"/>
              </w:rPr>
              <w:t>18 810</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DFB416C" w14:textId="3E23D30A" w:rsidR="007C6812" w:rsidRPr="005A3D0B" w:rsidRDefault="007C6812" w:rsidP="007C6812">
            <w:pPr>
              <w:pStyle w:val="TableDataEntries"/>
            </w:pPr>
            <w:r>
              <w:rPr>
                <w:szCs w:val="16"/>
              </w:rPr>
              <w:t>18 268</w:t>
            </w:r>
          </w:p>
        </w:tc>
      </w:tr>
      <w:tr w:rsidR="007C6812" w14:paraId="2B9AA00D" w14:textId="77777777">
        <w:trPr>
          <w:trHeight w:val="245"/>
        </w:trPr>
        <w:tc>
          <w:tcPr>
            <w:tcW w:w="440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B6EA17F" w14:textId="77777777" w:rsidR="007C6812" w:rsidRDefault="007C6812" w:rsidP="007C6812">
            <w:pPr>
              <w:pStyle w:val="TableDataEntries"/>
              <w:jc w:val="left"/>
            </w:pPr>
            <w:r>
              <w:t>Discount rate (7 per cent)</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E366E56" w14:textId="19193906" w:rsidR="007C6812" w:rsidRPr="005A3D0B" w:rsidRDefault="007C6812" w:rsidP="007C6812">
            <w:pPr>
              <w:pStyle w:val="TableDataEntries"/>
            </w:pPr>
            <w:r>
              <w:rPr>
                <w:szCs w:val="16"/>
              </w:rPr>
              <w:t>5 079</w:t>
            </w:r>
          </w:p>
        </w:tc>
        <w:tc>
          <w:tcPr>
            <w:tcW w:w="1178"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vAlign w:val="bottom"/>
          </w:tcPr>
          <w:p w14:paraId="4933B3FB" w14:textId="516CB526" w:rsidR="007C6812" w:rsidRPr="005A3D0B" w:rsidRDefault="007C6812" w:rsidP="007C6812">
            <w:pPr>
              <w:pStyle w:val="TableDataEntries"/>
            </w:pPr>
            <w:r>
              <w:rPr>
                <w:szCs w:val="16"/>
              </w:rPr>
              <w:t>7 250</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F8C7CBF" w14:textId="3A397637" w:rsidR="007C6812" w:rsidRPr="005A3D0B" w:rsidRDefault="007C6812" w:rsidP="007C6812">
            <w:pPr>
              <w:pStyle w:val="TableDataEntries"/>
            </w:pPr>
            <w:r>
              <w:rPr>
                <w:szCs w:val="16"/>
              </w:rPr>
              <w:t>6 579</w:t>
            </w:r>
          </w:p>
        </w:tc>
      </w:tr>
      <w:tr w:rsidR="007C6812" w14:paraId="3BAD7435" w14:textId="77777777">
        <w:trPr>
          <w:trHeight w:val="245"/>
        </w:trPr>
        <w:tc>
          <w:tcPr>
            <w:tcW w:w="440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5FAE571" w14:textId="77777777" w:rsidR="007C6812" w:rsidRDefault="007C6812" w:rsidP="007C6812">
            <w:pPr>
              <w:pStyle w:val="TableDataEntries"/>
              <w:jc w:val="left"/>
            </w:pPr>
            <w:r>
              <w:t>Building life (40 years)</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5410E45" w14:textId="14D18C31" w:rsidR="007C6812" w:rsidRPr="005A3D0B" w:rsidRDefault="007C6812" w:rsidP="007C6812">
            <w:pPr>
              <w:pStyle w:val="TableDataEntries"/>
            </w:pPr>
            <w:r>
              <w:rPr>
                <w:szCs w:val="16"/>
              </w:rPr>
              <w:t>6 501</w:t>
            </w:r>
          </w:p>
        </w:tc>
        <w:tc>
          <w:tcPr>
            <w:tcW w:w="1178"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vAlign w:val="bottom"/>
          </w:tcPr>
          <w:p w14:paraId="0BCD4E54" w14:textId="6C713A20" w:rsidR="007C6812" w:rsidRPr="005A3D0B" w:rsidRDefault="007C6812" w:rsidP="007C6812">
            <w:pPr>
              <w:pStyle w:val="TableDataEntries"/>
            </w:pPr>
            <w:r>
              <w:rPr>
                <w:szCs w:val="16"/>
              </w:rPr>
              <w:t>9 563</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E429726" w14:textId="414A41A6" w:rsidR="007C6812" w:rsidRPr="005A3D0B" w:rsidRDefault="007C6812" w:rsidP="007C6812">
            <w:pPr>
              <w:pStyle w:val="TableDataEntries"/>
            </w:pPr>
            <w:r>
              <w:rPr>
                <w:szCs w:val="16"/>
              </w:rPr>
              <w:t>8 885</w:t>
            </w:r>
          </w:p>
        </w:tc>
      </w:tr>
      <w:tr w:rsidR="007C6812" w14:paraId="4DBB55B2" w14:textId="77777777">
        <w:trPr>
          <w:trHeight w:val="245"/>
        </w:trPr>
        <w:tc>
          <w:tcPr>
            <w:tcW w:w="440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4FE236" w14:textId="77777777" w:rsidR="007C6812" w:rsidRDefault="007C6812" w:rsidP="007C6812">
            <w:pPr>
              <w:pStyle w:val="TableDataEntries"/>
              <w:jc w:val="left"/>
            </w:pPr>
            <w:r>
              <w:t>Building life (60 years)</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BA5D3A2" w14:textId="16CAD7EF" w:rsidR="007C6812" w:rsidRPr="005A3D0B" w:rsidRDefault="007C6812" w:rsidP="007C6812">
            <w:pPr>
              <w:pStyle w:val="TableDataEntries"/>
            </w:pPr>
            <w:r>
              <w:rPr>
                <w:szCs w:val="16"/>
              </w:rPr>
              <w:t>7 049</w:t>
            </w:r>
          </w:p>
        </w:tc>
        <w:tc>
          <w:tcPr>
            <w:tcW w:w="1178"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vAlign w:val="bottom"/>
          </w:tcPr>
          <w:p w14:paraId="23B4D987" w14:textId="41BAD733" w:rsidR="007C6812" w:rsidRPr="005A3D0B" w:rsidRDefault="007C6812" w:rsidP="007C6812">
            <w:pPr>
              <w:pStyle w:val="TableDataEntries"/>
            </w:pPr>
            <w:r>
              <w:rPr>
                <w:szCs w:val="16"/>
              </w:rPr>
              <w:t>10 368</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C09C444" w14:textId="2722A74D" w:rsidR="007C6812" w:rsidRPr="005A3D0B" w:rsidRDefault="007C6812" w:rsidP="007C6812">
            <w:pPr>
              <w:pStyle w:val="TableDataEntries"/>
            </w:pPr>
            <w:r>
              <w:rPr>
                <w:szCs w:val="16"/>
              </w:rPr>
              <w:t>9 702</w:t>
            </w:r>
          </w:p>
        </w:tc>
      </w:tr>
      <w:tr w:rsidR="007C6812" w14:paraId="068BB1C8" w14:textId="77777777">
        <w:trPr>
          <w:trHeight w:val="245"/>
        </w:trPr>
        <w:tc>
          <w:tcPr>
            <w:tcW w:w="440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D36435" w14:textId="77777777" w:rsidR="007C6812" w:rsidRDefault="007C6812" w:rsidP="007C6812">
            <w:pPr>
              <w:pStyle w:val="TableDataEntries"/>
              <w:jc w:val="left"/>
            </w:pPr>
            <w:r>
              <w:t>Equipment life (15 years)</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6B8173A" w14:textId="24660209" w:rsidR="007C6812" w:rsidRPr="005A3D0B" w:rsidRDefault="007C6812" w:rsidP="007C6812">
            <w:pPr>
              <w:pStyle w:val="TableDataEntries"/>
            </w:pPr>
            <w:r>
              <w:rPr>
                <w:szCs w:val="16"/>
              </w:rPr>
              <w:t>6 759</w:t>
            </w:r>
          </w:p>
        </w:tc>
        <w:tc>
          <w:tcPr>
            <w:tcW w:w="1178"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vAlign w:val="bottom"/>
          </w:tcPr>
          <w:p w14:paraId="2F5FDAF9" w14:textId="6791B410" w:rsidR="007C6812" w:rsidRPr="005A3D0B" w:rsidRDefault="007C6812" w:rsidP="007C6812">
            <w:pPr>
              <w:pStyle w:val="TableDataEntries"/>
            </w:pPr>
            <w:r>
              <w:rPr>
                <w:szCs w:val="16"/>
              </w:rPr>
              <w:t>9 523</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B604034" w14:textId="7A5C91AE" w:rsidR="007C6812" w:rsidRPr="005A3D0B" w:rsidRDefault="007C6812" w:rsidP="007C6812">
            <w:pPr>
              <w:pStyle w:val="TableDataEntries"/>
            </w:pPr>
            <w:r>
              <w:rPr>
                <w:szCs w:val="16"/>
              </w:rPr>
              <w:t>8 717</w:t>
            </w:r>
          </w:p>
        </w:tc>
      </w:tr>
      <w:tr w:rsidR="007C6812" w14:paraId="4B5051BF" w14:textId="77777777">
        <w:trPr>
          <w:trHeight w:val="245"/>
        </w:trPr>
        <w:tc>
          <w:tcPr>
            <w:tcW w:w="440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830038C" w14:textId="77777777" w:rsidR="007C6812" w:rsidRDefault="007C6812" w:rsidP="007C6812">
            <w:pPr>
              <w:pStyle w:val="TableDataEntries"/>
              <w:jc w:val="left"/>
            </w:pPr>
            <w:r>
              <w:t>Social cost of carbon (1.5%)</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504ED0D" w14:textId="6A62BF14" w:rsidR="007C6812" w:rsidRPr="005A3D0B" w:rsidRDefault="007C6812" w:rsidP="007C6812">
            <w:pPr>
              <w:pStyle w:val="TableDataEntries"/>
            </w:pPr>
            <w:r>
              <w:rPr>
                <w:szCs w:val="16"/>
              </w:rPr>
              <w:t>7 631</w:t>
            </w:r>
          </w:p>
        </w:tc>
        <w:tc>
          <w:tcPr>
            <w:tcW w:w="1178"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vAlign w:val="bottom"/>
          </w:tcPr>
          <w:p w14:paraId="4906C15F" w14:textId="3AF81972" w:rsidR="007C6812" w:rsidRPr="005A3D0B" w:rsidRDefault="007C6812" w:rsidP="007C6812">
            <w:pPr>
              <w:pStyle w:val="TableDataEntries"/>
            </w:pPr>
            <w:r>
              <w:rPr>
                <w:szCs w:val="16"/>
              </w:rPr>
              <w:t>11 783</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3353573" w14:textId="5C2687E9" w:rsidR="007C6812" w:rsidRPr="005A3D0B" w:rsidRDefault="007C6812" w:rsidP="007C6812">
            <w:pPr>
              <w:pStyle w:val="TableDataEntries"/>
            </w:pPr>
            <w:r>
              <w:rPr>
                <w:szCs w:val="16"/>
              </w:rPr>
              <w:t>11 549</w:t>
            </w:r>
          </w:p>
        </w:tc>
      </w:tr>
      <w:tr w:rsidR="007C6812" w14:paraId="31C8103B" w14:textId="77777777">
        <w:trPr>
          <w:trHeight w:val="245"/>
        </w:trPr>
        <w:tc>
          <w:tcPr>
            <w:tcW w:w="440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35CE57A" w14:textId="77777777" w:rsidR="007C6812" w:rsidRDefault="007C6812" w:rsidP="007C6812">
            <w:pPr>
              <w:pStyle w:val="TableDataEntries"/>
              <w:jc w:val="left"/>
            </w:pPr>
            <w:r>
              <w:t>Social cost of carbon (2.5%)</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DDC5208" w14:textId="652ED666" w:rsidR="007C6812" w:rsidRPr="005A3D0B" w:rsidRDefault="007C6812" w:rsidP="007C6812">
            <w:pPr>
              <w:pStyle w:val="TableDataEntries"/>
            </w:pPr>
            <w:r>
              <w:rPr>
                <w:szCs w:val="16"/>
              </w:rPr>
              <w:t>6 371</w:t>
            </w:r>
          </w:p>
        </w:tc>
        <w:tc>
          <w:tcPr>
            <w:tcW w:w="1178"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vAlign w:val="bottom"/>
          </w:tcPr>
          <w:p w14:paraId="0843FF83" w14:textId="5608AB62" w:rsidR="007C6812" w:rsidRPr="005A3D0B" w:rsidRDefault="007C6812" w:rsidP="007C6812">
            <w:pPr>
              <w:pStyle w:val="TableDataEntries"/>
            </w:pPr>
            <w:r>
              <w:rPr>
                <w:szCs w:val="16"/>
              </w:rPr>
              <w:t>9 041</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3ADE8C8" w14:textId="1A5998BE" w:rsidR="007C6812" w:rsidRPr="005A3D0B" w:rsidRDefault="007C6812" w:rsidP="007C6812">
            <w:pPr>
              <w:pStyle w:val="TableDataEntries"/>
            </w:pPr>
            <w:r>
              <w:rPr>
                <w:szCs w:val="16"/>
              </w:rPr>
              <w:t>8 081</w:t>
            </w:r>
          </w:p>
        </w:tc>
      </w:tr>
      <w:tr w:rsidR="007C6812" w14:paraId="69BB73F4" w14:textId="77777777">
        <w:trPr>
          <w:trHeight w:val="245"/>
        </w:trPr>
        <w:tc>
          <w:tcPr>
            <w:tcW w:w="440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150E9F7" w14:textId="6AA248CB" w:rsidR="007C6812" w:rsidRDefault="007C6812" w:rsidP="007C6812">
            <w:pPr>
              <w:pStyle w:val="TableDataEntries"/>
              <w:jc w:val="left"/>
            </w:pPr>
            <w:r>
              <w:t>IA Low carbon value</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82C7516" w14:textId="6D7F73DF" w:rsidR="007C6812" w:rsidRPr="005A3D0B" w:rsidRDefault="007C6812" w:rsidP="007C6812">
            <w:pPr>
              <w:pStyle w:val="TableDataEntries"/>
            </w:pPr>
            <w:r>
              <w:rPr>
                <w:szCs w:val="16"/>
              </w:rPr>
              <w:t>6 093</w:t>
            </w:r>
          </w:p>
        </w:tc>
        <w:tc>
          <w:tcPr>
            <w:tcW w:w="1178"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vAlign w:val="bottom"/>
          </w:tcPr>
          <w:p w14:paraId="2C9483FE" w14:textId="37CFF326" w:rsidR="007C6812" w:rsidRPr="005A3D0B" w:rsidRDefault="007C6812" w:rsidP="007C6812">
            <w:pPr>
              <w:pStyle w:val="TableDataEntries"/>
            </w:pPr>
            <w:r>
              <w:rPr>
                <w:szCs w:val="16"/>
              </w:rPr>
              <w:t>8 432</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58986730" w14:textId="569A0CBA" w:rsidR="007C6812" w:rsidRPr="005A3D0B" w:rsidRDefault="007C6812" w:rsidP="007C6812">
            <w:pPr>
              <w:pStyle w:val="TableDataEntries"/>
            </w:pPr>
            <w:r>
              <w:rPr>
                <w:szCs w:val="16"/>
              </w:rPr>
              <w:t>7 385</w:t>
            </w:r>
          </w:p>
        </w:tc>
      </w:tr>
      <w:tr w:rsidR="007C6812" w14:paraId="69A9F265" w14:textId="77777777">
        <w:trPr>
          <w:trHeight w:val="245"/>
        </w:trPr>
        <w:tc>
          <w:tcPr>
            <w:tcW w:w="440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3237D86" w14:textId="77777777" w:rsidR="007C6812" w:rsidRDefault="007C6812" w:rsidP="007C6812">
            <w:pPr>
              <w:pStyle w:val="TableDataEntries"/>
              <w:jc w:val="left"/>
            </w:pPr>
            <w:r>
              <w:t>IA Medium carbon value</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3937291" w14:textId="679AA2D4" w:rsidR="007C6812" w:rsidRPr="005A3D0B" w:rsidRDefault="007C6812" w:rsidP="007C6812">
            <w:pPr>
              <w:pStyle w:val="TableDataEntries"/>
            </w:pPr>
            <w:r>
              <w:rPr>
                <w:szCs w:val="16"/>
              </w:rPr>
              <w:t>6 268</w:t>
            </w:r>
          </w:p>
        </w:tc>
        <w:tc>
          <w:tcPr>
            <w:tcW w:w="1178"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vAlign w:val="bottom"/>
          </w:tcPr>
          <w:p w14:paraId="2A9F0C4E" w14:textId="7F691B36" w:rsidR="007C6812" w:rsidRPr="005A3D0B" w:rsidRDefault="007C6812" w:rsidP="007C6812">
            <w:pPr>
              <w:pStyle w:val="TableDataEntries"/>
            </w:pPr>
            <w:r>
              <w:rPr>
                <w:szCs w:val="16"/>
              </w:rPr>
              <w:t>8 810</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2A7C7D5" w14:textId="337A9FD1" w:rsidR="007C6812" w:rsidRPr="005A3D0B" w:rsidRDefault="007C6812" w:rsidP="007C6812">
            <w:pPr>
              <w:pStyle w:val="TableDataEntries"/>
            </w:pPr>
            <w:r>
              <w:rPr>
                <w:szCs w:val="16"/>
              </w:rPr>
              <w:t>7 891</w:t>
            </w:r>
          </w:p>
        </w:tc>
      </w:tr>
      <w:tr w:rsidR="007C6812" w14:paraId="1D71B87C" w14:textId="77777777">
        <w:trPr>
          <w:trHeight w:val="245"/>
        </w:trPr>
        <w:tc>
          <w:tcPr>
            <w:tcW w:w="440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130D69A" w14:textId="7EA7A24E" w:rsidR="007C6812" w:rsidRDefault="007C6812" w:rsidP="007C6812">
            <w:pPr>
              <w:pStyle w:val="TableDataEntries"/>
              <w:jc w:val="left"/>
            </w:pPr>
            <w:r>
              <w:t>IA High carbon value</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9A5B561" w14:textId="47A5EA4F" w:rsidR="007C6812" w:rsidRPr="005A3D0B" w:rsidRDefault="007C6812" w:rsidP="007C6812">
            <w:pPr>
              <w:pStyle w:val="TableDataEntries"/>
            </w:pPr>
            <w:r>
              <w:rPr>
                <w:szCs w:val="16"/>
              </w:rPr>
              <w:t>6 417</w:t>
            </w:r>
          </w:p>
        </w:tc>
        <w:tc>
          <w:tcPr>
            <w:tcW w:w="1178"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vAlign w:val="bottom"/>
          </w:tcPr>
          <w:p w14:paraId="352BFF23" w14:textId="73B01940" w:rsidR="007C6812" w:rsidRPr="005A3D0B" w:rsidRDefault="007C6812" w:rsidP="007C6812">
            <w:pPr>
              <w:pStyle w:val="TableDataEntries"/>
            </w:pPr>
            <w:r>
              <w:rPr>
                <w:szCs w:val="16"/>
              </w:rPr>
              <w:t>9 134</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3E7C4B1" w14:textId="198FC5EA" w:rsidR="007C6812" w:rsidRPr="005A3D0B" w:rsidRDefault="007C6812" w:rsidP="007C6812">
            <w:pPr>
              <w:pStyle w:val="TableDataEntries"/>
            </w:pPr>
            <w:r>
              <w:rPr>
                <w:szCs w:val="16"/>
              </w:rPr>
              <w:t>8 332</w:t>
            </w:r>
          </w:p>
        </w:tc>
      </w:tr>
      <w:tr w:rsidR="007C6812" w14:paraId="42CA1416" w14:textId="77777777">
        <w:trPr>
          <w:trHeight w:val="245"/>
        </w:trPr>
        <w:tc>
          <w:tcPr>
            <w:tcW w:w="440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7C4F97D" w14:textId="77777777" w:rsidR="007C6812" w:rsidRDefault="007C6812" w:rsidP="007C6812">
            <w:pPr>
              <w:pStyle w:val="TableDataEntries"/>
              <w:jc w:val="left"/>
            </w:pPr>
            <w:r>
              <w:t>Avoided retail costs (no avoided retail costs)</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AA4005C" w14:textId="1D6474AE" w:rsidR="007C6812" w:rsidRPr="005A3D0B" w:rsidRDefault="007C6812" w:rsidP="007C6812">
            <w:pPr>
              <w:pStyle w:val="TableDataEntries"/>
            </w:pPr>
            <w:r>
              <w:rPr>
                <w:szCs w:val="16"/>
              </w:rPr>
              <w:t>6 158</w:t>
            </w:r>
          </w:p>
        </w:tc>
        <w:tc>
          <w:tcPr>
            <w:tcW w:w="1178"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vAlign w:val="bottom"/>
          </w:tcPr>
          <w:p w14:paraId="20AE9BFF" w14:textId="05B39620" w:rsidR="007C6812" w:rsidRPr="005A3D0B" w:rsidRDefault="007C6812" w:rsidP="007C6812">
            <w:pPr>
              <w:pStyle w:val="TableDataEntries"/>
            </w:pPr>
            <w:r>
              <w:rPr>
                <w:szCs w:val="16"/>
              </w:rPr>
              <w:t>8 795</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5A33F8E" w14:textId="4850EBC4" w:rsidR="007C6812" w:rsidRPr="005A3D0B" w:rsidRDefault="007C6812" w:rsidP="007C6812">
            <w:pPr>
              <w:pStyle w:val="TableDataEntries"/>
            </w:pPr>
            <w:r>
              <w:rPr>
                <w:szCs w:val="16"/>
              </w:rPr>
              <w:t>8 233</w:t>
            </w:r>
          </w:p>
        </w:tc>
      </w:tr>
      <w:tr w:rsidR="007C6812" w14:paraId="5834B95C" w14:textId="77777777">
        <w:trPr>
          <w:trHeight w:val="245"/>
        </w:trPr>
        <w:tc>
          <w:tcPr>
            <w:tcW w:w="440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71603D" w14:textId="77777777" w:rsidR="007C6812" w:rsidRDefault="007C6812" w:rsidP="007C6812">
            <w:pPr>
              <w:pStyle w:val="TableDataEntries"/>
              <w:jc w:val="left"/>
            </w:pPr>
            <w:r>
              <w:t>Dual fuel offset option (100%)</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185F29A" w14:textId="71EE109C" w:rsidR="007C6812" w:rsidRPr="005A3D0B" w:rsidRDefault="007C6812" w:rsidP="007C6812">
            <w:pPr>
              <w:pStyle w:val="TableDataEntries"/>
            </w:pPr>
            <w:r>
              <w:rPr>
                <w:szCs w:val="16"/>
              </w:rPr>
              <w:t>6 840</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AB8F41B" w14:textId="7F71C062" w:rsidR="007C6812" w:rsidRPr="005A3D0B" w:rsidRDefault="007C6812" w:rsidP="007C6812">
            <w:pPr>
              <w:pStyle w:val="TableDataEntries"/>
            </w:pPr>
            <w:r>
              <w:rPr>
                <w:szCs w:val="16"/>
              </w:rPr>
              <w:t>10 061</w:t>
            </w:r>
          </w:p>
        </w:tc>
        <w:tc>
          <w:tcPr>
            <w:tcW w:w="1178"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vAlign w:val="bottom"/>
          </w:tcPr>
          <w:p w14:paraId="54799ACE" w14:textId="1A583359" w:rsidR="007C6812" w:rsidRPr="005A3D0B" w:rsidRDefault="007C6812" w:rsidP="007C6812">
            <w:pPr>
              <w:pStyle w:val="TableDataEntries"/>
            </w:pPr>
            <w:r>
              <w:rPr>
                <w:szCs w:val="16"/>
              </w:rPr>
              <w:t>10 119</w:t>
            </w:r>
          </w:p>
        </w:tc>
      </w:tr>
      <w:tr w:rsidR="007C6812" w14:paraId="7E9CA6B7" w14:textId="77777777">
        <w:trPr>
          <w:trHeight w:val="245"/>
        </w:trPr>
        <w:tc>
          <w:tcPr>
            <w:tcW w:w="440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9B7E72B" w14:textId="0D91D92A" w:rsidR="007C6812" w:rsidRDefault="007C6812" w:rsidP="007C6812">
            <w:pPr>
              <w:pStyle w:val="TableDataEntries"/>
              <w:jc w:val="left"/>
            </w:pPr>
            <w:r>
              <w:t>Dual fuel offset option (100% with mandatory future electrification)</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F2C5A47" w14:textId="557F127E" w:rsidR="007C6812" w:rsidRPr="005A3D0B" w:rsidRDefault="007C6812" w:rsidP="007C6812">
            <w:pPr>
              <w:pStyle w:val="TableDataEntries"/>
            </w:pPr>
            <w:r>
              <w:rPr>
                <w:szCs w:val="16"/>
              </w:rPr>
              <w:t>6 806</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39020CD" w14:textId="0D74E262" w:rsidR="007C6812" w:rsidRPr="005A3D0B" w:rsidRDefault="007C6812" w:rsidP="007C6812">
            <w:pPr>
              <w:pStyle w:val="TableDataEntries"/>
            </w:pPr>
            <w:r>
              <w:rPr>
                <w:szCs w:val="16"/>
              </w:rPr>
              <w:t>10 027</w:t>
            </w:r>
          </w:p>
        </w:tc>
        <w:tc>
          <w:tcPr>
            <w:tcW w:w="1178"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vAlign w:val="bottom"/>
          </w:tcPr>
          <w:p w14:paraId="4B470521" w14:textId="2D876839" w:rsidR="007C6812" w:rsidRPr="005A3D0B" w:rsidRDefault="007C6812" w:rsidP="007C6812">
            <w:pPr>
              <w:pStyle w:val="TableDataEntries"/>
            </w:pPr>
            <w:r>
              <w:rPr>
                <w:szCs w:val="16"/>
              </w:rPr>
              <w:t>10 427</w:t>
            </w:r>
          </w:p>
        </w:tc>
      </w:tr>
      <w:tr w:rsidR="007C6812" w14:paraId="5EEFF553" w14:textId="77777777" w:rsidTr="0006494F">
        <w:trPr>
          <w:trHeight w:val="245"/>
        </w:trPr>
        <w:tc>
          <w:tcPr>
            <w:tcW w:w="440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B4B19D" w14:textId="77777777" w:rsidR="007C6812" w:rsidRDefault="007C6812" w:rsidP="007C6812">
            <w:pPr>
              <w:pStyle w:val="TableDataEntries"/>
              <w:jc w:val="left"/>
            </w:pPr>
            <w:r>
              <w:t>Electrify now option (100%)</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10ECD0B" w14:textId="351B2FB0" w:rsidR="007C6812" w:rsidRPr="005A3D0B" w:rsidRDefault="007C6812" w:rsidP="007C6812">
            <w:pPr>
              <w:pStyle w:val="TableDataEntries"/>
            </w:pPr>
            <w:r>
              <w:rPr>
                <w:szCs w:val="16"/>
              </w:rPr>
              <w:t>6 840</w:t>
            </w:r>
          </w:p>
        </w:tc>
        <w:tc>
          <w:tcPr>
            <w:tcW w:w="1178"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vAlign w:val="bottom"/>
          </w:tcPr>
          <w:p w14:paraId="0FDD0640" w14:textId="207DD95F" w:rsidR="007C6812" w:rsidRPr="005A3D0B" w:rsidRDefault="007C6812" w:rsidP="007C6812">
            <w:pPr>
              <w:pStyle w:val="TableDataEntries"/>
            </w:pPr>
            <w:r>
              <w:rPr>
                <w:szCs w:val="16"/>
              </w:rPr>
              <w:t>10 061</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D458444" w14:textId="6B2307B2" w:rsidR="007C6812" w:rsidRPr="005A3D0B" w:rsidRDefault="007C6812" w:rsidP="007C6812">
            <w:pPr>
              <w:pStyle w:val="TableDataEntries"/>
            </w:pPr>
            <w:r>
              <w:rPr>
                <w:szCs w:val="16"/>
              </w:rPr>
              <w:t>7 856</w:t>
            </w:r>
          </w:p>
        </w:tc>
      </w:tr>
      <w:tr w:rsidR="007C6812" w14:paraId="04D08A33" w14:textId="77777777" w:rsidTr="0006494F">
        <w:trPr>
          <w:trHeight w:val="245"/>
        </w:trPr>
        <w:tc>
          <w:tcPr>
            <w:tcW w:w="440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A35C13" w14:textId="173B9F98" w:rsidR="007C6812" w:rsidRDefault="007C6812" w:rsidP="007C6812">
            <w:pPr>
              <w:pStyle w:val="TableDataEntries"/>
              <w:jc w:val="left"/>
            </w:pPr>
            <w:r>
              <w:t>Electrify now option (100% with mandatory future electrification)</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4102676" w14:textId="3BDFD1AB" w:rsidR="007C6812" w:rsidRPr="005A3D0B" w:rsidRDefault="007C6812" w:rsidP="007C6812">
            <w:pPr>
              <w:pStyle w:val="TableDataEntries"/>
            </w:pPr>
            <w:r>
              <w:rPr>
                <w:szCs w:val="16"/>
              </w:rPr>
              <w:t>6 806</w:t>
            </w:r>
          </w:p>
        </w:tc>
        <w:tc>
          <w:tcPr>
            <w:tcW w:w="1178"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vAlign w:val="bottom"/>
          </w:tcPr>
          <w:p w14:paraId="6AA0435F" w14:textId="46E7033E" w:rsidR="007C6812" w:rsidRPr="005A3D0B" w:rsidRDefault="007C6812" w:rsidP="007C6812">
            <w:pPr>
              <w:pStyle w:val="TableDataEntries"/>
            </w:pPr>
            <w:r>
              <w:rPr>
                <w:szCs w:val="16"/>
              </w:rPr>
              <w:t>10 027</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14590CB" w14:textId="0F15F979" w:rsidR="007C6812" w:rsidRPr="005A3D0B" w:rsidRDefault="007C6812" w:rsidP="007C6812">
            <w:pPr>
              <w:pStyle w:val="TableDataEntries"/>
            </w:pPr>
            <w:r>
              <w:rPr>
                <w:szCs w:val="16"/>
              </w:rPr>
              <w:t>9 455</w:t>
            </w:r>
          </w:p>
        </w:tc>
      </w:tr>
      <w:tr w:rsidR="007C6812" w14:paraId="458CDF18" w14:textId="77777777">
        <w:trPr>
          <w:trHeight w:val="245"/>
        </w:trPr>
        <w:tc>
          <w:tcPr>
            <w:tcW w:w="440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5280D2" w14:textId="77777777" w:rsidR="007C6812" w:rsidRDefault="007C6812" w:rsidP="007C6812">
            <w:pPr>
              <w:pStyle w:val="TableDataEntries"/>
              <w:jc w:val="left"/>
            </w:pPr>
            <w:r>
              <w:t>Solar PV learning rate (1.8% per year)</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B24DE45" w14:textId="5EF4C082" w:rsidR="007C6812" w:rsidRPr="005A3D0B" w:rsidRDefault="007C6812" w:rsidP="007C6812">
            <w:pPr>
              <w:pStyle w:val="TableDataEntries"/>
            </w:pPr>
            <w:r>
              <w:rPr>
                <w:szCs w:val="16"/>
              </w:rPr>
              <w:t>6 840</w:t>
            </w:r>
          </w:p>
        </w:tc>
        <w:tc>
          <w:tcPr>
            <w:tcW w:w="1178" w:type="dxa"/>
            <w:tcBorders>
              <w:top w:val="single" w:sz="8" w:space="0" w:color="FFFFFF" w:themeColor="background1"/>
              <w:bottom w:val="single" w:sz="8" w:space="0" w:color="FFFFFF" w:themeColor="background1"/>
            </w:tcBorders>
            <w:shd w:val="clear" w:color="auto" w:fill="C2DADB" w:themeFill="accent6" w:themeFillTint="99"/>
            <w:tcMar>
              <w:left w:w="57" w:type="dxa"/>
              <w:right w:w="57" w:type="dxa"/>
            </w:tcMar>
            <w:vAlign w:val="bottom"/>
          </w:tcPr>
          <w:p w14:paraId="406FB8B6" w14:textId="45539C72" w:rsidR="007C6812" w:rsidRPr="005A3D0B" w:rsidRDefault="007C6812" w:rsidP="007C6812">
            <w:pPr>
              <w:pStyle w:val="TableDataEntries"/>
            </w:pPr>
            <w:r>
              <w:rPr>
                <w:szCs w:val="16"/>
              </w:rPr>
              <w:t>10 375</w:t>
            </w:r>
          </w:p>
        </w:tc>
        <w:tc>
          <w:tcPr>
            <w:tcW w:w="117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190DE813" w14:textId="5F9D0629" w:rsidR="007C6812" w:rsidRPr="005A3D0B" w:rsidRDefault="007C6812" w:rsidP="007C6812">
            <w:pPr>
              <w:pStyle w:val="TableDataEntries"/>
            </w:pPr>
            <w:r>
              <w:rPr>
                <w:szCs w:val="16"/>
              </w:rPr>
              <w:t>9 703</w:t>
            </w:r>
          </w:p>
        </w:tc>
      </w:tr>
      <w:tr w:rsidR="007C6812" w14:paraId="18C12E6E" w14:textId="77777777">
        <w:trPr>
          <w:trHeight w:val="245"/>
        </w:trPr>
        <w:tc>
          <w:tcPr>
            <w:tcW w:w="4404" w:type="dxa"/>
            <w:tcBorders>
              <w:top w:val="single" w:sz="8" w:space="0" w:color="FFFFFF" w:themeColor="background1"/>
              <w:bottom w:val="single" w:sz="6" w:space="0" w:color="6F6652"/>
            </w:tcBorders>
            <w:shd w:val="clear" w:color="auto" w:fill="E9E8E5" w:themeFill="background2"/>
            <w:tcMar>
              <w:left w:w="57" w:type="dxa"/>
              <w:right w:w="57" w:type="dxa"/>
            </w:tcMar>
          </w:tcPr>
          <w:p w14:paraId="48576C6B" w14:textId="77777777" w:rsidR="007C6812" w:rsidRDefault="007C6812" w:rsidP="007C6812">
            <w:pPr>
              <w:pStyle w:val="TableDataEntries"/>
              <w:jc w:val="left"/>
            </w:pPr>
            <w:r>
              <w:t>Heat pump learning rate (0.5% per year applied to all plant)</w:t>
            </w:r>
          </w:p>
        </w:tc>
        <w:tc>
          <w:tcPr>
            <w:tcW w:w="1178" w:type="dxa"/>
            <w:tcBorders>
              <w:top w:val="single" w:sz="8" w:space="0" w:color="FFFFFF" w:themeColor="background1"/>
              <w:bottom w:val="single" w:sz="6" w:space="0" w:color="6F6652"/>
            </w:tcBorders>
            <w:shd w:val="clear" w:color="auto" w:fill="E9E8E5" w:themeFill="background2"/>
            <w:tcMar>
              <w:left w:w="57" w:type="dxa"/>
              <w:right w:w="57" w:type="dxa"/>
            </w:tcMar>
            <w:vAlign w:val="bottom"/>
          </w:tcPr>
          <w:p w14:paraId="5CE71066" w14:textId="777976EE" w:rsidR="007C6812" w:rsidRPr="005A3D0B" w:rsidRDefault="007C6812" w:rsidP="007C6812">
            <w:pPr>
              <w:pStyle w:val="TableDataEntries"/>
            </w:pPr>
            <w:r>
              <w:rPr>
                <w:szCs w:val="16"/>
              </w:rPr>
              <w:t>6 851</w:t>
            </w:r>
          </w:p>
        </w:tc>
        <w:tc>
          <w:tcPr>
            <w:tcW w:w="1178"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276CF67E" w14:textId="28FADC62" w:rsidR="007C6812" w:rsidRPr="005A3D0B" w:rsidRDefault="007C6812" w:rsidP="007C6812">
            <w:pPr>
              <w:pStyle w:val="TableDataEntries"/>
            </w:pPr>
            <w:r>
              <w:rPr>
                <w:szCs w:val="16"/>
              </w:rPr>
              <w:t>10 07</w:t>
            </w:r>
            <w:r w:rsidR="00AF0AE6">
              <w:rPr>
                <w:szCs w:val="16"/>
              </w:rPr>
              <w:t>2</w:t>
            </w:r>
          </w:p>
        </w:tc>
        <w:tc>
          <w:tcPr>
            <w:tcW w:w="1178" w:type="dxa"/>
            <w:tcBorders>
              <w:top w:val="single" w:sz="8" w:space="0" w:color="FFFFFF" w:themeColor="background1"/>
              <w:bottom w:val="single" w:sz="6" w:space="0" w:color="6F6652"/>
            </w:tcBorders>
            <w:shd w:val="clear" w:color="auto" w:fill="E9E8E5" w:themeFill="background2"/>
            <w:tcMar>
              <w:left w:w="57" w:type="dxa"/>
              <w:right w:w="57" w:type="dxa"/>
            </w:tcMar>
            <w:vAlign w:val="bottom"/>
          </w:tcPr>
          <w:p w14:paraId="1A3906A9" w14:textId="3EDF3E6C" w:rsidR="007C6812" w:rsidRPr="005A3D0B" w:rsidRDefault="007C6812" w:rsidP="007C6812">
            <w:pPr>
              <w:pStyle w:val="TableDataEntries"/>
            </w:pPr>
            <w:r>
              <w:rPr>
                <w:szCs w:val="16"/>
              </w:rPr>
              <w:t>9 426</w:t>
            </w:r>
          </w:p>
        </w:tc>
      </w:tr>
    </w:tbl>
    <w:p w14:paraId="461EEBCE" w14:textId="77777777" w:rsidR="006568C5" w:rsidRDefault="006568C5" w:rsidP="006568C5">
      <w:pPr>
        <w:pStyle w:val="Note"/>
      </w:pPr>
      <w:r w:rsidRPr="007D1B4F">
        <w:rPr>
          <w:i/>
        </w:rPr>
        <w:t>Note:</w:t>
      </w:r>
      <w:r w:rsidRPr="00E879B8">
        <w:t xml:space="preserve"> </w:t>
      </w:r>
      <w:r>
        <w:t>Unless stated otherwise, estimates presented in net present value terms over an assumed 50-year life of all buildings constructed over the 10 year period from 2025 to 2034, using a discount rate of 5 per cent.</w:t>
      </w:r>
    </w:p>
    <w:p w14:paraId="2B49205E" w14:textId="77777777" w:rsidR="006568C5" w:rsidRDefault="006568C5" w:rsidP="006568C5">
      <w:pPr>
        <w:pStyle w:val="Source"/>
      </w:pPr>
      <w:r>
        <w:rPr>
          <w:i/>
        </w:rPr>
        <w:t>Source</w:t>
      </w:r>
      <w:r w:rsidRPr="00E4232C">
        <w:rPr>
          <w:i/>
        </w:rPr>
        <w:t>:</w:t>
      </w:r>
      <w:r>
        <w:t xml:space="preserve"> CIE based on DeltaQ modelling.</w:t>
      </w:r>
    </w:p>
    <w:p w14:paraId="2F6B8A85" w14:textId="77777777" w:rsidR="006568C5" w:rsidRDefault="006568C5" w:rsidP="006568C5">
      <w:pPr>
        <w:pStyle w:val="BodyText"/>
        <w:rPr>
          <w:lang w:bidi="fa-IR"/>
        </w:rPr>
      </w:pPr>
      <w:r>
        <w:rPr>
          <w:lang w:bidi="fa-IR"/>
        </w:rPr>
        <w:t>Key findings from the sensitivity testing are as follows.</w:t>
      </w:r>
    </w:p>
    <w:p w14:paraId="4BADD806" w14:textId="4D4D15EB" w:rsidR="006568C5" w:rsidRDefault="006568C5" w:rsidP="006568C5">
      <w:pPr>
        <w:pStyle w:val="ListBullet"/>
        <w:tabs>
          <w:tab w:val="num" w:pos="709"/>
        </w:tabs>
      </w:pPr>
      <w:r>
        <w:t>Under all alternative assumptions, all stringencies are estimated to deliver a net benefit relative to NCC 2022. This suggests that the</w:t>
      </w:r>
      <w:r w:rsidR="00F633DA">
        <w:t>re is a strong</w:t>
      </w:r>
      <w:r>
        <w:t xml:space="preserve"> case for change.</w:t>
      </w:r>
    </w:p>
    <w:p w14:paraId="6745317F" w14:textId="77777777" w:rsidR="006568C5" w:rsidRDefault="006568C5" w:rsidP="006568C5">
      <w:pPr>
        <w:pStyle w:val="ListBullet"/>
        <w:tabs>
          <w:tab w:val="num" w:pos="709"/>
        </w:tabs>
      </w:pPr>
      <w:r>
        <w:t>Under most alternative assumptions, Stringency Level 2 is estimated to deliver the highest net benefits, consistent with the central case. The key exceptions where the net benefits are higher for Stringency Level 3 are:</w:t>
      </w:r>
    </w:p>
    <w:p w14:paraId="6488D4BD" w14:textId="4A5A5AE4" w:rsidR="006568C5" w:rsidRDefault="00090FDE" w:rsidP="006568C5">
      <w:pPr>
        <w:pStyle w:val="ListBullet"/>
        <w:numPr>
          <w:ilvl w:val="1"/>
          <w:numId w:val="34"/>
        </w:numPr>
        <w:rPr>
          <w:lang w:bidi="fa-IR"/>
        </w:rPr>
      </w:pPr>
      <w:r>
        <w:rPr>
          <w:lang w:bidi="fa-IR"/>
        </w:rPr>
        <w:t>most</w:t>
      </w:r>
      <w:r w:rsidR="006568C5">
        <w:rPr>
          <w:lang w:bidi="fa-IR"/>
        </w:rPr>
        <w:t xml:space="preserve"> scenarios involving future electrification, and</w:t>
      </w:r>
    </w:p>
    <w:p w14:paraId="70563D4F" w14:textId="77777777" w:rsidR="006568C5" w:rsidRDefault="006568C5" w:rsidP="006568C5">
      <w:pPr>
        <w:pStyle w:val="ListBullet"/>
        <w:numPr>
          <w:ilvl w:val="1"/>
          <w:numId w:val="34"/>
        </w:numPr>
        <w:rPr>
          <w:lang w:bidi="fa-IR"/>
        </w:rPr>
      </w:pPr>
      <w:r>
        <w:rPr>
          <w:lang w:bidi="fa-IR"/>
        </w:rPr>
        <w:t>where all buildings choose the dual fuel offset option (although the estimates do not take into account any aesthetic costs associated with ground</w:t>
      </w:r>
      <w:r>
        <w:rPr>
          <w:lang w:bidi="fa-IR"/>
        </w:rPr>
        <w:noBreakHyphen/>
        <w:t>mounted solar).</w:t>
      </w:r>
    </w:p>
    <w:p w14:paraId="377AFA0F" w14:textId="77777777" w:rsidR="006568C5" w:rsidRDefault="006568C5" w:rsidP="006568C5">
      <w:pPr>
        <w:pStyle w:val="ListBullet"/>
        <w:tabs>
          <w:tab w:val="num" w:pos="709"/>
        </w:tabs>
      </w:pPr>
      <w:r>
        <w:t>The magnitude of the CBA results is most sensitive to:</w:t>
      </w:r>
    </w:p>
    <w:p w14:paraId="03D7DCC2" w14:textId="77777777" w:rsidR="006568C5" w:rsidRDefault="006568C5" w:rsidP="006568C5">
      <w:pPr>
        <w:pStyle w:val="ListBullet"/>
        <w:numPr>
          <w:ilvl w:val="1"/>
          <w:numId w:val="34"/>
        </w:numPr>
        <w:rPr>
          <w:lang w:bidi="fa-IR"/>
        </w:rPr>
      </w:pPr>
      <w:r>
        <w:rPr>
          <w:lang w:bidi="fa-IR"/>
        </w:rPr>
        <w:t>The choice of discount rate.</w:t>
      </w:r>
    </w:p>
    <w:p w14:paraId="0B3CA0A6" w14:textId="77777777" w:rsidR="006568C5" w:rsidRDefault="006568C5" w:rsidP="006568C5">
      <w:pPr>
        <w:pStyle w:val="ListBullet"/>
        <w:numPr>
          <w:ilvl w:val="1"/>
          <w:numId w:val="34"/>
        </w:numPr>
        <w:rPr>
          <w:lang w:bidi="fa-IR"/>
        </w:rPr>
      </w:pPr>
      <w:r>
        <w:rPr>
          <w:lang w:bidi="fa-IR"/>
        </w:rPr>
        <w:t>The realisation rate — as discussed above, there is some evidence that modelled energy efficiency benefits are not (on average) fully realised, although there is no reliable evidence on the extent to which actual energy savings fall short of modelled outcomes. This suggests that the true net benefits may be somewhat lower than has been estimated. That said, all stringencies are estimated to deliver a net benefit even under a pessimistic scenario where only 50 per cent of the benefits are realised.</w:t>
      </w:r>
    </w:p>
    <w:p w14:paraId="4F997542" w14:textId="77777777" w:rsidR="006E5BA6" w:rsidRDefault="006E5BA6" w:rsidP="006E5BA6">
      <w:pPr>
        <w:pStyle w:val="BodyText"/>
        <w:rPr>
          <w:lang w:bidi="fa-IR"/>
        </w:rPr>
      </w:pPr>
    </w:p>
    <w:p w14:paraId="43F212FA" w14:textId="77777777" w:rsidR="00F13E41" w:rsidRPr="00844A6E" w:rsidRDefault="00F13E41" w:rsidP="003E1FC3">
      <w:pPr>
        <w:pStyle w:val="BodyText"/>
        <w:rPr>
          <w:szCs w:val="22"/>
        </w:rPr>
      </w:pPr>
    </w:p>
    <w:p w14:paraId="39C7C820" w14:textId="77777777" w:rsidR="003E1FC3" w:rsidRPr="003E1FC3" w:rsidRDefault="003E1FC3" w:rsidP="003E1FC3">
      <w:pPr>
        <w:pStyle w:val="BodyText"/>
        <w:rPr>
          <w:lang w:eastAsia="en-US"/>
        </w:rPr>
      </w:pPr>
    </w:p>
    <w:p w14:paraId="053E3A3C" w14:textId="77777777" w:rsidR="006568C5" w:rsidRDefault="006568C5" w:rsidP="006568C5">
      <w:pPr>
        <w:pStyle w:val="Heading1"/>
      </w:pPr>
      <w:bookmarkStart w:id="4801" w:name="_Toc177735114"/>
      <w:bookmarkStart w:id="4802" w:name="_Toc178292548"/>
      <w:r>
        <w:t>Mandatory electric vehicle charging</w:t>
      </w:r>
      <w:bookmarkEnd w:id="4801"/>
      <w:bookmarkEnd w:id="4802"/>
    </w:p>
    <w:p w14:paraId="3F4CCDC3" w14:textId="77777777" w:rsidR="006568C5" w:rsidRDefault="006568C5" w:rsidP="006568C5">
      <w:pPr>
        <w:pStyle w:val="Heading2"/>
        <w:rPr>
          <w:lang w:bidi="fa-IR"/>
        </w:rPr>
      </w:pPr>
      <w:bookmarkStart w:id="4803" w:name="_Toc177735115"/>
      <w:bookmarkStart w:id="4804" w:name="_Toc178292549"/>
      <w:r>
        <w:rPr>
          <w:lang w:bidi="fa-IR"/>
        </w:rPr>
        <w:t>Summary</w:t>
      </w:r>
      <w:bookmarkEnd w:id="4803"/>
      <w:bookmarkEnd w:id="4804"/>
    </w:p>
    <w:p w14:paraId="007E9400" w14:textId="78543868" w:rsidR="006568C5" w:rsidRDefault="006568C5" w:rsidP="006568C5">
      <w:pPr>
        <w:pStyle w:val="BodyText"/>
        <w:rPr>
          <w:lang w:bidi="fa-IR"/>
        </w:rPr>
      </w:pPr>
      <w:r>
        <w:rPr>
          <w:lang w:bidi="fa-IR"/>
        </w:rPr>
        <w:t xml:space="preserve">The proposed mandatory </w:t>
      </w:r>
      <w:r w:rsidR="002D454E">
        <w:rPr>
          <w:lang w:bidi="fa-IR"/>
        </w:rPr>
        <w:t>EV</w:t>
      </w:r>
      <w:r>
        <w:rPr>
          <w:lang w:bidi="fa-IR"/>
        </w:rPr>
        <w:t xml:space="preserve"> charging requirements are estimated to impose a net loss on the community of around $1.7 billion in net present value terms over the 50-year life of buildings constructed over the 10-year period from 2025, using a discount rate of 5 per </w:t>
      </w:r>
      <w:r w:rsidRPr="00C60649">
        <w:rPr>
          <w:lang w:bidi="fa-IR"/>
        </w:rPr>
        <w:t>cent (table </w:t>
      </w:r>
      <w:r w:rsidRPr="00C60649">
        <w:rPr>
          <w:lang w:bidi="fa-IR"/>
        </w:rPr>
        <w:fldChar w:fldCharType="begin" w:fldLock="1"/>
      </w:r>
      <w:r w:rsidRPr="00C60649">
        <w:rPr>
          <w:lang w:bidi="fa-IR"/>
        </w:rPr>
        <w:instrText xml:space="preserve"> REF _Caption7482 </w:instrText>
      </w:r>
      <w:r w:rsidR="009B4D09" w:rsidRPr="00C60649">
        <w:rPr>
          <w:lang w:bidi="fa-IR"/>
        </w:rPr>
        <w:instrText xml:space="preserve"> \* MERGEFORMAT </w:instrText>
      </w:r>
      <w:r w:rsidRPr="00C60649">
        <w:rPr>
          <w:lang w:bidi="fa-IR"/>
        </w:rPr>
        <w:fldChar w:fldCharType="separate"/>
      </w:r>
      <w:r w:rsidR="000710B1" w:rsidRPr="00C60649">
        <w:rPr>
          <w:noProof/>
        </w:rPr>
        <w:t>8</w:t>
      </w:r>
      <w:r w:rsidRPr="00C60649">
        <w:rPr>
          <w:noProof/>
        </w:rPr>
        <w:t>.1</w:t>
      </w:r>
      <w:r w:rsidRPr="00C60649">
        <w:rPr>
          <w:lang w:bidi="fa-IR"/>
        </w:rPr>
        <w:fldChar w:fldCharType="end"/>
      </w:r>
      <w:r w:rsidRPr="00C60649">
        <w:rPr>
          <w:lang w:bidi="fa-IR"/>
        </w:rPr>
        <w:t>).</w:t>
      </w:r>
      <w:r>
        <w:rPr>
          <w:lang w:bidi="fa-IR"/>
        </w:rPr>
        <w:t xml:space="preserve"> Details are provided below.</w:t>
      </w:r>
    </w:p>
    <w:p w14:paraId="13007588" w14:textId="479E37FC" w:rsidR="006568C5" w:rsidRPr="006F0F88" w:rsidRDefault="006568C5" w:rsidP="009B4D09">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w:instrText>
      </w:r>
      <w:fldSimple w:instr=" STYLEREF &quot;Heading 1&quot; \l \n ">
        <w:r w:rsidR="00520F9E">
          <w:rPr>
            <w:noProof/>
          </w:rPr>
          <w:instrText>8</w:instrText>
        </w:r>
      </w:fldSimple>
      <w:r w:rsidRPr="006F0F88">
        <w:instrText xml:space="preserve">." </w:instrText>
      </w:r>
      <w:r w:rsidRPr="006F0F88">
        <w:fldChar w:fldCharType="separate"/>
      </w:r>
      <w:r w:rsidR="00520F9E">
        <w:rPr>
          <w:noProof/>
        </w:rPr>
        <w:instrText>8</w:instrText>
      </w:r>
      <w:r w:rsidR="00520F9E"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8</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520F9E">
        <w:rPr>
          <w:noProof/>
        </w:rPr>
        <w:instrText>1</w:instrText>
      </w:r>
      <w:r w:rsidRPr="006F0F88">
        <w:fldChar w:fldCharType="end"/>
      </w:r>
      <w:r w:rsidRPr="006F0F88">
        <w:instrText xml:space="preserve">" "" </w:instrText>
      </w:r>
      <w:r w:rsidRPr="006F0F88">
        <w:fldChar w:fldCharType="separate"/>
      </w:r>
      <w:bookmarkStart w:id="4805" w:name="_Caption4631"/>
      <w:bookmarkStart w:id="4806" w:name="_Caption7431"/>
      <w:bookmarkStart w:id="4807" w:name="_Caption4720"/>
      <w:bookmarkStart w:id="4808" w:name="_Caption4498"/>
      <w:bookmarkStart w:id="4809" w:name="_Caption6815"/>
      <w:bookmarkStart w:id="4810" w:name="_Caption9788"/>
      <w:bookmarkStart w:id="4811" w:name="_Caption9458"/>
      <w:bookmarkStart w:id="4812" w:name="_Caption1053"/>
      <w:bookmarkStart w:id="4813" w:name="_Caption6868"/>
      <w:bookmarkStart w:id="4814" w:name="_Caption3858"/>
      <w:bookmarkStart w:id="4815" w:name="_Caption1039"/>
      <w:bookmarkStart w:id="4816" w:name="_Caption2601"/>
      <w:bookmarkStart w:id="4817" w:name="_Caption7502"/>
      <w:bookmarkStart w:id="4818" w:name="_Caption6512"/>
      <w:bookmarkStart w:id="4819" w:name="_Caption1815"/>
      <w:bookmarkStart w:id="4820" w:name="_Caption7787"/>
      <w:bookmarkStart w:id="4821" w:name="_Caption4350"/>
      <w:bookmarkStart w:id="4822" w:name="_Caption9005"/>
      <w:bookmarkStart w:id="4823" w:name="_Caption2629"/>
      <w:bookmarkStart w:id="4824" w:name="_Caption6045"/>
      <w:bookmarkStart w:id="4825" w:name="_Caption7862"/>
      <w:bookmarkStart w:id="4826" w:name="_Caption2092"/>
      <w:bookmarkStart w:id="4827" w:name="_Caption0602"/>
      <w:bookmarkStart w:id="4828" w:name="_Caption2690"/>
      <w:bookmarkStart w:id="4829" w:name="_Caption9514"/>
      <w:bookmarkStart w:id="4830" w:name="_Caption8933"/>
      <w:bookmarkStart w:id="4831" w:name="_Caption0089"/>
      <w:bookmarkStart w:id="4832" w:name="_Caption0578"/>
      <w:bookmarkStart w:id="4833" w:name="_Caption1606"/>
      <w:bookmarkStart w:id="4834" w:name="_Caption9357"/>
      <w:bookmarkStart w:id="4835" w:name="_Caption9572"/>
      <w:bookmarkStart w:id="4836" w:name="_Caption9609"/>
      <w:bookmarkStart w:id="4837" w:name="_Caption6244"/>
      <w:bookmarkStart w:id="4838" w:name="_Caption0337"/>
      <w:bookmarkStart w:id="4839" w:name="_Caption0818"/>
      <w:bookmarkStart w:id="4840" w:name="_Caption4021"/>
      <w:bookmarkStart w:id="4841" w:name="_Caption9094"/>
      <w:bookmarkStart w:id="4842" w:name="_Caption8811"/>
      <w:bookmarkStart w:id="4843" w:name="_Caption8654"/>
      <w:bookmarkStart w:id="4844" w:name="_Caption3678"/>
      <w:bookmarkStart w:id="4845" w:name="_Caption1418"/>
      <w:bookmarkStart w:id="4846" w:name="_Caption0353"/>
      <w:bookmarkStart w:id="4847" w:name="_Caption1132"/>
      <w:bookmarkStart w:id="4848" w:name="_Caption2248"/>
      <w:bookmarkStart w:id="4849" w:name="_Caption3455"/>
      <w:bookmarkStart w:id="4850" w:name="_Caption5214"/>
      <w:bookmarkStart w:id="4851" w:name="_Caption3686"/>
      <w:bookmarkStart w:id="4852" w:name="_Caption1822"/>
      <w:bookmarkStart w:id="4853" w:name="_Caption3990"/>
      <w:bookmarkStart w:id="4854" w:name="_Caption6745"/>
      <w:bookmarkStart w:id="4855" w:name="_Caption2198"/>
      <w:bookmarkStart w:id="4856" w:name="_Caption5036"/>
      <w:bookmarkStart w:id="4857" w:name="_Caption6770"/>
      <w:bookmarkStart w:id="4858" w:name="_Caption4366"/>
      <w:bookmarkStart w:id="4859" w:name="_Caption0461"/>
      <w:bookmarkStart w:id="4860" w:name="_Caption8849"/>
      <w:bookmarkStart w:id="4861" w:name="_Caption3079"/>
      <w:bookmarkStart w:id="4862" w:name="_Caption3623"/>
      <w:bookmarkStart w:id="4863" w:name="_Caption2322"/>
      <w:bookmarkStart w:id="4864" w:name="_Caption6174"/>
      <w:bookmarkStart w:id="4865" w:name="_Caption3464"/>
      <w:bookmarkStart w:id="4866" w:name="_Caption5426"/>
      <w:bookmarkStart w:id="4867" w:name="_Caption7789"/>
      <w:bookmarkStart w:id="4868" w:name="_Caption0869"/>
      <w:bookmarkStart w:id="4869" w:name="_Caption7482"/>
      <w:bookmarkStart w:id="4870" w:name="_Caption2783"/>
      <w:bookmarkStart w:id="4871" w:name="_Caption1354"/>
      <w:bookmarkStart w:id="4872" w:name="_Caption7930"/>
      <w:bookmarkStart w:id="4873" w:name="_Caption7988"/>
      <w:bookmarkStart w:id="4874" w:name="_Caption1560"/>
      <w:bookmarkStart w:id="4875" w:name="_Caption5316"/>
      <w:bookmarkStart w:id="4876" w:name="_Caption0238"/>
      <w:bookmarkStart w:id="4877" w:name="_Caption4662"/>
      <w:bookmarkStart w:id="4878" w:name="_Caption8740"/>
      <w:bookmarkStart w:id="4879" w:name="_Caption2943"/>
      <w:bookmarkStart w:id="4880" w:name="_Caption3014"/>
      <w:bookmarkStart w:id="4881" w:name="_Caption7656"/>
      <w:bookmarkStart w:id="4882" w:name="_Caption7761"/>
      <w:bookmarkStart w:id="4883" w:name="_Caption9596"/>
      <w:bookmarkStart w:id="4884" w:name="_Caption6998"/>
      <w:bookmarkStart w:id="4885" w:name="_Caption6158"/>
      <w:bookmarkStart w:id="4886" w:name="_Caption0494"/>
      <w:bookmarkStart w:id="4887" w:name="_Caption7194"/>
      <w:bookmarkStart w:id="4888" w:name="_Caption7895"/>
      <w:bookmarkStart w:id="4889" w:name="_Caption8227"/>
      <w:bookmarkStart w:id="4890" w:name="_Caption1778"/>
      <w:bookmarkStart w:id="4891" w:name="_Caption3267"/>
      <w:bookmarkStart w:id="4892" w:name="_Caption5357"/>
      <w:bookmarkStart w:id="4893" w:name="_Caption6958"/>
      <w:bookmarkStart w:id="4894" w:name="_Caption2355"/>
      <w:bookmarkStart w:id="4895" w:name="_Caption7156"/>
      <w:bookmarkStart w:id="4896" w:name="_Caption2363"/>
      <w:bookmarkStart w:id="4897" w:name="_Caption9488"/>
      <w:bookmarkStart w:id="4898" w:name="_Caption9232"/>
      <w:bookmarkStart w:id="4899" w:name="_Caption1915"/>
      <w:bookmarkStart w:id="4900" w:name="_Caption8312"/>
      <w:bookmarkStart w:id="4901" w:name="_Caption8667"/>
      <w:bookmarkStart w:id="4902" w:name="_Caption9266"/>
      <w:bookmarkStart w:id="4903" w:name="_Caption0194"/>
      <w:bookmarkStart w:id="4904" w:name="_Caption7255"/>
      <w:bookmarkStart w:id="4905" w:name="_Caption2480"/>
      <w:bookmarkStart w:id="4906" w:name="_Caption6228"/>
      <w:bookmarkStart w:id="4907" w:name="_Caption2945"/>
      <w:bookmarkStart w:id="4908" w:name="_Caption9704"/>
      <w:bookmarkStart w:id="4909" w:name="_Caption5392"/>
      <w:bookmarkStart w:id="4910" w:name="_Caption1454"/>
      <w:bookmarkStart w:id="4911" w:name="_Caption1073"/>
      <w:bookmarkStart w:id="4912" w:name="_Toc177735190"/>
      <w:bookmarkStart w:id="4913" w:name="_Toc178292625"/>
      <w:r w:rsidR="008C60A3">
        <w:rPr>
          <w:noProof/>
        </w:rPr>
        <w:t>8</w:t>
      </w:r>
      <w:r w:rsidR="008C60A3" w:rsidRPr="006F0F88">
        <w:rPr>
          <w:noProof/>
        </w:rPr>
        <w:t>.</w:t>
      </w:r>
      <w:r w:rsidR="008C60A3">
        <w:rPr>
          <w:noProof/>
        </w:rPr>
        <w:t>1</w:t>
      </w:r>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r w:rsidRPr="006F0F88">
        <w:fldChar w:fldCharType="end"/>
      </w:r>
      <w:r w:rsidRPr="006F0F88">
        <w:tab/>
        <w:t>Net impact of proposed mandatory electric vehicle charging requirements</w:t>
      </w:r>
      <w:bookmarkEnd w:id="4912"/>
      <w:bookmarkEnd w:id="4913"/>
    </w:p>
    <w:tbl>
      <w:tblPr>
        <w:tblW w:w="0" w:type="auto"/>
        <w:tblLayout w:type="fixed"/>
        <w:tblLook w:val="0000" w:firstRow="0" w:lastRow="0" w:firstColumn="0" w:lastColumn="0" w:noHBand="0" w:noVBand="0"/>
        <w:tblCaption w:val="Table 6.18 - Net impact of proposed mandatory electric vehicle charging requirements"/>
      </w:tblPr>
      <w:tblGrid>
        <w:gridCol w:w="6038"/>
        <w:gridCol w:w="1899"/>
      </w:tblGrid>
      <w:tr w:rsidR="006568C5" w14:paraId="62EA8DF5" w14:textId="77777777">
        <w:trPr>
          <w:trHeight w:val="245"/>
          <w:tblHeader/>
        </w:trPr>
        <w:tc>
          <w:tcPr>
            <w:tcW w:w="6038" w:type="dxa"/>
            <w:shd w:val="clear" w:color="auto" w:fill="6F6652"/>
            <w:tcMar>
              <w:left w:w="57" w:type="dxa"/>
              <w:right w:w="57" w:type="dxa"/>
            </w:tcMar>
          </w:tcPr>
          <w:p w14:paraId="13A9985C" w14:textId="77777777" w:rsidR="006568C5" w:rsidRDefault="006568C5">
            <w:pPr>
              <w:pStyle w:val="TableDataColumnHeading"/>
              <w:jc w:val="left"/>
            </w:pPr>
            <w:r>
              <w:t>Impact</w:t>
            </w:r>
          </w:p>
        </w:tc>
        <w:tc>
          <w:tcPr>
            <w:tcW w:w="1899" w:type="dxa"/>
            <w:shd w:val="clear" w:color="auto" w:fill="6F6652"/>
            <w:tcMar>
              <w:left w:w="57" w:type="dxa"/>
              <w:right w:w="57" w:type="dxa"/>
            </w:tcMar>
          </w:tcPr>
          <w:p w14:paraId="6C46B801" w14:textId="77777777" w:rsidR="006568C5" w:rsidRDefault="006568C5">
            <w:pPr>
              <w:pStyle w:val="TableDataColumnHeading"/>
            </w:pPr>
            <w:r>
              <w:t>Estimate</w:t>
            </w:r>
          </w:p>
          <w:p w14:paraId="700DF7DB" w14:textId="77777777" w:rsidR="006568C5" w:rsidRDefault="006568C5">
            <w:pPr>
              <w:pStyle w:val="TableDataColumnHeading"/>
            </w:pPr>
            <w:r>
              <w:t>$ million</w:t>
            </w:r>
          </w:p>
        </w:tc>
      </w:tr>
      <w:tr w:rsidR="006568C5" w14:paraId="4E7EC08B" w14:textId="77777777">
        <w:trPr>
          <w:trHeight w:val="245"/>
        </w:trPr>
        <w:tc>
          <w:tcPr>
            <w:tcW w:w="603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B54E484" w14:textId="77777777" w:rsidR="006568C5" w:rsidRDefault="006568C5">
            <w:pPr>
              <w:pStyle w:val="TableDataEntries"/>
              <w:jc w:val="left"/>
            </w:pPr>
            <w:r>
              <w:t>Improved access to destination charging</w:t>
            </w:r>
          </w:p>
        </w:tc>
        <w:tc>
          <w:tcPr>
            <w:tcW w:w="189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62CF8719" w14:textId="77777777" w:rsidR="006568C5" w:rsidRDefault="006568C5">
            <w:pPr>
              <w:pStyle w:val="TableDataEntries"/>
            </w:pPr>
            <w:r>
              <w:rPr>
                <w:szCs w:val="16"/>
              </w:rPr>
              <w:t>1,560.6</w:t>
            </w:r>
          </w:p>
        </w:tc>
      </w:tr>
      <w:tr w:rsidR="006568C5" w14:paraId="661A7CBD" w14:textId="77777777">
        <w:trPr>
          <w:trHeight w:val="245"/>
        </w:trPr>
        <w:tc>
          <w:tcPr>
            <w:tcW w:w="603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FAD7500" w14:textId="77777777" w:rsidR="006568C5" w:rsidRDefault="006568C5">
            <w:pPr>
              <w:pStyle w:val="TableDataEntries"/>
              <w:jc w:val="left"/>
            </w:pPr>
            <w:r>
              <w:t>Mitigation of climate change</w:t>
            </w:r>
          </w:p>
        </w:tc>
        <w:tc>
          <w:tcPr>
            <w:tcW w:w="189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6C6E7F67" w14:textId="77777777" w:rsidR="006568C5" w:rsidRDefault="006568C5">
            <w:pPr>
              <w:pStyle w:val="TableDataEntries"/>
            </w:pPr>
            <w:r>
              <w:rPr>
                <w:szCs w:val="16"/>
              </w:rPr>
              <w:t>84.1</w:t>
            </w:r>
          </w:p>
        </w:tc>
      </w:tr>
      <w:tr w:rsidR="006568C5" w14:paraId="0F863F64" w14:textId="77777777">
        <w:trPr>
          <w:trHeight w:val="245"/>
        </w:trPr>
        <w:tc>
          <w:tcPr>
            <w:tcW w:w="603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305546" w14:textId="77777777" w:rsidR="006568C5" w:rsidRDefault="006568C5">
            <w:pPr>
              <w:pStyle w:val="TableDataEntries"/>
              <w:jc w:val="left"/>
            </w:pPr>
            <w:r>
              <w:t>Mitigation of air pollution</w:t>
            </w:r>
          </w:p>
        </w:tc>
        <w:tc>
          <w:tcPr>
            <w:tcW w:w="189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56442682" w14:textId="77777777" w:rsidR="006568C5" w:rsidRDefault="006568C5">
            <w:pPr>
              <w:pStyle w:val="TableDataEntries"/>
            </w:pPr>
            <w:r>
              <w:rPr>
                <w:szCs w:val="16"/>
              </w:rPr>
              <w:t>12.1</w:t>
            </w:r>
          </w:p>
        </w:tc>
      </w:tr>
      <w:tr w:rsidR="006568C5" w14:paraId="00E29F95" w14:textId="77777777">
        <w:trPr>
          <w:trHeight w:val="245"/>
        </w:trPr>
        <w:tc>
          <w:tcPr>
            <w:tcW w:w="603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C3AA3F7" w14:textId="77777777" w:rsidR="006568C5" w:rsidRDefault="006568C5">
            <w:pPr>
              <w:pStyle w:val="TableDataEntries"/>
              <w:jc w:val="left"/>
            </w:pPr>
            <w:r>
              <w:t>EV charging equipment installation and maintenance</w:t>
            </w:r>
          </w:p>
        </w:tc>
        <w:tc>
          <w:tcPr>
            <w:tcW w:w="189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60B0FCE4" w14:textId="77777777" w:rsidR="006568C5" w:rsidRDefault="006568C5">
            <w:pPr>
              <w:pStyle w:val="TableDataEntries"/>
            </w:pPr>
            <w:r>
              <w:rPr>
                <w:szCs w:val="16"/>
              </w:rPr>
              <w:t>-3,396.8</w:t>
            </w:r>
          </w:p>
        </w:tc>
      </w:tr>
      <w:tr w:rsidR="006568C5" w:rsidRPr="005E4686" w14:paraId="2CE30ACB" w14:textId="77777777">
        <w:trPr>
          <w:trHeight w:val="245"/>
        </w:trPr>
        <w:tc>
          <w:tcPr>
            <w:tcW w:w="6038"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110C80F" w14:textId="77777777" w:rsidR="006568C5" w:rsidRPr="005E4686" w:rsidRDefault="006568C5">
            <w:pPr>
              <w:pStyle w:val="TableDataEntries"/>
              <w:jc w:val="left"/>
              <w:rPr>
                <w:rFonts w:ascii="Franklin Gothic Demi" w:hAnsi="Franklin Gothic Demi"/>
              </w:rPr>
            </w:pPr>
            <w:r w:rsidRPr="005E4686">
              <w:rPr>
                <w:rFonts w:ascii="Franklin Gothic Demi" w:hAnsi="Franklin Gothic Demi"/>
              </w:rPr>
              <w:t>Total</w:t>
            </w:r>
          </w:p>
        </w:tc>
        <w:tc>
          <w:tcPr>
            <w:tcW w:w="1899"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center"/>
          </w:tcPr>
          <w:p w14:paraId="4BD7B261" w14:textId="5267647A" w:rsidR="006568C5" w:rsidRPr="005E4686" w:rsidRDefault="006568C5">
            <w:pPr>
              <w:pStyle w:val="TableDataEntries"/>
              <w:rPr>
                <w:rFonts w:ascii="Franklin Gothic Demi" w:hAnsi="Franklin Gothic Demi"/>
              </w:rPr>
            </w:pPr>
            <w:r>
              <w:rPr>
                <w:rFonts w:ascii="Franklin Gothic Demi" w:hAnsi="Franklin Gothic Demi"/>
                <w:color w:val="000000"/>
                <w:szCs w:val="16"/>
              </w:rPr>
              <w:t>-1,7</w:t>
            </w:r>
            <w:r w:rsidR="00CE7472">
              <w:rPr>
                <w:rFonts w:ascii="Franklin Gothic Demi" w:hAnsi="Franklin Gothic Demi"/>
                <w:color w:val="000000"/>
                <w:szCs w:val="16"/>
              </w:rPr>
              <w:t>39</w:t>
            </w:r>
            <w:r>
              <w:rPr>
                <w:rFonts w:ascii="Franklin Gothic Demi" w:hAnsi="Franklin Gothic Demi"/>
                <w:color w:val="000000"/>
                <w:szCs w:val="16"/>
              </w:rPr>
              <w:t>.</w:t>
            </w:r>
            <w:r w:rsidR="00CE7472">
              <w:rPr>
                <w:rFonts w:ascii="Franklin Gothic Demi" w:hAnsi="Franklin Gothic Demi"/>
                <w:color w:val="000000"/>
                <w:szCs w:val="16"/>
              </w:rPr>
              <w:t>7</w:t>
            </w:r>
          </w:p>
        </w:tc>
      </w:tr>
    </w:tbl>
    <w:p w14:paraId="1D21DDEC" w14:textId="77777777" w:rsidR="006568C5" w:rsidRDefault="006568C5" w:rsidP="006568C5">
      <w:pPr>
        <w:pStyle w:val="Note"/>
        <w:rPr>
          <w:lang w:bidi="fa-IR"/>
        </w:rPr>
      </w:pPr>
      <w:r w:rsidRPr="007D1B4F">
        <w:rPr>
          <w:i/>
        </w:rPr>
        <w:t>Note:</w:t>
      </w:r>
      <w:r w:rsidRPr="00E879B8">
        <w:t xml:space="preserve"> </w:t>
      </w:r>
      <w:r>
        <w:t>Estimates presented in net present value terms over the (assumed) 50 years life of buildings constructed over the 10-year period from 2025 to 2034, using a discount rate of 5 per cent.</w:t>
      </w:r>
    </w:p>
    <w:p w14:paraId="374B67D9" w14:textId="77777777" w:rsidR="006568C5" w:rsidRDefault="006568C5" w:rsidP="006568C5">
      <w:pPr>
        <w:pStyle w:val="Source"/>
        <w:rPr>
          <w:lang w:bidi="fa-IR"/>
        </w:rPr>
      </w:pPr>
      <w:r w:rsidRPr="00BC2477">
        <w:rPr>
          <w:i/>
          <w:lang w:bidi="fa-IR"/>
        </w:rPr>
        <w:t>Source:</w:t>
      </w:r>
      <w:r>
        <w:rPr>
          <w:lang w:bidi="fa-IR"/>
        </w:rPr>
        <w:t xml:space="preserve"> CIE estimates.</w:t>
      </w:r>
    </w:p>
    <w:p w14:paraId="23F18760" w14:textId="77777777" w:rsidR="006568C5" w:rsidRDefault="006568C5" w:rsidP="006568C5">
      <w:pPr>
        <w:pStyle w:val="Heading2"/>
        <w:rPr>
          <w:lang w:bidi="fa-IR"/>
        </w:rPr>
      </w:pPr>
      <w:bookmarkStart w:id="4914" w:name="_Toc177735116"/>
      <w:bookmarkStart w:id="4915" w:name="_Toc178292550"/>
      <w:r>
        <w:rPr>
          <w:lang w:bidi="fa-IR"/>
        </w:rPr>
        <w:t>Estimated costs</w:t>
      </w:r>
      <w:bookmarkEnd w:id="4914"/>
      <w:bookmarkEnd w:id="4915"/>
    </w:p>
    <w:p w14:paraId="03E33390" w14:textId="1BFB1E81" w:rsidR="006568C5" w:rsidRPr="00844A6E" w:rsidRDefault="006568C5" w:rsidP="006568C5">
      <w:pPr>
        <w:pStyle w:val="BodyText"/>
        <w:rPr>
          <w:szCs w:val="22"/>
          <w:lang w:bidi="fa-IR"/>
        </w:rPr>
      </w:pPr>
      <w:r w:rsidRPr="00844A6E">
        <w:rPr>
          <w:szCs w:val="22"/>
          <w:lang w:bidi="fa-IR"/>
        </w:rPr>
        <w:t>The estimated cost of providing EV charging facilities per building are summarised in table </w:t>
      </w:r>
      <w:r w:rsidR="009B4D09">
        <w:rPr>
          <w:szCs w:val="22"/>
          <w:lang w:bidi="fa-IR"/>
        </w:rPr>
        <w:fldChar w:fldCharType="begin"/>
      </w:r>
      <w:r w:rsidR="009B4D09">
        <w:rPr>
          <w:szCs w:val="22"/>
          <w:lang w:bidi="fa-IR"/>
        </w:rPr>
        <w:instrText xml:space="preserve"> REF _Caption0836 </w:instrText>
      </w:r>
      <w:r w:rsidR="009B4D09">
        <w:rPr>
          <w:szCs w:val="22"/>
          <w:lang w:bidi="fa-IR"/>
        </w:rPr>
        <w:fldChar w:fldCharType="separate"/>
      </w:r>
      <w:r w:rsidR="006E00A7">
        <w:rPr>
          <w:noProof/>
        </w:rPr>
        <w:t>8</w:t>
      </w:r>
      <w:r w:rsidR="006E00A7" w:rsidRPr="006F0F88">
        <w:rPr>
          <w:noProof/>
        </w:rPr>
        <w:t>.</w:t>
      </w:r>
      <w:r w:rsidR="006E00A7">
        <w:rPr>
          <w:noProof/>
        </w:rPr>
        <w:t>2</w:t>
      </w:r>
      <w:r w:rsidR="009B4D09">
        <w:rPr>
          <w:szCs w:val="22"/>
          <w:lang w:bidi="fa-IR"/>
        </w:rPr>
        <w:fldChar w:fldCharType="end"/>
      </w:r>
      <w:r w:rsidRPr="00844A6E">
        <w:rPr>
          <w:szCs w:val="22"/>
          <w:lang w:bidi="fa-IR"/>
        </w:rPr>
        <w:t>, with further details provided below.</w:t>
      </w:r>
    </w:p>
    <w:p w14:paraId="3E3DCBF1" w14:textId="72907A7E" w:rsidR="006568C5" w:rsidRPr="006F0F88" w:rsidRDefault="006568C5" w:rsidP="009B4D09">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w:instrText>
      </w:r>
      <w:fldSimple w:instr=" STYLEREF &quot;Heading 1&quot; \l \n ">
        <w:r w:rsidR="00520F9E">
          <w:rPr>
            <w:noProof/>
          </w:rPr>
          <w:instrText>8</w:instrText>
        </w:r>
      </w:fldSimple>
      <w:r w:rsidRPr="006F0F88">
        <w:instrText xml:space="preserve">." </w:instrText>
      </w:r>
      <w:r w:rsidRPr="006F0F88">
        <w:fldChar w:fldCharType="separate"/>
      </w:r>
      <w:r w:rsidR="00520F9E">
        <w:rPr>
          <w:noProof/>
        </w:rPr>
        <w:instrText>8</w:instrText>
      </w:r>
      <w:r w:rsidR="00520F9E"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8</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520F9E">
        <w:rPr>
          <w:noProof/>
        </w:rPr>
        <w:instrText>2</w:instrText>
      </w:r>
      <w:r w:rsidRPr="006F0F88">
        <w:fldChar w:fldCharType="end"/>
      </w:r>
      <w:r w:rsidRPr="006F0F88">
        <w:instrText xml:space="preserve">" "" </w:instrText>
      </w:r>
      <w:r w:rsidRPr="006F0F88">
        <w:fldChar w:fldCharType="separate"/>
      </w:r>
      <w:bookmarkStart w:id="4916" w:name="_Caption7943"/>
      <w:bookmarkStart w:id="4917" w:name="_Caption4891"/>
      <w:bookmarkStart w:id="4918" w:name="_Caption4206"/>
      <w:bookmarkStart w:id="4919" w:name="_Caption6882"/>
      <w:bookmarkStart w:id="4920" w:name="_Caption6255"/>
      <w:bookmarkStart w:id="4921" w:name="_Caption5302"/>
      <w:bookmarkStart w:id="4922" w:name="_Caption7002"/>
      <w:bookmarkStart w:id="4923" w:name="_Caption5459"/>
      <w:bookmarkStart w:id="4924" w:name="_Caption0419"/>
      <w:bookmarkStart w:id="4925" w:name="_Caption4591"/>
      <w:bookmarkStart w:id="4926" w:name="_Caption7153"/>
      <w:bookmarkStart w:id="4927" w:name="_Caption8342"/>
      <w:bookmarkStart w:id="4928" w:name="_Caption9344"/>
      <w:bookmarkStart w:id="4929" w:name="_Caption7046"/>
      <w:bookmarkStart w:id="4930" w:name="_Caption9785"/>
      <w:bookmarkStart w:id="4931" w:name="_Caption9817"/>
      <w:bookmarkStart w:id="4932" w:name="_Caption0836"/>
      <w:bookmarkStart w:id="4933" w:name="_Caption8923"/>
      <w:bookmarkStart w:id="4934" w:name="_Caption9809"/>
      <w:bookmarkStart w:id="4935" w:name="_Caption1494"/>
      <w:bookmarkStart w:id="4936" w:name="_Caption7090"/>
      <w:bookmarkStart w:id="4937" w:name="_Caption2081"/>
      <w:bookmarkStart w:id="4938" w:name="_Caption3320"/>
      <w:bookmarkStart w:id="4939" w:name="_Caption0360"/>
      <w:bookmarkStart w:id="4940" w:name="_Caption0559"/>
      <w:bookmarkStart w:id="4941" w:name="_Caption8996"/>
      <w:bookmarkStart w:id="4942" w:name="_Caption0785"/>
      <w:bookmarkStart w:id="4943" w:name="_Caption7591"/>
      <w:bookmarkStart w:id="4944" w:name="_Caption3062"/>
      <w:bookmarkStart w:id="4945" w:name="_Caption4951"/>
      <w:bookmarkStart w:id="4946" w:name="_Caption9277"/>
      <w:bookmarkStart w:id="4947" w:name="_Caption8452"/>
      <w:bookmarkStart w:id="4948" w:name="_Caption6926"/>
      <w:bookmarkStart w:id="4949" w:name="_Caption6025"/>
      <w:bookmarkStart w:id="4950" w:name="_Caption2314"/>
      <w:bookmarkStart w:id="4951" w:name="_Caption9441"/>
      <w:bookmarkStart w:id="4952" w:name="_Caption2639"/>
      <w:bookmarkStart w:id="4953" w:name="_Caption3252"/>
      <w:bookmarkStart w:id="4954" w:name="_Caption6690"/>
      <w:bookmarkStart w:id="4955" w:name="_Caption5189"/>
      <w:bookmarkStart w:id="4956" w:name="_Caption0478"/>
      <w:bookmarkStart w:id="4957" w:name="_Caption6252"/>
      <w:bookmarkStart w:id="4958" w:name="_Caption2817"/>
      <w:bookmarkStart w:id="4959" w:name="_Caption7179"/>
      <w:bookmarkStart w:id="4960" w:name="_Caption6751"/>
      <w:bookmarkStart w:id="4961" w:name="_Caption0411"/>
      <w:bookmarkStart w:id="4962" w:name="_Caption1590"/>
      <w:bookmarkStart w:id="4963" w:name="_Caption2226"/>
      <w:bookmarkStart w:id="4964" w:name="_Caption7725"/>
      <w:bookmarkStart w:id="4965" w:name="_Caption4567"/>
      <w:bookmarkStart w:id="4966" w:name="_Caption2343"/>
      <w:bookmarkStart w:id="4967" w:name="_Caption9446"/>
      <w:bookmarkStart w:id="4968" w:name="_Caption5699"/>
      <w:bookmarkStart w:id="4969" w:name="_Caption5556"/>
      <w:bookmarkStart w:id="4970" w:name="_Caption0735"/>
      <w:bookmarkStart w:id="4971" w:name="_Caption8265"/>
      <w:bookmarkStart w:id="4972" w:name="_Caption7384"/>
      <w:bookmarkStart w:id="4973" w:name="_Caption4747"/>
      <w:bookmarkStart w:id="4974" w:name="_Caption2581"/>
      <w:bookmarkStart w:id="4975" w:name="_Caption8845"/>
      <w:bookmarkStart w:id="4976" w:name="_Caption6287"/>
      <w:bookmarkStart w:id="4977" w:name="_Caption6834"/>
      <w:bookmarkStart w:id="4978" w:name="_Caption4518"/>
      <w:bookmarkStart w:id="4979" w:name="_Caption0687"/>
      <w:bookmarkStart w:id="4980" w:name="_Caption5669"/>
      <w:bookmarkStart w:id="4981" w:name="_Caption8051"/>
      <w:bookmarkStart w:id="4982" w:name="_Caption0611"/>
      <w:bookmarkStart w:id="4983" w:name="_Caption5923"/>
      <w:bookmarkStart w:id="4984" w:name="_Caption4261"/>
      <w:bookmarkStart w:id="4985" w:name="_Caption9321"/>
      <w:bookmarkStart w:id="4986" w:name="_Caption4174"/>
      <w:bookmarkStart w:id="4987" w:name="_Caption9352"/>
      <w:bookmarkStart w:id="4988" w:name="_Caption2458"/>
      <w:bookmarkStart w:id="4989" w:name="_Caption1645"/>
      <w:bookmarkStart w:id="4990" w:name="_Caption6814"/>
      <w:bookmarkStart w:id="4991" w:name="_Caption3973"/>
      <w:bookmarkStart w:id="4992" w:name="_Caption5085"/>
      <w:bookmarkStart w:id="4993" w:name="_Caption4686"/>
      <w:bookmarkStart w:id="4994" w:name="_Caption5661"/>
      <w:bookmarkStart w:id="4995" w:name="_Caption6119"/>
      <w:bookmarkStart w:id="4996" w:name="_Caption1288"/>
      <w:bookmarkStart w:id="4997" w:name="_Caption7411"/>
      <w:bookmarkStart w:id="4998" w:name="_Caption6970"/>
      <w:bookmarkStart w:id="4999" w:name="_Caption8882"/>
      <w:bookmarkStart w:id="5000" w:name="_Caption2806"/>
      <w:bookmarkStart w:id="5001" w:name="_Caption6414"/>
      <w:bookmarkStart w:id="5002" w:name="_Caption1405"/>
      <w:bookmarkStart w:id="5003" w:name="_Caption6052"/>
      <w:bookmarkStart w:id="5004" w:name="_Caption0834"/>
      <w:bookmarkStart w:id="5005" w:name="_Caption3472"/>
      <w:bookmarkStart w:id="5006" w:name="_Caption3840"/>
      <w:bookmarkStart w:id="5007" w:name="_Caption2596"/>
      <w:bookmarkStart w:id="5008" w:name="_Caption3722"/>
      <w:bookmarkStart w:id="5009" w:name="_Caption5867"/>
      <w:bookmarkStart w:id="5010" w:name="_Caption2527"/>
      <w:bookmarkStart w:id="5011" w:name="_Caption0492"/>
      <w:bookmarkStart w:id="5012" w:name="_Caption1172"/>
      <w:bookmarkStart w:id="5013" w:name="_Caption7796"/>
      <w:bookmarkStart w:id="5014" w:name="_Caption8068"/>
      <w:bookmarkStart w:id="5015" w:name="_Toc177735191"/>
      <w:bookmarkStart w:id="5016" w:name="_Toc178292626"/>
      <w:r w:rsidR="008C60A3">
        <w:rPr>
          <w:noProof/>
        </w:rPr>
        <w:t>8</w:t>
      </w:r>
      <w:r w:rsidR="008C60A3" w:rsidRPr="006F0F88">
        <w:rPr>
          <w:noProof/>
        </w:rPr>
        <w:t>.</w:t>
      </w:r>
      <w:r w:rsidR="008C60A3">
        <w:rPr>
          <w:noProof/>
        </w:rPr>
        <w:t>2</w:t>
      </w:r>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r w:rsidRPr="006F0F88">
        <w:fldChar w:fldCharType="end"/>
      </w:r>
      <w:r w:rsidRPr="006F0F88">
        <w:tab/>
        <w:t>Estimated cost of EV charging per building — summary</w:t>
      </w:r>
      <w:bookmarkEnd w:id="5015"/>
      <w:bookmarkEnd w:id="5016"/>
    </w:p>
    <w:tbl>
      <w:tblPr>
        <w:tblW w:w="0" w:type="auto"/>
        <w:tblLayout w:type="fixed"/>
        <w:tblLook w:val="0000" w:firstRow="0" w:lastRow="0" w:firstColumn="0" w:lastColumn="0" w:noHBand="0" w:noVBand="0"/>
        <w:tblCaption w:val="Table 5.12"/>
        <w:tblDescription w:val="Estimated cost of EV charging per building — summary"/>
      </w:tblPr>
      <w:tblGrid>
        <w:gridCol w:w="4439"/>
        <w:gridCol w:w="1244"/>
        <w:gridCol w:w="1264"/>
        <w:gridCol w:w="990"/>
      </w:tblGrid>
      <w:tr w:rsidR="006568C5" w:rsidRPr="00492AD6" w14:paraId="2B44004C" w14:textId="77777777">
        <w:trPr>
          <w:trHeight w:val="490"/>
          <w:tblHeader/>
        </w:trPr>
        <w:tc>
          <w:tcPr>
            <w:tcW w:w="4439" w:type="dxa"/>
            <w:shd w:val="clear" w:color="auto" w:fill="6F6652"/>
            <w:tcMar>
              <w:left w:w="57" w:type="dxa"/>
              <w:right w:w="57" w:type="dxa"/>
            </w:tcMar>
          </w:tcPr>
          <w:p w14:paraId="63C5B1F8" w14:textId="77777777" w:rsidR="006568C5" w:rsidRPr="00492AD6" w:rsidRDefault="006568C5">
            <w:pPr>
              <w:pStyle w:val="TableDataColumnHeading"/>
              <w:jc w:val="left"/>
              <w:rPr>
                <w:color w:val="FFFFFF" w:themeColor="background1"/>
              </w:rPr>
            </w:pPr>
            <w:r w:rsidRPr="00492AD6">
              <w:rPr>
                <w:color w:val="FFFFFF" w:themeColor="background1"/>
              </w:rPr>
              <w:t xml:space="preserve">Building </w:t>
            </w:r>
            <w:r>
              <w:rPr>
                <w:color w:val="FFFFFF" w:themeColor="background1"/>
              </w:rPr>
              <w:t>type</w:t>
            </w:r>
          </w:p>
        </w:tc>
        <w:tc>
          <w:tcPr>
            <w:tcW w:w="1244" w:type="dxa"/>
            <w:shd w:val="clear" w:color="auto" w:fill="6F6652"/>
            <w:tcMar>
              <w:left w:w="57" w:type="dxa"/>
              <w:right w:w="57" w:type="dxa"/>
            </w:tcMar>
          </w:tcPr>
          <w:p w14:paraId="324953A2" w14:textId="77777777" w:rsidR="006568C5" w:rsidRPr="00372838" w:rsidRDefault="006568C5">
            <w:pPr>
              <w:pStyle w:val="TableDataColumnHeading"/>
              <w:rPr>
                <w:rStyle w:val="NoteLabel"/>
                <w:color w:val="FFFFFF" w:themeColor="background1"/>
              </w:rPr>
            </w:pPr>
            <w:r w:rsidRPr="00492AD6">
              <w:rPr>
                <w:color w:val="FFFFFF" w:themeColor="background1"/>
              </w:rPr>
              <w:t>Unit cost per charger</w:t>
            </w:r>
            <w:r w:rsidRPr="00372838">
              <w:rPr>
                <w:rStyle w:val="NoteLabel"/>
                <w:color w:val="FFFFFF" w:themeColor="background1"/>
              </w:rPr>
              <w:t xml:space="preserve"> a</w:t>
            </w:r>
          </w:p>
          <w:p w14:paraId="421A2DD7" w14:textId="77777777" w:rsidR="006568C5" w:rsidRPr="00492AD6" w:rsidRDefault="006568C5">
            <w:pPr>
              <w:pStyle w:val="TableDataColumnHeading"/>
              <w:rPr>
                <w:color w:val="FFFFFF" w:themeColor="background1"/>
              </w:rPr>
            </w:pPr>
            <w:r w:rsidRPr="00492AD6">
              <w:rPr>
                <w:color w:val="FFFFFF" w:themeColor="background1"/>
              </w:rPr>
              <w:t>$</w:t>
            </w:r>
          </w:p>
        </w:tc>
        <w:tc>
          <w:tcPr>
            <w:tcW w:w="1264" w:type="dxa"/>
            <w:shd w:val="clear" w:color="auto" w:fill="6F6652"/>
            <w:tcMar>
              <w:left w:w="57" w:type="dxa"/>
              <w:right w:w="57" w:type="dxa"/>
            </w:tcMar>
          </w:tcPr>
          <w:p w14:paraId="015D6F98" w14:textId="77777777" w:rsidR="006568C5" w:rsidRPr="00372838" w:rsidRDefault="006568C5">
            <w:pPr>
              <w:pStyle w:val="TableDataColumnHeading"/>
              <w:rPr>
                <w:rStyle w:val="NoteLabel"/>
                <w:color w:val="FFFFFF" w:themeColor="background1"/>
              </w:rPr>
            </w:pPr>
            <w:r w:rsidRPr="00492AD6">
              <w:rPr>
                <w:color w:val="FFFFFF" w:themeColor="background1"/>
              </w:rPr>
              <w:t>Number of chargers</w:t>
            </w:r>
            <w:r w:rsidRPr="00372838">
              <w:rPr>
                <w:rStyle w:val="NoteLabel"/>
                <w:color w:val="FFFFFF" w:themeColor="background1"/>
              </w:rPr>
              <w:t xml:space="preserve"> b</w:t>
            </w:r>
          </w:p>
          <w:p w14:paraId="788ECF91" w14:textId="77777777" w:rsidR="006568C5" w:rsidRPr="00492AD6" w:rsidRDefault="006568C5">
            <w:pPr>
              <w:pStyle w:val="TableDataColumnHeading"/>
              <w:rPr>
                <w:color w:val="FFFFFF" w:themeColor="background1"/>
              </w:rPr>
            </w:pPr>
            <w:r w:rsidRPr="00492AD6">
              <w:rPr>
                <w:color w:val="FFFFFF" w:themeColor="background1"/>
              </w:rPr>
              <w:t>No.</w:t>
            </w:r>
          </w:p>
        </w:tc>
        <w:tc>
          <w:tcPr>
            <w:tcW w:w="990" w:type="dxa"/>
            <w:shd w:val="clear" w:color="auto" w:fill="6F6652"/>
            <w:tcMar>
              <w:left w:w="57" w:type="dxa"/>
              <w:right w:w="57" w:type="dxa"/>
            </w:tcMar>
          </w:tcPr>
          <w:p w14:paraId="19BDD41B" w14:textId="77777777" w:rsidR="006568C5" w:rsidRPr="00A0206C" w:rsidRDefault="006568C5">
            <w:pPr>
              <w:pStyle w:val="TableDataColumnHeading"/>
              <w:rPr>
                <w:rStyle w:val="NoteLabel"/>
                <w:color w:val="FFFFFF" w:themeColor="background1"/>
              </w:rPr>
            </w:pPr>
            <w:r w:rsidRPr="00492AD6">
              <w:rPr>
                <w:color w:val="FFFFFF" w:themeColor="background1"/>
              </w:rPr>
              <w:t>Total</w:t>
            </w:r>
            <w:r w:rsidRPr="00A0206C">
              <w:rPr>
                <w:rStyle w:val="NoteLabel"/>
                <w:color w:val="FFFFFF" w:themeColor="background1"/>
              </w:rPr>
              <w:t xml:space="preserve"> a</w:t>
            </w:r>
          </w:p>
          <w:p w14:paraId="227EDA84" w14:textId="77777777" w:rsidR="006568C5" w:rsidRPr="00492AD6" w:rsidRDefault="006568C5">
            <w:pPr>
              <w:pStyle w:val="TableDataColumnHeading"/>
              <w:spacing w:before="0" w:after="0"/>
              <w:rPr>
                <w:color w:val="FFFFFF" w:themeColor="background1"/>
              </w:rPr>
            </w:pPr>
          </w:p>
          <w:p w14:paraId="7791B119" w14:textId="77777777" w:rsidR="006568C5" w:rsidRPr="00492AD6" w:rsidRDefault="006568C5">
            <w:pPr>
              <w:pStyle w:val="TableDataColumnHeading"/>
              <w:spacing w:before="0" w:after="0"/>
              <w:rPr>
                <w:color w:val="FFFFFF" w:themeColor="background1"/>
              </w:rPr>
            </w:pPr>
            <w:r w:rsidRPr="00492AD6">
              <w:rPr>
                <w:color w:val="FFFFFF" w:themeColor="background1"/>
              </w:rPr>
              <w:t>$</w:t>
            </w:r>
          </w:p>
        </w:tc>
      </w:tr>
      <w:tr w:rsidR="006568C5" w:rsidRPr="00492AD6" w14:paraId="6A42CAB4" w14:textId="77777777">
        <w:trPr>
          <w:trHeight w:val="245"/>
        </w:trPr>
        <w:tc>
          <w:tcPr>
            <w:tcW w:w="443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CC32F5" w14:textId="77777777" w:rsidR="006568C5" w:rsidRPr="00492AD6" w:rsidRDefault="006568C5">
            <w:pPr>
              <w:pStyle w:val="TableDataEntries"/>
              <w:jc w:val="left"/>
              <w:rPr>
                <w:color w:val="000000" w:themeColor="text1"/>
              </w:rPr>
            </w:pPr>
            <w:r w:rsidRPr="00492AD6">
              <w:rPr>
                <w:color w:val="000000" w:themeColor="text1"/>
              </w:rPr>
              <w:t>Hotel (Class 3)</w:t>
            </w:r>
          </w:p>
        </w:tc>
        <w:tc>
          <w:tcPr>
            <w:tcW w:w="124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36CBC88E" w14:textId="77777777" w:rsidR="006568C5" w:rsidRPr="00492AD6" w:rsidRDefault="006568C5">
            <w:pPr>
              <w:pStyle w:val="TableDataEntries"/>
              <w:rPr>
                <w:color w:val="000000" w:themeColor="text1"/>
              </w:rPr>
            </w:pPr>
            <w:r w:rsidRPr="00492AD6">
              <w:rPr>
                <w:color w:val="000000" w:themeColor="text1"/>
                <w:szCs w:val="16"/>
              </w:rPr>
              <w:t>15,223</w:t>
            </w:r>
          </w:p>
        </w:tc>
        <w:tc>
          <w:tcPr>
            <w:tcW w:w="12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42D9CAA0" w14:textId="77777777" w:rsidR="006568C5" w:rsidRPr="00492AD6" w:rsidRDefault="006568C5">
            <w:pPr>
              <w:pStyle w:val="TableDataEntries"/>
              <w:rPr>
                <w:color w:val="000000" w:themeColor="text1"/>
              </w:rPr>
            </w:pPr>
            <w:r w:rsidRPr="00492AD6">
              <w:rPr>
                <w:color w:val="000000" w:themeColor="text1"/>
                <w:szCs w:val="16"/>
              </w:rPr>
              <w:t>7</w:t>
            </w:r>
          </w:p>
        </w:tc>
        <w:tc>
          <w:tcPr>
            <w:tcW w:w="9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383F2A33" w14:textId="77777777" w:rsidR="006568C5" w:rsidRPr="00492AD6" w:rsidRDefault="006568C5">
            <w:pPr>
              <w:pStyle w:val="TableDataEntries"/>
              <w:rPr>
                <w:color w:val="000000" w:themeColor="text1"/>
              </w:rPr>
            </w:pPr>
            <w:r w:rsidRPr="00492AD6">
              <w:rPr>
                <w:color w:val="000000" w:themeColor="text1"/>
                <w:szCs w:val="16"/>
              </w:rPr>
              <w:t>106,559</w:t>
            </w:r>
          </w:p>
        </w:tc>
      </w:tr>
      <w:tr w:rsidR="006568C5" w:rsidRPr="00492AD6" w14:paraId="6771251D" w14:textId="77777777">
        <w:trPr>
          <w:trHeight w:val="245"/>
        </w:trPr>
        <w:tc>
          <w:tcPr>
            <w:tcW w:w="443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F6755FA" w14:textId="77777777" w:rsidR="006568C5" w:rsidRPr="00492AD6" w:rsidRDefault="006568C5">
            <w:pPr>
              <w:pStyle w:val="TableDataEntries"/>
              <w:jc w:val="left"/>
              <w:rPr>
                <w:color w:val="000000" w:themeColor="text1"/>
              </w:rPr>
            </w:pPr>
            <w:r w:rsidRPr="00492AD6">
              <w:rPr>
                <w:color w:val="000000" w:themeColor="text1"/>
              </w:rPr>
              <w:t>Office building (Class 5)</w:t>
            </w:r>
          </w:p>
        </w:tc>
        <w:tc>
          <w:tcPr>
            <w:tcW w:w="124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5A5A1197" w14:textId="77777777" w:rsidR="006568C5" w:rsidRPr="00492AD6" w:rsidRDefault="006568C5">
            <w:pPr>
              <w:pStyle w:val="TableDataEntries"/>
              <w:rPr>
                <w:color w:val="000000" w:themeColor="text1"/>
              </w:rPr>
            </w:pPr>
            <w:r w:rsidRPr="00492AD6">
              <w:rPr>
                <w:color w:val="000000" w:themeColor="text1"/>
                <w:szCs w:val="16"/>
              </w:rPr>
              <w:t>15,223</w:t>
            </w:r>
          </w:p>
        </w:tc>
        <w:tc>
          <w:tcPr>
            <w:tcW w:w="12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4C61A96B" w14:textId="77777777" w:rsidR="006568C5" w:rsidRPr="00492AD6" w:rsidRDefault="006568C5">
            <w:pPr>
              <w:pStyle w:val="TableDataEntries"/>
              <w:rPr>
                <w:color w:val="000000" w:themeColor="text1"/>
              </w:rPr>
            </w:pPr>
            <w:r w:rsidRPr="00492AD6">
              <w:rPr>
                <w:color w:val="000000" w:themeColor="text1"/>
                <w:szCs w:val="16"/>
              </w:rPr>
              <w:t>5</w:t>
            </w:r>
          </w:p>
        </w:tc>
        <w:tc>
          <w:tcPr>
            <w:tcW w:w="9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59AD465C" w14:textId="77777777" w:rsidR="006568C5" w:rsidRPr="00492AD6" w:rsidRDefault="006568C5">
            <w:pPr>
              <w:pStyle w:val="TableDataEntries"/>
              <w:rPr>
                <w:color w:val="000000" w:themeColor="text1"/>
              </w:rPr>
            </w:pPr>
            <w:r w:rsidRPr="00492AD6">
              <w:rPr>
                <w:color w:val="000000" w:themeColor="text1"/>
                <w:szCs w:val="16"/>
              </w:rPr>
              <w:t>76,114</w:t>
            </w:r>
          </w:p>
        </w:tc>
      </w:tr>
      <w:tr w:rsidR="006568C5" w:rsidRPr="00492AD6" w14:paraId="36A83A2C" w14:textId="77777777">
        <w:trPr>
          <w:trHeight w:val="245"/>
        </w:trPr>
        <w:tc>
          <w:tcPr>
            <w:tcW w:w="443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A9C6BD" w14:textId="77777777" w:rsidR="006568C5" w:rsidRPr="00492AD6" w:rsidRDefault="006568C5">
            <w:pPr>
              <w:pStyle w:val="TableDataEntries"/>
              <w:jc w:val="left"/>
              <w:rPr>
                <w:color w:val="000000" w:themeColor="text1"/>
              </w:rPr>
            </w:pPr>
            <w:r w:rsidRPr="00492AD6">
              <w:rPr>
                <w:color w:val="000000" w:themeColor="text1"/>
              </w:rPr>
              <w:t>Warehouse (Class 7b)</w:t>
            </w:r>
          </w:p>
        </w:tc>
        <w:tc>
          <w:tcPr>
            <w:tcW w:w="124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5E3A2E81" w14:textId="77777777" w:rsidR="006568C5" w:rsidRPr="00492AD6" w:rsidRDefault="006568C5">
            <w:pPr>
              <w:pStyle w:val="TableDataEntries"/>
              <w:rPr>
                <w:color w:val="000000" w:themeColor="text1"/>
              </w:rPr>
            </w:pPr>
            <w:r w:rsidRPr="00492AD6">
              <w:rPr>
                <w:color w:val="000000" w:themeColor="text1"/>
                <w:szCs w:val="16"/>
              </w:rPr>
              <w:t>15,505</w:t>
            </w:r>
          </w:p>
        </w:tc>
        <w:tc>
          <w:tcPr>
            <w:tcW w:w="12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7916EFCA" w14:textId="77777777" w:rsidR="006568C5" w:rsidRPr="00492AD6" w:rsidRDefault="006568C5">
            <w:pPr>
              <w:pStyle w:val="TableDataEntries"/>
              <w:rPr>
                <w:color w:val="000000" w:themeColor="text1"/>
              </w:rPr>
            </w:pPr>
            <w:r w:rsidRPr="00492AD6">
              <w:rPr>
                <w:color w:val="000000" w:themeColor="text1"/>
                <w:szCs w:val="16"/>
              </w:rPr>
              <w:t>10</w:t>
            </w:r>
          </w:p>
        </w:tc>
        <w:tc>
          <w:tcPr>
            <w:tcW w:w="9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7FFA0BEB" w14:textId="77777777" w:rsidR="006568C5" w:rsidRPr="00492AD6" w:rsidRDefault="006568C5">
            <w:pPr>
              <w:pStyle w:val="TableDataEntries"/>
              <w:rPr>
                <w:color w:val="000000" w:themeColor="text1"/>
              </w:rPr>
            </w:pPr>
            <w:r w:rsidRPr="00492AD6">
              <w:rPr>
                <w:color w:val="000000" w:themeColor="text1"/>
                <w:szCs w:val="16"/>
              </w:rPr>
              <w:t>155,045</w:t>
            </w:r>
          </w:p>
        </w:tc>
      </w:tr>
      <w:tr w:rsidR="006568C5" w:rsidRPr="00492AD6" w14:paraId="606EA5C1" w14:textId="77777777">
        <w:trPr>
          <w:trHeight w:val="245"/>
        </w:trPr>
        <w:tc>
          <w:tcPr>
            <w:tcW w:w="443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ECC70F0" w14:textId="77777777" w:rsidR="006568C5" w:rsidRPr="00492AD6" w:rsidRDefault="006568C5">
            <w:pPr>
              <w:pStyle w:val="TableDataEntries"/>
              <w:jc w:val="left"/>
              <w:rPr>
                <w:color w:val="000000" w:themeColor="text1"/>
              </w:rPr>
            </w:pPr>
            <w:r w:rsidRPr="00492AD6">
              <w:rPr>
                <w:color w:val="000000" w:themeColor="text1"/>
              </w:rPr>
              <w:t>Laboratory (Class 8(1))</w:t>
            </w:r>
          </w:p>
        </w:tc>
        <w:tc>
          <w:tcPr>
            <w:tcW w:w="124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3415A7EA" w14:textId="77777777" w:rsidR="006568C5" w:rsidRPr="00492AD6" w:rsidRDefault="006568C5">
            <w:pPr>
              <w:pStyle w:val="TableDataEntries"/>
              <w:rPr>
                <w:color w:val="000000" w:themeColor="text1"/>
              </w:rPr>
            </w:pPr>
            <w:r w:rsidRPr="00492AD6">
              <w:rPr>
                <w:color w:val="000000" w:themeColor="text1"/>
                <w:szCs w:val="16"/>
              </w:rPr>
              <w:t>15,505</w:t>
            </w:r>
          </w:p>
        </w:tc>
        <w:tc>
          <w:tcPr>
            <w:tcW w:w="12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3DD7983F" w14:textId="77777777" w:rsidR="006568C5" w:rsidRPr="00492AD6" w:rsidRDefault="006568C5">
            <w:pPr>
              <w:pStyle w:val="TableDataEntries"/>
              <w:rPr>
                <w:color w:val="000000" w:themeColor="text1"/>
              </w:rPr>
            </w:pPr>
            <w:r w:rsidRPr="00492AD6">
              <w:rPr>
                <w:color w:val="000000" w:themeColor="text1"/>
                <w:szCs w:val="16"/>
              </w:rPr>
              <w:t>10</w:t>
            </w:r>
          </w:p>
        </w:tc>
        <w:tc>
          <w:tcPr>
            <w:tcW w:w="9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12F8735E" w14:textId="77777777" w:rsidR="006568C5" w:rsidRPr="00492AD6" w:rsidRDefault="006568C5">
            <w:pPr>
              <w:pStyle w:val="TableDataEntries"/>
              <w:rPr>
                <w:color w:val="000000" w:themeColor="text1"/>
              </w:rPr>
            </w:pPr>
            <w:r w:rsidRPr="00492AD6">
              <w:rPr>
                <w:color w:val="000000" w:themeColor="text1"/>
                <w:szCs w:val="16"/>
              </w:rPr>
              <w:t>155,045</w:t>
            </w:r>
          </w:p>
        </w:tc>
      </w:tr>
      <w:tr w:rsidR="006568C5" w:rsidRPr="00492AD6" w14:paraId="03530CD3" w14:textId="77777777">
        <w:trPr>
          <w:trHeight w:val="245"/>
        </w:trPr>
        <w:tc>
          <w:tcPr>
            <w:tcW w:w="443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D9B755" w14:textId="77777777" w:rsidR="006568C5" w:rsidRPr="00492AD6" w:rsidRDefault="006568C5">
            <w:pPr>
              <w:pStyle w:val="TableDataEntries"/>
              <w:jc w:val="left"/>
              <w:rPr>
                <w:color w:val="000000" w:themeColor="text1"/>
              </w:rPr>
            </w:pPr>
            <w:r w:rsidRPr="00492AD6">
              <w:rPr>
                <w:color w:val="000000" w:themeColor="text1"/>
              </w:rPr>
              <w:t>Factory (Class 8(2))</w:t>
            </w:r>
          </w:p>
        </w:tc>
        <w:tc>
          <w:tcPr>
            <w:tcW w:w="124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2E5ADFAB" w14:textId="77777777" w:rsidR="006568C5" w:rsidRPr="00492AD6" w:rsidRDefault="006568C5">
            <w:pPr>
              <w:pStyle w:val="TableDataEntries"/>
              <w:rPr>
                <w:color w:val="000000" w:themeColor="text1"/>
              </w:rPr>
            </w:pPr>
            <w:r w:rsidRPr="00492AD6">
              <w:rPr>
                <w:color w:val="000000" w:themeColor="text1"/>
                <w:szCs w:val="16"/>
              </w:rPr>
              <w:t>15,505</w:t>
            </w:r>
          </w:p>
        </w:tc>
        <w:tc>
          <w:tcPr>
            <w:tcW w:w="12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6F4367E7" w14:textId="77777777" w:rsidR="006568C5" w:rsidRPr="00492AD6" w:rsidRDefault="006568C5">
            <w:pPr>
              <w:pStyle w:val="TableDataEntries"/>
              <w:rPr>
                <w:color w:val="000000" w:themeColor="text1"/>
              </w:rPr>
            </w:pPr>
            <w:r w:rsidRPr="00492AD6">
              <w:rPr>
                <w:color w:val="000000" w:themeColor="text1"/>
                <w:szCs w:val="16"/>
              </w:rPr>
              <w:t>10</w:t>
            </w:r>
          </w:p>
        </w:tc>
        <w:tc>
          <w:tcPr>
            <w:tcW w:w="9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07F5FF62" w14:textId="77777777" w:rsidR="006568C5" w:rsidRPr="00492AD6" w:rsidRDefault="006568C5">
            <w:pPr>
              <w:pStyle w:val="TableDataEntries"/>
              <w:rPr>
                <w:color w:val="000000" w:themeColor="text1"/>
              </w:rPr>
            </w:pPr>
            <w:r w:rsidRPr="00492AD6">
              <w:rPr>
                <w:color w:val="000000" w:themeColor="text1"/>
                <w:szCs w:val="16"/>
              </w:rPr>
              <w:t>155,045</w:t>
            </w:r>
          </w:p>
        </w:tc>
      </w:tr>
      <w:tr w:rsidR="006568C5" w:rsidRPr="00492AD6" w14:paraId="51AEA767" w14:textId="77777777">
        <w:trPr>
          <w:trHeight w:val="245"/>
        </w:trPr>
        <w:tc>
          <w:tcPr>
            <w:tcW w:w="443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41FB34D" w14:textId="77777777" w:rsidR="006568C5" w:rsidRPr="00492AD6" w:rsidRDefault="006568C5">
            <w:pPr>
              <w:pStyle w:val="TableDataEntries"/>
              <w:jc w:val="left"/>
              <w:rPr>
                <w:color w:val="000000" w:themeColor="text1"/>
              </w:rPr>
            </w:pPr>
            <w:r w:rsidRPr="00492AD6">
              <w:rPr>
                <w:color w:val="000000" w:themeColor="text1"/>
              </w:rPr>
              <w:t>Hospital (Class 9a)</w:t>
            </w:r>
          </w:p>
        </w:tc>
        <w:tc>
          <w:tcPr>
            <w:tcW w:w="124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6F2E50BD" w14:textId="77777777" w:rsidR="006568C5" w:rsidRPr="00492AD6" w:rsidRDefault="006568C5">
            <w:pPr>
              <w:pStyle w:val="TableDataEntries"/>
              <w:rPr>
                <w:color w:val="000000" w:themeColor="text1"/>
              </w:rPr>
            </w:pPr>
            <w:r w:rsidRPr="00492AD6">
              <w:rPr>
                <w:color w:val="000000" w:themeColor="text1"/>
                <w:szCs w:val="16"/>
              </w:rPr>
              <w:t>15,223</w:t>
            </w:r>
          </w:p>
        </w:tc>
        <w:tc>
          <w:tcPr>
            <w:tcW w:w="12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5EDC433E" w14:textId="77777777" w:rsidR="006568C5" w:rsidRPr="00492AD6" w:rsidRDefault="006568C5">
            <w:pPr>
              <w:pStyle w:val="TableDataEntries"/>
              <w:rPr>
                <w:color w:val="000000" w:themeColor="text1"/>
              </w:rPr>
            </w:pPr>
            <w:r w:rsidRPr="00492AD6">
              <w:rPr>
                <w:color w:val="000000" w:themeColor="text1"/>
                <w:szCs w:val="16"/>
              </w:rPr>
              <w:t>30</w:t>
            </w:r>
          </w:p>
        </w:tc>
        <w:tc>
          <w:tcPr>
            <w:tcW w:w="99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430C809C" w14:textId="77777777" w:rsidR="006568C5" w:rsidRPr="00492AD6" w:rsidRDefault="006568C5">
            <w:pPr>
              <w:pStyle w:val="TableDataEntries"/>
              <w:rPr>
                <w:color w:val="000000" w:themeColor="text1"/>
              </w:rPr>
            </w:pPr>
            <w:r w:rsidRPr="00492AD6">
              <w:rPr>
                <w:color w:val="000000" w:themeColor="text1"/>
                <w:szCs w:val="16"/>
              </w:rPr>
              <w:t>456,683</w:t>
            </w:r>
          </w:p>
        </w:tc>
      </w:tr>
      <w:tr w:rsidR="006568C5" w:rsidRPr="00492AD6" w14:paraId="37442F24" w14:textId="77777777">
        <w:trPr>
          <w:trHeight w:val="245"/>
        </w:trPr>
        <w:tc>
          <w:tcPr>
            <w:tcW w:w="4439" w:type="dxa"/>
            <w:tcBorders>
              <w:top w:val="single" w:sz="8" w:space="0" w:color="FFFFFF" w:themeColor="background1"/>
              <w:bottom w:val="single" w:sz="6" w:space="0" w:color="6F6652"/>
            </w:tcBorders>
            <w:shd w:val="clear" w:color="auto" w:fill="E9E8E5" w:themeFill="background2"/>
            <w:tcMar>
              <w:left w:w="57" w:type="dxa"/>
              <w:right w:w="57" w:type="dxa"/>
            </w:tcMar>
          </w:tcPr>
          <w:p w14:paraId="3459063E" w14:textId="77777777" w:rsidR="006568C5" w:rsidRPr="00492AD6" w:rsidRDefault="006568C5">
            <w:pPr>
              <w:pStyle w:val="TableDataEntries"/>
              <w:jc w:val="left"/>
              <w:rPr>
                <w:color w:val="000000" w:themeColor="text1"/>
              </w:rPr>
            </w:pPr>
            <w:r w:rsidRPr="00492AD6">
              <w:rPr>
                <w:color w:val="000000" w:themeColor="text1"/>
              </w:rPr>
              <w:t>Aged care facility (Class 9c)</w:t>
            </w:r>
          </w:p>
        </w:tc>
        <w:tc>
          <w:tcPr>
            <w:tcW w:w="1244" w:type="dxa"/>
            <w:tcBorders>
              <w:top w:val="single" w:sz="8" w:space="0" w:color="FFFFFF" w:themeColor="background1"/>
              <w:bottom w:val="single" w:sz="6" w:space="0" w:color="6F6652"/>
            </w:tcBorders>
            <w:shd w:val="clear" w:color="auto" w:fill="E9E8E5" w:themeFill="background2"/>
            <w:tcMar>
              <w:left w:w="57" w:type="dxa"/>
              <w:right w:w="57" w:type="dxa"/>
            </w:tcMar>
            <w:vAlign w:val="center"/>
          </w:tcPr>
          <w:p w14:paraId="56513A9C" w14:textId="77777777" w:rsidR="006568C5" w:rsidRPr="00492AD6" w:rsidRDefault="006568C5">
            <w:pPr>
              <w:pStyle w:val="TableDataEntries"/>
              <w:rPr>
                <w:color w:val="000000" w:themeColor="text1"/>
              </w:rPr>
            </w:pPr>
            <w:r w:rsidRPr="00492AD6">
              <w:rPr>
                <w:color w:val="000000" w:themeColor="text1"/>
                <w:szCs w:val="16"/>
              </w:rPr>
              <w:t>15,223</w:t>
            </w:r>
          </w:p>
        </w:tc>
        <w:tc>
          <w:tcPr>
            <w:tcW w:w="1264" w:type="dxa"/>
            <w:tcBorders>
              <w:top w:val="single" w:sz="8" w:space="0" w:color="FFFFFF" w:themeColor="background1"/>
              <w:bottom w:val="single" w:sz="6" w:space="0" w:color="6F6652"/>
            </w:tcBorders>
            <w:shd w:val="clear" w:color="auto" w:fill="E9E8E5" w:themeFill="background2"/>
            <w:tcMar>
              <w:left w:w="57" w:type="dxa"/>
              <w:right w:w="57" w:type="dxa"/>
            </w:tcMar>
            <w:vAlign w:val="center"/>
          </w:tcPr>
          <w:p w14:paraId="05425475" w14:textId="77777777" w:rsidR="006568C5" w:rsidRPr="00492AD6" w:rsidRDefault="006568C5">
            <w:pPr>
              <w:pStyle w:val="TableDataEntries"/>
              <w:rPr>
                <w:color w:val="000000" w:themeColor="text1"/>
              </w:rPr>
            </w:pPr>
            <w:r w:rsidRPr="00492AD6">
              <w:rPr>
                <w:color w:val="000000" w:themeColor="text1"/>
                <w:szCs w:val="16"/>
              </w:rPr>
              <w:t>30</w:t>
            </w:r>
          </w:p>
        </w:tc>
        <w:tc>
          <w:tcPr>
            <w:tcW w:w="990" w:type="dxa"/>
            <w:tcBorders>
              <w:top w:val="single" w:sz="8" w:space="0" w:color="FFFFFF" w:themeColor="background1"/>
              <w:bottom w:val="single" w:sz="6" w:space="0" w:color="6F6652"/>
            </w:tcBorders>
            <w:shd w:val="clear" w:color="auto" w:fill="E9E8E5" w:themeFill="background2"/>
            <w:tcMar>
              <w:left w:w="57" w:type="dxa"/>
              <w:right w:w="57" w:type="dxa"/>
            </w:tcMar>
            <w:vAlign w:val="center"/>
          </w:tcPr>
          <w:p w14:paraId="5CAEC18D" w14:textId="77777777" w:rsidR="006568C5" w:rsidRPr="00492AD6" w:rsidRDefault="006568C5">
            <w:pPr>
              <w:pStyle w:val="TableDataEntries"/>
              <w:rPr>
                <w:color w:val="000000" w:themeColor="text1"/>
              </w:rPr>
            </w:pPr>
            <w:r w:rsidRPr="00492AD6">
              <w:rPr>
                <w:color w:val="000000" w:themeColor="text1"/>
                <w:szCs w:val="16"/>
              </w:rPr>
              <w:t>456,683</w:t>
            </w:r>
          </w:p>
        </w:tc>
      </w:tr>
    </w:tbl>
    <w:p w14:paraId="4DD147A7" w14:textId="77777777" w:rsidR="006568C5" w:rsidRPr="00492AD6" w:rsidRDefault="006568C5" w:rsidP="006568C5">
      <w:pPr>
        <w:pStyle w:val="Note"/>
        <w:rPr>
          <w:color w:val="000000" w:themeColor="text1"/>
        </w:rPr>
      </w:pPr>
      <w:r w:rsidRPr="00492AD6">
        <w:rPr>
          <w:rStyle w:val="NoteLabel"/>
          <w:color w:val="000000" w:themeColor="text1"/>
        </w:rPr>
        <w:t>a</w:t>
      </w:r>
      <w:r w:rsidRPr="00492AD6">
        <w:rPr>
          <w:color w:val="000000" w:themeColor="text1"/>
        </w:rPr>
        <w:t xml:space="preserve"> Present value calculated over 50-year life of building, using a discount rate of 5 per cent. </w:t>
      </w:r>
      <w:r w:rsidRPr="00492AD6">
        <w:rPr>
          <w:rStyle w:val="NoteLabel"/>
          <w:color w:val="000000" w:themeColor="text1"/>
        </w:rPr>
        <w:t xml:space="preserve">B </w:t>
      </w:r>
      <w:r w:rsidRPr="00492AD6">
        <w:rPr>
          <w:color w:val="000000" w:themeColor="text1"/>
        </w:rPr>
        <w:t>Assumes 10-20 per cent of car park spaces are installed with chargers.</w:t>
      </w:r>
    </w:p>
    <w:p w14:paraId="70B6A7C2" w14:textId="77777777" w:rsidR="006568C5" w:rsidRPr="00492AD6" w:rsidRDefault="006568C5" w:rsidP="006568C5">
      <w:pPr>
        <w:pStyle w:val="Source"/>
        <w:rPr>
          <w:color w:val="000000" w:themeColor="text1"/>
          <w:lang w:bidi="fa-IR"/>
        </w:rPr>
      </w:pPr>
      <w:r w:rsidRPr="00492AD6">
        <w:rPr>
          <w:i/>
          <w:color w:val="000000" w:themeColor="text1"/>
          <w:lang w:bidi="fa-IR"/>
        </w:rPr>
        <w:t>Source:</w:t>
      </w:r>
      <w:r w:rsidRPr="00492AD6">
        <w:rPr>
          <w:color w:val="000000" w:themeColor="text1"/>
          <w:lang w:bidi="fa-IR"/>
        </w:rPr>
        <w:t xml:space="preserve"> See tables </w:t>
      </w:r>
      <w:r w:rsidRPr="00492AD6">
        <w:rPr>
          <w:color w:val="000000" w:themeColor="text1"/>
          <w:lang w:bidi="fa-IR"/>
        </w:rPr>
        <w:fldChar w:fldCharType="begin" w:fldLock="1"/>
      </w:r>
      <w:r w:rsidRPr="00492AD6">
        <w:rPr>
          <w:color w:val="000000" w:themeColor="text1"/>
          <w:lang w:bidi="fa-IR"/>
        </w:rPr>
        <w:instrText xml:space="preserve"> REF _Caption9981 </w:instrText>
      </w:r>
      <w:r w:rsidRPr="00492AD6">
        <w:rPr>
          <w:color w:val="000000" w:themeColor="text1"/>
          <w:lang w:bidi="fa-IR"/>
        </w:rPr>
        <w:fldChar w:fldCharType="separate"/>
      </w:r>
      <w:r w:rsidRPr="00492AD6">
        <w:rPr>
          <w:noProof/>
          <w:color w:val="000000" w:themeColor="text1"/>
        </w:rPr>
        <w:t>5.14</w:t>
      </w:r>
      <w:r w:rsidRPr="00492AD6">
        <w:rPr>
          <w:color w:val="000000" w:themeColor="text1"/>
          <w:lang w:bidi="fa-IR"/>
        </w:rPr>
        <w:fldChar w:fldCharType="end"/>
      </w:r>
      <w:r w:rsidRPr="00492AD6">
        <w:rPr>
          <w:color w:val="000000" w:themeColor="text1"/>
          <w:lang w:bidi="fa-IR"/>
        </w:rPr>
        <w:t xml:space="preserve"> and </w:t>
      </w:r>
      <w:r w:rsidRPr="00492AD6">
        <w:rPr>
          <w:color w:val="000000" w:themeColor="text1"/>
          <w:lang w:bidi="fa-IR"/>
        </w:rPr>
        <w:fldChar w:fldCharType="begin" w:fldLock="1"/>
      </w:r>
      <w:r w:rsidRPr="00492AD6">
        <w:rPr>
          <w:color w:val="000000" w:themeColor="text1"/>
          <w:lang w:bidi="fa-IR"/>
        </w:rPr>
        <w:instrText xml:space="preserve"> REF _Caption4526 </w:instrText>
      </w:r>
      <w:r w:rsidRPr="00492AD6">
        <w:rPr>
          <w:color w:val="000000" w:themeColor="text1"/>
          <w:lang w:bidi="fa-IR"/>
        </w:rPr>
        <w:fldChar w:fldCharType="separate"/>
      </w:r>
      <w:r w:rsidRPr="00492AD6">
        <w:rPr>
          <w:noProof/>
          <w:color w:val="000000" w:themeColor="text1"/>
        </w:rPr>
        <w:t>5.15</w:t>
      </w:r>
      <w:r w:rsidRPr="00492AD6">
        <w:rPr>
          <w:color w:val="000000" w:themeColor="text1"/>
          <w:lang w:bidi="fa-IR"/>
        </w:rPr>
        <w:fldChar w:fldCharType="end"/>
      </w:r>
      <w:r w:rsidRPr="00492AD6">
        <w:rPr>
          <w:color w:val="000000" w:themeColor="text1"/>
          <w:lang w:bidi="fa-IR"/>
        </w:rPr>
        <w:t xml:space="preserve"> below.</w:t>
      </w:r>
    </w:p>
    <w:p w14:paraId="2A4EB25E" w14:textId="77777777" w:rsidR="006568C5" w:rsidRPr="00844A6E" w:rsidRDefault="006568C5" w:rsidP="006568C5">
      <w:pPr>
        <w:pStyle w:val="BodyText"/>
        <w:rPr>
          <w:szCs w:val="22"/>
          <w:lang w:eastAsia="en-US" w:bidi="fa-IR"/>
        </w:rPr>
      </w:pPr>
      <w:r w:rsidRPr="00844A6E">
        <w:rPr>
          <w:szCs w:val="22"/>
          <w:lang w:eastAsia="en-US" w:bidi="fa-IR"/>
        </w:rPr>
        <w:t xml:space="preserve">These costs do not include those associated with obtaining additional electrical capacity. The EV charging provisions are designed to </w:t>
      </w:r>
      <w:r>
        <w:rPr>
          <w:szCs w:val="22"/>
          <w:lang w:eastAsia="en-US" w:bidi="fa-IR"/>
        </w:rPr>
        <w:t>use</w:t>
      </w:r>
      <w:r w:rsidRPr="00844A6E">
        <w:rPr>
          <w:szCs w:val="22"/>
          <w:lang w:eastAsia="en-US" w:bidi="fa-IR"/>
        </w:rPr>
        <w:t xml:space="preserve"> spare capacity, which is often used for only short periods within a year. As such, EV charging facilities would be configured to switch off in the event that the building is approaching capacity meaning that EV charging would not be available in peak periods. However, this is not expected to significantly reduce availability of EV charging as peak capacity typically occurs for short periods.</w:t>
      </w:r>
    </w:p>
    <w:p w14:paraId="281D816A" w14:textId="77777777" w:rsidR="006568C5" w:rsidRPr="00473130" w:rsidRDefault="006568C5" w:rsidP="006568C5">
      <w:pPr>
        <w:pStyle w:val="Heading3"/>
        <w:rPr>
          <w:lang w:bidi="fa-IR"/>
        </w:rPr>
      </w:pPr>
      <w:r>
        <w:rPr>
          <w:lang w:bidi="fa-IR"/>
        </w:rPr>
        <w:t>Internal car parks</w:t>
      </w:r>
    </w:p>
    <w:p w14:paraId="0EFA7B01" w14:textId="15C72EC3" w:rsidR="006568C5" w:rsidRPr="00844A6E" w:rsidRDefault="006568C5" w:rsidP="006568C5">
      <w:pPr>
        <w:pStyle w:val="BodyText"/>
        <w:rPr>
          <w:szCs w:val="22"/>
          <w:lang w:bidi="fa-IR"/>
        </w:rPr>
      </w:pPr>
      <w:r w:rsidRPr="00844A6E">
        <w:rPr>
          <w:szCs w:val="22"/>
          <w:lang w:bidi="fa-IR"/>
        </w:rPr>
        <w:t xml:space="preserve">In present value terms, the unit cost of EV charging equipment in an internal carpark is estimated at $15,223 per charger over the life of the building (50 years) using a discount rate of 5 per </w:t>
      </w:r>
      <w:r w:rsidRPr="009135E8">
        <w:rPr>
          <w:szCs w:val="22"/>
          <w:lang w:bidi="fa-IR"/>
        </w:rPr>
        <w:t>cent (table </w:t>
      </w:r>
      <w:r w:rsidR="009135E8" w:rsidRPr="009135E8">
        <w:rPr>
          <w:szCs w:val="22"/>
          <w:lang w:bidi="fa-IR"/>
        </w:rPr>
        <w:t>8</w:t>
      </w:r>
      <w:r w:rsidR="009135E8">
        <w:rPr>
          <w:szCs w:val="22"/>
          <w:lang w:bidi="fa-IR"/>
        </w:rPr>
        <w:t>.3</w:t>
      </w:r>
      <w:r w:rsidRPr="00844A6E">
        <w:rPr>
          <w:szCs w:val="22"/>
          <w:lang w:bidi="fa-IR"/>
        </w:rPr>
        <w:t>). This includes:</w:t>
      </w:r>
    </w:p>
    <w:p w14:paraId="3A4D9162" w14:textId="6DFE5E3D" w:rsidR="006568C5" w:rsidRPr="00946984" w:rsidRDefault="006568C5" w:rsidP="006568C5">
      <w:pPr>
        <w:pStyle w:val="ListBullet"/>
        <w:tabs>
          <w:tab w:val="num" w:pos="709"/>
        </w:tabs>
      </w:pPr>
      <w:r w:rsidRPr="00946984">
        <w:t>Upfront costs for equipment and installation of around $3 849,</w:t>
      </w:r>
      <w:r w:rsidRPr="003D507B">
        <w:rPr>
          <w:rStyle w:val="FootnoteReference"/>
        </w:rPr>
        <w:footnoteReference w:id="133"/>
      </w:r>
      <w:r w:rsidRPr="003D507B">
        <w:rPr>
          <w:rStyle w:val="FootnoteReference"/>
        </w:rPr>
        <w:t xml:space="preserve"> </w:t>
      </w:r>
      <w:r w:rsidRPr="00946984">
        <w:t>which we assume needs to be replaced every 20 years (in line with the assumptions about other equipment, and using the same treatment of residual values);</w:t>
      </w:r>
    </w:p>
    <w:p w14:paraId="4CCF2309" w14:textId="77777777" w:rsidR="006568C5" w:rsidRPr="00946984" w:rsidRDefault="006568C5" w:rsidP="006568C5">
      <w:pPr>
        <w:pStyle w:val="ListBullet"/>
        <w:tabs>
          <w:tab w:val="num" w:pos="709"/>
        </w:tabs>
      </w:pPr>
      <w:r w:rsidRPr="00946984">
        <w:t>Annual maintenance costs of $500, which is $9 584 in present value terms over the 50-year life of the building, using a discount rate of 5 per cent.</w:t>
      </w:r>
    </w:p>
    <w:p w14:paraId="417FE038" w14:textId="59BDC03B" w:rsidR="006568C5" w:rsidRPr="006F0F88" w:rsidRDefault="006568C5" w:rsidP="009B4D09">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w:instrText>
      </w:r>
      <w:fldSimple w:instr=" STYLEREF &quot;Heading 1&quot; \l \n ">
        <w:r w:rsidR="00520F9E">
          <w:rPr>
            <w:noProof/>
          </w:rPr>
          <w:instrText>8</w:instrText>
        </w:r>
      </w:fldSimple>
      <w:r w:rsidRPr="006F0F88">
        <w:instrText xml:space="preserve">." </w:instrText>
      </w:r>
      <w:r w:rsidRPr="006F0F88">
        <w:fldChar w:fldCharType="separate"/>
      </w:r>
      <w:r w:rsidR="00520F9E">
        <w:rPr>
          <w:noProof/>
        </w:rPr>
        <w:instrText>8</w:instrText>
      </w:r>
      <w:r w:rsidR="00520F9E"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8</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520F9E">
        <w:rPr>
          <w:noProof/>
        </w:rPr>
        <w:instrText>3</w:instrText>
      </w:r>
      <w:r w:rsidRPr="006F0F88">
        <w:fldChar w:fldCharType="end"/>
      </w:r>
      <w:r w:rsidRPr="006F0F88">
        <w:instrText xml:space="preserve">" "" </w:instrText>
      </w:r>
      <w:r w:rsidRPr="006F0F88">
        <w:fldChar w:fldCharType="separate"/>
      </w:r>
      <w:bookmarkStart w:id="5017" w:name="_Caption6955"/>
      <w:bookmarkStart w:id="5018" w:name="_Caption1948"/>
      <w:bookmarkStart w:id="5019" w:name="_Caption6409"/>
      <w:bookmarkStart w:id="5020" w:name="_Caption7122"/>
      <w:bookmarkStart w:id="5021" w:name="_Caption5205"/>
      <w:bookmarkStart w:id="5022" w:name="_Caption4303"/>
      <w:bookmarkStart w:id="5023" w:name="_Caption2339"/>
      <w:bookmarkStart w:id="5024" w:name="_Caption6847"/>
      <w:bookmarkStart w:id="5025" w:name="_Caption0513"/>
      <w:bookmarkStart w:id="5026" w:name="_Caption9571"/>
      <w:bookmarkStart w:id="5027" w:name="_Caption7606"/>
      <w:bookmarkStart w:id="5028" w:name="_Caption3602"/>
      <w:bookmarkStart w:id="5029" w:name="_Caption1000"/>
      <w:bookmarkStart w:id="5030" w:name="_Caption5978"/>
      <w:bookmarkStart w:id="5031" w:name="_Caption5874"/>
      <w:bookmarkStart w:id="5032" w:name="_Caption0270"/>
      <w:bookmarkStart w:id="5033" w:name="_Caption3186"/>
      <w:bookmarkStart w:id="5034" w:name="_Caption5551"/>
      <w:bookmarkStart w:id="5035" w:name="_Caption4258"/>
      <w:bookmarkStart w:id="5036" w:name="_Caption3308"/>
      <w:bookmarkStart w:id="5037" w:name="_Caption3905"/>
      <w:bookmarkStart w:id="5038" w:name="_Caption6099"/>
      <w:bookmarkStart w:id="5039" w:name="_Caption4213"/>
      <w:bookmarkStart w:id="5040" w:name="_Caption6178"/>
      <w:bookmarkStart w:id="5041" w:name="_Caption1973"/>
      <w:bookmarkStart w:id="5042" w:name="_Caption8210"/>
      <w:bookmarkStart w:id="5043" w:name="_Caption7721"/>
      <w:bookmarkStart w:id="5044" w:name="_Caption7204"/>
      <w:bookmarkStart w:id="5045" w:name="_Caption9905"/>
      <w:bookmarkStart w:id="5046" w:name="_Caption1234"/>
      <w:bookmarkStart w:id="5047" w:name="_Caption4789"/>
      <w:bookmarkStart w:id="5048" w:name="_Caption2781"/>
      <w:bookmarkStart w:id="5049" w:name="_Caption0438"/>
      <w:bookmarkStart w:id="5050" w:name="_Caption8373"/>
      <w:bookmarkStart w:id="5051" w:name="_Caption1830"/>
      <w:bookmarkStart w:id="5052" w:name="_Caption6204"/>
      <w:bookmarkStart w:id="5053" w:name="_Caption6015"/>
      <w:bookmarkStart w:id="5054" w:name="_Caption6981"/>
      <w:bookmarkStart w:id="5055" w:name="_Caption3945"/>
      <w:bookmarkStart w:id="5056" w:name="_Caption7086"/>
      <w:bookmarkStart w:id="5057" w:name="_Caption6771"/>
      <w:bookmarkStart w:id="5058" w:name="_Caption3733"/>
      <w:bookmarkStart w:id="5059" w:name="_Caption2776"/>
      <w:bookmarkStart w:id="5060" w:name="_Caption7113"/>
      <w:bookmarkStart w:id="5061" w:name="_Caption4147"/>
      <w:bookmarkStart w:id="5062" w:name="_Caption6592"/>
      <w:bookmarkStart w:id="5063" w:name="_Caption4448"/>
      <w:bookmarkStart w:id="5064" w:name="_Caption8860"/>
      <w:bookmarkStart w:id="5065" w:name="_Caption2453"/>
      <w:bookmarkStart w:id="5066" w:name="_Caption5400"/>
      <w:bookmarkStart w:id="5067" w:name="_Caption5985"/>
      <w:bookmarkStart w:id="5068" w:name="_Caption5042"/>
      <w:bookmarkStart w:id="5069" w:name="_Caption3926"/>
      <w:bookmarkStart w:id="5070" w:name="_Caption4003"/>
      <w:bookmarkStart w:id="5071" w:name="_Caption9981"/>
      <w:bookmarkStart w:id="5072" w:name="_Caption3908"/>
      <w:bookmarkStart w:id="5073" w:name="_Caption1582"/>
      <w:bookmarkStart w:id="5074" w:name="_Caption2948"/>
      <w:bookmarkStart w:id="5075" w:name="_Caption0488"/>
      <w:bookmarkStart w:id="5076" w:name="_Caption1094"/>
      <w:bookmarkStart w:id="5077" w:name="_Caption6433"/>
      <w:bookmarkStart w:id="5078" w:name="_Caption4175"/>
      <w:bookmarkStart w:id="5079" w:name="_Caption0107"/>
      <w:bookmarkStart w:id="5080" w:name="_Caption4130"/>
      <w:bookmarkStart w:id="5081" w:name="_Caption9916"/>
      <w:bookmarkStart w:id="5082" w:name="_Caption7831"/>
      <w:bookmarkStart w:id="5083" w:name="_Caption5620"/>
      <w:bookmarkStart w:id="5084" w:name="_Caption0971"/>
      <w:bookmarkStart w:id="5085" w:name="_Caption7927"/>
      <w:bookmarkStart w:id="5086" w:name="_Caption2430"/>
      <w:bookmarkStart w:id="5087" w:name="_Caption9656"/>
      <w:bookmarkStart w:id="5088" w:name="_Caption5841"/>
      <w:bookmarkStart w:id="5089" w:name="_Caption3077"/>
      <w:bookmarkStart w:id="5090" w:name="_Caption0371"/>
      <w:bookmarkStart w:id="5091" w:name="_Caption2477"/>
      <w:bookmarkStart w:id="5092" w:name="_Caption4037"/>
      <w:bookmarkStart w:id="5093" w:name="_Caption4426"/>
      <w:bookmarkStart w:id="5094" w:name="_Caption7929"/>
      <w:bookmarkStart w:id="5095" w:name="_Caption8170"/>
      <w:bookmarkStart w:id="5096" w:name="_Caption1749"/>
      <w:bookmarkStart w:id="5097" w:name="_Caption2275"/>
      <w:bookmarkStart w:id="5098" w:name="_Caption5676"/>
      <w:bookmarkStart w:id="5099" w:name="_Caption9031"/>
      <w:bookmarkStart w:id="5100" w:name="_Caption5968"/>
      <w:bookmarkStart w:id="5101" w:name="_Caption3397"/>
      <w:bookmarkStart w:id="5102" w:name="_Caption9252"/>
      <w:bookmarkStart w:id="5103" w:name="_Caption5756"/>
      <w:bookmarkStart w:id="5104" w:name="_Caption5812"/>
      <w:bookmarkStart w:id="5105" w:name="_Caption8484"/>
      <w:bookmarkStart w:id="5106" w:name="_Caption6067"/>
      <w:bookmarkStart w:id="5107" w:name="_Caption9989"/>
      <w:bookmarkStart w:id="5108" w:name="_Caption4116"/>
      <w:bookmarkStart w:id="5109" w:name="_Caption3301"/>
      <w:bookmarkStart w:id="5110" w:name="_Caption9564"/>
      <w:bookmarkStart w:id="5111" w:name="_Caption5333"/>
      <w:bookmarkStart w:id="5112" w:name="_Caption4617"/>
      <w:bookmarkStart w:id="5113" w:name="_Caption7683"/>
      <w:bookmarkStart w:id="5114" w:name="_Caption0432"/>
      <w:bookmarkStart w:id="5115" w:name="_Caption1520"/>
      <w:bookmarkStart w:id="5116" w:name="_Caption1386"/>
      <w:bookmarkStart w:id="5117" w:name="_Caption5019"/>
      <w:bookmarkStart w:id="5118" w:name="_Caption1266"/>
      <w:bookmarkStart w:id="5119" w:name="_Toc177735192"/>
      <w:bookmarkStart w:id="5120" w:name="_Toc178292627"/>
      <w:r w:rsidR="008C60A3">
        <w:rPr>
          <w:noProof/>
        </w:rPr>
        <w:t>8</w:t>
      </w:r>
      <w:r w:rsidR="008C60A3" w:rsidRPr="006F0F88">
        <w:rPr>
          <w:noProof/>
        </w:rPr>
        <w:t>.</w:t>
      </w:r>
      <w:r w:rsidR="008C60A3">
        <w:rPr>
          <w:noProof/>
        </w:rPr>
        <w:t>3</w:t>
      </w:r>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r w:rsidRPr="006F0F88">
        <w:fldChar w:fldCharType="end"/>
      </w:r>
      <w:r w:rsidRPr="006F0F88">
        <w:tab/>
        <w:t>Unit cost of charger installation — Internal car parks</w:t>
      </w:r>
      <w:bookmarkEnd w:id="5119"/>
      <w:bookmarkEnd w:id="5120"/>
    </w:p>
    <w:tbl>
      <w:tblPr>
        <w:tblW w:w="0" w:type="auto"/>
        <w:tblLayout w:type="fixed"/>
        <w:tblLook w:val="0000" w:firstRow="0" w:lastRow="0" w:firstColumn="0" w:lastColumn="0" w:noHBand="0" w:noVBand="0"/>
        <w:tblCaption w:val="Table 5.13"/>
        <w:tblDescription w:val="Unit cost of charger installation — Internal car parks"/>
      </w:tblPr>
      <w:tblGrid>
        <w:gridCol w:w="4439"/>
        <w:gridCol w:w="948"/>
        <w:gridCol w:w="992"/>
        <w:gridCol w:w="1558"/>
      </w:tblGrid>
      <w:tr w:rsidR="006568C5" w14:paraId="44DA22B8" w14:textId="77777777">
        <w:trPr>
          <w:trHeight w:val="734"/>
          <w:tblHeader/>
        </w:trPr>
        <w:tc>
          <w:tcPr>
            <w:tcW w:w="4439" w:type="dxa"/>
            <w:shd w:val="clear" w:color="auto" w:fill="6F6652"/>
            <w:tcMar>
              <w:left w:w="57" w:type="dxa"/>
              <w:right w:w="57" w:type="dxa"/>
            </w:tcMar>
          </w:tcPr>
          <w:p w14:paraId="61C996EA" w14:textId="77777777" w:rsidR="006568C5" w:rsidRDefault="006568C5">
            <w:pPr>
              <w:pStyle w:val="TableDataColumnHeading"/>
              <w:jc w:val="left"/>
            </w:pPr>
            <w:r>
              <w:t>Cost item</w:t>
            </w:r>
          </w:p>
        </w:tc>
        <w:tc>
          <w:tcPr>
            <w:tcW w:w="948" w:type="dxa"/>
            <w:shd w:val="clear" w:color="auto" w:fill="6F6652"/>
            <w:tcMar>
              <w:left w:w="57" w:type="dxa"/>
              <w:right w:w="57" w:type="dxa"/>
            </w:tcMar>
          </w:tcPr>
          <w:p w14:paraId="0DAF6F4B" w14:textId="77777777" w:rsidR="006568C5" w:rsidRPr="00492AD6" w:rsidRDefault="006568C5">
            <w:pPr>
              <w:pStyle w:val="TableDataColumnHeading"/>
              <w:rPr>
                <w:color w:val="FFFFFF" w:themeColor="background1"/>
              </w:rPr>
            </w:pPr>
            <w:r w:rsidRPr="00492AD6">
              <w:rPr>
                <w:color w:val="FFFFFF" w:themeColor="background1"/>
              </w:rPr>
              <w:t>Upfront cost</w:t>
            </w:r>
          </w:p>
          <w:p w14:paraId="1E4D5362" w14:textId="77777777" w:rsidR="006568C5" w:rsidRPr="00492AD6" w:rsidRDefault="006568C5">
            <w:pPr>
              <w:pStyle w:val="TableDataColumnHeading"/>
              <w:rPr>
                <w:color w:val="FFFFFF" w:themeColor="background1"/>
              </w:rPr>
            </w:pPr>
            <w:r w:rsidRPr="00492AD6">
              <w:rPr>
                <w:color w:val="FFFFFF" w:themeColor="background1"/>
              </w:rPr>
              <w:t>$</w:t>
            </w:r>
          </w:p>
        </w:tc>
        <w:tc>
          <w:tcPr>
            <w:tcW w:w="992" w:type="dxa"/>
            <w:shd w:val="clear" w:color="auto" w:fill="6F6652"/>
            <w:tcMar>
              <w:left w:w="57" w:type="dxa"/>
              <w:right w:w="57" w:type="dxa"/>
            </w:tcMar>
          </w:tcPr>
          <w:p w14:paraId="1784A6DA" w14:textId="77777777" w:rsidR="006568C5" w:rsidRPr="00492AD6" w:rsidRDefault="006568C5">
            <w:pPr>
              <w:pStyle w:val="TableDataColumnHeading"/>
              <w:rPr>
                <w:color w:val="FFFFFF" w:themeColor="background1"/>
              </w:rPr>
            </w:pPr>
            <w:r w:rsidRPr="00492AD6">
              <w:rPr>
                <w:color w:val="FFFFFF" w:themeColor="background1"/>
              </w:rPr>
              <w:t>Annual costs</w:t>
            </w:r>
          </w:p>
          <w:p w14:paraId="5701C146" w14:textId="77777777" w:rsidR="006568C5" w:rsidRPr="00492AD6" w:rsidRDefault="006568C5">
            <w:pPr>
              <w:pStyle w:val="TableDataColumnHeading"/>
              <w:rPr>
                <w:color w:val="FFFFFF" w:themeColor="background1"/>
              </w:rPr>
            </w:pPr>
            <w:r w:rsidRPr="00492AD6">
              <w:rPr>
                <w:color w:val="FFFFFF" w:themeColor="background1"/>
              </w:rPr>
              <w:t>$</w:t>
            </w:r>
          </w:p>
        </w:tc>
        <w:tc>
          <w:tcPr>
            <w:tcW w:w="1558" w:type="dxa"/>
            <w:shd w:val="clear" w:color="auto" w:fill="6F6652"/>
            <w:tcMar>
              <w:left w:w="57" w:type="dxa"/>
              <w:right w:w="57" w:type="dxa"/>
            </w:tcMar>
          </w:tcPr>
          <w:p w14:paraId="79609097" w14:textId="77777777" w:rsidR="006568C5" w:rsidRPr="00492AD6" w:rsidRDefault="006568C5">
            <w:pPr>
              <w:pStyle w:val="TableDataColumnHeading"/>
              <w:rPr>
                <w:rStyle w:val="NoteLabel"/>
              </w:rPr>
            </w:pPr>
            <w:r w:rsidRPr="00492AD6">
              <w:rPr>
                <w:color w:val="FFFFFF" w:themeColor="background1"/>
              </w:rPr>
              <w:t>Present value over building life</w:t>
            </w:r>
            <w:r w:rsidRPr="00122E1E">
              <w:rPr>
                <w:rStyle w:val="NoteLabel"/>
                <w:color w:val="FFFFFF" w:themeColor="background1"/>
              </w:rPr>
              <w:t>a</w:t>
            </w:r>
          </w:p>
          <w:p w14:paraId="0897DBDB" w14:textId="77777777" w:rsidR="006568C5" w:rsidRPr="00492AD6" w:rsidRDefault="006568C5">
            <w:pPr>
              <w:pStyle w:val="TableDataColumnHeading"/>
              <w:rPr>
                <w:color w:val="FFFFFF" w:themeColor="background1"/>
              </w:rPr>
            </w:pPr>
            <w:r w:rsidRPr="00492AD6">
              <w:rPr>
                <w:color w:val="FFFFFF" w:themeColor="background1"/>
              </w:rPr>
              <w:t>$</w:t>
            </w:r>
          </w:p>
        </w:tc>
      </w:tr>
      <w:tr w:rsidR="006568C5" w:rsidRPr="00492AD6" w14:paraId="05A9A0C4" w14:textId="77777777">
        <w:trPr>
          <w:trHeight w:val="245"/>
        </w:trPr>
        <w:tc>
          <w:tcPr>
            <w:tcW w:w="443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F72D597" w14:textId="77777777" w:rsidR="006568C5" w:rsidRPr="00492AD6" w:rsidRDefault="006568C5">
            <w:pPr>
              <w:pStyle w:val="TableDataEntries"/>
              <w:jc w:val="left"/>
              <w:rPr>
                <w:color w:val="000000" w:themeColor="text1"/>
              </w:rPr>
            </w:pPr>
            <w:r w:rsidRPr="00492AD6">
              <w:rPr>
                <w:color w:val="000000" w:themeColor="text1"/>
              </w:rPr>
              <w:t>Supply, installation and commissioning (including LMS)</w:t>
            </w:r>
          </w:p>
        </w:tc>
        <w:tc>
          <w:tcPr>
            <w:tcW w:w="9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78FF82" w14:textId="77777777" w:rsidR="006568C5" w:rsidRPr="00492AD6" w:rsidRDefault="006568C5">
            <w:pPr>
              <w:pStyle w:val="TableDataEntries"/>
              <w:rPr>
                <w:color w:val="000000" w:themeColor="text1"/>
              </w:rPr>
            </w:pPr>
            <w:r w:rsidRPr="00492AD6">
              <w:rPr>
                <w:color w:val="000000" w:themeColor="text1"/>
              </w:rPr>
              <w:t>2,988</w:t>
            </w:r>
          </w:p>
        </w:tc>
        <w:tc>
          <w:tcPr>
            <w:tcW w:w="99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EF0F99" w14:textId="77777777" w:rsidR="006568C5" w:rsidRPr="00492AD6" w:rsidRDefault="006568C5">
            <w:pPr>
              <w:pStyle w:val="TableDataEntries"/>
              <w:rPr>
                <w:color w:val="000000" w:themeColor="text1"/>
              </w:rPr>
            </w:pPr>
            <w:r w:rsidRPr="00492AD6">
              <w:rPr>
                <w:color w:val="000000" w:themeColor="text1"/>
              </w:rPr>
              <w:t xml:space="preserve"> 0</w:t>
            </w:r>
          </w:p>
        </w:tc>
        <w:tc>
          <w:tcPr>
            <w:tcW w:w="15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5360D51" w14:textId="77777777" w:rsidR="006568C5" w:rsidRPr="00492AD6" w:rsidRDefault="006568C5">
            <w:pPr>
              <w:pStyle w:val="TableDataEntries"/>
              <w:rPr>
                <w:color w:val="000000" w:themeColor="text1"/>
              </w:rPr>
            </w:pPr>
            <w:r w:rsidRPr="00492AD6">
              <w:rPr>
                <w:color w:val="000000" w:themeColor="text1"/>
              </w:rPr>
              <w:t>4,377</w:t>
            </w:r>
          </w:p>
        </w:tc>
      </w:tr>
      <w:tr w:rsidR="006568C5" w:rsidRPr="00492AD6" w14:paraId="38E69FCF" w14:textId="77777777">
        <w:trPr>
          <w:trHeight w:val="245"/>
        </w:trPr>
        <w:tc>
          <w:tcPr>
            <w:tcW w:w="443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89257E" w14:textId="77777777" w:rsidR="006568C5" w:rsidRPr="00492AD6" w:rsidRDefault="006568C5">
            <w:pPr>
              <w:pStyle w:val="TableDataEntries"/>
              <w:jc w:val="left"/>
              <w:rPr>
                <w:color w:val="000000" w:themeColor="text1"/>
              </w:rPr>
            </w:pPr>
            <w:r w:rsidRPr="00492AD6">
              <w:rPr>
                <w:color w:val="000000" w:themeColor="text1"/>
              </w:rPr>
              <w:t>Supply, install data cable</w:t>
            </w:r>
          </w:p>
        </w:tc>
        <w:tc>
          <w:tcPr>
            <w:tcW w:w="9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7025A5" w14:textId="77777777" w:rsidR="006568C5" w:rsidRPr="00492AD6" w:rsidRDefault="006568C5">
            <w:pPr>
              <w:pStyle w:val="TableDataEntries"/>
              <w:rPr>
                <w:color w:val="000000" w:themeColor="text1"/>
              </w:rPr>
            </w:pPr>
            <w:r w:rsidRPr="00492AD6">
              <w:rPr>
                <w:color w:val="000000" w:themeColor="text1"/>
              </w:rPr>
              <w:t xml:space="preserve"> 586</w:t>
            </w:r>
          </w:p>
        </w:tc>
        <w:tc>
          <w:tcPr>
            <w:tcW w:w="99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06100BC" w14:textId="77777777" w:rsidR="006568C5" w:rsidRPr="00492AD6" w:rsidRDefault="006568C5">
            <w:pPr>
              <w:pStyle w:val="TableDataEntries"/>
              <w:rPr>
                <w:color w:val="000000" w:themeColor="text1"/>
              </w:rPr>
            </w:pPr>
            <w:r w:rsidRPr="00492AD6">
              <w:rPr>
                <w:color w:val="000000" w:themeColor="text1"/>
              </w:rPr>
              <w:t xml:space="preserve"> 0</w:t>
            </w:r>
          </w:p>
        </w:tc>
        <w:tc>
          <w:tcPr>
            <w:tcW w:w="15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466054F" w14:textId="77777777" w:rsidR="006568C5" w:rsidRPr="00492AD6" w:rsidRDefault="006568C5">
            <w:pPr>
              <w:pStyle w:val="TableDataEntries"/>
              <w:rPr>
                <w:color w:val="000000" w:themeColor="text1"/>
              </w:rPr>
            </w:pPr>
            <w:r w:rsidRPr="00492AD6">
              <w:rPr>
                <w:color w:val="000000" w:themeColor="text1"/>
              </w:rPr>
              <w:t xml:space="preserve"> 858</w:t>
            </w:r>
          </w:p>
        </w:tc>
      </w:tr>
      <w:tr w:rsidR="006568C5" w:rsidRPr="00492AD6" w14:paraId="2C83486A" w14:textId="77777777">
        <w:trPr>
          <w:trHeight w:val="245"/>
        </w:trPr>
        <w:tc>
          <w:tcPr>
            <w:tcW w:w="443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8DA890" w14:textId="77777777" w:rsidR="006568C5" w:rsidRPr="00492AD6" w:rsidRDefault="006568C5">
            <w:pPr>
              <w:pStyle w:val="TableDataEntries"/>
              <w:jc w:val="left"/>
              <w:rPr>
                <w:color w:val="000000" w:themeColor="text1"/>
              </w:rPr>
            </w:pPr>
            <w:r w:rsidRPr="00492AD6">
              <w:rPr>
                <w:color w:val="000000" w:themeColor="text1"/>
              </w:rPr>
              <w:t>Billing platform</w:t>
            </w:r>
          </w:p>
        </w:tc>
        <w:tc>
          <w:tcPr>
            <w:tcW w:w="9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88400E" w14:textId="77777777" w:rsidR="006568C5" w:rsidRPr="00492AD6" w:rsidRDefault="006568C5">
            <w:pPr>
              <w:pStyle w:val="TableDataEntries"/>
              <w:rPr>
                <w:color w:val="000000" w:themeColor="text1"/>
              </w:rPr>
            </w:pPr>
            <w:r w:rsidRPr="00492AD6">
              <w:rPr>
                <w:color w:val="000000" w:themeColor="text1"/>
              </w:rPr>
              <w:t xml:space="preserve"> 275</w:t>
            </w:r>
          </w:p>
        </w:tc>
        <w:tc>
          <w:tcPr>
            <w:tcW w:w="99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90E2536" w14:textId="77777777" w:rsidR="006568C5" w:rsidRPr="00492AD6" w:rsidRDefault="006568C5">
            <w:pPr>
              <w:pStyle w:val="TableDataEntries"/>
              <w:rPr>
                <w:color w:val="000000" w:themeColor="text1"/>
              </w:rPr>
            </w:pPr>
            <w:r w:rsidRPr="00492AD6">
              <w:rPr>
                <w:color w:val="000000" w:themeColor="text1"/>
              </w:rPr>
              <w:t xml:space="preserve"> 0</w:t>
            </w:r>
          </w:p>
        </w:tc>
        <w:tc>
          <w:tcPr>
            <w:tcW w:w="15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B68E71" w14:textId="77777777" w:rsidR="006568C5" w:rsidRPr="00492AD6" w:rsidRDefault="006568C5">
            <w:pPr>
              <w:pStyle w:val="TableDataEntries"/>
              <w:rPr>
                <w:color w:val="000000" w:themeColor="text1"/>
              </w:rPr>
            </w:pPr>
            <w:r w:rsidRPr="00492AD6">
              <w:rPr>
                <w:color w:val="000000" w:themeColor="text1"/>
              </w:rPr>
              <w:t xml:space="preserve"> 403</w:t>
            </w:r>
          </w:p>
        </w:tc>
      </w:tr>
      <w:tr w:rsidR="006568C5" w:rsidRPr="00492AD6" w14:paraId="17CBD627" w14:textId="77777777">
        <w:trPr>
          <w:trHeight w:val="245"/>
        </w:trPr>
        <w:tc>
          <w:tcPr>
            <w:tcW w:w="443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7DC94C" w14:textId="77777777" w:rsidR="006568C5" w:rsidRPr="00492AD6" w:rsidRDefault="006568C5">
            <w:pPr>
              <w:pStyle w:val="TableDataEntries"/>
              <w:jc w:val="left"/>
              <w:rPr>
                <w:color w:val="000000" w:themeColor="text1"/>
              </w:rPr>
            </w:pPr>
            <w:r w:rsidRPr="00492AD6">
              <w:rPr>
                <w:color w:val="000000" w:themeColor="text1"/>
              </w:rPr>
              <w:t>Maintenance</w:t>
            </w:r>
          </w:p>
        </w:tc>
        <w:tc>
          <w:tcPr>
            <w:tcW w:w="94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BA04AB1" w14:textId="77777777" w:rsidR="006568C5" w:rsidRPr="00492AD6" w:rsidRDefault="006568C5">
            <w:pPr>
              <w:pStyle w:val="TableDataEntries"/>
              <w:rPr>
                <w:color w:val="000000" w:themeColor="text1"/>
              </w:rPr>
            </w:pPr>
            <w:r w:rsidRPr="00492AD6">
              <w:rPr>
                <w:color w:val="000000" w:themeColor="text1"/>
              </w:rPr>
              <w:t xml:space="preserve"> 0</w:t>
            </w:r>
          </w:p>
        </w:tc>
        <w:tc>
          <w:tcPr>
            <w:tcW w:w="99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F5E3939" w14:textId="77777777" w:rsidR="006568C5" w:rsidRPr="00492AD6" w:rsidRDefault="006568C5">
            <w:pPr>
              <w:pStyle w:val="TableDataEntries"/>
              <w:rPr>
                <w:color w:val="000000" w:themeColor="text1"/>
              </w:rPr>
            </w:pPr>
            <w:r w:rsidRPr="00492AD6">
              <w:rPr>
                <w:color w:val="000000" w:themeColor="text1"/>
              </w:rPr>
              <w:t xml:space="preserve"> 500</w:t>
            </w:r>
          </w:p>
        </w:tc>
        <w:tc>
          <w:tcPr>
            <w:tcW w:w="155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CC62024" w14:textId="77777777" w:rsidR="006568C5" w:rsidRPr="00492AD6" w:rsidRDefault="006568C5">
            <w:pPr>
              <w:pStyle w:val="TableDataEntries"/>
              <w:rPr>
                <w:color w:val="000000" w:themeColor="text1"/>
              </w:rPr>
            </w:pPr>
            <w:r w:rsidRPr="00492AD6">
              <w:rPr>
                <w:color w:val="000000" w:themeColor="text1"/>
              </w:rPr>
              <w:t>9,584</w:t>
            </w:r>
          </w:p>
        </w:tc>
      </w:tr>
      <w:tr w:rsidR="006568C5" w:rsidRPr="00492AD6" w14:paraId="383D70CC" w14:textId="77777777">
        <w:trPr>
          <w:trHeight w:val="245"/>
        </w:trPr>
        <w:tc>
          <w:tcPr>
            <w:tcW w:w="4439"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1E35E2E" w14:textId="77777777" w:rsidR="006568C5" w:rsidRPr="00492AD6" w:rsidRDefault="006568C5">
            <w:pPr>
              <w:pStyle w:val="TableDataEntries"/>
              <w:jc w:val="left"/>
              <w:rPr>
                <w:rFonts w:ascii="Franklin Gothic Demi" w:hAnsi="Franklin Gothic Demi"/>
                <w:color w:val="000000" w:themeColor="text1"/>
              </w:rPr>
            </w:pPr>
            <w:r w:rsidRPr="00492AD6">
              <w:rPr>
                <w:rFonts w:ascii="Franklin Gothic Demi" w:hAnsi="Franklin Gothic Demi"/>
                <w:color w:val="000000" w:themeColor="text1"/>
              </w:rPr>
              <w:t>Total</w:t>
            </w:r>
          </w:p>
        </w:tc>
        <w:tc>
          <w:tcPr>
            <w:tcW w:w="948"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AA0AD2E" w14:textId="77777777" w:rsidR="006568C5" w:rsidRPr="00492AD6" w:rsidRDefault="006568C5">
            <w:pPr>
              <w:pStyle w:val="TableDataEntries"/>
              <w:rPr>
                <w:rFonts w:ascii="Franklin Gothic Demi" w:hAnsi="Franklin Gothic Demi"/>
                <w:color w:val="000000" w:themeColor="text1"/>
              </w:rPr>
            </w:pPr>
            <w:r w:rsidRPr="00492AD6">
              <w:rPr>
                <w:rFonts w:ascii="Franklin Gothic Demi" w:hAnsi="Franklin Gothic Demi"/>
                <w:color w:val="000000" w:themeColor="text1"/>
              </w:rPr>
              <w:t>3,849</w:t>
            </w:r>
          </w:p>
        </w:tc>
        <w:tc>
          <w:tcPr>
            <w:tcW w:w="992"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1208678" w14:textId="77777777" w:rsidR="006568C5" w:rsidRPr="00492AD6" w:rsidRDefault="006568C5">
            <w:pPr>
              <w:pStyle w:val="TableDataEntries"/>
              <w:rPr>
                <w:rFonts w:ascii="Franklin Gothic Demi" w:hAnsi="Franklin Gothic Demi"/>
                <w:color w:val="000000" w:themeColor="text1"/>
              </w:rPr>
            </w:pPr>
            <w:r w:rsidRPr="00492AD6">
              <w:rPr>
                <w:rFonts w:ascii="Franklin Gothic Demi" w:hAnsi="Franklin Gothic Demi"/>
                <w:color w:val="000000" w:themeColor="text1"/>
              </w:rPr>
              <w:t xml:space="preserve"> 500</w:t>
            </w:r>
          </w:p>
        </w:tc>
        <w:tc>
          <w:tcPr>
            <w:tcW w:w="1558"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7D3825F" w14:textId="77777777" w:rsidR="006568C5" w:rsidRPr="00492AD6" w:rsidRDefault="006568C5">
            <w:pPr>
              <w:pStyle w:val="TableDataEntries"/>
              <w:rPr>
                <w:rFonts w:ascii="Franklin Gothic Demi" w:hAnsi="Franklin Gothic Demi"/>
                <w:color w:val="000000" w:themeColor="text1"/>
              </w:rPr>
            </w:pPr>
            <w:r w:rsidRPr="00492AD6">
              <w:rPr>
                <w:rFonts w:ascii="Franklin Gothic Demi" w:hAnsi="Franklin Gothic Demi"/>
                <w:color w:val="000000" w:themeColor="text1"/>
              </w:rPr>
              <w:t>15,223</w:t>
            </w:r>
          </w:p>
        </w:tc>
      </w:tr>
    </w:tbl>
    <w:p w14:paraId="281D065F" w14:textId="77777777" w:rsidR="006568C5" w:rsidRPr="00492AD6" w:rsidRDefault="006568C5" w:rsidP="006568C5">
      <w:pPr>
        <w:pStyle w:val="Note"/>
        <w:rPr>
          <w:color w:val="000000" w:themeColor="text1"/>
        </w:rPr>
      </w:pPr>
      <w:r w:rsidRPr="00492AD6">
        <w:rPr>
          <w:rStyle w:val="NoteLabel"/>
          <w:color w:val="000000" w:themeColor="text1"/>
        </w:rPr>
        <w:t>a</w:t>
      </w:r>
      <w:r w:rsidRPr="00492AD6">
        <w:rPr>
          <w:color w:val="000000" w:themeColor="text1"/>
        </w:rPr>
        <w:t xml:space="preserve"> Present value calculated over 50-year life of the building, using a discount rate of 5 per cent.</w:t>
      </w:r>
    </w:p>
    <w:p w14:paraId="7C8A3031" w14:textId="77777777" w:rsidR="006568C5" w:rsidRPr="00492AD6" w:rsidRDefault="006568C5" w:rsidP="006568C5">
      <w:pPr>
        <w:pStyle w:val="Source"/>
        <w:rPr>
          <w:color w:val="000000" w:themeColor="text1"/>
          <w:lang w:bidi="fa-IR"/>
        </w:rPr>
      </w:pPr>
      <w:r w:rsidRPr="00492AD6">
        <w:rPr>
          <w:i/>
          <w:color w:val="000000" w:themeColor="text1"/>
          <w:lang w:bidi="fa-IR"/>
        </w:rPr>
        <w:t>Source:</w:t>
      </w:r>
      <w:r w:rsidRPr="00492AD6">
        <w:rPr>
          <w:color w:val="000000" w:themeColor="text1"/>
          <w:lang w:bidi="fa-IR"/>
        </w:rPr>
        <w:t xml:space="preserve"> DeltaQ, NCC 2025 Energy Efficiency — Advice on the technical basis, Initial Measures Development: Electrical Services Report, Prepared for the Australian Building Codes Board, 26 September 2023, pp. 87</w:t>
      </w:r>
      <w:r w:rsidRPr="00492AD6">
        <w:rPr>
          <w:color w:val="000000" w:themeColor="text1"/>
          <w:lang w:bidi="fa-IR"/>
        </w:rPr>
        <w:noBreakHyphen/>
        <w:t>90, CIE.</w:t>
      </w:r>
    </w:p>
    <w:p w14:paraId="5C67C528" w14:textId="77777777" w:rsidR="006568C5" w:rsidRPr="00844A6E" w:rsidRDefault="006568C5" w:rsidP="006568C5">
      <w:pPr>
        <w:pStyle w:val="BodyText"/>
        <w:rPr>
          <w:szCs w:val="22"/>
          <w:lang w:eastAsia="en-US" w:bidi="fa-IR"/>
        </w:rPr>
      </w:pPr>
      <w:r w:rsidRPr="00844A6E">
        <w:rPr>
          <w:szCs w:val="22"/>
          <w:lang w:eastAsia="en-US" w:bidi="fa-IR"/>
        </w:rPr>
        <w:t>The internal car park costings are relevant for:</w:t>
      </w:r>
    </w:p>
    <w:p w14:paraId="14036507" w14:textId="77777777" w:rsidR="006568C5" w:rsidRPr="00946984" w:rsidRDefault="006568C5" w:rsidP="006568C5">
      <w:pPr>
        <w:pStyle w:val="ListBullet"/>
        <w:tabs>
          <w:tab w:val="num" w:pos="709"/>
        </w:tabs>
      </w:pPr>
      <w:r w:rsidRPr="00946984">
        <w:t>Hotels (Class 3)</w:t>
      </w:r>
    </w:p>
    <w:p w14:paraId="61477AAF" w14:textId="77777777" w:rsidR="006568C5" w:rsidRPr="00946984" w:rsidRDefault="006568C5" w:rsidP="006568C5">
      <w:pPr>
        <w:pStyle w:val="ListBullet"/>
        <w:tabs>
          <w:tab w:val="num" w:pos="709"/>
        </w:tabs>
      </w:pPr>
      <w:r w:rsidRPr="00946984">
        <w:t>Office buildings (Class 5)</w:t>
      </w:r>
    </w:p>
    <w:p w14:paraId="0E3A6DCF" w14:textId="77777777" w:rsidR="006568C5" w:rsidRPr="00946984" w:rsidRDefault="006568C5" w:rsidP="006568C5">
      <w:pPr>
        <w:pStyle w:val="ListBullet"/>
        <w:tabs>
          <w:tab w:val="num" w:pos="709"/>
        </w:tabs>
      </w:pPr>
      <w:r w:rsidRPr="00946984">
        <w:t>Hospitals (Class 9a)</w:t>
      </w:r>
    </w:p>
    <w:p w14:paraId="729356B1" w14:textId="77777777" w:rsidR="006568C5" w:rsidRPr="00946984" w:rsidRDefault="006568C5" w:rsidP="006568C5">
      <w:pPr>
        <w:pStyle w:val="ListBullet"/>
        <w:tabs>
          <w:tab w:val="num" w:pos="709"/>
        </w:tabs>
      </w:pPr>
      <w:r w:rsidRPr="00946984">
        <w:t>Aged care facilities (Class 9c).</w:t>
      </w:r>
    </w:p>
    <w:p w14:paraId="1971C2DB" w14:textId="77777777" w:rsidR="006568C5" w:rsidRDefault="006568C5" w:rsidP="006568C5">
      <w:pPr>
        <w:pStyle w:val="Heading3"/>
        <w:rPr>
          <w:lang w:eastAsia="en-US" w:bidi="fa-IR"/>
        </w:rPr>
      </w:pPr>
      <w:r>
        <w:rPr>
          <w:lang w:eastAsia="en-US" w:bidi="fa-IR"/>
        </w:rPr>
        <w:t>External car parks</w:t>
      </w:r>
    </w:p>
    <w:p w14:paraId="3C4D1D75" w14:textId="77777777" w:rsidR="006568C5" w:rsidRPr="00844A6E" w:rsidRDefault="006568C5" w:rsidP="006568C5">
      <w:pPr>
        <w:pStyle w:val="BodyText"/>
        <w:rPr>
          <w:szCs w:val="22"/>
          <w:lang w:eastAsia="en-US" w:bidi="fa-IR"/>
        </w:rPr>
      </w:pPr>
      <w:r w:rsidRPr="00844A6E">
        <w:rPr>
          <w:szCs w:val="22"/>
          <w:lang w:eastAsia="en-US" w:bidi="fa-IR"/>
        </w:rPr>
        <w:t>Estimates prepared for ABCB are based on an external car park with 100 car spaces, with 10 EV chargers (i.e. 10 per cent of total spaces). The cost of installing EV charging equipment were estimated at $42 000. Annual maintenance cost is assumed to be the same as internal car parks at $500 per charger. This estimate would be relevant to:</w:t>
      </w:r>
    </w:p>
    <w:p w14:paraId="756FD96F" w14:textId="77777777" w:rsidR="006568C5" w:rsidRPr="00844A6E" w:rsidRDefault="006568C5" w:rsidP="006568C5">
      <w:pPr>
        <w:pStyle w:val="ListBullet"/>
        <w:tabs>
          <w:tab w:val="num" w:pos="709"/>
        </w:tabs>
        <w:rPr>
          <w:szCs w:val="22"/>
          <w:lang w:eastAsia="en-US" w:bidi="fa-IR"/>
        </w:rPr>
      </w:pPr>
      <w:r w:rsidRPr="00844A6E">
        <w:rPr>
          <w:szCs w:val="22"/>
          <w:lang w:eastAsia="en-US" w:bidi="fa-IR"/>
        </w:rPr>
        <w:t>Warehouses (Class 7b)</w:t>
      </w:r>
    </w:p>
    <w:p w14:paraId="5EF55F8C" w14:textId="77777777" w:rsidR="006568C5" w:rsidRPr="00844A6E" w:rsidRDefault="006568C5" w:rsidP="006568C5">
      <w:pPr>
        <w:pStyle w:val="ListBullet"/>
        <w:tabs>
          <w:tab w:val="num" w:pos="709"/>
        </w:tabs>
        <w:rPr>
          <w:szCs w:val="22"/>
          <w:lang w:eastAsia="en-US" w:bidi="fa-IR"/>
        </w:rPr>
      </w:pPr>
      <w:r w:rsidRPr="00844A6E">
        <w:rPr>
          <w:szCs w:val="22"/>
          <w:lang w:eastAsia="en-US" w:bidi="fa-IR"/>
        </w:rPr>
        <w:t>Laboratories (Class 8(1))</w:t>
      </w:r>
    </w:p>
    <w:p w14:paraId="065F712E" w14:textId="77777777" w:rsidR="006568C5" w:rsidRPr="00844A6E" w:rsidRDefault="006568C5" w:rsidP="006568C5">
      <w:pPr>
        <w:pStyle w:val="ListBullet"/>
        <w:tabs>
          <w:tab w:val="num" w:pos="709"/>
        </w:tabs>
        <w:rPr>
          <w:szCs w:val="22"/>
          <w:lang w:eastAsia="en-US" w:bidi="fa-IR"/>
        </w:rPr>
      </w:pPr>
      <w:r w:rsidRPr="00844A6E">
        <w:rPr>
          <w:szCs w:val="22"/>
          <w:lang w:eastAsia="en-US" w:bidi="fa-IR"/>
        </w:rPr>
        <w:t>Factories (Class 8(2)).</w:t>
      </w:r>
    </w:p>
    <w:p w14:paraId="168593BB" w14:textId="7C78345A" w:rsidR="006568C5" w:rsidRPr="00844A6E" w:rsidRDefault="006568C5" w:rsidP="006568C5">
      <w:pPr>
        <w:pStyle w:val="BodyText"/>
        <w:rPr>
          <w:szCs w:val="22"/>
          <w:lang w:eastAsia="en-US" w:bidi="fa-IR"/>
        </w:rPr>
      </w:pPr>
      <w:r w:rsidRPr="00844A6E">
        <w:rPr>
          <w:szCs w:val="22"/>
          <w:lang w:eastAsia="en-US" w:bidi="fa-IR"/>
        </w:rPr>
        <w:t>Assuming that all equipment (except for the 5 steel posts) need to be replaced after 20 years (consistent with the assumptions for building equipment), this implies</w:t>
      </w:r>
      <w:r w:rsidR="00347092">
        <w:rPr>
          <w:szCs w:val="22"/>
          <w:lang w:eastAsia="en-US" w:bidi="fa-IR"/>
        </w:rPr>
        <w:t xml:space="preserve"> (table 8.4)</w:t>
      </w:r>
      <w:r w:rsidRPr="00844A6E">
        <w:rPr>
          <w:szCs w:val="22"/>
          <w:lang w:eastAsia="en-US" w:bidi="fa-IR"/>
        </w:rPr>
        <w:t>:</w:t>
      </w:r>
    </w:p>
    <w:p w14:paraId="1D81323F" w14:textId="77777777" w:rsidR="006568C5" w:rsidRPr="00844A6E" w:rsidRDefault="006568C5" w:rsidP="006568C5">
      <w:pPr>
        <w:pStyle w:val="ListBullet"/>
        <w:tabs>
          <w:tab w:val="num" w:pos="709"/>
        </w:tabs>
        <w:rPr>
          <w:szCs w:val="22"/>
          <w:lang w:eastAsia="en-US" w:bidi="fa-IR"/>
        </w:rPr>
      </w:pPr>
      <w:r w:rsidRPr="00844A6E">
        <w:rPr>
          <w:szCs w:val="22"/>
          <w:lang w:eastAsia="en-US" w:bidi="fa-IR"/>
        </w:rPr>
        <w:t>a total cost of around $155 045 per building in present value terms over the life of the building (50 years), using a discount rate of 5 per cent;</w:t>
      </w:r>
    </w:p>
    <w:p w14:paraId="00714F0B" w14:textId="77777777" w:rsidR="006568C5" w:rsidRPr="00844A6E" w:rsidRDefault="006568C5" w:rsidP="006568C5">
      <w:pPr>
        <w:pStyle w:val="ListBullet"/>
        <w:tabs>
          <w:tab w:val="num" w:pos="709"/>
        </w:tabs>
        <w:rPr>
          <w:szCs w:val="22"/>
          <w:lang w:eastAsia="en-US" w:bidi="fa-IR"/>
        </w:rPr>
      </w:pPr>
      <w:r w:rsidRPr="00844A6E">
        <w:rPr>
          <w:szCs w:val="22"/>
          <w:lang w:eastAsia="en-US" w:bidi="fa-IR"/>
        </w:rPr>
        <w:t>an average cost of $15 505 per charger (in present value terms).</w:t>
      </w:r>
    </w:p>
    <w:p w14:paraId="15F1F64C" w14:textId="5EE440F3" w:rsidR="006568C5" w:rsidRPr="006F0F88" w:rsidRDefault="006568C5" w:rsidP="009B4D09">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w:instrText>
      </w:r>
      <w:fldSimple w:instr=" STYLEREF &quot;Heading 1&quot; \l \n ">
        <w:r w:rsidR="00520F9E">
          <w:rPr>
            <w:noProof/>
          </w:rPr>
          <w:instrText>8</w:instrText>
        </w:r>
      </w:fldSimple>
      <w:r w:rsidRPr="006F0F88">
        <w:instrText xml:space="preserve">." </w:instrText>
      </w:r>
      <w:r w:rsidRPr="006F0F88">
        <w:fldChar w:fldCharType="separate"/>
      </w:r>
      <w:r w:rsidR="00520F9E">
        <w:rPr>
          <w:noProof/>
        </w:rPr>
        <w:instrText>8</w:instrText>
      </w:r>
      <w:r w:rsidR="00520F9E"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8</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520F9E">
        <w:rPr>
          <w:noProof/>
        </w:rPr>
        <w:instrText>4</w:instrText>
      </w:r>
      <w:r w:rsidRPr="006F0F88">
        <w:fldChar w:fldCharType="end"/>
      </w:r>
      <w:r w:rsidRPr="006F0F88">
        <w:instrText xml:space="preserve">" "" </w:instrText>
      </w:r>
      <w:r w:rsidRPr="006F0F88">
        <w:fldChar w:fldCharType="separate"/>
      </w:r>
      <w:bookmarkStart w:id="5121" w:name="_Caption5633"/>
      <w:bookmarkStart w:id="5122" w:name="_Caption7396"/>
      <w:bookmarkStart w:id="5123" w:name="_Caption8184"/>
      <w:bookmarkStart w:id="5124" w:name="_Caption7402"/>
      <w:bookmarkStart w:id="5125" w:name="_Caption2681"/>
      <w:bookmarkStart w:id="5126" w:name="_Caption1927"/>
      <w:bookmarkStart w:id="5127" w:name="_Caption8448"/>
      <w:bookmarkStart w:id="5128" w:name="_Caption3109"/>
      <w:bookmarkStart w:id="5129" w:name="_Caption0299"/>
      <w:bookmarkStart w:id="5130" w:name="_Caption4632"/>
      <w:bookmarkStart w:id="5131" w:name="_Caption9208"/>
      <w:bookmarkStart w:id="5132" w:name="_Caption1572"/>
      <w:bookmarkStart w:id="5133" w:name="_Caption0319"/>
      <w:bookmarkStart w:id="5134" w:name="_Caption4803"/>
      <w:bookmarkStart w:id="5135" w:name="_Caption5472"/>
      <w:bookmarkStart w:id="5136" w:name="_Caption3869"/>
      <w:bookmarkStart w:id="5137" w:name="_Caption7525"/>
      <w:bookmarkStart w:id="5138" w:name="_Caption0949"/>
      <w:bookmarkStart w:id="5139" w:name="_Caption9683"/>
      <w:bookmarkStart w:id="5140" w:name="_Caption5826"/>
      <w:bookmarkStart w:id="5141" w:name="_Caption5178"/>
      <w:bookmarkStart w:id="5142" w:name="_Caption0154"/>
      <w:bookmarkStart w:id="5143" w:name="_Caption9316"/>
      <w:bookmarkStart w:id="5144" w:name="_Caption8194"/>
      <w:bookmarkStart w:id="5145" w:name="_Caption0560"/>
      <w:bookmarkStart w:id="5146" w:name="_Caption2504"/>
      <w:bookmarkStart w:id="5147" w:name="_Caption4410"/>
      <w:bookmarkStart w:id="5148" w:name="_Caption5602"/>
      <w:bookmarkStart w:id="5149" w:name="_Caption2184"/>
      <w:bookmarkStart w:id="5150" w:name="_Caption6637"/>
      <w:bookmarkStart w:id="5151" w:name="_Caption0898"/>
      <w:bookmarkStart w:id="5152" w:name="_Caption4966"/>
      <w:bookmarkStart w:id="5153" w:name="_Caption6812"/>
      <w:bookmarkStart w:id="5154" w:name="_Caption6712"/>
      <w:bookmarkStart w:id="5155" w:name="_Caption6962"/>
      <w:bookmarkStart w:id="5156" w:name="_Caption6365"/>
      <w:bookmarkStart w:id="5157" w:name="_Caption1003"/>
      <w:bookmarkStart w:id="5158" w:name="_Caption6589"/>
      <w:bookmarkStart w:id="5159" w:name="_Caption1083"/>
      <w:bookmarkStart w:id="5160" w:name="_Caption3689"/>
      <w:bookmarkStart w:id="5161" w:name="_Caption6554"/>
      <w:bookmarkStart w:id="5162" w:name="_Caption5229"/>
      <w:bookmarkStart w:id="5163" w:name="_Caption2138"/>
      <w:bookmarkStart w:id="5164" w:name="_Caption8031"/>
      <w:bookmarkStart w:id="5165" w:name="_Caption8798"/>
      <w:bookmarkStart w:id="5166" w:name="_Caption4656"/>
      <w:bookmarkStart w:id="5167" w:name="_Caption8002"/>
      <w:bookmarkStart w:id="5168" w:name="_Caption1644"/>
      <w:bookmarkStart w:id="5169" w:name="_Caption2669"/>
      <w:bookmarkStart w:id="5170" w:name="_Caption0049"/>
      <w:bookmarkStart w:id="5171" w:name="_Caption7077"/>
      <w:bookmarkStart w:id="5172" w:name="_Caption1679"/>
      <w:bookmarkStart w:id="5173" w:name="_Caption6219"/>
      <w:bookmarkStart w:id="5174" w:name="_Caption2728"/>
      <w:bookmarkStart w:id="5175" w:name="_Caption0781"/>
      <w:bookmarkStart w:id="5176" w:name="_Caption4526"/>
      <w:bookmarkStart w:id="5177" w:name="_Caption6656"/>
      <w:bookmarkStart w:id="5178" w:name="_Caption7205"/>
      <w:bookmarkStart w:id="5179" w:name="_Caption0722"/>
      <w:bookmarkStart w:id="5180" w:name="_Caption0543"/>
      <w:bookmarkStart w:id="5181" w:name="_Caption5850"/>
      <w:bookmarkStart w:id="5182" w:name="_Caption6175"/>
      <w:bookmarkStart w:id="5183" w:name="_Caption9983"/>
      <w:bookmarkStart w:id="5184" w:name="_Caption4628"/>
      <w:bookmarkStart w:id="5185" w:name="_Caption1985"/>
      <w:bookmarkStart w:id="5186" w:name="_Caption9457"/>
      <w:bookmarkStart w:id="5187" w:name="_Caption1244"/>
      <w:bookmarkStart w:id="5188" w:name="_Caption6363"/>
      <w:bookmarkStart w:id="5189" w:name="_Caption5507"/>
      <w:bookmarkStart w:id="5190" w:name="_Caption8286"/>
      <w:bookmarkStart w:id="5191" w:name="_Caption2640"/>
      <w:bookmarkStart w:id="5192" w:name="_Caption1123"/>
      <w:bookmarkStart w:id="5193" w:name="_Caption2744"/>
      <w:bookmarkStart w:id="5194" w:name="_Caption4848"/>
      <w:bookmarkStart w:id="5195" w:name="_Caption0651"/>
      <w:bookmarkStart w:id="5196" w:name="_Caption8714"/>
      <w:bookmarkStart w:id="5197" w:name="_Caption7010"/>
      <w:bookmarkStart w:id="5198" w:name="_Caption1431"/>
      <w:bookmarkStart w:id="5199" w:name="_Caption9452"/>
      <w:bookmarkStart w:id="5200" w:name="_Caption9364"/>
      <w:bookmarkStart w:id="5201" w:name="_Caption2570"/>
      <w:bookmarkStart w:id="5202" w:name="_Caption9366"/>
      <w:bookmarkStart w:id="5203" w:name="_Caption5145"/>
      <w:bookmarkStart w:id="5204" w:name="_Caption0347"/>
      <w:bookmarkStart w:id="5205" w:name="_Caption3885"/>
      <w:bookmarkStart w:id="5206" w:name="_Caption0995"/>
      <w:bookmarkStart w:id="5207" w:name="_Caption6784"/>
      <w:bookmarkStart w:id="5208" w:name="_Caption1818"/>
      <w:bookmarkStart w:id="5209" w:name="_Caption7091"/>
      <w:bookmarkStart w:id="5210" w:name="_Caption5956"/>
      <w:bookmarkStart w:id="5211" w:name="_Caption6347"/>
      <w:bookmarkStart w:id="5212" w:name="_Caption4679"/>
      <w:bookmarkStart w:id="5213" w:name="_Caption5560"/>
      <w:bookmarkStart w:id="5214" w:name="_Caption0139"/>
      <w:bookmarkStart w:id="5215" w:name="_Caption7203"/>
      <w:bookmarkStart w:id="5216" w:name="_Caption7830"/>
      <w:bookmarkStart w:id="5217" w:name="_Caption6292"/>
      <w:bookmarkStart w:id="5218" w:name="_Caption4470"/>
      <w:bookmarkStart w:id="5219" w:name="_Caption5349"/>
      <w:bookmarkStart w:id="5220" w:name="_Caption5513"/>
      <w:bookmarkStart w:id="5221" w:name="_Caption1615"/>
      <w:bookmarkStart w:id="5222" w:name="_Toc177735193"/>
      <w:bookmarkStart w:id="5223" w:name="_Toc178292628"/>
      <w:r w:rsidR="008C60A3">
        <w:rPr>
          <w:noProof/>
        </w:rPr>
        <w:t>8</w:t>
      </w:r>
      <w:r w:rsidR="008C60A3" w:rsidRPr="006F0F88">
        <w:rPr>
          <w:noProof/>
        </w:rPr>
        <w:t>.</w:t>
      </w:r>
      <w:r w:rsidR="008C60A3">
        <w:rPr>
          <w:noProof/>
        </w:rPr>
        <w:t>4</w:t>
      </w:r>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r w:rsidRPr="006F0F88">
        <w:fldChar w:fldCharType="end"/>
      </w:r>
      <w:r w:rsidRPr="006F0F88">
        <w:tab/>
        <w:t>Unit cost of charger installation — External car parks</w:t>
      </w:r>
      <w:bookmarkEnd w:id="5222"/>
      <w:bookmarkEnd w:id="5223"/>
    </w:p>
    <w:tbl>
      <w:tblPr>
        <w:tblW w:w="8080" w:type="dxa"/>
        <w:tblLayout w:type="fixed"/>
        <w:tblLook w:val="0000" w:firstRow="0" w:lastRow="0" w:firstColumn="0" w:lastColumn="0" w:noHBand="0" w:noVBand="0"/>
        <w:tblCaption w:val="Table 5.14"/>
        <w:tblDescription w:val=" Unit cost of charger installation — External car parks"/>
      </w:tblPr>
      <w:tblGrid>
        <w:gridCol w:w="3119"/>
        <w:gridCol w:w="992"/>
        <w:gridCol w:w="1418"/>
        <w:gridCol w:w="1134"/>
        <w:gridCol w:w="1417"/>
      </w:tblGrid>
      <w:tr w:rsidR="006568C5" w14:paraId="1A6BF471" w14:textId="77777777">
        <w:trPr>
          <w:trHeight w:val="734"/>
          <w:tblHeader/>
        </w:trPr>
        <w:tc>
          <w:tcPr>
            <w:tcW w:w="3119" w:type="dxa"/>
            <w:shd w:val="clear" w:color="auto" w:fill="6F6652"/>
            <w:tcMar>
              <w:left w:w="57" w:type="dxa"/>
              <w:right w:w="57" w:type="dxa"/>
            </w:tcMar>
          </w:tcPr>
          <w:p w14:paraId="7E8275E8" w14:textId="77777777" w:rsidR="006568C5" w:rsidRDefault="006568C5">
            <w:pPr>
              <w:pStyle w:val="TableDataColumnHeading"/>
              <w:jc w:val="left"/>
            </w:pPr>
            <w:r>
              <w:t>Cost item</w:t>
            </w:r>
          </w:p>
        </w:tc>
        <w:tc>
          <w:tcPr>
            <w:tcW w:w="992" w:type="dxa"/>
            <w:shd w:val="clear" w:color="auto" w:fill="6F6652"/>
            <w:tcMar>
              <w:left w:w="57" w:type="dxa"/>
              <w:right w:w="57" w:type="dxa"/>
            </w:tcMar>
          </w:tcPr>
          <w:p w14:paraId="6DF248BE" w14:textId="77777777" w:rsidR="006568C5" w:rsidRPr="00492AD6" w:rsidRDefault="006568C5">
            <w:pPr>
              <w:pStyle w:val="TableDataColumnHeading"/>
              <w:rPr>
                <w:color w:val="FFFFFF" w:themeColor="background1"/>
              </w:rPr>
            </w:pPr>
            <w:r w:rsidRPr="00492AD6">
              <w:rPr>
                <w:color w:val="FFFFFF" w:themeColor="background1"/>
              </w:rPr>
              <w:t>One-off costs</w:t>
            </w:r>
          </w:p>
          <w:p w14:paraId="02DD8236" w14:textId="77777777" w:rsidR="006568C5" w:rsidRPr="00492AD6" w:rsidRDefault="006568C5">
            <w:pPr>
              <w:pStyle w:val="TableDataColumnHeading"/>
              <w:rPr>
                <w:color w:val="FFFFFF" w:themeColor="background1"/>
              </w:rPr>
            </w:pPr>
            <w:r w:rsidRPr="00492AD6">
              <w:rPr>
                <w:color w:val="FFFFFF" w:themeColor="background1"/>
              </w:rPr>
              <w:t>$</w:t>
            </w:r>
          </w:p>
        </w:tc>
        <w:tc>
          <w:tcPr>
            <w:tcW w:w="1418" w:type="dxa"/>
            <w:shd w:val="clear" w:color="auto" w:fill="6F6652"/>
            <w:tcMar>
              <w:left w:w="57" w:type="dxa"/>
              <w:right w:w="57" w:type="dxa"/>
            </w:tcMar>
          </w:tcPr>
          <w:p w14:paraId="06D8F55D" w14:textId="77777777" w:rsidR="006568C5" w:rsidRPr="00492AD6" w:rsidRDefault="006568C5">
            <w:pPr>
              <w:pStyle w:val="TableDataColumnHeading"/>
              <w:rPr>
                <w:color w:val="FFFFFF" w:themeColor="background1"/>
              </w:rPr>
            </w:pPr>
            <w:r w:rsidRPr="00492AD6">
              <w:rPr>
                <w:color w:val="FFFFFF" w:themeColor="background1"/>
              </w:rPr>
              <w:t>Replaceable component</w:t>
            </w:r>
          </w:p>
          <w:p w14:paraId="4C49968D" w14:textId="77777777" w:rsidR="006568C5" w:rsidRPr="00492AD6" w:rsidRDefault="006568C5">
            <w:pPr>
              <w:pStyle w:val="TableDataColumnHeading"/>
              <w:rPr>
                <w:color w:val="FFFFFF" w:themeColor="background1"/>
              </w:rPr>
            </w:pPr>
            <w:r w:rsidRPr="00492AD6">
              <w:rPr>
                <w:color w:val="FFFFFF" w:themeColor="background1"/>
              </w:rPr>
              <w:t>$</w:t>
            </w:r>
          </w:p>
        </w:tc>
        <w:tc>
          <w:tcPr>
            <w:tcW w:w="1134" w:type="dxa"/>
            <w:shd w:val="clear" w:color="auto" w:fill="6F6652"/>
            <w:tcMar>
              <w:left w:w="57" w:type="dxa"/>
              <w:right w:w="57" w:type="dxa"/>
            </w:tcMar>
          </w:tcPr>
          <w:p w14:paraId="3E217EAC" w14:textId="77777777" w:rsidR="006568C5" w:rsidRPr="00A0206C" w:rsidRDefault="006568C5">
            <w:pPr>
              <w:pStyle w:val="TableDataColumnHeading"/>
              <w:rPr>
                <w:rStyle w:val="NoteLabel"/>
                <w:color w:val="FFFFFF" w:themeColor="background1"/>
              </w:rPr>
            </w:pPr>
            <w:r w:rsidRPr="00492AD6">
              <w:rPr>
                <w:color w:val="FFFFFF" w:themeColor="background1"/>
              </w:rPr>
              <w:t>Present value</w:t>
            </w:r>
            <w:r w:rsidRPr="00A0206C">
              <w:rPr>
                <w:rStyle w:val="NoteLabel"/>
                <w:color w:val="FFFFFF" w:themeColor="background1"/>
              </w:rPr>
              <w:t>a</w:t>
            </w:r>
          </w:p>
          <w:p w14:paraId="260566C6" w14:textId="77777777" w:rsidR="006568C5" w:rsidRPr="00492AD6" w:rsidRDefault="006568C5">
            <w:pPr>
              <w:pStyle w:val="TableDataColumnHeading"/>
              <w:rPr>
                <w:color w:val="FFFFFF" w:themeColor="background1"/>
              </w:rPr>
            </w:pPr>
            <w:r w:rsidRPr="00492AD6">
              <w:rPr>
                <w:color w:val="FFFFFF" w:themeColor="background1"/>
              </w:rPr>
              <w:t>$</w:t>
            </w:r>
          </w:p>
        </w:tc>
        <w:tc>
          <w:tcPr>
            <w:tcW w:w="1417" w:type="dxa"/>
            <w:shd w:val="clear" w:color="auto" w:fill="6F6652"/>
            <w:tcMar>
              <w:left w:w="57" w:type="dxa"/>
              <w:right w:w="57" w:type="dxa"/>
            </w:tcMar>
          </w:tcPr>
          <w:p w14:paraId="38448F0D" w14:textId="77777777" w:rsidR="006568C5" w:rsidRPr="00A0206C" w:rsidRDefault="006568C5">
            <w:pPr>
              <w:pStyle w:val="TableDataColumnHeading"/>
              <w:rPr>
                <w:rStyle w:val="NoteLabel"/>
                <w:color w:val="FFFFFF" w:themeColor="background1"/>
              </w:rPr>
            </w:pPr>
            <w:r w:rsidRPr="00492AD6">
              <w:rPr>
                <w:color w:val="FFFFFF" w:themeColor="background1"/>
              </w:rPr>
              <w:t>Present value        per charger</w:t>
            </w:r>
            <w:r w:rsidRPr="00A0206C">
              <w:rPr>
                <w:rStyle w:val="NoteLabel"/>
                <w:color w:val="FFFFFF" w:themeColor="background1"/>
              </w:rPr>
              <w:t>b</w:t>
            </w:r>
          </w:p>
          <w:p w14:paraId="3930A663" w14:textId="77777777" w:rsidR="006568C5" w:rsidRPr="00492AD6" w:rsidRDefault="006568C5">
            <w:pPr>
              <w:pStyle w:val="TableDataColumnHeading"/>
              <w:rPr>
                <w:color w:val="FFFFFF" w:themeColor="background1"/>
              </w:rPr>
            </w:pPr>
            <w:r w:rsidRPr="00492AD6">
              <w:rPr>
                <w:color w:val="FFFFFF" w:themeColor="background1"/>
              </w:rPr>
              <w:t>$</w:t>
            </w:r>
          </w:p>
        </w:tc>
      </w:tr>
      <w:tr w:rsidR="006568C5" w:rsidRPr="00492AD6" w14:paraId="69801DCB" w14:textId="77777777">
        <w:trPr>
          <w:trHeight w:val="245"/>
        </w:trPr>
        <w:tc>
          <w:tcPr>
            <w:tcW w:w="311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A8D49AD" w14:textId="77777777" w:rsidR="006568C5" w:rsidRPr="00492AD6" w:rsidRDefault="006568C5">
            <w:pPr>
              <w:pStyle w:val="TableDataEntries"/>
              <w:jc w:val="left"/>
              <w:rPr>
                <w:color w:val="000000" w:themeColor="text1"/>
              </w:rPr>
            </w:pPr>
            <w:r w:rsidRPr="00492AD6">
              <w:rPr>
                <w:color w:val="000000" w:themeColor="text1"/>
              </w:rPr>
              <w:t>110m internal cable run, parts and labour</w:t>
            </w:r>
          </w:p>
        </w:tc>
        <w:tc>
          <w:tcPr>
            <w:tcW w:w="99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9503548" w14:textId="77777777" w:rsidR="006568C5" w:rsidRPr="00492AD6" w:rsidRDefault="006568C5">
            <w:pPr>
              <w:pStyle w:val="TableDataEntries"/>
              <w:rPr>
                <w:color w:val="000000" w:themeColor="text1"/>
              </w:rPr>
            </w:pPr>
            <w:r w:rsidRPr="00492AD6">
              <w:rPr>
                <w:color w:val="000000" w:themeColor="text1"/>
              </w:rPr>
              <w:t xml:space="preserve"> 0</w:t>
            </w:r>
          </w:p>
        </w:tc>
        <w:tc>
          <w:tcPr>
            <w:tcW w:w="141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518F746" w14:textId="77777777" w:rsidR="006568C5" w:rsidRPr="00492AD6" w:rsidRDefault="006568C5">
            <w:pPr>
              <w:pStyle w:val="TableDataEntries"/>
              <w:rPr>
                <w:color w:val="000000" w:themeColor="text1"/>
              </w:rPr>
            </w:pPr>
            <w:r w:rsidRPr="00492AD6">
              <w:rPr>
                <w:color w:val="000000" w:themeColor="text1"/>
              </w:rPr>
              <w:t>6,000</w:t>
            </w:r>
          </w:p>
        </w:tc>
        <w:tc>
          <w:tcPr>
            <w:tcW w:w="11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9D33CC0" w14:textId="77777777" w:rsidR="006568C5" w:rsidRPr="00492AD6" w:rsidRDefault="006568C5">
            <w:pPr>
              <w:pStyle w:val="TableDataEntries"/>
              <w:rPr>
                <w:color w:val="000000" w:themeColor="text1"/>
              </w:rPr>
            </w:pPr>
            <w:r w:rsidRPr="00492AD6">
              <w:rPr>
                <w:color w:val="000000" w:themeColor="text1"/>
              </w:rPr>
              <w:t>8,789</w:t>
            </w:r>
          </w:p>
        </w:tc>
        <w:tc>
          <w:tcPr>
            <w:tcW w:w="141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7CE8990" w14:textId="77777777" w:rsidR="006568C5" w:rsidRPr="00492AD6" w:rsidRDefault="006568C5">
            <w:pPr>
              <w:pStyle w:val="TableDataEntries"/>
              <w:rPr>
                <w:color w:val="000000" w:themeColor="text1"/>
              </w:rPr>
            </w:pPr>
            <w:r w:rsidRPr="00492AD6">
              <w:rPr>
                <w:color w:val="000000" w:themeColor="text1"/>
              </w:rPr>
              <w:t xml:space="preserve"> 879</w:t>
            </w:r>
          </w:p>
        </w:tc>
      </w:tr>
      <w:tr w:rsidR="006568C5" w:rsidRPr="00492AD6" w14:paraId="325734ED" w14:textId="77777777">
        <w:trPr>
          <w:trHeight w:val="245"/>
        </w:trPr>
        <w:tc>
          <w:tcPr>
            <w:tcW w:w="311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03F5B2" w14:textId="77777777" w:rsidR="006568C5" w:rsidRPr="00492AD6" w:rsidRDefault="006568C5">
            <w:pPr>
              <w:pStyle w:val="TableDataEntries"/>
              <w:jc w:val="left"/>
              <w:rPr>
                <w:color w:val="000000" w:themeColor="text1"/>
              </w:rPr>
            </w:pPr>
            <w:r w:rsidRPr="00492AD6">
              <w:rPr>
                <w:color w:val="000000" w:themeColor="text1"/>
              </w:rPr>
              <w:t>Distribution board</w:t>
            </w:r>
          </w:p>
        </w:tc>
        <w:tc>
          <w:tcPr>
            <w:tcW w:w="99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9F59EA7" w14:textId="77777777" w:rsidR="006568C5" w:rsidRPr="00492AD6" w:rsidRDefault="006568C5">
            <w:pPr>
              <w:pStyle w:val="TableDataEntries"/>
              <w:rPr>
                <w:color w:val="000000" w:themeColor="text1"/>
              </w:rPr>
            </w:pPr>
            <w:r w:rsidRPr="00492AD6">
              <w:rPr>
                <w:color w:val="000000" w:themeColor="text1"/>
              </w:rPr>
              <w:t xml:space="preserve"> 0</w:t>
            </w:r>
          </w:p>
        </w:tc>
        <w:tc>
          <w:tcPr>
            <w:tcW w:w="141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ED46992" w14:textId="77777777" w:rsidR="006568C5" w:rsidRPr="00492AD6" w:rsidRDefault="006568C5">
            <w:pPr>
              <w:pStyle w:val="TableDataEntries"/>
              <w:rPr>
                <w:color w:val="000000" w:themeColor="text1"/>
              </w:rPr>
            </w:pPr>
            <w:r w:rsidRPr="00492AD6">
              <w:rPr>
                <w:color w:val="000000" w:themeColor="text1"/>
              </w:rPr>
              <w:t>5,000</w:t>
            </w:r>
          </w:p>
        </w:tc>
        <w:tc>
          <w:tcPr>
            <w:tcW w:w="11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E2FE74" w14:textId="77777777" w:rsidR="006568C5" w:rsidRPr="00492AD6" w:rsidRDefault="006568C5">
            <w:pPr>
              <w:pStyle w:val="TableDataEntries"/>
              <w:rPr>
                <w:color w:val="000000" w:themeColor="text1"/>
              </w:rPr>
            </w:pPr>
            <w:r w:rsidRPr="00492AD6">
              <w:rPr>
                <w:color w:val="000000" w:themeColor="text1"/>
              </w:rPr>
              <w:t>7,325</w:t>
            </w:r>
          </w:p>
        </w:tc>
        <w:tc>
          <w:tcPr>
            <w:tcW w:w="141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04857A5" w14:textId="77777777" w:rsidR="006568C5" w:rsidRPr="00492AD6" w:rsidRDefault="006568C5">
            <w:pPr>
              <w:pStyle w:val="TableDataEntries"/>
              <w:rPr>
                <w:color w:val="000000" w:themeColor="text1"/>
              </w:rPr>
            </w:pPr>
            <w:r w:rsidRPr="00492AD6">
              <w:rPr>
                <w:color w:val="000000" w:themeColor="text1"/>
              </w:rPr>
              <w:t xml:space="preserve"> 732</w:t>
            </w:r>
          </w:p>
        </w:tc>
      </w:tr>
      <w:tr w:rsidR="006568C5" w:rsidRPr="00492AD6" w14:paraId="06E98651" w14:textId="77777777">
        <w:trPr>
          <w:trHeight w:val="245"/>
        </w:trPr>
        <w:tc>
          <w:tcPr>
            <w:tcW w:w="311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69635B9" w14:textId="77777777" w:rsidR="006568C5" w:rsidRPr="00492AD6" w:rsidRDefault="006568C5">
            <w:pPr>
              <w:pStyle w:val="TableDataEntries"/>
              <w:jc w:val="left"/>
              <w:rPr>
                <w:color w:val="000000" w:themeColor="text1"/>
              </w:rPr>
            </w:pPr>
            <w:r w:rsidRPr="00492AD6">
              <w:rPr>
                <w:color w:val="000000" w:themeColor="text1"/>
              </w:rPr>
              <w:t>Trenching, conduit and underground cable</w:t>
            </w:r>
          </w:p>
        </w:tc>
        <w:tc>
          <w:tcPr>
            <w:tcW w:w="99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B97DAF0" w14:textId="77777777" w:rsidR="006568C5" w:rsidRPr="00492AD6" w:rsidRDefault="006568C5">
            <w:pPr>
              <w:pStyle w:val="TableDataEntries"/>
              <w:rPr>
                <w:color w:val="000000" w:themeColor="text1"/>
              </w:rPr>
            </w:pPr>
            <w:r w:rsidRPr="00492AD6">
              <w:rPr>
                <w:color w:val="000000" w:themeColor="text1"/>
              </w:rPr>
              <w:t xml:space="preserve"> 0</w:t>
            </w:r>
          </w:p>
        </w:tc>
        <w:tc>
          <w:tcPr>
            <w:tcW w:w="141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BB71622" w14:textId="77777777" w:rsidR="006568C5" w:rsidRPr="00492AD6" w:rsidRDefault="006568C5">
            <w:pPr>
              <w:pStyle w:val="TableDataEntries"/>
              <w:rPr>
                <w:color w:val="000000" w:themeColor="text1"/>
              </w:rPr>
            </w:pPr>
            <w:r w:rsidRPr="00492AD6">
              <w:rPr>
                <w:color w:val="000000" w:themeColor="text1"/>
              </w:rPr>
              <w:t>2,500</w:t>
            </w:r>
          </w:p>
        </w:tc>
        <w:tc>
          <w:tcPr>
            <w:tcW w:w="11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9D8F43C" w14:textId="77777777" w:rsidR="006568C5" w:rsidRPr="00492AD6" w:rsidRDefault="006568C5">
            <w:pPr>
              <w:pStyle w:val="TableDataEntries"/>
              <w:rPr>
                <w:color w:val="000000" w:themeColor="text1"/>
              </w:rPr>
            </w:pPr>
            <w:r w:rsidRPr="00492AD6">
              <w:rPr>
                <w:color w:val="000000" w:themeColor="text1"/>
              </w:rPr>
              <w:t>3,662</w:t>
            </w:r>
          </w:p>
        </w:tc>
        <w:tc>
          <w:tcPr>
            <w:tcW w:w="141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1E9290" w14:textId="77777777" w:rsidR="006568C5" w:rsidRPr="00492AD6" w:rsidRDefault="006568C5">
            <w:pPr>
              <w:pStyle w:val="TableDataEntries"/>
              <w:rPr>
                <w:color w:val="000000" w:themeColor="text1"/>
              </w:rPr>
            </w:pPr>
            <w:r w:rsidRPr="00492AD6">
              <w:rPr>
                <w:color w:val="000000" w:themeColor="text1"/>
              </w:rPr>
              <w:t xml:space="preserve"> 366</w:t>
            </w:r>
          </w:p>
        </w:tc>
      </w:tr>
      <w:tr w:rsidR="006568C5" w:rsidRPr="00492AD6" w14:paraId="571ABB23" w14:textId="77777777">
        <w:trPr>
          <w:trHeight w:val="245"/>
        </w:trPr>
        <w:tc>
          <w:tcPr>
            <w:tcW w:w="311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7D28966" w14:textId="77777777" w:rsidR="006568C5" w:rsidRPr="00492AD6" w:rsidRDefault="006568C5">
            <w:pPr>
              <w:pStyle w:val="TableDataEntries"/>
              <w:jc w:val="left"/>
              <w:rPr>
                <w:color w:val="000000" w:themeColor="text1"/>
              </w:rPr>
            </w:pPr>
            <w:r w:rsidRPr="00492AD6">
              <w:rPr>
                <w:color w:val="000000" w:themeColor="text1"/>
              </w:rPr>
              <w:t>EVSE</w:t>
            </w:r>
          </w:p>
        </w:tc>
        <w:tc>
          <w:tcPr>
            <w:tcW w:w="99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EDDBD4" w14:textId="77777777" w:rsidR="006568C5" w:rsidRPr="00492AD6" w:rsidRDefault="006568C5">
            <w:pPr>
              <w:pStyle w:val="TableDataEntries"/>
              <w:rPr>
                <w:color w:val="000000" w:themeColor="text1"/>
              </w:rPr>
            </w:pPr>
            <w:r w:rsidRPr="00492AD6">
              <w:rPr>
                <w:color w:val="000000" w:themeColor="text1"/>
              </w:rPr>
              <w:t xml:space="preserve"> 0</w:t>
            </w:r>
          </w:p>
        </w:tc>
        <w:tc>
          <w:tcPr>
            <w:tcW w:w="141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1742B0" w14:textId="77777777" w:rsidR="006568C5" w:rsidRPr="00492AD6" w:rsidRDefault="006568C5">
            <w:pPr>
              <w:pStyle w:val="TableDataEntries"/>
              <w:rPr>
                <w:color w:val="000000" w:themeColor="text1"/>
              </w:rPr>
            </w:pPr>
            <w:r w:rsidRPr="00492AD6">
              <w:rPr>
                <w:color w:val="000000" w:themeColor="text1"/>
              </w:rPr>
              <w:t>23,500</w:t>
            </w:r>
          </w:p>
        </w:tc>
        <w:tc>
          <w:tcPr>
            <w:tcW w:w="11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966185A" w14:textId="77777777" w:rsidR="006568C5" w:rsidRPr="00492AD6" w:rsidRDefault="006568C5">
            <w:pPr>
              <w:pStyle w:val="TableDataEntries"/>
              <w:rPr>
                <w:color w:val="000000" w:themeColor="text1"/>
              </w:rPr>
            </w:pPr>
            <w:r w:rsidRPr="00492AD6">
              <w:rPr>
                <w:color w:val="000000" w:themeColor="text1"/>
              </w:rPr>
              <w:t>34,425</w:t>
            </w:r>
          </w:p>
        </w:tc>
        <w:tc>
          <w:tcPr>
            <w:tcW w:w="141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CC11A4C" w14:textId="77777777" w:rsidR="006568C5" w:rsidRPr="00492AD6" w:rsidRDefault="006568C5">
            <w:pPr>
              <w:pStyle w:val="TableDataEntries"/>
              <w:rPr>
                <w:color w:val="000000" w:themeColor="text1"/>
              </w:rPr>
            </w:pPr>
            <w:r w:rsidRPr="00492AD6">
              <w:rPr>
                <w:color w:val="000000" w:themeColor="text1"/>
              </w:rPr>
              <w:t>3,443</w:t>
            </w:r>
          </w:p>
        </w:tc>
      </w:tr>
      <w:tr w:rsidR="006568C5" w:rsidRPr="00492AD6" w14:paraId="275FB2B9" w14:textId="77777777">
        <w:trPr>
          <w:trHeight w:val="245"/>
        </w:trPr>
        <w:tc>
          <w:tcPr>
            <w:tcW w:w="311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78A0C46" w14:textId="77777777" w:rsidR="006568C5" w:rsidRPr="00492AD6" w:rsidRDefault="006568C5">
            <w:pPr>
              <w:pStyle w:val="TableDataEntries"/>
              <w:jc w:val="left"/>
              <w:rPr>
                <w:color w:val="000000" w:themeColor="text1"/>
              </w:rPr>
            </w:pPr>
            <w:r w:rsidRPr="00492AD6">
              <w:rPr>
                <w:color w:val="000000" w:themeColor="text1"/>
              </w:rPr>
              <w:t>Steel support posts</w:t>
            </w:r>
          </w:p>
        </w:tc>
        <w:tc>
          <w:tcPr>
            <w:tcW w:w="99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605BC1C" w14:textId="77777777" w:rsidR="006568C5" w:rsidRPr="00492AD6" w:rsidRDefault="006568C5">
            <w:pPr>
              <w:pStyle w:val="TableDataEntries"/>
              <w:rPr>
                <w:color w:val="000000" w:themeColor="text1"/>
              </w:rPr>
            </w:pPr>
            <w:r w:rsidRPr="00492AD6">
              <w:rPr>
                <w:color w:val="000000" w:themeColor="text1"/>
              </w:rPr>
              <w:t>5,000</w:t>
            </w:r>
          </w:p>
        </w:tc>
        <w:tc>
          <w:tcPr>
            <w:tcW w:w="141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50E607A" w14:textId="77777777" w:rsidR="006568C5" w:rsidRPr="00492AD6" w:rsidRDefault="006568C5">
            <w:pPr>
              <w:pStyle w:val="TableDataEntries"/>
              <w:rPr>
                <w:color w:val="000000" w:themeColor="text1"/>
              </w:rPr>
            </w:pPr>
            <w:r w:rsidRPr="00492AD6">
              <w:rPr>
                <w:color w:val="000000" w:themeColor="text1"/>
              </w:rPr>
              <w:t xml:space="preserve"> 0</w:t>
            </w:r>
          </w:p>
        </w:tc>
        <w:tc>
          <w:tcPr>
            <w:tcW w:w="11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980E25" w14:textId="77777777" w:rsidR="006568C5" w:rsidRPr="00492AD6" w:rsidRDefault="006568C5">
            <w:pPr>
              <w:pStyle w:val="TableDataEntries"/>
              <w:rPr>
                <w:color w:val="000000" w:themeColor="text1"/>
              </w:rPr>
            </w:pPr>
            <w:r w:rsidRPr="00492AD6">
              <w:rPr>
                <w:color w:val="000000" w:themeColor="text1"/>
              </w:rPr>
              <w:t>5,000</w:t>
            </w:r>
          </w:p>
        </w:tc>
        <w:tc>
          <w:tcPr>
            <w:tcW w:w="141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639BE0" w14:textId="77777777" w:rsidR="006568C5" w:rsidRPr="00492AD6" w:rsidRDefault="006568C5">
            <w:pPr>
              <w:pStyle w:val="TableDataEntries"/>
              <w:rPr>
                <w:color w:val="000000" w:themeColor="text1"/>
              </w:rPr>
            </w:pPr>
            <w:r w:rsidRPr="00492AD6">
              <w:rPr>
                <w:color w:val="000000" w:themeColor="text1"/>
              </w:rPr>
              <w:t xml:space="preserve"> 500</w:t>
            </w:r>
          </w:p>
        </w:tc>
      </w:tr>
      <w:tr w:rsidR="006568C5" w:rsidRPr="00492AD6" w14:paraId="49F0D82C" w14:textId="77777777">
        <w:trPr>
          <w:trHeight w:val="245"/>
        </w:trPr>
        <w:tc>
          <w:tcPr>
            <w:tcW w:w="311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D582E96" w14:textId="77777777" w:rsidR="006568C5" w:rsidRPr="00492AD6" w:rsidRDefault="006568C5">
            <w:pPr>
              <w:pStyle w:val="TableDataEntries"/>
              <w:jc w:val="left"/>
              <w:rPr>
                <w:color w:val="000000" w:themeColor="text1"/>
              </w:rPr>
            </w:pPr>
            <w:r w:rsidRPr="00492AD6">
              <w:rPr>
                <w:color w:val="000000" w:themeColor="text1"/>
              </w:rPr>
              <w:t>Maintenance</w:t>
            </w:r>
          </w:p>
        </w:tc>
        <w:tc>
          <w:tcPr>
            <w:tcW w:w="99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FFFFFD" w14:textId="77777777" w:rsidR="006568C5" w:rsidRPr="00492AD6" w:rsidRDefault="006568C5">
            <w:pPr>
              <w:pStyle w:val="TableDataEntries"/>
              <w:rPr>
                <w:color w:val="000000" w:themeColor="text1"/>
              </w:rPr>
            </w:pPr>
            <w:r w:rsidRPr="00492AD6">
              <w:rPr>
                <w:color w:val="000000" w:themeColor="text1"/>
              </w:rPr>
              <w:t>0</w:t>
            </w:r>
          </w:p>
        </w:tc>
        <w:tc>
          <w:tcPr>
            <w:tcW w:w="141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0C8266" w14:textId="77777777" w:rsidR="006568C5" w:rsidRPr="00492AD6" w:rsidRDefault="006568C5">
            <w:pPr>
              <w:pStyle w:val="TableDataEntries"/>
              <w:rPr>
                <w:color w:val="000000" w:themeColor="text1"/>
              </w:rPr>
            </w:pPr>
            <w:r w:rsidRPr="00492AD6">
              <w:rPr>
                <w:color w:val="000000" w:themeColor="text1"/>
              </w:rPr>
              <w:t>5,000</w:t>
            </w:r>
            <w:r w:rsidRPr="00492AD6">
              <w:rPr>
                <w:rStyle w:val="NoteLabel"/>
                <w:color w:val="000000" w:themeColor="text1"/>
              </w:rPr>
              <w:t>c</w:t>
            </w:r>
          </w:p>
        </w:tc>
        <w:tc>
          <w:tcPr>
            <w:tcW w:w="11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CF355B3" w14:textId="77777777" w:rsidR="006568C5" w:rsidRPr="00492AD6" w:rsidRDefault="006568C5">
            <w:pPr>
              <w:pStyle w:val="TableDataEntries"/>
              <w:rPr>
                <w:color w:val="000000" w:themeColor="text1"/>
              </w:rPr>
            </w:pPr>
            <w:r w:rsidRPr="00492AD6">
              <w:rPr>
                <w:color w:val="000000" w:themeColor="text1"/>
              </w:rPr>
              <w:t>95,844</w:t>
            </w:r>
          </w:p>
        </w:tc>
        <w:tc>
          <w:tcPr>
            <w:tcW w:w="141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E2B9B47" w14:textId="77777777" w:rsidR="006568C5" w:rsidRPr="00492AD6" w:rsidRDefault="006568C5">
            <w:pPr>
              <w:pStyle w:val="TableDataEntries"/>
              <w:rPr>
                <w:color w:val="000000" w:themeColor="text1"/>
              </w:rPr>
            </w:pPr>
            <w:r w:rsidRPr="00492AD6">
              <w:rPr>
                <w:color w:val="000000" w:themeColor="text1"/>
              </w:rPr>
              <w:t>9,584</w:t>
            </w:r>
          </w:p>
        </w:tc>
      </w:tr>
      <w:tr w:rsidR="006568C5" w:rsidRPr="00492AD6" w14:paraId="7D403BD9" w14:textId="77777777">
        <w:trPr>
          <w:trHeight w:val="245"/>
        </w:trPr>
        <w:tc>
          <w:tcPr>
            <w:tcW w:w="3119"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7A1E09C" w14:textId="77777777" w:rsidR="006568C5" w:rsidRPr="00492AD6" w:rsidRDefault="006568C5">
            <w:pPr>
              <w:pStyle w:val="TableDataEntries"/>
              <w:jc w:val="left"/>
              <w:rPr>
                <w:rFonts w:ascii="Franklin Gothic Demi" w:hAnsi="Franklin Gothic Demi"/>
                <w:color w:val="000000" w:themeColor="text1"/>
              </w:rPr>
            </w:pPr>
            <w:r w:rsidRPr="00492AD6">
              <w:rPr>
                <w:rFonts w:ascii="Franklin Gothic Demi" w:hAnsi="Franklin Gothic Demi"/>
                <w:color w:val="000000" w:themeColor="text1"/>
              </w:rPr>
              <w:t>Total</w:t>
            </w:r>
          </w:p>
        </w:tc>
        <w:tc>
          <w:tcPr>
            <w:tcW w:w="992"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832853B" w14:textId="77777777" w:rsidR="006568C5" w:rsidRPr="00492AD6" w:rsidRDefault="006568C5">
            <w:pPr>
              <w:pStyle w:val="TableDataEntries"/>
              <w:rPr>
                <w:rFonts w:ascii="Franklin Gothic Demi" w:hAnsi="Franklin Gothic Demi"/>
                <w:color w:val="000000" w:themeColor="text1"/>
              </w:rPr>
            </w:pPr>
            <w:r w:rsidRPr="00492AD6">
              <w:rPr>
                <w:rFonts w:ascii="Franklin Gothic Demi" w:hAnsi="Franklin Gothic Demi"/>
                <w:color w:val="000000" w:themeColor="text1"/>
              </w:rPr>
              <w:t>5,000</w:t>
            </w:r>
          </w:p>
        </w:tc>
        <w:tc>
          <w:tcPr>
            <w:tcW w:w="1418"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52E09FE" w14:textId="77777777" w:rsidR="006568C5" w:rsidRPr="00492AD6" w:rsidRDefault="006568C5">
            <w:pPr>
              <w:pStyle w:val="TableDataEntries"/>
              <w:rPr>
                <w:rFonts w:ascii="Franklin Gothic Demi" w:hAnsi="Franklin Gothic Demi"/>
                <w:color w:val="000000" w:themeColor="text1"/>
              </w:rPr>
            </w:pPr>
            <w:r w:rsidRPr="00492AD6">
              <w:rPr>
                <w:rFonts w:ascii="Franklin Gothic Demi" w:hAnsi="Franklin Gothic Demi"/>
                <w:color w:val="000000" w:themeColor="text1"/>
              </w:rPr>
              <w:t>42,000</w:t>
            </w:r>
          </w:p>
        </w:tc>
        <w:tc>
          <w:tcPr>
            <w:tcW w:w="113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72421BC7" w14:textId="77777777" w:rsidR="006568C5" w:rsidRPr="00492AD6" w:rsidRDefault="006568C5">
            <w:pPr>
              <w:pStyle w:val="TableDataEntries"/>
              <w:rPr>
                <w:rFonts w:ascii="Franklin Gothic Demi" w:hAnsi="Franklin Gothic Demi"/>
                <w:color w:val="000000" w:themeColor="text1"/>
              </w:rPr>
            </w:pPr>
            <w:r w:rsidRPr="00492AD6">
              <w:rPr>
                <w:rFonts w:ascii="Franklin Gothic Demi" w:hAnsi="Franklin Gothic Demi"/>
                <w:color w:val="000000" w:themeColor="text1"/>
              </w:rPr>
              <w:t>155,045</w:t>
            </w:r>
          </w:p>
        </w:tc>
        <w:tc>
          <w:tcPr>
            <w:tcW w:w="1417"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D309E92" w14:textId="77777777" w:rsidR="006568C5" w:rsidRPr="00492AD6" w:rsidRDefault="006568C5">
            <w:pPr>
              <w:pStyle w:val="TableDataEntries"/>
              <w:rPr>
                <w:rFonts w:ascii="Franklin Gothic Demi" w:hAnsi="Franklin Gothic Demi"/>
                <w:color w:val="000000" w:themeColor="text1"/>
              </w:rPr>
            </w:pPr>
            <w:r w:rsidRPr="00492AD6">
              <w:rPr>
                <w:rFonts w:ascii="Franklin Gothic Demi" w:hAnsi="Franklin Gothic Demi"/>
                <w:color w:val="000000" w:themeColor="text1"/>
              </w:rPr>
              <w:t>15,505</w:t>
            </w:r>
          </w:p>
        </w:tc>
      </w:tr>
    </w:tbl>
    <w:p w14:paraId="2444FAEE" w14:textId="6D23DEDD" w:rsidR="006568C5" w:rsidRPr="00492AD6" w:rsidRDefault="006568C5" w:rsidP="006568C5">
      <w:pPr>
        <w:pStyle w:val="Note"/>
        <w:rPr>
          <w:color w:val="000000" w:themeColor="text1"/>
        </w:rPr>
      </w:pPr>
      <w:r w:rsidRPr="00492AD6">
        <w:rPr>
          <w:rStyle w:val="NoteLabel"/>
          <w:color w:val="000000" w:themeColor="text1"/>
        </w:rPr>
        <w:t>a</w:t>
      </w:r>
      <w:r w:rsidRPr="00492AD6">
        <w:rPr>
          <w:color w:val="000000" w:themeColor="text1"/>
        </w:rPr>
        <w:t xml:space="preserve"> Calculated over the life of the building (50 years), using a discount rate of 5 per cent. </w:t>
      </w:r>
      <w:r w:rsidR="001F558E">
        <w:rPr>
          <w:rStyle w:val="NoteLabel"/>
          <w:color w:val="000000" w:themeColor="text1"/>
        </w:rPr>
        <w:t>b</w:t>
      </w:r>
      <w:r w:rsidRPr="00492AD6">
        <w:rPr>
          <w:color w:val="000000" w:themeColor="text1"/>
        </w:rPr>
        <w:t xml:space="preserve"> Based on 10 chargers installed in a car park with 100 car spaces (i.e. EV charging in 10 per cent of car spaces). </w:t>
      </w:r>
      <w:r w:rsidR="00122E1E">
        <w:rPr>
          <w:rStyle w:val="NoteLabel"/>
          <w:color w:val="000000" w:themeColor="text1"/>
        </w:rPr>
        <w:t>c</w:t>
      </w:r>
      <w:r w:rsidRPr="00492AD6">
        <w:rPr>
          <w:color w:val="000000" w:themeColor="text1"/>
        </w:rPr>
        <w:t xml:space="preserve"> Annual for 10 chargers.</w:t>
      </w:r>
    </w:p>
    <w:p w14:paraId="055B431F" w14:textId="77777777" w:rsidR="006568C5" w:rsidRPr="00492AD6" w:rsidRDefault="006568C5" w:rsidP="006568C5">
      <w:pPr>
        <w:pStyle w:val="Source"/>
        <w:rPr>
          <w:color w:val="000000" w:themeColor="text1"/>
          <w:lang w:bidi="fa-IR"/>
        </w:rPr>
      </w:pPr>
      <w:r w:rsidRPr="00492AD6">
        <w:rPr>
          <w:i/>
          <w:color w:val="000000" w:themeColor="text1"/>
          <w:lang w:bidi="fa-IR"/>
        </w:rPr>
        <w:t>Source:</w:t>
      </w:r>
      <w:r w:rsidRPr="00492AD6">
        <w:rPr>
          <w:color w:val="000000" w:themeColor="text1"/>
          <w:lang w:bidi="fa-IR"/>
        </w:rPr>
        <w:t xml:space="preserve"> Estimates prepared for ABCB.</w:t>
      </w:r>
    </w:p>
    <w:p w14:paraId="192ABAC1" w14:textId="77777777" w:rsidR="006568C5" w:rsidRDefault="006568C5" w:rsidP="006568C5">
      <w:pPr>
        <w:pStyle w:val="Heading3"/>
        <w:rPr>
          <w:lang w:bidi="fa-IR"/>
        </w:rPr>
      </w:pPr>
      <w:r>
        <w:rPr>
          <w:lang w:bidi="fa-IR"/>
        </w:rPr>
        <w:t>Aggregate costs</w:t>
      </w:r>
    </w:p>
    <w:p w14:paraId="174B4453" w14:textId="6062932C" w:rsidR="006568C5" w:rsidRDefault="006568C5" w:rsidP="006568C5">
      <w:pPr>
        <w:pStyle w:val="BodyText"/>
        <w:rPr>
          <w:lang w:bidi="fa-IR"/>
        </w:rPr>
      </w:pPr>
      <w:r>
        <w:rPr>
          <w:lang w:bidi="fa-IR"/>
        </w:rPr>
        <w:t>To estimate the number of additional buildings that install EV charging as a result of the proposed changes, we divide projected new construction for each of the relevant building types (in square metres) by the floor space of the buildings used in the cost modelling (</w:t>
      </w:r>
      <w:r w:rsidRPr="00347092">
        <w:rPr>
          <w:lang w:bidi="fa-IR"/>
        </w:rPr>
        <w:t>table </w:t>
      </w:r>
      <w:r w:rsidR="00347092">
        <w:rPr>
          <w:lang w:bidi="fa-IR"/>
        </w:rPr>
        <w:t>8.5</w:t>
      </w:r>
      <w:r>
        <w:rPr>
          <w:lang w:bidi="fa-IR"/>
        </w:rPr>
        <w:t xml:space="preserve">). </w:t>
      </w:r>
    </w:p>
    <w:p w14:paraId="3D88DF32" w14:textId="77777777" w:rsidR="006568C5" w:rsidRDefault="006568C5" w:rsidP="006568C5">
      <w:pPr>
        <w:pStyle w:val="BodyText"/>
        <w:rPr>
          <w:lang w:bidi="fa-IR"/>
        </w:rPr>
      </w:pPr>
      <w:r>
        <w:rPr>
          <w:lang w:bidi="fa-IR"/>
        </w:rPr>
        <w:t>We then use the assumed uptake of EV charging (also shown in the table, which is consistent with the assumption used to estimate the benefits) to estimate the additional number of buildings that install EV charging as a result of the proposed changes to the NCC.</w:t>
      </w:r>
    </w:p>
    <w:p w14:paraId="46E76019" w14:textId="15AA91C0" w:rsidR="006568C5" w:rsidRPr="006F0F88" w:rsidRDefault="006568C5" w:rsidP="009B4D09">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w:instrText>
      </w:r>
      <w:fldSimple w:instr=" STYLEREF &quot;Heading 1&quot; \l \n ">
        <w:r w:rsidR="00520F9E">
          <w:rPr>
            <w:noProof/>
          </w:rPr>
          <w:instrText>8</w:instrText>
        </w:r>
      </w:fldSimple>
      <w:r w:rsidRPr="006F0F88">
        <w:instrText xml:space="preserve">." </w:instrText>
      </w:r>
      <w:r w:rsidRPr="006F0F88">
        <w:fldChar w:fldCharType="separate"/>
      </w:r>
      <w:r w:rsidR="00520F9E">
        <w:rPr>
          <w:noProof/>
        </w:rPr>
        <w:instrText>8</w:instrText>
      </w:r>
      <w:r w:rsidR="00520F9E"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8</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520F9E">
        <w:rPr>
          <w:noProof/>
        </w:rPr>
        <w:instrText>5</w:instrText>
      </w:r>
      <w:r w:rsidRPr="006F0F88">
        <w:fldChar w:fldCharType="end"/>
      </w:r>
      <w:r w:rsidRPr="006F0F88">
        <w:instrText xml:space="preserve">" "" </w:instrText>
      </w:r>
      <w:r w:rsidRPr="006F0F88">
        <w:fldChar w:fldCharType="separate"/>
      </w:r>
      <w:bookmarkStart w:id="5224" w:name="_Caption4083"/>
      <w:bookmarkStart w:id="5225" w:name="_Caption4552"/>
      <w:bookmarkStart w:id="5226" w:name="_Caption2093"/>
      <w:bookmarkStart w:id="5227" w:name="_Caption8790"/>
      <w:bookmarkStart w:id="5228" w:name="_Caption2000"/>
      <w:bookmarkStart w:id="5229" w:name="_Caption3316"/>
      <w:bookmarkStart w:id="5230" w:name="_Caption5524"/>
      <w:bookmarkStart w:id="5231" w:name="_Caption9892"/>
      <w:bookmarkStart w:id="5232" w:name="_Caption3356"/>
      <w:bookmarkStart w:id="5233" w:name="_Caption6007"/>
      <w:bookmarkStart w:id="5234" w:name="_Caption9355"/>
      <w:bookmarkStart w:id="5235" w:name="_Caption7661"/>
      <w:bookmarkStart w:id="5236" w:name="_Caption2801"/>
      <w:bookmarkStart w:id="5237" w:name="_Caption1550"/>
      <w:bookmarkStart w:id="5238" w:name="_Caption4124"/>
      <w:bookmarkStart w:id="5239" w:name="_Caption5873"/>
      <w:bookmarkStart w:id="5240" w:name="_Caption2225"/>
      <w:bookmarkStart w:id="5241" w:name="_Caption4970"/>
      <w:bookmarkStart w:id="5242" w:name="_Caption5761"/>
      <w:bookmarkStart w:id="5243" w:name="_Caption5436"/>
      <w:bookmarkStart w:id="5244" w:name="_Caption9301"/>
      <w:bookmarkStart w:id="5245" w:name="_Caption1812"/>
      <w:bookmarkStart w:id="5246" w:name="_Caption0972"/>
      <w:bookmarkStart w:id="5247" w:name="_Caption3342"/>
      <w:bookmarkStart w:id="5248" w:name="_Caption6488"/>
      <w:bookmarkStart w:id="5249" w:name="_Caption2143"/>
      <w:bookmarkStart w:id="5250" w:name="_Caption3704"/>
      <w:bookmarkStart w:id="5251" w:name="_Caption6709"/>
      <w:bookmarkStart w:id="5252" w:name="_Caption3658"/>
      <w:bookmarkStart w:id="5253" w:name="_Caption6085"/>
      <w:bookmarkStart w:id="5254" w:name="_Caption5132"/>
      <w:bookmarkStart w:id="5255" w:name="_Caption3723"/>
      <w:bookmarkStart w:id="5256" w:name="_Caption9605"/>
      <w:bookmarkStart w:id="5257" w:name="_Caption7887"/>
      <w:bookmarkStart w:id="5258" w:name="_Caption9035"/>
      <w:bookmarkStart w:id="5259" w:name="_Caption5864"/>
      <w:bookmarkStart w:id="5260" w:name="_Caption6298"/>
      <w:bookmarkStart w:id="5261" w:name="_Caption7901"/>
      <w:bookmarkStart w:id="5262" w:name="_Caption0165"/>
      <w:bookmarkStart w:id="5263" w:name="_Caption0466"/>
      <w:bookmarkStart w:id="5264" w:name="_Caption9399"/>
      <w:bookmarkStart w:id="5265" w:name="_Caption3080"/>
      <w:bookmarkStart w:id="5266" w:name="_Caption9145"/>
      <w:bookmarkStart w:id="5267" w:name="_Caption2010"/>
      <w:bookmarkStart w:id="5268" w:name="_Caption4584"/>
      <w:bookmarkStart w:id="5269" w:name="_Caption7702"/>
      <w:bookmarkStart w:id="5270" w:name="_Caption4455"/>
      <w:bookmarkStart w:id="5271" w:name="_Caption2067"/>
      <w:bookmarkStart w:id="5272" w:name="_Caption2573"/>
      <w:bookmarkStart w:id="5273" w:name="_Caption2741"/>
      <w:bookmarkStart w:id="5274" w:name="_Caption2644"/>
      <w:bookmarkStart w:id="5275" w:name="_Caption2313"/>
      <w:bookmarkStart w:id="5276" w:name="_Caption6507"/>
      <w:bookmarkStart w:id="5277" w:name="_Caption6106"/>
      <w:bookmarkStart w:id="5278" w:name="_Caption7032"/>
      <w:bookmarkStart w:id="5279" w:name="_Caption6451"/>
      <w:bookmarkStart w:id="5280" w:name="_Caption3941"/>
      <w:bookmarkStart w:id="5281" w:name="_Caption6311"/>
      <w:bookmarkStart w:id="5282" w:name="_Caption6526"/>
      <w:bookmarkStart w:id="5283" w:name="_Caption0151"/>
      <w:bookmarkStart w:id="5284" w:name="_Caption7908"/>
      <w:bookmarkStart w:id="5285" w:name="_Caption7211"/>
      <w:bookmarkStart w:id="5286" w:name="_Caption7666"/>
      <w:bookmarkStart w:id="5287" w:name="_Caption3425"/>
      <w:bookmarkStart w:id="5288" w:name="_Caption5707"/>
      <w:bookmarkStart w:id="5289" w:name="_Caption6552"/>
      <w:bookmarkStart w:id="5290" w:name="_Caption6728"/>
      <w:bookmarkStart w:id="5291" w:name="_Caption3003"/>
      <w:bookmarkStart w:id="5292" w:name="_Caption1976"/>
      <w:bookmarkStart w:id="5293" w:name="_Caption3063"/>
      <w:bookmarkStart w:id="5294" w:name="_Caption1780"/>
      <w:bookmarkStart w:id="5295" w:name="_Caption9241"/>
      <w:bookmarkStart w:id="5296" w:name="_Caption8748"/>
      <w:bookmarkStart w:id="5297" w:name="_Caption8594"/>
      <w:bookmarkStart w:id="5298" w:name="_Caption5877"/>
      <w:bookmarkStart w:id="5299" w:name="_Caption9125"/>
      <w:bookmarkStart w:id="5300" w:name="_Caption7608"/>
      <w:bookmarkStart w:id="5301" w:name="_Caption3110"/>
      <w:bookmarkStart w:id="5302" w:name="_Caption3053"/>
      <w:bookmarkStart w:id="5303" w:name="_Caption1833"/>
      <w:bookmarkStart w:id="5304" w:name="_Caption0465"/>
      <w:bookmarkStart w:id="5305" w:name="_Caption4940"/>
      <w:bookmarkStart w:id="5306" w:name="_Caption1882"/>
      <w:bookmarkStart w:id="5307" w:name="_Caption3884"/>
      <w:bookmarkStart w:id="5308" w:name="_Caption3817"/>
      <w:bookmarkStart w:id="5309" w:name="_Caption5698"/>
      <w:bookmarkStart w:id="5310" w:name="_Caption5037"/>
      <w:bookmarkStart w:id="5311" w:name="_Caption1635"/>
      <w:bookmarkStart w:id="5312" w:name="_Caption3638"/>
      <w:bookmarkStart w:id="5313" w:name="_Caption5030"/>
      <w:bookmarkStart w:id="5314" w:name="_Caption7548"/>
      <w:bookmarkStart w:id="5315" w:name="_Caption8850"/>
      <w:bookmarkStart w:id="5316" w:name="_Caption4134"/>
      <w:bookmarkStart w:id="5317" w:name="_Caption4378"/>
      <w:bookmarkStart w:id="5318" w:name="_Caption8252"/>
      <w:bookmarkStart w:id="5319" w:name="_Toc177735194"/>
      <w:bookmarkStart w:id="5320" w:name="_Toc178292629"/>
      <w:r w:rsidR="008C60A3">
        <w:rPr>
          <w:noProof/>
        </w:rPr>
        <w:t>8</w:t>
      </w:r>
      <w:r w:rsidR="008C60A3" w:rsidRPr="006F0F88">
        <w:rPr>
          <w:noProof/>
        </w:rPr>
        <w:t>.</w:t>
      </w:r>
      <w:r w:rsidR="008C60A3">
        <w:rPr>
          <w:noProof/>
        </w:rPr>
        <w:t>5</w:t>
      </w:r>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r w:rsidRPr="006F0F88">
        <w:fldChar w:fldCharType="end"/>
      </w:r>
      <w:r w:rsidRPr="006F0F88">
        <w:tab/>
        <w:t>Additional buildings installing EV charging facilities</w:t>
      </w:r>
      <w:bookmarkEnd w:id="5319"/>
      <w:bookmarkEnd w:id="5320"/>
    </w:p>
    <w:tbl>
      <w:tblPr>
        <w:tblW w:w="8718" w:type="dxa"/>
        <w:tblLayout w:type="fixed"/>
        <w:tblLook w:val="0000" w:firstRow="0" w:lastRow="0" w:firstColumn="0" w:lastColumn="0" w:noHBand="0" w:noVBand="0"/>
        <w:tblCaption w:val="Table 6.29 - Additional buildings installing EV charging facilities"/>
      </w:tblPr>
      <w:tblGrid>
        <w:gridCol w:w="709"/>
        <w:gridCol w:w="1134"/>
        <w:gridCol w:w="859"/>
        <w:gridCol w:w="833"/>
        <w:gridCol w:w="886"/>
        <w:gridCol w:w="859"/>
        <w:gridCol w:w="860"/>
        <w:gridCol w:w="859"/>
        <w:gridCol w:w="859"/>
        <w:gridCol w:w="860"/>
      </w:tblGrid>
      <w:tr w:rsidR="006568C5" w:rsidRPr="00492AD6" w14:paraId="6A941237" w14:textId="77777777">
        <w:trPr>
          <w:trHeight w:val="490"/>
          <w:tblHeader/>
        </w:trPr>
        <w:tc>
          <w:tcPr>
            <w:tcW w:w="709" w:type="dxa"/>
            <w:shd w:val="clear" w:color="auto" w:fill="6F6652"/>
            <w:tcMar>
              <w:left w:w="57" w:type="dxa"/>
              <w:right w:w="57" w:type="dxa"/>
            </w:tcMar>
          </w:tcPr>
          <w:p w14:paraId="355E7E3E" w14:textId="77777777" w:rsidR="006568C5" w:rsidRPr="00492AD6" w:rsidRDefault="006568C5">
            <w:pPr>
              <w:pStyle w:val="TableDataColumnHeading"/>
              <w:jc w:val="left"/>
              <w:rPr>
                <w:color w:val="FFFFFF" w:themeColor="background1"/>
              </w:rPr>
            </w:pPr>
            <w:r w:rsidRPr="00492AD6">
              <w:rPr>
                <w:color w:val="FFFFFF" w:themeColor="background1"/>
              </w:rPr>
              <w:t>Year</w:t>
            </w:r>
          </w:p>
        </w:tc>
        <w:tc>
          <w:tcPr>
            <w:tcW w:w="1134" w:type="dxa"/>
            <w:shd w:val="clear" w:color="auto" w:fill="6F6652"/>
          </w:tcPr>
          <w:p w14:paraId="051DDE3A" w14:textId="77777777" w:rsidR="006568C5" w:rsidRPr="00492AD6" w:rsidRDefault="006568C5">
            <w:pPr>
              <w:pStyle w:val="TableDataColumnHeading"/>
              <w:rPr>
                <w:color w:val="FFFFFF" w:themeColor="background1"/>
              </w:rPr>
            </w:pPr>
            <w:r w:rsidRPr="00492AD6">
              <w:rPr>
                <w:color w:val="FFFFFF" w:themeColor="background1"/>
              </w:rPr>
              <w:t>Uptake in base case</w:t>
            </w:r>
          </w:p>
          <w:p w14:paraId="65E31868" w14:textId="77777777" w:rsidR="006568C5" w:rsidRPr="00492AD6" w:rsidRDefault="006568C5">
            <w:pPr>
              <w:pStyle w:val="TableDataColumnHeading"/>
              <w:rPr>
                <w:color w:val="FFFFFF" w:themeColor="background1"/>
              </w:rPr>
            </w:pPr>
            <w:r w:rsidRPr="00492AD6">
              <w:rPr>
                <w:color w:val="FFFFFF" w:themeColor="background1"/>
              </w:rPr>
              <w:t>Per cent</w:t>
            </w:r>
          </w:p>
        </w:tc>
        <w:tc>
          <w:tcPr>
            <w:tcW w:w="859" w:type="dxa"/>
            <w:shd w:val="clear" w:color="auto" w:fill="6F6652"/>
            <w:tcMar>
              <w:left w:w="57" w:type="dxa"/>
              <w:right w:w="57" w:type="dxa"/>
            </w:tcMar>
          </w:tcPr>
          <w:p w14:paraId="542C369B" w14:textId="77777777" w:rsidR="006568C5" w:rsidRPr="00C43FBC" w:rsidRDefault="006568C5">
            <w:pPr>
              <w:pStyle w:val="TableDataColumnHeading"/>
              <w:rPr>
                <w:rStyle w:val="NoteLabel"/>
                <w:color w:val="FFFFFF" w:themeColor="background1"/>
              </w:rPr>
            </w:pPr>
            <w:r w:rsidRPr="00492AD6">
              <w:rPr>
                <w:color w:val="FFFFFF" w:themeColor="background1"/>
              </w:rPr>
              <w:t>Hotel</w:t>
            </w:r>
            <w:r w:rsidRPr="00C43FBC">
              <w:rPr>
                <w:rStyle w:val="NoteLabel"/>
                <w:color w:val="FFFFFF" w:themeColor="background1"/>
              </w:rPr>
              <w:t>a</w:t>
            </w:r>
          </w:p>
          <w:p w14:paraId="3F37B692" w14:textId="77777777" w:rsidR="006568C5" w:rsidRPr="00C43FBC" w:rsidRDefault="006568C5">
            <w:pPr>
              <w:pStyle w:val="TableDataColumnHeading"/>
              <w:spacing w:before="0" w:after="0"/>
              <w:rPr>
                <w:rStyle w:val="NoteLabel"/>
                <w:color w:val="FFFFFF" w:themeColor="background1"/>
              </w:rPr>
            </w:pPr>
          </w:p>
          <w:p w14:paraId="5763C5D8" w14:textId="77777777" w:rsidR="006568C5" w:rsidRPr="00492AD6" w:rsidRDefault="006568C5">
            <w:pPr>
              <w:pStyle w:val="TableDataColumnHeading"/>
              <w:spacing w:before="0" w:after="0"/>
              <w:rPr>
                <w:color w:val="FFFFFF" w:themeColor="background1"/>
              </w:rPr>
            </w:pPr>
            <w:r w:rsidRPr="00492AD6">
              <w:rPr>
                <w:color w:val="FFFFFF" w:themeColor="background1"/>
              </w:rPr>
              <w:t>No.</w:t>
            </w:r>
          </w:p>
        </w:tc>
        <w:tc>
          <w:tcPr>
            <w:tcW w:w="833" w:type="dxa"/>
            <w:shd w:val="clear" w:color="auto" w:fill="6F6652"/>
            <w:tcMar>
              <w:left w:w="57" w:type="dxa"/>
              <w:right w:w="57" w:type="dxa"/>
            </w:tcMar>
          </w:tcPr>
          <w:p w14:paraId="29A9E243" w14:textId="77777777" w:rsidR="006568C5" w:rsidRPr="00492AD6" w:rsidRDefault="006568C5">
            <w:pPr>
              <w:pStyle w:val="TableDataColumnHeading"/>
              <w:rPr>
                <w:rStyle w:val="NoteLabel"/>
              </w:rPr>
            </w:pPr>
            <w:r w:rsidRPr="00492AD6">
              <w:rPr>
                <w:color w:val="FFFFFF" w:themeColor="background1"/>
              </w:rPr>
              <w:t>Office building</w:t>
            </w:r>
          </w:p>
          <w:p w14:paraId="7559E24D" w14:textId="77777777" w:rsidR="006568C5" w:rsidRPr="00492AD6" w:rsidRDefault="006568C5">
            <w:pPr>
              <w:pStyle w:val="TableDataColumnHeading"/>
              <w:rPr>
                <w:color w:val="FFFFFF" w:themeColor="background1"/>
              </w:rPr>
            </w:pPr>
            <w:r w:rsidRPr="00492AD6">
              <w:rPr>
                <w:color w:val="FFFFFF" w:themeColor="background1"/>
              </w:rPr>
              <w:t>No.</w:t>
            </w:r>
          </w:p>
        </w:tc>
        <w:tc>
          <w:tcPr>
            <w:tcW w:w="886" w:type="dxa"/>
            <w:shd w:val="clear" w:color="auto" w:fill="6F6652"/>
            <w:tcMar>
              <w:left w:w="57" w:type="dxa"/>
              <w:right w:w="57" w:type="dxa"/>
            </w:tcMar>
          </w:tcPr>
          <w:p w14:paraId="144BAC7F" w14:textId="77777777" w:rsidR="006568C5" w:rsidRPr="00C43FBC" w:rsidRDefault="006568C5">
            <w:pPr>
              <w:pStyle w:val="TableDataColumnHeading"/>
              <w:spacing w:after="0"/>
              <w:ind w:left="-57" w:right="-57"/>
              <w:rPr>
                <w:rStyle w:val="NoteLabel"/>
                <w:color w:val="FFFFFF" w:themeColor="background1"/>
              </w:rPr>
            </w:pPr>
            <w:r w:rsidRPr="00492AD6">
              <w:rPr>
                <w:color w:val="FFFFFF" w:themeColor="background1"/>
              </w:rPr>
              <w:t>Warehouse</w:t>
            </w:r>
            <w:r w:rsidRPr="00C43FBC">
              <w:rPr>
                <w:rStyle w:val="NoteLabel"/>
                <w:color w:val="FFFFFF" w:themeColor="background1"/>
              </w:rPr>
              <w:t>c</w:t>
            </w:r>
          </w:p>
          <w:p w14:paraId="362535D1" w14:textId="77777777" w:rsidR="006568C5" w:rsidRPr="00C43FBC" w:rsidRDefault="006568C5">
            <w:pPr>
              <w:pStyle w:val="TableDataColumnHeading"/>
              <w:spacing w:before="0" w:after="0"/>
              <w:rPr>
                <w:rStyle w:val="NoteLabel"/>
                <w:color w:val="FFFFFF" w:themeColor="background1"/>
              </w:rPr>
            </w:pPr>
          </w:p>
          <w:p w14:paraId="4C8E56CF" w14:textId="77777777" w:rsidR="006568C5" w:rsidRPr="00492AD6" w:rsidRDefault="006568C5">
            <w:pPr>
              <w:pStyle w:val="TableDataColumnHeading"/>
              <w:ind w:left="-57" w:right="-57"/>
              <w:rPr>
                <w:color w:val="FFFFFF" w:themeColor="background1"/>
              </w:rPr>
            </w:pPr>
            <w:r w:rsidRPr="00492AD6">
              <w:rPr>
                <w:color w:val="FFFFFF" w:themeColor="background1"/>
              </w:rPr>
              <w:t>No.</w:t>
            </w:r>
          </w:p>
        </w:tc>
        <w:tc>
          <w:tcPr>
            <w:tcW w:w="859" w:type="dxa"/>
            <w:shd w:val="clear" w:color="auto" w:fill="6F6652"/>
            <w:tcMar>
              <w:left w:w="57" w:type="dxa"/>
              <w:right w:w="57" w:type="dxa"/>
            </w:tcMar>
          </w:tcPr>
          <w:p w14:paraId="0BA532C5" w14:textId="77777777" w:rsidR="006568C5" w:rsidRPr="00C43FBC" w:rsidRDefault="006568C5">
            <w:pPr>
              <w:pStyle w:val="TableDataColumnHeading"/>
              <w:spacing w:after="0"/>
              <w:ind w:left="-57" w:right="-57"/>
              <w:rPr>
                <w:rStyle w:val="NoteLabel"/>
                <w:color w:val="FFFFFF" w:themeColor="background1"/>
              </w:rPr>
            </w:pPr>
            <w:r w:rsidRPr="00492AD6">
              <w:rPr>
                <w:color w:val="FFFFFF" w:themeColor="background1"/>
              </w:rPr>
              <w:t>Laboratory</w:t>
            </w:r>
            <w:r w:rsidRPr="00C43FBC">
              <w:rPr>
                <w:rStyle w:val="NoteLabel"/>
                <w:color w:val="FFFFFF" w:themeColor="background1"/>
              </w:rPr>
              <w:t>d</w:t>
            </w:r>
          </w:p>
          <w:p w14:paraId="5B9974CC" w14:textId="77777777" w:rsidR="006568C5" w:rsidRPr="00C43FBC" w:rsidRDefault="006568C5">
            <w:pPr>
              <w:pStyle w:val="TableDataColumnHeading"/>
              <w:spacing w:before="0" w:after="0"/>
              <w:rPr>
                <w:rStyle w:val="NoteLabel"/>
                <w:color w:val="FFFFFF" w:themeColor="background1"/>
              </w:rPr>
            </w:pPr>
          </w:p>
          <w:p w14:paraId="2922B005" w14:textId="77777777" w:rsidR="006568C5" w:rsidRPr="00492AD6" w:rsidRDefault="006568C5">
            <w:pPr>
              <w:pStyle w:val="TableDataColumnHeading"/>
              <w:ind w:left="-57" w:right="-57"/>
              <w:rPr>
                <w:color w:val="FFFFFF" w:themeColor="background1"/>
              </w:rPr>
            </w:pPr>
            <w:r w:rsidRPr="00492AD6">
              <w:rPr>
                <w:color w:val="FFFFFF" w:themeColor="background1"/>
              </w:rPr>
              <w:t>No.</w:t>
            </w:r>
          </w:p>
        </w:tc>
        <w:tc>
          <w:tcPr>
            <w:tcW w:w="860" w:type="dxa"/>
            <w:shd w:val="clear" w:color="auto" w:fill="6F6652"/>
            <w:tcMar>
              <w:left w:w="57" w:type="dxa"/>
              <w:right w:w="57" w:type="dxa"/>
            </w:tcMar>
          </w:tcPr>
          <w:p w14:paraId="32C77799" w14:textId="77777777" w:rsidR="006568C5" w:rsidRPr="00C43FBC" w:rsidRDefault="006568C5">
            <w:pPr>
              <w:pStyle w:val="TableDataColumnHeading"/>
              <w:spacing w:after="0"/>
              <w:ind w:left="-57" w:right="-57"/>
              <w:rPr>
                <w:rStyle w:val="NoteLabel"/>
                <w:color w:val="FFFFFF" w:themeColor="background1"/>
              </w:rPr>
            </w:pPr>
            <w:r w:rsidRPr="00492AD6">
              <w:rPr>
                <w:color w:val="FFFFFF" w:themeColor="background1"/>
              </w:rPr>
              <w:t>Factory</w:t>
            </w:r>
            <w:r w:rsidRPr="00C43FBC">
              <w:rPr>
                <w:rStyle w:val="NoteLabel"/>
                <w:color w:val="FFFFFF" w:themeColor="background1"/>
              </w:rPr>
              <w:t>e</w:t>
            </w:r>
          </w:p>
          <w:p w14:paraId="294402DF" w14:textId="77777777" w:rsidR="006568C5" w:rsidRPr="00C43FBC" w:rsidRDefault="006568C5">
            <w:pPr>
              <w:pStyle w:val="TableDataColumnHeading"/>
              <w:spacing w:before="0" w:after="0"/>
              <w:rPr>
                <w:rStyle w:val="NoteLabel"/>
                <w:color w:val="FFFFFF" w:themeColor="background1"/>
              </w:rPr>
            </w:pPr>
          </w:p>
          <w:p w14:paraId="312EFA22" w14:textId="77777777" w:rsidR="006568C5" w:rsidRPr="00492AD6" w:rsidRDefault="006568C5">
            <w:pPr>
              <w:pStyle w:val="TableDataColumnHeading"/>
              <w:ind w:left="-57" w:right="-57"/>
              <w:rPr>
                <w:color w:val="FFFFFF" w:themeColor="background1"/>
              </w:rPr>
            </w:pPr>
            <w:r w:rsidRPr="00492AD6">
              <w:rPr>
                <w:color w:val="FFFFFF" w:themeColor="background1"/>
              </w:rPr>
              <w:t>No</w:t>
            </w:r>
          </w:p>
        </w:tc>
        <w:tc>
          <w:tcPr>
            <w:tcW w:w="859" w:type="dxa"/>
            <w:shd w:val="clear" w:color="auto" w:fill="6F6652"/>
            <w:tcMar>
              <w:left w:w="57" w:type="dxa"/>
              <w:right w:w="57" w:type="dxa"/>
            </w:tcMar>
          </w:tcPr>
          <w:p w14:paraId="723EAB03" w14:textId="77777777" w:rsidR="006568C5" w:rsidRPr="00C43FBC" w:rsidRDefault="006568C5">
            <w:pPr>
              <w:pStyle w:val="TableDataColumnHeading"/>
              <w:spacing w:after="0"/>
              <w:ind w:left="-57" w:right="-57"/>
              <w:rPr>
                <w:rStyle w:val="NoteLabel"/>
                <w:color w:val="FFFFFF" w:themeColor="background1"/>
              </w:rPr>
            </w:pPr>
            <w:r w:rsidRPr="00492AD6">
              <w:rPr>
                <w:color w:val="FFFFFF" w:themeColor="background1"/>
              </w:rPr>
              <w:t>Hospital</w:t>
            </w:r>
            <w:r w:rsidRPr="00C43FBC">
              <w:rPr>
                <w:rStyle w:val="NoteLabel"/>
                <w:color w:val="FFFFFF" w:themeColor="background1"/>
              </w:rPr>
              <w:t>f</w:t>
            </w:r>
          </w:p>
          <w:p w14:paraId="693388ED" w14:textId="77777777" w:rsidR="006568C5" w:rsidRPr="00C43FBC" w:rsidRDefault="006568C5">
            <w:pPr>
              <w:pStyle w:val="TableDataColumnHeading"/>
              <w:spacing w:before="0" w:after="0"/>
              <w:rPr>
                <w:rStyle w:val="NoteLabel"/>
                <w:color w:val="FFFFFF" w:themeColor="background1"/>
              </w:rPr>
            </w:pPr>
          </w:p>
          <w:p w14:paraId="7918C93B" w14:textId="77777777" w:rsidR="006568C5" w:rsidRPr="00492AD6" w:rsidRDefault="006568C5">
            <w:pPr>
              <w:pStyle w:val="TableDataColumnHeading"/>
              <w:ind w:left="-57" w:right="-57"/>
              <w:rPr>
                <w:color w:val="FFFFFF" w:themeColor="background1"/>
              </w:rPr>
            </w:pPr>
            <w:r w:rsidRPr="00492AD6">
              <w:rPr>
                <w:color w:val="FFFFFF" w:themeColor="background1"/>
              </w:rPr>
              <w:t>No</w:t>
            </w:r>
          </w:p>
        </w:tc>
        <w:tc>
          <w:tcPr>
            <w:tcW w:w="859" w:type="dxa"/>
            <w:shd w:val="clear" w:color="auto" w:fill="6F6652"/>
            <w:tcMar>
              <w:left w:w="57" w:type="dxa"/>
              <w:right w:w="57" w:type="dxa"/>
            </w:tcMar>
          </w:tcPr>
          <w:p w14:paraId="46ECD42B" w14:textId="77777777" w:rsidR="006568C5" w:rsidRPr="00C43FBC" w:rsidRDefault="006568C5">
            <w:pPr>
              <w:pStyle w:val="TableDataColumnHeading"/>
              <w:ind w:left="-57" w:right="-57"/>
              <w:rPr>
                <w:rStyle w:val="NoteLabel"/>
                <w:color w:val="FFFFFF" w:themeColor="background1"/>
              </w:rPr>
            </w:pPr>
            <w:r w:rsidRPr="00492AD6">
              <w:rPr>
                <w:color w:val="FFFFFF" w:themeColor="background1"/>
              </w:rPr>
              <w:t>Aged care facility</w:t>
            </w:r>
            <w:r w:rsidRPr="00C43FBC">
              <w:rPr>
                <w:rStyle w:val="NoteLabel"/>
                <w:color w:val="FFFFFF" w:themeColor="background1"/>
              </w:rPr>
              <w:t>g</w:t>
            </w:r>
          </w:p>
          <w:p w14:paraId="069459A7" w14:textId="77777777" w:rsidR="006568C5" w:rsidRPr="00492AD6" w:rsidRDefault="006568C5">
            <w:pPr>
              <w:pStyle w:val="TableDataColumnHeading"/>
              <w:ind w:left="-57" w:right="-57"/>
              <w:rPr>
                <w:color w:val="FFFFFF" w:themeColor="background1"/>
                <w:position w:val="4"/>
                <w:sz w:val="14"/>
                <w:szCs w:val="16"/>
              </w:rPr>
            </w:pPr>
            <w:r w:rsidRPr="00492AD6">
              <w:rPr>
                <w:color w:val="FFFFFF" w:themeColor="background1"/>
              </w:rPr>
              <w:t>No</w:t>
            </w:r>
          </w:p>
        </w:tc>
        <w:tc>
          <w:tcPr>
            <w:tcW w:w="860" w:type="dxa"/>
            <w:shd w:val="clear" w:color="auto" w:fill="6F6652"/>
            <w:tcMar>
              <w:left w:w="57" w:type="dxa"/>
              <w:right w:w="57" w:type="dxa"/>
            </w:tcMar>
          </w:tcPr>
          <w:p w14:paraId="044021F4" w14:textId="77777777" w:rsidR="006568C5" w:rsidRPr="00492AD6" w:rsidRDefault="006568C5">
            <w:pPr>
              <w:pStyle w:val="TableDataColumnHeading"/>
              <w:spacing w:after="0"/>
              <w:ind w:left="-57"/>
              <w:rPr>
                <w:rStyle w:val="NoteLabel"/>
              </w:rPr>
            </w:pPr>
            <w:r w:rsidRPr="00492AD6">
              <w:rPr>
                <w:color w:val="FFFFFF" w:themeColor="background1"/>
              </w:rPr>
              <w:t>Total</w:t>
            </w:r>
          </w:p>
          <w:p w14:paraId="2B634FA7" w14:textId="77777777" w:rsidR="006568C5" w:rsidRPr="00492AD6" w:rsidRDefault="006568C5">
            <w:pPr>
              <w:pStyle w:val="TableDataColumnHeading"/>
              <w:spacing w:before="0" w:after="0"/>
              <w:rPr>
                <w:rStyle w:val="NoteLabel"/>
              </w:rPr>
            </w:pPr>
          </w:p>
          <w:p w14:paraId="1BF3947C" w14:textId="77777777" w:rsidR="006568C5" w:rsidRPr="00492AD6" w:rsidRDefault="006568C5">
            <w:pPr>
              <w:pStyle w:val="TableDataColumnHeading"/>
              <w:rPr>
                <w:color w:val="FFFFFF" w:themeColor="background1"/>
              </w:rPr>
            </w:pPr>
            <w:r w:rsidRPr="00492AD6">
              <w:rPr>
                <w:color w:val="FFFFFF" w:themeColor="background1"/>
              </w:rPr>
              <w:t>No</w:t>
            </w:r>
          </w:p>
        </w:tc>
      </w:tr>
      <w:tr w:rsidR="006568C5" w14:paraId="4DF958D4" w14:textId="77777777">
        <w:trPr>
          <w:trHeight w:val="245"/>
        </w:trPr>
        <w:tc>
          <w:tcPr>
            <w:tcW w:w="7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8BB886" w14:textId="77777777" w:rsidR="006568C5" w:rsidRDefault="006568C5">
            <w:pPr>
              <w:pStyle w:val="TableDataEntries"/>
              <w:jc w:val="left"/>
            </w:pPr>
            <w:r>
              <w:t>2025</w:t>
            </w:r>
          </w:p>
        </w:tc>
        <w:tc>
          <w:tcPr>
            <w:tcW w:w="1134" w:type="dxa"/>
            <w:tcBorders>
              <w:top w:val="single" w:sz="8" w:space="0" w:color="FFFFFF" w:themeColor="background1"/>
              <w:bottom w:val="single" w:sz="8" w:space="0" w:color="FFFFFF" w:themeColor="background1"/>
            </w:tcBorders>
            <w:shd w:val="clear" w:color="auto" w:fill="E9E8E5" w:themeFill="background2"/>
            <w:vAlign w:val="center"/>
          </w:tcPr>
          <w:p w14:paraId="0432BFC7" w14:textId="77777777" w:rsidR="006568C5" w:rsidRPr="00073F76" w:rsidRDefault="006568C5">
            <w:pPr>
              <w:pStyle w:val="TableDataEntries"/>
            </w:pPr>
            <w:r w:rsidRPr="00073F76">
              <w:t>1.4</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29F3F9A1" w14:textId="77777777" w:rsidR="006568C5" w:rsidRPr="00073F76" w:rsidRDefault="006568C5">
            <w:pPr>
              <w:pStyle w:val="TableDataEntries"/>
            </w:pPr>
            <w:r w:rsidRPr="00073F76">
              <w:t>943</w:t>
            </w:r>
          </w:p>
        </w:tc>
        <w:tc>
          <w:tcPr>
            <w:tcW w:w="8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0FBC6225" w14:textId="77777777" w:rsidR="006568C5" w:rsidRPr="00073F76" w:rsidRDefault="006568C5">
            <w:pPr>
              <w:pStyle w:val="TableDataEntries"/>
            </w:pPr>
            <w:r w:rsidRPr="00073F76">
              <w:t>283</w:t>
            </w:r>
          </w:p>
        </w:tc>
        <w:tc>
          <w:tcPr>
            <w:tcW w:w="88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490DD1F3" w14:textId="77777777" w:rsidR="006568C5" w:rsidRPr="00073F76" w:rsidRDefault="006568C5">
            <w:pPr>
              <w:pStyle w:val="TableDataEntries"/>
            </w:pPr>
            <w:r w:rsidRPr="00073F76">
              <w:t>1,791</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323C2D12" w14:textId="77777777" w:rsidR="006568C5" w:rsidRPr="00073F76" w:rsidRDefault="006568C5">
            <w:pPr>
              <w:pStyle w:val="TableDataEntries"/>
            </w:pPr>
            <w:r w:rsidRPr="00073F76">
              <w:t>14</w:t>
            </w:r>
          </w:p>
        </w:tc>
        <w:tc>
          <w:tcPr>
            <w:tcW w:w="8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4999E48E" w14:textId="77777777" w:rsidR="006568C5" w:rsidRPr="00073F76" w:rsidRDefault="006568C5">
            <w:pPr>
              <w:pStyle w:val="TableDataEntries"/>
            </w:pPr>
            <w:r w:rsidRPr="00073F76">
              <w:t>2,503</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2FE1ED56" w14:textId="77777777" w:rsidR="006568C5" w:rsidRPr="00073F76" w:rsidRDefault="006568C5">
            <w:pPr>
              <w:pStyle w:val="TableDataEntries"/>
            </w:pPr>
            <w:r w:rsidRPr="00073F76">
              <w:t>104</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095AB63E" w14:textId="77777777" w:rsidR="006568C5" w:rsidRPr="00073F76" w:rsidRDefault="006568C5">
            <w:pPr>
              <w:pStyle w:val="TableDataEntries"/>
            </w:pPr>
            <w:r w:rsidRPr="00073F76">
              <w:t>123</w:t>
            </w:r>
          </w:p>
        </w:tc>
        <w:tc>
          <w:tcPr>
            <w:tcW w:w="8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780E0C43" w14:textId="77777777" w:rsidR="006568C5" w:rsidRPr="00073F76" w:rsidRDefault="006568C5">
            <w:pPr>
              <w:pStyle w:val="TableDataEntries"/>
            </w:pPr>
            <w:r w:rsidRPr="00073F76">
              <w:t>5,762</w:t>
            </w:r>
          </w:p>
        </w:tc>
      </w:tr>
      <w:tr w:rsidR="006568C5" w14:paraId="3FD1F57A" w14:textId="77777777">
        <w:trPr>
          <w:trHeight w:val="245"/>
        </w:trPr>
        <w:tc>
          <w:tcPr>
            <w:tcW w:w="7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1D1ABD5" w14:textId="77777777" w:rsidR="006568C5" w:rsidRDefault="006568C5">
            <w:pPr>
              <w:pStyle w:val="TableDataEntries"/>
              <w:jc w:val="left"/>
            </w:pPr>
            <w:r>
              <w:t>2026</w:t>
            </w:r>
          </w:p>
        </w:tc>
        <w:tc>
          <w:tcPr>
            <w:tcW w:w="1134" w:type="dxa"/>
            <w:tcBorders>
              <w:top w:val="single" w:sz="8" w:space="0" w:color="FFFFFF" w:themeColor="background1"/>
              <w:bottom w:val="single" w:sz="8" w:space="0" w:color="FFFFFF" w:themeColor="background1"/>
            </w:tcBorders>
            <w:shd w:val="clear" w:color="auto" w:fill="E9E8E5" w:themeFill="background2"/>
            <w:vAlign w:val="center"/>
          </w:tcPr>
          <w:p w14:paraId="13B9FD06" w14:textId="77777777" w:rsidR="006568C5" w:rsidRPr="00073F76" w:rsidRDefault="006568C5">
            <w:pPr>
              <w:pStyle w:val="TableDataEntries"/>
            </w:pPr>
            <w:r w:rsidRPr="00073F76">
              <w:t>2.4</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612C7F5B" w14:textId="77777777" w:rsidR="006568C5" w:rsidRPr="00073F76" w:rsidRDefault="006568C5">
            <w:pPr>
              <w:pStyle w:val="TableDataEntries"/>
            </w:pPr>
            <w:r w:rsidRPr="00073F76">
              <w:t>1,065</w:t>
            </w:r>
          </w:p>
        </w:tc>
        <w:tc>
          <w:tcPr>
            <w:tcW w:w="8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031EBE66" w14:textId="77777777" w:rsidR="006568C5" w:rsidRPr="00073F76" w:rsidRDefault="006568C5">
            <w:pPr>
              <w:pStyle w:val="TableDataEntries"/>
            </w:pPr>
            <w:r w:rsidRPr="00073F76">
              <w:t>320</w:t>
            </w:r>
          </w:p>
        </w:tc>
        <w:tc>
          <w:tcPr>
            <w:tcW w:w="88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4D7AF797" w14:textId="77777777" w:rsidR="006568C5" w:rsidRPr="00073F76" w:rsidRDefault="006568C5">
            <w:pPr>
              <w:pStyle w:val="TableDataEntries"/>
            </w:pPr>
            <w:r w:rsidRPr="00073F76">
              <w:t>2,019</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01793FF7" w14:textId="77777777" w:rsidR="006568C5" w:rsidRPr="00073F76" w:rsidRDefault="006568C5">
            <w:pPr>
              <w:pStyle w:val="TableDataEntries"/>
            </w:pPr>
            <w:r w:rsidRPr="00073F76">
              <w:t>16</w:t>
            </w:r>
          </w:p>
        </w:tc>
        <w:tc>
          <w:tcPr>
            <w:tcW w:w="8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2397A4A0" w14:textId="77777777" w:rsidR="006568C5" w:rsidRPr="00073F76" w:rsidRDefault="006568C5">
            <w:pPr>
              <w:pStyle w:val="TableDataEntries"/>
            </w:pPr>
            <w:r w:rsidRPr="00073F76">
              <w:t>2,820</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0B9342F4" w14:textId="77777777" w:rsidR="006568C5" w:rsidRPr="00073F76" w:rsidRDefault="006568C5">
            <w:pPr>
              <w:pStyle w:val="TableDataEntries"/>
            </w:pPr>
            <w:r w:rsidRPr="00073F76">
              <w:t>117</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2B7C4BCB" w14:textId="77777777" w:rsidR="006568C5" w:rsidRPr="00073F76" w:rsidRDefault="006568C5">
            <w:pPr>
              <w:pStyle w:val="TableDataEntries"/>
            </w:pPr>
            <w:r w:rsidRPr="00073F76">
              <w:t>139</w:t>
            </w:r>
          </w:p>
        </w:tc>
        <w:tc>
          <w:tcPr>
            <w:tcW w:w="8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5A746EF8" w14:textId="77777777" w:rsidR="006568C5" w:rsidRPr="00073F76" w:rsidRDefault="006568C5">
            <w:pPr>
              <w:pStyle w:val="TableDataEntries"/>
            </w:pPr>
            <w:r w:rsidRPr="00073F76">
              <w:t>6,496</w:t>
            </w:r>
          </w:p>
        </w:tc>
      </w:tr>
      <w:tr w:rsidR="006568C5" w14:paraId="1358A902" w14:textId="77777777">
        <w:trPr>
          <w:trHeight w:val="245"/>
        </w:trPr>
        <w:tc>
          <w:tcPr>
            <w:tcW w:w="7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4C30F27" w14:textId="77777777" w:rsidR="006568C5" w:rsidRDefault="006568C5">
            <w:pPr>
              <w:pStyle w:val="TableDataEntries"/>
              <w:jc w:val="left"/>
            </w:pPr>
            <w:r>
              <w:t>2027</w:t>
            </w:r>
          </w:p>
        </w:tc>
        <w:tc>
          <w:tcPr>
            <w:tcW w:w="1134" w:type="dxa"/>
            <w:tcBorders>
              <w:top w:val="single" w:sz="8" w:space="0" w:color="FFFFFF" w:themeColor="background1"/>
              <w:bottom w:val="single" w:sz="8" w:space="0" w:color="FFFFFF" w:themeColor="background1"/>
            </w:tcBorders>
            <w:shd w:val="clear" w:color="auto" w:fill="E9E8E5" w:themeFill="background2"/>
            <w:vAlign w:val="center"/>
          </w:tcPr>
          <w:p w14:paraId="7A293018" w14:textId="77777777" w:rsidR="006568C5" w:rsidRPr="00073F76" w:rsidRDefault="006568C5">
            <w:pPr>
              <w:pStyle w:val="TableDataEntries"/>
            </w:pPr>
            <w:r w:rsidRPr="00073F76">
              <w:t>3.8</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1926FC56" w14:textId="77777777" w:rsidR="006568C5" w:rsidRPr="00073F76" w:rsidRDefault="006568C5">
            <w:pPr>
              <w:pStyle w:val="TableDataEntries"/>
            </w:pPr>
            <w:r w:rsidRPr="00073F76">
              <w:t>1,094</w:t>
            </w:r>
          </w:p>
        </w:tc>
        <w:tc>
          <w:tcPr>
            <w:tcW w:w="8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07AB2D36" w14:textId="77777777" w:rsidR="006568C5" w:rsidRPr="00073F76" w:rsidRDefault="006568C5">
            <w:pPr>
              <w:pStyle w:val="TableDataEntries"/>
            </w:pPr>
            <w:r w:rsidRPr="00073F76">
              <w:t>325</w:t>
            </w:r>
          </w:p>
        </w:tc>
        <w:tc>
          <w:tcPr>
            <w:tcW w:w="88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4CF22C69" w14:textId="77777777" w:rsidR="006568C5" w:rsidRPr="00073F76" w:rsidRDefault="006568C5">
            <w:pPr>
              <w:pStyle w:val="TableDataEntries"/>
            </w:pPr>
            <w:r w:rsidRPr="00073F76">
              <w:t>2,062</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019E900A" w14:textId="77777777" w:rsidR="006568C5" w:rsidRPr="00073F76" w:rsidRDefault="006568C5">
            <w:pPr>
              <w:pStyle w:val="TableDataEntries"/>
            </w:pPr>
            <w:r w:rsidRPr="00073F76">
              <w:t>16</w:t>
            </w:r>
          </w:p>
        </w:tc>
        <w:tc>
          <w:tcPr>
            <w:tcW w:w="8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3B088595" w14:textId="77777777" w:rsidR="006568C5" w:rsidRPr="00073F76" w:rsidRDefault="006568C5">
            <w:pPr>
              <w:pStyle w:val="TableDataEntries"/>
            </w:pPr>
            <w:r w:rsidRPr="00073F76">
              <w:t>2,899</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50F97694" w14:textId="77777777" w:rsidR="006568C5" w:rsidRPr="00073F76" w:rsidRDefault="006568C5">
            <w:pPr>
              <w:pStyle w:val="TableDataEntries"/>
            </w:pPr>
            <w:r w:rsidRPr="00073F76">
              <w:t>120</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0D46DBB8" w14:textId="77777777" w:rsidR="006568C5" w:rsidRPr="00073F76" w:rsidRDefault="006568C5">
            <w:pPr>
              <w:pStyle w:val="TableDataEntries"/>
            </w:pPr>
            <w:r w:rsidRPr="00073F76">
              <w:t>142</w:t>
            </w:r>
          </w:p>
        </w:tc>
        <w:tc>
          <w:tcPr>
            <w:tcW w:w="8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7267CE0C" w14:textId="77777777" w:rsidR="006568C5" w:rsidRPr="00073F76" w:rsidRDefault="006568C5">
            <w:pPr>
              <w:pStyle w:val="TableDataEntries"/>
            </w:pPr>
            <w:r w:rsidRPr="00073F76">
              <w:t>6,658</w:t>
            </w:r>
          </w:p>
        </w:tc>
      </w:tr>
      <w:tr w:rsidR="006568C5" w14:paraId="5F5A6F5C" w14:textId="77777777">
        <w:trPr>
          <w:trHeight w:val="245"/>
        </w:trPr>
        <w:tc>
          <w:tcPr>
            <w:tcW w:w="7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B5874F0" w14:textId="77777777" w:rsidR="006568C5" w:rsidRDefault="006568C5">
            <w:pPr>
              <w:pStyle w:val="TableDataEntries"/>
              <w:jc w:val="left"/>
            </w:pPr>
            <w:r>
              <w:t>2028</w:t>
            </w:r>
          </w:p>
        </w:tc>
        <w:tc>
          <w:tcPr>
            <w:tcW w:w="1134" w:type="dxa"/>
            <w:tcBorders>
              <w:top w:val="single" w:sz="8" w:space="0" w:color="FFFFFF" w:themeColor="background1"/>
              <w:bottom w:val="single" w:sz="8" w:space="0" w:color="FFFFFF" w:themeColor="background1"/>
            </w:tcBorders>
            <w:shd w:val="clear" w:color="auto" w:fill="E9E8E5" w:themeFill="background2"/>
            <w:vAlign w:val="center"/>
          </w:tcPr>
          <w:p w14:paraId="1B8AF268" w14:textId="77777777" w:rsidR="006568C5" w:rsidRPr="00073F76" w:rsidRDefault="006568C5">
            <w:pPr>
              <w:pStyle w:val="TableDataEntries"/>
            </w:pPr>
            <w:r w:rsidRPr="00073F76">
              <w:t>5.6</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3C8243BE" w14:textId="77777777" w:rsidR="006568C5" w:rsidRPr="00073F76" w:rsidRDefault="006568C5">
            <w:pPr>
              <w:pStyle w:val="TableDataEntries"/>
            </w:pPr>
            <w:r w:rsidRPr="00073F76">
              <w:t>1,061</w:t>
            </w:r>
          </w:p>
        </w:tc>
        <w:tc>
          <w:tcPr>
            <w:tcW w:w="8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6C6DA032" w14:textId="77777777" w:rsidR="006568C5" w:rsidRPr="00073F76" w:rsidRDefault="006568C5">
            <w:pPr>
              <w:pStyle w:val="TableDataEntries"/>
            </w:pPr>
            <w:r w:rsidRPr="00073F76">
              <w:t>315</w:t>
            </w:r>
          </w:p>
        </w:tc>
        <w:tc>
          <w:tcPr>
            <w:tcW w:w="88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44A785A4" w14:textId="77777777" w:rsidR="006568C5" w:rsidRPr="00073F76" w:rsidRDefault="006568C5">
            <w:pPr>
              <w:pStyle w:val="TableDataEntries"/>
            </w:pPr>
            <w:r w:rsidRPr="00073F76">
              <w:t>2,000</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69BEB892" w14:textId="77777777" w:rsidR="006568C5" w:rsidRPr="00073F76" w:rsidRDefault="006568C5">
            <w:pPr>
              <w:pStyle w:val="TableDataEntries"/>
            </w:pPr>
            <w:r w:rsidRPr="00073F76">
              <w:t>16</w:t>
            </w:r>
          </w:p>
        </w:tc>
        <w:tc>
          <w:tcPr>
            <w:tcW w:w="8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54BBAAA1" w14:textId="77777777" w:rsidR="006568C5" w:rsidRPr="00073F76" w:rsidRDefault="006568C5">
            <w:pPr>
              <w:pStyle w:val="TableDataEntries"/>
            </w:pPr>
            <w:r w:rsidRPr="00073F76">
              <w:t>2,816</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3E8DCA6A" w14:textId="77777777" w:rsidR="006568C5" w:rsidRPr="00073F76" w:rsidRDefault="006568C5">
            <w:pPr>
              <w:pStyle w:val="TableDataEntries"/>
            </w:pPr>
            <w:r w:rsidRPr="00073F76">
              <w:t>116</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609B1BDF" w14:textId="77777777" w:rsidR="006568C5" w:rsidRPr="00073F76" w:rsidRDefault="006568C5">
            <w:pPr>
              <w:pStyle w:val="TableDataEntries"/>
            </w:pPr>
            <w:r w:rsidRPr="00073F76">
              <w:t>138</w:t>
            </w:r>
          </w:p>
        </w:tc>
        <w:tc>
          <w:tcPr>
            <w:tcW w:w="8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39893246" w14:textId="77777777" w:rsidR="006568C5" w:rsidRPr="00073F76" w:rsidRDefault="006568C5">
            <w:pPr>
              <w:pStyle w:val="TableDataEntries"/>
            </w:pPr>
            <w:r w:rsidRPr="00073F76">
              <w:t>6,461</w:t>
            </w:r>
          </w:p>
        </w:tc>
      </w:tr>
      <w:tr w:rsidR="006568C5" w14:paraId="4C98E967" w14:textId="77777777">
        <w:trPr>
          <w:trHeight w:val="245"/>
        </w:trPr>
        <w:tc>
          <w:tcPr>
            <w:tcW w:w="7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6F04A6" w14:textId="77777777" w:rsidR="006568C5" w:rsidRDefault="006568C5">
            <w:pPr>
              <w:pStyle w:val="TableDataEntries"/>
              <w:jc w:val="left"/>
            </w:pPr>
            <w:r>
              <w:t>2029</w:t>
            </w:r>
          </w:p>
        </w:tc>
        <w:tc>
          <w:tcPr>
            <w:tcW w:w="1134" w:type="dxa"/>
            <w:tcBorders>
              <w:top w:val="single" w:sz="8" w:space="0" w:color="FFFFFF" w:themeColor="background1"/>
              <w:bottom w:val="single" w:sz="8" w:space="0" w:color="FFFFFF" w:themeColor="background1"/>
            </w:tcBorders>
            <w:shd w:val="clear" w:color="auto" w:fill="E9E8E5" w:themeFill="background2"/>
            <w:vAlign w:val="center"/>
          </w:tcPr>
          <w:p w14:paraId="5D12212E" w14:textId="77777777" w:rsidR="006568C5" w:rsidRPr="00073F76" w:rsidRDefault="006568C5">
            <w:pPr>
              <w:pStyle w:val="TableDataEntries"/>
            </w:pPr>
            <w:r w:rsidRPr="00073F76">
              <w:t>7.8</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1B8FC97D" w14:textId="77777777" w:rsidR="006568C5" w:rsidRPr="00073F76" w:rsidRDefault="006568C5">
            <w:pPr>
              <w:pStyle w:val="TableDataEntries"/>
            </w:pPr>
            <w:r w:rsidRPr="00073F76">
              <w:t>1,051</w:t>
            </w:r>
          </w:p>
        </w:tc>
        <w:tc>
          <w:tcPr>
            <w:tcW w:w="8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763189D6" w14:textId="77777777" w:rsidR="006568C5" w:rsidRPr="00073F76" w:rsidRDefault="006568C5">
            <w:pPr>
              <w:pStyle w:val="TableDataEntries"/>
            </w:pPr>
            <w:r w:rsidRPr="00073F76">
              <w:t>313</w:t>
            </w:r>
          </w:p>
        </w:tc>
        <w:tc>
          <w:tcPr>
            <w:tcW w:w="88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6581D73E" w14:textId="77777777" w:rsidR="006568C5" w:rsidRPr="00073F76" w:rsidRDefault="006568C5">
            <w:pPr>
              <w:pStyle w:val="TableDataEntries"/>
            </w:pPr>
            <w:r w:rsidRPr="00073F76">
              <w:t>1,985</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412B5325" w14:textId="77777777" w:rsidR="006568C5" w:rsidRPr="00073F76" w:rsidRDefault="006568C5">
            <w:pPr>
              <w:pStyle w:val="TableDataEntries"/>
            </w:pPr>
            <w:r w:rsidRPr="00073F76">
              <w:t>15</w:t>
            </w:r>
          </w:p>
        </w:tc>
        <w:tc>
          <w:tcPr>
            <w:tcW w:w="8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36218251" w14:textId="77777777" w:rsidR="006568C5" w:rsidRPr="00073F76" w:rsidRDefault="006568C5">
            <w:pPr>
              <w:pStyle w:val="TableDataEntries"/>
            </w:pPr>
            <w:r w:rsidRPr="00073F76">
              <w:t>2,786</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3E912907" w14:textId="77777777" w:rsidR="006568C5" w:rsidRPr="00073F76" w:rsidRDefault="006568C5">
            <w:pPr>
              <w:pStyle w:val="TableDataEntries"/>
            </w:pPr>
            <w:r w:rsidRPr="00073F76">
              <w:t>115</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61DFD5F2" w14:textId="77777777" w:rsidR="006568C5" w:rsidRPr="00073F76" w:rsidRDefault="006568C5">
            <w:pPr>
              <w:pStyle w:val="TableDataEntries"/>
            </w:pPr>
            <w:r w:rsidRPr="00073F76">
              <w:t>136</w:t>
            </w:r>
          </w:p>
        </w:tc>
        <w:tc>
          <w:tcPr>
            <w:tcW w:w="8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631F8E09" w14:textId="77777777" w:rsidR="006568C5" w:rsidRPr="00073F76" w:rsidRDefault="006568C5">
            <w:pPr>
              <w:pStyle w:val="TableDataEntries"/>
            </w:pPr>
            <w:r w:rsidRPr="00073F76">
              <w:t>6,403</w:t>
            </w:r>
          </w:p>
        </w:tc>
      </w:tr>
      <w:tr w:rsidR="006568C5" w14:paraId="326AE024" w14:textId="77777777">
        <w:trPr>
          <w:trHeight w:val="245"/>
        </w:trPr>
        <w:tc>
          <w:tcPr>
            <w:tcW w:w="7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3EF11B" w14:textId="77777777" w:rsidR="006568C5" w:rsidRDefault="006568C5">
            <w:pPr>
              <w:pStyle w:val="TableDataEntries"/>
              <w:jc w:val="left"/>
            </w:pPr>
            <w:r>
              <w:t>2030</w:t>
            </w:r>
          </w:p>
        </w:tc>
        <w:tc>
          <w:tcPr>
            <w:tcW w:w="1134" w:type="dxa"/>
            <w:tcBorders>
              <w:top w:val="single" w:sz="8" w:space="0" w:color="FFFFFF" w:themeColor="background1"/>
              <w:bottom w:val="single" w:sz="8" w:space="0" w:color="FFFFFF" w:themeColor="background1"/>
            </w:tcBorders>
            <w:shd w:val="clear" w:color="auto" w:fill="E9E8E5" w:themeFill="background2"/>
            <w:vAlign w:val="center"/>
          </w:tcPr>
          <w:p w14:paraId="06B466BD" w14:textId="77777777" w:rsidR="006568C5" w:rsidRPr="00073F76" w:rsidRDefault="006568C5">
            <w:pPr>
              <w:pStyle w:val="TableDataEntries"/>
            </w:pPr>
            <w:r w:rsidRPr="00073F76">
              <w:t>10.5</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51D6108A" w14:textId="77777777" w:rsidR="006568C5" w:rsidRPr="00073F76" w:rsidRDefault="006568C5">
            <w:pPr>
              <w:pStyle w:val="TableDataEntries"/>
            </w:pPr>
            <w:r w:rsidRPr="00073F76">
              <w:t>1,022</w:t>
            </w:r>
          </w:p>
        </w:tc>
        <w:tc>
          <w:tcPr>
            <w:tcW w:w="8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1C455A99" w14:textId="77777777" w:rsidR="006568C5" w:rsidRPr="00073F76" w:rsidRDefault="006568C5">
            <w:pPr>
              <w:pStyle w:val="TableDataEntries"/>
            </w:pPr>
            <w:r w:rsidRPr="00073F76">
              <w:t>305</w:t>
            </w:r>
          </w:p>
        </w:tc>
        <w:tc>
          <w:tcPr>
            <w:tcW w:w="88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2BB1589B" w14:textId="77777777" w:rsidR="006568C5" w:rsidRPr="00073F76" w:rsidRDefault="006568C5">
            <w:pPr>
              <w:pStyle w:val="TableDataEntries"/>
            </w:pPr>
            <w:r w:rsidRPr="00073F76">
              <w:t>1,928</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4DA0EE8D" w14:textId="77777777" w:rsidR="006568C5" w:rsidRPr="00073F76" w:rsidRDefault="006568C5">
            <w:pPr>
              <w:pStyle w:val="TableDataEntries"/>
            </w:pPr>
            <w:r w:rsidRPr="00073F76">
              <w:t>15</w:t>
            </w:r>
          </w:p>
        </w:tc>
        <w:tc>
          <w:tcPr>
            <w:tcW w:w="8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31EC7290" w14:textId="77777777" w:rsidR="006568C5" w:rsidRPr="00073F76" w:rsidRDefault="006568C5">
            <w:pPr>
              <w:pStyle w:val="TableDataEntries"/>
            </w:pPr>
            <w:r w:rsidRPr="00073F76">
              <w:t>2,708</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56F3C1E6" w14:textId="77777777" w:rsidR="006568C5" w:rsidRPr="00073F76" w:rsidRDefault="006568C5">
            <w:pPr>
              <w:pStyle w:val="TableDataEntries"/>
            </w:pPr>
            <w:r w:rsidRPr="00073F76">
              <w:t>112</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6062683F" w14:textId="77777777" w:rsidR="006568C5" w:rsidRPr="00073F76" w:rsidRDefault="006568C5">
            <w:pPr>
              <w:pStyle w:val="TableDataEntries"/>
            </w:pPr>
            <w:r w:rsidRPr="00073F76">
              <w:t>132</w:t>
            </w:r>
          </w:p>
        </w:tc>
        <w:tc>
          <w:tcPr>
            <w:tcW w:w="8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3A4634F8" w14:textId="77777777" w:rsidR="006568C5" w:rsidRPr="00073F76" w:rsidRDefault="006568C5">
            <w:pPr>
              <w:pStyle w:val="TableDataEntries"/>
            </w:pPr>
            <w:r w:rsidRPr="00073F76">
              <w:t>6,222</w:t>
            </w:r>
          </w:p>
        </w:tc>
      </w:tr>
      <w:tr w:rsidR="006568C5" w14:paraId="653E7A14" w14:textId="77777777">
        <w:trPr>
          <w:trHeight w:val="245"/>
        </w:trPr>
        <w:tc>
          <w:tcPr>
            <w:tcW w:w="7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9259AF2" w14:textId="77777777" w:rsidR="006568C5" w:rsidRDefault="006568C5">
            <w:pPr>
              <w:pStyle w:val="TableDataEntries"/>
              <w:jc w:val="left"/>
            </w:pPr>
            <w:r>
              <w:t>2031</w:t>
            </w:r>
          </w:p>
        </w:tc>
        <w:tc>
          <w:tcPr>
            <w:tcW w:w="1134" w:type="dxa"/>
            <w:tcBorders>
              <w:top w:val="single" w:sz="8" w:space="0" w:color="FFFFFF" w:themeColor="background1"/>
              <w:bottom w:val="single" w:sz="8" w:space="0" w:color="FFFFFF" w:themeColor="background1"/>
            </w:tcBorders>
            <w:shd w:val="clear" w:color="auto" w:fill="E9E8E5" w:themeFill="background2"/>
            <w:vAlign w:val="center"/>
          </w:tcPr>
          <w:p w14:paraId="42B615E6" w14:textId="77777777" w:rsidR="006568C5" w:rsidRPr="00073F76" w:rsidRDefault="006568C5">
            <w:pPr>
              <w:pStyle w:val="TableDataEntries"/>
            </w:pPr>
            <w:r w:rsidRPr="00073F76">
              <w:t>13.5</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5E72E62E" w14:textId="77777777" w:rsidR="006568C5" w:rsidRPr="00073F76" w:rsidRDefault="006568C5">
            <w:pPr>
              <w:pStyle w:val="TableDataEntries"/>
            </w:pPr>
            <w:r w:rsidRPr="00073F76">
              <w:t>1,054</w:t>
            </w:r>
          </w:p>
        </w:tc>
        <w:tc>
          <w:tcPr>
            <w:tcW w:w="8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78F55371" w14:textId="77777777" w:rsidR="006568C5" w:rsidRPr="00073F76" w:rsidRDefault="006568C5">
            <w:pPr>
              <w:pStyle w:val="TableDataEntries"/>
            </w:pPr>
            <w:r w:rsidRPr="00073F76">
              <w:t>312</w:t>
            </w:r>
          </w:p>
        </w:tc>
        <w:tc>
          <w:tcPr>
            <w:tcW w:w="88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768F02FE" w14:textId="77777777" w:rsidR="006568C5" w:rsidRPr="00073F76" w:rsidRDefault="006568C5">
            <w:pPr>
              <w:pStyle w:val="TableDataEntries"/>
            </w:pPr>
            <w:r w:rsidRPr="00073F76">
              <w:t>1,981</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6772CEAB" w14:textId="77777777" w:rsidR="006568C5" w:rsidRPr="00073F76" w:rsidRDefault="006568C5">
            <w:pPr>
              <w:pStyle w:val="TableDataEntries"/>
            </w:pPr>
            <w:r w:rsidRPr="00073F76">
              <w:t>15</w:t>
            </w:r>
          </w:p>
        </w:tc>
        <w:tc>
          <w:tcPr>
            <w:tcW w:w="8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3A6F74D3" w14:textId="77777777" w:rsidR="006568C5" w:rsidRPr="00073F76" w:rsidRDefault="006568C5">
            <w:pPr>
              <w:pStyle w:val="TableDataEntries"/>
            </w:pPr>
            <w:r w:rsidRPr="00073F76">
              <w:t>2,792</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60E1A269" w14:textId="77777777" w:rsidR="006568C5" w:rsidRPr="00073F76" w:rsidRDefault="006568C5">
            <w:pPr>
              <w:pStyle w:val="TableDataEntries"/>
            </w:pPr>
            <w:r w:rsidRPr="00073F76">
              <w:t>115</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4B20753A" w14:textId="77777777" w:rsidR="006568C5" w:rsidRPr="00073F76" w:rsidRDefault="006568C5">
            <w:pPr>
              <w:pStyle w:val="TableDataEntries"/>
            </w:pPr>
            <w:r w:rsidRPr="00073F76">
              <w:t>136</w:t>
            </w:r>
          </w:p>
        </w:tc>
        <w:tc>
          <w:tcPr>
            <w:tcW w:w="8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373E1F2B" w14:textId="77777777" w:rsidR="006568C5" w:rsidRPr="00073F76" w:rsidRDefault="006568C5">
            <w:pPr>
              <w:pStyle w:val="TableDataEntries"/>
            </w:pPr>
            <w:r w:rsidRPr="00073F76">
              <w:t>6,407</w:t>
            </w:r>
          </w:p>
        </w:tc>
      </w:tr>
      <w:tr w:rsidR="006568C5" w14:paraId="36B4AC64" w14:textId="77777777">
        <w:trPr>
          <w:trHeight w:val="245"/>
        </w:trPr>
        <w:tc>
          <w:tcPr>
            <w:tcW w:w="7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DE39B8" w14:textId="77777777" w:rsidR="006568C5" w:rsidRDefault="006568C5">
            <w:pPr>
              <w:pStyle w:val="TableDataEntries"/>
              <w:jc w:val="left"/>
            </w:pPr>
            <w:r>
              <w:t>2032</w:t>
            </w:r>
          </w:p>
        </w:tc>
        <w:tc>
          <w:tcPr>
            <w:tcW w:w="1134" w:type="dxa"/>
            <w:tcBorders>
              <w:top w:val="single" w:sz="8" w:space="0" w:color="FFFFFF" w:themeColor="background1"/>
              <w:bottom w:val="single" w:sz="8" w:space="0" w:color="FFFFFF" w:themeColor="background1"/>
            </w:tcBorders>
            <w:shd w:val="clear" w:color="auto" w:fill="E9E8E5" w:themeFill="background2"/>
            <w:vAlign w:val="center"/>
          </w:tcPr>
          <w:p w14:paraId="70590342" w14:textId="77777777" w:rsidR="006568C5" w:rsidRPr="00073F76" w:rsidRDefault="006568C5">
            <w:pPr>
              <w:pStyle w:val="TableDataEntries"/>
            </w:pPr>
            <w:r w:rsidRPr="00073F76">
              <w:t>16.7</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21DEFCC1" w14:textId="77777777" w:rsidR="006568C5" w:rsidRPr="00073F76" w:rsidRDefault="006568C5">
            <w:pPr>
              <w:pStyle w:val="TableDataEntries"/>
            </w:pPr>
            <w:r w:rsidRPr="00073F76">
              <w:t>1,018</w:t>
            </w:r>
          </w:p>
        </w:tc>
        <w:tc>
          <w:tcPr>
            <w:tcW w:w="8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029342AC" w14:textId="77777777" w:rsidR="006568C5" w:rsidRPr="00073F76" w:rsidRDefault="006568C5">
            <w:pPr>
              <w:pStyle w:val="TableDataEntries"/>
            </w:pPr>
            <w:r w:rsidRPr="00073F76">
              <w:t>302</w:t>
            </w:r>
          </w:p>
        </w:tc>
        <w:tc>
          <w:tcPr>
            <w:tcW w:w="88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667169B1" w14:textId="77777777" w:rsidR="006568C5" w:rsidRPr="00073F76" w:rsidRDefault="006568C5">
            <w:pPr>
              <w:pStyle w:val="TableDataEntries"/>
            </w:pPr>
            <w:r w:rsidRPr="00073F76">
              <w:t>1,914</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27F0A7C3" w14:textId="77777777" w:rsidR="006568C5" w:rsidRPr="00073F76" w:rsidRDefault="006568C5">
            <w:pPr>
              <w:pStyle w:val="TableDataEntries"/>
            </w:pPr>
            <w:r w:rsidRPr="00073F76">
              <w:t>15</w:t>
            </w:r>
          </w:p>
        </w:tc>
        <w:tc>
          <w:tcPr>
            <w:tcW w:w="8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5660A301" w14:textId="77777777" w:rsidR="006568C5" w:rsidRPr="00073F76" w:rsidRDefault="006568C5">
            <w:pPr>
              <w:pStyle w:val="TableDataEntries"/>
            </w:pPr>
            <w:r w:rsidRPr="00073F76">
              <w:t>2,694</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545A3BEC" w14:textId="77777777" w:rsidR="006568C5" w:rsidRPr="00073F76" w:rsidRDefault="006568C5">
            <w:pPr>
              <w:pStyle w:val="TableDataEntries"/>
            </w:pPr>
            <w:r w:rsidRPr="00073F76">
              <w:t>111</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24B9AF6B" w14:textId="77777777" w:rsidR="006568C5" w:rsidRPr="00073F76" w:rsidRDefault="006568C5">
            <w:pPr>
              <w:pStyle w:val="TableDataEntries"/>
            </w:pPr>
            <w:r w:rsidRPr="00073F76">
              <w:t>131</w:t>
            </w:r>
          </w:p>
        </w:tc>
        <w:tc>
          <w:tcPr>
            <w:tcW w:w="8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028B57D1" w14:textId="77777777" w:rsidR="006568C5" w:rsidRPr="00073F76" w:rsidRDefault="006568C5">
            <w:pPr>
              <w:pStyle w:val="TableDataEntries"/>
            </w:pPr>
            <w:r w:rsidRPr="00073F76">
              <w:t>6,185</w:t>
            </w:r>
          </w:p>
        </w:tc>
      </w:tr>
      <w:tr w:rsidR="006568C5" w14:paraId="2598B840" w14:textId="77777777">
        <w:trPr>
          <w:trHeight w:val="245"/>
        </w:trPr>
        <w:tc>
          <w:tcPr>
            <w:tcW w:w="7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464C66" w14:textId="77777777" w:rsidR="006568C5" w:rsidRDefault="006568C5">
            <w:pPr>
              <w:pStyle w:val="TableDataEntries"/>
              <w:jc w:val="left"/>
            </w:pPr>
            <w:r>
              <w:t>2033</w:t>
            </w:r>
          </w:p>
        </w:tc>
        <w:tc>
          <w:tcPr>
            <w:tcW w:w="1134" w:type="dxa"/>
            <w:tcBorders>
              <w:top w:val="single" w:sz="8" w:space="0" w:color="FFFFFF" w:themeColor="background1"/>
              <w:bottom w:val="single" w:sz="8" w:space="0" w:color="FFFFFF" w:themeColor="background1"/>
            </w:tcBorders>
            <w:shd w:val="clear" w:color="auto" w:fill="E9E8E5" w:themeFill="background2"/>
            <w:vAlign w:val="center"/>
          </w:tcPr>
          <w:p w14:paraId="3FEDCE41" w14:textId="77777777" w:rsidR="006568C5" w:rsidRPr="00073F76" w:rsidRDefault="006568C5">
            <w:pPr>
              <w:pStyle w:val="TableDataEntries"/>
            </w:pPr>
            <w:r w:rsidRPr="00073F76">
              <w:t>20.3</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210E6E5B" w14:textId="77777777" w:rsidR="006568C5" w:rsidRPr="00073F76" w:rsidRDefault="006568C5">
            <w:pPr>
              <w:pStyle w:val="TableDataEntries"/>
            </w:pPr>
            <w:r w:rsidRPr="00073F76">
              <w:t>965</w:t>
            </w:r>
          </w:p>
        </w:tc>
        <w:tc>
          <w:tcPr>
            <w:tcW w:w="83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41AC4B43" w14:textId="77777777" w:rsidR="006568C5" w:rsidRPr="00073F76" w:rsidRDefault="006568C5">
            <w:pPr>
              <w:pStyle w:val="TableDataEntries"/>
            </w:pPr>
            <w:r w:rsidRPr="00073F76">
              <w:t>287</w:t>
            </w:r>
          </w:p>
        </w:tc>
        <w:tc>
          <w:tcPr>
            <w:tcW w:w="88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09D017A5" w14:textId="77777777" w:rsidR="006568C5" w:rsidRPr="00073F76" w:rsidRDefault="006568C5">
            <w:pPr>
              <w:pStyle w:val="TableDataEntries"/>
            </w:pPr>
            <w:r w:rsidRPr="00073F76">
              <w:t>1,815</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0F27C14D" w14:textId="77777777" w:rsidR="006568C5" w:rsidRPr="00073F76" w:rsidRDefault="006568C5">
            <w:pPr>
              <w:pStyle w:val="TableDataEntries"/>
            </w:pPr>
            <w:r w:rsidRPr="00073F76">
              <w:t>14</w:t>
            </w:r>
          </w:p>
        </w:tc>
        <w:tc>
          <w:tcPr>
            <w:tcW w:w="8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032F6ED5" w14:textId="77777777" w:rsidR="006568C5" w:rsidRPr="00073F76" w:rsidRDefault="006568C5">
            <w:pPr>
              <w:pStyle w:val="TableDataEntries"/>
            </w:pPr>
            <w:r w:rsidRPr="00073F76">
              <w:t>2,553</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4DBB9C46" w14:textId="77777777" w:rsidR="006568C5" w:rsidRPr="00073F76" w:rsidRDefault="006568C5">
            <w:pPr>
              <w:pStyle w:val="TableDataEntries"/>
            </w:pPr>
            <w:r w:rsidRPr="00073F76">
              <w:t>106</w:t>
            </w:r>
          </w:p>
        </w:tc>
        <w:tc>
          <w:tcPr>
            <w:tcW w:w="85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3166FA6E" w14:textId="77777777" w:rsidR="006568C5" w:rsidRPr="00073F76" w:rsidRDefault="006568C5">
            <w:pPr>
              <w:pStyle w:val="TableDataEntries"/>
            </w:pPr>
            <w:r w:rsidRPr="00073F76">
              <w:t>125</w:t>
            </w:r>
          </w:p>
        </w:tc>
        <w:tc>
          <w:tcPr>
            <w:tcW w:w="860"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56A22600" w14:textId="77777777" w:rsidR="006568C5" w:rsidRPr="00073F76" w:rsidRDefault="006568C5">
            <w:pPr>
              <w:pStyle w:val="TableDataEntries"/>
            </w:pPr>
            <w:r w:rsidRPr="00073F76">
              <w:t>5,864</w:t>
            </w:r>
          </w:p>
        </w:tc>
      </w:tr>
      <w:tr w:rsidR="006568C5" w14:paraId="4FF22DD0" w14:textId="77777777">
        <w:trPr>
          <w:trHeight w:val="245"/>
        </w:trPr>
        <w:tc>
          <w:tcPr>
            <w:tcW w:w="709" w:type="dxa"/>
            <w:tcBorders>
              <w:top w:val="single" w:sz="8" w:space="0" w:color="FFFFFF" w:themeColor="background1"/>
              <w:bottom w:val="single" w:sz="6" w:space="0" w:color="6F6652"/>
            </w:tcBorders>
            <w:shd w:val="clear" w:color="auto" w:fill="E9E8E5" w:themeFill="background2"/>
            <w:tcMar>
              <w:left w:w="57" w:type="dxa"/>
              <w:right w:w="57" w:type="dxa"/>
            </w:tcMar>
          </w:tcPr>
          <w:p w14:paraId="6EE13874" w14:textId="77777777" w:rsidR="006568C5" w:rsidRDefault="006568C5">
            <w:pPr>
              <w:pStyle w:val="TableDataEntries"/>
              <w:jc w:val="left"/>
            </w:pPr>
            <w:r>
              <w:t>2034</w:t>
            </w:r>
          </w:p>
        </w:tc>
        <w:tc>
          <w:tcPr>
            <w:tcW w:w="1134" w:type="dxa"/>
            <w:tcBorders>
              <w:top w:val="single" w:sz="8" w:space="0" w:color="FFFFFF" w:themeColor="background1"/>
              <w:bottom w:val="single" w:sz="6" w:space="0" w:color="6F6652"/>
            </w:tcBorders>
            <w:shd w:val="clear" w:color="auto" w:fill="E9E8E5" w:themeFill="background2"/>
            <w:vAlign w:val="center"/>
          </w:tcPr>
          <w:p w14:paraId="513FA5BD" w14:textId="77777777" w:rsidR="006568C5" w:rsidRPr="00073F76" w:rsidRDefault="006568C5">
            <w:pPr>
              <w:pStyle w:val="TableDataEntries"/>
            </w:pPr>
            <w:r w:rsidRPr="00073F76">
              <w:t>24.1</w:t>
            </w:r>
          </w:p>
        </w:tc>
        <w:tc>
          <w:tcPr>
            <w:tcW w:w="859" w:type="dxa"/>
            <w:tcBorders>
              <w:top w:val="single" w:sz="8" w:space="0" w:color="FFFFFF" w:themeColor="background1"/>
              <w:bottom w:val="single" w:sz="6" w:space="0" w:color="6F6652"/>
            </w:tcBorders>
            <w:shd w:val="clear" w:color="auto" w:fill="E9E8E5" w:themeFill="background2"/>
            <w:tcMar>
              <w:left w:w="57" w:type="dxa"/>
              <w:right w:w="57" w:type="dxa"/>
            </w:tcMar>
            <w:vAlign w:val="center"/>
          </w:tcPr>
          <w:p w14:paraId="11C61735" w14:textId="77777777" w:rsidR="006568C5" w:rsidRPr="00073F76" w:rsidRDefault="006568C5">
            <w:pPr>
              <w:pStyle w:val="TableDataEntries"/>
            </w:pPr>
            <w:r w:rsidRPr="00073F76">
              <w:t>918</w:t>
            </w:r>
          </w:p>
        </w:tc>
        <w:tc>
          <w:tcPr>
            <w:tcW w:w="833" w:type="dxa"/>
            <w:tcBorders>
              <w:top w:val="single" w:sz="8" w:space="0" w:color="FFFFFF" w:themeColor="background1"/>
              <w:bottom w:val="single" w:sz="6" w:space="0" w:color="6F6652"/>
            </w:tcBorders>
            <w:shd w:val="clear" w:color="auto" w:fill="E9E8E5" w:themeFill="background2"/>
            <w:tcMar>
              <w:left w:w="57" w:type="dxa"/>
              <w:right w:w="57" w:type="dxa"/>
            </w:tcMar>
            <w:vAlign w:val="center"/>
          </w:tcPr>
          <w:p w14:paraId="77751408" w14:textId="77777777" w:rsidR="006568C5" w:rsidRPr="00073F76" w:rsidRDefault="006568C5">
            <w:pPr>
              <w:pStyle w:val="TableDataEntries"/>
            </w:pPr>
            <w:r w:rsidRPr="00073F76">
              <w:t>272</w:t>
            </w:r>
          </w:p>
        </w:tc>
        <w:tc>
          <w:tcPr>
            <w:tcW w:w="886" w:type="dxa"/>
            <w:tcBorders>
              <w:top w:val="single" w:sz="8" w:space="0" w:color="FFFFFF" w:themeColor="background1"/>
              <w:bottom w:val="single" w:sz="6" w:space="0" w:color="6F6652"/>
            </w:tcBorders>
            <w:shd w:val="clear" w:color="auto" w:fill="E9E8E5" w:themeFill="background2"/>
            <w:tcMar>
              <w:left w:w="57" w:type="dxa"/>
              <w:right w:w="57" w:type="dxa"/>
            </w:tcMar>
            <w:vAlign w:val="center"/>
          </w:tcPr>
          <w:p w14:paraId="618E778E" w14:textId="77777777" w:rsidR="006568C5" w:rsidRPr="00073F76" w:rsidRDefault="006568C5">
            <w:pPr>
              <w:pStyle w:val="TableDataEntries"/>
            </w:pPr>
            <w:r w:rsidRPr="00073F76">
              <w:t>1,723</w:t>
            </w:r>
          </w:p>
        </w:tc>
        <w:tc>
          <w:tcPr>
            <w:tcW w:w="859" w:type="dxa"/>
            <w:tcBorders>
              <w:top w:val="single" w:sz="8" w:space="0" w:color="FFFFFF" w:themeColor="background1"/>
              <w:bottom w:val="single" w:sz="6" w:space="0" w:color="6F6652"/>
            </w:tcBorders>
            <w:shd w:val="clear" w:color="auto" w:fill="E9E8E5" w:themeFill="background2"/>
            <w:tcMar>
              <w:left w:w="57" w:type="dxa"/>
              <w:right w:w="57" w:type="dxa"/>
            </w:tcMar>
            <w:vAlign w:val="center"/>
          </w:tcPr>
          <w:p w14:paraId="318D7E25" w14:textId="77777777" w:rsidR="006568C5" w:rsidRPr="00073F76" w:rsidRDefault="006568C5">
            <w:pPr>
              <w:pStyle w:val="TableDataEntries"/>
            </w:pPr>
            <w:r w:rsidRPr="00073F76">
              <w:t>13</w:t>
            </w:r>
          </w:p>
        </w:tc>
        <w:tc>
          <w:tcPr>
            <w:tcW w:w="860" w:type="dxa"/>
            <w:tcBorders>
              <w:top w:val="single" w:sz="8" w:space="0" w:color="FFFFFF" w:themeColor="background1"/>
              <w:bottom w:val="single" w:sz="6" w:space="0" w:color="6F6652"/>
            </w:tcBorders>
            <w:shd w:val="clear" w:color="auto" w:fill="E9E8E5" w:themeFill="background2"/>
            <w:tcMar>
              <w:left w:w="57" w:type="dxa"/>
              <w:right w:w="57" w:type="dxa"/>
            </w:tcMar>
            <w:vAlign w:val="center"/>
          </w:tcPr>
          <w:p w14:paraId="1C2D1913" w14:textId="77777777" w:rsidR="006568C5" w:rsidRPr="00073F76" w:rsidRDefault="006568C5">
            <w:pPr>
              <w:pStyle w:val="TableDataEntries"/>
            </w:pPr>
            <w:r w:rsidRPr="00073F76">
              <w:t>2,429</w:t>
            </w:r>
          </w:p>
        </w:tc>
        <w:tc>
          <w:tcPr>
            <w:tcW w:w="859" w:type="dxa"/>
            <w:tcBorders>
              <w:top w:val="single" w:sz="8" w:space="0" w:color="FFFFFF" w:themeColor="background1"/>
              <w:bottom w:val="single" w:sz="6" w:space="0" w:color="6F6652"/>
            </w:tcBorders>
            <w:shd w:val="clear" w:color="auto" w:fill="E9E8E5" w:themeFill="background2"/>
            <w:tcMar>
              <w:left w:w="57" w:type="dxa"/>
              <w:right w:w="57" w:type="dxa"/>
            </w:tcMar>
            <w:vAlign w:val="center"/>
          </w:tcPr>
          <w:p w14:paraId="0927BA42" w14:textId="77777777" w:rsidR="006568C5" w:rsidRPr="00073F76" w:rsidRDefault="006568C5">
            <w:pPr>
              <w:pStyle w:val="TableDataEntries"/>
            </w:pPr>
            <w:r w:rsidRPr="00073F76">
              <w:t>100</w:t>
            </w:r>
          </w:p>
        </w:tc>
        <w:tc>
          <w:tcPr>
            <w:tcW w:w="859" w:type="dxa"/>
            <w:tcBorders>
              <w:top w:val="single" w:sz="8" w:space="0" w:color="FFFFFF" w:themeColor="background1"/>
              <w:bottom w:val="single" w:sz="6" w:space="0" w:color="6F6652"/>
            </w:tcBorders>
            <w:shd w:val="clear" w:color="auto" w:fill="E9E8E5" w:themeFill="background2"/>
            <w:tcMar>
              <w:left w:w="57" w:type="dxa"/>
              <w:right w:w="57" w:type="dxa"/>
            </w:tcMar>
            <w:vAlign w:val="center"/>
          </w:tcPr>
          <w:p w14:paraId="54212CF9" w14:textId="77777777" w:rsidR="006568C5" w:rsidRPr="00073F76" w:rsidRDefault="006568C5">
            <w:pPr>
              <w:pStyle w:val="TableDataEntries"/>
            </w:pPr>
            <w:r w:rsidRPr="00073F76">
              <w:t>118</w:t>
            </w:r>
          </w:p>
        </w:tc>
        <w:tc>
          <w:tcPr>
            <w:tcW w:w="860" w:type="dxa"/>
            <w:tcBorders>
              <w:top w:val="single" w:sz="8" w:space="0" w:color="FFFFFF" w:themeColor="background1"/>
              <w:bottom w:val="single" w:sz="6" w:space="0" w:color="6F6652"/>
            </w:tcBorders>
            <w:shd w:val="clear" w:color="auto" w:fill="E9E8E5" w:themeFill="background2"/>
            <w:tcMar>
              <w:left w:w="57" w:type="dxa"/>
              <w:right w:w="57" w:type="dxa"/>
            </w:tcMar>
            <w:vAlign w:val="center"/>
          </w:tcPr>
          <w:p w14:paraId="17C732BD" w14:textId="77777777" w:rsidR="006568C5" w:rsidRPr="00073F76" w:rsidRDefault="006568C5">
            <w:pPr>
              <w:pStyle w:val="TableDataEntries"/>
            </w:pPr>
            <w:r w:rsidRPr="00073F76">
              <w:t>5,573</w:t>
            </w:r>
          </w:p>
        </w:tc>
      </w:tr>
    </w:tbl>
    <w:p w14:paraId="18D46466" w14:textId="77777777" w:rsidR="006568C5" w:rsidRPr="00492AD6" w:rsidRDefault="006568C5" w:rsidP="006568C5">
      <w:pPr>
        <w:pStyle w:val="Note"/>
      </w:pPr>
      <w:r w:rsidRPr="00492AD6">
        <w:rPr>
          <w:rStyle w:val="NoteLabel"/>
          <w:color w:val="auto"/>
        </w:rPr>
        <w:t>a</w:t>
      </w:r>
      <w:r w:rsidRPr="00492AD6">
        <w:t xml:space="preserve"> Floor space for the cost modelling was 1000 m</w:t>
      </w:r>
      <w:r w:rsidRPr="00492AD6">
        <w:rPr>
          <w:vertAlign w:val="superscript"/>
        </w:rPr>
        <w:t>2</w:t>
      </w:r>
      <w:r w:rsidRPr="00492AD6">
        <w:t xml:space="preserve">. </w:t>
      </w:r>
      <w:r w:rsidRPr="00492AD6">
        <w:rPr>
          <w:rStyle w:val="NoteLabel"/>
          <w:color w:val="auto"/>
        </w:rPr>
        <w:t>B</w:t>
      </w:r>
      <w:r w:rsidRPr="00492AD6">
        <w:t xml:space="preserve"> Floor space for the cost modelling was 10 000 m</w:t>
      </w:r>
      <w:r w:rsidRPr="00492AD6">
        <w:rPr>
          <w:vertAlign w:val="superscript"/>
        </w:rPr>
        <w:t>2</w:t>
      </w:r>
      <w:r w:rsidRPr="00492AD6">
        <w:t xml:space="preserve">. </w:t>
      </w:r>
      <w:r w:rsidRPr="00492AD6">
        <w:rPr>
          <w:rStyle w:val="NoteLabel"/>
          <w:color w:val="auto"/>
        </w:rPr>
        <w:t>C</w:t>
      </w:r>
      <w:r w:rsidRPr="00492AD6">
        <w:t xml:space="preserve"> The floor space for the external car park cost modelling was not provided. Average floor space for a warehouse is assumed to be 1360 m</w:t>
      </w:r>
      <w:r w:rsidRPr="00492AD6">
        <w:rPr>
          <w:vertAlign w:val="superscript"/>
        </w:rPr>
        <w:t xml:space="preserve">2 </w:t>
      </w:r>
      <w:r w:rsidRPr="00492AD6">
        <w:t xml:space="preserve"> (as implied in the Commercial Building Baseline Study) </w:t>
      </w:r>
      <w:r w:rsidRPr="00492AD6">
        <w:rPr>
          <w:rStyle w:val="NoteLabel"/>
          <w:color w:val="auto"/>
        </w:rPr>
        <w:t>d</w:t>
      </w:r>
      <w:r w:rsidRPr="00492AD6">
        <w:t xml:space="preserve"> The floor space for the external car park cost modelling was not provided. Average floor space for a laboratory is assumed to be 948 m</w:t>
      </w:r>
      <w:r w:rsidRPr="00492AD6">
        <w:rPr>
          <w:vertAlign w:val="superscript"/>
        </w:rPr>
        <w:t xml:space="preserve">2 </w:t>
      </w:r>
      <w:r w:rsidRPr="00492AD6">
        <w:t xml:space="preserve"> (as implied in the Commercial Building Baseline Study for a factory). </w:t>
      </w:r>
      <w:r w:rsidRPr="00492AD6">
        <w:rPr>
          <w:rStyle w:val="NoteLabel"/>
          <w:color w:val="auto"/>
        </w:rPr>
        <w:t>E</w:t>
      </w:r>
      <w:r w:rsidRPr="00492AD6">
        <w:t xml:space="preserve"> The floor space for the external car park cost modelling was not provided. Average floor space for a factory is assumed to be 948 m</w:t>
      </w:r>
      <w:r w:rsidRPr="00492AD6">
        <w:rPr>
          <w:vertAlign w:val="superscript"/>
        </w:rPr>
        <w:t xml:space="preserve">2 </w:t>
      </w:r>
      <w:r w:rsidRPr="00492AD6">
        <w:t xml:space="preserve">(as implied in the Commercial Building Baseline Study) </w:t>
      </w:r>
      <w:r w:rsidRPr="00492AD6">
        <w:rPr>
          <w:vertAlign w:val="superscript"/>
        </w:rPr>
        <w:t>2</w:t>
      </w:r>
      <w:r w:rsidRPr="00492AD6">
        <w:t xml:space="preserve">. </w:t>
      </w:r>
      <w:r w:rsidRPr="00492AD6">
        <w:rPr>
          <w:rStyle w:val="NoteLabel"/>
          <w:color w:val="auto"/>
        </w:rPr>
        <w:t>F</w:t>
      </w:r>
      <w:r w:rsidRPr="00492AD6">
        <w:t xml:space="preserve"> Floor space for the cost modelling was 2000 m</w:t>
      </w:r>
      <w:r w:rsidRPr="00492AD6">
        <w:rPr>
          <w:vertAlign w:val="superscript"/>
        </w:rPr>
        <w:t>2</w:t>
      </w:r>
      <w:r w:rsidRPr="00492AD6">
        <w:t xml:space="preserve">. </w:t>
      </w:r>
      <w:r w:rsidRPr="00492AD6">
        <w:rPr>
          <w:rStyle w:val="NoteLabel"/>
          <w:color w:val="auto"/>
        </w:rPr>
        <w:t>G</w:t>
      </w:r>
      <w:r w:rsidRPr="00492AD6">
        <w:t xml:space="preserve"> Floor space for the cost modelling was 2000 m</w:t>
      </w:r>
      <w:r w:rsidRPr="00492AD6">
        <w:rPr>
          <w:vertAlign w:val="superscript"/>
        </w:rPr>
        <w:t>2</w:t>
      </w:r>
      <w:r w:rsidRPr="00492AD6">
        <w:t>.</w:t>
      </w:r>
    </w:p>
    <w:p w14:paraId="271C5CBF" w14:textId="77777777" w:rsidR="006568C5" w:rsidRPr="00492AD6" w:rsidRDefault="006568C5" w:rsidP="006568C5">
      <w:pPr>
        <w:pStyle w:val="Source"/>
        <w:rPr>
          <w:lang w:bidi="fa-IR"/>
        </w:rPr>
      </w:pPr>
      <w:r w:rsidRPr="00492AD6">
        <w:rPr>
          <w:i/>
          <w:lang w:bidi="fa-IR"/>
        </w:rPr>
        <w:t>Source:</w:t>
      </w:r>
      <w:r w:rsidRPr="00492AD6">
        <w:rPr>
          <w:lang w:bidi="fa-IR"/>
        </w:rPr>
        <w:t xml:space="preserve"> DeltaQ, NCC 2025 Energy Efficiency — Advice on the technical basis, Initial Measures Development: Electrical Services Report, prepared for the Australian Building Codes Board, 26 September 2023, pp. 87</w:t>
      </w:r>
      <w:r w:rsidRPr="00492AD6">
        <w:rPr>
          <w:lang w:bidi="fa-IR"/>
        </w:rPr>
        <w:noBreakHyphen/>
        <w:t>90, Indicative costings for EV charging installations in external car parks, prepared for ABCB, CIE.</w:t>
      </w:r>
    </w:p>
    <w:p w14:paraId="061ECE00" w14:textId="0275246F" w:rsidR="006568C5" w:rsidRDefault="006568C5" w:rsidP="006568C5">
      <w:pPr>
        <w:pStyle w:val="BodyText"/>
        <w:rPr>
          <w:lang w:bidi="fa-IR"/>
        </w:rPr>
      </w:pPr>
      <w:r>
        <w:rPr>
          <w:lang w:bidi="fa-IR"/>
        </w:rPr>
        <w:t>The estimated costs of mandatory EV requirements are summarised in table </w:t>
      </w:r>
      <w:r w:rsidR="00690F04">
        <w:rPr>
          <w:lang w:bidi="fa-IR"/>
        </w:rPr>
        <w:t>8.6</w:t>
      </w:r>
      <w:r>
        <w:rPr>
          <w:lang w:bidi="fa-IR"/>
        </w:rPr>
        <w:t xml:space="preserve">. These estimates are based on the per building cost </w:t>
      </w:r>
      <w:r w:rsidRPr="00690F04">
        <w:rPr>
          <w:lang w:bidi="fa-IR"/>
        </w:rPr>
        <w:t>estimates (see table </w:t>
      </w:r>
      <w:r w:rsidR="00690F04" w:rsidRPr="00690F04">
        <w:rPr>
          <w:lang w:bidi="fa-IR"/>
        </w:rPr>
        <w:t>8.4</w:t>
      </w:r>
      <w:r w:rsidRPr="00690F04">
        <w:rPr>
          <w:lang w:bidi="fa-IR"/>
        </w:rPr>
        <w:t xml:space="preserve"> above) applied to the estimated number of additional buildings that install EV charging (from table </w:t>
      </w:r>
      <w:r w:rsidR="00690F04">
        <w:rPr>
          <w:lang w:bidi="fa-IR"/>
        </w:rPr>
        <w:t>8.5</w:t>
      </w:r>
      <w:r w:rsidRPr="00690F04">
        <w:rPr>
          <w:lang w:bidi="fa-IR"/>
        </w:rPr>
        <w:t>).</w:t>
      </w:r>
    </w:p>
    <w:p w14:paraId="66D19BD5" w14:textId="49C52B55" w:rsidR="006568C5" w:rsidRPr="006F0F88" w:rsidRDefault="006568C5" w:rsidP="009B4D09">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w:instrText>
      </w:r>
      <w:fldSimple w:instr=" STYLEREF &quot;Heading 1&quot; \l \n ">
        <w:r w:rsidR="00520F9E">
          <w:rPr>
            <w:noProof/>
          </w:rPr>
          <w:instrText>8</w:instrText>
        </w:r>
      </w:fldSimple>
      <w:r w:rsidRPr="006F0F88">
        <w:instrText xml:space="preserve">." </w:instrText>
      </w:r>
      <w:r w:rsidRPr="006F0F88">
        <w:fldChar w:fldCharType="separate"/>
      </w:r>
      <w:r w:rsidR="00520F9E">
        <w:rPr>
          <w:noProof/>
        </w:rPr>
        <w:instrText>8</w:instrText>
      </w:r>
      <w:r w:rsidR="00520F9E"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8</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520F9E">
        <w:rPr>
          <w:noProof/>
        </w:rPr>
        <w:instrText>6</w:instrText>
      </w:r>
      <w:r w:rsidRPr="006F0F88">
        <w:fldChar w:fldCharType="end"/>
      </w:r>
      <w:r w:rsidRPr="006F0F88">
        <w:instrText xml:space="preserve">" "" </w:instrText>
      </w:r>
      <w:r w:rsidRPr="006F0F88">
        <w:fldChar w:fldCharType="separate"/>
      </w:r>
      <w:bookmarkStart w:id="5321" w:name="_Caption8595"/>
      <w:bookmarkStart w:id="5322" w:name="_Caption9047"/>
      <w:bookmarkStart w:id="5323" w:name="_Caption6610"/>
      <w:bookmarkStart w:id="5324" w:name="_Caption4429"/>
      <w:bookmarkStart w:id="5325" w:name="_Caption3696"/>
      <w:bookmarkStart w:id="5326" w:name="_Caption6360"/>
      <w:bookmarkStart w:id="5327" w:name="_Caption0878"/>
      <w:bookmarkStart w:id="5328" w:name="_Caption4109"/>
      <w:bookmarkStart w:id="5329" w:name="_Caption7794"/>
      <w:bookmarkStart w:id="5330" w:name="_Caption7488"/>
      <w:bookmarkStart w:id="5331" w:name="_Caption0603"/>
      <w:bookmarkStart w:id="5332" w:name="_Caption8559"/>
      <w:bookmarkStart w:id="5333" w:name="_Caption2513"/>
      <w:bookmarkStart w:id="5334" w:name="_Caption1082"/>
      <w:bookmarkStart w:id="5335" w:name="_Caption0038"/>
      <w:bookmarkStart w:id="5336" w:name="_Caption2562"/>
      <w:bookmarkStart w:id="5337" w:name="_Caption7135"/>
      <w:bookmarkStart w:id="5338" w:name="_Caption4760"/>
      <w:bookmarkStart w:id="5339" w:name="_Caption4828"/>
      <w:bookmarkStart w:id="5340" w:name="_Caption1050"/>
      <w:bookmarkStart w:id="5341" w:name="_Caption5993"/>
      <w:bookmarkStart w:id="5342" w:name="_Caption5681"/>
      <w:bookmarkStart w:id="5343" w:name="_Caption5833"/>
      <w:bookmarkStart w:id="5344" w:name="_Caption6979"/>
      <w:bookmarkStart w:id="5345" w:name="_Caption4329"/>
      <w:bookmarkStart w:id="5346" w:name="_Caption7983"/>
      <w:bookmarkStart w:id="5347" w:name="_Caption3347"/>
      <w:bookmarkStart w:id="5348" w:name="_Caption6563"/>
      <w:bookmarkStart w:id="5349" w:name="_Caption3130"/>
      <w:bookmarkStart w:id="5350" w:name="_Caption6496"/>
      <w:bookmarkStart w:id="5351" w:name="_Caption1453"/>
      <w:bookmarkStart w:id="5352" w:name="_Caption3949"/>
      <w:bookmarkStart w:id="5353" w:name="_Caption3773"/>
      <w:bookmarkStart w:id="5354" w:name="_Caption7848"/>
      <w:bookmarkStart w:id="5355" w:name="_Caption5359"/>
      <w:bookmarkStart w:id="5356" w:name="_Caption6540"/>
      <w:bookmarkStart w:id="5357" w:name="_Caption0019"/>
      <w:bookmarkStart w:id="5358" w:name="_Caption2349"/>
      <w:bookmarkStart w:id="5359" w:name="_Caption0660"/>
      <w:bookmarkStart w:id="5360" w:name="_Caption0736"/>
      <w:bookmarkStart w:id="5361" w:name="_Caption2431"/>
      <w:bookmarkStart w:id="5362" w:name="_Caption7115"/>
      <w:bookmarkStart w:id="5363" w:name="_Caption0392"/>
      <w:bookmarkStart w:id="5364" w:name="_Caption3583"/>
      <w:bookmarkStart w:id="5365" w:name="_Caption6143"/>
      <w:bookmarkStart w:id="5366" w:name="_Caption1551"/>
      <w:bookmarkStart w:id="5367" w:name="_Caption6993"/>
      <w:bookmarkStart w:id="5368" w:name="_Caption1262"/>
      <w:bookmarkStart w:id="5369" w:name="_Caption5384"/>
      <w:bookmarkStart w:id="5370" w:name="_Caption2473"/>
      <w:bookmarkStart w:id="5371" w:name="_Caption9835"/>
      <w:bookmarkStart w:id="5372" w:name="_Caption8306"/>
      <w:bookmarkStart w:id="5373" w:name="_Caption6321"/>
      <w:bookmarkStart w:id="5374" w:name="_Caption5061"/>
      <w:bookmarkStart w:id="5375" w:name="_Caption1045"/>
      <w:bookmarkStart w:id="5376" w:name="_Caption3268"/>
      <w:bookmarkStart w:id="5377" w:name="_Caption6792"/>
      <w:bookmarkStart w:id="5378" w:name="_Caption5601"/>
      <w:bookmarkStart w:id="5379" w:name="_Caption1688"/>
      <w:bookmarkStart w:id="5380" w:name="_Caption5226"/>
      <w:bookmarkStart w:id="5381" w:name="_Caption5445"/>
      <w:bookmarkStart w:id="5382" w:name="_Caption5095"/>
      <w:bookmarkStart w:id="5383" w:name="_Caption0946"/>
      <w:bookmarkStart w:id="5384" w:name="_Caption9040"/>
      <w:bookmarkStart w:id="5385" w:name="_Caption4857"/>
      <w:bookmarkStart w:id="5386" w:name="_Caption5757"/>
      <w:bookmarkStart w:id="5387" w:name="_Caption8500"/>
      <w:bookmarkStart w:id="5388" w:name="_Caption4434"/>
      <w:bookmarkStart w:id="5389" w:name="_Caption7750"/>
      <w:bookmarkStart w:id="5390" w:name="_Caption1569"/>
      <w:bookmarkStart w:id="5391" w:name="_Caption3852"/>
      <w:bookmarkStart w:id="5392" w:name="_Caption2142"/>
      <w:bookmarkStart w:id="5393" w:name="_Caption8305"/>
      <w:bookmarkStart w:id="5394" w:name="_Caption7690"/>
      <w:bookmarkStart w:id="5395" w:name="_Caption3321"/>
      <w:bookmarkStart w:id="5396" w:name="_Caption9294"/>
      <w:bookmarkStart w:id="5397" w:name="_Caption3619"/>
      <w:bookmarkStart w:id="5398" w:name="_Caption6137"/>
      <w:bookmarkStart w:id="5399" w:name="_Caption1845"/>
      <w:bookmarkStart w:id="5400" w:name="_Caption0814"/>
      <w:bookmarkStart w:id="5401" w:name="_Caption0907"/>
      <w:bookmarkStart w:id="5402" w:name="_Caption1894"/>
      <w:bookmarkStart w:id="5403" w:name="_Caption9310"/>
      <w:bookmarkStart w:id="5404" w:name="_Caption4462"/>
      <w:bookmarkStart w:id="5405" w:name="_Caption3759"/>
      <w:bookmarkStart w:id="5406" w:name="_Caption4895"/>
      <w:bookmarkStart w:id="5407" w:name="_Caption5813"/>
      <w:bookmarkStart w:id="5408" w:name="_Caption6210"/>
      <w:bookmarkStart w:id="5409" w:name="_Caption3748"/>
      <w:bookmarkStart w:id="5410" w:name="_Caption7274"/>
      <w:bookmarkStart w:id="5411" w:name="_Caption3538"/>
      <w:bookmarkStart w:id="5412" w:name="_Caption3694"/>
      <w:bookmarkStart w:id="5413" w:name="_Caption5581"/>
      <w:bookmarkStart w:id="5414" w:name="_Caption3804"/>
      <w:bookmarkStart w:id="5415" w:name="_Caption3536"/>
      <w:bookmarkStart w:id="5416" w:name="_Caption1919"/>
      <w:bookmarkStart w:id="5417" w:name="_Caption9908"/>
      <w:bookmarkStart w:id="5418" w:name="_Caption1715"/>
      <w:bookmarkStart w:id="5419" w:name="_Caption1185"/>
      <w:bookmarkStart w:id="5420" w:name="_Caption1286"/>
      <w:bookmarkStart w:id="5421" w:name="_Caption7158"/>
      <w:bookmarkStart w:id="5422" w:name="_Caption0797"/>
      <w:bookmarkStart w:id="5423" w:name="_Caption2260"/>
      <w:bookmarkStart w:id="5424" w:name="_Caption0665"/>
      <w:bookmarkStart w:id="5425" w:name="_Toc177735195"/>
      <w:bookmarkStart w:id="5426" w:name="_Toc178292630"/>
      <w:r w:rsidR="008C60A3">
        <w:rPr>
          <w:noProof/>
        </w:rPr>
        <w:t>8</w:t>
      </w:r>
      <w:r w:rsidR="008C60A3" w:rsidRPr="006F0F88">
        <w:rPr>
          <w:noProof/>
        </w:rPr>
        <w:t>.</w:t>
      </w:r>
      <w:r w:rsidR="008C60A3">
        <w:rPr>
          <w:noProof/>
        </w:rPr>
        <w:t>6</w:t>
      </w:r>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r w:rsidRPr="006F0F88">
        <w:fldChar w:fldCharType="end"/>
      </w:r>
      <w:r w:rsidRPr="006F0F88">
        <w:tab/>
        <w:t>Estimated costs of mandatory EV charging requirements</w:t>
      </w:r>
      <w:bookmarkEnd w:id="5425"/>
      <w:bookmarkEnd w:id="5426"/>
    </w:p>
    <w:tbl>
      <w:tblPr>
        <w:tblW w:w="8505" w:type="dxa"/>
        <w:tblLayout w:type="fixed"/>
        <w:tblLook w:val="0000" w:firstRow="0" w:lastRow="0" w:firstColumn="0" w:lastColumn="0" w:noHBand="0" w:noVBand="0"/>
        <w:tblCaption w:val="Table 6.30 - Estimated costs of mandatory EV charging requirements"/>
      </w:tblPr>
      <w:tblGrid>
        <w:gridCol w:w="6643"/>
        <w:gridCol w:w="1862"/>
      </w:tblGrid>
      <w:tr w:rsidR="006568C5" w14:paraId="13E3BEB5" w14:textId="77777777">
        <w:trPr>
          <w:trHeight w:val="490"/>
          <w:tblHeader/>
        </w:trPr>
        <w:tc>
          <w:tcPr>
            <w:tcW w:w="6643" w:type="dxa"/>
            <w:shd w:val="clear" w:color="auto" w:fill="6F6652"/>
            <w:tcMar>
              <w:left w:w="57" w:type="dxa"/>
              <w:right w:w="57" w:type="dxa"/>
            </w:tcMar>
          </w:tcPr>
          <w:p w14:paraId="12541F4F" w14:textId="77777777" w:rsidR="006568C5" w:rsidRDefault="006568C5">
            <w:pPr>
              <w:pStyle w:val="TableDataColumnHeading"/>
              <w:jc w:val="left"/>
            </w:pPr>
            <w:r>
              <w:t>Year</w:t>
            </w:r>
          </w:p>
        </w:tc>
        <w:tc>
          <w:tcPr>
            <w:tcW w:w="1862" w:type="dxa"/>
            <w:shd w:val="clear" w:color="auto" w:fill="6F6652"/>
            <w:tcMar>
              <w:left w:w="57" w:type="dxa"/>
              <w:right w:w="57" w:type="dxa"/>
            </w:tcMar>
          </w:tcPr>
          <w:p w14:paraId="4041E6E0" w14:textId="77777777" w:rsidR="006568C5" w:rsidRDefault="006568C5">
            <w:pPr>
              <w:pStyle w:val="TableDataColumnHeading"/>
            </w:pPr>
            <w:r>
              <w:t>Estimate lifetime cost</w:t>
            </w:r>
          </w:p>
          <w:p w14:paraId="3B42FCA9" w14:textId="77777777" w:rsidR="006568C5" w:rsidRDefault="006568C5">
            <w:pPr>
              <w:pStyle w:val="TableDataColumnHeading"/>
            </w:pPr>
            <w:r>
              <w:t>$ million</w:t>
            </w:r>
          </w:p>
        </w:tc>
      </w:tr>
      <w:tr w:rsidR="006568C5" w14:paraId="0F8D9894" w14:textId="77777777">
        <w:trPr>
          <w:trHeight w:val="245"/>
        </w:trPr>
        <w:tc>
          <w:tcPr>
            <w:tcW w:w="664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317DB08" w14:textId="77777777" w:rsidR="006568C5" w:rsidRDefault="006568C5">
            <w:pPr>
              <w:pStyle w:val="TableDataEntries"/>
              <w:jc w:val="left"/>
            </w:pPr>
            <w:r>
              <w:t>2025</w:t>
            </w:r>
          </w:p>
        </w:tc>
        <w:tc>
          <w:tcPr>
            <w:tcW w:w="186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53A7B00" w14:textId="77777777" w:rsidR="006568C5" w:rsidRDefault="006568C5">
            <w:pPr>
              <w:pStyle w:val="TableDataEntries"/>
            </w:pPr>
            <w:r>
              <w:rPr>
                <w:szCs w:val="16"/>
              </w:rPr>
              <w:t xml:space="preserve"> 422.5</w:t>
            </w:r>
          </w:p>
        </w:tc>
      </w:tr>
      <w:tr w:rsidR="006568C5" w14:paraId="48A7AA61" w14:textId="77777777">
        <w:trPr>
          <w:trHeight w:val="245"/>
        </w:trPr>
        <w:tc>
          <w:tcPr>
            <w:tcW w:w="664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623169E" w14:textId="77777777" w:rsidR="006568C5" w:rsidRDefault="006568C5">
            <w:pPr>
              <w:pStyle w:val="TableDataEntries"/>
              <w:jc w:val="left"/>
            </w:pPr>
            <w:r>
              <w:t>2026</w:t>
            </w:r>
          </w:p>
        </w:tc>
        <w:tc>
          <w:tcPr>
            <w:tcW w:w="186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B2795B9" w14:textId="77777777" w:rsidR="006568C5" w:rsidRDefault="006568C5">
            <w:pPr>
              <w:pStyle w:val="TableDataEntries"/>
            </w:pPr>
            <w:r>
              <w:rPr>
                <w:szCs w:val="16"/>
              </w:rPr>
              <w:t xml:space="preserve"> 471.5</w:t>
            </w:r>
          </w:p>
        </w:tc>
      </w:tr>
      <w:tr w:rsidR="006568C5" w14:paraId="128CB5AE" w14:textId="77777777">
        <w:trPr>
          <w:trHeight w:val="245"/>
        </w:trPr>
        <w:tc>
          <w:tcPr>
            <w:tcW w:w="664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34032B6" w14:textId="77777777" w:rsidR="006568C5" w:rsidRDefault="006568C5">
            <w:pPr>
              <w:pStyle w:val="TableDataEntries"/>
              <w:jc w:val="left"/>
            </w:pPr>
            <w:r>
              <w:t>2027</w:t>
            </w:r>
          </w:p>
        </w:tc>
        <w:tc>
          <w:tcPr>
            <w:tcW w:w="186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0E66A67" w14:textId="77777777" w:rsidR="006568C5" w:rsidRDefault="006568C5">
            <w:pPr>
              <w:pStyle w:val="TableDataEntries"/>
            </w:pPr>
            <w:r>
              <w:rPr>
                <w:szCs w:val="16"/>
              </w:rPr>
              <w:t xml:space="preserve"> 476.1</w:t>
            </w:r>
          </w:p>
        </w:tc>
      </w:tr>
      <w:tr w:rsidR="006568C5" w14:paraId="1B44897F" w14:textId="77777777">
        <w:trPr>
          <w:trHeight w:val="245"/>
        </w:trPr>
        <w:tc>
          <w:tcPr>
            <w:tcW w:w="664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2299E5" w14:textId="77777777" w:rsidR="006568C5" w:rsidRDefault="006568C5">
            <w:pPr>
              <w:pStyle w:val="TableDataEntries"/>
              <w:jc w:val="left"/>
            </w:pPr>
            <w:r>
              <w:t>2028</w:t>
            </w:r>
          </w:p>
        </w:tc>
        <w:tc>
          <w:tcPr>
            <w:tcW w:w="186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976BD2F" w14:textId="77777777" w:rsidR="006568C5" w:rsidRDefault="006568C5">
            <w:pPr>
              <w:pStyle w:val="TableDataEntries"/>
            </w:pPr>
            <w:r>
              <w:rPr>
                <w:szCs w:val="16"/>
              </w:rPr>
              <w:t xml:space="preserve"> 453.2</w:t>
            </w:r>
          </w:p>
        </w:tc>
      </w:tr>
      <w:tr w:rsidR="006568C5" w14:paraId="1AAA5536" w14:textId="77777777">
        <w:trPr>
          <w:trHeight w:val="245"/>
        </w:trPr>
        <w:tc>
          <w:tcPr>
            <w:tcW w:w="664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5B8350" w14:textId="77777777" w:rsidR="006568C5" w:rsidRDefault="006568C5">
            <w:pPr>
              <w:pStyle w:val="TableDataEntries"/>
              <w:jc w:val="left"/>
            </w:pPr>
            <w:r>
              <w:t>2029</w:t>
            </w:r>
          </w:p>
        </w:tc>
        <w:tc>
          <w:tcPr>
            <w:tcW w:w="186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64C9540D" w14:textId="77777777" w:rsidR="006568C5" w:rsidRDefault="006568C5">
            <w:pPr>
              <w:pStyle w:val="TableDataEntries"/>
            </w:pPr>
            <w:r>
              <w:rPr>
                <w:szCs w:val="16"/>
              </w:rPr>
              <w:t xml:space="preserve"> 438.5</w:t>
            </w:r>
          </w:p>
        </w:tc>
      </w:tr>
      <w:tr w:rsidR="006568C5" w14:paraId="5D9CBAFC" w14:textId="77777777">
        <w:trPr>
          <w:trHeight w:val="245"/>
        </w:trPr>
        <w:tc>
          <w:tcPr>
            <w:tcW w:w="664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393ADF8" w14:textId="77777777" w:rsidR="006568C5" w:rsidRDefault="006568C5">
            <w:pPr>
              <w:pStyle w:val="TableDataEntries"/>
              <w:jc w:val="left"/>
            </w:pPr>
            <w:r>
              <w:t>2030</w:t>
            </w:r>
          </w:p>
        </w:tc>
        <w:tc>
          <w:tcPr>
            <w:tcW w:w="186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385C329" w14:textId="77777777" w:rsidR="006568C5" w:rsidRDefault="006568C5">
            <w:pPr>
              <w:pStyle w:val="TableDataEntries"/>
            </w:pPr>
            <w:r>
              <w:rPr>
                <w:szCs w:val="16"/>
              </w:rPr>
              <w:t xml:space="preserve"> 413.7</w:t>
            </w:r>
          </w:p>
        </w:tc>
      </w:tr>
      <w:tr w:rsidR="006568C5" w14:paraId="11C06FE3" w14:textId="77777777">
        <w:trPr>
          <w:trHeight w:val="245"/>
        </w:trPr>
        <w:tc>
          <w:tcPr>
            <w:tcW w:w="664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0BE2D23" w14:textId="77777777" w:rsidR="006568C5" w:rsidRDefault="006568C5">
            <w:pPr>
              <w:pStyle w:val="TableDataEntries"/>
              <w:jc w:val="left"/>
            </w:pPr>
            <w:r>
              <w:t>2031</w:t>
            </w:r>
          </w:p>
        </w:tc>
        <w:tc>
          <w:tcPr>
            <w:tcW w:w="186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AD67E83" w14:textId="77777777" w:rsidR="006568C5" w:rsidRDefault="006568C5">
            <w:pPr>
              <w:pStyle w:val="TableDataEntries"/>
            </w:pPr>
            <w:r>
              <w:rPr>
                <w:szCs w:val="16"/>
              </w:rPr>
              <w:t xml:space="preserve"> 411.8</w:t>
            </w:r>
          </w:p>
        </w:tc>
      </w:tr>
      <w:tr w:rsidR="006568C5" w14:paraId="62CF1A5A" w14:textId="77777777">
        <w:trPr>
          <w:trHeight w:val="245"/>
        </w:trPr>
        <w:tc>
          <w:tcPr>
            <w:tcW w:w="664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E911A87" w14:textId="77777777" w:rsidR="006568C5" w:rsidRDefault="006568C5">
            <w:pPr>
              <w:pStyle w:val="TableDataEntries"/>
              <w:jc w:val="left"/>
            </w:pPr>
            <w:r>
              <w:t>2032</w:t>
            </w:r>
          </w:p>
        </w:tc>
        <w:tc>
          <w:tcPr>
            <w:tcW w:w="186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FB37653" w14:textId="77777777" w:rsidR="006568C5" w:rsidRDefault="006568C5">
            <w:pPr>
              <w:pStyle w:val="TableDataEntries"/>
            </w:pPr>
            <w:r>
              <w:rPr>
                <w:szCs w:val="16"/>
              </w:rPr>
              <w:t xml:space="preserve"> 382.7</w:t>
            </w:r>
          </w:p>
        </w:tc>
      </w:tr>
      <w:tr w:rsidR="006568C5" w14:paraId="21906EA9" w14:textId="77777777">
        <w:trPr>
          <w:trHeight w:val="245"/>
        </w:trPr>
        <w:tc>
          <w:tcPr>
            <w:tcW w:w="664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32E47C" w14:textId="77777777" w:rsidR="006568C5" w:rsidRDefault="006568C5">
            <w:pPr>
              <w:pStyle w:val="TableDataEntries"/>
              <w:jc w:val="left"/>
            </w:pPr>
            <w:r>
              <w:t>2033</w:t>
            </w:r>
          </w:p>
        </w:tc>
        <w:tc>
          <w:tcPr>
            <w:tcW w:w="186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1743134" w14:textId="77777777" w:rsidR="006568C5" w:rsidRDefault="006568C5">
            <w:pPr>
              <w:pStyle w:val="TableDataEntries"/>
            </w:pPr>
            <w:r>
              <w:rPr>
                <w:szCs w:val="16"/>
              </w:rPr>
              <w:t xml:space="preserve"> 347.2</w:t>
            </w:r>
          </w:p>
        </w:tc>
      </w:tr>
      <w:tr w:rsidR="006568C5" w14:paraId="50C1B3F0" w14:textId="77777777">
        <w:trPr>
          <w:trHeight w:val="245"/>
        </w:trPr>
        <w:tc>
          <w:tcPr>
            <w:tcW w:w="664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CF209E9" w14:textId="77777777" w:rsidR="006568C5" w:rsidRDefault="006568C5">
            <w:pPr>
              <w:pStyle w:val="TableDataEntries"/>
              <w:jc w:val="left"/>
            </w:pPr>
            <w:r>
              <w:t>2034</w:t>
            </w:r>
          </w:p>
        </w:tc>
        <w:tc>
          <w:tcPr>
            <w:tcW w:w="186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C72F22F" w14:textId="77777777" w:rsidR="006568C5" w:rsidRDefault="006568C5">
            <w:pPr>
              <w:pStyle w:val="TableDataEntries"/>
            </w:pPr>
            <w:r>
              <w:rPr>
                <w:szCs w:val="16"/>
              </w:rPr>
              <w:t xml:space="preserve"> 314.5</w:t>
            </w:r>
          </w:p>
        </w:tc>
      </w:tr>
      <w:tr w:rsidR="006568C5" w:rsidRPr="000B1AC2" w14:paraId="332A4D2D" w14:textId="77777777">
        <w:trPr>
          <w:trHeight w:val="245"/>
        </w:trPr>
        <w:tc>
          <w:tcPr>
            <w:tcW w:w="664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220E73D" w14:textId="77777777" w:rsidR="006568C5" w:rsidRPr="000B1AC2" w:rsidRDefault="006568C5">
            <w:pPr>
              <w:pStyle w:val="TableDataEntries"/>
              <w:jc w:val="left"/>
              <w:rPr>
                <w:rFonts w:ascii="Franklin Gothic Demi" w:hAnsi="Franklin Gothic Demi"/>
              </w:rPr>
            </w:pPr>
            <w:r w:rsidRPr="000B1AC2">
              <w:rPr>
                <w:rFonts w:ascii="Franklin Gothic Demi" w:hAnsi="Franklin Gothic Demi"/>
              </w:rPr>
              <w:t>Net present value</w:t>
            </w:r>
          </w:p>
        </w:tc>
        <w:tc>
          <w:tcPr>
            <w:tcW w:w="1862"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bottom"/>
          </w:tcPr>
          <w:p w14:paraId="3353DBF6" w14:textId="77777777" w:rsidR="006568C5" w:rsidRPr="000B1AC2" w:rsidRDefault="006568C5">
            <w:pPr>
              <w:pStyle w:val="TableDataEntries"/>
              <w:rPr>
                <w:rFonts w:ascii="Franklin Gothic Demi" w:hAnsi="Franklin Gothic Demi"/>
              </w:rPr>
            </w:pPr>
            <w:r w:rsidRPr="000B1AC2">
              <w:rPr>
                <w:rFonts w:ascii="Franklin Gothic Demi" w:hAnsi="Franklin Gothic Demi"/>
                <w:szCs w:val="16"/>
              </w:rPr>
              <w:t>3</w:t>
            </w:r>
            <w:r>
              <w:rPr>
                <w:rFonts w:ascii="Franklin Gothic Demi" w:hAnsi="Franklin Gothic Demi"/>
                <w:szCs w:val="16"/>
              </w:rPr>
              <w:t>,</w:t>
            </w:r>
            <w:r w:rsidRPr="000B1AC2">
              <w:rPr>
                <w:rFonts w:ascii="Franklin Gothic Demi" w:hAnsi="Franklin Gothic Demi"/>
                <w:szCs w:val="16"/>
              </w:rPr>
              <w:t>396.8</w:t>
            </w:r>
          </w:p>
        </w:tc>
      </w:tr>
    </w:tbl>
    <w:p w14:paraId="78DF84E5" w14:textId="77777777" w:rsidR="006568C5" w:rsidRDefault="006568C5" w:rsidP="006568C5">
      <w:pPr>
        <w:pStyle w:val="Note"/>
        <w:rPr>
          <w:lang w:bidi="fa-IR"/>
        </w:rPr>
      </w:pPr>
      <w:r w:rsidRPr="007D1B4F">
        <w:rPr>
          <w:i/>
        </w:rPr>
        <w:t>Note:</w:t>
      </w:r>
      <w:r w:rsidRPr="00E879B8">
        <w:t xml:space="preserve"> </w:t>
      </w:r>
      <w:r>
        <w:t>Table shows estimated costs of providing EV charging facilities over the life (50 years) of all buildings constructed in the relevant year. All net present value calculations use a discount rate of 5 per cent.</w:t>
      </w:r>
    </w:p>
    <w:p w14:paraId="31FA4552" w14:textId="77777777" w:rsidR="006568C5" w:rsidRDefault="006568C5" w:rsidP="006568C5">
      <w:pPr>
        <w:pStyle w:val="Source"/>
        <w:rPr>
          <w:lang w:bidi="fa-IR"/>
        </w:rPr>
      </w:pPr>
      <w:r w:rsidRPr="00CF03A6">
        <w:rPr>
          <w:i/>
          <w:lang w:bidi="fa-IR"/>
        </w:rPr>
        <w:t>Source:</w:t>
      </w:r>
      <w:r>
        <w:rPr>
          <w:lang w:bidi="fa-IR"/>
        </w:rPr>
        <w:t xml:space="preserve"> CIE estimates</w:t>
      </w:r>
    </w:p>
    <w:p w14:paraId="29AAF007" w14:textId="77777777" w:rsidR="006568C5" w:rsidRDefault="006568C5" w:rsidP="006568C5">
      <w:pPr>
        <w:pStyle w:val="Heading2"/>
        <w:rPr>
          <w:lang w:bidi="fa-IR"/>
        </w:rPr>
      </w:pPr>
      <w:bookmarkStart w:id="5427" w:name="_Toc177735117"/>
      <w:bookmarkStart w:id="5428" w:name="_Toc178292551"/>
      <w:r>
        <w:rPr>
          <w:lang w:bidi="fa-IR"/>
        </w:rPr>
        <w:t>Estimated benefits</w:t>
      </w:r>
      <w:bookmarkEnd w:id="5427"/>
      <w:bookmarkEnd w:id="5428"/>
    </w:p>
    <w:p w14:paraId="1DC70227" w14:textId="77777777" w:rsidR="006568C5" w:rsidRPr="004841FB" w:rsidRDefault="006568C5" w:rsidP="006568C5">
      <w:pPr>
        <w:pStyle w:val="Heading3"/>
        <w:rPr>
          <w:lang w:bidi="fa-IR"/>
        </w:rPr>
      </w:pPr>
      <w:r>
        <w:rPr>
          <w:lang w:bidi="fa-IR"/>
        </w:rPr>
        <w:t>Approach</w:t>
      </w:r>
    </w:p>
    <w:p w14:paraId="76AA6230" w14:textId="77777777" w:rsidR="006568C5" w:rsidRDefault="006568C5" w:rsidP="006568C5">
      <w:pPr>
        <w:pStyle w:val="BodyText"/>
        <w:rPr>
          <w:lang w:bidi="fa-IR"/>
        </w:rPr>
      </w:pPr>
      <w:r>
        <w:rPr>
          <w:lang w:bidi="fa-IR"/>
        </w:rPr>
        <w:t>As discussed in chapter 4, there are four components to the benefits of mandatory EV charging:</w:t>
      </w:r>
    </w:p>
    <w:p w14:paraId="0185CB58" w14:textId="43071A7E" w:rsidR="006568C5" w:rsidRDefault="006E7FF8" w:rsidP="006568C5">
      <w:pPr>
        <w:pStyle w:val="ListBullet"/>
        <w:tabs>
          <w:tab w:val="num" w:pos="709"/>
        </w:tabs>
        <w:rPr>
          <w:lang w:bidi="fa-IR"/>
        </w:rPr>
      </w:pPr>
      <w:r>
        <w:rPr>
          <w:lang w:bidi="fa-IR"/>
        </w:rPr>
        <w:t>i</w:t>
      </w:r>
      <w:r w:rsidR="006568C5">
        <w:rPr>
          <w:lang w:bidi="fa-IR"/>
        </w:rPr>
        <w:t>mproved access to destination charging for EV drivers:</w:t>
      </w:r>
    </w:p>
    <w:p w14:paraId="04D6A4D9" w14:textId="77777777" w:rsidR="006568C5" w:rsidRDefault="006568C5" w:rsidP="006568C5">
      <w:pPr>
        <w:pStyle w:val="ListBullet"/>
        <w:numPr>
          <w:ilvl w:val="1"/>
          <w:numId w:val="34"/>
        </w:numPr>
        <w:rPr>
          <w:lang w:bidi="fa-IR"/>
        </w:rPr>
      </w:pPr>
      <w:r>
        <w:rPr>
          <w:lang w:bidi="fa-IR"/>
        </w:rPr>
        <w:t>who are EV drivers under both the base case and the policy options, and</w:t>
      </w:r>
    </w:p>
    <w:p w14:paraId="397EBCF3" w14:textId="77777777" w:rsidR="006568C5" w:rsidRDefault="006568C5" w:rsidP="006568C5">
      <w:pPr>
        <w:pStyle w:val="ListBullet"/>
        <w:numPr>
          <w:ilvl w:val="1"/>
          <w:numId w:val="34"/>
        </w:numPr>
        <w:rPr>
          <w:lang w:bidi="fa-IR"/>
        </w:rPr>
      </w:pPr>
      <w:r>
        <w:rPr>
          <w:lang w:bidi="fa-IR"/>
        </w:rPr>
        <w:t>who would be induced to drive an EV by the policy options.</w:t>
      </w:r>
    </w:p>
    <w:p w14:paraId="4E238A61" w14:textId="77777777" w:rsidR="006568C5" w:rsidRDefault="006568C5" w:rsidP="006568C5">
      <w:pPr>
        <w:pStyle w:val="ListBullet"/>
        <w:tabs>
          <w:tab w:val="num" w:pos="709"/>
        </w:tabs>
        <w:rPr>
          <w:lang w:bidi="fa-IR"/>
        </w:rPr>
      </w:pPr>
      <w:r>
        <w:rPr>
          <w:lang w:bidi="fa-IR"/>
        </w:rPr>
        <w:t>mitigation of climate change due to reduced GHG emissions from the substitution from internal combustion vehicles to EVs induced by the policy options, and</w:t>
      </w:r>
    </w:p>
    <w:p w14:paraId="44808C7F" w14:textId="77777777" w:rsidR="006568C5" w:rsidRPr="00ED33C2" w:rsidRDefault="006568C5" w:rsidP="006568C5">
      <w:pPr>
        <w:pStyle w:val="ListBullet"/>
        <w:tabs>
          <w:tab w:val="num" w:pos="709"/>
        </w:tabs>
        <w:rPr>
          <w:lang w:bidi="fa-IR"/>
        </w:rPr>
      </w:pPr>
      <w:r>
        <w:rPr>
          <w:lang w:bidi="fa-IR"/>
        </w:rPr>
        <w:t>mitigation of the health impacts of air pollution from the substitution from internal combustion vehicles to EVs induced by the policy options.</w:t>
      </w:r>
    </w:p>
    <w:p w14:paraId="129AB523" w14:textId="77777777" w:rsidR="006568C5" w:rsidRDefault="006568C5" w:rsidP="006568C5">
      <w:pPr>
        <w:pStyle w:val="BodyText"/>
        <w:rPr>
          <w:lang w:bidi="fa-IR"/>
        </w:rPr>
      </w:pPr>
      <w:r>
        <w:rPr>
          <w:lang w:bidi="fa-IR"/>
        </w:rPr>
        <w:t>Estimation of these benefits requires projections, for both the base case and the policy options, of EV and non-EV sales, the composition of the vehicle stock, the availability of destination charging, EV battery range, and unit economic values for destination charging availability, GHG emissions and air pollution.</w:t>
      </w:r>
    </w:p>
    <w:p w14:paraId="5423C0C0" w14:textId="77777777" w:rsidR="006568C5" w:rsidRDefault="006568C5" w:rsidP="006568C5">
      <w:pPr>
        <w:pStyle w:val="Heading3"/>
        <w:rPr>
          <w:lang w:bidi="fa-IR"/>
        </w:rPr>
      </w:pPr>
      <w:r>
        <w:rPr>
          <w:lang w:bidi="fa-IR"/>
        </w:rPr>
        <w:t>Base case vehicle projections</w:t>
      </w:r>
    </w:p>
    <w:p w14:paraId="7AA67910" w14:textId="32A3151A" w:rsidR="006568C5" w:rsidRDefault="006568C5" w:rsidP="006568C5">
      <w:pPr>
        <w:pStyle w:val="BodyText"/>
        <w:rPr>
          <w:lang w:bidi="fa-IR"/>
        </w:rPr>
      </w:pPr>
      <w:r>
        <w:rPr>
          <w:lang w:bidi="fa-IR"/>
        </w:rPr>
        <w:t>Base case vehicle projections are estimated by applying</w:t>
      </w:r>
      <w:r w:rsidRPr="0090456D">
        <w:rPr>
          <w:lang w:bidi="fa-IR"/>
        </w:rPr>
        <w:t xml:space="preserve"> </w:t>
      </w:r>
      <w:r>
        <w:rPr>
          <w:lang w:bidi="fa-IR"/>
        </w:rPr>
        <w:t xml:space="preserve">CSIRO projections of EV sales as a share of total sales under the step change scenario to historical sales observations and CIE projections of vehicle sales by type (passenger vehicles, SUVs, and light commercial vehicles). The EV category includes battery </w:t>
      </w:r>
      <w:r w:rsidR="005E25B7">
        <w:rPr>
          <w:lang w:bidi="fa-IR"/>
        </w:rPr>
        <w:t>EV</w:t>
      </w:r>
      <w:r>
        <w:rPr>
          <w:lang w:bidi="fa-IR"/>
        </w:rPr>
        <w:t>s only. Plug-in and mild hybrid vehicles are included in the ‘other’ category. In the analysis that follows, the composition of the ‘other’ category and changes in that composition over time are accounted for.</w:t>
      </w:r>
    </w:p>
    <w:p w14:paraId="5F7F498E" w14:textId="3A303D6A" w:rsidR="006568C5" w:rsidRPr="006F0F88" w:rsidRDefault="006568C5" w:rsidP="009B4D09">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w:instrText>
      </w:r>
      <w:fldSimple w:instr=" STYLEREF &quot;Heading 1&quot; \l \n ">
        <w:r w:rsidR="00520F9E">
          <w:rPr>
            <w:noProof/>
          </w:rPr>
          <w:instrText>8</w:instrText>
        </w:r>
      </w:fldSimple>
      <w:r w:rsidRPr="006F0F88">
        <w:instrText xml:space="preserve">." </w:instrText>
      </w:r>
      <w:r w:rsidRPr="006F0F88">
        <w:fldChar w:fldCharType="separate"/>
      </w:r>
      <w:r w:rsidR="00520F9E">
        <w:rPr>
          <w:noProof/>
        </w:rPr>
        <w:instrText>8</w:instrText>
      </w:r>
      <w:r w:rsidR="00520F9E" w:rsidRPr="006F0F88">
        <w:rPr>
          <w:noProof/>
        </w:rPr>
        <w:instrText>.</w:instrText>
      </w:r>
      <w:r w:rsidRPr="006F0F88">
        <w:fldChar w:fldCharType="end"/>
      </w:r>
      <w:r w:rsidRPr="006F0F88">
        <w:instrText>" "</w:instrText>
      </w:r>
      <w:fldSimple w:instr=" STYLEREF &quot;Heading 6&quot; \l \n ">
        <w:r w:rsidRPr="006F0F88">
          <w:instrText>A</w:instrText>
        </w:r>
      </w:fldSimple>
      <w:r w:rsidRPr="006F0F88">
        <w:instrText xml:space="preserve">." </w:instrText>
      </w:r>
      <w:r w:rsidRPr="006F0F88">
        <w:fldChar w:fldCharType="separate"/>
      </w:r>
      <w:r w:rsidR="008C60A3">
        <w:rPr>
          <w:noProof/>
        </w:rPr>
        <w:instrText>8</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520F9E">
        <w:rPr>
          <w:noProof/>
        </w:rPr>
        <w:instrText>7</w:instrText>
      </w:r>
      <w:r w:rsidRPr="006F0F88">
        <w:fldChar w:fldCharType="end"/>
      </w:r>
      <w:r w:rsidRPr="006F0F88">
        <w:instrText xml:space="preserve">" "" </w:instrText>
      </w:r>
      <w:r w:rsidRPr="006F0F88">
        <w:fldChar w:fldCharType="separate"/>
      </w:r>
      <w:bookmarkStart w:id="5429" w:name="_Caption2908"/>
      <w:bookmarkStart w:id="5430" w:name="_Caption8339"/>
      <w:bookmarkStart w:id="5431" w:name="_Caption9453"/>
      <w:bookmarkStart w:id="5432" w:name="_Caption5644"/>
      <w:bookmarkStart w:id="5433" w:name="_Caption7140"/>
      <w:bookmarkStart w:id="5434" w:name="_Caption1981"/>
      <w:bookmarkStart w:id="5435" w:name="_Caption0384"/>
      <w:bookmarkStart w:id="5436" w:name="_Caption2080"/>
      <w:bookmarkStart w:id="5437" w:name="_Caption9956"/>
      <w:bookmarkStart w:id="5438" w:name="_Caption4818"/>
      <w:bookmarkStart w:id="5439" w:name="_Caption0389"/>
      <w:bookmarkStart w:id="5440" w:name="_Caption7358"/>
      <w:bookmarkStart w:id="5441" w:name="_Caption0830"/>
      <w:bookmarkStart w:id="5442" w:name="_Caption0842"/>
      <w:bookmarkStart w:id="5443" w:name="_Caption2561"/>
      <w:bookmarkStart w:id="5444" w:name="_Caption3118"/>
      <w:bookmarkStart w:id="5445" w:name="_Caption4104"/>
      <w:bookmarkStart w:id="5446" w:name="_Caption9406"/>
      <w:bookmarkStart w:id="5447" w:name="_Caption3712"/>
      <w:bookmarkStart w:id="5448" w:name="_Caption8501"/>
      <w:bookmarkStart w:id="5449" w:name="_Caption3855"/>
      <w:bookmarkStart w:id="5450" w:name="_Caption3992"/>
      <w:bookmarkStart w:id="5451" w:name="_Caption3791"/>
      <w:bookmarkStart w:id="5452" w:name="_Caption4612"/>
      <w:bookmarkStart w:id="5453" w:name="_Caption7672"/>
      <w:bookmarkStart w:id="5454" w:name="_Caption4641"/>
      <w:bookmarkStart w:id="5455" w:name="_Caption2200"/>
      <w:bookmarkStart w:id="5456" w:name="_Caption6795"/>
      <w:bookmarkStart w:id="5457" w:name="_Caption5336"/>
      <w:bookmarkStart w:id="5458" w:name="_Caption8726"/>
      <w:bookmarkStart w:id="5459" w:name="_Caption3862"/>
      <w:bookmarkStart w:id="5460" w:name="_Caption1057"/>
      <w:bookmarkStart w:id="5461" w:name="_Caption0229"/>
      <w:bookmarkStart w:id="5462" w:name="_Caption4391"/>
      <w:bookmarkStart w:id="5463" w:name="_Caption3959"/>
      <w:bookmarkStart w:id="5464" w:name="_Caption8936"/>
      <w:bookmarkStart w:id="5465" w:name="_Caption8626"/>
      <w:bookmarkStart w:id="5466" w:name="_Caption9056"/>
      <w:bookmarkStart w:id="5467" w:name="_Caption7500"/>
      <w:bookmarkStart w:id="5468" w:name="_Caption7940"/>
      <w:bookmarkStart w:id="5469" w:name="_Caption5493"/>
      <w:bookmarkStart w:id="5470" w:name="_Caption2182"/>
      <w:bookmarkStart w:id="5471" w:name="_Caption9521"/>
      <w:bookmarkStart w:id="5472" w:name="_Caption3052"/>
      <w:bookmarkStart w:id="5473" w:name="_Caption5979"/>
      <w:bookmarkStart w:id="5474" w:name="_Caption5570"/>
      <w:bookmarkStart w:id="5475" w:name="_Caption0778"/>
      <w:bookmarkStart w:id="5476" w:name="_Caption7859"/>
      <w:bookmarkStart w:id="5477" w:name="_Caption5348"/>
      <w:bookmarkStart w:id="5478" w:name="_Caption1693"/>
      <w:bookmarkStart w:id="5479" w:name="_Caption4158"/>
      <w:bookmarkStart w:id="5480" w:name="_Caption0892"/>
      <w:bookmarkStart w:id="5481" w:name="_Caption5403"/>
      <w:bookmarkStart w:id="5482" w:name="_Caption9961"/>
      <w:bookmarkStart w:id="5483" w:name="_Caption2287"/>
      <w:bookmarkStart w:id="5484" w:name="_Caption7483"/>
      <w:bookmarkStart w:id="5485" w:name="_Caption9371"/>
      <w:bookmarkStart w:id="5486" w:name="_Caption2462"/>
      <w:bookmarkStart w:id="5487" w:name="_Caption5048"/>
      <w:bookmarkStart w:id="5488" w:name="_Caption8822"/>
      <w:bookmarkStart w:id="5489" w:name="_Caption2234"/>
      <w:bookmarkStart w:id="5490" w:name="_Caption9229"/>
      <w:bookmarkStart w:id="5491" w:name="_Caption4017"/>
      <w:bookmarkStart w:id="5492" w:name="_Caption9067"/>
      <w:bookmarkStart w:id="5493" w:name="_Caption3307"/>
      <w:bookmarkStart w:id="5494" w:name="_Caption5215"/>
      <w:bookmarkStart w:id="5495" w:name="_Caption6494"/>
      <w:bookmarkStart w:id="5496" w:name="_Caption2995"/>
      <w:bookmarkStart w:id="5497" w:name="_Caption5471"/>
      <w:bookmarkStart w:id="5498" w:name="_Caption6909"/>
      <w:bookmarkStart w:id="5499" w:name="_Caption5945"/>
      <w:bookmarkStart w:id="5500" w:name="_Caption9533"/>
      <w:bookmarkStart w:id="5501" w:name="_Caption1573"/>
      <w:bookmarkStart w:id="5502" w:name="_Caption8683"/>
      <w:bookmarkStart w:id="5503" w:name="_Caption4529"/>
      <w:bookmarkStart w:id="5504" w:name="_Caption5141"/>
      <w:bookmarkStart w:id="5505" w:name="_Caption6687"/>
      <w:bookmarkStart w:id="5506" w:name="_Caption6744"/>
      <w:bookmarkStart w:id="5507" w:name="_Caption4953"/>
      <w:bookmarkStart w:id="5508" w:name="_Caption1177"/>
      <w:bookmarkStart w:id="5509" w:name="_Caption0475"/>
      <w:bookmarkStart w:id="5510" w:name="_Caption3394"/>
      <w:bookmarkStart w:id="5511" w:name="_Caption8245"/>
      <w:bookmarkStart w:id="5512" w:name="_Caption2215"/>
      <w:bookmarkStart w:id="5513" w:name="_Caption9800"/>
      <w:bookmarkStart w:id="5514" w:name="_Caption0037"/>
      <w:bookmarkStart w:id="5515" w:name="_Caption3861"/>
      <w:bookmarkStart w:id="5516" w:name="_Caption9152"/>
      <w:bookmarkStart w:id="5517" w:name="_Caption8168"/>
      <w:bookmarkStart w:id="5518" w:name="_Caption7886"/>
      <w:bookmarkStart w:id="5519" w:name="_Caption7560"/>
      <w:bookmarkStart w:id="5520" w:name="_Caption6992"/>
      <w:bookmarkStart w:id="5521" w:name="_Caption1939"/>
      <w:bookmarkStart w:id="5522" w:name="_Caption9273"/>
      <w:bookmarkStart w:id="5523" w:name="_Toc177735196"/>
      <w:bookmarkStart w:id="5524" w:name="_Toc178292631"/>
      <w:r w:rsidR="008C60A3">
        <w:rPr>
          <w:noProof/>
        </w:rPr>
        <w:t>8</w:t>
      </w:r>
      <w:r w:rsidR="008C60A3" w:rsidRPr="006F0F88">
        <w:rPr>
          <w:noProof/>
        </w:rPr>
        <w:t>.</w:t>
      </w:r>
      <w:r w:rsidR="008C60A3">
        <w:rPr>
          <w:noProof/>
        </w:rPr>
        <w:t>7</w:t>
      </w:r>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r w:rsidRPr="006F0F88">
        <w:fldChar w:fldCharType="end"/>
      </w:r>
      <w:r w:rsidRPr="006F0F88">
        <w:tab/>
        <w:t>Projected vehicle sales under the base case</w:t>
      </w:r>
      <w:bookmarkEnd w:id="5523"/>
      <w:bookmarkEnd w:id="5524"/>
    </w:p>
    <w:p w14:paraId="3135B869" w14:textId="77777777" w:rsidR="006568C5" w:rsidRDefault="006568C5" w:rsidP="006568C5">
      <w:pPr>
        <w:pStyle w:val="Subtitlebox"/>
      </w:pPr>
      <w:r>
        <w:rPr>
          <w:noProof/>
        </w:rPr>
        <w:drawing>
          <wp:inline distT="0" distB="0" distL="0" distR="0" wp14:anchorId="54C296EE" wp14:editId="79F16A99">
            <wp:extent cx="4960620" cy="2505710"/>
            <wp:effectExtent l="76200" t="76200" r="68580" b="85090"/>
            <wp:docPr id="212400569" name="Picture 212400569" descr="Chart 8.7 - Projected vehicle sales under the base c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00569" name="Picture 212400569" descr="Chart 8.7 - Projected vehicle sales under the base case"/>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a:stretch/>
                  </pic:blipFill>
                  <pic:spPr bwMode="auto">
                    <a:xfrm>
                      <a:off x="0" y="0"/>
                      <a:ext cx="4960620" cy="250571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74F0563A" w14:textId="77777777" w:rsidR="006568C5" w:rsidRDefault="006568C5" w:rsidP="006568C5">
      <w:pPr>
        <w:pStyle w:val="Source"/>
      </w:pPr>
      <w:r>
        <w:rPr>
          <w:i/>
        </w:rPr>
        <w:t>Data source</w:t>
      </w:r>
      <w:r w:rsidRPr="00A67576">
        <w:rPr>
          <w:i/>
        </w:rPr>
        <w:t>:</w:t>
      </w:r>
      <w:r>
        <w:t xml:space="preserve"> CSIRO EV projections for EV share of sales, CIE sales projections.</w:t>
      </w:r>
    </w:p>
    <w:p w14:paraId="4328F737" w14:textId="77777777" w:rsidR="006568C5" w:rsidRPr="00F304F9" w:rsidRDefault="006568C5" w:rsidP="006568C5">
      <w:pPr>
        <w:pStyle w:val="BodyText"/>
        <w:rPr>
          <w:lang w:bidi="fa-IR"/>
        </w:rPr>
      </w:pPr>
      <w:r>
        <w:rPr>
          <w:lang w:bidi="fa-IR"/>
        </w:rPr>
        <w:t xml:space="preserve">The stock of vehicles was estimated using the following survival curve (Smit et al 2022) where </w:t>
      </w:r>
      <w:r>
        <w:rPr>
          <w:i/>
          <w:iCs/>
          <w:lang w:bidi="fa-IR"/>
        </w:rPr>
        <w:t xml:space="preserve">S </w:t>
      </w:r>
      <w:r>
        <w:rPr>
          <w:lang w:bidi="fa-IR"/>
        </w:rPr>
        <w:t xml:space="preserve">is the proportion of vehicles surviving to a specific age, </w:t>
      </w:r>
      <w:r>
        <w:rPr>
          <w:i/>
          <w:iCs/>
          <w:lang w:bidi="fa-IR"/>
        </w:rPr>
        <w:t>A</w:t>
      </w:r>
      <w:r>
        <w:rPr>
          <w:lang w:bidi="fa-IR"/>
        </w:rPr>
        <w:t>.</w:t>
      </w:r>
      <w:r>
        <w:rPr>
          <w:rStyle w:val="FootnoteReference"/>
          <w:lang w:bidi="fa-IR"/>
        </w:rPr>
        <w:footnoteReference w:id="134"/>
      </w:r>
    </w:p>
    <w:p w14:paraId="15A0D479" w14:textId="77777777" w:rsidR="006568C5" w:rsidRPr="00A66E3A" w:rsidRDefault="006568C5" w:rsidP="006568C5">
      <w:pPr>
        <w:pStyle w:val="BodyText"/>
        <w:rPr>
          <w:lang w:bidi="fa-IR"/>
        </w:rPr>
      </w:pPr>
      <m:oMathPara>
        <m:oMath>
          <m:r>
            <w:rPr>
              <w:rFonts w:ascii="Cambria Math" w:hAnsi="Cambria Math"/>
              <w:lang w:bidi="fa-IR"/>
            </w:rPr>
            <m:t>S=</m:t>
          </m:r>
          <m:f>
            <m:fPr>
              <m:ctrlPr>
                <w:rPr>
                  <w:rFonts w:ascii="Cambria Math" w:hAnsi="Cambria Math"/>
                  <w:i/>
                  <w:lang w:bidi="fa-IR"/>
                </w:rPr>
              </m:ctrlPr>
            </m:fPr>
            <m:num>
              <m:r>
                <w:rPr>
                  <w:rFonts w:ascii="Cambria Math" w:hAnsi="Cambria Math"/>
                  <w:lang w:bidi="fa-IR"/>
                </w:rPr>
                <m:t>1</m:t>
              </m:r>
            </m:num>
            <m:den>
              <m:r>
                <w:rPr>
                  <w:rFonts w:ascii="Cambria Math" w:hAnsi="Cambria Math"/>
                  <w:lang w:bidi="fa-IR"/>
                </w:rPr>
                <m:t>0.9925+(1-0.9925)</m:t>
              </m:r>
              <m:sSup>
                <m:sSupPr>
                  <m:ctrlPr>
                    <w:rPr>
                      <w:rFonts w:ascii="Cambria Math" w:hAnsi="Cambria Math"/>
                      <w:i/>
                      <w:lang w:bidi="fa-IR"/>
                    </w:rPr>
                  </m:ctrlPr>
                </m:sSupPr>
                <m:e>
                  <m:r>
                    <w:rPr>
                      <w:rFonts w:ascii="Cambria Math" w:hAnsi="Cambria Math"/>
                      <w:lang w:bidi="fa-IR"/>
                    </w:rPr>
                    <m:t>e</m:t>
                  </m:r>
                </m:e>
                <m:sup>
                  <m:r>
                    <w:rPr>
                      <w:rFonts w:ascii="Cambria Math" w:hAnsi="Cambria Math"/>
                      <w:lang w:bidi="fa-IR"/>
                    </w:rPr>
                    <m:t>0.2840A</m:t>
                  </m:r>
                </m:sup>
              </m:sSup>
            </m:den>
          </m:f>
        </m:oMath>
      </m:oMathPara>
    </w:p>
    <w:p w14:paraId="5603D11D" w14:textId="77777777" w:rsidR="006568C5" w:rsidRDefault="006568C5" w:rsidP="006568C5">
      <w:pPr>
        <w:pStyle w:val="BodyText"/>
        <w:rPr>
          <w:lang w:bidi="fa-IR"/>
        </w:rPr>
      </w:pPr>
      <w:r>
        <w:rPr>
          <w:lang w:bidi="fa-IR"/>
        </w:rPr>
        <w:t xml:space="preserve">Although EV share of sales reaches 99 per cent by 2042, the EV share of stock is not expected to reach that figure for another 20 years. </w:t>
      </w:r>
    </w:p>
    <w:p w14:paraId="6B7A3759" w14:textId="36948A17" w:rsidR="006568C5" w:rsidRPr="006F0F88" w:rsidRDefault="006568C5" w:rsidP="009B4D09">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w:instrText>
      </w:r>
      <w:fldSimple w:instr=" STYLEREF &quot;Heading 1&quot; \l \n ">
        <w:r w:rsidR="00520F9E">
          <w:rPr>
            <w:noProof/>
          </w:rPr>
          <w:instrText>8</w:instrText>
        </w:r>
      </w:fldSimple>
      <w:r w:rsidRPr="006F0F88">
        <w:instrText xml:space="preserve">." </w:instrText>
      </w:r>
      <w:r w:rsidRPr="006F0F88">
        <w:fldChar w:fldCharType="separate"/>
      </w:r>
      <w:r w:rsidR="00520F9E">
        <w:rPr>
          <w:noProof/>
        </w:rPr>
        <w:instrText>8</w:instrText>
      </w:r>
      <w:r w:rsidR="00520F9E" w:rsidRPr="006F0F88">
        <w:rPr>
          <w:noProof/>
        </w:rPr>
        <w:instrText>.</w:instrText>
      </w:r>
      <w:r w:rsidRPr="006F0F88">
        <w:fldChar w:fldCharType="end"/>
      </w:r>
      <w:r w:rsidRPr="006F0F88">
        <w:instrText>" "</w:instrText>
      </w:r>
      <w:fldSimple w:instr=" STYLEREF &quot;Heading 6&quot; \l \n ">
        <w:r w:rsidRPr="006F0F88">
          <w:instrText>A</w:instrText>
        </w:r>
      </w:fldSimple>
      <w:r w:rsidRPr="006F0F88">
        <w:instrText xml:space="preserve">." </w:instrText>
      </w:r>
      <w:r w:rsidRPr="006F0F88">
        <w:fldChar w:fldCharType="separate"/>
      </w:r>
      <w:r w:rsidR="008C60A3">
        <w:rPr>
          <w:noProof/>
        </w:rPr>
        <w:instrText>8</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520F9E">
        <w:rPr>
          <w:noProof/>
        </w:rPr>
        <w:instrText>8</w:instrText>
      </w:r>
      <w:r w:rsidRPr="006F0F88">
        <w:fldChar w:fldCharType="end"/>
      </w:r>
      <w:r w:rsidRPr="006F0F88">
        <w:instrText xml:space="preserve">" "" </w:instrText>
      </w:r>
      <w:r w:rsidRPr="006F0F88">
        <w:fldChar w:fldCharType="separate"/>
      </w:r>
      <w:bookmarkStart w:id="5525" w:name="_Caption8922"/>
      <w:bookmarkStart w:id="5526" w:name="_Caption8406"/>
      <w:bookmarkStart w:id="5527" w:name="_Caption3236"/>
      <w:bookmarkStart w:id="5528" w:name="_Caption3362"/>
      <w:bookmarkStart w:id="5529" w:name="_Caption2120"/>
      <w:bookmarkStart w:id="5530" w:name="_Caption3823"/>
      <w:bookmarkStart w:id="5531" w:name="_Caption2734"/>
      <w:bookmarkStart w:id="5532" w:name="_Caption3755"/>
      <w:bookmarkStart w:id="5533" w:name="_Caption2306"/>
      <w:bookmarkStart w:id="5534" w:name="_Caption1605"/>
      <w:bookmarkStart w:id="5535" w:name="_Caption3446"/>
      <w:bookmarkStart w:id="5536" w:name="_Caption7811"/>
      <w:bookmarkStart w:id="5537" w:name="_Caption2366"/>
      <w:bookmarkStart w:id="5538" w:name="_Caption6036"/>
      <w:bookmarkStart w:id="5539" w:name="_Caption7261"/>
      <w:bookmarkStart w:id="5540" w:name="_Caption5921"/>
      <w:bookmarkStart w:id="5541" w:name="_Caption4424"/>
      <w:bookmarkStart w:id="5542" w:name="_Caption9285"/>
      <w:bookmarkStart w:id="5543" w:name="_Caption6824"/>
      <w:bookmarkStart w:id="5544" w:name="_Caption4657"/>
      <w:bookmarkStart w:id="5545" w:name="_Caption1347"/>
      <w:bookmarkStart w:id="5546" w:name="_Caption0305"/>
      <w:bookmarkStart w:id="5547" w:name="_Caption4185"/>
      <w:bookmarkStart w:id="5548" w:name="_Caption8125"/>
      <w:bookmarkStart w:id="5549" w:name="_Caption9861"/>
      <w:bookmarkStart w:id="5550" w:name="_Caption1880"/>
      <w:bookmarkStart w:id="5551" w:name="_Caption0730"/>
      <w:bookmarkStart w:id="5552" w:name="_Caption1912"/>
      <w:bookmarkStart w:id="5553" w:name="_Caption9816"/>
      <w:bookmarkStart w:id="5554" w:name="_Caption5199"/>
      <w:bookmarkStart w:id="5555" w:name="_Caption5180"/>
      <w:bookmarkStart w:id="5556" w:name="_Caption4313"/>
      <w:bookmarkStart w:id="5557" w:name="_Caption3285"/>
      <w:bookmarkStart w:id="5558" w:name="_Caption5318"/>
      <w:bookmarkStart w:id="5559" w:name="_Caption2520"/>
      <w:bookmarkStart w:id="5560" w:name="_Caption1303"/>
      <w:bookmarkStart w:id="5561" w:name="_Caption6985"/>
      <w:bookmarkStart w:id="5562" w:name="_Caption5414"/>
      <w:bookmarkStart w:id="5563" w:name="_Caption6135"/>
      <w:bookmarkStart w:id="5564" w:name="_Caption7514"/>
      <w:bookmarkStart w:id="5565" w:name="_Caption4407"/>
      <w:bookmarkStart w:id="5566" w:name="_Caption0885"/>
      <w:bookmarkStart w:id="5567" w:name="_Caption5936"/>
      <w:bookmarkStart w:id="5568" w:name="_Caption7463"/>
      <w:bookmarkStart w:id="5569" w:name="_Caption4425"/>
      <w:bookmarkStart w:id="5570" w:name="_Caption7851"/>
      <w:bookmarkStart w:id="5571" w:name="_Caption4014"/>
      <w:bookmarkStart w:id="5572" w:name="_Caption5866"/>
      <w:bookmarkStart w:id="5573" w:name="_Caption7747"/>
      <w:bookmarkStart w:id="5574" w:name="_Caption4020"/>
      <w:bookmarkStart w:id="5575" w:name="_Caption7936"/>
      <w:bookmarkStart w:id="5576" w:name="_Caption0178"/>
      <w:bookmarkStart w:id="5577" w:name="_Caption5902"/>
      <w:bookmarkStart w:id="5578" w:name="_Caption7222"/>
      <w:bookmarkStart w:id="5579" w:name="_Caption3035"/>
      <w:bookmarkStart w:id="5580" w:name="_Caption4929"/>
      <w:bookmarkStart w:id="5581" w:name="_Caption4658"/>
      <w:bookmarkStart w:id="5582" w:name="_Caption4555"/>
      <w:bookmarkStart w:id="5583" w:name="_Caption8313"/>
      <w:bookmarkStart w:id="5584" w:name="_Caption3039"/>
      <w:bookmarkStart w:id="5585" w:name="_Caption2155"/>
      <w:bookmarkStart w:id="5586" w:name="_Caption5872"/>
      <w:bookmarkStart w:id="5587" w:name="_Caption7368"/>
      <w:bookmarkStart w:id="5588" w:name="_Caption7293"/>
      <w:bookmarkStart w:id="5589" w:name="_Caption7821"/>
      <w:bookmarkStart w:id="5590" w:name="_Caption0265"/>
      <w:bookmarkStart w:id="5591" w:name="_Caption0113"/>
      <w:bookmarkStart w:id="5592" w:name="_Caption6906"/>
      <w:bookmarkStart w:id="5593" w:name="_Caption5555"/>
      <w:bookmarkStart w:id="5594" w:name="_Caption0505"/>
      <w:bookmarkStart w:id="5595" w:name="_Caption0756"/>
      <w:bookmarkStart w:id="5596" w:name="_Caption0643"/>
      <w:bookmarkStart w:id="5597" w:name="_Caption5689"/>
      <w:bookmarkStart w:id="5598" w:name="_Caption4994"/>
      <w:bookmarkStart w:id="5599" w:name="_Caption5184"/>
      <w:bookmarkStart w:id="5600" w:name="_Caption2166"/>
      <w:bookmarkStart w:id="5601" w:name="_Caption1393"/>
      <w:bookmarkStart w:id="5602" w:name="_Caption5274"/>
      <w:bookmarkStart w:id="5603" w:name="_Caption8760"/>
      <w:bookmarkStart w:id="5604" w:name="_Caption0677"/>
      <w:bookmarkStart w:id="5605" w:name="_Caption0614"/>
      <w:bookmarkStart w:id="5606" w:name="_Caption5815"/>
      <w:bookmarkStart w:id="5607" w:name="_Caption2042"/>
      <w:bookmarkStart w:id="5608" w:name="_Caption2707"/>
      <w:bookmarkStart w:id="5609" w:name="_Caption1511"/>
      <w:bookmarkStart w:id="5610" w:name="_Caption5200"/>
      <w:bookmarkStart w:id="5611" w:name="_Caption8061"/>
      <w:bookmarkStart w:id="5612" w:name="_Caption0516"/>
      <w:bookmarkStart w:id="5613" w:name="_Caption1004"/>
      <w:bookmarkStart w:id="5614" w:name="_Caption2852"/>
      <w:bookmarkStart w:id="5615" w:name="_Caption1299"/>
      <w:bookmarkStart w:id="5616" w:name="_Caption4025"/>
      <w:bookmarkStart w:id="5617" w:name="_Toc177735197"/>
      <w:bookmarkStart w:id="5618" w:name="_Toc178292632"/>
      <w:r w:rsidR="008C60A3">
        <w:rPr>
          <w:noProof/>
        </w:rPr>
        <w:t>8</w:t>
      </w:r>
      <w:r w:rsidR="008C60A3" w:rsidRPr="006F0F88">
        <w:rPr>
          <w:noProof/>
        </w:rPr>
        <w:t>.</w:t>
      </w:r>
      <w:r w:rsidR="008C60A3">
        <w:rPr>
          <w:noProof/>
        </w:rPr>
        <w:t>8</w:t>
      </w:r>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r w:rsidRPr="006F0F88">
        <w:fldChar w:fldCharType="end"/>
      </w:r>
      <w:r w:rsidRPr="006F0F88">
        <w:tab/>
        <w:t>Projected electric vehicle share of stock under the base case</w:t>
      </w:r>
      <w:bookmarkEnd w:id="5617"/>
      <w:bookmarkEnd w:id="5618"/>
    </w:p>
    <w:p w14:paraId="4AAA4E2A" w14:textId="77777777" w:rsidR="006568C5" w:rsidRPr="00A55EF4" w:rsidRDefault="006568C5" w:rsidP="006568C5">
      <w:pPr>
        <w:pStyle w:val="Subtitlebox"/>
      </w:pPr>
      <w:r>
        <w:rPr>
          <w:noProof/>
        </w:rPr>
        <w:drawing>
          <wp:inline distT="0" distB="0" distL="0" distR="0" wp14:anchorId="513A687C" wp14:editId="567FAE14">
            <wp:extent cx="4846320" cy="2505710"/>
            <wp:effectExtent l="76200" t="76200" r="68580" b="85090"/>
            <wp:docPr id="552692785" name="Picture 552692785" descr="Chart 8.8 - Projected electric vehicle share of stock under the base c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692785" name="Picture 552692785" descr="Chart 8.8 - Projected electric vehicle share of stock under the base case"/>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r="3527"/>
                    <a:stretch/>
                  </pic:blipFill>
                  <pic:spPr bwMode="auto">
                    <a:xfrm>
                      <a:off x="0" y="0"/>
                      <a:ext cx="4846320" cy="250571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02856C6A" w14:textId="77777777" w:rsidR="006568C5" w:rsidRDefault="006568C5" w:rsidP="006568C5">
      <w:pPr>
        <w:pStyle w:val="Source"/>
      </w:pPr>
      <w:r>
        <w:rPr>
          <w:i/>
        </w:rPr>
        <w:t>Data source</w:t>
      </w:r>
      <w:r w:rsidRPr="00A67576">
        <w:rPr>
          <w:i/>
        </w:rPr>
        <w:t>:</w:t>
      </w:r>
      <w:r>
        <w:t xml:space="preserve"> CSIRO EV projections for EV share of sales, CIE sales projections.</w:t>
      </w:r>
    </w:p>
    <w:p w14:paraId="539CD91A" w14:textId="77777777" w:rsidR="006568C5" w:rsidRDefault="006568C5" w:rsidP="006568C5">
      <w:pPr>
        <w:pStyle w:val="Heading3"/>
        <w:rPr>
          <w:lang w:bidi="fa-IR"/>
        </w:rPr>
      </w:pPr>
      <w:r>
        <w:rPr>
          <w:lang w:bidi="fa-IR"/>
        </w:rPr>
        <w:t>Vehicle and charging attributes</w:t>
      </w:r>
    </w:p>
    <w:p w14:paraId="434195EF" w14:textId="77777777" w:rsidR="006568C5" w:rsidRDefault="006568C5" w:rsidP="006568C5">
      <w:pPr>
        <w:pStyle w:val="BodyText"/>
        <w:rPr>
          <w:lang w:bidi="fa-IR"/>
        </w:rPr>
      </w:pPr>
      <w:r>
        <w:rPr>
          <w:lang w:bidi="fa-IR"/>
        </w:rPr>
        <w:t xml:space="preserve">Having established a base case for vehicle demand, we need to estimate how demand would differ under the policy options. Availability of destination charging is the driver of vehicle demand that is changed under the policy options. We consider the value placed by consumers on the ‘availability of destination charging’ attribute in the CIE’s 2019 choice study to be a reasonable measure of the value placed by consumers on improvements in the proportion of commercial buildings offering EV charging. There is little available evidence to inform a forecast of EV charging availability in commercial buildings in the base case. We assume that the proportion of new commercial buildings voluntarily offering EV charging in a given year would be equal to the EV share of the vehicle stock in that year. We consider this to be a reasonably neutral assumption that recognises the incentives for EV uptake to drive installation of EV charging infrastructure and vice versa. Under the policy options, all commercial buildings constructed between 2025 and 2034 would offer EV charging. The proportion of buildings constructed after 2034 with EV charging would be equal to the EV share of the vehicle stock in that year. </w:t>
      </w:r>
    </w:p>
    <w:p w14:paraId="4621DA59" w14:textId="7A3CA333" w:rsidR="006568C5" w:rsidRPr="006F0F88" w:rsidRDefault="006568C5" w:rsidP="009B4D09">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w:instrText>
      </w:r>
      <w:fldSimple w:instr=" STYLEREF &quot;Heading 1&quot; \l \n ">
        <w:r w:rsidR="00520F9E">
          <w:rPr>
            <w:noProof/>
          </w:rPr>
          <w:instrText>8</w:instrText>
        </w:r>
      </w:fldSimple>
      <w:r w:rsidRPr="006F0F88">
        <w:instrText xml:space="preserve">." </w:instrText>
      </w:r>
      <w:r w:rsidRPr="006F0F88">
        <w:fldChar w:fldCharType="separate"/>
      </w:r>
      <w:r w:rsidR="00520F9E">
        <w:rPr>
          <w:noProof/>
        </w:rPr>
        <w:instrText>8</w:instrText>
      </w:r>
      <w:r w:rsidR="00520F9E" w:rsidRPr="006F0F88">
        <w:rPr>
          <w:noProof/>
        </w:rPr>
        <w:instrText>.</w:instrText>
      </w:r>
      <w:r w:rsidRPr="006F0F88">
        <w:fldChar w:fldCharType="end"/>
      </w:r>
      <w:r w:rsidRPr="006F0F88">
        <w:instrText>" "</w:instrText>
      </w:r>
      <w:fldSimple w:instr=" STYLEREF &quot;Heading 6&quot; \l \n ">
        <w:r w:rsidRPr="006F0F88">
          <w:instrText>A</w:instrText>
        </w:r>
      </w:fldSimple>
      <w:r w:rsidRPr="006F0F88">
        <w:instrText xml:space="preserve">." </w:instrText>
      </w:r>
      <w:r w:rsidRPr="006F0F88">
        <w:fldChar w:fldCharType="separate"/>
      </w:r>
      <w:r w:rsidR="008C60A3">
        <w:rPr>
          <w:noProof/>
        </w:rPr>
        <w:instrText>8</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520F9E">
        <w:rPr>
          <w:noProof/>
        </w:rPr>
        <w:instrText>9</w:instrText>
      </w:r>
      <w:r w:rsidRPr="006F0F88">
        <w:fldChar w:fldCharType="end"/>
      </w:r>
      <w:r w:rsidRPr="006F0F88">
        <w:instrText xml:space="preserve">" "" </w:instrText>
      </w:r>
      <w:r w:rsidRPr="006F0F88">
        <w:fldChar w:fldCharType="separate"/>
      </w:r>
      <w:bookmarkStart w:id="5619" w:name="_Caption4661"/>
      <w:bookmarkStart w:id="5620" w:name="_Caption1371"/>
      <w:bookmarkStart w:id="5621" w:name="_Caption6948"/>
      <w:bookmarkStart w:id="5622" w:name="_Caption7753"/>
      <w:bookmarkStart w:id="5623" w:name="_Caption6558"/>
      <w:bookmarkStart w:id="5624" w:name="_Caption8924"/>
      <w:bookmarkStart w:id="5625" w:name="_Caption2160"/>
      <w:bookmarkStart w:id="5626" w:name="_Caption4488"/>
      <w:bookmarkStart w:id="5627" w:name="_Caption5017"/>
      <w:bookmarkStart w:id="5628" w:name="_Caption0858"/>
      <w:bookmarkStart w:id="5629" w:name="_Caption0669"/>
      <w:bookmarkStart w:id="5630" w:name="_Caption2791"/>
      <w:bookmarkStart w:id="5631" w:name="_Caption7987"/>
      <w:bookmarkStart w:id="5632" w:name="_Caption7879"/>
      <w:bookmarkStart w:id="5633" w:name="_Caption4204"/>
      <w:bookmarkStart w:id="5634" w:name="_Caption9166"/>
      <w:bookmarkStart w:id="5635" w:name="_Caption7095"/>
      <w:bookmarkStart w:id="5636" w:name="_Caption3892"/>
      <w:bookmarkStart w:id="5637" w:name="_Caption2786"/>
      <w:bookmarkStart w:id="5638" w:name="_Caption4257"/>
      <w:bookmarkStart w:id="5639" w:name="_Caption3336"/>
      <w:bookmarkStart w:id="5640" w:name="_Caption8446"/>
      <w:bookmarkStart w:id="5641" w:name="_Caption6737"/>
      <w:bookmarkStart w:id="5642" w:name="_Caption5832"/>
      <w:bookmarkStart w:id="5643" w:name="_Caption8873"/>
      <w:bookmarkStart w:id="5644" w:name="_Caption0310"/>
      <w:bookmarkStart w:id="5645" w:name="_Caption8454"/>
      <w:bookmarkStart w:id="5646" w:name="_Caption8802"/>
      <w:bookmarkStart w:id="5647" w:name="_Caption2123"/>
      <w:bookmarkStart w:id="5648" w:name="_Caption2719"/>
      <w:bookmarkStart w:id="5649" w:name="_Caption1541"/>
      <w:bookmarkStart w:id="5650" w:name="_Caption1335"/>
      <w:bookmarkStart w:id="5651" w:name="_Caption4195"/>
      <w:bookmarkStart w:id="5652" w:name="_Caption6877"/>
      <w:bookmarkStart w:id="5653" w:name="_Caption0489"/>
      <w:bookmarkStart w:id="5654" w:name="_Caption4372"/>
      <w:bookmarkStart w:id="5655" w:name="_Caption6465"/>
      <w:bookmarkStart w:id="5656" w:name="_Caption9186"/>
      <w:bookmarkStart w:id="5657" w:name="_Caption4093"/>
      <w:bookmarkStart w:id="5658" w:name="_Caption3480"/>
      <w:bookmarkStart w:id="5659" w:name="_Caption8079"/>
      <w:bookmarkStart w:id="5660" w:name="_Caption1757"/>
      <w:bookmarkStart w:id="5661" w:name="_Caption4278"/>
      <w:bookmarkStart w:id="5662" w:name="_Caption0280"/>
      <w:bookmarkStart w:id="5663" w:name="_Caption5941"/>
      <w:bookmarkStart w:id="5664" w:name="_Caption8754"/>
      <w:bookmarkStart w:id="5665" w:name="_Caption2748"/>
      <w:bookmarkStart w:id="5666" w:name="_Caption5552"/>
      <w:bookmarkStart w:id="5667" w:name="_Caption7294"/>
      <w:bookmarkStart w:id="5668" w:name="_Caption4588"/>
      <w:bookmarkStart w:id="5669" w:name="_Caption2951"/>
      <w:bookmarkStart w:id="5670" w:name="_Caption7003"/>
      <w:bookmarkStart w:id="5671" w:name="_Caption7362"/>
      <w:bookmarkStart w:id="5672" w:name="_Caption3728"/>
      <w:bookmarkStart w:id="5673" w:name="_Caption4785"/>
      <w:bookmarkStart w:id="5674" w:name="_Caption2235"/>
      <w:bookmarkStart w:id="5675" w:name="_Caption8734"/>
      <w:bookmarkStart w:id="5676" w:name="_Caption2397"/>
      <w:bookmarkStart w:id="5677" w:name="_Caption9379"/>
      <w:bookmarkStart w:id="5678" w:name="_Caption2845"/>
      <w:bookmarkStart w:id="5679" w:name="_Caption7890"/>
      <w:bookmarkStart w:id="5680" w:name="_Caption5358"/>
      <w:bookmarkStart w:id="5681" w:name="_Caption4461"/>
      <w:bookmarkStart w:id="5682" w:name="_Caption8102"/>
      <w:bookmarkStart w:id="5683" w:name="_Caption5435"/>
      <w:bookmarkStart w:id="5684" w:name="_Caption1410"/>
      <w:bookmarkStart w:id="5685" w:name="_Caption0490"/>
      <w:bookmarkStart w:id="5686" w:name="_Caption2516"/>
      <w:bookmarkStart w:id="5687" w:name="_Caption8715"/>
      <w:bookmarkStart w:id="5688" w:name="_Caption3029"/>
      <w:bookmarkStart w:id="5689" w:name="_Caption7054"/>
      <w:bookmarkStart w:id="5690" w:name="_Caption5520"/>
      <w:bookmarkStart w:id="5691" w:name="_Caption6678"/>
      <w:bookmarkStart w:id="5692" w:name="_Caption8441"/>
      <w:bookmarkStart w:id="5693" w:name="_Caption5129"/>
      <w:bookmarkStart w:id="5694" w:name="_Caption8799"/>
      <w:bookmarkStart w:id="5695" w:name="_Caption0952"/>
      <w:bookmarkStart w:id="5696" w:name="_Caption7461"/>
      <w:bookmarkStart w:id="5697" w:name="_Caption3194"/>
      <w:bookmarkStart w:id="5698" w:name="_Caption6200"/>
      <w:bookmarkStart w:id="5699" w:name="_Caption5999"/>
      <w:bookmarkStart w:id="5700" w:name="_Caption0271"/>
      <w:bookmarkStart w:id="5701" w:name="_Caption6644"/>
      <w:bookmarkStart w:id="5702" w:name="_Caption2007"/>
      <w:bookmarkStart w:id="5703" w:name="_Caption2857"/>
      <w:bookmarkStart w:id="5704" w:name="_Caption1048"/>
      <w:bookmarkStart w:id="5705" w:name="_Caption5033"/>
      <w:bookmarkStart w:id="5706" w:name="_Caption6630"/>
      <w:bookmarkStart w:id="5707" w:name="_Caption8405"/>
      <w:bookmarkStart w:id="5708" w:name="_Caption7559"/>
      <w:bookmarkStart w:id="5709" w:name="_Caption3211"/>
      <w:bookmarkStart w:id="5710" w:name="_Caption5137"/>
      <w:bookmarkStart w:id="5711" w:name="_Caption9621"/>
      <w:bookmarkStart w:id="5712" w:name="_Caption9976"/>
      <w:bookmarkStart w:id="5713" w:name="_Caption3493"/>
      <w:bookmarkStart w:id="5714" w:name="_Caption3648"/>
      <w:bookmarkStart w:id="5715" w:name="_Caption4415"/>
      <w:bookmarkStart w:id="5716" w:name="_Toc177735198"/>
      <w:bookmarkStart w:id="5717" w:name="_Toc178292633"/>
      <w:r w:rsidR="008C60A3">
        <w:rPr>
          <w:noProof/>
        </w:rPr>
        <w:t>8</w:t>
      </w:r>
      <w:r w:rsidR="008C60A3" w:rsidRPr="006F0F88">
        <w:rPr>
          <w:noProof/>
        </w:rPr>
        <w:t>.</w:t>
      </w:r>
      <w:r w:rsidR="008C60A3">
        <w:rPr>
          <w:noProof/>
        </w:rPr>
        <w:t>9</w:t>
      </w:r>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r w:rsidRPr="006F0F88">
        <w:fldChar w:fldCharType="end"/>
      </w:r>
      <w:r w:rsidRPr="006F0F88">
        <w:tab/>
        <w:t>Share of new commercial buildings with electric vehicle charging</w:t>
      </w:r>
      <w:bookmarkEnd w:id="5716"/>
      <w:bookmarkEnd w:id="5717"/>
    </w:p>
    <w:p w14:paraId="1BC27116" w14:textId="77777777" w:rsidR="006568C5" w:rsidRPr="00A55EF4" w:rsidRDefault="006568C5" w:rsidP="006568C5">
      <w:pPr>
        <w:pStyle w:val="Subtitlebox"/>
      </w:pPr>
      <w:r>
        <w:rPr>
          <w:noProof/>
        </w:rPr>
        <w:drawing>
          <wp:inline distT="0" distB="0" distL="0" distR="0" wp14:anchorId="1D77954E" wp14:editId="1049D4A5">
            <wp:extent cx="4846320" cy="2505710"/>
            <wp:effectExtent l="76200" t="76200" r="68580" b="85090"/>
            <wp:docPr id="1008656784" name="Picture 1008656784" descr="Chart 8.9 - Share of new commercial buildings with electric vehicle charg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56784" name="Picture 1008656784" descr="Chart 8.9 - Share of new commercial buildings with electric vehicle chargin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r="3404"/>
                    <a:stretch/>
                  </pic:blipFill>
                  <pic:spPr bwMode="auto">
                    <a:xfrm>
                      <a:off x="0" y="0"/>
                      <a:ext cx="4846320" cy="250571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0D7909EC" w14:textId="77777777" w:rsidR="006568C5" w:rsidRDefault="006568C5" w:rsidP="006568C5">
      <w:pPr>
        <w:pStyle w:val="Source"/>
      </w:pPr>
      <w:r>
        <w:rPr>
          <w:i/>
        </w:rPr>
        <w:t>Data source</w:t>
      </w:r>
      <w:r w:rsidRPr="00A67576">
        <w:rPr>
          <w:i/>
        </w:rPr>
        <w:t>:</w:t>
      </w:r>
      <w:r>
        <w:t xml:space="preserve"> CIE assumptions.</w:t>
      </w:r>
    </w:p>
    <w:p w14:paraId="777E6DA9" w14:textId="1DA640D3" w:rsidR="006568C5" w:rsidRPr="006F0F88" w:rsidRDefault="006568C5" w:rsidP="009B4D09">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w:instrText>
      </w:r>
      <w:fldSimple w:instr=" STYLEREF &quot;Heading 1&quot; \l \n ">
        <w:r w:rsidR="00520F9E">
          <w:rPr>
            <w:noProof/>
          </w:rPr>
          <w:instrText>8</w:instrText>
        </w:r>
      </w:fldSimple>
      <w:r w:rsidRPr="006F0F88">
        <w:instrText xml:space="preserve">." </w:instrText>
      </w:r>
      <w:r w:rsidRPr="006F0F88">
        <w:fldChar w:fldCharType="separate"/>
      </w:r>
      <w:r w:rsidR="00520F9E">
        <w:rPr>
          <w:noProof/>
        </w:rPr>
        <w:instrText>8</w:instrText>
      </w:r>
      <w:r w:rsidR="00520F9E" w:rsidRPr="006F0F88">
        <w:rPr>
          <w:noProof/>
        </w:rPr>
        <w:instrText>.</w:instrText>
      </w:r>
      <w:r w:rsidRPr="006F0F88">
        <w:fldChar w:fldCharType="end"/>
      </w:r>
      <w:r w:rsidRPr="006F0F88">
        <w:instrText>" "</w:instrText>
      </w:r>
      <w:fldSimple w:instr=" STYLEREF &quot;Heading 6&quot; \l \n ">
        <w:r w:rsidRPr="006F0F88">
          <w:instrText>A</w:instrText>
        </w:r>
      </w:fldSimple>
      <w:r w:rsidRPr="006F0F88">
        <w:instrText xml:space="preserve">." </w:instrText>
      </w:r>
      <w:r w:rsidRPr="006F0F88">
        <w:fldChar w:fldCharType="separate"/>
      </w:r>
      <w:r w:rsidR="008C60A3">
        <w:rPr>
          <w:noProof/>
        </w:rPr>
        <w:instrText>8</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520F9E">
        <w:rPr>
          <w:noProof/>
        </w:rPr>
        <w:instrText>10</w:instrText>
      </w:r>
      <w:r w:rsidRPr="006F0F88">
        <w:fldChar w:fldCharType="end"/>
      </w:r>
      <w:r w:rsidRPr="006F0F88">
        <w:instrText xml:space="preserve">" "" </w:instrText>
      </w:r>
      <w:r w:rsidRPr="006F0F88">
        <w:fldChar w:fldCharType="separate"/>
      </w:r>
      <w:bookmarkStart w:id="5718" w:name="_Caption2712"/>
      <w:bookmarkStart w:id="5719" w:name="_Caption9260"/>
      <w:bookmarkStart w:id="5720" w:name="_Caption0606"/>
      <w:bookmarkStart w:id="5721" w:name="_Caption4736"/>
      <w:bookmarkStart w:id="5722" w:name="_Caption3726"/>
      <w:bookmarkStart w:id="5723" w:name="_Caption9608"/>
      <w:bookmarkStart w:id="5724" w:name="_Caption6539"/>
      <w:bookmarkStart w:id="5725" w:name="_Caption4528"/>
      <w:bookmarkStart w:id="5726" w:name="_Caption9249"/>
      <w:bookmarkStart w:id="5727" w:name="_Caption6372"/>
      <w:bookmarkStart w:id="5728" w:name="_Caption2396"/>
      <w:bookmarkStart w:id="5729" w:name="_Caption9413"/>
      <w:bookmarkStart w:id="5730" w:name="_Caption9828"/>
      <w:bookmarkStart w:id="5731" w:name="_Caption1750"/>
      <w:bookmarkStart w:id="5732" w:name="_Caption1493"/>
      <w:bookmarkStart w:id="5733" w:name="_Caption5174"/>
      <w:bookmarkStart w:id="5734" w:name="_Caption9084"/>
      <w:bookmarkStart w:id="5735" w:name="_Caption3230"/>
      <w:bookmarkStart w:id="5736" w:name="_Caption2510"/>
      <w:bookmarkStart w:id="5737" w:name="_Caption8244"/>
      <w:bookmarkStart w:id="5738" w:name="_Caption5793"/>
      <w:bookmarkStart w:id="5739" w:name="_Caption4560"/>
      <w:bookmarkStart w:id="5740" w:name="_Caption2521"/>
      <w:bookmarkStart w:id="5741" w:name="_Caption7960"/>
      <w:bookmarkStart w:id="5742" w:name="_Caption8522"/>
      <w:bookmarkStart w:id="5743" w:name="_Caption7076"/>
      <w:bookmarkStart w:id="5744" w:name="_Caption6832"/>
      <w:bookmarkStart w:id="5745" w:name="_Caption0476"/>
      <w:bookmarkStart w:id="5746" w:name="_Caption6481"/>
      <w:bookmarkStart w:id="5747" w:name="_Caption0653"/>
      <w:bookmarkStart w:id="5748" w:name="_Caption9215"/>
      <w:bookmarkStart w:id="5749" w:name="_Caption1603"/>
      <w:bookmarkStart w:id="5750" w:name="_Caption5034"/>
      <w:bookmarkStart w:id="5751" w:name="_Caption1918"/>
      <w:bookmarkStart w:id="5752" w:name="_Caption3904"/>
      <w:bookmarkStart w:id="5753" w:name="_Caption0296"/>
      <w:bookmarkStart w:id="5754" w:name="_Caption0569"/>
      <w:bookmarkStart w:id="5755" w:name="_Caption9995"/>
      <w:bookmarkStart w:id="5756" w:name="_Caption0435"/>
      <w:bookmarkStart w:id="5757" w:name="_Caption7162"/>
      <w:bookmarkStart w:id="5758" w:name="_Caption0987"/>
      <w:bookmarkStart w:id="5759" w:name="_Caption3159"/>
      <w:bookmarkStart w:id="5760" w:name="_Caption7047"/>
      <w:bookmarkStart w:id="5761" w:name="_Caption7144"/>
      <w:bookmarkStart w:id="5762" w:name="_Caption3055"/>
      <w:bookmarkStart w:id="5763" w:name="_Caption8998"/>
      <w:bookmarkStart w:id="5764" w:name="_Caption5977"/>
      <w:bookmarkStart w:id="5765" w:name="_Caption3832"/>
      <w:bookmarkStart w:id="5766" w:name="_Caption1301"/>
      <w:bookmarkStart w:id="5767" w:name="_Caption4293"/>
      <w:bookmarkStart w:id="5768" w:name="_Caption8843"/>
      <w:bookmarkStart w:id="5769" w:name="_Caption4905"/>
      <w:bookmarkStart w:id="5770" w:name="_Caption0850"/>
      <w:bookmarkStart w:id="5771" w:name="_Caption9213"/>
      <w:bookmarkStart w:id="5772" w:name="_Caption6521"/>
      <w:bookmarkStart w:id="5773" w:name="_Caption2511"/>
      <w:bookmarkStart w:id="5774" w:name="_Caption8804"/>
      <w:bookmarkStart w:id="5775" w:name="_Caption5799"/>
      <w:bookmarkStart w:id="5776" w:name="_Caption4045"/>
      <w:bookmarkStart w:id="5777" w:name="_Caption3929"/>
      <w:bookmarkStart w:id="5778" w:name="_Caption4273"/>
      <w:bookmarkStart w:id="5779" w:name="_Caption8143"/>
      <w:bookmarkStart w:id="5780" w:name="_Caption8106"/>
      <w:bookmarkStart w:id="5781" w:name="_Caption3121"/>
      <w:bookmarkStart w:id="5782" w:name="_Caption2461"/>
      <w:bookmarkStart w:id="5783" w:name="_Caption2249"/>
      <w:bookmarkStart w:id="5784" w:name="_Caption3510"/>
      <w:bookmarkStart w:id="5785" w:name="_Caption4533"/>
      <w:bookmarkStart w:id="5786" w:name="_Caption5330"/>
      <w:bookmarkStart w:id="5787" w:name="_Caption8292"/>
      <w:bookmarkStart w:id="5788" w:name="_Caption9087"/>
      <w:bookmarkStart w:id="5789" w:name="_Caption2393"/>
      <w:bookmarkStart w:id="5790" w:name="_Caption8057"/>
      <w:bookmarkStart w:id="5791" w:name="_Caption7731"/>
      <w:bookmarkStart w:id="5792" w:name="_Caption8742"/>
      <w:bookmarkStart w:id="5793" w:name="_Caption3670"/>
      <w:bookmarkStart w:id="5794" w:name="_Caption7695"/>
      <w:bookmarkStart w:id="5795" w:name="_Caption5932"/>
      <w:bookmarkStart w:id="5796" w:name="_Caption5585"/>
      <w:bookmarkStart w:id="5797" w:name="_Caption2914"/>
      <w:bookmarkStart w:id="5798" w:name="_Caption9897"/>
      <w:bookmarkStart w:id="5799" w:name="_Caption2536"/>
      <w:bookmarkStart w:id="5800" w:name="_Caption0301"/>
      <w:bookmarkStart w:id="5801" w:name="_Caption7022"/>
      <w:bookmarkStart w:id="5802" w:name="_Caption1691"/>
      <w:bookmarkStart w:id="5803" w:name="_Caption1684"/>
      <w:bookmarkStart w:id="5804" w:name="_Caption8272"/>
      <w:bookmarkStart w:id="5805" w:name="_Caption8728"/>
      <w:bookmarkStart w:id="5806" w:name="_Caption1971"/>
      <w:bookmarkStart w:id="5807" w:name="_Caption9188"/>
      <w:bookmarkStart w:id="5808" w:name="_Caption8380"/>
      <w:bookmarkStart w:id="5809" w:name="_Caption8949"/>
      <w:bookmarkStart w:id="5810" w:name="_Caption5468"/>
      <w:bookmarkStart w:id="5811" w:name="_Toc177735199"/>
      <w:bookmarkStart w:id="5812" w:name="_Toc178292634"/>
      <w:r w:rsidR="008C60A3">
        <w:rPr>
          <w:noProof/>
        </w:rPr>
        <w:t>8</w:t>
      </w:r>
      <w:r w:rsidR="008C60A3" w:rsidRPr="006F0F88">
        <w:rPr>
          <w:noProof/>
        </w:rPr>
        <w:t>.</w:t>
      </w:r>
      <w:r w:rsidR="008C60A3">
        <w:rPr>
          <w:noProof/>
        </w:rPr>
        <w:t>10</w:t>
      </w:r>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r w:rsidRPr="006F0F88">
        <w:fldChar w:fldCharType="end"/>
      </w:r>
      <w:r w:rsidRPr="006F0F88">
        <w:tab/>
        <w:t>Share of commercial building stock with electric vehicle charging</w:t>
      </w:r>
      <w:bookmarkEnd w:id="5811"/>
      <w:bookmarkEnd w:id="5812"/>
    </w:p>
    <w:p w14:paraId="4841DECF" w14:textId="77777777" w:rsidR="006568C5" w:rsidRPr="00A55EF4" w:rsidRDefault="006568C5" w:rsidP="006568C5">
      <w:pPr>
        <w:pStyle w:val="Subtitlebox"/>
      </w:pPr>
      <w:r>
        <w:rPr>
          <w:noProof/>
        </w:rPr>
        <w:drawing>
          <wp:inline distT="0" distB="0" distL="0" distR="0" wp14:anchorId="285CD436" wp14:editId="512A8F7C">
            <wp:extent cx="4823460" cy="2505710"/>
            <wp:effectExtent l="76200" t="76200" r="72390" b="85090"/>
            <wp:docPr id="1023832669" name="Picture 1023832669" descr="Chart 8.10 - Share of commercial building stock with electric vehicle charg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832669" name="Picture 1023832669" descr="Chart 8.10 - Share of commercial building stock with electric vehicle chargin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r="3861"/>
                    <a:stretch/>
                  </pic:blipFill>
                  <pic:spPr bwMode="auto">
                    <a:xfrm>
                      <a:off x="0" y="0"/>
                      <a:ext cx="4823460" cy="250571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220D9320" w14:textId="77777777" w:rsidR="006568C5" w:rsidRDefault="006568C5" w:rsidP="006568C5">
      <w:pPr>
        <w:pStyle w:val="Source"/>
      </w:pPr>
      <w:r>
        <w:rPr>
          <w:i/>
        </w:rPr>
        <w:t>Data source</w:t>
      </w:r>
      <w:r w:rsidRPr="00A67576">
        <w:rPr>
          <w:i/>
        </w:rPr>
        <w:t>:</w:t>
      </w:r>
      <w:r>
        <w:t xml:space="preserve"> CIE assumptions.</w:t>
      </w:r>
    </w:p>
    <w:p w14:paraId="7DD209FD" w14:textId="65478453" w:rsidR="006568C5" w:rsidRDefault="006568C5" w:rsidP="006568C5">
      <w:pPr>
        <w:pStyle w:val="BodyText"/>
        <w:rPr>
          <w:lang w:bidi="fa-IR"/>
        </w:rPr>
      </w:pPr>
      <w:r>
        <w:rPr>
          <w:lang w:bidi="fa-IR"/>
        </w:rPr>
        <w:t xml:space="preserve">The CIE’s 2019 study of the demand for EVs found that the value placed by consumers on this availability depends on the battery range of the EV. We therefore need to make assumptions about battery range and how it will change over the next 60 years. Battery range varies significantly across EV models currently on market. Vehicles with longer range tend to be more expensive. Early adopters of </w:t>
      </w:r>
      <w:r w:rsidR="00E401F3">
        <w:rPr>
          <w:lang w:bidi="fa-IR"/>
        </w:rPr>
        <w:t>EV</w:t>
      </w:r>
      <w:r>
        <w:rPr>
          <w:lang w:bidi="fa-IR"/>
        </w:rPr>
        <w:t>s have been wealthier than average and the dominance of vehicles, like Teslas, with range greater than 400 km may diminish as lower-income households begin to substitute to EVs. We therefore assume battery range of 300 km in 2025. This range is similar to that offered by the base models of the increasingly popular BYD Atto 3 and the Hyundai Kona. We assume range will increase by 2 km every year over the projection to 420 km by 2085. We also assume battery range is unaffected by the policy options.</w:t>
      </w:r>
    </w:p>
    <w:p w14:paraId="7DD6272B" w14:textId="77777777" w:rsidR="006568C5" w:rsidRDefault="006568C5" w:rsidP="006568C5">
      <w:pPr>
        <w:pStyle w:val="Heading3"/>
        <w:rPr>
          <w:lang w:bidi="fa-IR"/>
        </w:rPr>
      </w:pPr>
      <w:r>
        <w:rPr>
          <w:lang w:bidi="fa-IR"/>
        </w:rPr>
        <w:t>Model of vehicle demand</w:t>
      </w:r>
    </w:p>
    <w:p w14:paraId="1BA98AFE" w14:textId="77777777" w:rsidR="006568C5" w:rsidRDefault="006568C5" w:rsidP="006568C5">
      <w:pPr>
        <w:pStyle w:val="BodyText"/>
        <w:rPr>
          <w:lang w:bidi="fa-IR"/>
        </w:rPr>
      </w:pPr>
      <w:r>
        <w:rPr>
          <w:lang w:bidi="fa-IR"/>
        </w:rPr>
        <w:t xml:space="preserve">We constructed utility functions for vehicle consumers for each year under the base case and under the policy options using the main model in the CIE’s 2019 choice study. The functions comprised coefficients and levels for the two attributes discussed in the section above — availability of destination charging and battery range — and a constant solved such that the market share predicted by the model for each year in the base case was equal to the CSIRO EV sales projections. These models were used to estimate both the value placed by consumers on increased availability of destination charging and the change in the EV market share under the policy options. Market share is estimated as </w:t>
      </w:r>
    </w:p>
    <w:p w14:paraId="5245FB2E" w14:textId="77777777" w:rsidR="006568C5" w:rsidRPr="00A36640" w:rsidRDefault="006568C5" w:rsidP="006568C5">
      <w:pPr>
        <w:pStyle w:val="BodyText"/>
        <w:rPr>
          <w:lang w:bidi="fa-IR"/>
        </w:rPr>
      </w:pPr>
      <m:oMathPara>
        <m:oMath>
          <m:r>
            <w:rPr>
              <w:rFonts w:ascii="Cambria Math" w:hAnsi="Cambria Math"/>
              <w:lang w:bidi="fa-IR"/>
            </w:rPr>
            <m:t>Pr=</m:t>
          </m:r>
          <m:f>
            <m:fPr>
              <m:ctrlPr>
                <w:rPr>
                  <w:rFonts w:ascii="Cambria Math" w:hAnsi="Cambria Math"/>
                  <w:i/>
                  <w:lang w:bidi="fa-IR"/>
                </w:rPr>
              </m:ctrlPr>
            </m:fPr>
            <m:num>
              <m:sSup>
                <m:sSupPr>
                  <m:ctrlPr>
                    <w:rPr>
                      <w:rFonts w:ascii="Cambria Math" w:hAnsi="Cambria Math"/>
                      <w:i/>
                      <w:lang w:bidi="fa-IR"/>
                    </w:rPr>
                  </m:ctrlPr>
                </m:sSupPr>
                <m:e>
                  <m:r>
                    <w:rPr>
                      <w:rFonts w:ascii="Cambria Math" w:hAnsi="Cambria Math"/>
                      <w:lang w:bidi="fa-IR"/>
                    </w:rPr>
                    <m:t>e</m:t>
                  </m:r>
                </m:e>
                <m:sup>
                  <m:r>
                    <w:rPr>
                      <w:rFonts w:ascii="Cambria Math" w:hAnsi="Cambria Math"/>
                      <w:lang w:bidi="fa-IR"/>
                    </w:rPr>
                    <m:t>βX</m:t>
                  </m:r>
                </m:sup>
              </m:sSup>
            </m:num>
            <m:den>
              <m:sSup>
                <m:sSupPr>
                  <m:ctrlPr>
                    <w:rPr>
                      <w:rFonts w:ascii="Cambria Math" w:hAnsi="Cambria Math"/>
                      <w:i/>
                      <w:lang w:bidi="fa-IR"/>
                    </w:rPr>
                  </m:ctrlPr>
                </m:sSupPr>
                <m:e>
                  <m:r>
                    <w:rPr>
                      <w:rFonts w:ascii="Cambria Math" w:hAnsi="Cambria Math"/>
                      <w:lang w:bidi="fa-IR"/>
                    </w:rPr>
                    <m:t>e</m:t>
                  </m:r>
                </m:e>
                <m:sup>
                  <m:r>
                    <w:rPr>
                      <w:rFonts w:ascii="Cambria Math" w:hAnsi="Cambria Math"/>
                      <w:lang w:bidi="fa-IR"/>
                    </w:rPr>
                    <m:t>βX</m:t>
                  </m:r>
                </m:sup>
              </m:sSup>
              <m:r>
                <w:rPr>
                  <w:rFonts w:ascii="Cambria Math" w:hAnsi="Cambria Math"/>
                  <w:lang w:bidi="fa-IR"/>
                </w:rPr>
                <m:t>+</m:t>
              </m:r>
              <m:sSup>
                <m:sSupPr>
                  <m:ctrlPr>
                    <w:rPr>
                      <w:rFonts w:ascii="Cambria Math" w:hAnsi="Cambria Math"/>
                      <w:i/>
                      <w:lang w:bidi="fa-IR"/>
                    </w:rPr>
                  </m:ctrlPr>
                </m:sSupPr>
                <m:e>
                  <m:r>
                    <w:rPr>
                      <w:rFonts w:ascii="Cambria Math" w:hAnsi="Cambria Math"/>
                      <w:lang w:bidi="fa-IR"/>
                    </w:rPr>
                    <m:t>e</m:t>
                  </m:r>
                </m:e>
                <m:sup>
                  <m:r>
                    <w:rPr>
                      <w:rFonts w:ascii="Cambria Math" w:hAnsi="Cambria Math"/>
                      <w:lang w:bidi="fa-IR"/>
                    </w:rPr>
                    <m:t>-1.5</m:t>
                  </m:r>
                </m:sup>
              </m:sSup>
            </m:den>
          </m:f>
        </m:oMath>
      </m:oMathPara>
    </w:p>
    <w:p w14:paraId="61C1E36F" w14:textId="77777777" w:rsidR="006568C5" w:rsidRDefault="006568C5" w:rsidP="006568C5">
      <w:pPr>
        <w:pStyle w:val="BodyText"/>
        <w:rPr>
          <w:lang w:bidi="fa-IR"/>
        </w:rPr>
      </w:pPr>
      <w:r>
        <w:rPr>
          <w:lang w:bidi="fa-IR"/>
        </w:rPr>
        <w:t xml:space="preserve">where </w:t>
      </w:r>
      <w:r w:rsidRPr="00EA1A04">
        <w:rPr>
          <w:rFonts w:ascii="Times New Roman" w:hAnsi="Times New Roman"/>
          <w:i/>
          <w:iCs/>
          <w:lang w:bidi="fa-IR"/>
        </w:rPr>
        <w:t>β</w:t>
      </w:r>
      <w:r w:rsidRPr="00EA1A04">
        <w:rPr>
          <w:i/>
          <w:iCs/>
          <w:lang w:bidi="fa-IR"/>
        </w:rPr>
        <w:t>X</w:t>
      </w:r>
      <w:r>
        <w:rPr>
          <w:lang w:bidi="fa-IR"/>
        </w:rPr>
        <w:t xml:space="preserve"> is the sumproduct of the coefficients and levels from the model below.</w:t>
      </w:r>
    </w:p>
    <w:p w14:paraId="663EFD5A" w14:textId="73638AD5" w:rsidR="006568C5" w:rsidRPr="006F0F88" w:rsidRDefault="006568C5" w:rsidP="009B4D09">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w:instrText>
      </w:r>
      <w:fldSimple w:instr=" STYLEREF &quot;Heading 1&quot; \l \n ">
        <w:r w:rsidR="00520F9E">
          <w:rPr>
            <w:noProof/>
          </w:rPr>
          <w:instrText>8</w:instrText>
        </w:r>
      </w:fldSimple>
      <w:r w:rsidRPr="006F0F88">
        <w:instrText xml:space="preserve">." </w:instrText>
      </w:r>
      <w:r w:rsidRPr="006F0F88">
        <w:fldChar w:fldCharType="separate"/>
      </w:r>
      <w:r w:rsidR="00520F9E">
        <w:rPr>
          <w:noProof/>
        </w:rPr>
        <w:instrText>8</w:instrText>
      </w:r>
      <w:r w:rsidR="00520F9E"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8</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520F9E">
        <w:rPr>
          <w:noProof/>
        </w:rPr>
        <w:instrText>11</w:instrText>
      </w:r>
      <w:r w:rsidRPr="006F0F88">
        <w:fldChar w:fldCharType="end"/>
      </w:r>
      <w:r w:rsidRPr="006F0F88">
        <w:instrText xml:space="preserve">" "" </w:instrText>
      </w:r>
      <w:r w:rsidRPr="006F0F88">
        <w:fldChar w:fldCharType="separate"/>
      </w:r>
      <w:bookmarkStart w:id="5813" w:name="_Caption5023"/>
      <w:bookmarkStart w:id="5814" w:name="_Caption6030"/>
      <w:bookmarkStart w:id="5815" w:name="_Caption0285"/>
      <w:bookmarkStart w:id="5816" w:name="_Caption5123"/>
      <w:bookmarkStart w:id="5817" w:name="_Caption0495"/>
      <w:bookmarkStart w:id="5818" w:name="_Caption9328"/>
      <w:bookmarkStart w:id="5819" w:name="_Caption5234"/>
      <w:bookmarkStart w:id="5820" w:name="_Caption8171"/>
      <w:bookmarkStart w:id="5821" w:name="_Caption0117"/>
      <w:bookmarkStart w:id="5822" w:name="_Caption0964"/>
      <w:bookmarkStart w:id="5823" w:name="_Caption0621"/>
      <w:bookmarkStart w:id="5824" w:name="_Caption6957"/>
      <w:bookmarkStart w:id="5825" w:name="_Caption9508"/>
      <w:bookmarkStart w:id="5826" w:name="_Caption6517"/>
      <w:bookmarkStart w:id="5827" w:name="_Caption0185"/>
      <w:bookmarkStart w:id="5828" w:name="_Caption3251"/>
      <w:bookmarkStart w:id="5829" w:name="_Caption5773"/>
      <w:bookmarkStart w:id="5830" w:name="_Caption3093"/>
      <w:bookmarkStart w:id="5831" w:name="_Caption4524"/>
      <w:bookmarkStart w:id="5832" w:name="_Caption8623"/>
      <w:bookmarkStart w:id="5833" w:name="_Caption9865"/>
      <w:bookmarkStart w:id="5834" w:name="_Caption4191"/>
      <w:bookmarkStart w:id="5835" w:name="_Caption5314"/>
      <w:bookmarkStart w:id="5836" w:name="_Caption8186"/>
      <w:bookmarkStart w:id="5837" w:name="_Caption6581"/>
      <w:bookmarkStart w:id="5838" w:name="_Caption7221"/>
      <w:bookmarkStart w:id="5839" w:name="_Caption3709"/>
      <w:bookmarkStart w:id="5840" w:name="_Caption0015"/>
      <w:bookmarkStart w:id="5841" w:name="_Caption5647"/>
      <w:bookmarkStart w:id="5842" w:name="_Caption7580"/>
      <w:bookmarkStart w:id="5843" w:name="_Caption6871"/>
      <w:bookmarkStart w:id="5844" w:name="_Caption4535"/>
      <w:bookmarkStart w:id="5845" w:name="_Caption5880"/>
      <w:bookmarkStart w:id="5846" w:name="_Caption6888"/>
      <w:bookmarkStart w:id="5847" w:name="_Caption5233"/>
      <w:bookmarkStart w:id="5848" w:name="_Caption3815"/>
      <w:bookmarkStart w:id="5849" w:name="_Caption8858"/>
      <w:bookmarkStart w:id="5850" w:name="_Caption7904"/>
      <w:bookmarkStart w:id="5851" w:name="_Caption7283"/>
      <w:bookmarkStart w:id="5852" w:name="_Caption0448"/>
      <w:bookmarkStart w:id="5853" w:name="_Caption6716"/>
      <w:bookmarkStart w:id="5854" w:name="_Caption6696"/>
      <w:bookmarkStart w:id="5855" w:name="_Caption3851"/>
      <w:bookmarkStart w:id="5856" w:name="_Caption9919"/>
      <w:bookmarkStart w:id="5857" w:name="_Caption9679"/>
      <w:bookmarkStart w:id="5858" w:name="_Caption9527"/>
      <w:bookmarkStart w:id="5859" w:name="_Caption2214"/>
      <w:bookmarkStart w:id="5860" w:name="_Caption4875"/>
      <w:bookmarkStart w:id="5861" w:name="_Caption7014"/>
      <w:bookmarkStart w:id="5862" w:name="_Caption9942"/>
      <w:bookmarkStart w:id="5863" w:name="_Caption1652"/>
      <w:bookmarkStart w:id="5864" w:name="_Caption8491"/>
      <w:bookmarkStart w:id="5865" w:name="_Caption1062"/>
      <w:bookmarkStart w:id="5866" w:name="_Caption7155"/>
      <w:bookmarkStart w:id="5867" w:name="_Caption2691"/>
      <w:bookmarkStart w:id="5868" w:name="_Caption0965"/>
      <w:bookmarkStart w:id="5869" w:name="_Caption4250"/>
      <w:bookmarkStart w:id="5870" w:name="_Caption6894"/>
      <w:bookmarkStart w:id="5871" w:name="_Caption7619"/>
      <w:bookmarkStart w:id="5872" w:name="_Caption7324"/>
      <w:bookmarkStart w:id="5873" w:name="_Caption7390"/>
      <w:bookmarkStart w:id="5874" w:name="_Caption1287"/>
      <w:bookmarkStart w:id="5875" w:name="_Caption1793"/>
      <w:bookmarkStart w:id="5876" w:name="_Caption6649"/>
      <w:bookmarkStart w:id="5877" w:name="_Caption7840"/>
      <w:bookmarkStart w:id="5878" w:name="_Caption2686"/>
      <w:bookmarkStart w:id="5879" w:name="_Caption7452"/>
      <w:bookmarkStart w:id="5880" w:name="_Caption0095"/>
      <w:bookmarkStart w:id="5881" w:name="_Caption9996"/>
      <w:bookmarkStart w:id="5882" w:name="_Caption5304"/>
      <w:bookmarkStart w:id="5883" w:name="_Caption6833"/>
      <w:bookmarkStart w:id="5884" w:name="_Caption4565"/>
      <w:bookmarkStart w:id="5885" w:name="_Caption3898"/>
      <w:bookmarkStart w:id="5886" w:name="_Caption3813"/>
      <w:bookmarkStart w:id="5887" w:name="_Caption4304"/>
      <w:bookmarkStart w:id="5888" w:name="_Caption6718"/>
      <w:bookmarkStart w:id="5889" w:name="_Caption9934"/>
      <w:bookmarkStart w:id="5890" w:name="_Caption6594"/>
      <w:bookmarkStart w:id="5891" w:name="_Caption2612"/>
      <w:bookmarkStart w:id="5892" w:name="_Caption0043"/>
      <w:bookmarkStart w:id="5893" w:name="_Caption6668"/>
      <w:bookmarkStart w:id="5894" w:name="_Caption2537"/>
      <w:bookmarkStart w:id="5895" w:name="_Caption9902"/>
      <w:bookmarkStart w:id="5896" w:name="_Caption7474"/>
      <w:bookmarkStart w:id="5897" w:name="_Caption1836"/>
      <w:bookmarkStart w:id="5898" w:name="_Caption9710"/>
      <w:bookmarkStart w:id="5899" w:name="_Caption1930"/>
      <w:bookmarkStart w:id="5900" w:name="_Caption9495"/>
      <w:bookmarkStart w:id="5901" w:name="_Caption4846"/>
      <w:bookmarkStart w:id="5902" w:name="_Caption3457"/>
      <w:bookmarkStart w:id="5903" w:name="_Caption3710"/>
      <w:bookmarkStart w:id="5904" w:name="_Caption5776"/>
      <w:bookmarkStart w:id="5905" w:name="_Caption8907"/>
      <w:bookmarkStart w:id="5906" w:name="_Caption8621"/>
      <w:bookmarkStart w:id="5907" w:name="_Caption0264"/>
      <w:bookmarkStart w:id="5908" w:name="_Caption1370"/>
      <w:bookmarkStart w:id="5909" w:name="_Caption5810"/>
      <w:bookmarkStart w:id="5910" w:name="_Caption0243"/>
      <w:bookmarkStart w:id="5911" w:name="_Caption0871"/>
      <w:bookmarkStart w:id="5912" w:name="_Caption3219"/>
      <w:bookmarkStart w:id="5913" w:name="_Toc177735200"/>
      <w:bookmarkStart w:id="5914" w:name="_Toc178292635"/>
      <w:r w:rsidR="008C60A3">
        <w:rPr>
          <w:noProof/>
        </w:rPr>
        <w:t>8</w:t>
      </w:r>
      <w:r w:rsidR="008C60A3" w:rsidRPr="006F0F88">
        <w:rPr>
          <w:noProof/>
        </w:rPr>
        <w:t>.</w:t>
      </w:r>
      <w:r w:rsidR="008C60A3">
        <w:rPr>
          <w:noProof/>
        </w:rPr>
        <w:t>11</w:t>
      </w:r>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r w:rsidRPr="006F0F88">
        <w:fldChar w:fldCharType="end"/>
      </w:r>
      <w:r w:rsidRPr="006F0F88">
        <w:tab/>
        <w:t>Model of vehicle demand</w:t>
      </w:r>
      <w:bookmarkEnd w:id="5913"/>
      <w:bookmarkEnd w:id="5914"/>
    </w:p>
    <w:tbl>
      <w:tblPr>
        <w:tblW w:w="7938" w:type="dxa"/>
        <w:tblLayout w:type="fixed"/>
        <w:tblLook w:val="0000" w:firstRow="0" w:lastRow="0" w:firstColumn="0" w:lastColumn="0" w:noHBand="0" w:noVBand="0"/>
        <w:tblCaption w:val="Table 6.23 - Model of vehicle demand"/>
      </w:tblPr>
      <w:tblGrid>
        <w:gridCol w:w="3969"/>
        <w:gridCol w:w="3969"/>
      </w:tblGrid>
      <w:tr w:rsidR="006568C5" w14:paraId="27896700" w14:textId="77777777">
        <w:trPr>
          <w:trHeight w:val="490"/>
        </w:trPr>
        <w:tc>
          <w:tcPr>
            <w:tcW w:w="3969" w:type="dxa"/>
            <w:shd w:val="clear" w:color="auto" w:fill="6F6652"/>
            <w:tcMar>
              <w:left w:w="57" w:type="dxa"/>
              <w:right w:w="57" w:type="dxa"/>
            </w:tcMar>
          </w:tcPr>
          <w:p w14:paraId="198A5258" w14:textId="77777777" w:rsidR="006568C5" w:rsidRDefault="006568C5">
            <w:pPr>
              <w:pStyle w:val="TableDataColumnHeading"/>
              <w:jc w:val="left"/>
            </w:pPr>
            <w:r>
              <w:t>Variable</w:t>
            </w:r>
          </w:p>
        </w:tc>
        <w:tc>
          <w:tcPr>
            <w:tcW w:w="3969" w:type="dxa"/>
            <w:shd w:val="clear" w:color="auto" w:fill="6F6652"/>
            <w:tcMar>
              <w:left w:w="57" w:type="dxa"/>
              <w:right w:w="57" w:type="dxa"/>
            </w:tcMar>
          </w:tcPr>
          <w:p w14:paraId="6A85BBFA" w14:textId="77777777" w:rsidR="006568C5" w:rsidRDefault="006568C5">
            <w:pPr>
              <w:pStyle w:val="TableDataColumnHeading"/>
            </w:pPr>
            <w:r>
              <w:t>Coefficient</w:t>
            </w:r>
          </w:p>
        </w:tc>
      </w:tr>
      <w:tr w:rsidR="006568C5" w14:paraId="7D62FC5A" w14:textId="77777777">
        <w:trPr>
          <w:trHeight w:val="245"/>
        </w:trPr>
        <w:tc>
          <w:tcPr>
            <w:tcW w:w="39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41242B" w14:textId="77777777" w:rsidR="006568C5" w:rsidRDefault="006568C5">
            <w:pPr>
              <w:pStyle w:val="TableDataEntries"/>
              <w:jc w:val="left"/>
            </w:pPr>
            <w:r>
              <w:t>Constant</w:t>
            </w:r>
          </w:p>
        </w:tc>
        <w:tc>
          <w:tcPr>
            <w:tcW w:w="39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715762A" w14:textId="77777777" w:rsidR="006568C5" w:rsidRDefault="006568C5">
            <w:pPr>
              <w:pStyle w:val="TableDataEntries"/>
            </w:pPr>
            <w:r>
              <w:t>Solved for each year such that market share equals the CSIRO projection, where the assumed utility from an alternative non-EV is -1.5</w:t>
            </w:r>
          </w:p>
        </w:tc>
      </w:tr>
      <w:tr w:rsidR="006568C5" w14:paraId="344EA0D7" w14:textId="77777777">
        <w:trPr>
          <w:trHeight w:val="245"/>
        </w:trPr>
        <w:tc>
          <w:tcPr>
            <w:tcW w:w="39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977F364" w14:textId="77777777" w:rsidR="006568C5" w:rsidRDefault="006568C5">
            <w:pPr>
              <w:pStyle w:val="TableDataEntries"/>
              <w:jc w:val="left"/>
            </w:pPr>
            <w:r>
              <w:t>Availability of destination charging (proportion*100)</w:t>
            </w:r>
          </w:p>
        </w:tc>
        <w:tc>
          <w:tcPr>
            <w:tcW w:w="39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9C13657" w14:textId="77777777" w:rsidR="006568C5" w:rsidRDefault="006568C5">
            <w:pPr>
              <w:pStyle w:val="TableDataEntries"/>
            </w:pPr>
            <w:r w:rsidRPr="008A0A3B">
              <w:t>0.0086966</w:t>
            </w:r>
          </w:p>
        </w:tc>
      </w:tr>
      <w:tr w:rsidR="006568C5" w14:paraId="1FB417CA" w14:textId="77777777">
        <w:trPr>
          <w:trHeight w:val="245"/>
        </w:trPr>
        <w:tc>
          <w:tcPr>
            <w:tcW w:w="3969" w:type="dxa"/>
            <w:tcBorders>
              <w:top w:val="single" w:sz="8" w:space="0" w:color="FFFFFF" w:themeColor="background1"/>
              <w:bottom w:val="single" w:sz="4" w:space="0" w:color="auto"/>
            </w:tcBorders>
            <w:shd w:val="clear" w:color="auto" w:fill="E9E8E5" w:themeFill="background2"/>
            <w:tcMar>
              <w:left w:w="57" w:type="dxa"/>
              <w:right w:w="57" w:type="dxa"/>
            </w:tcMar>
          </w:tcPr>
          <w:p w14:paraId="477D2DE6" w14:textId="77777777" w:rsidR="006568C5" w:rsidRDefault="006568C5">
            <w:pPr>
              <w:pStyle w:val="TableDataEntries"/>
              <w:jc w:val="left"/>
            </w:pPr>
            <w:r>
              <w:t>Log of battery range (km) * availability of destination charging (proportion*100)</w:t>
            </w:r>
          </w:p>
        </w:tc>
        <w:tc>
          <w:tcPr>
            <w:tcW w:w="3969" w:type="dxa"/>
            <w:tcBorders>
              <w:top w:val="single" w:sz="8" w:space="0" w:color="FFFFFF" w:themeColor="background1"/>
              <w:bottom w:val="single" w:sz="4" w:space="0" w:color="auto"/>
            </w:tcBorders>
            <w:shd w:val="clear" w:color="auto" w:fill="E9E8E5" w:themeFill="background2"/>
            <w:tcMar>
              <w:left w:w="57" w:type="dxa"/>
              <w:right w:w="57" w:type="dxa"/>
            </w:tcMar>
          </w:tcPr>
          <w:p w14:paraId="2856A992" w14:textId="77777777" w:rsidR="006568C5" w:rsidRDefault="006568C5">
            <w:pPr>
              <w:pStyle w:val="TableDataEntries"/>
            </w:pPr>
            <w:r w:rsidRPr="008A0A3B">
              <w:t>-1.432669</w:t>
            </w:r>
          </w:p>
        </w:tc>
      </w:tr>
    </w:tbl>
    <w:p w14:paraId="5B015A60" w14:textId="77777777" w:rsidR="006568C5" w:rsidRDefault="006568C5" w:rsidP="006568C5">
      <w:pPr>
        <w:pStyle w:val="Note"/>
        <w:rPr>
          <w:lang w:bidi="fa-IR"/>
        </w:rPr>
      </w:pPr>
      <w:r w:rsidRPr="007D1B4F">
        <w:rPr>
          <w:i/>
        </w:rPr>
        <w:t>Note:</w:t>
      </w:r>
      <w:r>
        <w:rPr>
          <w:i/>
        </w:rPr>
        <w:t xml:space="preserve"> Dependent variable is utility. The price coefficient in the model is </w:t>
      </w:r>
      <w:r w:rsidRPr="005F435C">
        <w:rPr>
          <w:i/>
        </w:rPr>
        <w:t>-0.0397502</w:t>
      </w:r>
      <w:r>
        <w:rPr>
          <w:i/>
        </w:rPr>
        <w:t>. It is included as part of the constant here but used elsewhere to calculate willingness to pay.</w:t>
      </w:r>
    </w:p>
    <w:p w14:paraId="5DF50557" w14:textId="007126A3" w:rsidR="006568C5" w:rsidRDefault="006568C5" w:rsidP="006568C5">
      <w:pPr>
        <w:pStyle w:val="Source"/>
        <w:rPr>
          <w:lang w:bidi="fa-IR"/>
        </w:rPr>
      </w:pPr>
      <w:r w:rsidRPr="00CF03A6">
        <w:rPr>
          <w:i/>
          <w:lang w:bidi="fa-IR"/>
        </w:rPr>
        <w:t>Source:</w:t>
      </w:r>
      <w:r>
        <w:rPr>
          <w:lang w:bidi="fa-IR"/>
        </w:rPr>
        <w:t xml:space="preserve"> CIE 2019. Demand for </w:t>
      </w:r>
      <w:r w:rsidR="00DD6C8C">
        <w:rPr>
          <w:lang w:bidi="fa-IR"/>
        </w:rPr>
        <w:t>EV</w:t>
      </w:r>
      <w:r>
        <w:rPr>
          <w:lang w:bidi="fa-IR"/>
        </w:rPr>
        <w:t>s. A discrete choice survey. Final report for Australian Automobile Association. 22 January.</w:t>
      </w:r>
    </w:p>
    <w:p w14:paraId="1BDACD19" w14:textId="77777777" w:rsidR="006568C5" w:rsidRPr="006D5A58" w:rsidRDefault="006568C5" w:rsidP="006568C5">
      <w:pPr>
        <w:pStyle w:val="BodyText"/>
        <w:rPr>
          <w:lang w:eastAsia="en-US" w:bidi="fa-IR"/>
        </w:rPr>
      </w:pPr>
      <w:r>
        <w:rPr>
          <w:lang w:eastAsia="en-US" w:bidi="fa-IR"/>
        </w:rPr>
        <w:t>This is a model of average preferences to be aggregated over all consumers. Some consumers may place little or no value on destination charging. Others will place a high value on destination charging — for example, consumers who are unable to charge at home. All of these consumers are included in the estimation of this model of average preferences.</w:t>
      </w:r>
    </w:p>
    <w:p w14:paraId="33FB008A" w14:textId="77777777" w:rsidR="006568C5" w:rsidRDefault="006568C5" w:rsidP="006568C5">
      <w:pPr>
        <w:pStyle w:val="Heading3"/>
        <w:rPr>
          <w:lang w:bidi="fa-IR"/>
        </w:rPr>
      </w:pPr>
      <w:r>
        <w:rPr>
          <w:lang w:bidi="fa-IR"/>
        </w:rPr>
        <w:t>Vehicle projections under policy options</w:t>
      </w:r>
    </w:p>
    <w:p w14:paraId="3F507A69" w14:textId="77777777" w:rsidR="006568C5" w:rsidRDefault="006568C5" w:rsidP="006568C5">
      <w:pPr>
        <w:pStyle w:val="BodyText"/>
        <w:rPr>
          <w:lang w:bidi="fa-IR"/>
        </w:rPr>
      </w:pPr>
      <w:r>
        <w:rPr>
          <w:lang w:bidi="fa-IR"/>
        </w:rPr>
        <w:t>The demand for EVs induced by the policy options increases to around 1350 vehicles per year in 2033 before declining due to forecast improvements in battery range.</w:t>
      </w:r>
    </w:p>
    <w:p w14:paraId="0D74E48A" w14:textId="0C357669" w:rsidR="006568C5" w:rsidRPr="006F0F88" w:rsidRDefault="006568C5" w:rsidP="009B4D09">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w:instrText>
      </w:r>
      <w:fldSimple w:instr=" STYLEREF &quot;Heading 1&quot; \l \n ">
        <w:r w:rsidR="00520F9E">
          <w:rPr>
            <w:noProof/>
          </w:rPr>
          <w:instrText>8</w:instrText>
        </w:r>
      </w:fldSimple>
      <w:r w:rsidRPr="006F0F88">
        <w:instrText xml:space="preserve">." </w:instrText>
      </w:r>
      <w:r w:rsidRPr="006F0F88">
        <w:fldChar w:fldCharType="separate"/>
      </w:r>
      <w:r w:rsidR="00520F9E">
        <w:rPr>
          <w:noProof/>
        </w:rPr>
        <w:instrText>8</w:instrText>
      </w:r>
      <w:r w:rsidR="00520F9E" w:rsidRPr="006F0F88">
        <w:rPr>
          <w:noProof/>
        </w:rPr>
        <w:instrText>.</w:instrText>
      </w:r>
      <w:r w:rsidRPr="006F0F88">
        <w:fldChar w:fldCharType="end"/>
      </w:r>
      <w:r w:rsidRPr="006F0F88">
        <w:instrText>" "</w:instrText>
      </w:r>
      <w:fldSimple w:instr=" STYLEREF &quot;Heading 6&quot; \l \n ">
        <w:r w:rsidRPr="006F0F88">
          <w:instrText>A</w:instrText>
        </w:r>
      </w:fldSimple>
      <w:r w:rsidRPr="006F0F88">
        <w:instrText xml:space="preserve">." </w:instrText>
      </w:r>
      <w:r w:rsidRPr="006F0F88">
        <w:fldChar w:fldCharType="separate"/>
      </w:r>
      <w:r w:rsidR="008C60A3">
        <w:rPr>
          <w:noProof/>
        </w:rPr>
        <w:instrText>8</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520F9E">
        <w:rPr>
          <w:noProof/>
        </w:rPr>
        <w:instrText>12</w:instrText>
      </w:r>
      <w:r w:rsidRPr="006F0F88">
        <w:fldChar w:fldCharType="end"/>
      </w:r>
      <w:r w:rsidRPr="006F0F88">
        <w:instrText xml:space="preserve">" "" </w:instrText>
      </w:r>
      <w:r w:rsidRPr="006F0F88">
        <w:fldChar w:fldCharType="separate"/>
      </w:r>
      <w:bookmarkStart w:id="5915" w:name="_Caption9723"/>
      <w:bookmarkStart w:id="5916" w:name="_Caption9194"/>
      <w:bookmarkStart w:id="5917" w:name="_Caption8363"/>
      <w:bookmarkStart w:id="5918" w:name="_Caption1038"/>
      <w:bookmarkStart w:id="5919" w:name="_Caption1737"/>
      <w:bookmarkStart w:id="5920" w:name="_Caption6724"/>
      <w:bookmarkStart w:id="5921" w:name="_Caption7478"/>
      <w:bookmarkStart w:id="5922" w:name="_Caption5368"/>
      <w:bookmarkStart w:id="5923" w:name="_Caption8794"/>
      <w:bookmarkStart w:id="5924" w:name="_Caption2780"/>
      <w:bookmarkStart w:id="5925" w:name="_Caption5066"/>
      <w:bookmarkStart w:id="5926" w:name="_Caption3859"/>
      <w:bookmarkStart w:id="5927" w:name="_Caption7626"/>
      <w:bookmarkStart w:id="5928" w:name="_Caption2016"/>
      <w:bookmarkStart w:id="5929" w:name="_Caption0318"/>
      <w:bookmarkStart w:id="5930" w:name="_Caption3292"/>
      <w:bookmarkStart w:id="5931" w:name="_Caption8985"/>
      <w:bookmarkStart w:id="5932" w:name="_Caption9531"/>
      <w:bookmarkStart w:id="5933" w:name="_Caption1467"/>
      <w:bookmarkStart w:id="5934" w:name="_Caption2538"/>
      <w:bookmarkStart w:id="5935" w:name="_Caption8867"/>
      <w:bookmarkStart w:id="5936" w:name="_Caption1703"/>
      <w:bookmarkStart w:id="5937" w:name="_Caption7372"/>
      <w:bookmarkStart w:id="5938" w:name="_Caption7609"/>
      <w:bookmarkStart w:id="5939" w:name="_Caption9367"/>
      <w:bookmarkStart w:id="5940" w:name="_Caption8023"/>
      <w:bookmarkStart w:id="5941" w:name="_Caption5805"/>
      <w:bookmarkStart w:id="5942" w:name="_Caption3154"/>
      <w:bookmarkStart w:id="5943" w:name="_Caption9880"/>
      <w:bookmarkStart w:id="5944" w:name="_Caption2843"/>
      <w:bookmarkStart w:id="5945" w:name="_Caption3958"/>
      <w:bookmarkStart w:id="5946" w:name="_Caption2576"/>
      <w:bookmarkStart w:id="5947" w:name="_Caption6470"/>
      <w:bookmarkStart w:id="5948" w:name="_Caption6568"/>
      <w:bookmarkStart w:id="5949" w:name="_Caption1902"/>
      <w:bookmarkStart w:id="5950" w:name="_Caption3098"/>
      <w:bookmarkStart w:id="5951" w:name="_Caption2484"/>
      <w:bookmarkStart w:id="5952" w:name="_Caption1963"/>
      <w:bookmarkStart w:id="5953" w:name="_Caption9018"/>
      <w:bookmarkStart w:id="5954" w:name="_Caption4400"/>
      <w:bookmarkStart w:id="5955" w:name="_Caption5879"/>
      <w:bookmarkStart w:id="5956" w:name="_Caption1328"/>
      <w:bookmarkStart w:id="5957" w:name="_Caption4726"/>
      <w:bookmarkStart w:id="5958" w:name="_Caption2604"/>
      <w:bookmarkStart w:id="5959" w:name="_Caption4547"/>
      <w:bookmarkStart w:id="5960" w:name="_Caption8649"/>
      <w:bookmarkStart w:id="5961" w:name="_Caption9773"/>
      <w:bookmarkStart w:id="5962" w:name="_Caption9603"/>
      <w:bookmarkStart w:id="5963" w:name="_Caption1947"/>
      <w:bookmarkStart w:id="5964" w:name="_Caption5261"/>
      <w:bookmarkStart w:id="5965" w:name="_Caption4436"/>
      <w:bookmarkStart w:id="5966" w:name="_Caption3497"/>
      <w:bookmarkStart w:id="5967" w:name="_Caption4972"/>
      <w:bookmarkStart w:id="5968" w:name="_Caption6505"/>
      <w:bookmarkStart w:id="5969" w:name="_Caption6179"/>
      <w:bookmarkStart w:id="5970" w:name="_Caption3741"/>
      <w:bookmarkStart w:id="5971" w:name="_Caption8488"/>
      <w:bookmarkStart w:id="5972" w:name="_Caption9114"/>
      <w:bookmarkStart w:id="5973" w:name="_Caption7768"/>
      <w:bookmarkStart w:id="5974" w:name="_Caption7590"/>
      <w:bookmarkStart w:id="5975" w:name="_Caption4823"/>
      <w:bookmarkStart w:id="5976" w:name="_Caption8942"/>
      <w:bookmarkStart w:id="5977" w:name="_Caption0084"/>
      <w:bookmarkStart w:id="5978" w:name="_Caption6853"/>
      <w:bookmarkStart w:id="5979" w:name="_Caption0656"/>
      <w:bookmarkStart w:id="5980" w:name="_Caption6474"/>
      <w:bookmarkStart w:id="5981" w:name="_Caption4128"/>
      <w:bookmarkStart w:id="5982" w:name="_Caption8394"/>
      <w:bookmarkStart w:id="5983" w:name="_Caption4121"/>
      <w:bookmarkStart w:id="5984" w:name="_Caption9002"/>
      <w:bookmarkStart w:id="5985" w:name="_Caption6127"/>
      <w:bookmarkStart w:id="5986" w:name="_Caption4687"/>
      <w:bookmarkStart w:id="5987" w:name="_Caption5987"/>
      <w:bookmarkStart w:id="5988" w:name="_Caption4774"/>
      <w:bookmarkStart w:id="5989" w:name="_Caption1847"/>
      <w:bookmarkStart w:id="5990" w:name="_Caption2552"/>
      <w:bookmarkStart w:id="5991" w:name="_Caption0719"/>
      <w:bookmarkStart w:id="5992" w:name="_Caption2038"/>
      <w:bookmarkStart w:id="5993" w:name="_Caption7612"/>
      <w:bookmarkStart w:id="5994" w:name="_Caption1556"/>
      <w:bookmarkStart w:id="5995" w:name="_Caption4033"/>
      <w:bookmarkStart w:id="5996" w:name="_Caption2999"/>
      <w:bookmarkStart w:id="5997" w:name="_Caption0532"/>
      <w:bookmarkStart w:id="5998" w:name="_Caption8009"/>
      <w:bookmarkStart w:id="5999" w:name="_Caption7245"/>
      <w:bookmarkStart w:id="6000" w:name="_Caption2794"/>
      <w:bookmarkStart w:id="6001" w:name="_Caption9939"/>
      <w:bookmarkStart w:id="6002" w:name="_Caption0700"/>
      <w:bookmarkStart w:id="6003" w:name="_Caption6011"/>
      <w:bookmarkStart w:id="6004" w:name="_Caption2388"/>
      <w:bookmarkStart w:id="6005" w:name="_Caption3644"/>
      <w:bookmarkStart w:id="6006" w:name="_Caption9728"/>
      <w:bookmarkStart w:id="6007" w:name="_Caption0483"/>
      <w:bookmarkStart w:id="6008" w:name="_Caption7767"/>
      <w:bookmarkStart w:id="6009" w:name="_Caption2097"/>
      <w:bookmarkStart w:id="6010" w:name="_Caption3827"/>
      <w:bookmarkStart w:id="6011" w:name="_Caption4168"/>
      <w:bookmarkStart w:id="6012" w:name="_Caption3145"/>
      <w:bookmarkStart w:id="6013" w:name="_Caption4766"/>
      <w:bookmarkStart w:id="6014" w:name="_Caption0099"/>
      <w:bookmarkStart w:id="6015" w:name="_Toc177735201"/>
      <w:bookmarkStart w:id="6016" w:name="_Toc178292636"/>
      <w:r w:rsidR="008C60A3">
        <w:rPr>
          <w:noProof/>
        </w:rPr>
        <w:t>8</w:t>
      </w:r>
      <w:r w:rsidR="008C60A3" w:rsidRPr="006F0F88">
        <w:rPr>
          <w:noProof/>
        </w:rPr>
        <w:t>.</w:t>
      </w:r>
      <w:r w:rsidR="008C60A3">
        <w:rPr>
          <w:noProof/>
        </w:rPr>
        <w:t>12</w:t>
      </w:r>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r w:rsidRPr="006F0F88">
        <w:fldChar w:fldCharType="end"/>
      </w:r>
      <w:r w:rsidRPr="006F0F88">
        <w:tab/>
        <w:t>Electric vehicle sales induced by the policy options</w:t>
      </w:r>
      <w:bookmarkEnd w:id="6015"/>
      <w:bookmarkEnd w:id="6016"/>
    </w:p>
    <w:p w14:paraId="5870462B" w14:textId="77777777" w:rsidR="006568C5" w:rsidRPr="00A55EF4" w:rsidRDefault="006568C5" w:rsidP="006568C5">
      <w:pPr>
        <w:pStyle w:val="Subtitlebox"/>
      </w:pPr>
      <w:r>
        <w:rPr>
          <w:noProof/>
        </w:rPr>
        <w:drawing>
          <wp:inline distT="0" distB="0" distL="0" distR="0" wp14:anchorId="6FCA1EFF" wp14:editId="393F98E2">
            <wp:extent cx="4838700" cy="2505710"/>
            <wp:effectExtent l="76200" t="76200" r="76200" b="85090"/>
            <wp:docPr id="1778559008" name="Picture 1778559008" descr="Chart 8.12 - Electric vehicle sales induced by the policy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559008" name="Picture 1778559008" descr="Chart 8.12 - Electric vehicle sales induced by the policy options"/>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r="3678"/>
                    <a:stretch/>
                  </pic:blipFill>
                  <pic:spPr bwMode="auto">
                    <a:xfrm>
                      <a:off x="0" y="0"/>
                      <a:ext cx="4838700" cy="250571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6640B6C3" w14:textId="77777777" w:rsidR="006568C5" w:rsidRDefault="006568C5" w:rsidP="006568C5">
      <w:pPr>
        <w:pStyle w:val="Source"/>
      </w:pPr>
      <w:r>
        <w:rPr>
          <w:i/>
        </w:rPr>
        <w:t>Data source</w:t>
      </w:r>
      <w:r w:rsidRPr="00A67576">
        <w:rPr>
          <w:i/>
        </w:rPr>
        <w:t>:</w:t>
      </w:r>
      <w:r>
        <w:t xml:space="preserve"> CIE analysis.</w:t>
      </w:r>
    </w:p>
    <w:p w14:paraId="5BB03A32" w14:textId="77777777" w:rsidR="006568C5" w:rsidRDefault="006568C5" w:rsidP="006568C5">
      <w:pPr>
        <w:pStyle w:val="Heading4"/>
        <w:rPr>
          <w:lang w:bidi="fa-IR"/>
        </w:rPr>
      </w:pPr>
      <w:r>
        <w:rPr>
          <w:lang w:bidi="fa-IR"/>
        </w:rPr>
        <w:t>Benefit of improved access to destination charging</w:t>
      </w:r>
    </w:p>
    <w:p w14:paraId="12B56476" w14:textId="77777777" w:rsidR="006568C5" w:rsidRDefault="006568C5" w:rsidP="006568C5">
      <w:pPr>
        <w:pStyle w:val="BodyText"/>
        <w:rPr>
          <w:lang w:bidi="fa-IR"/>
        </w:rPr>
      </w:pPr>
      <w:r>
        <w:rPr>
          <w:lang w:bidi="fa-IR"/>
        </w:rPr>
        <w:t>The value placed by consumers on improved destination charging is measured as the increase in the amount they would be willing to pay when purchasing the vehicle. We assume the value is based not only on the availability of destination charging at the time the vehicle is purchased, but on the average availability over the subsequent 10 years. Applying the estimated choice model discussed above with these assumptions, the value is estimated at $126 in 2025. It increases with the availability of destination charging over time to $180 in 2032 before gradually declining with forecast improvements in battery range.</w:t>
      </w:r>
    </w:p>
    <w:p w14:paraId="53DBC39B" w14:textId="5946EC0A" w:rsidR="006568C5" w:rsidRPr="006F0F88" w:rsidRDefault="006568C5" w:rsidP="009B4D09">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w:instrText>
      </w:r>
      <w:fldSimple w:instr=" STYLEREF &quot;Heading 1&quot; \l \n ">
        <w:r w:rsidR="00520F9E">
          <w:rPr>
            <w:noProof/>
          </w:rPr>
          <w:instrText>8</w:instrText>
        </w:r>
      </w:fldSimple>
      <w:r w:rsidRPr="006F0F88">
        <w:instrText xml:space="preserve">." </w:instrText>
      </w:r>
      <w:r w:rsidRPr="006F0F88">
        <w:fldChar w:fldCharType="separate"/>
      </w:r>
      <w:r w:rsidR="00520F9E">
        <w:rPr>
          <w:noProof/>
        </w:rPr>
        <w:instrText>8</w:instrText>
      </w:r>
      <w:r w:rsidR="00520F9E" w:rsidRPr="006F0F88">
        <w:rPr>
          <w:noProof/>
        </w:rPr>
        <w:instrText>.</w:instrText>
      </w:r>
      <w:r w:rsidRPr="006F0F88">
        <w:fldChar w:fldCharType="end"/>
      </w:r>
      <w:r w:rsidRPr="006F0F88">
        <w:instrText>" "</w:instrText>
      </w:r>
      <w:fldSimple w:instr=" STYLEREF &quot;Heading 6&quot; \l \n ">
        <w:r w:rsidRPr="006F0F88">
          <w:instrText>A</w:instrText>
        </w:r>
      </w:fldSimple>
      <w:r w:rsidRPr="006F0F88">
        <w:instrText xml:space="preserve">." </w:instrText>
      </w:r>
      <w:r w:rsidRPr="006F0F88">
        <w:fldChar w:fldCharType="separate"/>
      </w:r>
      <w:r w:rsidR="008C60A3">
        <w:rPr>
          <w:noProof/>
        </w:rPr>
        <w:instrText>8</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520F9E">
        <w:rPr>
          <w:noProof/>
        </w:rPr>
        <w:instrText>13</w:instrText>
      </w:r>
      <w:r w:rsidRPr="006F0F88">
        <w:fldChar w:fldCharType="end"/>
      </w:r>
      <w:r w:rsidRPr="006F0F88">
        <w:instrText xml:space="preserve">" "" </w:instrText>
      </w:r>
      <w:r w:rsidRPr="006F0F88">
        <w:fldChar w:fldCharType="separate"/>
      </w:r>
      <w:bookmarkStart w:id="6017" w:name="_Caption5583"/>
      <w:bookmarkStart w:id="6018" w:name="_Caption6327"/>
      <w:bookmarkStart w:id="6019" w:name="_Caption8604"/>
      <w:bookmarkStart w:id="6020" w:name="_Caption8732"/>
      <w:bookmarkStart w:id="6021" w:name="_Caption4941"/>
      <w:bookmarkStart w:id="6022" w:name="_Caption9649"/>
      <w:bookmarkStart w:id="6023" w:name="_Caption5341"/>
      <w:bookmarkStart w:id="6024" w:name="_Caption8105"/>
      <w:bookmarkStart w:id="6025" w:name="_Caption1531"/>
      <w:bookmarkStart w:id="6026" w:name="_Caption6331"/>
      <w:bookmarkStart w:id="6027" w:name="_Caption2890"/>
      <w:bookmarkStart w:id="6028" w:name="_Caption8336"/>
      <w:bookmarkStart w:id="6029" w:name="_Caption0777"/>
      <w:bookmarkStart w:id="6030" w:name="_Caption6141"/>
      <w:bookmarkStart w:id="6031" w:name="_Caption7688"/>
      <w:bookmarkStart w:id="6032" w:name="_Caption5454"/>
      <w:bookmarkStart w:id="6033" w:name="_Caption1243"/>
      <w:bookmarkStart w:id="6034" w:name="_Caption9184"/>
      <w:bookmarkStart w:id="6035" w:name="_Caption2071"/>
      <w:bookmarkStart w:id="6036" w:name="_Caption4968"/>
      <w:bookmarkStart w:id="6037" w:name="_Caption6723"/>
      <w:bookmarkStart w:id="6038" w:name="_Caption1027"/>
      <w:bookmarkStart w:id="6039" w:name="_Caption5608"/>
      <w:bookmarkStart w:id="6040" w:name="_Caption4939"/>
      <w:bookmarkStart w:id="6041" w:name="_Caption0801"/>
      <w:bookmarkStart w:id="6042" w:name="_Caption6700"/>
      <w:bookmarkStart w:id="6043" w:name="_Caption4155"/>
      <w:bookmarkStart w:id="6044" w:name="_Caption2902"/>
      <w:bookmarkStart w:id="6045" w:name="_Caption1068"/>
      <w:bookmarkStart w:id="6046" w:name="_Caption1775"/>
      <w:bookmarkStart w:id="6047" w:name="_Caption6056"/>
      <w:bookmarkStart w:id="6048" w:name="_Caption2149"/>
      <w:bookmarkStart w:id="6049" w:name="_Caption2402"/>
      <w:bookmarkStart w:id="6050" w:name="_Caption1368"/>
      <w:bookmarkStart w:id="6051" w:name="_Caption6939"/>
      <w:bookmarkStart w:id="6052" w:name="_Caption0214"/>
      <w:bookmarkStart w:id="6053" w:name="_Caption1228"/>
      <w:bookmarkStart w:id="6054" w:name="_Caption3698"/>
      <w:bookmarkStart w:id="6055" w:name="_Caption9766"/>
      <w:bookmarkStart w:id="6056" w:name="_Caption9577"/>
      <w:bookmarkStart w:id="6057" w:name="_Caption6588"/>
      <w:bookmarkStart w:id="6058" w:name="_Caption7650"/>
      <w:bookmarkStart w:id="6059" w:name="_Caption0809"/>
      <w:bookmarkStart w:id="6060" w:name="_Caption9290"/>
      <w:bookmarkStart w:id="6061" w:name="_Caption3044"/>
      <w:bookmarkStart w:id="6062" w:name="_Caption2443"/>
      <w:bookmarkStart w:id="6063" w:name="_Caption8150"/>
      <w:bookmarkStart w:id="6064" w:name="_Caption4601"/>
      <w:bookmarkStart w:id="6065" w:name="_Caption5310"/>
      <w:bookmarkStart w:id="6066" w:name="_Caption9559"/>
      <w:bookmarkStart w:id="6067" w:name="_Caption8215"/>
      <w:bookmarkStart w:id="6068" w:name="_Caption1191"/>
      <w:bookmarkStart w:id="6069" w:name="_Caption3127"/>
      <w:bookmarkStart w:id="6070" w:name="_Caption8503"/>
      <w:bookmarkStart w:id="6071" w:name="_Caption8975"/>
      <w:bookmarkStart w:id="6072" w:name="_Caption6113"/>
      <w:bookmarkStart w:id="6073" w:name="_Caption9493"/>
      <w:bookmarkStart w:id="6074" w:name="_Caption0768"/>
      <w:bookmarkStart w:id="6075" w:name="_Caption7782"/>
      <w:bookmarkStart w:id="6076" w:name="_Caption8725"/>
      <w:bookmarkStart w:id="6077" w:name="_Caption3515"/>
      <w:bookmarkStart w:id="6078" w:name="_Caption4990"/>
      <w:bookmarkStart w:id="6079" w:name="_Caption1259"/>
      <w:bookmarkStart w:id="6080" w:name="_Caption5491"/>
      <w:bookmarkStart w:id="6081" w:name="_Caption9443"/>
      <w:bookmarkStart w:id="6082" w:name="_Caption8480"/>
      <w:bookmarkStart w:id="6083" w:name="_Caption3607"/>
      <w:bookmarkStart w:id="6084" w:name="_Caption9424"/>
      <w:bookmarkStart w:id="6085" w:name="_Caption4260"/>
      <w:bookmarkStart w:id="6086" w:name="_Caption3200"/>
      <w:bookmarkStart w:id="6087" w:name="_Caption6618"/>
      <w:bookmarkStart w:id="6088" w:name="_Caption0564"/>
      <w:bookmarkStart w:id="6089" w:name="_Caption8411"/>
      <w:bookmarkStart w:id="6090" w:name="_Caption4097"/>
      <w:bookmarkStart w:id="6091" w:name="_Caption6889"/>
      <w:bookmarkStart w:id="6092" w:name="_Caption5346"/>
      <w:bookmarkStart w:id="6093" w:name="_Caption3198"/>
      <w:bookmarkStart w:id="6094" w:name="_Caption0601"/>
      <w:bookmarkStart w:id="6095" w:name="_Caption8343"/>
      <w:bookmarkStart w:id="6096" w:name="_Caption6417"/>
      <w:bookmarkStart w:id="6097" w:name="_Caption4489"/>
      <w:bookmarkStart w:id="6098" w:name="_Caption6816"/>
      <w:bookmarkStart w:id="6099" w:name="_Caption2708"/>
      <w:bookmarkStart w:id="6100" w:name="_Caption1197"/>
      <w:bookmarkStart w:id="6101" w:name="_Caption5545"/>
      <w:bookmarkStart w:id="6102" w:name="_Caption5334"/>
      <w:bookmarkStart w:id="6103" w:name="_Caption8560"/>
      <w:bookmarkStart w:id="6104" w:name="_Caption7170"/>
      <w:bookmarkStart w:id="6105" w:name="_Caption5018"/>
      <w:bookmarkStart w:id="6106" w:name="_Caption1187"/>
      <w:bookmarkStart w:id="6107" w:name="_Caption3426"/>
      <w:bookmarkStart w:id="6108" w:name="_Caption7814"/>
      <w:bookmarkStart w:id="6109" w:name="_Caption3820"/>
      <w:bookmarkStart w:id="6110" w:name="_Caption6779"/>
      <w:bookmarkStart w:id="6111" w:name="_Caption0027"/>
      <w:bookmarkStart w:id="6112" w:name="_Caption9875"/>
      <w:bookmarkStart w:id="6113" w:name="_Caption3608"/>
      <w:bookmarkStart w:id="6114" w:name="_Caption8526"/>
      <w:bookmarkStart w:id="6115" w:name="_Caption3952"/>
      <w:bookmarkStart w:id="6116" w:name="_Caption6066"/>
      <w:bookmarkStart w:id="6117" w:name="_Toc177735202"/>
      <w:bookmarkStart w:id="6118" w:name="_Toc178292637"/>
      <w:r w:rsidR="008C60A3">
        <w:rPr>
          <w:noProof/>
        </w:rPr>
        <w:t>8</w:t>
      </w:r>
      <w:r w:rsidR="008C60A3" w:rsidRPr="006F0F88">
        <w:rPr>
          <w:noProof/>
        </w:rPr>
        <w:t>.</w:t>
      </w:r>
      <w:r w:rsidR="008C60A3">
        <w:rPr>
          <w:noProof/>
        </w:rPr>
        <w:t>13</w:t>
      </w:r>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r w:rsidRPr="006F0F88">
        <w:fldChar w:fldCharType="end"/>
      </w:r>
      <w:r w:rsidRPr="006F0F88">
        <w:tab/>
        <w:t>Willingness to pay for improved destination charging availability</w:t>
      </w:r>
      <w:bookmarkEnd w:id="6117"/>
      <w:bookmarkEnd w:id="6118"/>
    </w:p>
    <w:p w14:paraId="30EBE8C0" w14:textId="77777777" w:rsidR="006568C5" w:rsidRPr="00A55EF4" w:rsidRDefault="006568C5" w:rsidP="006568C5">
      <w:pPr>
        <w:pStyle w:val="Subtitlebox"/>
      </w:pPr>
      <w:r>
        <w:rPr>
          <w:noProof/>
        </w:rPr>
        <w:drawing>
          <wp:inline distT="0" distB="0" distL="0" distR="0" wp14:anchorId="752AA6B7" wp14:editId="2091FEC0">
            <wp:extent cx="4838700" cy="2505710"/>
            <wp:effectExtent l="76200" t="76200" r="76200" b="85090"/>
            <wp:docPr id="74416192" name="Picture 74416192" descr="Chart 8.13 - Willingness to pay for improved destination charging avail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16192" name="Picture 74416192" descr="Chart 8.13 - Willingness to pay for improved destination charging availability"/>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r="3800"/>
                    <a:stretch/>
                  </pic:blipFill>
                  <pic:spPr bwMode="auto">
                    <a:xfrm>
                      <a:off x="0" y="0"/>
                      <a:ext cx="4838700" cy="250571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654CE69D" w14:textId="77777777" w:rsidR="006568C5" w:rsidRDefault="006568C5" w:rsidP="006568C5">
      <w:pPr>
        <w:pStyle w:val="Source"/>
      </w:pPr>
      <w:r>
        <w:rPr>
          <w:i/>
        </w:rPr>
        <w:t>Data source</w:t>
      </w:r>
      <w:r w:rsidRPr="00A67576">
        <w:rPr>
          <w:i/>
        </w:rPr>
        <w:t>:</w:t>
      </w:r>
      <w:r>
        <w:t xml:space="preserve"> CIE assumptions.</w:t>
      </w:r>
    </w:p>
    <w:p w14:paraId="5237FF35" w14:textId="77777777" w:rsidR="006568C5" w:rsidRDefault="006568C5" w:rsidP="006568C5">
      <w:pPr>
        <w:pStyle w:val="BodyText"/>
        <w:rPr>
          <w:lang w:bidi="fa-IR"/>
        </w:rPr>
      </w:pPr>
      <w:r>
        <w:rPr>
          <w:lang w:bidi="fa-IR"/>
        </w:rPr>
        <w:t>When aggregated across the projected purchases in the base case (and half of the initial stock of EVs on the assumption they are on average halfway through their useful lives) this amounts to around $1.56 billion in present value terms.</w:t>
      </w:r>
    </w:p>
    <w:p w14:paraId="49467CDB" w14:textId="77777777" w:rsidR="006568C5" w:rsidRDefault="006568C5" w:rsidP="006568C5">
      <w:pPr>
        <w:pStyle w:val="BodyText"/>
        <w:rPr>
          <w:lang w:bidi="fa-IR"/>
        </w:rPr>
      </w:pPr>
      <w:r>
        <w:rPr>
          <w:lang w:bidi="fa-IR"/>
        </w:rPr>
        <w:t>As discussed in chapter 4, half of this per-consumer benefit will also accrue to motorists who substitute from a non-EV to an EV as a result of the policy options. This additional benefit totals to $774 000 in present value terms.</w:t>
      </w:r>
    </w:p>
    <w:p w14:paraId="3030A6EA" w14:textId="77777777" w:rsidR="006568C5" w:rsidRDefault="006568C5" w:rsidP="006568C5">
      <w:pPr>
        <w:pStyle w:val="Heading3"/>
        <w:rPr>
          <w:lang w:bidi="fa-IR"/>
        </w:rPr>
      </w:pPr>
      <w:r>
        <w:rPr>
          <w:lang w:bidi="fa-IR"/>
        </w:rPr>
        <w:t>Benefit of climate change mitigation</w:t>
      </w:r>
    </w:p>
    <w:p w14:paraId="5580322D" w14:textId="77777777" w:rsidR="006568C5" w:rsidRDefault="006568C5" w:rsidP="006568C5">
      <w:pPr>
        <w:pStyle w:val="BodyText"/>
        <w:rPr>
          <w:lang w:bidi="fa-IR"/>
        </w:rPr>
      </w:pPr>
      <w:r>
        <w:rPr>
          <w:lang w:bidi="fa-IR"/>
        </w:rPr>
        <w:t xml:space="preserve">GHG emissions projections were constructed for both EVs and non-EVs, taking account of the age composition of the stock of vehicles. </w:t>
      </w:r>
    </w:p>
    <w:p w14:paraId="3211DA04" w14:textId="77777777" w:rsidR="006568C5" w:rsidRDefault="006568C5" w:rsidP="006568C5">
      <w:pPr>
        <w:pStyle w:val="BodyText"/>
        <w:rPr>
          <w:lang w:bidi="fa-IR"/>
        </w:rPr>
      </w:pPr>
      <w:r>
        <w:rPr>
          <w:lang w:bidi="fa-IR"/>
        </w:rPr>
        <w:t>For EVs, the projections of emission intensity of electricity from the grid used elsewhere in this report were applied to projections of vehicle kilometres travelled (by vehicle type) and an assumed 16.37 kWh per 100km travelled.</w:t>
      </w:r>
    </w:p>
    <w:p w14:paraId="71E593FB" w14:textId="77777777" w:rsidR="006568C5" w:rsidRPr="00793EAB" w:rsidRDefault="006568C5" w:rsidP="006568C5">
      <w:pPr>
        <w:pStyle w:val="BodyText"/>
        <w:rPr>
          <w:lang w:bidi="fa-IR"/>
        </w:rPr>
      </w:pPr>
      <w:r>
        <w:rPr>
          <w:lang w:bidi="fa-IR"/>
        </w:rPr>
        <w:t xml:space="preserve">For non-EVs, the age composition of the stock of vehicles was multiplied by the sticker emissions for each respective </w:t>
      </w:r>
      <w:r w:rsidRPr="00793EAB">
        <w:rPr>
          <w:lang w:bidi="fa-IR"/>
        </w:rPr>
        <w:t xml:space="preserve">age (chart </w:t>
      </w:r>
      <w:r w:rsidRPr="00793EAB">
        <w:rPr>
          <w:lang w:bidi="fa-IR"/>
        </w:rPr>
        <w:fldChar w:fldCharType="begin" w:fldLock="1"/>
      </w:r>
      <w:r w:rsidRPr="00793EAB">
        <w:rPr>
          <w:lang w:bidi="fa-IR"/>
        </w:rPr>
        <w:instrText xml:space="preserve"> REF _Caption1980 </w:instrText>
      </w:r>
      <w:r w:rsidRPr="00793EAB">
        <w:rPr>
          <w:lang w:bidi="fa-IR"/>
        </w:rPr>
        <w:fldChar w:fldCharType="separate"/>
      </w:r>
      <w:r>
        <w:rPr>
          <w:noProof/>
        </w:rPr>
        <w:t>6</w:t>
      </w:r>
      <w:r w:rsidRPr="00695C93">
        <w:rPr>
          <w:noProof/>
        </w:rPr>
        <w:t>.</w:t>
      </w:r>
      <w:r>
        <w:rPr>
          <w:noProof/>
        </w:rPr>
        <w:t>26</w:t>
      </w:r>
      <w:r w:rsidRPr="00793EAB">
        <w:rPr>
          <w:lang w:bidi="fa-IR"/>
        </w:rPr>
        <w:fldChar w:fldCharType="end"/>
      </w:r>
      <w:r w:rsidRPr="00793EAB">
        <w:rPr>
          <w:lang w:bidi="fa-IR"/>
        </w:rPr>
        <w:t xml:space="preserve">). </w:t>
      </w:r>
    </w:p>
    <w:p w14:paraId="0F6AFDCC" w14:textId="541553C6" w:rsidR="006568C5" w:rsidRPr="006F0F88" w:rsidRDefault="006568C5" w:rsidP="009B4D09">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w:instrText>
      </w:r>
      <w:fldSimple w:instr=" STYLEREF &quot;Heading 1&quot; \l \n ">
        <w:r w:rsidR="00520F9E">
          <w:rPr>
            <w:noProof/>
          </w:rPr>
          <w:instrText>8</w:instrText>
        </w:r>
      </w:fldSimple>
      <w:r w:rsidRPr="006F0F88">
        <w:instrText xml:space="preserve">." </w:instrText>
      </w:r>
      <w:r w:rsidRPr="006F0F88">
        <w:fldChar w:fldCharType="separate"/>
      </w:r>
      <w:r w:rsidR="00520F9E">
        <w:rPr>
          <w:noProof/>
        </w:rPr>
        <w:instrText>8</w:instrText>
      </w:r>
      <w:r w:rsidR="00520F9E" w:rsidRPr="006F0F88">
        <w:rPr>
          <w:noProof/>
        </w:rPr>
        <w:instrText>.</w:instrText>
      </w:r>
      <w:r w:rsidRPr="006F0F88">
        <w:fldChar w:fldCharType="end"/>
      </w:r>
      <w:r w:rsidRPr="006F0F88">
        <w:instrText>" "</w:instrText>
      </w:r>
      <w:fldSimple w:instr=" STYLEREF &quot;Heading 6&quot; \l \n ">
        <w:r w:rsidRPr="006F0F88">
          <w:instrText>A</w:instrText>
        </w:r>
      </w:fldSimple>
      <w:r w:rsidRPr="006F0F88">
        <w:instrText xml:space="preserve">." </w:instrText>
      </w:r>
      <w:r w:rsidRPr="006F0F88">
        <w:fldChar w:fldCharType="separate"/>
      </w:r>
      <w:r w:rsidR="008C60A3">
        <w:rPr>
          <w:noProof/>
        </w:rPr>
        <w:instrText>8</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520F9E">
        <w:rPr>
          <w:noProof/>
        </w:rPr>
        <w:instrText>14</w:instrText>
      </w:r>
      <w:r w:rsidRPr="006F0F88">
        <w:fldChar w:fldCharType="end"/>
      </w:r>
      <w:r w:rsidRPr="006F0F88">
        <w:instrText xml:space="preserve">" "" </w:instrText>
      </w:r>
      <w:r w:rsidRPr="006F0F88">
        <w:fldChar w:fldCharType="separate"/>
      </w:r>
      <w:bookmarkStart w:id="6119" w:name="_Caption3808"/>
      <w:bookmarkStart w:id="6120" w:name="_Caption9064"/>
      <w:bookmarkStart w:id="6121" w:name="_Caption5451"/>
      <w:bookmarkStart w:id="6122" w:name="_Caption2618"/>
      <w:bookmarkStart w:id="6123" w:name="_Caption4193"/>
      <w:bookmarkStart w:id="6124" w:name="_Caption2131"/>
      <w:bookmarkStart w:id="6125" w:name="_Caption9054"/>
      <w:bookmarkStart w:id="6126" w:name="_Caption7735"/>
      <w:bookmarkStart w:id="6127" w:name="_Caption6069"/>
      <w:bookmarkStart w:id="6128" w:name="_Caption2353"/>
      <w:bookmarkStart w:id="6129" w:name="_Caption2996"/>
      <w:bookmarkStart w:id="6130" w:name="_Caption3341"/>
      <w:bookmarkStart w:id="6131" w:name="_Caption8147"/>
      <w:bookmarkStart w:id="6132" w:name="_Caption4793"/>
      <w:bookmarkStart w:id="6133" w:name="_Caption9643"/>
      <w:bookmarkStart w:id="6134" w:name="_Caption4279"/>
      <w:bookmarkStart w:id="6135" w:name="_Caption6477"/>
      <w:bookmarkStart w:id="6136" w:name="_Caption3564"/>
      <w:bookmarkStart w:id="6137" w:name="_Caption6329"/>
      <w:bookmarkStart w:id="6138" w:name="_Caption2494"/>
      <w:bookmarkStart w:id="6139" w:name="_Caption3212"/>
      <w:bookmarkStart w:id="6140" w:name="_Caption1950"/>
      <w:bookmarkStart w:id="6141" w:name="_Caption4814"/>
      <w:bookmarkStart w:id="6142" w:name="_Caption2299"/>
      <w:bookmarkStart w:id="6143" w:name="_Caption8841"/>
      <w:bookmarkStart w:id="6144" w:name="_Caption8862"/>
      <w:bookmarkStart w:id="6145" w:name="_Caption2082"/>
      <w:bookmarkStart w:id="6146" w:name="_Caption3618"/>
      <w:bookmarkStart w:id="6147" w:name="_Caption1154"/>
      <w:bookmarkStart w:id="6148" w:name="_Caption0663"/>
      <w:bookmarkStart w:id="6149" w:name="_Caption1522"/>
      <w:bookmarkStart w:id="6150" w:name="_Caption1452"/>
      <w:bookmarkStart w:id="6151" w:name="_Caption2757"/>
      <w:bookmarkStart w:id="6152" w:name="_Caption1406"/>
      <w:bookmarkStart w:id="6153" w:name="_Caption1361"/>
      <w:bookmarkStart w:id="6154" w:name="_Caption4277"/>
      <w:bookmarkStart w:id="6155" w:name="_Caption0133"/>
      <w:bookmarkStart w:id="6156" w:name="_Caption8077"/>
      <w:bookmarkStart w:id="6157" w:name="_Caption5722"/>
      <w:bookmarkStart w:id="6158" w:name="_Caption5058"/>
      <w:bookmarkStart w:id="6159" w:name="_Caption8543"/>
      <w:bookmarkStart w:id="6160" w:name="_Caption6222"/>
      <w:bookmarkStart w:id="6161" w:name="_Caption3664"/>
      <w:bookmarkStart w:id="6162" w:name="_Caption5912"/>
      <w:bookmarkStart w:id="6163" w:name="_Caption9048"/>
      <w:bookmarkStart w:id="6164" w:name="_Caption8016"/>
      <w:bookmarkStart w:id="6165" w:name="_Caption4624"/>
      <w:bookmarkStart w:id="6166" w:name="_Caption4208"/>
      <w:bookmarkStart w:id="6167" w:name="_Caption0624"/>
      <w:bookmarkStart w:id="6168" w:name="_Caption4865"/>
      <w:bookmarkStart w:id="6169" w:name="_Caption0671"/>
      <w:bookmarkStart w:id="6170" w:name="_Caption6220"/>
      <w:bookmarkStart w:id="6171" w:name="_Caption3274"/>
      <w:bookmarkStart w:id="6172" w:name="_Caption7807"/>
      <w:bookmarkStart w:id="6173" w:name="_Caption4267"/>
      <w:bookmarkStart w:id="6174" w:name="_Caption7977"/>
      <w:bookmarkStart w:id="6175" w:name="_Caption8137"/>
      <w:bookmarkStart w:id="6176" w:name="_Caption7694"/>
      <w:bookmarkStart w:id="6177" w:name="_Caption2567"/>
      <w:bookmarkStart w:id="6178" w:name="_Caption4330"/>
      <w:bookmarkStart w:id="6179" w:name="_Caption8587"/>
      <w:bookmarkStart w:id="6180" w:name="_Caption0666"/>
      <w:bookmarkStart w:id="6181" w:name="_Caption1630"/>
      <w:bookmarkStart w:id="6182" w:name="_Caption6471"/>
      <w:bookmarkStart w:id="6183" w:name="_Caption3809"/>
      <w:bookmarkStart w:id="6184" w:name="_Caption5888"/>
      <w:bookmarkStart w:id="6185" w:name="_Caption9265"/>
      <w:bookmarkStart w:id="6186" w:name="_Caption9239"/>
      <w:bookmarkStart w:id="6187" w:name="_Caption3490"/>
      <w:bookmarkStart w:id="6188" w:name="_Caption4586"/>
      <w:bookmarkStart w:id="6189" w:name="_Caption8510"/>
      <w:bookmarkStart w:id="6190" w:name="_Caption4902"/>
      <w:bookmarkStart w:id="6191" w:name="_Caption7824"/>
      <w:bookmarkStart w:id="6192" w:name="_Caption0159"/>
      <w:bookmarkStart w:id="6193" w:name="_Caption0623"/>
      <w:bookmarkStart w:id="6194" w:name="_Caption6905"/>
      <w:bookmarkStart w:id="6195" w:name="_Caption6282"/>
      <w:bookmarkStart w:id="6196" w:name="_Caption7944"/>
      <w:bookmarkStart w:id="6197" w:name="_Caption1626"/>
      <w:bookmarkStart w:id="6198" w:name="_Caption0572"/>
      <w:bookmarkStart w:id="6199" w:name="_Caption6258"/>
      <w:bookmarkStart w:id="6200" w:name="_Caption1980"/>
      <w:bookmarkStart w:id="6201" w:name="_Caption5869"/>
      <w:bookmarkStart w:id="6202" w:name="_Caption5858"/>
      <w:bookmarkStart w:id="6203" w:name="_Caption6809"/>
      <w:bookmarkStart w:id="6204" w:name="_Caption8477"/>
      <w:bookmarkStart w:id="6205" w:name="_Caption5913"/>
      <w:bookmarkStart w:id="6206" w:name="_Caption6310"/>
      <w:bookmarkStart w:id="6207" w:name="_Caption4781"/>
      <w:bookmarkStart w:id="6208" w:name="_Caption4496"/>
      <w:bookmarkStart w:id="6209" w:name="_Caption4153"/>
      <w:bookmarkStart w:id="6210" w:name="_Caption7271"/>
      <w:bookmarkStart w:id="6211" w:name="_Caption2753"/>
      <w:bookmarkStart w:id="6212" w:name="_Caption6176"/>
      <w:bookmarkStart w:id="6213" w:name="_Caption2456"/>
      <w:bookmarkStart w:id="6214" w:name="_Caption6848"/>
      <w:bookmarkStart w:id="6215" w:name="_Toc177735203"/>
      <w:bookmarkStart w:id="6216" w:name="_Toc178292638"/>
      <w:r w:rsidR="008C60A3">
        <w:rPr>
          <w:noProof/>
        </w:rPr>
        <w:t>8</w:t>
      </w:r>
      <w:r w:rsidR="008C60A3" w:rsidRPr="006F0F88">
        <w:rPr>
          <w:noProof/>
        </w:rPr>
        <w:t>.</w:t>
      </w:r>
      <w:r w:rsidR="008C60A3">
        <w:rPr>
          <w:noProof/>
        </w:rPr>
        <w:t>14</w:t>
      </w:r>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r w:rsidRPr="006F0F88">
        <w:fldChar w:fldCharType="end"/>
      </w:r>
      <w:r w:rsidRPr="006F0F88">
        <w:tab/>
        <w:t>Emission intensity of new vehicles other than battery electric vehicles</w:t>
      </w:r>
      <w:bookmarkEnd w:id="6215"/>
      <w:bookmarkEnd w:id="6216"/>
    </w:p>
    <w:p w14:paraId="16972718" w14:textId="77777777" w:rsidR="006568C5" w:rsidRPr="00A55EF4" w:rsidRDefault="006568C5" w:rsidP="006568C5">
      <w:pPr>
        <w:pStyle w:val="Subtitlebox"/>
      </w:pPr>
      <w:r>
        <w:rPr>
          <w:noProof/>
        </w:rPr>
        <w:drawing>
          <wp:inline distT="0" distB="0" distL="0" distR="0" wp14:anchorId="4E41B963" wp14:editId="43FBEFBE">
            <wp:extent cx="4876800" cy="2505710"/>
            <wp:effectExtent l="76200" t="76200" r="76200" b="85090"/>
            <wp:docPr id="1841630643" name="Picture 1841630643" descr="Chart 8.14 - Emission intensity of new vehicles other than battery electric vehi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630643" name="Picture 1841630643" descr="Chart 8.14 - Emission intensity of new vehicles other than battery electric vehicles"/>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r="2920"/>
                    <a:stretch/>
                  </pic:blipFill>
                  <pic:spPr bwMode="auto">
                    <a:xfrm>
                      <a:off x="0" y="0"/>
                      <a:ext cx="4876800" cy="250571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3FC38F19" w14:textId="77777777" w:rsidR="006568C5" w:rsidRDefault="006568C5" w:rsidP="006568C5">
      <w:pPr>
        <w:pStyle w:val="Source"/>
      </w:pPr>
      <w:r>
        <w:rPr>
          <w:i/>
        </w:rPr>
        <w:t>Data source</w:t>
      </w:r>
      <w:r w:rsidRPr="00A67576">
        <w:rPr>
          <w:i/>
        </w:rPr>
        <w:t>:</w:t>
      </w:r>
      <w:r>
        <w:t xml:space="preserve"> Sticker emissions.</w:t>
      </w:r>
    </w:p>
    <w:p w14:paraId="4C558195" w14:textId="77777777" w:rsidR="006568C5" w:rsidRDefault="006568C5" w:rsidP="006568C5">
      <w:pPr>
        <w:pStyle w:val="BodyText"/>
        <w:rPr>
          <w:lang w:bidi="fa-IR"/>
        </w:rPr>
      </w:pPr>
      <w:r>
        <w:rPr>
          <w:lang w:bidi="fa-IR"/>
        </w:rPr>
        <w:t>There is a net reduction in emissions resulting from the substitution to EVs induced by the policy options. When valued at the social cost of carbon, this emission reduction is worth around $84 million in present value terms.</w:t>
      </w:r>
    </w:p>
    <w:p w14:paraId="07590042" w14:textId="71575A5A" w:rsidR="006568C5" w:rsidRPr="006F0F88" w:rsidRDefault="006568C5" w:rsidP="009B4D09">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w:instrText>
      </w:r>
      <w:fldSimple w:instr=" STYLEREF &quot;Heading 1&quot; \l \n ">
        <w:r w:rsidR="00520F9E">
          <w:rPr>
            <w:noProof/>
          </w:rPr>
          <w:instrText>8</w:instrText>
        </w:r>
      </w:fldSimple>
      <w:r w:rsidRPr="006F0F88">
        <w:instrText xml:space="preserve">." </w:instrText>
      </w:r>
      <w:r w:rsidRPr="006F0F88">
        <w:fldChar w:fldCharType="separate"/>
      </w:r>
      <w:r w:rsidR="00520F9E">
        <w:rPr>
          <w:noProof/>
        </w:rPr>
        <w:instrText>8</w:instrText>
      </w:r>
      <w:r w:rsidR="00520F9E" w:rsidRPr="006F0F88">
        <w:rPr>
          <w:noProof/>
        </w:rPr>
        <w:instrText>.</w:instrText>
      </w:r>
      <w:r w:rsidRPr="006F0F88">
        <w:fldChar w:fldCharType="end"/>
      </w:r>
      <w:r w:rsidRPr="006F0F88">
        <w:instrText>" "</w:instrText>
      </w:r>
      <w:fldSimple w:instr=" STYLEREF &quot;Heading 6&quot; \l \n ">
        <w:r w:rsidRPr="006F0F88">
          <w:instrText>A</w:instrText>
        </w:r>
      </w:fldSimple>
      <w:r w:rsidRPr="006F0F88">
        <w:instrText xml:space="preserve">." </w:instrText>
      </w:r>
      <w:r w:rsidRPr="006F0F88">
        <w:fldChar w:fldCharType="separate"/>
      </w:r>
      <w:r w:rsidR="008C60A3">
        <w:rPr>
          <w:noProof/>
        </w:rPr>
        <w:instrText>8</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520F9E">
        <w:rPr>
          <w:noProof/>
        </w:rPr>
        <w:instrText>15</w:instrText>
      </w:r>
      <w:r w:rsidRPr="006F0F88">
        <w:fldChar w:fldCharType="end"/>
      </w:r>
      <w:r w:rsidRPr="006F0F88">
        <w:instrText xml:space="preserve">" "" </w:instrText>
      </w:r>
      <w:r w:rsidRPr="006F0F88">
        <w:fldChar w:fldCharType="separate"/>
      </w:r>
      <w:bookmarkStart w:id="6217" w:name="_Caption6585"/>
      <w:bookmarkStart w:id="6218" w:name="_Caption6928"/>
      <w:bookmarkStart w:id="6219" w:name="_Caption7094"/>
      <w:bookmarkStart w:id="6220" w:name="_Caption5609"/>
      <w:bookmarkStart w:id="6221" w:name="_Caption7985"/>
      <w:bookmarkStart w:id="6222" w:name="_Caption1571"/>
      <w:bookmarkStart w:id="6223" w:name="_Caption3713"/>
      <w:bookmarkStart w:id="6224" w:name="_Caption3650"/>
      <w:bookmarkStart w:id="6225" w:name="_Caption9167"/>
      <w:bookmarkStart w:id="6226" w:name="_Caption0484"/>
      <w:bookmarkStart w:id="6227" w:name="_Caption0794"/>
      <w:bookmarkStart w:id="6228" w:name="_Caption6078"/>
      <w:bookmarkStart w:id="6229" w:name="_Caption0176"/>
      <w:bookmarkStart w:id="6230" w:name="_Caption7891"/>
      <w:bookmarkStart w:id="6231" w:name="_Caption8840"/>
      <w:bookmarkStart w:id="6232" w:name="_Caption4573"/>
      <w:bookmarkStart w:id="6233" w:name="_Caption0775"/>
      <w:bookmarkStart w:id="6234" w:name="_Caption8853"/>
      <w:bookmarkStart w:id="6235" w:name="_Caption1805"/>
      <w:bookmarkStart w:id="6236" w:name="_Caption9226"/>
      <w:bookmarkStart w:id="6237" w:name="_Caption4557"/>
      <w:bookmarkStart w:id="6238" w:name="_Caption3802"/>
      <w:bookmarkStart w:id="6239" w:name="_Caption5241"/>
      <w:bookmarkStart w:id="6240" w:name="_Caption0761"/>
      <w:bookmarkStart w:id="6241" w:name="_Caption3175"/>
      <w:bookmarkStart w:id="6242" w:name="_Caption8064"/>
      <w:bookmarkStart w:id="6243" w:name="_Caption7366"/>
      <w:bookmarkStart w:id="6244" w:name="_Caption8708"/>
      <w:bookmarkStart w:id="6245" w:name="_Caption4074"/>
      <w:bookmarkStart w:id="6246" w:name="_Caption1075"/>
      <w:bookmarkStart w:id="6247" w:name="_Caption0173"/>
      <w:bookmarkStart w:id="6248" w:name="_Caption2309"/>
      <w:bookmarkStart w:id="6249" w:name="_Caption4696"/>
      <w:bookmarkStart w:id="6250" w:name="_Caption1221"/>
      <w:bookmarkStart w:id="6251" w:name="_Caption0587"/>
      <w:bookmarkStart w:id="6252" w:name="_Caption4671"/>
      <w:bookmarkStart w:id="6253" w:name="_Caption2479"/>
      <w:bookmarkStart w:id="6254" w:name="_Caption6089"/>
      <w:bookmarkStart w:id="6255" w:name="_Caption8834"/>
      <w:bookmarkStart w:id="6256" w:name="_Caption2413"/>
      <w:bookmarkStart w:id="6257" w:name="_Caption5107"/>
      <w:bookmarkStart w:id="6258" w:name="_Caption7428"/>
      <w:bookmarkStart w:id="6259" w:name="_Caption8650"/>
      <w:bookmarkStart w:id="6260" w:name="_Caption4384"/>
      <w:bookmarkStart w:id="6261" w:name="_Caption6677"/>
      <w:bookmarkStart w:id="6262" w:name="_Caption4708"/>
      <w:bookmarkStart w:id="6263" w:name="_Caption7410"/>
      <w:bookmarkStart w:id="6264" w:name="_Caption0118"/>
      <w:bookmarkStart w:id="6265" w:name="_Caption0348"/>
      <w:bookmarkStart w:id="6266" w:name="_Caption0179"/>
      <w:bookmarkStart w:id="6267" w:name="_Caption4629"/>
      <w:bookmarkStart w:id="6268" w:name="_Caption5378"/>
      <w:bookmarkStart w:id="6269" w:name="_Caption0672"/>
      <w:bookmarkStart w:id="6270" w:name="_Caption7913"/>
      <w:bookmarkStart w:id="6271" w:name="_Caption3089"/>
      <w:bookmarkStart w:id="6272" w:name="_Caption3275"/>
      <w:bookmarkStart w:id="6273" w:name="_Caption5726"/>
      <w:bookmarkStart w:id="6274" w:name="_Caption3034"/>
      <w:bookmarkStart w:id="6275" w:name="_Caption9825"/>
      <w:bookmarkStart w:id="6276" w:name="_Caption5648"/>
      <w:bookmarkStart w:id="6277" w:name="_Caption5604"/>
      <w:bookmarkStart w:id="6278" w:name="_Caption1169"/>
      <w:bookmarkStart w:id="6279" w:name="_Caption0835"/>
      <w:bookmarkStart w:id="6280" w:name="_Caption0940"/>
      <w:bookmarkStart w:id="6281" w:name="_Caption7941"/>
      <w:bookmarkStart w:id="6282" w:name="_Caption4103"/>
      <w:bookmarkStart w:id="6283" w:name="_Caption5558"/>
      <w:bookmarkStart w:id="6284" w:name="_Caption6544"/>
      <w:bookmarkStart w:id="6285" w:name="_Caption2925"/>
      <w:bookmarkStart w:id="6286" w:name="_Caption3122"/>
      <w:bookmarkStart w:id="6287" w:name="_Caption1163"/>
      <w:bookmarkStart w:id="6288" w:name="_Caption6913"/>
      <w:bookmarkStart w:id="6289" w:name="_Caption3488"/>
      <w:bookmarkStart w:id="6290" w:name="_Caption9586"/>
      <w:bookmarkStart w:id="6291" w:name="_Caption9372"/>
      <w:bookmarkStart w:id="6292" w:name="_Caption8665"/>
      <w:bookmarkStart w:id="6293" w:name="_Caption1714"/>
      <w:bookmarkStart w:id="6294" w:name="_Caption3700"/>
      <w:bookmarkStart w:id="6295" w:name="_Caption3917"/>
      <w:bookmarkStart w:id="6296" w:name="_Caption8000"/>
      <w:bookmarkStart w:id="6297" w:name="_Caption0174"/>
      <w:bookmarkStart w:id="6298" w:name="_Caption2312"/>
      <w:bookmarkStart w:id="6299" w:name="_Caption0701"/>
      <w:bookmarkStart w:id="6300" w:name="_Caption1896"/>
      <w:bookmarkStart w:id="6301" w:name="_Caption8142"/>
      <w:bookmarkStart w:id="6302" w:name="_Caption6940"/>
      <w:bookmarkStart w:id="6303" w:name="_Caption3761"/>
      <w:bookmarkStart w:id="6304" w:name="_Caption5612"/>
      <w:bookmarkStart w:id="6305" w:name="_Caption1997"/>
      <w:bookmarkStart w:id="6306" w:name="_Caption5099"/>
      <w:bookmarkStart w:id="6307" w:name="_Caption6133"/>
      <w:bookmarkStart w:id="6308" w:name="_Caption0335"/>
      <w:bookmarkStart w:id="6309" w:name="_Caption7196"/>
      <w:bookmarkStart w:id="6310" w:name="_Caption9932"/>
      <w:bookmarkStart w:id="6311" w:name="_Caption0333"/>
      <w:bookmarkStart w:id="6312" w:name="_Caption8943"/>
      <w:bookmarkStart w:id="6313" w:name="_Caption9200"/>
      <w:bookmarkStart w:id="6314" w:name="_Caption1938"/>
      <w:bookmarkStart w:id="6315" w:name="_Caption1866"/>
      <w:bookmarkStart w:id="6316" w:name="_Caption0241"/>
      <w:bookmarkStart w:id="6317" w:name="_Caption5002"/>
      <w:bookmarkStart w:id="6318" w:name="_Caption8761"/>
      <w:bookmarkStart w:id="6319" w:name="_Caption2224"/>
      <w:bookmarkStart w:id="6320" w:name="_Caption0640"/>
      <w:bookmarkStart w:id="6321" w:name="_Caption3687"/>
      <w:bookmarkStart w:id="6322" w:name="_Toc177735204"/>
      <w:bookmarkStart w:id="6323" w:name="_Toc178292639"/>
      <w:r w:rsidR="008C60A3">
        <w:rPr>
          <w:noProof/>
        </w:rPr>
        <w:t>8</w:t>
      </w:r>
      <w:r w:rsidR="008C60A3" w:rsidRPr="006F0F88">
        <w:rPr>
          <w:noProof/>
        </w:rPr>
        <w:t>.</w:t>
      </w:r>
      <w:r w:rsidR="008C60A3">
        <w:rPr>
          <w:noProof/>
        </w:rPr>
        <w:t>15</w:t>
      </w:r>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r w:rsidRPr="006F0F88">
        <w:fldChar w:fldCharType="end"/>
      </w:r>
      <w:r w:rsidRPr="006F0F88">
        <w:tab/>
        <w:t>Impact of policy options on emissions from vehicles</w:t>
      </w:r>
      <w:bookmarkEnd w:id="6322"/>
      <w:bookmarkEnd w:id="6323"/>
    </w:p>
    <w:p w14:paraId="7C6B9041" w14:textId="77777777" w:rsidR="006568C5" w:rsidRPr="00A55EF4" w:rsidRDefault="006568C5" w:rsidP="006568C5">
      <w:pPr>
        <w:pStyle w:val="Subtitlebox"/>
      </w:pPr>
      <w:r>
        <w:rPr>
          <w:noProof/>
        </w:rPr>
        <w:drawing>
          <wp:inline distT="0" distB="0" distL="0" distR="0" wp14:anchorId="0E83317A" wp14:editId="06BC1EAC">
            <wp:extent cx="4899660" cy="2369820"/>
            <wp:effectExtent l="76200" t="76200" r="72390" b="68580"/>
            <wp:docPr id="2037802770" name="Picture 2037802770" descr="Chart 8.15 - Impact of policy options on emissions from vehi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802770" name="Picture 2037802770" descr="Chart 8.15 - Impact of policy options on emissions from vehicles"/>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a:stretch/>
                  </pic:blipFill>
                  <pic:spPr bwMode="auto">
                    <a:xfrm>
                      <a:off x="0" y="0"/>
                      <a:ext cx="4899660" cy="236982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458A1B3A" w14:textId="77777777" w:rsidR="006568C5" w:rsidRDefault="006568C5" w:rsidP="006568C5">
      <w:pPr>
        <w:pStyle w:val="Source"/>
      </w:pPr>
      <w:r>
        <w:rPr>
          <w:i/>
        </w:rPr>
        <w:t>Data source</w:t>
      </w:r>
      <w:r w:rsidRPr="00A67576">
        <w:rPr>
          <w:i/>
        </w:rPr>
        <w:t>:</w:t>
      </w:r>
      <w:r>
        <w:t xml:space="preserve"> Sticker emissions.</w:t>
      </w:r>
    </w:p>
    <w:p w14:paraId="5E436599" w14:textId="77777777" w:rsidR="006568C5" w:rsidRDefault="006568C5" w:rsidP="006568C5">
      <w:pPr>
        <w:pStyle w:val="Heading4"/>
        <w:rPr>
          <w:lang w:bidi="fa-IR"/>
        </w:rPr>
      </w:pPr>
      <w:r>
        <w:rPr>
          <w:lang w:bidi="fa-IR"/>
        </w:rPr>
        <w:t>Benefit of reduced air pollution</w:t>
      </w:r>
    </w:p>
    <w:p w14:paraId="5A9D7D24" w14:textId="77777777" w:rsidR="006568C5" w:rsidRDefault="006568C5" w:rsidP="006568C5">
      <w:pPr>
        <w:pStyle w:val="BodyText"/>
        <w:rPr>
          <w:lang w:bidi="fa-IR"/>
        </w:rPr>
      </w:pPr>
      <w:r>
        <w:rPr>
          <w:lang w:bidi="fa-IR"/>
        </w:rPr>
        <w:t>There would also be a reduction in air pollution resulting from the substitution to EVs induced by the policy options. Particulate matter and nitrogen oxides from tailpipe emissions can cause adverse health impacts. These emissions are closely correlated with GHG emissions. CIE (2020) calculated,</w:t>
      </w:r>
      <w:r>
        <w:rPr>
          <w:rStyle w:val="FootnoteReference"/>
          <w:lang w:bidi="fa-IR"/>
        </w:rPr>
        <w:footnoteReference w:id="135"/>
      </w:r>
      <w:r>
        <w:rPr>
          <w:lang w:bidi="fa-IR"/>
        </w:rPr>
        <w:t xml:space="preserve"> based on work conducted as part of the review of the Fuel Quality Standards Act that the economic value of these impacts is around $60/tCO2e.</w:t>
      </w:r>
      <w:r>
        <w:rPr>
          <w:rStyle w:val="FootnoteReference"/>
          <w:lang w:bidi="fa-IR"/>
        </w:rPr>
        <w:footnoteReference w:id="136"/>
      </w:r>
      <w:r>
        <w:rPr>
          <w:lang w:bidi="fa-IR"/>
        </w:rPr>
        <w:t xml:space="preserve"> We apply this figure to the net reduction in emissions discussed above, giving an estimated additional benefit of $12 million in present value terms.</w:t>
      </w:r>
    </w:p>
    <w:p w14:paraId="66D6B0C2" w14:textId="77777777" w:rsidR="006568C5" w:rsidRDefault="006568C5" w:rsidP="006568C5">
      <w:pPr>
        <w:pStyle w:val="Heading3"/>
        <w:rPr>
          <w:lang w:bidi="fa-IR"/>
        </w:rPr>
      </w:pPr>
      <w:r>
        <w:rPr>
          <w:lang w:bidi="fa-IR"/>
        </w:rPr>
        <w:t>Total benefits from mandatory electric vehicle charging</w:t>
      </w:r>
    </w:p>
    <w:p w14:paraId="5547E4C8" w14:textId="77777777" w:rsidR="006568C5" w:rsidRPr="005F687B" w:rsidRDefault="006568C5" w:rsidP="006568C5">
      <w:pPr>
        <w:pStyle w:val="BodyText"/>
        <w:rPr>
          <w:lang w:bidi="fa-IR"/>
        </w:rPr>
      </w:pPr>
      <w:r>
        <w:rPr>
          <w:lang w:bidi="fa-IR"/>
        </w:rPr>
        <w:t>In total, the estimated benefits of mandatory EV charging in commercial buildings are around $1.7 billion in present value terms (using a discount rate of 5 per cent).</w:t>
      </w:r>
    </w:p>
    <w:p w14:paraId="4220B27C" w14:textId="6DAEB5C1" w:rsidR="006568C5" w:rsidRPr="006F0F88" w:rsidRDefault="006568C5" w:rsidP="009B4D09">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w:instrText>
      </w:r>
      <w:fldSimple w:instr=" STYLEREF &quot;Heading 1&quot; \l \n ">
        <w:r w:rsidR="00520F9E">
          <w:rPr>
            <w:noProof/>
          </w:rPr>
          <w:instrText>8</w:instrText>
        </w:r>
      </w:fldSimple>
      <w:r w:rsidRPr="006F0F88">
        <w:instrText xml:space="preserve">." </w:instrText>
      </w:r>
      <w:r w:rsidRPr="006F0F88">
        <w:fldChar w:fldCharType="separate"/>
      </w:r>
      <w:r w:rsidR="00520F9E">
        <w:rPr>
          <w:noProof/>
        </w:rPr>
        <w:instrText>8</w:instrText>
      </w:r>
      <w:r w:rsidR="00520F9E"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8</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520F9E">
        <w:rPr>
          <w:noProof/>
        </w:rPr>
        <w:instrText>16</w:instrText>
      </w:r>
      <w:r w:rsidRPr="006F0F88">
        <w:fldChar w:fldCharType="end"/>
      </w:r>
      <w:r w:rsidRPr="006F0F88">
        <w:instrText xml:space="preserve">" "" </w:instrText>
      </w:r>
      <w:r w:rsidRPr="006F0F88">
        <w:fldChar w:fldCharType="separate"/>
      </w:r>
      <w:bookmarkStart w:id="6324" w:name="_Caption6478"/>
      <w:bookmarkStart w:id="6325" w:name="_Caption1241"/>
      <w:bookmarkStart w:id="6326" w:name="_Caption8015"/>
      <w:bookmarkStart w:id="6327" w:name="_Caption7959"/>
      <w:bookmarkStart w:id="6328" w:name="_Caption7558"/>
      <w:bookmarkStart w:id="6329" w:name="_Caption7021"/>
      <w:bookmarkStart w:id="6330" w:name="_Caption6811"/>
      <w:bookmarkStart w:id="6331" w:name="_Caption0593"/>
      <w:bookmarkStart w:id="6332" w:name="_Caption8806"/>
      <w:bookmarkStart w:id="6333" w:name="_Caption6959"/>
      <w:bookmarkStart w:id="6334" w:name="_Caption2076"/>
      <w:bookmarkStart w:id="6335" w:name="_Caption2167"/>
      <w:bookmarkStart w:id="6336" w:name="_Caption0070"/>
      <w:bookmarkStart w:id="6337" w:name="_Caption4432"/>
      <w:bookmarkStart w:id="6338" w:name="_Caption4608"/>
      <w:bookmarkStart w:id="6339" w:name="_Caption7885"/>
      <w:bookmarkStart w:id="6340" w:name="_Caption3191"/>
      <w:bookmarkStart w:id="6341" w:name="_Caption9762"/>
      <w:bookmarkStart w:id="6342" w:name="_Caption6468"/>
      <w:bookmarkStart w:id="6343" w:name="_Caption1712"/>
      <w:bookmarkStart w:id="6344" w:name="_Caption9791"/>
      <w:bookmarkStart w:id="6345" w:name="_Caption3843"/>
      <w:bookmarkStart w:id="6346" w:name="_Caption3991"/>
      <w:bookmarkStart w:id="6347" w:name="_Caption9930"/>
      <w:bookmarkStart w:id="6348" w:name="_Caption6421"/>
      <w:bookmarkStart w:id="6349" w:name="_Caption5076"/>
      <w:bookmarkStart w:id="6350" w:name="_Caption4132"/>
      <w:bookmarkStart w:id="6351" w:name="_Caption1542"/>
      <w:bookmarkStart w:id="6352" w:name="_Caption2882"/>
      <w:bookmarkStart w:id="6353" w:name="_Caption9783"/>
      <w:bookmarkStart w:id="6354" w:name="_Caption6114"/>
      <w:bookmarkStart w:id="6355" w:name="_Caption8765"/>
      <w:bookmarkStart w:id="6356" w:name="_Caption8075"/>
      <w:bookmarkStart w:id="6357" w:name="_Caption1128"/>
      <w:bookmarkStart w:id="6358" w:name="_Caption3374"/>
      <w:bookmarkStart w:id="6359" w:name="_Caption1095"/>
      <w:bookmarkStart w:id="6360" w:name="_Caption0279"/>
      <w:bookmarkStart w:id="6361" w:name="_Caption5525"/>
      <w:bookmarkStart w:id="6362" w:name="_Caption3516"/>
      <w:bookmarkStart w:id="6363" w:name="_Caption4931"/>
      <w:bookmarkStart w:id="6364" w:name="_Caption4418"/>
      <w:bookmarkStart w:id="6365" w:name="_Caption4063"/>
      <w:bookmarkStart w:id="6366" w:name="_Caption1097"/>
      <w:bookmarkStart w:id="6367" w:name="_Caption1106"/>
      <w:bookmarkStart w:id="6368" w:name="_Caption2109"/>
      <w:bookmarkStart w:id="6369" w:name="_Caption0875"/>
      <w:bookmarkStart w:id="6370" w:name="_Caption0632"/>
      <w:bookmarkStart w:id="6371" w:name="_Caption3622"/>
      <w:bookmarkStart w:id="6372" w:name="_Caption4340"/>
      <w:bookmarkStart w:id="6373" w:name="_Caption0584"/>
      <w:bookmarkStart w:id="6374" w:name="_Caption5760"/>
      <w:bookmarkStart w:id="6375" w:name="_Caption7573"/>
      <w:bookmarkStart w:id="6376" w:name="_Caption8076"/>
      <w:bookmarkStart w:id="6377" w:name="_Caption1657"/>
      <w:bookmarkStart w:id="6378" w:name="_Caption4845"/>
      <w:bookmarkStart w:id="6379" w:name="_Caption6900"/>
      <w:bookmarkStart w:id="6380" w:name="_Caption0930"/>
      <w:bookmarkStart w:id="6381" w:name="_Caption4904"/>
      <w:bookmarkStart w:id="6382" w:name="_Caption1796"/>
      <w:bookmarkStart w:id="6383" w:name="_Caption5239"/>
      <w:bookmarkStart w:id="6384" w:name="_Caption2320"/>
      <w:bookmarkStart w:id="6385" w:name="_Caption9164"/>
      <w:bookmarkStart w:id="6386" w:name="_Caption4383"/>
      <w:bookmarkStart w:id="6387" w:name="_Caption6384"/>
      <w:bookmarkStart w:id="6388" w:name="_Caption8636"/>
      <w:bookmarkStart w:id="6389" w:name="_Caption0923"/>
      <w:bookmarkStart w:id="6390" w:name="_Caption8607"/>
      <w:bookmarkStart w:id="6391" w:name="_Caption7620"/>
      <w:bookmarkStart w:id="6392" w:name="_Caption4450"/>
      <w:bookmarkStart w:id="6393" w:name="_Caption7250"/>
      <w:bookmarkStart w:id="6394" w:name="_Caption4385"/>
      <w:bookmarkStart w:id="6395" w:name="_Caption8852"/>
      <w:bookmarkStart w:id="6396" w:name="_Caption0992"/>
      <w:bookmarkStart w:id="6397" w:name="_Caption8707"/>
      <w:bookmarkStart w:id="6398" w:name="_Caption1323"/>
      <w:bookmarkStart w:id="6399" w:name="_Caption3086"/>
      <w:bookmarkStart w:id="6400" w:name="_Caption7979"/>
      <w:bookmarkStart w:id="6401" w:name="_Caption0216"/>
      <w:bookmarkStart w:id="6402" w:name="_Caption2924"/>
      <w:bookmarkStart w:id="6403" w:name="_Caption5055"/>
      <w:bookmarkStart w:id="6404" w:name="_Caption5939"/>
      <w:bookmarkStart w:id="6405" w:name="_Caption8222"/>
      <w:bookmarkStart w:id="6406" w:name="_Caption8994"/>
      <w:bookmarkStart w:id="6407" w:name="_Caption0698"/>
      <w:bookmarkStart w:id="6408" w:name="_Caption7511"/>
      <w:bookmarkStart w:id="6409" w:name="_Caption1441"/>
      <w:bookmarkStart w:id="6410" w:name="_Caption6627"/>
      <w:bookmarkStart w:id="6411" w:name="_Caption8199"/>
      <w:bookmarkStart w:id="6412" w:name="_Caption9118"/>
      <w:bookmarkStart w:id="6413" w:name="_Caption0893"/>
      <w:bookmarkStart w:id="6414" w:name="_Caption3777"/>
      <w:bookmarkStart w:id="6415" w:name="_Caption4549"/>
      <w:bookmarkStart w:id="6416" w:name="_Caption7772"/>
      <w:bookmarkStart w:id="6417" w:name="_Caption4349"/>
      <w:bookmarkStart w:id="6418" w:name="_Caption7216"/>
      <w:bookmarkStart w:id="6419" w:name="_Caption9020"/>
      <w:bookmarkStart w:id="6420" w:name="_Caption2517"/>
      <w:bookmarkStart w:id="6421" w:name="_Caption9808"/>
      <w:bookmarkStart w:id="6422" w:name="_Caption1348"/>
      <w:bookmarkStart w:id="6423" w:name="_Caption9654"/>
      <w:bookmarkStart w:id="6424" w:name="_Toc177735205"/>
      <w:bookmarkStart w:id="6425" w:name="_Toc178292640"/>
      <w:r w:rsidR="008C60A3">
        <w:rPr>
          <w:noProof/>
        </w:rPr>
        <w:t>8</w:t>
      </w:r>
      <w:r w:rsidR="008C60A3" w:rsidRPr="006F0F88">
        <w:rPr>
          <w:noProof/>
        </w:rPr>
        <w:t>.</w:t>
      </w:r>
      <w:r w:rsidR="008C60A3">
        <w:rPr>
          <w:noProof/>
        </w:rPr>
        <w:t>16</w:t>
      </w:r>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r w:rsidRPr="006F0F88">
        <w:fldChar w:fldCharType="end"/>
      </w:r>
      <w:r w:rsidRPr="006F0F88">
        <w:tab/>
        <w:t>Total benefits from mandatory electric vehicle charging</w:t>
      </w:r>
      <w:bookmarkEnd w:id="6424"/>
      <w:bookmarkEnd w:id="6425"/>
    </w:p>
    <w:tbl>
      <w:tblPr>
        <w:tblW w:w="7938" w:type="dxa"/>
        <w:tblLayout w:type="fixed"/>
        <w:tblLook w:val="0000" w:firstRow="0" w:lastRow="0" w:firstColumn="0" w:lastColumn="0" w:noHBand="0" w:noVBand="0"/>
        <w:tblCaption w:val="Table 6.28 - Total benefits from mandatory electric vehicle charging"/>
      </w:tblPr>
      <w:tblGrid>
        <w:gridCol w:w="3969"/>
        <w:gridCol w:w="3969"/>
      </w:tblGrid>
      <w:tr w:rsidR="006568C5" w14:paraId="5BE2D05D" w14:textId="77777777">
        <w:trPr>
          <w:trHeight w:val="490"/>
        </w:trPr>
        <w:tc>
          <w:tcPr>
            <w:tcW w:w="3969" w:type="dxa"/>
            <w:shd w:val="clear" w:color="auto" w:fill="6F6652"/>
            <w:tcMar>
              <w:left w:w="57" w:type="dxa"/>
              <w:right w:w="57" w:type="dxa"/>
            </w:tcMar>
          </w:tcPr>
          <w:p w14:paraId="7B6C131D" w14:textId="77777777" w:rsidR="006568C5" w:rsidRDefault="006568C5">
            <w:pPr>
              <w:pStyle w:val="TableDataColumnHeading"/>
              <w:jc w:val="left"/>
            </w:pPr>
            <w:r>
              <w:t>Benefit</w:t>
            </w:r>
          </w:p>
        </w:tc>
        <w:tc>
          <w:tcPr>
            <w:tcW w:w="3969" w:type="dxa"/>
            <w:shd w:val="clear" w:color="auto" w:fill="6F6652"/>
            <w:tcMar>
              <w:left w:w="57" w:type="dxa"/>
              <w:right w:w="57" w:type="dxa"/>
            </w:tcMar>
          </w:tcPr>
          <w:p w14:paraId="7C263817" w14:textId="77777777" w:rsidR="006568C5" w:rsidRDefault="006568C5">
            <w:pPr>
              <w:pStyle w:val="TableDataColumnHeading"/>
            </w:pPr>
            <w:r>
              <w:t>Estimated benefit</w:t>
            </w:r>
          </w:p>
          <w:p w14:paraId="6142D499" w14:textId="77777777" w:rsidR="006568C5" w:rsidRDefault="006568C5">
            <w:pPr>
              <w:pStyle w:val="TableDataColumnHeading"/>
            </w:pPr>
            <w:r>
              <w:t>$’000s</w:t>
            </w:r>
          </w:p>
        </w:tc>
      </w:tr>
      <w:tr w:rsidR="006568C5" w14:paraId="64384217" w14:textId="77777777">
        <w:trPr>
          <w:trHeight w:val="245"/>
        </w:trPr>
        <w:tc>
          <w:tcPr>
            <w:tcW w:w="39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760775F" w14:textId="77777777" w:rsidR="006568C5" w:rsidRDefault="006568C5">
            <w:pPr>
              <w:pStyle w:val="TableDataEntries"/>
              <w:jc w:val="left"/>
            </w:pPr>
            <w:r w:rsidRPr="009A6FDE">
              <w:t>Improved access to destination charging</w:t>
            </w:r>
          </w:p>
        </w:tc>
        <w:tc>
          <w:tcPr>
            <w:tcW w:w="39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3AD04D75" w14:textId="77777777" w:rsidR="006568C5" w:rsidRDefault="006568C5">
            <w:pPr>
              <w:pStyle w:val="TableDataEntries"/>
            </w:pPr>
            <w:r>
              <w:rPr>
                <w:szCs w:val="16"/>
              </w:rPr>
              <w:t>1,560,617</w:t>
            </w:r>
          </w:p>
        </w:tc>
      </w:tr>
      <w:tr w:rsidR="006568C5" w14:paraId="64B62FFC" w14:textId="77777777">
        <w:trPr>
          <w:trHeight w:val="245"/>
        </w:trPr>
        <w:tc>
          <w:tcPr>
            <w:tcW w:w="39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4C5C39" w14:textId="77777777" w:rsidR="006568C5" w:rsidRDefault="006568C5">
            <w:pPr>
              <w:pStyle w:val="TableDataEntries"/>
              <w:jc w:val="left"/>
            </w:pPr>
            <w:r w:rsidRPr="009A6FDE">
              <w:t>Mitigation of climate change</w:t>
            </w:r>
          </w:p>
        </w:tc>
        <w:tc>
          <w:tcPr>
            <w:tcW w:w="39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557AD7D0" w14:textId="77777777" w:rsidR="006568C5" w:rsidRDefault="006568C5">
            <w:pPr>
              <w:pStyle w:val="TableDataEntries"/>
            </w:pPr>
            <w:r>
              <w:rPr>
                <w:szCs w:val="16"/>
              </w:rPr>
              <w:t>84,059</w:t>
            </w:r>
          </w:p>
        </w:tc>
      </w:tr>
      <w:tr w:rsidR="006568C5" w14:paraId="4DF27FC9" w14:textId="77777777">
        <w:trPr>
          <w:trHeight w:val="245"/>
        </w:trPr>
        <w:tc>
          <w:tcPr>
            <w:tcW w:w="39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C5BC631" w14:textId="77777777" w:rsidR="006568C5" w:rsidRDefault="006568C5">
            <w:pPr>
              <w:pStyle w:val="TableDataEntries"/>
              <w:jc w:val="left"/>
            </w:pPr>
            <w:r w:rsidRPr="009A6FDE">
              <w:t>Mitigation of air pollution</w:t>
            </w:r>
          </w:p>
        </w:tc>
        <w:tc>
          <w:tcPr>
            <w:tcW w:w="39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center"/>
          </w:tcPr>
          <w:p w14:paraId="27CF1201" w14:textId="77777777" w:rsidR="006568C5" w:rsidRDefault="006568C5">
            <w:pPr>
              <w:pStyle w:val="TableDataEntries"/>
            </w:pPr>
            <w:r>
              <w:rPr>
                <w:szCs w:val="16"/>
              </w:rPr>
              <w:t>12,105</w:t>
            </w:r>
          </w:p>
        </w:tc>
      </w:tr>
      <w:tr w:rsidR="006568C5" w:rsidRPr="000E2B4B" w14:paraId="664F0294" w14:textId="77777777">
        <w:trPr>
          <w:trHeight w:val="245"/>
        </w:trPr>
        <w:tc>
          <w:tcPr>
            <w:tcW w:w="3969"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B1D3089" w14:textId="77777777" w:rsidR="006568C5" w:rsidRPr="000E2B4B" w:rsidRDefault="006568C5">
            <w:pPr>
              <w:pStyle w:val="TableDataEntries"/>
              <w:jc w:val="left"/>
              <w:rPr>
                <w:rFonts w:ascii="Franklin Gothic Demi" w:hAnsi="Franklin Gothic Demi"/>
              </w:rPr>
            </w:pPr>
            <w:r w:rsidRPr="000E2B4B">
              <w:rPr>
                <w:rFonts w:ascii="Franklin Gothic Demi" w:hAnsi="Franklin Gothic Demi"/>
              </w:rPr>
              <w:t>Total</w:t>
            </w:r>
          </w:p>
        </w:tc>
        <w:tc>
          <w:tcPr>
            <w:tcW w:w="3969" w:type="dxa"/>
            <w:tcBorders>
              <w:top w:val="single" w:sz="8" w:space="0" w:color="FFFFFF" w:themeColor="background1"/>
              <w:bottom w:val="single" w:sz="6" w:space="0" w:color="6F6652"/>
            </w:tcBorders>
            <w:shd w:val="clear" w:color="auto" w:fill="C2DADB" w:themeFill="accent6" w:themeFillTint="99"/>
            <w:tcMar>
              <w:left w:w="57" w:type="dxa"/>
              <w:right w:w="57" w:type="dxa"/>
            </w:tcMar>
            <w:vAlign w:val="center"/>
          </w:tcPr>
          <w:p w14:paraId="59DBF4E6" w14:textId="77777777" w:rsidR="006568C5" w:rsidRPr="000E2B4B" w:rsidRDefault="006568C5">
            <w:pPr>
              <w:pStyle w:val="TableDataEntries"/>
              <w:rPr>
                <w:rFonts w:ascii="Franklin Gothic Demi" w:hAnsi="Franklin Gothic Demi"/>
              </w:rPr>
            </w:pPr>
            <w:r>
              <w:rPr>
                <w:rFonts w:ascii="Franklin Gothic Demi" w:hAnsi="Franklin Gothic Demi"/>
                <w:szCs w:val="16"/>
              </w:rPr>
              <w:t>1,656,780</w:t>
            </w:r>
          </w:p>
        </w:tc>
      </w:tr>
    </w:tbl>
    <w:p w14:paraId="0022DE9B" w14:textId="77777777" w:rsidR="006568C5" w:rsidRDefault="006568C5" w:rsidP="006568C5">
      <w:pPr>
        <w:pStyle w:val="Source"/>
        <w:rPr>
          <w:lang w:bidi="fa-IR"/>
        </w:rPr>
      </w:pPr>
      <w:r w:rsidRPr="00CF03A6">
        <w:rPr>
          <w:i/>
          <w:lang w:bidi="fa-IR"/>
        </w:rPr>
        <w:t>Source:</w:t>
      </w:r>
      <w:r>
        <w:rPr>
          <w:lang w:bidi="fa-IR"/>
        </w:rPr>
        <w:t xml:space="preserve"> CIE analysis.</w:t>
      </w:r>
    </w:p>
    <w:p w14:paraId="673A136D" w14:textId="77777777" w:rsidR="009B4D09" w:rsidRPr="003B661C" w:rsidRDefault="009B4D09" w:rsidP="009B4D09">
      <w:pPr>
        <w:pStyle w:val="Heading2"/>
        <w:numPr>
          <w:ilvl w:val="1"/>
          <w:numId w:val="0"/>
        </w:numPr>
        <w:rPr>
          <w:lang w:bidi="fa-IR"/>
        </w:rPr>
      </w:pPr>
      <w:bookmarkStart w:id="6426" w:name="_Toc177735118"/>
      <w:bookmarkStart w:id="6427" w:name="_Toc178292552"/>
      <w:r w:rsidRPr="003B661C">
        <w:rPr>
          <w:lang w:bidi="fa-IR"/>
        </w:rPr>
        <w:t>Sensitivity analysis</w:t>
      </w:r>
      <w:bookmarkEnd w:id="6426"/>
      <w:bookmarkEnd w:id="6427"/>
    </w:p>
    <w:p w14:paraId="3A083DC6" w14:textId="6E5D54C3" w:rsidR="009B4D09" w:rsidRDefault="006757A2" w:rsidP="009B4D09">
      <w:pPr>
        <w:pStyle w:val="BodyText"/>
        <w:rPr>
          <w:lang w:bidi="fa-IR"/>
        </w:rPr>
      </w:pPr>
      <w:r>
        <w:rPr>
          <w:lang w:bidi="fa-IR"/>
        </w:rPr>
        <w:t xml:space="preserve">The alternative assumptions used for sensitivity testing are </w:t>
      </w:r>
      <w:r w:rsidRPr="005301F8">
        <w:rPr>
          <w:lang w:bidi="fa-IR"/>
        </w:rPr>
        <w:t>summarised in table </w:t>
      </w:r>
      <w:r w:rsidR="00915159" w:rsidRPr="005301F8">
        <w:rPr>
          <w:lang w:bidi="fa-IR"/>
        </w:rPr>
        <w:t>8.17</w:t>
      </w:r>
      <w:r w:rsidRPr="005301F8">
        <w:rPr>
          <w:lang w:bidi="fa-IR"/>
        </w:rPr>
        <w:t>.</w:t>
      </w:r>
    </w:p>
    <w:p w14:paraId="75025F6E" w14:textId="333B0562" w:rsidR="00C0674A" w:rsidRDefault="00C0674A" w:rsidP="00C0674A">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520F9E">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520F9E">
          <w:rPr>
            <w:noProof/>
          </w:rPr>
          <w:instrText>8</w:instrText>
        </w:r>
      </w:fldSimple>
      <w:r w:rsidRPr="00695C93">
        <w:instrText xml:space="preserve"> = 0 "" "</w:instrText>
      </w:r>
      <w:fldSimple w:instr=" STYLEREF &quot;Heading 1&quot; \l \n ">
        <w:r w:rsidR="00520F9E">
          <w:rPr>
            <w:noProof/>
          </w:rPr>
          <w:instrText>8</w:instrText>
        </w:r>
      </w:fldSimple>
      <w:r w:rsidRPr="00695C93">
        <w:instrText xml:space="preserve">." </w:instrText>
      </w:r>
      <w:r w:rsidRPr="00695C93">
        <w:fldChar w:fldCharType="separate"/>
      </w:r>
      <w:r w:rsidR="00520F9E">
        <w:rPr>
          <w:noProof/>
        </w:rPr>
        <w:instrText>8</w:instrText>
      </w:r>
      <w:r w:rsidR="00520F9E" w:rsidRPr="00695C93">
        <w:rPr>
          <w:noProof/>
        </w:rPr>
        <w:instrText>.</w:instrText>
      </w:r>
      <w:r w:rsidRPr="00695C93">
        <w:fldChar w:fldCharType="end"/>
      </w:r>
      <w:r w:rsidRPr="00695C93">
        <w:instrText>" "</w:instrText>
      </w:r>
      <w:fldSimple w:instr=" STYLEREF &quot;Heading 6&quot; \l \n ">
        <w:r w:rsidRPr="00695C93">
          <w:instrText>B</w:instrText>
        </w:r>
      </w:fldSimple>
      <w:r w:rsidRPr="00695C93">
        <w:instrText xml:space="preserve">." </w:instrText>
      </w:r>
      <w:r w:rsidRPr="00695C93">
        <w:fldChar w:fldCharType="separate"/>
      </w:r>
      <w:r w:rsidR="008C60A3">
        <w:rPr>
          <w:noProof/>
        </w:rPr>
        <w:instrText>8</w:instrText>
      </w:r>
      <w:r w:rsidR="008C60A3"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520F9E">
          <w:rPr>
            <w:noProof/>
          </w:rPr>
          <w:instrText>0</w:instrText>
        </w:r>
      </w:fldSimple>
      <w:r w:rsidRPr="00695C93">
        <w:instrText xml:space="preserve"> = 0 "</w:instrText>
      </w:r>
      <w:r w:rsidRPr="00695C93">
        <w:fldChar w:fldCharType="begin"/>
      </w:r>
      <w:r w:rsidRPr="00695C93">
        <w:instrText xml:space="preserve"> IF </w:instrText>
      </w:r>
      <w:fldSimple w:instr=" STYLEREF &quot;Heading 1&quot; \l \n ">
        <w:r w:rsidR="00520F9E">
          <w:rPr>
            <w:noProof/>
          </w:rPr>
          <w:instrText>8</w:instrText>
        </w:r>
      </w:fldSimple>
      <w:r w:rsidRPr="00695C93">
        <w:instrText xml:space="preserve"> = 0 "" "1" </w:instrText>
      </w:r>
      <w:r w:rsidRPr="00695C93">
        <w:fldChar w:fldCharType="separate"/>
      </w:r>
      <w:r w:rsidR="008C60A3" w:rsidRPr="00695C93">
        <w:rPr>
          <w:noProof/>
        </w:rPr>
        <w:instrText>1</w:instrText>
      </w:r>
      <w:r w:rsidRPr="00695C93">
        <w:fldChar w:fldCharType="end"/>
      </w:r>
      <w:r w:rsidRPr="00695C93">
        <w:instrText xml:space="preserve">" "6" </w:instrText>
      </w:r>
      <w:r w:rsidRPr="00695C93">
        <w:fldChar w:fldCharType="separate"/>
      </w:r>
      <w:r w:rsidR="008C60A3" w:rsidRPr="00695C93">
        <w:rPr>
          <w:noProof/>
        </w:rPr>
        <w:instrText>1</w:instrText>
      </w:r>
      <w:r w:rsidRPr="00695C93">
        <w:fldChar w:fldCharType="end"/>
      </w:r>
      <w:r w:rsidRPr="00695C93">
        <w:instrText xml:space="preserve"> </w:instrText>
      </w:r>
      <w:r w:rsidRPr="00695C93">
        <w:fldChar w:fldCharType="separate"/>
      </w:r>
      <w:r w:rsidR="00520F9E">
        <w:rPr>
          <w:noProof/>
        </w:rPr>
        <w:instrText>17</w:instrText>
      </w:r>
      <w:r w:rsidRPr="00695C93">
        <w:fldChar w:fldCharType="end"/>
      </w:r>
      <w:r w:rsidRPr="00695C93">
        <w:instrText xml:space="preserve">" "" </w:instrText>
      </w:r>
      <w:r w:rsidRPr="00695C93">
        <w:fldChar w:fldCharType="separate"/>
      </w:r>
      <w:bookmarkStart w:id="6428" w:name="_Toc178292641"/>
      <w:r w:rsidR="008C60A3">
        <w:rPr>
          <w:noProof/>
        </w:rPr>
        <w:t>8</w:t>
      </w:r>
      <w:r w:rsidR="008C60A3" w:rsidRPr="00695C93">
        <w:rPr>
          <w:noProof/>
        </w:rPr>
        <w:t>.</w:t>
      </w:r>
      <w:r w:rsidR="008C60A3">
        <w:rPr>
          <w:noProof/>
        </w:rPr>
        <w:t>17</w:t>
      </w:r>
      <w:r w:rsidRPr="00695C93">
        <w:fldChar w:fldCharType="end"/>
      </w:r>
      <w:r w:rsidRPr="00695C93">
        <w:tab/>
      </w:r>
      <w:r w:rsidR="00D241C2">
        <w:t>Alternative assumptions for sensitivity testing</w:t>
      </w:r>
      <w:bookmarkEnd w:id="6428"/>
    </w:p>
    <w:tbl>
      <w:tblPr>
        <w:tblW w:w="0" w:type="auto"/>
        <w:tblLayout w:type="fixed"/>
        <w:tblLook w:val="0000" w:firstRow="0" w:lastRow="0" w:firstColumn="0" w:lastColumn="0" w:noHBand="0" w:noVBand="0"/>
      </w:tblPr>
      <w:tblGrid>
        <w:gridCol w:w="2645"/>
        <w:gridCol w:w="2646"/>
        <w:gridCol w:w="2646"/>
      </w:tblGrid>
      <w:tr w:rsidR="00C0674A" w14:paraId="2015FF6A" w14:textId="77777777" w:rsidTr="008F529D">
        <w:trPr>
          <w:tblHeader/>
        </w:trPr>
        <w:tc>
          <w:tcPr>
            <w:tcW w:w="2645" w:type="dxa"/>
            <w:tcBorders>
              <w:bottom w:val="single" w:sz="8" w:space="0" w:color="FFFFFF" w:themeColor="background1"/>
            </w:tcBorders>
            <w:shd w:val="clear" w:color="auto" w:fill="6F6652"/>
            <w:tcMar>
              <w:left w:w="57" w:type="dxa"/>
              <w:right w:w="57" w:type="dxa"/>
            </w:tcMar>
          </w:tcPr>
          <w:p w14:paraId="6F72BC77" w14:textId="539865FA" w:rsidR="00C0674A" w:rsidRDefault="006757A2" w:rsidP="00C0674A">
            <w:pPr>
              <w:pStyle w:val="TableTextColumnHeading"/>
              <w:rPr>
                <w:lang w:bidi="fa-IR"/>
              </w:rPr>
            </w:pPr>
            <w:r>
              <w:rPr>
                <w:lang w:bidi="fa-IR"/>
              </w:rPr>
              <w:t>Parameter/v</w:t>
            </w:r>
            <w:r w:rsidR="00C0674A">
              <w:rPr>
                <w:lang w:bidi="fa-IR"/>
              </w:rPr>
              <w:t>ariable</w:t>
            </w:r>
          </w:p>
        </w:tc>
        <w:tc>
          <w:tcPr>
            <w:tcW w:w="2646" w:type="dxa"/>
            <w:tcBorders>
              <w:bottom w:val="single" w:sz="8" w:space="0" w:color="FFFFFF" w:themeColor="background1"/>
            </w:tcBorders>
            <w:shd w:val="clear" w:color="auto" w:fill="6F6652"/>
            <w:tcMar>
              <w:left w:w="57" w:type="dxa"/>
              <w:right w:w="57" w:type="dxa"/>
            </w:tcMar>
          </w:tcPr>
          <w:p w14:paraId="1FB5039D" w14:textId="0B271144" w:rsidR="00C0674A" w:rsidRDefault="00E505E9" w:rsidP="00C0674A">
            <w:pPr>
              <w:pStyle w:val="TableTextColumnHeading"/>
              <w:rPr>
                <w:lang w:bidi="fa-IR"/>
              </w:rPr>
            </w:pPr>
            <w:r>
              <w:rPr>
                <w:lang w:bidi="fa-IR"/>
              </w:rPr>
              <w:t>Central case</w:t>
            </w:r>
          </w:p>
        </w:tc>
        <w:tc>
          <w:tcPr>
            <w:tcW w:w="2646" w:type="dxa"/>
            <w:tcBorders>
              <w:bottom w:val="single" w:sz="8" w:space="0" w:color="FFFFFF" w:themeColor="background1"/>
            </w:tcBorders>
            <w:shd w:val="clear" w:color="auto" w:fill="6F6652"/>
            <w:tcMar>
              <w:left w:w="57" w:type="dxa"/>
              <w:right w:w="57" w:type="dxa"/>
            </w:tcMar>
          </w:tcPr>
          <w:p w14:paraId="7E58648A" w14:textId="6FA712EF" w:rsidR="00C0674A" w:rsidRDefault="00E505E9" w:rsidP="00C0674A">
            <w:pPr>
              <w:pStyle w:val="TableTextColumnHeading"/>
              <w:rPr>
                <w:lang w:bidi="fa-IR"/>
              </w:rPr>
            </w:pPr>
            <w:r>
              <w:rPr>
                <w:lang w:bidi="fa-IR"/>
              </w:rPr>
              <w:t>Alternative</w:t>
            </w:r>
            <w:r w:rsidR="00322A87">
              <w:rPr>
                <w:lang w:bidi="fa-IR"/>
              </w:rPr>
              <w:t xml:space="preserve"> scenario(s)</w:t>
            </w:r>
          </w:p>
        </w:tc>
      </w:tr>
      <w:tr w:rsidR="00C0674A" w14:paraId="307C0185" w14:textId="77777777" w:rsidTr="00C0674A">
        <w:tc>
          <w:tcPr>
            <w:tcW w:w="264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F453F6" w14:textId="14745C5C" w:rsidR="00C0674A" w:rsidRDefault="00322A87" w:rsidP="00C0674A">
            <w:pPr>
              <w:pStyle w:val="TableTextEntries"/>
              <w:rPr>
                <w:lang w:bidi="fa-IR"/>
              </w:rPr>
            </w:pPr>
            <w:r>
              <w:rPr>
                <w:lang w:bidi="fa-IR"/>
              </w:rPr>
              <w:t>Discount rate</w:t>
            </w:r>
          </w:p>
        </w:tc>
        <w:tc>
          <w:tcPr>
            <w:tcW w:w="264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45BEA9" w14:textId="1073BE3C" w:rsidR="00C0674A" w:rsidRDefault="00322A87" w:rsidP="00C0674A">
            <w:pPr>
              <w:pStyle w:val="TableTextEntries"/>
              <w:rPr>
                <w:lang w:bidi="fa-IR"/>
              </w:rPr>
            </w:pPr>
            <w:r>
              <w:rPr>
                <w:lang w:bidi="fa-IR"/>
              </w:rPr>
              <w:t>5 per cent</w:t>
            </w:r>
          </w:p>
        </w:tc>
        <w:tc>
          <w:tcPr>
            <w:tcW w:w="264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265BB5" w14:textId="77777777" w:rsidR="00C0674A" w:rsidRDefault="00322A87" w:rsidP="002F763E">
            <w:pPr>
              <w:pStyle w:val="TableListBullet"/>
              <w:rPr>
                <w:lang w:bidi="fa-IR"/>
              </w:rPr>
            </w:pPr>
            <w:r>
              <w:rPr>
                <w:lang w:bidi="fa-IR"/>
              </w:rPr>
              <w:t>2 per cent</w:t>
            </w:r>
          </w:p>
          <w:p w14:paraId="1CB03F60" w14:textId="0E31BFB8" w:rsidR="00322A87" w:rsidRDefault="00322A87" w:rsidP="002F763E">
            <w:pPr>
              <w:pStyle w:val="TableListBullet"/>
              <w:rPr>
                <w:lang w:bidi="fa-IR"/>
              </w:rPr>
            </w:pPr>
            <w:r>
              <w:rPr>
                <w:lang w:bidi="fa-IR"/>
              </w:rPr>
              <w:t>7 per cent</w:t>
            </w:r>
          </w:p>
        </w:tc>
      </w:tr>
      <w:tr w:rsidR="00BA50D8" w14:paraId="47004454" w14:textId="77777777" w:rsidTr="00C0674A">
        <w:tc>
          <w:tcPr>
            <w:tcW w:w="2645" w:type="dxa"/>
            <w:tcBorders>
              <w:top w:val="single" w:sz="8" w:space="0" w:color="FFFFFF" w:themeColor="background1"/>
              <w:bottom w:val="single" w:sz="6" w:space="0" w:color="6F6652"/>
            </w:tcBorders>
            <w:shd w:val="clear" w:color="auto" w:fill="E9E8E5" w:themeFill="background2"/>
            <w:tcMar>
              <w:left w:w="57" w:type="dxa"/>
              <w:right w:w="57" w:type="dxa"/>
            </w:tcMar>
          </w:tcPr>
          <w:p w14:paraId="5FFE1071" w14:textId="2C6FD775" w:rsidR="00BA50D8" w:rsidRDefault="00BA50D8" w:rsidP="00BA50D8">
            <w:pPr>
              <w:pStyle w:val="TableTextEntries"/>
              <w:rPr>
                <w:lang w:bidi="fa-IR"/>
              </w:rPr>
            </w:pPr>
            <w:r>
              <w:rPr>
                <w:lang w:bidi="fa-IR"/>
              </w:rPr>
              <w:t>GHG emissions</w:t>
            </w:r>
          </w:p>
        </w:tc>
        <w:tc>
          <w:tcPr>
            <w:tcW w:w="2646" w:type="dxa"/>
            <w:tcBorders>
              <w:top w:val="single" w:sz="8" w:space="0" w:color="FFFFFF" w:themeColor="background1"/>
              <w:bottom w:val="single" w:sz="6" w:space="0" w:color="6F6652"/>
            </w:tcBorders>
            <w:shd w:val="clear" w:color="auto" w:fill="E9E8E5" w:themeFill="background2"/>
            <w:tcMar>
              <w:left w:w="57" w:type="dxa"/>
              <w:right w:w="57" w:type="dxa"/>
            </w:tcMar>
          </w:tcPr>
          <w:p w14:paraId="30C99897" w14:textId="59A9666A" w:rsidR="00BA50D8" w:rsidRDefault="00BA50D8" w:rsidP="00BA50D8">
            <w:pPr>
              <w:pStyle w:val="TableTextEntries"/>
              <w:rPr>
                <w:lang w:bidi="fa-IR"/>
              </w:rPr>
            </w:pPr>
            <w:r>
              <w:rPr>
                <w:lang w:bidi="fa-IR"/>
              </w:rPr>
              <w:t>SCC (2.0% discount rate)</w:t>
            </w:r>
          </w:p>
        </w:tc>
        <w:tc>
          <w:tcPr>
            <w:tcW w:w="2646" w:type="dxa"/>
            <w:tcBorders>
              <w:top w:val="single" w:sz="8" w:space="0" w:color="FFFFFF" w:themeColor="background1"/>
              <w:bottom w:val="single" w:sz="6" w:space="0" w:color="6F6652"/>
            </w:tcBorders>
            <w:shd w:val="clear" w:color="auto" w:fill="E9E8E5" w:themeFill="background2"/>
            <w:tcMar>
              <w:left w:w="57" w:type="dxa"/>
              <w:right w:w="57" w:type="dxa"/>
            </w:tcMar>
          </w:tcPr>
          <w:p w14:paraId="52CAD237" w14:textId="77777777" w:rsidR="00BA50D8" w:rsidRDefault="00BA50D8" w:rsidP="00BA50D8">
            <w:pPr>
              <w:pStyle w:val="TableListBullet"/>
              <w:rPr>
                <w:lang w:bidi="fa-IR"/>
              </w:rPr>
            </w:pPr>
            <w:r>
              <w:rPr>
                <w:lang w:bidi="fa-IR"/>
              </w:rPr>
              <w:t>SCC (1.5% discount rate)</w:t>
            </w:r>
          </w:p>
          <w:p w14:paraId="49EF5C6D" w14:textId="77777777" w:rsidR="00BA50D8" w:rsidRDefault="00BA50D8" w:rsidP="00BA50D8">
            <w:pPr>
              <w:pStyle w:val="TableListBullet"/>
              <w:rPr>
                <w:lang w:bidi="fa-IR"/>
              </w:rPr>
            </w:pPr>
            <w:r>
              <w:rPr>
                <w:lang w:bidi="fa-IR"/>
              </w:rPr>
              <w:t>SCC (2.5% discount rate)</w:t>
            </w:r>
          </w:p>
          <w:p w14:paraId="7EB99045" w14:textId="77777777" w:rsidR="00BA50D8" w:rsidRDefault="00BA50D8" w:rsidP="00BA50D8">
            <w:pPr>
              <w:pStyle w:val="TableListBullet"/>
              <w:rPr>
                <w:lang w:bidi="fa-IR"/>
              </w:rPr>
            </w:pPr>
            <w:r>
              <w:rPr>
                <w:lang w:bidi="fa-IR"/>
              </w:rPr>
              <w:t>IA Low carbon value</w:t>
            </w:r>
          </w:p>
          <w:p w14:paraId="2FE09CA1" w14:textId="77777777" w:rsidR="00BA50D8" w:rsidRDefault="00BA50D8" w:rsidP="00BA50D8">
            <w:pPr>
              <w:pStyle w:val="TableListBullet"/>
              <w:rPr>
                <w:lang w:bidi="fa-IR"/>
              </w:rPr>
            </w:pPr>
            <w:r>
              <w:rPr>
                <w:lang w:bidi="fa-IR"/>
              </w:rPr>
              <w:t>IA Medium carbon value</w:t>
            </w:r>
          </w:p>
          <w:p w14:paraId="40EFB504" w14:textId="56E5A62D" w:rsidR="00BA50D8" w:rsidRDefault="00BA50D8" w:rsidP="00BA50D8">
            <w:pPr>
              <w:pStyle w:val="TableListBullet"/>
              <w:rPr>
                <w:lang w:bidi="fa-IR"/>
              </w:rPr>
            </w:pPr>
            <w:r>
              <w:rPr>
                <w:lang w:bidi="fa-IR"/>
              </w:rPr>
              <w:t>IA High carbon value</w:t>
            </w:r>
          </w:p>
        </w:tc>
      </w:tr>
    </w:tbl>
    <w:p w14:paraId="04A1B041" w14:textId="5DF3051D" w:rsidR="00C0674A" w:rsidRDefault="00C0674A" w:rsidP="00C0674A">
      <w:pPr>
        <w:pStyle w:val="Source"/>
        <w:rPr>
          <w:lang w:bidi="fa-IR"/>
        </w:rPr>
      </w:pPr>
      <w:r w:rsidRPr="00C0674A">
        <w:rPr>
          <w:i/>
          <w:lang w:bidi="fa-IR"/>
        </w:rPr>
        <w:t>Source:</w:t>
      </w:r>
      <w:r>
        <w:rPr>
          <w:lang w:bidi="fa-IR"/>
        </w:rPr>
        <w:t xml:space="preserve"> </w:t>
      </w:r>
      <w:r w:rsidR="006757A2">
        <w:rPr>
          <w:lang w:bidi="fa-IR"/>
        </w:rPr>
        <w:t>CIE.</w:t>
      </w:r>
    </w:p>
    <w:p w14:paraId="30917414" w14:textId="53C20E6B" w:rsidR="00C0674A" w:rsidRDefault="008F4843" w:rsidP="009B4D09">
      <w:pPr>
        <w:pStyle w:val="BodyText"/>
        <w:rPr>
          <w:lang w:bidi="fa-IR"/>
        </w:rPr>
      </w:pPr>
      <w:r>
        <w:rPr>
          <w:lang w:bidi="fa-IR"/>
        </w:rPr>
        <w:t>The estimated net impact under each of these scenarios is summarised in table</w:t>
      </w:r>
      <w:r w:rsidR="00D379BE">
        <w:rPr>
          <w:lang w:bidi="fa-IR"/>
        </w:rPr>
        <w:t> </w:t>
      </w:r>
      <w:r w:rsidR="005301F8">
        <w:rPr>
          <w:lang w:bidi="fa-IR"/>
        </w:rPr>
        <w:t>8.18</w:t>
      </w:r>
      <w:r w:rsidR="00D379BE">
        <w:rPr>
          <w:lang w:bidi="fa-IR"/>
        </w:rPr>
        <w:t>.</w:t>
      </w:r>
    </w:p>
    <w:p w14:paraId="78F6A47A" w14:textId="63F0E131" w:rsidR="0078751F" w:rsidRPr="006F0F88" w:rsidRDefault="0078751F" w:rsidP="0078751F">
      <w:pPr>
        <w:pStyle w:val="Caption"/>
      </w:pPr>
      <w:r w:rsidRPr="006F0F88">
        <w:fldChar w:fldCharType="begin"/>
      </w:r>
      <w:r w:rsidRPr="006F0F88">
        <w:instrText xml:space="preserve"> IF 1 = 1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w:instrText>
      </w:r>
      <w:fldSimple w:instr=" STYLEREF &quot;Heading 1&quot; \l \n ">
        <w:r w:rsidR="00520F9E">
          <w:rPr>
            <w:noProof/>
          </w:rPr>
          <w:instrText>8</w:instrText>
        </w:r>
      </w:fldSimple>
      <w:r w:rsidRPr="006F0F88">
        <w:instrText xml:space="preserve">." </w:instrText>
      </w:r>
      <w:r w:rsidRPr="006F0F88">
        <w:fldChar w:fldCharType="separate"/>
      </w:r>
      <w:r w:rsidR="00520F9E">
        <w:rPr>
          <w:noProof/>
        </w:rPr>
        <w:instrText>8</w:instrText>
      </w:r>
      <w:r w:rsidR="00520F9E" w:rsidRPr="006F0F88">
        <w:rPr>
          <w:noProof/>
        </w:rPr>
        <w:instrText>.</w:instrText>
      </w:r>
      <w:r w:rsidRPr="006F0F88">
        <w:fldChar w:fldCharType="end"/>
      </w:r>
      <w:r w:rsidRPr="006F0F88">
        <w:instrText>" "</w:instrText>
      </w:r>
      <w:fldSimple w:instr=" STYLEREF &quot;Heading 6&quot; \l \n ">
        <w:r w:rsidRPr="006F0F88">
          <w:instrText>B</w:instrText>
        </w:r>
      </w:fldSimple>
      <w:r w:rsidRPr="006F0F88">
        <w:instrText xml:space="preserve">." </w:instrText>
      </w:r>
      <w:r w:rsidRPr="006F0F88">
        <w:fldChar w:fldCharType="separate"/>
      </w:r>
      <w:r w:rsidR="008C60A3">
        <w:rPr>
          <w:noProof/>
        </w:rPr>
        <w:instrText>8</w:instrText>
      </w:r>
      <w:r w:rsidR="008C60A3" w:rsidRPr="006F0F88">
        <w:rPr>
          <w:noProof/>
        </w:rPr>
        <w:instrText>.</w:instrText>
      </w:r>
      <w:r w:rsidRPr="006F0F88">
        <w:fldChar w:fldCharType="end"/>
      </w:r>
      <w:r w:rsidRPr="006F0F88">
        <w:fldChar w:fldCharType="begin"/>
      </w:r>
      <w:r w:rsidRPr="006F0F88">
        <w:instrText xml:space="preserve"> SEQ Item \* ARABIC \s </w:instrText>
      </w:r>
      <w:r w:rsidRPr="006F0F88">
        <w:fldChar w:fldCharType="begin"/>
      </w:r>
      <w:r w:rsidRPr="006F0F88">
        <w:instrText xml:space="preserve"> IF </w:instrText>
      </w:r>
      <w:fldSimple w:instr=" STYLEREF &quot;Heading 6&quot; \l \n ">
        <w:r w:rsidR="00520F9E">
          <w:rPr>
            <w:noProof/>
          </w:rPr>
          <w:instrText>0</w:instrText>
        </w:r>
      </w:fldSimple>
      <w:r w:rsidRPr="006F0F88">
        <w:instrText xml:space="preserve"> = 0 "</w:instrText>
      </w:r>
      <w:r w:rsidRPr="006F0F88">
        <w:fldChar w:fldCharType="begin"/>
      </w:r>
      <w:r w:rsidRPr="006F0F88">
        <w:instrText xml:space="preserve"> IF </w:instrText>
      </w:r>
      <w:fldSimple w:instr=" STYLEREF &quot;Heading 1&quot; \l \n ">
        <w:r w:rsidR="00520F9E">
          <w:rPr>
            <w:noProof/>
          </w:rPr>
          <w:instrText>8</w:instrText>
        </w:r>
      </w:fldSimple>
      <w:r w:rsidRPr="006F0F88">
        <w:instrText xml:space="preserve"> = 0 "" "1" </w:instrText>
      </w:r>
      <w:r w:rsidRPr="006F0F88">
        <w:fldChar w:fldCharType="separate"/>
      </w:r>
      <w:r w:rsidR="008C60A3" w:rsidRPr="006F0F88">
        <w:rPr>
          <w:noProof/>
        </w:rPr>
        <w:instrText>1</w:instrText>
      </w:r>
      <w:r w:rsidRPr="006F0F88">
        <w:fldChar w:fldCharType="end"/>
      </w:r>
      <w:r w:rsidRPr="006F0F88">
        <w:instrText xml:space="preserve">" "6" </w:instrText>
      </w:r>
      <w:r w:rsidRPr="006F0F88">
        <w:fldChar w:fldCharType="separate"/>
      </w:r>
      <w:r w:rsidR="008C60A3" w:rsidRPr="006F0F88">
        <w:rPr>
          <w:noProof/>
        </w:rPr>
        <w:instrText>1</w:instrText>
      </w:r>
      <w:r w:rsidRPr="006F0F88">
        <w:fldChar w:fldCharType="end"/>
      </w:r>
      <w:r w:rsidRPr="006F0F88">
        <w:instrText xml:space="preserve"> </w:instrText>
      </w:r>
      <w:r w:rsidRPr="006F0F88">
        <w:fldChar w:fldCharType="separate"/>
      </w:r>
      <w:r w:rsidR="00520F9E">
        <w:rPr>
          <w:noProof/>
        </w:rPr>
        <w:instrText>18</w:instrText>
      </w:r>
      <w:r w:rsidRPr="006F0F88">
        <w:fldChar w:fldCharType="end"/>
      </w:r>
      <w:r w:rsidRPr="006F0F88">
        <w:instrText xml:space="preserve">" "" </w:instrText>
      </w:r>
      <w:r w:rsidRPr="006F0F88">
        <w:fldChar w:fldCharType="separate"/>
      </w:r>
      <w:bookmarkStart w:id="6429" w:name="_Toc178292642"/>
      <w:r w:rsidR="008C60A3">
        <w:rPr>
          <w:noProof/>
        </w:rPr>
        <w:t>8</w:t>
      </w:r>
      <w:r w:rsidR="008C60A3" w:rsidRPr="006F0F88">
        <w:rPr>
          <w:noProof/>
        </w:rPr>
        <w:t>.</w:t>
      </w:r>
      <w:r w:rsidR="008C60A3">
        <w:rPr>
          <w:noProof/>
        </w:rPr>
        <w:t>18</w:t>
      </w:r>
      <w:r w:rsidRPr="006F0F88">
        <w:fldChar w:fldCharType="end"/>
      </w:r>
      <w:r w:rsidRPr="006F0F88">
        <w:tab/>
        <w:t>CBA results under different sensitivity assumptions — net present value</w:t>
      </w:r>
      <w:bookmarkEnd w:id="6429"/>
    </w:p>
    <w:tbl>
      <w:tblPr>
        <w:tblW w:w="7938" w:type="dxa"/>
        <w:tblLayout w:type="fixed"/>
        <w:tblLook w:val="0000" w:firstRow="0" w:lastRow="0" w:firstColumn="0" w:lastColumn="0" w:noHBand="0" w:noVBand="0"/>
        <w:tblCaption w:val="Table 6.17 - CBA results under different sensitivity assumptions — net present value"/>
      </w:tblPr>
      <w:tblGrid>
        <w:gridCol w:w="5245"/>
        <w:gridCol w:w="2693"/>
      </w:tblGrid>
      <w:tr w:rsidR="008566F7" w14:paraId="040E9BF7" w14:textId="77777777" w:rsidTr="008566F7">
        <w:trPr>
          <w:trHeight w:val="667"/>
          <w:tblHeader/>
        </w:trPr>
        <w:tc>
          <w:tcPr>
            <w:tcW w:w="5245" w:type="dxa"/>
            <w:shd w:val="clear" w:color="auto" w:fill="6F6652"/>
            <w:tcMar>
              <w:left w:w="57" w:type="dxa"/>
              <w:right w:w="57" w:type="dxa"/>
            </w:tcMar>
          </w:tcPr>
          <w:p w14:paraId="2910D721" w14:textId="77777777" w:rsidR="008566F7" w:rsidRDefault="008566F7" w:rsidP="00400EFB">
            <w:pPr>
              <w:pStyle w:val="TableDataColumnHeading"/>
              <w:jc w:val="left"/>
            </w:pPr>
            <w:r>
              <w:t>Sensitivity scenario</w:t>
            </w:r>
          </w:p>
        </w:tc>
        <w:tc>
          <w:tcPr>
            <w:tcW w:w="2693" w:type="dxa"/>
            <w:shd w:val="clear" w:color="auto" w:fill="6F6652"/>
            <w:tcMar>
              <w:left w:w="57" w:type="dxa"/>
              <w:right w:w="57" w:type="dxa"/>
            </w:tcMar>
          </w:tcPr>
          <w:p w14:paraId="0619DBBE" w14:textId="4F4DAAC2" w:rsidR="008566F7" w:rsidRDefault="008566F7" w:rsidP="00400EFB">
            <w:pPr>
              <w:pStyle w:val="TableDataColumnHeading"/>
            </w:pPr>
            <w:r>
              <w:t>Net impact</w:t>
            </w:r>
          </w:p>
          <w:p w14:paraId="290FB7D4" w14:textId="77777777" w:rsidR="008566F7" w:rsidRDefault="008566F7" w:rsidP="00400EFB">
            <w:pPr>
              <w:pStyle w:val="TableDataColumnHeading"/>
            </w:pPr>
            <w:r>
              <w:t>$ million</w:t>
            </w:r>
          </w:p>
        </w:tc>
      </w:tr>
      <w:tr w:rsidR="008566F7" w14:paraId="7155490F" w14:textId="77777777" w:rsidTr="008566F7">
        <w:trPr>
          <w:trHeight w:val="245"/>
        </w:trPr>
        <w:tc>
          <w:tcPr>
            <w:tcW w:w="524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81FA11" w14:textId="77777777" w:rsidR="008566F7" w:rsidRDefault="008566F7" w:rsidP="00400EFB">
            <w:pPr>
              <w:pStyle w:val="TableDataEntries"/>
              <w:jc w:val="left"/>
            </w:pPr>
            <w:r>
              <w:t>Central case</w:t>
            </w:r>
          </w:p>
        </w:tc>
        <w:tc>
          <w:tcPr>
            <w:tcW w:w="2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786345E0" w14:textId="303F037A" w:rsidR="008566F7" w:rsidRPr="005A3D0B" w:rsidRDefault="000710B1" w:rsidP="00400EFB">
            <w:pPr>
              <w:pStyle w:val="TableDataEntries"/>
            </w:pPr>
            <w:r w:rsidRPr="000710B1">
              <w:t>-1,739.7</w:t>
            </w:r>
          </w:p>
        </w:tc>
      </w:tr>
      <w:tr w:rsidR="00C6551B" w14:paraId="62BFD8D8" w14:textId="77777777" w:rsidTr="008566F7">
        <w:trPr>
          <w:trHeight w:val="245"/>
        </w:trPr>
        <w:tc>
          <w:tcPr>
            <w:tcW w:w="524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DD2A726" w14:textId="77777777" w:rsidR="00C6551B" w:rsidRDefault="00C6551B" w:rsidP="00C6551B">
            <w:pPr>
              <w:pStyle w:val="TableDataEntries"/>
              <w:jc w:val="left"/>
            </w:pPr>
            <w:r>
              <w:t>Discount rate (2 per cent)</w:t>
            </w:r>
          </w:p>
        </w:tc>
        <w:tc>
          <w:tcPr>
            <w:tcW w:w="2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563428F" w14:textId="2484D4FD" w:rsidR="00C6551B" w:rsidRPr="005A3D0B" w:rsidRDefault="00C6551B" w:rsidP="00C6551B">
            <w:pPr>
              <w:pStyle w:val="TableDataEntries"/>
            </w:pPr>
            <w:r>
              <w:rPr>
                <w:szCs w:val="16"/>
              </w:rPr>
              <w:t>-2 083.6</w:t>
            </w:r>
          </w:p>
        </w:tc>
      </w:tr>
      <w:tr w:rsidR="00C6551B" w14:paraId="6800D7EF" w14:textId="77777777" w:rsidTr="008566F7">
        <w:trPr>
          <w:trHeight w:val="245"/>
        </w:trPr>
        <w:tc>
          <w:tcPr>
            <w:tcW w:w="524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4EEB27A" w14:textId="77777777" w:rsidR="00C6551B" w:rsidRDefault="00C6551B" w:rsidP="00C6551B">
            <w:pPr>
              <w:pStyle w:val="TableDataEntries"/>
              <w:jc w:val="left"/>
            </w:pPr>
            <w:r>
              <w:t>Discount rate (7 per cent)</w:t>
            </w:r>
          </w:p>
        </w:tc>
        <w:tc>
          <w:tcPr>
            <w:tcW w:w="2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441F4A0" w14:textId="16EBC3B5" w:rsidR="00C6551B" w:rsidRPr="005A3D0B" w:rsidRDefault="00C6551B" w:rsidP="00C6551B">
            <w:pPr>
              <w:pStyle w:val="TableDataEntries"/>
            </w:pPr>
            <w:r>
              <w:rPr>
                <w:szCs w:val="16"/>
              </w:rPr>
              <w:t>-1 617.4</w:t>
            </w:r>
          </w:p>
        </w:tc>
      </w:tr>
      <w:tr w:rsidR="00632D1F" w14:paraId="1FBD1EBE" w14:textId="77777777" w:rsidTr="008566F7">
        <w:trPr>
          <w:trHeight w:val="245"/>
        </w:trPr>
        <w:tc>
          <w:tcPr>
            <w:tcW w:w="524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927CFD" w14:textId="77777777" w:rsidR="00632D1F" w:rsidRDefault="00632D1F" w:rsidP="00632D1F">
            <w:pPr>
              <w:pStyle w:val="TableDataEntries"/>
              <w:jc w:val="left"/>
            </w:pPr>
            <w:r>
              <w:t>Social cost of carbon (1.5%)</w:t>
            </w:r>
          </w:p>
        </w:tc>
        <w:tc>
          <w:tcPr>
            <w:tcW w:w="2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29D1E315" w14:textId="4C0BB27A" w:rsidR="00632D1F" w:rsidRPr="005A3D0B" w:rsidRDefault="00632D1F" w:rsidP="00632D1F">
            <w:pPr>
              <w:pStyle w:val="TableDataEntries"/>
            </w:pPr>
            <w:r>
              <w:rPr>
                <w:szCs w:val="16"/>
              </w:rPr>
              <w:t>-1 689.5</w:t>
            </w:r>
          </w:p>
        </w:tc>
      </w:tr>
      <w:tr w:rsidR="00632D1F" w14:paraId="18AF354C" w14:textId="77777777" w:rsidTr="008566F7">
        <w:trPr>
          <w:trHeight w:val="245"/>
        </w:trPr>
        <w:tc>
          <w:tcPr>
            <w:tcW w:w="524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511798" w14:textId="77777777" w:rsidR="00632D1F" w:rsidRDefault="00632D1F" w:rsidP="00632D1F">
            <w:pPr>
              <w:pStyle w:val="TableDataEntries"/>
              <w:jc w:val="left"/>
            </w:pPr>
            <w:r>
              <w:t>Social cost of carbon (2.5%)</w:t>
            </w:r>
          </w:p>
        </w:tc>
        <w:tc>
          <w:tcPr>
            <w:tcW w:w="2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03030162" w14:textId="77CAC3C4" w:rsidR="00632D1F" w:rsidRPr="005A3D0B" w:rsidRDefault="00632D1F" w:rsidP="00632D1F">
            <w:pPr>
              <w:pStyle w:val="TableDataEntries"/>
            </w:pPr>
            <w:r>
              <w:rPr>
                <w:szCs w:val="16"/>
              </w:rPr>
              <w:t>-1 771.0</w:t>
            </w:r>
          </w:p>
        </w:tc>
      </w:tr>
      <w:tr w:rsidR="00632D1F" w14:paraId="5E34E9C8" w14:textId="77777777" w:rsidTr="008566F7">
        <w:trPr>
          <w:trHeight w:val="245"/>
        </w:trPr>
        <w:tc>
          <w:tcPr>
            <w:tcW w:w="524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49C5371" w14:textId="77777777" w:rsidR="00632D1F" w:rsidRDefault="00632D1F" w:rsidP="00632D1F">
            <w:pPr>
              <w:pStyle w:val="TableDataEntries"/>
              <w:jc w:val="left"/>
            </w:pPr>
            <w:r>
              <w:t>IA Low carbon value</w:t>
            </w:r>
          </w:p>
        </w:tc>
        <w:tc>
          <w:tcPr>
            <w:tcW w:w="2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4C39DDAF" w14:textId="38C5210D" w:rsidR="00632D1F" w:rsidRPr="005A3D0B" w:rsidRDefault="00632D1F" w:rsidP="00632D1F">
            <w:pPr>
              <w:pStyle w:val="TableDataEntries"/>
            </w:pPr>
            <w:r>
              <w:rPr>
                <w:szCs w:val="16"/>
              </w:rPr>
              <w:t>-1 781.4</w:t>
            </w:r>
          </w:p>
        </w:tc>
      </w:tr>
      <w:tr w:rsidR="00632D1F" w14:paraId="22F8E1F2" w14:textId="77777777" w:rsidTr="008566F7">
        <w:trPr>
          <w:trHeight w:val="245"/>
        </w:trPr>
        <w:tc>
          <w:tcPr>
            <w:tcW w:w="524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F9752D" w14:textId="77777777" w:rsidR="00632D1F" w:rsidRDefault="00632D1F" w:rsidP="00632D1F">
            <w:pPr>
              <w:pStyle w:val="TableDataEntries"/>
              <w:jc w:val="left"/>
            </w:pPr>
            <w:r>
              <w:t>IA Medium carbon value</w:t>
            </w:r>
          </w:p>
        </w:tc>
        <w:tc>
          <w:tcPr>
            <w:tcW w:w="2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vAlign w:val="bottom"/>
          </w:tcPr>
          <w:p w14:paraId="3310F8D2" w14:textId="7D91CA75" w:rsidR="00632D1F" w:rsidRPr="005A3D0B" w:rsidRDefault="00632D1F" w:rsidP="00632D1F">
            <w:pPr>
              <w:pStyle w:val="TableDataEntries"/>
            </w:pPr>
            <w:r>
              <w:rPr>
                <w:szCs w:val="16"/>
              </w:rPr>
              <w:t>-1 767.5</w:t>
            </w:r>
          </w:p>
        </w:tc>
      </w:tr>
      <w:tr w:rsidR="00F15895" w14:paraId="398876A3" w14:textId="77777777" w:rsidTr="008566F7">
        <w:trPr>
          <w:trHeight w:val="245"/>
        </w:trPr>
        <w:tc>
          <w:tcPr>
            <w:tcW w:w="5245" w:type="dxa"/>
            <w:tcBorders>
              <w:top w:val="single" w:sz="8" w:space="0" w:color="FFFFFF" w:themeColor="background1"/>
              <w:bottom w:val="single" w:sz="6" w:space="0" w:color="6F6652"/>
            </w:tcBorders>
            <w:shd w:val="clear" w:color="auto" w:fill="E9E8E5" w:themeFill="background2"/>
            <w:tcMar>
              <w:left w:w="57" w:type="dxa"/>
              <w:right w:w="57" w:type="dxa"/>
            </w:tcMar>
          </w:tcPr>
          <w:p w14:paraId="166A1BAC" w14:textId="2588B219" w:rsidR="00F15895" w:rsidRDefault="00F15895" w:rsidP="00F15895">
            <w:pPr>
              <w:pStyle w:val="TableDataEntries"/>
              <w:jc w:val="left"/>
            </w:pPr>
            <w:r>
              <w:t>IA High carbon value</w:t>
            </w:r>
          </w:p>
        </w:tc>
        <w:tc>
          <w:tcPr>
            <w:tcW w:w="2693" w:type="dxa"/>
            <w:tcBorders>
              <w:top w:val="single" w:sz="8" w:space="0" w:color="FFFFFF" w:themeColor="background1"/>
              <w:bottom w:val="single" w:sz="6" w:space="0" w:color="6F6652"/>
            </w:tcBorders>
            <w:shd w:val="clear" w:color="auto" w:fill="E9E8E5" w:themeFill="background2"/>
            <w:tcMar>
              <w:left w:w="57" w:type="dxa"/>
              <w:right w:w="57" w:type="dxa"/>
            </w:tcMar>
            <w:vAlign w:val="bottom"/>
          </w:tcPr>
          <w:p w14:paraId="7FB44270" w14:textId="08253C42" w:rsidR="00F15895" w:rsidRPr="005A3D0B" w:rsidRDefault="00F15895" w:rsidP="00F15895">
            <w:pPr>
              <w:pStyle w:val="TableDataEntries"/>
            </w:pPr>
            <w:r>
              <w:rPr>
                <w:szCs w:val="16"/>
              </w:rPr>
              <w:t>-1 755.7</w:t>
            </w:r>
          </w:p>
        </w:tc>
      </w:tr>
    </w:tbl>
    <w:p w14:paraId="433C1279" w14:textId="77777777" w:rsidR="0078751F" w:rsidRDefault="0078751F" w:rsidP="0078751F">
      <w:pPr>
        <w:pStyle w:val="Note"/>
      </w:pPr>
      <w:r w:rsidRPr="007D1B4F">
        <w:rPr>
          <w:i/>
        </w:rPr>
        <w:t>Note:</w:t>
      </w:r>
      <w:r w:rsidRPr="00E879B8">
        <w:t xml:space="preserve"> </w:t>
      </w:r>
      <w:r>
        <w:t>Unless stated otherwise, estimates presented in net present value terms over an assumed 50-year life of all buildings constructed over the 10 year period from 2025 to 2034, using a discount rate of 5 per cent.</w:t>
      </w:r>
    </w:p>
    <w:p w14:paraId="729D7BD4" w14:textId="77777777" w:rsidR="0078751F" w:rsidRDefault="0078751F" w:rsidP="0078751F">
      <w:pPr>
        <w:pStyle w:val="Source"/>
      </w:pPr>
      <w:r>
        <w:rPr>
          <w:i/>
        </w:rPr>
        <w:t>Source</w:t>
      </w:r>
      <w:r w:rsidRPr="00E4232C">
        <w:rPr>
          <w:i/>
        </w:rPr>
        <w:t>:</w:t>
      </w:r>
      <w:r>
        <w:t xml:space="preserve"> CIE based on DeltaQ modelling.</w:t>
      </w:r>
    </w:p>
    <w:p w14:paraId="4B745861" w14:textId="38F2631A" w:rsidR="0078751F" w:rsidRDefault="00B63ED1" w:rsidP="009B4D09">
      <w:pPr>
        <w:pStyle w:val="BodyText"/>
        <w:rPr>
          <w:lang w:bidi="fa-IR"/>
        </w:rPr>
      </w:pPr>
      <w:r>
        <w:rPr>
          <w:lang w:bidi="fa-IR"/>
        </w:rPr>
        <w:t xml:space="preserve">Key findings </w:t>
      </w:r>
      <w:r w:rsidR="008D7860">
        <w:rPr>
          <w:lang w:bidi="fa-IR"/>
        </w:rPr>
        <w:t>from sensitivity testing are as follows:</w:t>
      </w:r>
    </w:p>
    <w:p w14:paraId="3B260C27" w14:textId="2477BA00" w:rsidR="008D7860" w:rsidRDefault="00E87806" w:rsidP="00736A43">
      <w:pPr>
        <w:pStyle w:val="ListBullet"/>
        <w:rPr>
          <w:lang w:bidi="fa-IR"/>
        </w:rPr>
      </w:pPr>
      <w:r>
        <w:rPr>
          <w:lang w:bidi="fa-IR"/>
        </w:rPr>
        <w:t>The proposed changes are estimated to deliver a net cost under all scenarios tested</w:t>
      </w:r>
      <w:r w:rsidR="00736A43">
        <w:rPr>
          <w:lang w:bidi="fa-IR"/>
        </w:rPr>
        <w:t>, suggesting the finding is relatively robust.</w:t>
      </w:r>
    </w:p>
    <w:p w14:paraId="6E8F4D8A" w14:textId="170594A4" w:rsidR="00E87806" w:rsidRDefault="00E87806" w:rsidP="00736A43">
      <w:pPr>
        <w:pStyle w:val="ListBullet"/>
        <w:rPr>
          <w:lang w:bidi="fa-IR"/>
        </w:rPr>
      </w:pPr>
      <w:r>
        <w:rPr>
          <w:lang w:bidi="fa-IR"/>
        </w:rPr>
        <w:t>The results are most sensitive to the discount rate.</w:t>
      </w:r>
    </w:p>
    <w:p w14:paraId="3C18F4B8" w14:textId="4CE9ABB5" w:rsidR="00F0369D" w:rsidRDefault="00E87806" w:rsidP="00736A43">
      <w:pPr>
        <w:pStyle w:val="ListBullet"/>
        <w:rPr>
          <w:lang w:bidi="fa-IR"/>
        </w:rPr>
      </w:pPr>
      <w:r>
        <w:rPr>
          <w:lang w:bidi="fa-IR"/>
        </w:rPr>
        <w:t xml:space="preserve">The CBA results are relatively insensitive to the </w:t>
      </w:r>
      <w:r w:rsidR="00893F9B">
        <w:rPr>
          <w:lang w:bidi="fa-IR"/>
        </w:rPr>
        <w:t>carbon value</w:t>
      </w:r>
      <w:r w:rsidR="009C0AAB">
        <w:rPr>
          <w:lang w:bidi="fa-IR"/>
        </w:rPr>
        <w:t xml:space="preserve"> used. Th</w:t>
      </w:r>
      <w:r w:rsidR="00EE6ECA">
        <w:rPr>
          <w:lang w:bidi="fa-IR"/>
        </w:rPr>
        <w:t xml:space="preserve">e model suggests that </w:t>
      </w:r>
      <w:r w:rsidR="00CE667E">
        <w:rPr>
          <w:lang w:bidi="fa-IR"/>
        </w:rPr>
        <w:t>charging facilities at more commercial buildings does little to encourage additional uptake</w:t>
      </w:r>
      <w:r w:rsidR="003A33D1">
        <w:rPr>
          <w:lang w:bidi="fa-IR"/>
        </w:rPr>
        <w:t xml:space="preserve"> of EVs</w:t>
      </w:r>
      <w:r w:rsidR="00BB2684">
        <w:rPr>
          <w:lang w:bidi="fa-IR"/>
        </w:rPr>
        <w:t>, which drives</w:t>
      </w:r>
      <w:r w:rsidR="00F70A78">
        <w:rPr>
          <w:lang w:bidi="fa-IR"/>
        </w:rPr>
        <w:t xml:space="preserve"> </w:t>
      </w:r>
      <w:r w:rsidR="002C161D">
        <w:rPr>
          <w:lang w:bidi="fa-IR"/>
        </w:rPr>
        <w:t>the reduction in GHG emissions</w:t>
      </w:r>
      <w:r w:rsidR="00736A43">
        <w:rPr>
          <w:lang w:bidi="fa-IR"/>
        </w:rPr>
        <w:t>.</w:t>
      </w:r>
    </w:p>
    <w:p w14:paraId="6936B476" w14:textId="77777777" w:rsidR="009B4D09" w:rsidRDefault="009B4D09" w:rsidP="009B4D09">
      <w:pPr>
        <w:pStyle w:val="BodyText"/>
        <w:rPr>
          <w:lang w:bidi="fa-IR"/>
        </w:rPr>
      </w:pPr>
    </w:p>
    <w:p w14:paraId="6CBA7D8D" w14:textId="77777777" w:rsidR="009B4D09" w:rsidRDefault="009B4D09" w:rsidP="009B4D09">
      <w:pPr>
        <w:pStyle w:val="Heading1"/>
        <w:tabs>
          <w:tab w:val="num" w:pos="0"/>
        </w:tabs>
        <w:rPr>
          <w:lang w:bidi="fa-IR"/>
        </w:rPr>
      </w:pPr>
      <w:bookmarkStart w:id="6430" w:name="_Ref148958756"/>
      <w:bookmarkStart w:id="6431" w:name="_Toc149060075"/>
      <w:bookmarkStart w:id="6432" w:name="_Toc177735119"/>
      <w:bookmarkStart w:id="6433" w:name="_Toc178292553"/>
      <w:r>
        <w:rPr>
          <w:lang w:bidi="fa-IR"/>
        </w:rPr>
        <w:t>Discussion and conclusions</w:t>
      </w:r>
      <w:bookmarkEnd w:id="6430"/>
      <w:bookmarkEnd w:id="6431"/>
      <w:bookmarkEnd w:id="6432"/>
      <w:bookmarkEnd w:id="6433"/>
    </w:p>
    <w:p w14:paraId="496F718C" w14:textId="77777777" w:rsidR="009B4D09" w:rsidRDefault="009B4D09" w:rsidP="009B4D09">
      <w:pPr>
        <w:pStyle w:val="Heading2"/>
        <w:rPr>
          <w:lang w:bidi="fa-IR"/>
        </w:rPr>
      </w:pPr>
      <w:bookmarkStart w:id="6434" w:name="_Toc177735120"/>
      <w:bookmarkStart w:id="6435" w:name="_Toc178292554"/>
      <w:r>
        <w:rPr>
          <w:lang w:bidi="fa-IR"/>
        </w:rPr>
        <w:t>Discussion of results by component</w:t>
      </w:r>
      <w:bookmarkEnd w:id="6434"/>
      <w:bookmarkEnd w:id="6435"/>
    </w:p>
    <w:p w14:paraId="5363F448" w14:textId="77777777" w:rsidR="009B4D09" w:rsidRDefault="009B4D09" w:rsidP="009B4D09">
      <w:pPr>
        <w:pStyle w:val="BodyText"/>
        <w:rPr>
          <w:lang w:bidi="fa-IR"/>
        </w:rPr>
      </w:pPr>
      <w:r>
        <w:rPr>
          <w:lang w:bidi="fa-IR"/>
        </w:rPr>
        <w:t>The CBA results for each element of the proposal (as discussed previously, the options are various combinations of these elements) are discussed below.</w:t>
      </w:r>
    </w:p>
    <w:p w14:paraId="3C9F41A0" w14:textId="77777777" w:rsidR="009B4D09" w:rsidRDefault="009B4D09" w:rsidP="009B4D09">
      <w:pPr>
        <w:pStyle w:val="Heading3"/>
        <w:rPr>
          <w:lang w:bidi="fa-IR"/>
        </w:rPr>
      </w:pPr>
      <w:r>
        <w:rPr>
          <w:lang w:bidi="fa-IR"/>
        </w:rPr>
        <w:t>Minimum energy efficiency standards</w:t>
      </w:r>
    </w:p>
    <w:p w14:paraId="44A57E4D" w14:textId="77777777" w:rsidR="009B4D09" w:rsidRDefault="009B4D09" w:rsidP="009B4D09">
      <w:pPr>
        <w:pStyle w:val="BodyText"/>
        <w:rPr>
          <w:lang w:bidi="fa-IR"/>
        </w:rPr>
      </w:pPr>
      <w:r>
        <w:rPr>
          <w:lang w:bidi="fa-IR"/>
        </w:rPr>
        <w:t>All 3 options under consideration involve more stringent minimum energy efficiency standards. These more stringent minimum energy efficiency standards are estimated to significantly reduce electricity consumption in commercial buildings and therefore avoid:</w:t>
      </w:r>
    </w:p>
    <w:p w14:paraId="1BEB2E63" w14:textId="77777777" w:rsidR="009B4D09" w:rsidRDefault="009B4D09" w:rsidP="009B4D09">
      <w:pPr>
        <w:pStyle w:val="ListBullet"/>
        <w:tabs>
          <w:tab w:val="num" w:pos="709"/>
        </w:tabs>
        <w:rPr>
          <w:lang w:bidi="fa-IR"/>
        </w:rPr>
      </w:pPr>
      <w:r>
        <w:rPr>
          <w:lang w:bidi="fa-IR"/>
        </w:rPr>
        <w:t>generation costs (i.e. wholesale costs)</w:t>
      </w:r>
    </w:p>
    <w:p w14:paraId="285F3A59" w14:textId="77777777" w:rsidR="009B4D09" w:rsidRDefault="009B4D09" w:rsidP="009B4D09">
      <w:pPr>
        <w:pStyle w:val="ListBullet"/>
        <w:tabs>
          <w:tab w:val="num" w:pos="709"/>
        </w:tabs>
        <w:rPr>
          <w:lang w:bidi="fa-IR"/>
        </w:rPr>
      </w:pPr>
      <w:r>
        <w:rPr>
          <w:lang w:bidi="fa-IR"/>
        </w:rPr>
        <w:t>network capacity costs</w:t>
      </w:r>
    </w:p>
    <w:p w14:paraId="684E2C84" w14:textId="77777777" w:rsidR="009B4D09" w:rsidRDefault="009B4D09" w:rsidP="009B4D09">
      <w:pPr>
        <w:pStyle w:val="ListBullet"/>
        <w:tabs>
          <w:tab w:val="num" w:pos="709"/>
        </w:tabs>
        <w:rPr>
          <w:lang w:bidi="fa-IR"/>
        </w:rPr>
      </w:pPr>
      <w:r>
        <w:rPr>
          <w:lang w:bidi="fa-IR"/>
        </w:rPr>
        <w:t>network usage costs</w:t>
      </w:r>
    </w:p>
    <w:p w14:paraId="1A0EA909" w14:textId="77777777" w:rsidR="009B4D09" w:rsidRDefault="009B4D09" w:rsidP="009B4D09">
      <w:pPr>
        <w:pStyle w:val="ListBullet"/>
        <w:tabs>
          <w:tab w:val="num" w:pos="709"/>
        </w:tabs>
        <w:rPr>
          <w:lang w:bidi="fa-IR"/>
        </w:rPr>
      </w:pPr>
      <w:r>
        <w:rPr>
          <w:lang w:bidi="fa-IR"/>
        </w:rPr>
        <w:t>retail costs</w:t>
      </w:r>
    </w:p>
    <w:p w14:paraId="3F777305" w14:textId="77777777" w:rsidR="009B4D09" w:rsidRDefault="009B4D09" w:rsidP="009B4D09">
      <w:pPr>
        <w:pStyle w:val="ListBullet"/>
        <w:tabs>
          <w:tab w:val="num" w:pos="709"/>
        </w:tabs>
        <w:rPr>
          <w:lang w:bidi="fa-IR"/>
        </w:rPr>
      </w:pPr>
      <w:r>
        <w:rPr>
          <w:lang w:bidi="fa-IR"/>
        </w:rPr>
        <w:t>associated GHG emissions.</w:t>
      </w:r>
    </w:p>
    <w:p w14:paraId="64845BDC" w14:textId="77777777" w:rsidR="009B4D09" w:rsidRDefault="009B4D09" w:rsidP="009B4D09">
      <w:pPr>
        <w:pStyle w:val="BodyText"/>
        <w:rPr>
          <w:lang w:bidi="fa-IR"/>
        </w:rPr>
      </w:pPr>
      <w:r>
        <w:rPr>
          <w:lang w:bidi="fa-IR"/>
        </w:rPr>
        <w:t>These electricity</w:t>
      </w:r>
      <w:r>
        <w:rPr>
          <w:lang w:bidi="fa-IR"/>
        </w:rPr>
        <w:noBreakHyphen/>
        <w:t>related benefits are partly offset by a relatively small increase in gas consumption (and associated GHG emissions).</w:t>
      </w:r>
    </w:p>
    <w:p w14:paraId="44C4E6FB" w14:textId="77777777" w:rsidR="009B4D09" w:rsidRDefault="009B4D09" w:rsidP="009B4D09">
      <w:pPr>
        <w:pStyle w:val="BodyText"/>
        <w:rPr>
          <w:lang w:bidi="fa-IR"/>
        </w:rPr>
      </w:pPr>
      <w:r>
        <w:rPr>
          <w:lang w:bidi="fa-IR"/>
        </w:rPr>
        <w:t>DeltaQ’s modelling suggests that the significant increase in energy efficiency and reduction in GHG emission can be achieved while also reducing capital</w:t>
      </w:r>
      <w:r>
        <w:rPr>
          <w:lang w:bidi="fa-IR"/>
        </w:rPr>
        <w:noBreakHyphen/>
        <w:t>related costs for many (but not all) building archetypes.</w:t>
      </w:r>
    </w:p>
    <w:p w14:paraId="50DDFFC7" w14:textId="77777777" w:rsidR="009B4D09" w:rsidRDefault="009B4D09" w:rsidP="009B4D09">
      <w:pPr>
        <w:pStyle w:val="BodyText"/>
        <w:rPr>
          <w:lang w:bidi="fa-IR"/>
        </w:rPr>
      </w:pPr>
      <w:r>
        <w:rPr>
          <w:lang w:bidi="fa-IR"/>
        </w:rPr>
        <w:t>These results raise the question: why would building owners (and their design teams) not choose a cheaper and more energy efficient choices without the need for regulation?</w:t>
      </w:r>
    </w:p>
    <w:p w14:paraId="6FAA51E7" w14:textId="77777777" w:rsidR="009B4D09" w:rsidRDefault="009B4D09" w:rsidP="009B4D09">
      <w:pPr>
        <w:pStyle w:val="BodyText"/>
        <w:rPr>
          <w:lang w:bidi="fa-IR"/>
        </w:rPr>
      </w:pPr>
      <w:r>
        <w:rPr>
          <w:lang w:bidi="fa-IR"/>
        </w:rPr>
        <w:t>There are several plausible explanations, including the following:</w:t>
      </w:r>
    </w:p>
    <w:p w14:paraId="7414F83C" w14:textId="77777777" w:rsidR="009B4D09" w:rsidRDefault="009B4D09" w:rsidP="009B4D09">
      <w:pPr>
        <w:pStyle w:val="ListBullet"/>
        <w:tabs>
          <w:tab w:val="num" w:pos="709"/>
        </w:tabs>
        <w:rPr>
          <w:lang w:bidi="fa-IR"/>
        </w:rPr>
      </w:pPr>
      <w:r>
        <w:rPr>
          <w:lang w:bidi="fa-IR"/>
        </w:rPr>
        <w:t>Inefficiencies in the building process (including regulatory processes) mean there is limited opportunities to optimise costs and performance from a whole</w:t>
      </w:r>
      <w:r>
        <w:rPr>
          <w:lang w:bidi="fa-IR"/>
        </w:rPr>
        <w:noBreakHyphen/>
        <w:t>of</w:t>
      </w:r>
      <w:r>
        <w:rPr>
          <w:lang w:bidi="fa-IR"/>
        </w:rPr>
        <w:noBreakHyphen/>
        <w:t>building perspective. Changes to the code that increase the efficiency of the building envelope allow cost savings through reducing the plant size.</w:t>
      </w:r>
    </w:p>
    <w:p w14:paraId="63841699" w14:textId="77777777" w:rsidR="009B4D09" w:rsidRDefault="009B4D09" w:rsidP="009B4D09">
      <w:pPr>
        <w:pStyle w:val="ListBullet"/>
        <w:tabs>
          <w:tab w:val="num" w:pos="709"/>
        </w:tabs>
        <w:rPr>
          <w:lang w:bidi="fa-IR"/>
        </w:rPr>
      </w:pPr>
      <w:r>
        <w:rPr>
          <w:lang w:bidi="fa-IR"/>
        </w:rPr>
        <w:t>The proposed changes to the code encourage right</w:t>
      </w:r>
      <w:r>
        <w:rPr>
          <w:lang w:bidi="fa-IR"/>
        </w:rPr>
        <w:noBreakHyphen/>
        <w:t>sizing of plant by specifying efficiency at design loading. The modelling assumes this will encourage a 5 per cent reduction in plant size, while still allowing extensive over</w:t>
      </w:r>
      <w:r>
        <w:rPr>
          <w:lang w:bidi="fa-IR"/>
        </w:rPr>
        <w:noBreakHyphen/>
        <w:t>sizing to reflect standard practice.</w:t>
      </w:r>
    </w:p>
    <w:p w14:paraId="5D63CEB6" w14:textId="77777777" w:rsidR="009B4D09" w:rsidRDefault="009B4D09" w:rsidP="009B4D09">
      <w:pPr>
        <w:pStyle w:val="ListBullet"/>
        <w:tabs>
          <w:tab w:val="num" w:pos="709"/>
        </w:tabs>
        <w:rPr>
          <w:lang w:bidi="fa-IR"/>
        </w:rPr>
      </w:pPr>
      <w:r>
        <w:rPr>
          <w:lang w:bidi="fa-IR"/>
        </w:rPr>
        <w:t>The proposed changes to the code address existing inefficiencies, including:</w:t>
      </w:r>
    </w:p>
    <w:p w14:paraId="58FE01DE" w14:textId="77777777" w:rsidR="009B4D09" w:rsidRDefault="009B4D09" w:rsidP="009B4D09">
      <w:pPr>
        <w:pStyle w:val="ListBullet"/>
        <w:numPr>
          <w:ilvl w:val="1"/>
          <w:numId w:val="34"/>
        </w:numPr>
        <w:rPr>
          <w:lang w:bidi="fa-IR"/>
        </w:rPr>
      </w:pPr>
      <w:r>
        <w:rPr>
          <w:lang w:bidi="fa-IR"/>
        </w:rPr>
        <w:t>excessive insulation requirements in some buildings that actually reduces building performance;</w:t>
      </w:r>
    </w:p>
    <w:p w14:paraId="239A951D" w14:textId="77777777" w:rsidR="009B4D09" w:rsidRDefault="009B4D09" w:rsidP="009B4D09">
      <w:pPr>
        <w:pStyle w:val="ListBullet"/>
        <w:numPr>
          <w:ilvl w:val="1"/>
          <w:numId w:val="34"/>
        </w:numPr>
        <w:rPr>
          <w:lang w:bidi="fa-IR"/>
        </w:rPr>
      </w:pPr>
      <w:r>
        <w:rPr>
          <w:lang w:bidi="fa-IR"/>
        </w:rPr>
        <w:t>the current requirement for internal walls to be insulated, which adds to cost while having little to no impact on performance.</w:t>
      </w:r>
    </w:p>
    <w:p w14:paraId="7C574FD9" w14:textId="77777777" w:rsidR="009B4D09" w:rsidRDefault="009B4D09" w:rsidP="009B4D09">
      <w:pPr>
        <w:pStyle w:val="BodyText"/>
        <w:tabs>
          <w:tab w:val="left" w:pos="6616"/>
        </w:tabs>
        <w:rPr>
          <w:lang w:bidi="fa-IR"/>
        </w:rPr>
      </w:pPr>
      <w:r>
        <w:rPr>
          <w:lang w:bidi="fa-IR"/>
        </w:rPr>
        <w:t>However, the proposed changes to the NCC will also restrict design choices in several ways, including the following:</w:t>
      </w:r>
    </w:p>
    <w:p w14:paraId="44A57276" w14:textId="77777777" w:rsidR="009B4D09" w:rsidRDefault="009B4D09" w:rsidP="009B4D09">
      <w:pPr>
        <w:pStyle w:val="ListBullet"/>
        <w:tabs>
          <w:tab w:val="num" w:pos="709"/>
        </w:tabs>
        <w:rPr>
          <w:lang w:bidi="fa-IR"/>
        </w:rPr>
      </w:pPr>
      <w:r>
        <w:rPr>
          <w:lang w:bidi="fa-IR"/>
        </w:rPr>
        <w:t>The windows on some buildings will need to be tinted (i.e. have lower visual light transmittance) to achieve compliance with the proposed requirements — although this will still allow an adequate level of daylighting (daylighting requirements are not specified in the NCC), this will be less than what is current practice.</w:t>
      </w:r>
    </w:p>
    <w:p w14:paraId="1A2502D2" w14:textId="77777777" w:rsidR="009B4D09" w:rsidRDefault="009B4D09" w:rsidP="009B4D09">
      <w:pPr>
        <w:pStyle w:val="ListBullet"/>
        <w:tabs>
          <w:tab w:val="num" w:pos="709"/>
        </w:tabs>
        <w:rPr>
          <w:lang w:bidi="fa-IR"/>
        </w:rPr>
      </w:pPr>
      <w:r>
        <w:rPr>
          <w:lang w:bidi="fa-IR"/>
        </w:rPr>
        <w:t>The maximum WWR that will be achievable without external shading will be reduced from 70 per cent (under NCC 2022) to 58 per cent — although this will not affect most building archetypes (as the WWR for most buildings is lower than this threshold), this will have some impact, particularly on large office buildings where extensive glazing is relatively common.</w:t>
      </w:r>
    </w:p>
    <w:p w14:paraId="18E9DFA0" w14:textId="77777777" w:rsidR="009B4D09" w:rsidRDefault="009B4D09" w:rsidP="009B4D09">
      <w:pPr>
        <w:pStyle w:val="ListBullet"/>
        <w:numPr>
          <w:ilvl w:val="1"/>
          <w:numId w:val="34"/>
        </w:numPr>
        <w:rPr>
          <w:lang w:bidi="fa-IR"/>
        </w:rPr>
      </w:pPr>
      <w:r>
        <w:rPr>
          <w:lang w:bidi="fa-IR"/>
        </w:rPr>
        <w:t>Note that DeltaQ’s modelling assumes the same WWR under the base case and under all stringencies and does not include the cost of shading. This is because the archetypes are intended to reflect a ‘representative’ building based on the average WWR within the building class. Previous work estimated the average WWR for an office tower is around the maximum threshold achievable without shading (around 58 per cent).</w:t>
      </w:r>
    </w:p>
    <w:p w14:paraId="5F34AC7A" w14:textId="77777777" w:rsidR="009B4D09" w:rsidRDefault="009B4D09" w:rsidP="009B4D09">
      <w:pPr>
        <w:pStyle w:val="ListBullet"/>
        <w:numPr>
          <w:ilvl w:val="1"/>
          <w:numId w:val="34"/>
        </w:numPr>
        <w:rPr>
          <w:lang w:bidi="fa-IR"/>
        </w:rPr>
      </w:pPr>
      <w:r>
        <w:rPr>
          <w:lang w:bidi="fa-IR"/>
        </w:rPr>
        <w:t>This means that the proposed requirements will not affect the ‘average’ office tower and therefore these effects are not reflected in the modelling.</w:t>
      </w:r>
    </w:p>
    <w:p w14:paraId="02C9BCBC" w14:textId="77777777" w:rsidR="009B4D09" w:rsidRDefault="009B4D09" w:rsidP="009B4D09">
      <w:pPr>
        <w:pStyle w:val="ListBullet"/>
        <w:numPr>
          <w:ilvl w:val="1"/>
          <w:numId w:val="34"/>
        </w:numPr>
        <w:rPr>
          <w:lang w:bidi="fa-IR"/>
        </w:rPr>
      </w:pPr>
      <w:r>
        <w:rPr>
          <w:lang w:bidi="fa-IR"/>
        </w:rPr>
        <w:t>However, around half of office towers will have higher WWRs than average and would be affected by this restriction and would need to either install external shading (which can be expensive) or reduce the WWR.</w:t>
      </w:r>
    </w:p>
    <w:p w14:paraId="105A27CE" w14:textId="77777777" w:rsidR="009B4D09" w:rsidRDefault="009B4D09" w:rsidP="009B4D09">
      <w:pPr>
        <w:pStyle w:val="ListBullet"/>
        <w:tabs>
          <w:tab w:val="num" w:pos="709"/>
        </w:tabs>
        <w:rPr>
          <w:lang w:bidi="fa-IR"/>
        </w:rPr>
      </w:pPr>
      <w:r>
        <w:rPr>
          <w:lang w:bidi="fa-IR"/>
        </w:rPr>
        <w:t>As the minimum standards have been tightened across all building elements there will be fewer opportunities to make trade</w:t>
      </w:r>
      <w:r>
        <w:rPr>
          <w:lang w:bidi="fa-IR"/>
        </w:rPr>
        <w:noBreakHyphen/>
        <w:t>offs across elements (including through the use of Performance Solutions) to achieve particular design outcomes.</w:t>
      </w:r>
    </w:p>
    <w:p w14:paraId="6DB5C375" w14:textId="74F3FBE0" w:rsidR="009B4D09" w:rsidRDefault="009B4D09" w:rsidP="009B4D09">
      <w:pPr>
        <w:pStyle w:val="BodyText"/>
        <w:tabs>
          <w:tab w:val="left" w:pos="6616"/>
        </w:tabs>
        <w:rPr>
          <w:lang w:bidi="fa-IR"/>
        </w:rPr>
      </w:pPr>
      <w:r>
        <w:rPr>
          <w:lang w:bidi="fa-IR"/>
        </w:rPr>
        <w:t xml:space="preserve">These restrictions on design choice will impose costs that have not been </w:t>
      </w:r>
      <w:r w:rsidR="00B5183C">
        <w:rPr>
          <w:lang w:bidi="fa-IR"/>
        </w:rPr>
        <w:t>included in the central case</w:t>
      </w:r>
      <w:r>
        <w:rPr>
          <w:lang w:bidi="fa-IR"/>
        </w:rPr>
        <w:t>, which could include the following:</w:t>
      </w:r>
    </w:p>
    <w:p w14:paraId="71184421" w14:textId="77777777" w:rsidR="009B4D09" w:rsidRDefault="009B4D09" w:rsidP="009B4D09">
      <w:pPr>
        <w:pStyle w:val="ListBullet"/>
        <w:tabs>
          <w:tab w:val="num" w:pos="709"/>
        </w:tabs>
        <w:rPr>
          <w:lang w:bidi="fa-IR"/>
        </w:rPr>
      </w:pPr>
      <w:r>
        <w:rPr>
          <w:lang w:bidi="fa-IR"/>
        </w:rPr>
        <w:t>Loss of aesthetic or amenity value — where design compromises have been made, there may be a loss of aesthetic or amenity value. Although these values are subjective, in principle design compromises that change either the external appearance or the internal aesthetics for building users are likely to involve a net cost to the community.</w:t>
      </w:r>
    </w:p>
    <w:p w14:paraId="4AFAA418" w14:textId="77777777" w:rsidR="009B4D09" w:rsidRDefault="009B4D09" w:rsidP="009B4D09">
      <w:pPr>
        <w:pStyle w:val="ListBullet"/>
        <w:numPr>
          <w:ilvl w:val="1"/>
          <w:numId w:val="34"/>
        </w:numPr>
        <w:rPr>
          <w:lang w:bidi="fa-IR"/>
        </w:rPr>
      </w:pPr>
      <w:r>
        <w:rPr>
          <w:lang w:bidi="fa-IR"/>
        </w:rPr>
        <w:t>There are no identifiable market failures that would lead building owners and designers to make design choices that are systematically sub</w:t>
      </w:r>
      <w:r>
        <w:rPr>
          <w:lang w:bidi="fa-IR"/>
        </w:rPr>
        <w:noBreakHyphen/>
        <w:t>optimal from a communitywide perspective in relation to building aesthetics/amenity (although there are some market and behavioural failures in relation to energy efficiency choices — see appendix A).</w:t>
      </w:r>
    </w:p>
    <w:p w14:paraId="0C75FB2C" w14:textId="77777777" w:rsidR="009B4D09" w:rsidRDefault="009B4D09" w:rsidP="009B4D09">
      <w:pPr>
        <w:pStyle w:val="ListBullet"/>
        <w:numPr>
          <w:ilvl w:val="1"/>
          <w:numId w:val="34"/>
        </w:numPr>
        <w:rPr>
          <w:lang w:bidi="fa-IR"/>
        </w:rPr>
      </w:pPr>
      <w:r>
        <w:rPr>
          <w:lang w:bidi="fa-IR"/>
        </w:rPr>
        <w:t>In the absence of identifiable market failures, a standard assumption in economic analysis is that market participants will make design choices that achieve the optimal combination of cost and building aesthetic/amenity value, particularly where these values are reflected in the market value of the building and/or rents.</w:t>
      </w:r>
    </w:p>
    <w:p w14:paraId="25318148" w14:textId="77777777" w:rsidR="009B4D09" w:rsidRDefault="009B4D09" w:rsidP="009B4D09">
      <w:pPr>
        <w:pStyle w:val="ListBullet"/>
        <w:numPr>
          <w:ilvl w:val="1"/>
          <w:numId w:val="34"/>
        </w:numPr>
        <w:rPr>
          <w:lang w:bidi="fa-IR"/>
        </w:rPr>
      </w:pPr>
      <w:r>
        <w:rPr>
          <w:lang w:bidi="fa-IR"/>
        </w:rPr>
        <w:t>To the extent that these aesthetic/amenity values are reflected in the market value of these buildings and/or rents, these benefits could in</w:t>
      </w:r>
      <w:r>
        <w:rPr>
          <w:lang w:bidi="fa-IR"/>
        </w:rPr>
        <w:noBreakHyphen/>
        <w:t>principle be measured. However, there is no publicly available data that would allow these values to be estimated.</w:t>
      </w:r>
    </w:p>
    <w:p w14:paraId="773966C4" w14:textId="77777777" w:rsidR="009B4D09" w:rsidRDefault="009B4D09" w:rsidP="009B4D09">
      <w:pPr>
        <w:pStyle w:val="ListBullet"/>
        <w:tabs>
          <w:tab w:val="num" w:pos="709"/>
        </w:tabs>
        <w:rPr>
          <w:lang w:bidi="fa-IR"/>
        </w:rPr>
      </w:pPr>
      <w:r>
        <w:rPr>
          <w:lang w:bidi="fa-IR"/>
        </w:rPr>
        <w:t>Additional financial costs — where building owners and their design teams choose to achieve their preferred design outcome through the use of external shading, they will incur an additional financial cost.</w:t>
      </w:r>
    </w:p>
    <w:p w14:paraId="70287592" w14:textId="346FDAED" w:rsidR="009B4D09" w:rsidRDefault="00E13C07" w:rsidP="009B4D09">
      <w:pPr>
        <w:pStyle w:val="ListBullet"/>
        <w:numPr>
          <w:ilvl w:val="1"/>
          <w:numId w:val="34"/>
        </w:numPr>
        <w:rPr>
          <w:lang w:bidi="fa-IR"/>
        </w:rPr>
      </w:pPr>
      <w:r>
        <w:rPr>
          <w:lang w:bidi="fa-IR"/>
        </w:rPr>
        <w:t xml:space="preserve">The </w:t>
      </w:r>
      <w:r w:rsidR="00A764C6">
        <w:rPr>
          <w:lang w:bidi="fa-IR"/>
        </w:rPr>
        <w:t>indicative costs of external shading</w:t>
      </w:r>
      <w:r>
        <w:rPr>
          <w:lang w:bidi="fa-IR"/>
        </w:rPr>
        <w:t xml:space="preserve"> </w:t>
      </w:r>
      <w:r w:rsidR="006F2518">
        <w:rPr>
          <w:lang w:bidi="fa-IR"/>
        </w:rPr>
        <w:t xml:space="preserve">were included </w:t>
      </w:r>
      <w:r w:rsidR="00787700">
        <w:rPr>
          <w:lang w:bidi="fa-IR"/>
        </w:rPr>
        <w:t xml:space="preserve">as a scenario for the large office building archetype only. </w:t>
      </w:r>
      <w:r w:rsidR="00F1398B">
        <w:rPr>
          <w:lang w:bidi="fa-IR"/>
        </w:rPr>
        <w:t>T</w:t>
      </w:r>
      <w:r w:rsidR="004919C4">
        <w:rPr>
          <w:lang w:bidi="fa-IR"/>
        </w:rPr>
        <w:t xml:space="preserve">his suggested </w:t>
      </w:r>
      <w:r w:rsidR="00FF4372">
        <w:rPr>
          <w:lang w:bidi="fa-IR"/>
        </w:rPr>
        <w:t>that there could be a net cost from the proposed changes for some buildings (</w:t>
      </w:r>
      <w:r w:rsidR="004919C4">
        <w:rPr>
          <w:lang w:bidi="fa-IR"/>
        </w:rPr>
        <w:t xml:space="preserve">in some </w:t>
      </w:r>
      <w:r w:rsidR="00C61AA6">
        <w:rPr>
          <w:lang w:bidi="fa-IR"/>
        </w:rPr>
        <w:t>states and climate zones</w:t>
      </w:r>
      <w:r w:rsidR="00FF4372">
        <w:rPr>
          <w:lang w:bidi="fa-IR"/>
        </w:rPr>
        <w:t>).</w:t>
      </w:r>
    </w:p>
    <w:p w14:paraId="5B33525B" w14:textId="77777777" w:rsidR="009B4D09" w:rsidRDefault="009B4D09" w:rsidP="009B4D09">
      <w:pPr>
        <w:pStyle w:val="ListBullet"/>
        <w:numPr>
          <w:ilvl w:val="1"/>
          <w:numId w:val="34"/>
        </w:numPr>
        <w:rPr>
          <w:lang w:bidi="fa-IR"/>
        </w:rPr>
      </w:pPr>
      <w:r>
        <w:rPr>
          <w:lang w:bidi="fa-IR"/>
        </w:rPr>
        <w:t>The choice to incur the financial costs associated external shading would indicate a strong preference for the relevant design features (i.e. extensive glazing and/or glazing with high visual light transmittance).</w:t>
      </w:r>
    </w:p>
    <w:p w14:paraId="5AEB51B0" w14:textId="0C8F1D3C" w:rsidR="009B4D09" w:rsidRDefault="00360404" w:rsidP="00360404">
      <w:pPr>
        <w:pStyle w:val="ListBullet2"/>
        <w:rPr>
          <w:lang w:bidi="fa-IR"/>
        </w:rPr>
      </w:pPr>
      <w:r>
        <w:rPr>
          <w:lang w:bidi="fa-IR"/>
        </w:rPr>
        <w:t xml:space="preserve">Nevertheless, </w:t>
      </w:r>
      <w:r w:rsidR="00E64362">
        <w:rPr>
          <w:lang w:bidi="fa-IR"/>
        </w:rPr>
        <w:t>th</w:t>
      </w:r>
      <w:r w:rsidR="002B6BCB">
        <w:rPr>
          <w:lang w:bidi="fa-IR"/>
        </w:rPr>
        <w:t>ere are relatively few buildings that are likely</w:t>
      </w:r>
      <w:r w:rsidR="003C6227">
        <w:rPr>
          <w:lang w:bidi="fa-IR"/>
        </w:rPr>
        <w:t xml:space="preserve"> to </w:t>
      </w:r>
      <w:r w:rsidR="00532E7A">
        <w:rPr>
          <w:lang w:bidi="fa-IR"/>
        </w:rPr>
        <w:t>install external shading as a result of the proposed shading</w:t>
      </w:r>
      <w:r w:rsidR="00D62D53">
        <w:rPr>
          <w:lang w:bidi="fa-IR"/>
        </w:rPr>
        <w:t xml:space="preserve"> (although many already choose to do so)</w:t>
      </w:r>
      <w:r w:rsidR="00811663">
        <w:rPr>
          <w:lang w:bidi="fa-IR"/>
        </w:rPr>
        <w:t xml:space="preserve">; large office buildings that tend to be </w:t>
      </w:r>
      <w:r w:rsidR="008B02C8">
        <w:rPr>
          <w:lang w:bidi="fa-IR"/>
        </w:rPr>
        <w:t>more extensively glazed are most likely to be affected.</w:t>
      </w:r>
      <w:r w:rsidR="00395515">
        <w:rPr>
          <w:lang w:bidi="fa-IR"/>
        </w:rPr>
        <w:t xml:space="preserve"> As the proportion of buildings that incur a net cost is likely to be small</w:t>
      </w:r>
      <w:r w:rsidR="00BB1773">
        <w:rPr>
          <w:lang w:bidi="fa-IR"/>
        </w:rPr>
        <w:t xml:space="preserve">, </w:t>
      </w:r>
      <w:r w:rsidR="006B423A">
        <w:rPr>
          <w:lang w:bidi="fa-IR"/>
        </w:rPr>
        <w:t>the proposed changes would still deliver</w:t>
      </w:r>
      <w:r w:rsidR="009B4D09">
        <w:rPr>
          <w:lang w:bidi="fa-IR"/>
        </w:rPr>
        <w:t xml:space="preserve"> significant</w:t>
      </w:r>
      <w:r w:rsidR="006B423A">
        <w:rPr>
          <w:lang w:bidi="fa-IR"/>
        </w:rPr>
        <w:t xml:space="preserve"> net</w:t>
      </w:r>
      <w:r w:rsidR="009B4D09">
        <w:rPr>
          <w:lang w:bidi="fa-IR"/>
        </w:rPr>
        <w:t xml:space="preserve"> benefits </w:t>
      </w:r>
      <w:r w:rsidR="006B423A">
        <w:rPr>
          <w:lang w:bidi="fa-IR"/>
        </w:rPr>
        <w:t>in</w:t>
      </w:r>
      <w:r w:rsidR="009B4D09">
        <w:rPr>
          <w:lang w:bidi="fa-IR"/>
        </w:rPr>
        <w:t xml:space="preserve"> aggregate</w:t>
      </w:r>
      <w:r w:rsidR="006B423A">
        <w:rPr>
          <w:lang w:bidi="fa-IR"/>
        </w:rPr>
        <w:t xml:space="preserve">. </w:t>
      </w:r>
    </w:p>
    <w:p w14:paraId="10A9A49B" w14:textId="77777777" w:rsidR="009B4D09" w:rsidRDefault="009B4D09" w:rsidP="009B4D09">
      <w:pPr>
        <w:pStyle w:val="Heading3"/>
        <w:rPr>
          <w:lang w:bidi="fa-IR"/>
        </w:rPr>
      </w:pPr>
      <w:r>
        <w:rPr>
          <w:lang w:bidi="fa-IR"/>
        </w:rPr>
        <w:t>Mandatory rooftop solar</w:t>
      </w:r>
    </w:p>
    <w:p w14:paraId="571C95B7" w14:textId="003AD638" w:rsidR="009B4D09" w:rsidRDefault="009B4D09" w:rsidP="009B4D09">
      <w:pPr>
        <w:pStyle w:val="BodyText"/>
        <w:rPr>
          <w:lang w:bidi="fa-IR"/>
        </w:rPr>
      </w:pPr>
      <w:r>
        <w:rPr>
          <w:lang w:bidi="fa-IR"/>
        </w:rPr>
        <w:t xml:space="preserve">Installation of rooftop solar on commercial buildings is a requirement under </w:t>
      </w:r>
      <w:r w:rsidR="0080128D" w:rsidRPr="0080128D">
        <w:rPr>
          <w:lang w:bidi="fa-IR"/>
        </w:rPr>
        <w:t xml:space="preserve">Stringency Level </w:t>
      </w:r>
      <w:r>
        <w:rPr>
          <w:lang w:bidi="fa-IR"/>
        </w:rPr>
        <w:t xml:space="preserve">2 and </w:t>
      </w:r>
      <w:r w:rsidR="007D5DB9" w:rsidRPr="007D5DB9">
        <w:rPr>
          <w:lang w:bidi="fa-IR"/>
        </w:rPr>
        <w:t xml:space="preserve">Stringency Level </w:t>
      </w:r>
      <w:r>
        <w:rPr>
          <w:lang w:bidi="fa-IR"/>
        </w:rPr>
        <w:t>3. This requirement is also estimated to deliver significant net benefits.</w:t>
      </w:r>
    </w:p>
    <w:p w14:paraId="7EA86B4A" w14:textId="77777777" w:rsidR="009B4D09" w:rsidRDefault="009B4D09" w:rsidP="009B4D09">
      <w:pPr>
        <w:pStyle w:val="BodyText"/>
        <w:rPr>
          <w:lang w:bidi="fa-IR"/>
        </w:rPr>
      </w:pPr>
      <w:r>
        <w:rPr>
          <w:lang w:bidi="fa-IR"/>
        </w:rPr>
        <w:t>Unlike Stringency Level 1, mandatory rooftop solar on commercial buildings is likely to impose additional costs. However, DeltaQ’s modelling indicates that the additional costs are likely to be significantly outweighed by the benefits — including reduced consumption of electricity from the grid, increased export of electricity to the grid and the associated GHG savings.</w:t>
      </w:r>
    </w:p>
    <w:p w14:paraId="1E28DF9C" w14:textId="77777777" w:rsidR="009B4D09" w:rsidRDefault="009B4D09" w:rsidP="009B4D09">
      <w:pPr>
        <w:pStyle w:val="BodyText"/>
        <w:rPr>
          <w:lang w:bidi="fa-IR"/>
        </w:rPr>
      </w:pPr>
      <w:r>
        <w:rPr>
          <w:lang w:bidi="fa-IR"/>
        </w:rPr>
        <w:t>The net benefits from installing rooftop solar on commercial buildings is reflected in the relatively high voluntary uptake of rooftop solar under current arrangements (where rooftop solar is not mandatory), based on available evidence.</w:t>
      </w:r>
      <w:r>
        <w:rPr>
          <w:rStyle w:val="FootnoteReference"/>
          <w:lang w:bidi="fa-IR"/>
        </w:rPr>
        <w:footnoteReference w:id="137"/>
      </w:r>
      <w:r>
        <w:rPr>
          <w:lang w:bidi="fa-IR"/>
        </w:rPr>
        <w:t xml:space="preserve"> This voluntary uptake is incorporated into the base case, which significantly reduces the net benefits attributable to the proposed changes to the NCC.</w:t>
      </w:r>
    </w:p>
    <w:p w14:paraId="2117228A" w14:textId="77777777" w:rsidR="009B4D09" w:rsidRDefault="009B4D09" w:rsidP="009B4D09">
      <w:pPr>
        <w:pStyle w:val="BodyText"/>
        <w:rPr>
          <w:lang w:bidi="fa-IR"/>
        </w:rPr>
      </w:pPr>
      <w:r>
        <w:rPr>
          <w:lang w:bidi="fa-IR"/>
        </w:rPr>
        <w:t>That said, our modelling may over</w:t>
      </w:r>
      <w:r>
        <w:rPr>
          <w:lang w:bidi="fa-IR"/>
        </w:rPr>
        <w:noBreakHyphen/>
        <w:t>estimate the net benefits from mandatory rooftop solar for the following reasons:</w:t>
      </w:r>
    </w:p>
    <w:p w14:paraId="0F94CAD3" w14:textId="4347F59D" w:rsidR="009B4D09" w:rsidRDefault="009B4D09" w:rsidP="009B4D09">
      <w:pPr>
        <w:pStyle w:val="ListBullet"/>
        <w:tabs>
          <w:tab w:val="num" w:pos="709"/>
        </w:tabs>
        <w:rPr>
          <w:lang w:bidi="fa-IR"/>
        </w:rPr>
      </w:pPr>
      <w:r>
        <w:rPr>
          <w:lang w:bidi="fa-IR"/>
        </w:rPr>
        <w:t>the net benefits from installing rooftop solar may mean greater voluntary uptake of rooftop solar in the future under the base case, meaning that fewer benefits can be attributed to the regulatory change;</w:t>
      </w:r>
    </w:p>
    <w:p w14:paraId="5A35A717" w14:textId="77777777" w:rsidR="009B4D09" w:rsidRDefault="009B4D09" w:rsidP="009B4D09">
      <w:pPr>
        <w:pStyle w:val="ListBullet"/>
        <w:tabs>
          <w:tab w:val="num" w:pos="709"/>
        </w:tabs>
        <w:rPr>
          <w:lang w:bidi="fa-IR"/>
        </w:rPr>
      </w:pPr>
      <w:r>
        <w:rPr>
          <w:lang w:bidi="fa-IR"/>
        </w:rPr>
        <w:t>there may be some buildings where installation of rooftop solar is not viable due to shading, alternative uses for the roof or other factors. This has not been taken into account in the modelling (i.e. the modelling assumes that all commercial buildings will install rooftop solar). In most of these cases an exemption will apply.</w:t>
      </w:r>
    </w:p>
    <w:p w14:paraId="5757FE29" w14:textId="77777777" w:rsidR="009B4D09" w:rsidRDefault="009B4D09" w:rsidP="009B4D09">
      <w:pPr>
        <w:pStyle w:val="BodyText"/>
        <w:rPr>
          <w:lang w:bidi="fa-IR"/>
        </w:rPr>
      </w:pPr>
      <w:r>
        <w:rPr>
          <w:lang w:bidi="fa-IR"/>
        </w:rPr>
        <w:t>These factors would reduce both the benefits and costs attributable to the proposed regulatory change proportionately. So although the modelling may overstate the net benefits to some extent, the costs would not outweigh the benefits as a result of these factors.</w:t>
      </w:r>
    </w:p>
    <w:p w14:paraId="65BE5ECE" w14:textId="77777777" w:rsidR="009B4D09" w:rsidRDefault="009B4D09" w:rsidP="009B4D09">
      <w:pPr>
        <w:pStyle w:val="BodyText"/>
        <w:rPr>
          <w:lang w:bidi="fa-IR"/>
        </w:rPr>
      </w:pPr>
      <w:r>
        <w:rPr>
          <w:lang w:bidi="fa-IR"/>
        </w:rPr>
        <w:t>On the other hand, our modelling does not take into account the amount of rooftop solar in the base case (only considering whether they have solar or not). It is possible that the proposed requirements would increase the amount of rooftop solar on buildings where there is voluntary uptake.</w:t>
      </w:r>
    </w:p>
    <w:p w14:paraId="534804F6" w14:textId="77777777" w:rsidR="009B4D09" w:rsidRDefault="009B4D09" w:rsidP="009B4D09">
      <w:pPr>
        <w:pStyle w:val="BodyText"/>
        <w:rPr>
          <w:lang w:bidi="fa-IR"/>
        </w:rPr>
      </w:pPr>
      <w:r>
        <w:rPr>
          <w:lang w:bidi="fa-IR"/>
        </w:rPr>
        <w:t>In contrast to the increase in the mandatory energy efficiency requirements, there are less likely to be direct (hidden) aesthetic/amenity impacts associated with mandatory rooftop solar, due in part to the exemptions available.</w:t>
      </w:r>
    </w:p>
    <w:p w14:paraId="0CF34270" w14:textId="77777777" w:rsidR="009B4D09" w:rsidRDefault="009B4D09" w:rsidP="009B4D09">
      <w:pPr>
        <w:pStyle w:val="BodyText"/>
        <w:rPr>
          <w:lang w:bidi="fa-IR"/>
        </w:rPr>
      </w:pPr>
      <w:r>
        <w:rPr>
          <w:lang w:bidi="fa-IR"/>
        </w:rPr>
        <w:t>That said, there may be some indirect impacts as a result of mandating rooftop solar. In particular, installation of rooftop solar is one way that building owners/designers make trade</w:t>
      </w:r>
      <w:r>
        <w:rPr>
          <w:lang w:bidi="fa-IR"/>
        </w:rPr>
        <w:noBreakHyphen/>
        <w:t>offs against other elements to achieve preferred design outcomes. Previous work for DISER found that 8 per cent of the buildings surveyed had installed rooftop solar as a trade</w:t>
      </w:r>
      <w:r>
        <w:rPr>
          <w:lang w:bidi="fa-IR"/>
        </w:rPr>
        <w:noBreakHyphen/>
        <w:t>off against other elements (around 20 per cent of all buildings that had installed rooftop solar).</w:t>
      </w:r>
      <w:r>
        <w:rPr>
          <w:rStyle w:val="FootnoteReference"/>
          <w:lang w:bidi="fa-IR"/>
        </w:rPr>
        <w:footnoteReference w:id="138"/>
      </w:r>
    </w:p>
    <w:p w14:paraId="6B4879D5" w14:textId="77777777" w:rsidR="009B4D09" w:rsidRDefault="009B4D09" w:rsidP="009B4D09">
      <w:pPr>
        <w:pStyle w:val="BodyText"/>
        <w:rPr>
          <w:lang w:bidi="fa-IR"/>
        </w:rPr>
      </w:pPr>
      <w:r>
        <w:rPr>
          <w:lang w:bidi="fa-IR"/>
        </w:rPr>
        <w:t>If rooftop solar becomes mandatory that trade</w:t>
      </w:r>
      <w:r>
        <w:rPr>
          <w:lang w:bidi="fa-IR"/>
        </w:rPr>
        <w:noBreakHyphen/>
        <w:t>off will no longer be available, meaning that building owners/designers may need to make design compromises elsewhere.</w:t>
      </w:r>
    </w:p>
    <w:p w14:paraId="5676D497" w14:textId="77777777" w:rsidR="009B4D09" w:rsidRDefault="009B4D09" w:rsidP="009B4D09">
      <w:pPr>
        <w:pStyle w:val="Heading3"/>
        <w:rPr>
          <w:lang w:bidi="fa-IR"/>
        </w:rPr>
      </w:pPr>
      <w:r>
        <w:rPr>
          <w:lang w:bidi="fa-IR"/>
        </w:rPr>
        <w:t>Provisions to achieve net zero buildings at least cost</w:t>
      </w:r>
    </w:p>
    <w:p w14:paraId="27C69A92" w14:textId="5B3918E2" w:rsidR="009B4D09" w:rsidRDefault="009B4D09" w:rsidP="009B4D09">
      <w:pPr>
        <w:pStyle w:val="BodyText"/>
        <w:rPr>
          <w:lang w:bidi="fa-IR"/>
        </w:rPr>
      </w:pPr>
      <w:r>
        <w:rPr>
          <w:lang w:bidi="fa-IR"/>
        </w:rPr>
        <w:t xml:space="preserve">The provisions to achieve net zero buildings apply to </w:t>
      </w:r>
      <w:r w:rsidR="007D5DB9" w:rsidRPr="007D5DB9">
        <w:rPr>
          <w:lang w:bidi="fa-IR"/>
        </w:rPr>
        <w:t xml:space="preserve">Stringency Level </w:t>
      </w:r>
      <w:r>
        <w:rPr>
          <w:lang w:bidi="fa-IR"/>
        </w:rPr>
        <w:t>3 only. These provisions have a relatively modest impact (compared to the other elements) at the aggregate level. This is partly because these provisions apply to only 3 building archetypes (the large hotel, the large office building and the large hospital ward) as these are the only dual</w:t>
      </w:r>
      <w:r>
        <w:rPr>
          <w:lang w:bidi="fa-IR"/>
        </w:rPr>
        <w:noBreakHyphen/>
        <w:t>fuel archetypes that have been modelled.</w:t>
      </w:r>
    </w:p>
    <w:p w14:paraId="0924943B" w14:textId="77777777" w:rsidR="009B4D09" w:rsidRDefault="009B4D09" w:rsidP="009B4D09">
      <w:pPr>
        <w:pStyle w:val="BodyText"/>
        <w:rPr>
          <w:lang w:bidi="fa-IR"/>
        </w:rPr>
      </w:pPr>
      <w:r>
        <w:rPr>
          <w:lang w:bidi="fa-IR"/>
        </w:rPr>
        <w:t>The net impact of these requirements depends on whether dual fuel buildings will convert to fully electric in the future.</w:t>
      </w:r>
    </w:p>
    <w:p w14:paraId="5B574FF5" w14:textId="77777777" w:rsidR="009B4D09" w:rsidRDefault="009B4D09" w:rsidP="009B4D09">
      <w:pPr>
        <w:pStyle w:val="ListBullet"/>
        <w:tabs>
          <w:tab w:val="num" w:pos="709"/>
        </w:tabs>
        <w:rPr>
          <w:lang w:bidi="fa-IR"/>
        </w:rPr>
      </w:pPr>
      <w:r>
        <w:rPr>
          <w:lang w:bidi="fa-IR"/>
        </w:rPr>
        <w:t>Where dual fuel buildings are not required to convert to fully electric buildings in the future, these provisions will result in a net cost.</w:t>
      </w:r>
    </w:p>
    <w:p w14:paraId="3FA35082" w14:textId="77777777" w:rsidR="009B4D09" w:rsidRDefault="009B4D09" w:rsidP="009B4D09">
      <w:pPr>
        <w:pStyle w:val="ListBullet"/>
        <w:tabs>
          <w:tab w:val="num" w:pos="709"/>
        </w:tabs>
        <w:rPr>
          <w:lang w:bidi="fa-IR"/>
        </w:rPr>
      </w:pPr>
      <w:r>
        <w:rPr>
          <w:lang w:bidi="fa-IR"/>
        </w:rPr>
        <w:t>Where dual fuel buildings are required to convert to fully electric in the future, these provisions will result in a net benefit.</w:t>
      </w:r>
    </w:p>
    <w:p w14:paraId="77545148" w14:textId="5CF7A4F4" w:rsidR="009B4D09" w:rsidRDefault="009B4D09" w:rsidP="009B4D09">
      <w:pPr>
        <w:pStyle w:val="BodyText"/>
        <w:rPr>
          <w:lang w:bidi="fa-IR"/>
        </w:rPr>
      </w:pPr>
      <w:r>
        <w:rPr>
          <w:lang w:bidi="fa-IR"/>
        </w:rPr>
        <w:t xml:space="preserve">This future scenario is currently unknown. The </w:t>
      </w:r>
      <w:r w:rsidRPr="00FF5392">
        <w:rPr>
          <w:b/>
          <w:bCs/>
          <w:lang w:bidi="fa-IR"/>
        </w:rPr>
        <w:t>expected</w:t>
      </w:r>
      <w:r>
        <w:rPr>
          <w:lang w:bidi="fa-IR"/>
        </w:rPr>
        <w:t xml:space="preserve"> outcome is the probability</w:t>
      </w:r>
      <w:r>
        <w:rPr>
          <w:lang w:bidi="fa-IR"/>
        </w:rPr>
        <w:noBreakHyphen/>
        <w:t>weighted average of these scenarios. Based on the modelling results, the provisions to achieve net zero buildings at least cost ‘breaks even’ (implying the costs are equal to the benefits), where the probability that dual</w:t>
      </w:r>
      <w:r>
        <w:rPr>
          <w:lang w:bidi="fa-IR"/>
        </w:rPr>
        <w:noBreakHyphen/>
        <w:t xml:space="preserve">fuel buildings are required to convert to fully electric in the future is around </w:t>
      </w:r>
      <w:r w:rsidR="00F422E6">
        <w:rPr>
          <w:b/>
          <w:bCs/>
          <w:lang w:bidi="fa-IR"/>
        </w:rPr>
        <w:t>63</w:t>
      </w:r>
      <w:r w:rsidRPr="00C52084">
        <w:rPr>
          <w:b/>
          <w:bCs/>
          <w:lang w:bidi="fa-IR"/>
        </w:rPr>
        <w:t> per cent</w:t>
      </w:r>
      <w:r>
        <w:rPr>
          <w:b/>
          <w:bCs/>
          <w:lang w:bidi="fa-IR"/>
        </w:rPr>
        <w:t xml:space="preserve"> </w:t>
      </w:r>
      <w:r w:rsidRPr="000A6467">
        <w:rPr>
          <w:lang w:bidi="fa-IR"/>
        </w:rPr>
        <w:t xml:space="preserve">(where all other assumptions are held constant, including: </w:t>
      </w:r>
      <w:r>
        <w:rPr>
          <w:lang w:bidi="fa-IR"/>
        </w:rPr>
        <w:t>10</w:t>
      </w:r>
      <w:r w:rsidRPr="000A6467">
        <w:rPr>
          <w:lang w:bidi="fa-IR"/>
        </w:rPr>
        <w:t xml:space="preserve"> per cent of buildings would choose the dual fuel offset; and </w:t>
      </w:r>
      <w:r>
        <w:rPr>
          <w:lang w:bidi="fa-IR"/>
        </w:rPr>
        <w:t>90</w:t>
      </w:r>
      <w:r w:rsidRPr="000A6467">
        <w:rPr>
          <w:lang w:bidi="fa-IR"/>
        </w:rPr>
        <w:t> per cent would choose to ‘electrify now’</w:t>
      </w:r>
      <w:r>
        <w:rPr>
          <w:lang w:bidi="fa-IR"/>
        </w:rPr>
        <w:t>; and all dual fuel buildings would be required to convert to fully electric 20 years after construction</w:t>
      </w:r>
      <w:r w:rsidRPr="000A6467">
        <w:rPr>
          <w:lang w:bidi="fa-IR"/>
        </w:rPr>
        <w:t>).</w:t>
      </w:r>
      <w:r>
        <w:rPr>
          <w:lang w:bidi="fa-IR"/>
        </w:rPr>
        <w:t xml:space="preserve"> This implies the following.</w:t>
      </w:r>
    </w:p>
    <w:p w14:paraId="78BF30FD" w14:textId="1F961D52" w:rsidR="009B4D09" w:rsidRDefault="009B4D09" w:rsidP="009B4D09">
      <w:pPr>
        <w:pStyle w:val="ListBullet"/>
        <w:tabs>
          <w:tab w:val="num" w:pos="709"/>
        </w:tabs>
        <w:rPr>
          <w:lang w:bidi="fa-IR"/>
        </w:rPr>
      </w:pPr>
      <w:r>
        <w:rPr>
          <w:lang w:bidi="fa-IR"/>
        </w:rPr>
        <w:t xml:space="preserve">If the probability that dual fuel buildings will be required to convert to fully electric </w:t>
      </w:r>
      <w:r w:rsidR="007D0F0F">
        <w:rPr>
          <w:lang w:bidi="fa-IR"/>
        </w:rPr>
        <w:t xml:space="preserve">in the future </w:t>
      </w:r>
      <w:r>
        <w:rPr>
          <w:lang w:bidi="fa-IR"/>
        </w:rPr>
        <w:t xml:space="preserve">is considered greater than </w:t>
      </w:r>
      <w:r w:rsidR="00376B0C">
        <w:rPr>
          <w:lang w:bidi="fa-IR"/>
        </w:rPr>
        <w:t>63</w:t>
      </w:r>
      <w:r>
        <w:rPr>
          <w:lang w:bidi="fa-IR"/>
        </w:rPr>
        <w:t xml:space="preserve"> per cent, </w:t>
      </w:r>
      <w:r w:rsidR="008D47F1">
        <w:rPr>
          <w:lang w:bidi="fa-IR"/>
        </w:rPr>
        <w:t>Stringency Level 3 is likely</w:t>
      </w:r>
      <w:r>
        <w:rPr>
          <w:lang w:bidi="fa-IR"/>
        </w:rPr>
        <w:t xml:space="preserve"> to deliver </w:t>
      </w:r>
      <w:r w:rsidR="008D47F1">
        <w:rPr>
          <w:lang w:bidi="fa-IR"/>
        </w:rPr>
        <w:t>the highest net benefits</w:t>
      </w:r>
      <w:r>
        <w:rPr>
          <w:lang w:bidi="fa-IR"/>
        </w:rPr>
        <w:t>.</w:t>
      </w:r>
    </w:p>
    <w:p w14:paraId="59C7413C" w14:textId="1BE3A9AA" w:rsidR="009B4D09" w:rsidRDefault="009B4D09" w:rsidP="009B4D09">
      <w:pPr>
        <w:pStyle w:val="ListBullet"/>
        <w:tabs>
          <w:tab w:val="num" w:pos="709"/>
        </w:tabs>
        <w:rPr>
          <w:lang w:bidi="fa-IR"/>
        </w:rPr>
      </w:pPr>
      <w:r>
        <w:rPr>
          <w:lang w:bidi="fa-IR"/>
        </w:rPr>
        <w:t xml:space="preserve">If the probability that dual fuel buildings will be required to convert to fully electric is considered less than </w:t>
      </w:r>
      <w:r w:rsidR="00376B0C">
        <w:rPr>
          <w:lang w:bidi="fa-IR"/>
        </w:rPr>
        <w:t>63</w:t>
      </w:r>
      <w:r>
        <w:rPr>
          <w:lang w:bidi="fa-IR"/>
        </w:rPr>
        <w:t xml:space="preserve"> per cent, </w:t>
      </w:r>
      <w:r w:rsidR="008D47F1">
        <w:rPr>
          <w:lang w:bidi="fa-IR"/>
        </w:rPr>
        <w:t>Stringency Level 2 is likely</w:t>
      </w:r>
      <w:r>
        <w:rPr>
          <w:lang w:bidi="fa-IR"/>
        </w:rPr>
        <w:t xml:space="preserve"> to deliver </w:t>
      </w:r>
      <w:r w:rsidR="008D47F1">
        <w:rPr>
          <w:lang w:bidi="fa-IR"/>
        </w:rPr>
        <w:t>the highest net benefits</w:t>
      </w:r>
      <w:r>
        <w:rPr>
          <w:lang w:bidi="fa-IR"/>
        </w:rPr>
        <w:t>.</w:t>
      </w:r>
    </w:p>
    <w:p w14:paraId="1EAE0CBE" w14:textId="77777777" w:rsidR="009B4D09" w:rsidRDefault="009B4D09" w:rsidP="009B4D09">
      <w:pPr>
        <w:pStyle w:val="Heading3"/>
        <w:rPr>
          <w:lang w:bidi="fa-IR"/>
        </w:rPr>
      </w:pPr>
      <w:r>
        <w:rPr>
          <w:lang w:bidi="fa-IR"/>
        </w:rPr>
        <w:t>Mandatory EV charging facilities</w:t>
      </w:r>
    </w:p>
    <w:p w14:paraId="162B8D13" w14:textId="77777777" w:rsidR="009B4D09" w:rsidRDefault="009B4D09" w:rsidP="009B4D09">
      <w:pPr>
        <w:pStyle w:val="BodyText"/>
        <w:rPr>
          <w:lang w:bidi="fa-IR"/>
        </w:rPr>
      </w:pPr>
      <w:r>
        <w:rPr>
          <w:lang w:bidi="fa-IR"/>
        </w:rPr>
        <w:t>All of the proposed options require mandatory EV charging facilities to be installed in commercial buildings.</w:t>
      </w:r>
    </w:p>
    <w:p w14:paraId="1FCFC049" w14:textId="77777777" w:rsidR="009B4D09" w:rsidRDefault="009B4D09" w:rsidP="009B4D09">
      <w:pPr>
        <w:pStyle w:val="BodyText"/>
        <w:rPr>
          <w:lang w:bidi="fa-IR"/>
        </w:rPr>
      </w:pPr>
      <w:r>
        <w:rPr>
          <w:lang w:bidi="fa-IR"/>
        </w:rPr>
        <w:t>This requirement is estimated to impose a net cost on the community. This result largely reflects the relatively low value that consumers appear to place on destination charging (based on previous CIE estimates from a stated preference survey). This value is also likely to decline further as battery range improves.</w:t>
      </w:r>
    </w:p>
    <w:p w14:paraId="001074B5" w14:textId="77777777" w:rsidR="009B4D09" w:rsidRDefault="009B4D09" w:rsidP="009B4D09">
      <w:pPr>
        <w:pStyle w:val="BodyText"/>
        <w:rPr>
          <w:lang w:bidi="fa-IR"/>
        </w:rPr>
      </w:pPr>
      <w:r>
        <w:rPr>
          <w:lang w:bidi="fa-IR"/>
        </w:rPr>
        <w:t>As consumers place a relatively low value on charging facilities at the destination, our estimates suggest that greater provision of charging facilities in commercial building car parks is unlikely to induce significant additional uptake of EVs.</w:t>
      </w:r>
    </w:p>
    <w:p w14:paraId="125A0279" w14:textId="77777777" w:rsidR="009B4D09" w:rsidRDefault="009B4D09" w:rsidP="009B4D09">
      <w:pPr>
        <w:pStyle w:val="BodyText"/>
        <w:rPr>
          <w:lang w:bidi="fa-IR"/>
        </w:rPr>
      </w:pPr>
      <w:r>
        <w:rPr>
          <w:lang w:bidi="fa-IR"/>
        </w:rPr>
        <w:t>The relatively low value that consumers place on charging facilities at the destination is likely to reflect the expectation that most charging will be done at home. The preferences of consumers (or potential consumers) that are unable to install charging facilities at home may be higher than average; however, the results of the stated preference survey suggest that there may be relatively few EV drivers (or potential drivers) in this category. Although an industry estimate suggests that up to 20 per cent of homes may be in this category, it is possible that these households are less likely to be EV drivers.</w:t>
      </w:r>
    </w:p>
    <w:p w14:paraId="221D90B6" w14:textId="77777777" w:rsidR="009B4D09" w:rsidRDefault="009B4D09" w:rsidP="009B4D09">
      <w:pPr>
        <w:pStyle w:val="Heading2"/>
        <w:rPr>
          <w:lang w:bidi="fa-IR"/>
        </w:rPr>
      </w:pPr>
      <w:bookmarkStart w:id="6436" w:name="_Toc177735121"/>
      <w:bookmarkStart w:id="6437" w:name="_Toc178292555"/>
      <w:r>
        <w:rPr>
          <w:lang w:bidi="fa-IR"/>
        </w:rPr>
        <w:t>Conclusions</w:t>
      </w:r>
      <w:bookmarkEnd w:id="6436"/>
      <w:bookmarkEnd w:id="6437"/>
    </w:p>
    <w:p w14:paraId="63455274" w14:textId="77777777" w:rsidR="009B4D09" w:rsidRPr="00BA36EF" w:rsidRDefault="009B4D09" w:rsidP="009B4D09">
      <w:pPr>
        <w:pStyle w:val="BodyText"/>
        <w:rPr>
          <w:lang w:bidi="fa-IR"/>
        </w:rPr>
      </w:pPr>
      <w:r>
        <w:rPr>
          <w:lang w:bidi="fa-IR"/>
        </w:rPr>
        <w:t>The updated CBA results for the DRIS, taking into account stakeholder feedback from the CRIS, has not changed the broad conclusions.</w:t>
      </w:r>
    </w:p>
    <w:p w14:paraId="26FA403B" w14:textId="2CBFFCE3" w:rsidR="00B20354" w:rsidRDefault="00D978E3" w:rsidP="008C238C">
      <w:pPr>
        <w:pStyle w:val="ListBullet"/>
        <w:rPr>
          <w:lang w:bidi="fa-IR"/>
        </w:rPr>
      </w:pPr>
      <w:r>
        <w:rPr>
          <w:lang w:bidi="fa-IR"/>
        </w:rPr>
        <w:t xml:space="preserve">In relation to the options relating to </w:t>
      </w:r>
      <w:r w:rsidR="007451DD">
        <w:rPr>
          <w:lang w:bidi="fa-IR"/>
        </w:rPr>
        <w:t xml:space="preserve">the </w:t>
      </w:r>
      <w:r>
        <w:rPr>
          <w:lang w:bidi="fa-IR"/>
        </w:rPr>
        <w:t>minimum energy efficiency</w:t>
      </w:r>
      <w:r w:rsidR="007451DD">
        <w:rPr>
          <w:lang w:bidi="fa-IR"/>
        </w:rPr>
        <w:t xml:space="preserve"> requirements</w:t>
      </w:r>
      <w:r w:rsidR="00E84F97">
        <w:rPr>
          <w:lang w:bidi="fa-IR"/>
        </w:rPr>
        <w:t xml:space="preserve"> and </w:t>
      </w:r>
      <w:r w:rsidR="00FE429C">
        <w:rPr>
          <w:lang w:bidi="fa-IR"/>
        </w:rPr>
        <w:t>on-site energy generation:</w:t>
      </w:r>
    </w:p>
    <w:p w14:paraId="75790693" w14:textId="403E095E" w:rsidR="009B4D09" w:rsidRDefault="009B4D09" w:rsidP="006A24A8">
      <w:pPr>
        <w:pStyle w:val="ListBullet2"/>
        <w:rPr>
          <w:lang w:bidi="fa-IR"/>
        </w:rPr>
      </w:pPr>
      <w:r>
        <w:rPr>
          <w:lang w:bidi="fa-IR"/>
        </w:rPr>
        <w:t xml:space="preserve">All three options under consideration </w:t>
      </w:r>
      <w:r>
        <w:rPr>
          <w:rFonts w:hint="eastAsia"/>
          <w:lang w:bidi="fa-IR"/>
        </w:rPr>
        <w:t>are estimated to deliver significant net benefits compared with current NCC 2022 requirements as a baseline.</w:t>
      </w:r>
    </w:p>
    <w:p w14:paraId="3EFE3ED2" w14:textId="7DF794F3" w:rsidR="009B4D09" w:rsidRDefault="0080128D" w:rsidP="006A24A8">
      <w:pPr>
        <w:pStyle w:val="ListBullet2"/>
        <w:rPr>
          <w:lang w:bidi="fa-IR"/>
        </w:rPr>
      </w:pPr>
      <w:r w:rsidRPr="0080128D">
        <w:rPr>
          <w:lang w:bidi="fa-IR"/>
        </w:rPr>
        <w:t xml:space="preserve">Stringency Level </w:t>
      </w:r>
      <w:r w:rsidR="009B4D09">
        <w:rPr>
          <w:rFonts w:hint="eastAsia"/>
          <w:lang w:bidi="fa-IR"/>
        </w:rPr>
        <w:t>2 upgraded energy efficiency requirements and mandatory rooftop solar delivers the highest net benefits</w:t>
      </w:r>
      <w:r w:rsidR="00FE429C">
        <w:rPr>
          <w:lang w:bidi="fa-IR"/>
        </w:rPr>
        <w:t xml:space="preserve"> under most scenarios (including the central case)</w:t>
      </w:r>
      <w:r w:rsidR="009B4D09">
        <w:rPr>
          <w:rFonts w:hint="eastAsia"/>
          <w:lang w:bidi="fa-IR"/>
        </w:rPr>
        <w:t>.</w:t>
      </w:r>
    </w:p>
    <w:p w14:paraId="3ABCDD39" w14:textId="71CDC0A9" w:rsidR="009B4D09" w:rsidRDefault="0000029E" w:rsidP="006A24A8">
      <w:pPr>
        <w:pStyle w:val="ListBullet2"/>
        <w:rPr>
          <w:lang w:bidi="fa-IR"/>
        </w:rPr>
      </w:pPr>
      <w:r w:rsidRPr="0000029E">
        <w:rPr>
          <w:lang w:bidi="fa-IR"/>
        </w:rPr>
        <w:t xml:space="preserve">Stringency Level </w:t>
      </w:r>
      <w:r w:rsidR="009B4D09">
        <w:rPr>
          <w:rFonts w:hint="eastAsia"/>
          <w:lang w:bidi="fa-IR"/>
        </w:rPr>
        <w:t xml:space="preserve">3 also achieves </w:t>
      </w:r>
      <w:r w:rsidR="009B4D09">
        <w:rPr>
          <w:lang w:bidi="fa-IR"/>
        </w:rPr>
        <w:t>significant</w:t>
      </w:r>
      <w:r w:rsidR="009B4D09">
        <w:rPr>
          <w:rFonts w:hint="eastAsia"/>
          <w:lang w:bidi="fa-IR"/>
        </w:rPr>
        <w:t xml:space="preserve"> benefits that are </w:t>
      </w:r>
      <w:r w:rsidR="009B4D09">
        <w:rPr>
          <w:lang w:bidi="fa-IR"/>
        </w:rPr>
        <w:t xml:space="preserve">only </w:t>
      </w:r>
      <w:r w:rsidR="009B4D09">
        <w:rPr>
          <w:rFonts w:hint="eastAsia"/>
          <w:lang w:bidi="fa-IR"/>
        </w:rPr>
        <w:t xml:space="preserve">slightly lower than </w:t>
      </w:r>
      <w:r w:rsidR="0080128D" w:rsidRPr="0080128D">
        <w:rPr>
          <w:lang w:bidi="fa-IR"/>
        </w:rPr>
        <w:t xml:space="preserve">Stringency Level </w:t>
      </w:r>
      <w:r w:rsidR="009B4D09">
        <w:rPr>
          <w:rFonts w:hint="eastAsia"/>
          <w:lang w:bidi="fa-IR"/>
        </w:rPr>
        <w:t>2 noting</w:t>
      </w:r>
      <w:r w:rsidR="009B4D09">
        <w:rPr>
          <w:lang w:bidi="fa-IR"/>
        </w:rPr>
        <w:t>,</w:t>
      </w:r>
      <w:r w:rsidR="009B4D09">
        <w:rPr>
          <w:rFonts w:hint="eastAsia"/>
          <w:lang w:bidi="fa-IR"/>
        </w:rPr>
        <w:t xml:space="preserve"> as shown in the sensitivity analysis, </w:t>
      </w:r>
      <w:r w:rsidRPr="0000029E">
        <w:rPr>
          <w:lang w:bidi="fa-IR"/>
        </w:rPr>
        <w:t xml:space="preserve">Stringency Level </w:t>
      </w:r>
      <w:r w:rsidR="009B4D09">
        <w:rPr>
          <w:rFonts w:hint="eastAsia"/>
          <w:lang w:bidi="fa-IR"/>
        </w:rPr>
        <w:t xml:space="preserve">3 can deliver </w:t>
      </w:r>
      <w:r w:rsidR="009B4D09">
        <w:rPr>
          <w:lang w:bidi="fa-IR"/>
        </w:rPr>
        <w:t>larger</w:t>
      </w:r>
      <w:r w:rsidR="009B4D09">
        <w:rPr>
          <w:rFonts w:hint="eastAsia"/>
          <w:lang w:bidi="fa-IR"/>
        </w:rPr>
        <w:t xml:space="preserve"> results in some scenarios</w:t>
      </w:r>
      <w:r w:rsidR="008E69BA">
        <w:rPr>
          <w:lang w:bidi="fa-IR"/>
        </w:rPr>
        <w:t xml:space="preserve"> (particularly if </w:t>
      </w:r>
      <w:r w:rsidR="00BF5A92">
        <w:rPr>
          <w:lang w:bidi="fa-IR"/>
        </w:rPr>
        <w:t>dua</w:t>
      </w:r>
      <w:r w:rsidR="006A24A8">
        <w:rPr>
          <w:lang w:bidi="fa-IR"/>
        </w:rPr>
        <w:t>l fuel buildings are required to convert to fully electric in the future)</w:t>
      </w:r>
      <w:r w:rsidR="009B4D09">
        <w:rPr>
          <w:rFonts w:hint="eastAsia"/>
          <w:lang w:bidi="fa-IR"/>
        </w:rPr>
        <w:t>.</w:t>
      </w:r>
    </w:p>
    <w:p w14:paraId="7A7FB2DD" w14:textId="69F0CDEC" w:rsidR="009B4D09" w:rsidRDefault="00124FB3" w:rsidP="008C238C">
      <w:pPr>
        <w:pStyle w:val="ListBullet"/>
        <w:rPr>
          <w:lang w:bidi="fa-IR"/>
        </w:rPr>
      </w:pPr>
      <w:r>
        <w:rPr>
          <w:lang w:bidi="fa-IR"/>
        </w:rPr>
        <w:t>The costs of</w:t>
      </w:r>
      <w:r w:rsidR="009B4D09">
        <w:rPr>
          <w:rFonts w:hint="eastAsia"/>
          <w:lang w:bidi="fa-IR"/>
        </w:rPr>
        <w:t xml:space="preserve"> mandatory EV charging facilities </w:t>
      </w:r>
      <w:r>
        <w:rPr>
          <w:lang w:bidi="fa-IR"/>
        </w:rPr>
        <w:t>are estimated to outweigh the benefits</w:t>
      </w:r>
      <w:r w:rsidR="009B4D09">
        <w:rPr>
          <w:rFonts w:hint="eastAsia"/>
          <w:lang w:bidi="fa-IR"/>
        </w:rPr>
        <w:t xml:space="preserve">. </w:t>
      </w:r>
    </w:p>
    <w:p w14:paraId="302C8706" w14:textId="77777777" w:rsidR="009B4D09" w:rsidRDefault="009B4D09" w:rsidP="009B4D09">
      <w:pPr>
        <w:pStyle w:val="Heading6"/>
      </w:pPr>
      <w:bookmarkStart w:id="6438" w:name="_Toc149060076"/>
      <w:bookmarkStart w:id="6439" w:name="_Ref150175663"/>
      <w:bookmarkStart w:id="6440" w:name="_Toc177735122"/>
      <w:bookmarkStart w:id="6441" w:name="_Toc178292556"/>
      <w:r>
        <w:t xml:space="preserve">Review of direct evidence on </w:t>
      </w:r>
      <w:bookmarkEnd w:id="6438"/>
      <w:r>
        <w:t>market failures and behavioural anomalies</w:t>
      </w:r>
      <w:bookmarkEnd w:id="6439"/>
      <w:bookmarkEnd w:id="6440"/>
      <w:bookmarkEnd w:id="6441"/>
    </w:p>
    <w:p w14:paraId="3744B66A" w14:textId="2AD7F9BF" w:rsidR="009B4D09" w:rsidRPr="00F02E87" w:rsidRDefault="009B4D09" w:rsidP="009B4D09">
      <w:pPr>
        <w:pStyle w:val="BodyText"/>
      </w:pPr>
      <w:r>
        <w:t xml:space="preserve">This appendix provides more detailed discussion on direct evidence on market failures and behavioural anomalies presented in chapter 2 (especially the summary table </w:t>
      </w:r>
      <w:fldSimple w:instr=" REF _Caption1967 ">
        <w:r w:rsidR="006E00A7">
          <w:rPr>
            <w:noProof/>
          </w:rPr>
          <w:t>2</w:t>
        </w:r>
        <w:r w:rsidR="006E00A7" w:rsidRPr="00695C93">
          <w:rPr>
            <w:noProof/>
          </w:rPr>
          <w:t>.</w:t>
        </w:r>
        <w:r w:rsidR="006E00A7">
          <w:rPr>
            <w:noProof/>
          </w:rPr>
          <w:t>2</w:t>
        </w:r>
      </w:fldSimple>
      <w:r>
        <w:t>).</w:t>
      </w:r>
    </w:p>
    <w:p w14:paraId="6216D40D" w14:textId="77777777" w:rsidR="009B4D09" w:rsidRDefault="009B4D09" w:rsidP="009B4D09">
      <w:pPr>
        <w:pStyle w:val="Heading7"/>
      </w:pPr>
      <w:bookmarkStart w:id="6442" w:name="_Toc509220803"/>
      <w:r w:rsidRPr="00D13CAC">
        <w:t>Direct evidence of market failures</w:t>
      </w:r>
      <w:bookmarkEnd w:id="6442"/>
      <w:r w:rsidRPr="00D13CAC">
        <w:t xml:space="preserve"> </w:t>
      </w:r>
      <w:r>
        <w:t>in energy pricing</w:t>
      </w:r>
    </w:p>
    <w:p w14:paraId="20D1E4DF" w14:textId="77777777" w:rsidR="009B4D09" w:rsidRDefault="009B4D09" w:rsidP="009B4D09">
      <w:pPr>
        <w:pStyle w:val="BodyText"/>
      </w:pPr>
      <w:r>
        <w:t>Direct evidence on market failures in energy pricing is summarised below. In summary:</w:t>
      </w:r>
    </w:p>
    <w:p w14:paraId="2F45F2F0" w14:textId="77777777" w:rsidR="009B4D09" w:rsidRPr="00E02987" w:rsidRDefault="009B4D09" w:rsidP="009B4D09">
      <w:pPr>
        <w:pStyle w:val="ListBullet"/>
        <w:tabs>
          <w:tab w:val="num" w:pos="709"/>
        </w:tabs>
        <w:rPr>
          <w:lang w:bidi="fa-IR"/>
        </w:rPr>
      </w:pPr>
      <w:r w:rsidRPr="00E02987">
        <w:rPr>
          <w:lang w:bidi="fa-IR"/>
        </w:rPr>
        <w:t>There is a significant market failure as the external costs associated with GHG emissions are not reflected in energy prices. On average, the external costs associated with electricity consumption are currently estimated at around 23.5 c/kWh.</w:t>
      </w:r>
    </w:p>
    <w:p w14:paraId="2985B64F" w14:textId="77777777" w:rsidR="009B4D09" w:rsidRPr="00E02987" w:rsidRDefault="009B4D09" w:rsidP="009B4D09">
      <w:pPr>
        <w:pStyle w:val="ListBullet"/>
        <w:tabs>
          <w:tab w:val="num" w:pos="709"/>
        </w:tabs>
        <w:rPr>
          <w:lang w:bidi="fa-IR"/>
        </w:rPr>
      </w:pPr>
      <w:r w:rsidRPr="00E02987">
        <w:rPr>
          <w:lang w:bidi="fa-IR"/>
        </w:rPr>
        <w:t>Consistent with</w:t>
      </w:r>
      <w:r>
        <w:rPr>
          <w:lang w:bidi="fa-IR"/>
        </w:rPr>
        <w:t xml:space="preserve"> the Australian Energy Regulator (</w:t>
      </w:r>
      <w:r w:rsidRPr="00E02987">
        <w:rPr>
          <w:lang w:bidi="fa-IR"/>
        </w:rPr>
        <w:t>AER</w:t>
      </w:r>
      <w:r>
        <w:rPr>
          <w:lang w:bidi="fa-IR"/>
        </w:rPr>
        <w:t>)</w:t>
      </w:r>
      <w:r w:rsidRPr="00E02987">
        <w:rPr>
          <w:lang w:bidi="fa-IR"/>
        </w:rPr>
        <w:t xml:space="preserve"> Guidelines, the costs associated with peak demand are largely reflected in energy prices, albeit imperfectly.</w:t>
      </w:r>
    </w:p>
    <w:p w14:paraId="09AFB55E" w14:textId="77777777" w:rsidR="009B4D09" w:rsidRPr="00D13CAC" w:rsidRDefault="009B4D09" w:rsidP="009B4D09">
      <w:pPr>
        <w:pStyle w:val="Heading8"/>
      </w:pPr>
      <w:r w:rsidRPr="00D13CAC">
        <w:t>Greenhouse gas emissions</w:t>
      </w:r>
    </w:p>
    <w:p w14:paraId="34CD8142" w14:textId="77777777" w:rsidR="009B4D09" w:rsidRPr="00D13CAC" w:rsidRDefault="009B4D09" w:rsidP="009B4D09">
      <w:pPr>
        <w:pStyle w:val="BodyText"/>
      </w:pPr>
      <w:r w:rsidRPr="00D13CAC">
        <w:t xml:space="preserve">In the current policy environment, the lack of an economy wide carbon price is the clearest market failure in relation to energy consumption. There are various approaches to valuing </w:t>
      </w:r>
      <w:r>
        <w:t>GHG</w:t>
      </w:r>
      <w:r w:rsidRPr="00D13CAC">
        <w:t xml:space="preserve"> emissions. Using the internationally recognised SCC</w:t>
      </w:r>
      <w:r>
        <w:t xml:space="preserve"> </w:t>
      </w:r>
      <w:r w:rsidRPr="00D13CAC">
        <w:t xml:space="preserve">approach, the external cost of carbon emissions associated with electricity consumption is </w:t>
      </w:r>
      <w:r>
        <w:t xml:space="preserve">currently (2023) </w:t>
      </w:r>
      <w:r w:rsidRPr="00D13CAC">
        <w:t xml:space="preserve">estimated at around </w:t>
      </w:r>
      <w:r>
        <w:t xml:space="preserve">21.7 c/kWh </w:t>
      </w:r>
      <w:r w:rsidRPr="00D13CAC">
        <w:t>based on:</w:t>
      </w:r>
    </w:p>
    <w:p w14:paraId="4AE49DF6" w14:textId="77777777" w:rsidR="009B4D09" w:rsidRDefault="009B4D09" w:rsidP="009B4D09">
      <w:pPr>
        <w:pStyle w:val="ListBullet"/>
        <w:tabs>
          <w:tab w:val="num" w:pos="709"/>
        </w:tabs>
        <w:rPr>
          <w:lang w:bidi="fa-IR"/>
        </w:rPr>
      </w:pPr>
      <w:r w:rsidRPr="00D13CAC">
        <w:rPr>
          <w:lang w:bidi="fa-IR"/>
        </w:rPr>
        <w:t>a social cost of carbon of around $</w:t>
      </w:r>
      <w:r>
        <w:rPr>
          <w:lang w:bidi="fa-IR"/>
        </w:rPr>
        <w:t>313</w:t>
      </w:r>
      <w:r w:rsidRPr="00D13CAC">
        <w:rPr>
          <w:lang w:bidi="fa-IR"/>
        </w:rPr>
        <w:t xml:space="preserve"> per tonne of CO</w:t>
      </w:r>
      <w:r w:rsidRPr="00212775">
        <w:rPr>
          <w:lang w:bidi="fa-IR"/>
        </w:rPr>
        <w:t>2</w:t>
      </w:r>
      <w:r w:rsidRPr="00D13CAC">
        <w:rPr>
          <w:lang w:bidi="fa-IR"/>
        </w:rPr>
        <w:noBreakHyphen/>
        <w:t xml:space="preserve">e </w:t>
      </w:r>
      <w:r>
        <w:rPr>
          <w:lang w:bidi="fa-IR"/>
        </w:rPr>
        <w:t>in 2023-dollar terms</w:t>
      </w:r>
      <w:r w:rsidRPr="00D13CAC">
        <w:rPr>
          <w:lang w:bidi="fa-IR"/>
        </w:rPr>
        <w:t>— this is based on</w:t>
      </w:r>
      <w:r>
        <w:rPr>
          <w:lang w:bidi="fa-IR"/>
        </w:rPr>
        <w:t xml:space="preserve"> the following:</w:t>
      </w:r>
    </w:p>
    <w:p w14:paraId="3F8CD02B" w14:textId="77777777" w:rsidR="009B4D09" w:rsidRDefault="009B4D09" w:rsidP="009B4D09">
      <w:pPr>
        <w:pStyle w:val="ListBullet"/>
        <w:numPr>
          <w:ilvl w:val="1"/>
          <w:numId w:val="34"/>
        </w:numPr>
      </w:pPr>
      <w:r>
        <w:t xml:space="preserve">The </w:t>
      </w:r>
      <w:r w:rsidRPr="00D13CAC">
        <w:t>United State Environment Protection Agency</w:t>
      </w:r>
      <w:r>
        <w:t>’s</w:t>
      </w:r>
      <w:r w:rsidRPr="00D13CAC">
        <w:t xml:space="preserve"> </w:t>
      </w:r>
      <w:r>
        <w:t xml:space="preserve">(US EPA’s) most recent (2022) estimate of the </w:t>
      </w:r>
      <w:r w:rsidRPr="00D13CAC">
        <w:t>SCC of US$</w:t>
      </w:r>
      <w:r>
        <w:t>190</w:t>
      </w:r>
      <w:r w:rsidRPr="00D13CAC">
        <w:t xml:space="preserve"> per tonne of CO</w:t>
      </w:r>
      <w:r w:rsidRPr="00D13CAC">
        <w:rPr>
          <w:vertAlign w:val="subscript"/>
        </w:rPr>
        <w:t>2</w:t>
      </w:r>
      <w:r w:rsidRPr="00D13CAC">
        <w:noBreakHyphen/>
        <w:t xml:space="preserve">e (expressed in </w:t>
      </w:r>
      <w:r>
        <w:t>2020</w:t>
      </w:r>
      <w:r w:rsidRPr="00D13CAC">
        <w:t xml:space="preserve"> </w:t>
      </w:r>
      <w:r>
        <w:t xml:space="preserve">US </w:t>
      </w:r>
      <w:r w:rsidRPr="00D13CAC">
        <w:t xml:space="preserve">dollar terms using the </w:t>
      </w:r>
      <w:r>
        <w:t>2.0 </w:t>
      </w:r>
      <w:r w:rsidRPr="00D13CAC">
        <w:t>per cent discount rate)</w:t>
      </w:r>
      <w:r>
        <w:t xml:space="preserve"> is used as the starting point</w:t>
      </w:r>
      <w:r w:rsidRPr="00D13CAC">
        <w:t>.</w:t>
      </w:r>
      <w:r w:rsidRPr="00D13CAC">
        <w:rPr>
          <w:rStyle w:val="FootnoteReference"/>
        </w:rPr>
        <w:footnoteReference w:id="139"/>
      </w:r>
    </w:p>
    <w:p w14:paraId="181AC762" w14:textId="77777777" w:rsidR="009B4D09" w:rsidRDefault="009B4D09" w:rsidP="009B4D09">
      <w:pPr>
        <w:pStyle w:val="ListBullet"/>
        <w:numPr>
          <w:ilvl w:val="1"/>
          <w:numId w:val="34"/>
        </w:numPr>
      </w:pPr>
      <w:r>
        <w:t xml:space="preserve">The US EPA’s US dollar estimate is then </w:t>
      </w:r>
      <w:r w:rsidRPr="00D13CAC">
        <w:t xml:space="preserve">converted to </w:t>
      </w:r>
      <w:r w:rsidRPr="00B93DC2">
        <w:t xml:space="preserve">Australian dollar terms using </w:t>
      </w:r>
      <w:r>
        <w:t>an</w:t>
      </w:r>
      <w:r w:rsidRPr="00B93DC2">
        <w:t xml:space="preserve"> exchange rate of US$0.7</w:t>
      </w:r>
      <w:r>
        <w:t>4.6</w:t>
      </w:r>
      <w:r w:rsidRPr="00B93DC2">
        <w:t xml:space="preserve"> per</w:t>
      </w:r>
      <w:r w:rsidRPr="00D13CAC">
        <w:t xml:space="preserve"> Australian dollar (based on </w:t>
      </w:r>
      <w:r>
        <w:t>a 10</w:t>
      </w:r>
      <w:r>
        <w:noBreakHyphen/>
        <w:t>year</w:t>
      </w:r>
      <w:r w:rsidRPr="00D13CAC">
        <w:t xml:space="preserve"> average</w:t>
      </w:r>
      <w:r>
        <w:t xml:space="preserve"> to February 2023</w:t>
      </w:r>
      <w:r w:rsidRPr="00D13CAC">
        <w:t>)</w:t>
      </w:r>
      <w:r>
        <w:t>.</w:t>
      </w:r>
    </w:p>
    <w:p w14:paraId="565FB233" w14:textId="77777777" w:rsidR="009B4D09" w:rsidRDefault="009B4D09" w:rsidP="009B4D09">
      <w:pPr>
        <w:pStyle w:val="ListBullet"/>
        <w:numPr>
          <w:ilvl w:val="1"/>
          <w:numId w:val="34"/>
        </w:numPr>
      </w:pPr>
      <w:r>
        <w:t>Reflecting the upward trend in the US EPA’s estimates of the SCC over time, this 2020 estimate is inflated by 5.8 per cent (1.9 per cent per year) to obtain a 2023 estimate.</w:t>
      </w:r>
    </w:p>
    <w:p w14:paraId="30441FD3" w14:textId="77777777" w:rsidR="009B4D09" w:rsidRPr="00D13CAC" w:rsidRDefault="009B4D09" w:rsidP="009B4D09">
      <w:pPr>
        <w:pStyle w:val="ListBullet"/>
        <w:numPr>
          <w:ilvl w:val="1"/>
          <w:numId w:val="34"/>
        </w:numPr>
      </w:pPr>
      <w:r>
        <w:t xml:space="preserve">This is </w:t>
      </w:r>
      <w:r w:rsidRPr="00D13CAC">
        <w:t xml:space="preserve">then inflated to </w:t>
      </w:r>
      <w:r>
        <w:t>2023</w:t>
      </w:r>
      <w:r w:rsidRPr="00D13CAC">
        <w:t xml:space="preserve">-dollar terms using the </w:t>
      </w:r>
      <w:r>
        <w:t xml:space="preserve">Australian national </w:t>
      </w:r>
      <w:r w:rsidRPr="00D13CAC">
        <w:t>CPI</w:t>
      </w:r>
      <w:r>
        <w:t xml:space="preserve"> (consumer prices increased by 16 per cent between 2020 and 2023).</w:t>
      </w:r>
    </w:p>
    <w:p w14:paraId="4085BE90" w14:textId="77777777" w:rsidR="009B4D09" w:rsidRPr="00D13CAC" w:rsidRDefault="009B4D09" w:rsidP="009B4D09">
      <w:pPr>
        <w:pStyle w:val="ListBullet"/>
        <w:tabs>
          <w:tab w:val="num" w:pos="709"/>
        </w:tabs>
        <w:rPr>
          <w:lang w:bidi="fa-IR"/>
        </w:rPr>
      </w:pPr>
      <w:r w:rsidRPr="00D13CAC">
        <w:rPr>
          <w:lang w:bidi="fa-IR"/>
        </w:rPr>
        <w:t xml:space="preserve">an average </w:t>
      </w:r>
      <w:r w:rsidRPr="00E02987">
        <w:rPr>
          <w:lang w:bidi="fa-IR"/>
        </w:rPr>
        <w:t>carbon</w:t>
      </w:r>
      <w:r w:rsidRPr="00D13CAC">
        <w:rPr>
          <w:lang w:bidi="fa-IR"/>
        </w:rPr>
        <w:t xml:space="preserve"> </w:t>
      </w:r>
      <w:r w:rsidRPr="00E02987">
        <w:rPr>
          <w:lang w:bidi="fa-IR"/>
        </w:rPr>
        <w:t>intensity</w:t>
      </w:r>
      <w:r w:rsidRPr="00D13CAC">
        <w:rPr>
          <w:lang w:bidi="fa-IR"/>
        </w:rPr>
        <w:t xml:space="preserve"> of electricity of around 0.</w:t>
      </w:r>
      <w:r>
        <w:rPr>
          <w:lang w:bidi="fa-IR"/>
        </w:rPr>
        <w:t>71</w:t>
      </w:r>
      <w:r w:rsidRPr="00D13CAC">
        <w:rPr>
          <w:lang w:bidi="fa-IR"/>
        </w:rPr>
        <w:t> tonnes of CO</w:t>
      </w:r>
      <w:r w:rsidRPr="00A829D6">
        <w:rPr>
          <w:lang w:bidi="fa-IR"/>
        </w:rPr>
        <w:t>2</w:t>
      </w:r>
      <w:r w:rsidRPr="00D13CAC">
        <w:rPr>
          <w:lang w:bidi="fa-IR"/>
        </w:rPr>
        <w:noBreakHyphen/>
        <w:t xml:space="preserve">e per MWh across </w:t>
      </w:r>
      <w:r>
        <w:rPr>
          <w:lang w:bidi="fa-IR"/>
        </w:rPr>
        <w:t>Australia in 2023</w:t>
      </w:r>
      <w:r w:rsidRPr="00D13CAC">
        <w:rPr>
          <w:lang w:bidi="fa-IR"/>
        </w:rPr>
        <w:t>.</w:t>
      </w:r>
    </w:p>
    <w:p w14:paraId="65EC7D24" w14:textId="77777777" w:rsidR="009B4D09" w:rsidRDefault="009B4D09" w:rsidP="009B4D09">
      <w:pPr>
        <w:pStyle w:val="BodyText"/>
      </w:pPr>
      <w:r w:rsidRPr="00D13CAC">
        <w:t>While the carbon intensity of electricity generation is expected to decline over time, USEPA estimates suggest that the SCC will increase</w:t>
      </w:r>
      <w:r>
        <w:t>, based on rising populations and economic growth.</w:t>
      </w:r>
    </w:p>
    <w:p w14:paraId="3C89BE52" w14:textId="77777777" w:rsidR="009B4D09" w:rsidRDefault="009B4D09" w:rsidP="009B4D09">
      <w:pPr>
        <w:pStyle w:val="BodyText"/>
      </w:pPr>
      <w:r>
        <w:t>GHG emissions are being valued significantly higher in the RIS than in the 2018 RIS (~</w:t>
      </w:r>
      <w:r w:rsidRPr="00D13CAC">
        <w:t>5 c/KWh</w:t>
      </w:r>
      <w:r>
        <w:t>), reflecting higher estimates of the SCC in the USEPA’s most recent publication and a lower discount rate used in relation to the SCC estimates. However, this is partly offset by more optimistic projections of the extent to which the electricity grid will decarbonise.</w:t>
      </w:r>
    </w:p>
    <w:p w14:paraId="0B572D61" w14:textId="77777777" w:rsidR="009B4D09" w:rsidRPr="00D13CAC" w:rsidRDefault="009B4D09" w:rsidP="009B4D09">
      <w:pPr>
        <w:pStyle w:val="BodyText"/>
      </w:pPr>
      <w:r>
        <w:t>To put this estimate into context, if the SCC were internalised into the wholesale</w:t>
      </w:r>
      <w:r w:rsidRPr="00D13CAC">
        <w:t xml:space="preserve"> </w:t>
      </w:r>
      <w:r>
        <w:t>electricity</w:t>
      </w:r>
      <w:r w:rsidRPr="00D13CAC">
        <w:t xml:space="preserve"> price</w:t>
      </w:r>
      <w:r>
        <w:t>, it would be more than double (</w:t>
      </w:r>
      <w:r w:rsidRPr="00D13CAC">
        <w:t xml:space="preserve">around </w:t>
      </w:r>
      <w:r w:rsidRPr="00FA4595">
        <w:t>1</w:t>
      </w:r>
      <w:r>
        <w:t>14</w:t>
      </w:r>
      <w:r w:rsidRPr="00FA4595">
        <w:t> per cent</w:t>
      </w:r>
      <w:r>
        <w:t xml:space="preserve"> higher, based on the average </w:t>
      </w:r>
      <w:r w:rsidRPr="001511B2">
        <w:t xml:space="preserve">National Electricity Market </w:t>
      </w:r>
      <w:r>
        <w:t>(NEM) wholesale price in 2022 of 19.1 c/KWh)</w:t>
      </w:r>
      <w:r w:rsidRPr="00D13CAC">
        <w:t>.</w:t>
      </w:r>
      <w:r>
        <w:t xml:space="preserve"> This implies that the externalities associated with electricity consumption are currently higher than the generation costs.</w:t>
      </w:r>
    </w:p>
    <w:p w14:paraId="2A7490B2" w14:textId="77777777" w:rsidR="009B4D09" w:rsidRDefault="009B4D09" w:rsidP="009B4D09">
      <w:pPr>
        <w:pStyle w:val="BodyText"/>
      </w:pPr>
      <w:r>
        <w:t>Unpriced negative externalities associated with energy consumption, would normally mean that energy users do not take these costs into account in their decisions on whether to invest in energy efficiency. However, many companies — including some commercial building owners — are committed to reducing GHG emissions as part of ESG commitments in line with Environmental, Social and Governance (ESG) commitments. In particular:</w:t>
      </w:r>
      <w:r>
        <w:rPr>
          <w:rStyle w:val="FootnoteReference"/>
        </w:rPr>
        <w:footnoteReference w:id="140"/>
      </w:r>
    </w:p>
    <w:p w14:paraId="54DFC7D1" w14:textId="77777777" w:rsidR="009B4D09" w:rsidRDefault="009B4D09" w:rsidP="009B4D09">
      <w:pPr>
        <w:pStyle w:val="ListBullet"/>
        <w:tabs>
          <w:tab w:val="num" w:pos="709"/>
        </w:tabs>
        <w:rPr>
          <w:lang w:bidi="fa-IR"/>
        </w:rPr>
      </w:pPr>
      <w:r>
        <w:rPr>
          <w:lang w:bidi="fa-IR"/>
        </w:rPr>
        <w:t>Research by the Climateworks Centre reported that 84 of the 187 ASX companies assessed (45 per cent) have a scope 1 and 2 net zero target. However, only 16 of the 177 ASX companies assessed (9 per cent) where scope 3 emissions are deemed applicable have set a net zero target for scope 3 emissions in line with a 1.5C pathway.</w:t>
      </w:r>
    </w:p>
    <w:p w14:paraId="28017DE3" w14:textId="77777777" w:rsidR="009B4D09" w:rsidRDefault="009B4D09" w:rsidP="009B4D09">
      <w:pPr>
        <w:pStyle w:val="ListBullet"/>
        <w:tabs>
          <w:tab w:val="num" w:pos="709"/>
        </w:tabs>
        <w:rPr>
          <w:lang w:bidi="fa-IR"/>
        </w:rPr>
      </w:pPr>
      <w:r w:rsidRPr="002318F6">
        <w:rPr>
          <w:lang w:bidi="fa-IR"/>
        </w:rPr>
        <w:t xml:space="preserve">Other research </w:t>
      </w:r>
      <w:r>
        <w:rPr>
          <w:lang w:bidi="fa-IR"/>
        </w:rPr>
        <w:t>has reported</w:t>
      </w:r>
      <w:r w:rsidRPr="002318F6">
        <w:rPr>
          <w:lang w:bidi="fa-IR"/>
        </w:rPr>
        <w:t xml:space="preserve"> that by March 2023, 121 ASX 200 entities had set public commitments to reduce emissions to net zero by 2050 or earlier. The ASX200 is ramping up efforts on climate reporting, with 75 per cent of the companies committing to or reporting against the Taskforce for Climate-related Financial Disclosures framework (66 per cent in 2022 reporting year). There are 9 companies of ASX 200 adopted Say on Climate initiative to disclose annual emissions and plans of action or decarbonisation strategies which are open to annual non-binding votes by shareholders.</w:t>
      </w:r>
      <w:r w:rsidRPr="00060FAB">
        <w:rPr>
          <w:rStyle w:val="FootnoteReference"/>
          <w:lang w:bidi="fa-IR"/>
        </w:rPr>
        <w:footnoteReference w:id="141"/>
      </w:r>
      <w:r>
        <w:rPr>
          <w:lang w:bidi="fa-IR"/>
        </w:rPr>
        <w:t xml:space="preserve"> </w:t>
      </w:r>
    </w:p>
    <w:p w14:paraId="5C472296" w14:textId="77777777" w:rsidR="009B4D09" w:rsidRDefault="009B4D09" w:rsidP="009B4D09">
      <w:pPr>
        <w:pStyle w:val="BodyText"/>
      </w:pPr>
      <w:r>
        <w:t xml:space="preserve">This indicates that some companies are already valuing GHG abatement even though it is not internalised into energy prices. However, not all </w:t>
      </w:r>
      <w:r w:rsidRPr="00E02987">
        <w:t xml:space="preserve">of these targets are being actioned, and not all </w:t>
      </w:r>
      <w:r>
        <w:t xml:space="preserve">commercial building </w:t>
      </w:r>
      <w:r w:rsidRPr="00E02987">
        <w:t>owners and tenants have made such commitments</w:t>
      </w:r>
      <w:r>
        <w:t>. As such, there is a clear role for government intervention.</w:t>
      </w:r>
    </w:p>
    <w:p w14:paraId="3006CC61" w14:textId="77777777" w:rsidR="009B4D09" w:rsidRPr="00D13CAC" w:rsidRDefault="009B4D09" w:rsidP="009B4D09">
      <w:pPr>
        <w:pStyle w:val="Heading8"/>
      </w:pPr>
      <w:r w:rsidRPr="00D13CAC">
        <w:t>Externalities associated with peak demand</w:t>
      </w:r>
    </w:p>
    <w:p w14:paraId="0FDB70B2" w14:textId="77777777" w:rsidR="009B4D09" w:rsidRPr="00D13CAC" w:rsidRDefault="009B4D09" w:rsidP="009B4D09">
      <w:pPr>
        <w:pStyle w:val="BodyText"/>
      </w:pPr>
      <w:r w:rsidRPr="00D13CAC">
        <w:t>As electricity network capacity is driven by peak demand, reducing peaks through energy efficiency can potentially defer or remove the need for additional investment to expand network capacity.</w:t>
      </w:r>
    </w:p>
    <w:p w14:paraId="707F0CC4" w14:textId="77777777" w:rsidR="009B4D09" w:rsidRPr="00D13CAC" w:rsidRDefault="009B4D09" w:rsidP="009B4D09">
      <w:pPr>
        <w:pStyle w:val="BodyText"/>
      </w:pPr>
      <w:r w:rsidRPr="00D13CAC">
        <w:t>However, to a significant extent, the cost of supply during peak periods is reflected in energy prices. As a natural monopoly, network charges are regulated by the AER. Under the AER’s pricing principles, network tariffs must reflect the long run marginal cost (LRMC) of supply.</w:t>
      </w:r>
    </w:p>
    <w:p w14:paraId="5519AC92" w14:textId="77777777" w:rsidR="009B4D09" w:rsidRPr="00D13CAC" w:rsidRDefault="009B4D09" w:rsidP="009B4D09">
      <w:pPr>
        <w:pStyle w:val="BodyText"/>
      </w:pPr>
      <w:r w:rsidRPr="00D13CAC">
        <w:t>For network services, the LRMC is a forward</w:t>
      </w:r>
      <w:r w:rsidRPr="00D13CAC">
        <w:noBreakHyphen/>
        <w:t>looking concept reflecting both the operating costs associated with an additional unit supplied, and any network expansion costs. As such, the LRMC reflects the avoidable network costs from reducing energy consumption.</w:t>
      </w:r>
    </w:p>
    <w:p w14:paraId="54FE3022" w14:textId="77777777" w:rsidR="009B4D09" w:rsidRDefault="009B4D09" w:rsidP="009B4D09">
      <w:pPr>
        <w:pStyle w:val="BodyText"/>
      </w:pPr>
      <w:r>
        <w:t>Reflecting these pricing principles, electricity tariffs typically include:</w:t>
      </w:r>
    </w:p>
    <w:p w14:paraId="3689730D" w14:textId="77777777" w:rsidR="009B4D09" w:rsidRPr="00E02987" w:rsidRDefault="009B4D09" w:rsidP="009B4D09">
      <w:pPr>
        <w:pStyle w:val="ListBullet"/>
        <w:tabs>
          <w:tab w:val="num" w:pos="709"/>
        </w:tabs>
        <w:rPr>
          <w:lang w:bidi="fa-IR"/>
        </w:rPr>
      </w:pPr>
      <w:r>
        <w:rPr>
          <w:lang w:bidi="fa-IR"/>
        </w:rPr>
        <w:t xml:space="preserve">a </w:t>
      </w:r>
      <w:r w:rsidRPr="00E02987">
        <w:rPr>
          <w:lang w:bidi="fa-IR"/>
        </w:rPr>
        <w:t>capacity charge — this is a daily charge based on the maximum usage during specified peak periods over a specified period</w:t>
      </w:r>
    </w:p>
    <w:p w14:paraId="520F8660" w14:textId="77777777" w:rsidR="009B4D09" w:rsidRDefault="009B4D09" w:rsidP="009B4D09">
      <w:pPr>
        <w:pStyle w:val="ListBullet"/>
        <w:tabs>
          <w:tab w:val="num" w:pos="709"/>
        </w:tabs>
        <w:rPr>
          <w:lang w:bidi="fa-IR"/>
        </w:rPr>
      </w:pPr>
      <w:r w:rsidRPr="00E02987">
        <w:rPr>
          <w:lang w:bidi="fa-IR"/>
        </w:rPr>
        <w:t>usage charges</w:t>
      </w:r>
      <w:r>
        <w:rPr>
          <w:lang w:bidi="fa-IR"/>
        </w:rPr>
        <w:t xml:space="preserve"> which could include </w:t>
      </w:r>
      <w:r w:rsidRPr="00D13CAC">
        <w:rPr>
          <w:lang w:bidi="fa-IR"/>
        </w:rPr>
        <w:t>different peak and off-peak rates to reflect differences in the cost of supply during peak and non</w:t>
      </w:r>
      <w:r w:rsidRPr="00D13CAC">
        <w:rPr>
          <w:lang w:bidi="fa-IR"/>
        </w:rPr>
        <w:noBreakHyphen/>
        <w:t xml:space="preserve">peak </w:t>
      </w:r>
      <w:r>
        <w:rPr>
          <w:lang w:bidi="fa-IR"/>
        </w:rPr>
        <w:t>periods</w:t>
      </w:r>
      <w:r w:rsidRPr="00D13CAC">
        <w:rPr>
          <w:lang w:bidi="fa-IR"/>
        </w:rPr>
        <w:t>.</w:t>
      </w:r>
    </w:p>
    <w:p w14:paraId="38A2E3BF" w14:textId="77777777" w:rsidR="009B4D09" w:rsidRDefault="009B4D09" w:rsidP="009B4D09">
      <w:pPr>
        <w:pStyle w:val="BodyText"/>
      </w:pPr>
      <w:r w:rsidRPr="00D13CAC">
        <w:t>To a large extent, network</w:t>
      </w:r>
      <w:r w:rsidRPr="00D13CAC">
        <w:noBreakHyphen/>
        <w:t xml:space="preserve">related costs are therefore reflected in </w:t>
      </w:r>
      <w:r>
        <w:t>electricity tariffs</w:t>
      </w:r>
      <w:r w:rsidRPr="00D13CAC">
        <w:t>.</w:t>
      </w:r>
      <w:r>
        <w:t xml:space="preserve"> That said, capacity charges may imperfectly reflect network</w:t>
      </w:r>
      <w:r>
        <w:noBreakHyphen/>
        <w:t>related costs. Previous work has shown that tariff structures vary significantly across different networks; it is unclear whether this reflects actual cost differences across different network areas or different approaches taken by network operators.</w:t>
      </w:r>
    </w:p>
    <w:p w14:paraId="5C07EC2E" w14:textId="77777777" w:rsidR="009B4D09" w:rsidRDefault="009B4D09" w:rsidP="009B4D09">
      <w:pPr>
        <w:pStyle w:val="Heading7"/>
      </w:pPr>
      <w:r>
        <w:t>Other</w:t>
      </w:r>
      <w:r w:rsidRPr="00D13CAC">
        <w:t xml:space="preserve"> market failures </w:t>
      </w:r>
      <w:r>
        <w:t>and behavioural anomalies</w:t>
      </w:r>
    </w:p>
    <w:p w14:paraId="36FC79BA" w14:textId="77777777" w:rsidR="009B4D09" w:rsidRPr="00D163D9" w:rsidRDefault="009B4D09" w:rsidP="009B4D09">
      <w:pPr>
        <w:pStyle w:val="BodyText"/>
      </w:pPr>
      <w:r>
        <w:t>Although there is limited direct evidence, it is plausible that the following behavioural/organisational failures prevent privately cost</w:t>
      </w:r>
      <w:r>
        <w:noBreakHyphen/>
        <w:t>effective energy efficiency opportunities (i.e. where energy bill savings outweigh the associated capital costs) from being adopted.</w:t>
      </w:r>
      <w:r w:rsidRPr="00D163D9">
        <w:t xml:space="preserve"> </w:t>
      </w:r>
    </w:p>
    <w:p w14:paraId="0ED6A652" w14:textId="77777777" w:rsidR="009B4D09" w:rsidRDefault="009B4D09" w:rsidP="009B4D09">
      <w:pPr>
        <w:pStyle w:val="ListBullet"/>
        <w:tabs>
          <w:tab w:val="num" w:pos="709"/>
        </w:tabs>
        <w:rPr>
          <w:lang w:bidi="fa-IR"/>
        </w:rPr>
      </w:pPr>
      <w:r>
        <w:rPr>
          <w:lang w:bidi="fa-IR"/>
        </w:rPr>
        <w:t>There are some split incentives that could contribute to sub</w:t>
      </w:r>
      <w:r>
        <w:rPr>
          <w:lang w:bidi="fa-IR"/>
        </w:rPr>
        <w:noBreakHyphen/>
        <w:t>optimal outcomes, including where:</w:t>
      </w:r>
    </w:p>
    <w:p w14:paraId="5BB751C8" w14:textId="77777777" w:rsidR="009B4D09" w:rsidRDefault="009B4D09" w:rsidP="009B4D09">
      <w:pPr>
        <w:pStyle w:val="ListBullet"/>
        <w:tabs>
          <w:tab w:val="num" w:pos="709"/>
        </w:tabs>
        <w:rPr>
          <w:lang w:bidi="fa-IR"/>
        </w:rPr>
      </w:pPr>
      <w:r>
        <w:rPr>
          <w:lang w:bidi="fa-IR"/>
        </w:rPr>
        <w:t xml:space="preserve">different parts of an </w:t>
      </w:r>
      <w:r w:rsidRPr="001638B2">
        <w:rPr>
          <w:lang w:bidi="fa-IR"/>
        </w:rPr>
        <w:t>organisation</w:t>
      </w:r>
      <w:r>
        <w:rPr>
          <w:lang w:bidi="fa-IR"/>
        </w:rPr>
        <w:t xml:space="preserve"> are responsible for capital costs and operating costs (energy bills)</w:t>
      </w:r>
    </w:p>
    <w:p w14:paraId="22C95620" w14:textId="77777777" w:rsidR="009B4D09" w:rsidRPr="00D163D9" w:rsidRDefault="009B4D09" w:rsidP="009B4D09">
      <w:pPr>
        <w:pStyle w:val="ListBullet"/>
        <w:tabs>
          <w:tab w:val="num" w:pos="709"/>
        </w:tabs>
        <w:rPr>
          <w:lang w:bidi="fa-IR"/>
        </w:rPr>
      </w:pPr>
      <w:r>
        <w:rPr>
          <w:lang w:bidi="fa-IR"/>
        </w:rPr>
        <w:t>there are different incentives across different parties in the building process.</w:t>
      </w:r>
    </w:p>
    <w:p w14:paraId="20F9D5C1" w14:textId="77777777" w:rsidR="009B4D09" w:rsidRDefault="009B4D09" w:rsidP="009B4D09">
      <w:pPr>
        <w:pStyle w:val="ListBullet"/>
        <w:tabs>
          <w:tab w:val="num" w:pos="709"/>
        </w:tabs>
        <w:rPr>
          <w:lang w:bidi="fa-IR"/>
        </w:rPr>
      </w:pPr>
      <w:r w:rsidRPr="00D163D9">
        <w:rPr>
          <w:lang w:bidi="fa-IR"/>
        </w:rPr>
        <w:t xml:space="preserve">Behavioural anomalies, such as bounded rationality and heuristic decision making (such as building to code, rather than seeking the optimal mix of capital and ongoing energy costs); </w:t>
      </w:r>
      <w:r>
        <w:rPr>
          <w:lang w:bidi="fa-IR"/>
        </w:rPr>
        <w:t>and i</w:t>
      </w:r>
      <w:r w:rsidRPr="00D163D9">
        <w:rPr>
          <w:lang w:bidi="fa-IR"/>
        </w:rPr>
        <w:t>nattention to non</w:t>
      </w:r>
      <w:r w:rsidRPr="00D163D9">
        <w:rPr>
          <w:lang w:bidi="fa-IR"/>
        </w:rPr>
        <w:noBreakHyphen/>
        <w:t xml:space="preserve">salient energy costs are plausible explanations for the energy efficiency paradox across all building types. </w:t>
      </w:r>
    </w:p>
    <w:p w14:paraId="2B8A1592" w14:textId="77777777" w:rsidR="009B4D09" w:rsidRPr="00D13CAC" w:rsidRDefault="009B4D09" w:rsidP="009B4D09">
      <w:pPr>
        <w:pStyle w:val="Heading8"/>
      </w:pPr>
      <w:r w:rsidRPr="00D13CAC">
        <w:t>Information failures</w:t>
      </w:r>
    </w:p>
    <w:p w14:paraId="6B6A4E50" w14:textId="77777777" w:rsidR="009B4D09" w:rsidRDefault="009B4D09" w:rsidP="009B4D09">
      <w:pPr>
        <w:pStyle w:val="BodyText"/>
      </w:pPr>
      <w:r>
        <w:t>In the context of new commercial buildings, an ‘information failure’ would</w:t>
      </w:r>
      <w:r w:rsidRPr="00D13CAC">
        <w:t xml:space="preserve"> arise </w:t>
      </w:r>
      <w:r>
        <w:t>if</w:t>
      </w:r>
      <w:r w:rsidRPr="00D13CAC">
        <w:t xml:space="preserve"> the party that makes decisions on the energy efficiency of the building design and the associated services installed (such as building owners or developers, architects and engineers acting on their behalf) do</w:t>
      </w:r>
      <w:r>
        <w:t>es</w:t>
      </w:r>
      <w:r w:rsidRPr="00D13CAC">
        <w:t xml:space="preserve"> not have access to sufficient information to make fully informed decisions.</w:t>
      </w:r>
    </w:p>
    <w:p w14:paraId="684B4FD1" w14:textId="77777777" w:rsidR="009B4D09" w:rsidRDefault="009B4D09" w:rsidP="009B4D09">
      <w:pPr>
        <w:pStyle w:val="BodyText"/>
      </w:pPr>
      <w:r>
        <w:t>However, information failures are not a compelling explanation for any failure of industry to adopt privately cost</w:t>
      </w:r>
      <w:r>
        <w:noBreakHyphen/>
        <w:t>effective energy efficiency opportunities as r</w:t>
      </w:r>
      <w:r w:rsidRPr="00D13CAC">
        <w:t>elevant information is available</w:t>
      </w:r>
      <w:r>
        <w:t>.</w:t>
      </w:r>
    </w:p>
    <w:p w14:paraId="2C41EF67" w14:textId="77777777" w:rsidR="009B4D09" w:rsidRPr="00D13CAC" w:rsidRDefault="009B4D09" w:rsidP="009B4D09">
      <w:pPr>
        <w:pStyle w:val="ListBullet"/>
        <w:tabs>
          <w:tab w:val="num" w:pos="709"/>
        </w:tabs>
        <w:rPr>
          <w:lang w:bidi="fa-IR"/>
        </w:rPr>
      </w:pPr>
      <w:r w:rsidRPr="00D13CAC">
        <w:rPr>
          <w:lang w:bidi="fa-IR"/>
        </w:rPr>
        <w:t>General information on the potential benefits of improving energy efficiency in commercial buildings is freely available through a range of sources, including</w:t>
      </w:r>
      <w:r>
        <w:rPr>
          <w:lang w:bidi="fa-IR"/>
        </w:rPr>
        <w:t xml:space="preserve"> government sources and energy efficiency advocacy groups.</w:t>
      </w:r>
    </w:p>
    <w:p w14:paraId="7889FA29" w14:textId="77777777" w:rsidR="009B4D09" w:rsidRDefault="009B4D09" w:rsidP="009B4D09">
      <w:pPr>
        <w:pStyle w:val="ListBullet"/>
        <w:tabs>
          <w:tab w:val="num" w:pos="709"/>
        </w:tabs>
        <w:rPr>
          <w:lang w:bidi="fa-IR"/>
        </w:rPr>
      </w:pPr>
      <w:r w:rsidRPr="00D13CAC">
        <w:rPr>
          <w:lang w:bidi="fa-IR"/>
        </w:rPr>
        <w:t>More project</w:t>
      </w:r>
      <w:r w:rsidRPr="00D13CAC">
        <w:rPr>
          <w:lang w:bidi="fa-IR"/>
        </w:rPr>
        <w:noBreakHyphen/>
        <w:t>specific information is commercially available from specialist consultants and energy efficiency modellers</w:t>
      </w:r>
      <w:r>
        <w:rPr>
          <w:lang w:bidi="fa-IR"/>
        </w:rPr>
        <w:t xml:space="preserve"> (information costs are not a market failure)</w:t>
      </w:r>
      <w:r w:rsidRPr="00D13CAC">
        <w:rPr>
          <w:lang w:bidi="fa-IR"/>
        </w:rPr>
        <w:t>. Performance Solutions, which involve energy efficiency modelling, are frequently used to comply with Section J of the NCC (although some stakeholders reported that the DTS pathway continues to be used for some buildings). Nevertheless, this suggests that energy efficiency modelling is an established part of the building design and construction process.</w:t>
      </w:r>
    </w:p>
    <w:p w14:paraId="604EFC7D" w14:textId="77777777" w:rsidR="009B4D09" w:rsidRPr="00D13CAC" w:rsidRDefault="009B4D09" w:rsidP="009B4D09">
      <w:pPr>
        <w:pStyle w:val="BodyText"/>
      </w:pPr>
      <w:r w:rsidRPr="00D13CAC">
        <w:t xml:space="preserve">The extent to </w:t>
      </w:r>
      <w:r>
        <w:t>whic</w:t>
      </w:r>
      <w:r w:rsidRPr="00D13CAC">
        <w:t xml:space="preserve">h this </w:t>
      </w:r>
      <w:r>
        <w:t>i</w:t>
      </w:r>
      <w:r w:rsidRPr="00D13CAC">
        <w:t xml:space="preserve">nformation </w:t>
      </w:r>
      <w:r>
        <w:t>i</w:t>
      </w:r>
      <w:r w:rsidRPr="00D13CAC">
        <w:t xml:space="preserve">s accessed and acted upon </w:t>
      </w:r>
      <w:r>
        <w:t>i</w:t>
      </w:r>
      <w:r w:rsidRPr="00D13CAC">
        <w:t xml:space="preserve">s a separate </w:t>
      </w:r>
      <w:r>
        <w:t>i</w:t>
      </w:r>
      <w:r w:rsidRPr="00D13CAC">
        <w:t>ssue addressed below.</w:t>
      </w:r>
    </w:p>
    <w:p w14:paraId="51394284" w14:textId="77777777" w:rsidR="009B4D09" w:rsidRPr="00D13CAC" w:rsidRDefault="009B4D09" w:rsidP="009B4D09">
      <w:pPr>
        <w:pStyle w:val="Heading8"/>
      </w:pPr>
      <w:r w:rsidRPr="00D13CAC">
        <w:t xml:space="preserve">Information </w:t>
      </w:r>
      <w:r>
        <w:t>asymmetries</w:t>
      </w:r>
    </w:p>
    <w:p w14:paraId="1CB9AC81" w14:textId="77777777" w:rsidR="009B4D09" w:rsidRDefault="009B4D09" w:rsidP="009B4D09">
      <w:pPr>
        <w:pStyle w:val="BodyText"/>
      </w:pPr>
      <w:r w:rsidRPr="00D13CAC">
        <w:t xml:space="preserve">Another form of information failure is an ‘information asymmetry’. This occurs where one party in a transaction has more information than another. In the context of energy efficiency in commercial buildings, an information asymmetry would arise where a building (or part of a building) is sold or rented and the seller/landlord has information on the associated energy bills, while the buyer/tenant does not. Under these circumstances the buyer/tenant may not be in a position to make informed decisions and higher levels of energy efficiency </w:t>
      </w:r>
      <w:r>
        <w:t>may</w:t>
      </w:r>
      <w:r w:rsidRPr="00D13CAC">
        <w:t xml:space="preserve"> not be reflected in leases or sale prices.</w:t>
      </w:r>
    </w:p>
    <w:p w14:paraId="1A1B8F95" w14:textId="77777777" w:rsidR="009B4D09" w:rsidRDefault="009B4D09" w:rsidP="009B4D09">
      <w:pPr>
        <w:pStyle w:val="BodyText"/>
      </w:pPr>
      <w:r>
        <w:t>However, there is little evidence to suggest a significant information asymmetry problem in relation to energy bills under typical leasing arrangements. The responsibility for paying energy bills can vary depending on the type of lease.</w:t>
      </w:r>
    </w:p>
    <w:p w14:paraId="2E5FFBE1" w14:textId="77777777" w:rsidR="009B4D09" w:rsidRDefault="009B4D09" w:rsidP="009B4D09">
      <w:pPr>
        <w:pStyle w:val="ListBullet"/>
        <w:tabs>
          <w:tab w:val="num" w:pos="709"/>
        </w:tabs>
        <w:rPr>
          <w:lang w:bidi="fa-IR"/>
        </w:rPr>
      </w:pPr>
      <w:r w:rsidRPr="00E02987">
        <w:rPr>
          <w:lang w:bidi="fa-IR"/>
        </w:rPr>
        <w:t>Where</w:t>
      </w:r>
      <w:r>
        <w:rPr>
          <w:lang w:bidi="fa-IR"/>
        </w:rPr>
        <w:t xml:space="preserve"> some or all of the energy bills are directly passed onto tenants (referred to as a net lease), expected ‘outgoings’ are typically provided to tenants at the time of choosing office or retail space. This allows tenants to choose the tenancy that offers the preferred mix between lease rates and outgoings (as well as a range of other characteristics). </w:t>
      </w:r>
    </w:p>
    <w:p w14:paraId="334EBBC8" w14:textId="77777777" w:rsidR="009B4D09" w:rsidRDefault="009B4D09" w:rsidP="009B4D09">
      <w:pPr>
        <w:pStyle w:val="ListBullet"/>
        <w:tabs>
          <w:tab w:val="num" w:pos="709"/>
        </w:tabs>
        <w:rPr>
          <w:lang w:bidi="fa-IR"/>
        </w:rPr>
      </w:pPr>
      <w:r w:rsidRPr="00E02987">
        <w:rPr>
          <w:lang w:bidi="fa-IR"/>
        </w:rPr>
        <w:t>Where</w:t>
      </w:r>
      <w:r>
        <w:rPr>
          <w:lang w:bidi="fa-IR"/>
        </w:rPr>
        <w:t xml:space="preserve"> energy costs are included in the lease, (referred to as a ‘gross lease’), the amount paid by tenants is fully transparent.</w:t>
      </w:r>
    </w:p>
    <w:p w14:paraId="6E86C7B6" w14:textId="77777777" w:rsidR="009B4D09" w:rsidRPr="00D13CAC" w:rsidRDefault="009B4D09" w:rsidP="009B4D09">
      <w:pPr>
        <w:pStyle w:val="BodyText"/>
      </w:pPr>
      <w:r>
        <w:t xml:space="preserve">In addition, there are several other </w:t>
      </w:r>
      <w:r w:rsidRPr="00D13CAC">
        <w:t>existing mechanisms to address the potential for these information asymmetries:</w:t>
      </w:r>
    </w:p>
    <w:p w14:paraId="43A88C13" w14:textId="77777777" w:rsidR="009B4D09" w:rsidRPr="00D13CAC" w:rsidRDefault="009B4D09" w:rsidP="009B4D09">
      <w:pPr>
        <w:pStyle w:val="ListBullet"/>
        <w:tabs>
          <w:tab w:val="num" w:pos="709"/>
        </w:tabs>
        <w:rPr>
          <w:lang w:bidi="fa-IR"/>
        </w:rPr>
      </w:pPr>
      <w:r w:rsidRPr="00D13CAC">
        <w:rPr>
          <w:lang w:bidi="fa-IR"/>
        </w:rPr>
        <w:t>Energy efficiency rating tools allow building owners/operators to obtain a rating for their building from an accredited assessor using an established methodology. These arrangements mean that buyers/tenants can have confidence in the energy efficiency rating provided by the seller/landlord. Existing energy efficiency rating tools include:</w:t>
      </w:r>
    </w:p>
    <w:p w14:paraId="34129197" w14:textId="77777777" w:rsidR="009B4D09" w:rsidRPr="00D13CAC" w:rsidRDefault="009B4D09" w:rsidP="009B4D09">
      <w:pPr>
        <w:pStyle w:val="ListBullet"/>
        <w:numPr>
          <w:ilvl w:val="1"/>
          <w:numId w:val="34"/>
        </w:numPr>
      </w:pPr>
      <w:r w:rsidRPr="00D13CAC">
        <w:t xml:space="preserve">The National Australian Built Environment Rating System (NABERS) operated by the NSW </w:t>
      </w:r>
      <w:r>
        <w:t>Government</w:t>
      </w:r>
      <w:r w:rsidRPr="00D13CAC">
        <w:t xml:space="preserve"> on behalf of Federal, State and Territory Governments. </w:t>
      </w:r>
      <w:r>
        <w:t>Compared with 2018 (when the previous commercial energy efficiency RIS was completed) t</w:t>
      </w:r>
      <w:r w:rsidRPr="00D13CAC">
        <w:t xml:space="preserve">here are </w:t>
      </w:r>
      <w:r>
        <w:t xml:space="preserve">now NABERS Energy rating tools available for a broader range of buildings. </w:t>
      </w:r>
      <w:r w:rsidRPr="00D13CAC">
        <w:t xml:space="preserve">NABERS </w:t>
      </w:r>
      <w:r>
        <w:t xml:space="preserve">Energy </w:t>
      </w:r>
      <w:r w:rsidRPr="00D13CAC">
        <w:t xml:space="preserve">tools </w:t>
      </w:r>
      <w:r>
        <w:t xml:space="preserve">are </w:t>
      </w:r>
      <w:r w:rsidRPr="00D13CAC">
        <w:t>available for:</w:t>
      </w:r>
    </w:p>
    <w:p w14:paraId="47681BC8" w14:textId="77777777" w:rsidR="009B4D09" w:rsidRPr="00D13CAC" w:rsidRDefault="009B4D09" w:rsidP="009B4D09">
      <w:pPr>
        <w:pStyle w:val="ListBullet"/>
        <w:numPr>
          <w:ilvl w:val="2"/>
          <w:numId w:val="34"/>
        </w:numPr>
      </w:pPr>
      <w:r w:rsidRPr="00D13CAC">
        <w:t xml:space="preserve">Office buildings </w:t>
      </w:r>
      <w:r>
        <w:t>and tenancies</w:t>
      </w:r>
    </w:p>
    <w:p w14:paraId="7FFE9DE5" w14:textId="77777777" w:rsidR="009B4D09" w:rsidRDefault="009B4D09" w:rsidP="009B4D09">
      <w:pPr>
        <w:pStyle w:val="ListBullet"/>
        <w:numPr>
          <w:ilvl w:val="2"/>
          <w:numId w:val="34"/>
        </w:numPr>
      </w:pPr>
      <w:r w:rsidRPr="00D13CAC">
        <w:t>Shopping centres</w:t>
      </w:r>
    </w:p>
    <w:p w14:paraId="65FC5D04" w14:textId="77777777" w:rsidR="009B4D09" w:rsidRDefault="009B4D09" w:rsidP="009B4D09">
      <w:pPr>
        <w:pStyle w:val="ListBullet"/>
        <w:numPr>
          <w:ilvl w:val="2"/>
          <w:numId w:val="34"/>
        </w:numPr>
      </w:pPr>
      <w:r>
        <w:t>Apartment buildings</w:t>
      </w:r>
    </w:p>
    <w:p w14:paraId="1D8941FD" w14:textId="77777777" w:rsidR="009B4D09" w:rsidRPr="00D13CAC" w:rsidRDefault="009B4D09" w:rsidP="009B4D09">
      <w:pPr>
        <w:pStyle w:val="ListBullet"/>
        <w:numPr>
          <w:ilvl w:val="2"/>
          <w:numId w:val="34"/>
        </w:numPr>
      </w:pPr>
      <w:r>
        <w:t>Hospitals (public)</w:t>
      </w:r>
    </w:p>
    <w:p w14:paraId="35B55117" w14:textId="77777777" w:rsidR="009B4D09" w:rsidRPr="00D13CAC" w:rsidRDefault="009B4D09" w:rsidP="009B4D09">
      <w:pPr>
        <w:pStyle w:val="ListBullet"/>
        <w:numPr>
          <w:ilvl w:val="2"/>
          <w:numId w:val="34"/>
        </w:numPr>
      </w:pPr>
      <w:r w:rsidRPr="00D13CAC">
        <w:t>Hotels</w:t>
      </w:r>
    </w:p>
    <w:p w14:paraId="07F4B274" w14:textId="77777777" w:rsidR="009B4D09" w:rsidRDefault="009B4D09" w:rsidP="009B4D09">
      <w:pPr>
        <w:pStyle w:val="ListBullet"/>
        <w:numPr>
          <w:ilvl w:val="2"/>
          <w:numId w:val="34"/>
        </w:numPr>
      </w:pPr>
      <w:r w:rsidRPr="00D13CAC">
        <w:t>Data centres</w:t>
      </w:r>
    </w:p>
    <w:p w14:paraId="516ED079" w14:textId="77777777" w:rsidR="009B4D09" w:rsidRDefault="009B4D09" w:rsidP="009B4D09">
      <w:pPr>
        <w:pStyle w:val="ListBullet"/>
        <w:numPr>
          <w:ilvl w:val="2"/>
          <w:numId w:val="34"/>
        </w:numPr>
      </w:pPr>
      <w:r>
        <w:t>Residential aged care</w:t>
      </w:r>
    </w:p>
    <w:p w14:paraId="2340A4F9" w14:textId="77777777" w:rsidR="009B4D09" w:rsidRDefault="009B4D09" w:rsidP="009B4D09">
      <w:pPr>
        <w:pStyle w:val="ListBullet"/>
        <w:numPr>
          <w:ilvl w:val="2"/>
          <w:numId w:val="34"/>
        </w:numPr>
      </w:pPr>
      <w:r>
        <w:t>Retirement living</w:t>
      </w:r>
    </w:p>
    <w:p w14:paraId="0205B755" w14:textId="77777777" w:rsidR="009B4D09" w:rsidRPr="00D13CAC" w:rsidRDefault="009B4D09" w:rsidP="009B4D09">
      <w:pPr>
        <w:pStyle w:val="ListBullet"/>
        <w:numPr>
          <w:ilvl w:val="2"/>
          <w:numId w:val="34"/>
        </w:numPr>
      </w:pPr>
      <w:r>
        <w:t>Warehouses and cold stores</w:t>
      </w:r>
      <w:r w:rsidRPr="00D13CAC">
        <w:t>.</w:t>
      </w:r>
      <w:r w:rsidRPr="00D13CAC">
        <w:rPr>
          <w:rStyle w:val="FootnoteReference"/>
        </w:rPr>
        <w:footnoteReference w:id="142"/>
      </w:r>
    </w:p>
    <w:p w14:paraId="3056E74F" w14:textId="77777777" w:rsidR="009B4D09" w:rsidRPr="00D13CAC" w:rsidRDefault="009B4D09" w:rsidP="009B4D09">
      <w:pPr>
        <w:pStyle w:val="ListBullet"/>
        <w:numPr>
          <w:ilvl w:val="1"/>
          <w:numId w:val="34"/>
        </w:numPr>
      </w:pPr>
      <w:r w:rsidRPr="00271B62">
        <w:rPr>
          <w:rStyle w:val="ListBulletChar"/>
        </w:rPr>
        <w:t>The Green Star rating system operated by the GBCA. Green Star is a holistic</w:t>
      </w:r>
      <w:r w:rsidRPr="00D13CAC">
        <w:t xml:space="preserve"> sustainability rating system.</w:t>
      </w:r>
    </w:p>
    <w:p w14:paraId="10F49AB8" w14:textId="77777777" w:rsidR="009B4D09" w:rsidRPr="00D13CAC" w:rsidRDefault="009B4D09" w:rsidP="009B4D09">
      <w:pPr>
        <w:pStyle w:val="ListBullet"/>
        <w:tabs>
          <w:tab w:val="num" w:pos="709"/>
        </w:tabs>
        <w:rPr>
          <w:lang w:bidi="fa-IR"/>
        </w:rPr>
      </w:pPr>
      <w:r w:rsidRPr="00D13CAC">
        <w:rPr>
          <w:lang w:bidi="fa-IR"/>
        </w:rPr>
        <w:t xml:space="preserve">In addition, the </w:t>
      </w:r>
      <w:r w:rsidRPr="00E02987">
        <w:rPr>
          <w:lang w:bidi="fa-IR"/>
        </w:rPr>
        <w:t>CBD</w:t>
      </w:r>
      <w:r w:rsidRPr="00D13CAC">
        <w:rPr>
          <w:lang w:bidi="fa-IR"/>
        </w:rPr>
        <w:t xml:space="preserve"> program requires that sellers and lessors of office space of 1</w:t>
      </w:r>
      <w:r>
        <w:rPr>
          <w:lang w:bidi="fa-IR"/>
        </w:rPr>
        <w:t>,</w:t>
      </w:r>
      <w:r w:rsidRPr="00D13CAC">
        <w:rPr>
          <w:lang w:bidi="fa-IR"/>
        </w:rPr>
        <w:t>000 m</w:t>
      </w:r>
      <w:r w:rsidRPr="00487E1B">
        <w:rPr>
          <w:lang w:bidi="fa-IR"/>
        </w:rPr>
        <w:t>2</w:t>
      </w:r>
      <w:r w:rsidRPr="00D13CAC">
        <w:rPr>
          <w:lang w:bidi="fa-IR"/>
        </w:rPr>
        <w:t xml:space="preserve"> or more to obtain a Building Energy Efficiency Certificate — which includes the building’s NABERS Energy for Offices star rating and a tenancy lighting assessment of the relevant area of the building — before the building goes on the market for sale, lease or sublease.</w:t>
      </w:r>
      <w:r w:rsidRPr="003B40EE">
        <w:rPr>
          <w:rStyle w:val="FootnoteReference"/>
          <w:lang w:bidi="fa-IR"/>
        </w:rPr>
        <w:footnoteReference w:id="143"/>
      </w:r>
      <w:r w:rsidRPr="003B40EE">
        <w:rPr>
          <w:rStyle w:val="FootnoteReference"/>
          <w:lang w:bidi="fa-IR"/>
        </w:rPr>
        <w:t xml:space="preserve"> </w:t>
      </w:r>
    </w:p>
    <w:p w14:paraId="12E0473C" w14:textId="77777777" w:rsidR="009B4D09" w:rsidRPr="00D13CAC" w:rsidRDefault="009B4D09" w:rsidP="009B4D09">
      <w:pPr>
        <w:pStyle w:val="BodyText"/>
      </w:pPr>
      <w:r w:rsidRPr="00D13CAC">
        <w:t>Stakeholders also reported that investor demand for green buildings provides a significant incentive to achieve high levels of energy efficiency at the premium end of the office market. Investor demand for green buildings is driven by the recognition of the commercial benefits of better energy efficiency (such as lower energy bills, higher rents and lower vacancy rates) as well as corporate social responsibility requirements of large investors. Some stakeholders also reported that NABERS or Green Star ratings are often used as a market proxy for overall building quality.</w:t>
      </w:r>
    </w:p>
    <w:p w14:paraId="411979BA" w14:textId="77777777" w:rsidR="009B4D09" w:rsidRDefault="009B4D09" w:rsidP="009B4D09">
      <w:pPr>
        <w:pStyle w:val="BodyText"/>
      </w:pPr>
      <w:r>
        <w:t>Previous</w:t>
      </w:r>
      <w:r w:rsidRPr="00D13CAC">
        <w:t xml:space="preserve"> review</w:t>
      </w:r>
      <w:r>
        <w:t>s</w:t>
      </w:r>
      <w:r w:rsidRPr="00D13CAC">
        <w:t xml:space="preserve"> found that the CBD program had been successful in encouraging energy efficiency improvements, particularly in the least efficient buildings.</w:t>
      </w:r>
      <w:r w:rsidRPr="00D13CAC">
        <w:rPr>
          <w:rStyle w:val="FootnoteReference"/>
        </w:rPr>
        <w:footnoteReference w:id="144"/>
      </w:r>
      <w:r w:rsidRPr="00D13CAC">
        <w:t xml:space="preserve"> While the focus of the CBD program is on existing buildings, it nevertheless suggests that existing mechanisms go some way to addressing the information asymmetry problem. However, as noted above, mandatory disclosure of the NABERS energy efficiency rating is applied only to a subset of commercial buildings. As a result, the problem of information failure should be addressed for those commercial buildings not being covered by the CBD. </w:t>
      </w:r>
    </w:p>
    <w:p w14:paraId="095F9F81" w14:textId="77777777" w:rsidR="009B4D09" w:rsidRDefault="009B4D09" w:rsidP="009B4D09">
      <w:pPr>
        <w:pStyle w:val="BodyText"/>
      </w:pPr>
      <w:r w:rsidRPr="00D13CAC">
        <w:t>Evidence of energy bill savings being capitalised into rents and building values would be an indicator that tenants and buyers have sufficient information to make informed decisions.</w:t>
      </w:r>
      <w:r>
        <w:t xml:space="preserve"> There is some Australian evidence to</w:t>
      </w:r>
      <w:r w:rsidRPr="00D13CAC">
        <w:t xml:space="preserve"> suggest that </w:t>
      </w:r>
      <w:r>
        <w:t>more energy efficient buildings tend to attract a premium in both rents and sale prices</w:t>
      </w:r>
      <w:r w:rsidRPr="00D13CAC">
        <w:t>.</w:t>
      </w:r>
      <w:r>
        <w:t xml:space="preserve"> However, this mostly applies to prime office buildings.</w:t>
      </w:r>
    </w:p>
    <w:p w14:paraId="3476BD8E" w14:textId="77777777" w:rsidR="009B4D09" w:rsidRDefault="009B4D09" w:rsidP="009B4D09">
      <w:pPr>
        <w:pStyle w:val="ListBullet"/>
        <w:tabs>
          <w:tab w:val="num" w:pos="709"/>
        </w:tabs>
        <w:rPr>
          <w:lang w:bidi="fa-IR"/>
        </w:rPr>
      </w:pPr>
      <w:r>
        <w:rPr>
          <w:lang w:bidi="fa-IR"/>
        </w:rPr>
        <w:t>A recent (2023) CBRE report compared average rents of 130 office buildings in major Australian cities (Brisbane, Melbourne, Perth and Sydney) based on their NABERS rating.</w:t>
      </w:r>
      <w:r>
        <w:rPr>
          <w:rStyle w:val="FootnoteReference"/>
        </w:rPr>
        <w:footnoteReference w:id="145"/>
      </w:r>
    </w:p>
    <w:p w14:paraId="4A52B213" w14:textId="77777777" w:rsidR="009B4D09" w:rsidRDefault="009B4D09" w:rsidP="009B4D09">
      <w:pPr>
        <w:pStyle w:val="ListBullet"/>
        <w:numPr>
          <w:ilvl w:val="1"/>
          <w:numId w:val="34"/>
        </w:numPr>
      </w:pPr>
      <w:r>
        <w:t>On average, rentals were around 8 per cent higher in 6-star buildings (compared with the average across the same city)</w:t>
      </w:r>
    </w:p>
    <w:p w14:paraId="6186534C" w14:textId="77777777" w:rsidR="009B4D09" w:rsidRDefault="009B4D09" w:rsidP="009B4D09">
      <w:pPr>
        <w:pStyle w:val="ListBullet"/>
        <w:numPr>
          <w:ilvl w:val="1"/>
          <w:numId w:val="34"/>
        </w:numPr>
      </w:pPr>
      <w:r>
        <w:t>An average discount of 6 per cent (relative to the average in the same city) was observed in buildings with a rating of 4 stars (at the lower end of the sample).</w:t>
      </w:r>
    </w:p>
    <w:p w14:paraId="793686FD" w14:textId="77777777" w:rsidR="009B4D09" w:rsidRDefault="009B4D09" w:rsidP="009B4D09">
      <w:pPr>
        <w:pStyle w:val="ListBullet"/>
        <w:tabs>
          <w:tab w:val="num" w:pos="709"/>
        </w:tabs>
        <w:rPr>
          <w:lang w:bidi="fa-IR"/>
        </w:rPr>
      </w:pPr>
      <w:r>
        <w:rPr>
          <w:lang w:bidi="fa-IR"/>
        </w:rPr>
        <w:t>Knight Frank used a hedonic price model to estimate the impact of NABERS rating on the sale price of prime office buildings in Melbourne and Sydney. They found that:</w:t>
      </w:r>
      <w:r w:rsidRPr="00B64730">
        <w:rPr>
          <w:rStyle w:val="FootnoteReference"/>
          <w:lang w:bidi="fa-IR"/>
        </w:rPr>
        <w:footnoteReference w:id="146"/>
      </w:r>
    </w:p>
    <w:p w14:paraId="3BE585D5" w14:textId="77777777" w:rsidR="009B4D09" w:rsidRDefault="009B4D09" w:rsidP="009B4D09">
      <w:pPr>
        <w:pStyle w:val="ListBullet"/>
        <w:numPr>
          <w:ilvl w:val="1"/>
          <w:numId w:val="34"/>
        </w:numPr>
      </w:pPr>
      <w:r>
        <w:t>Buildings with a NABERS rating of 5+ achieve an average 17.9 per cent premium on sales price compared to equivalent unrated buildings.</w:t>
      </w:r>
    </w:p>
    <w:p w14:paraId="6F4C01D6" w14:textId="77777777" w:rsidR="009B4D09" w:rsidRDefault="009B4D09" w:rsidP="009B4D09">
      <w:pPr>
        <w:pStyle w:val="ListBullet"/>
        <w:numPr>
          <w:ilvl w:val="1"/>
          <w:numId w:val="34"/>
        </w:numPr>
      </w:pPr>
      <w:r>
        <w:t>Buildings with a lower NABERS rating achieve an average 8.3 per cent premium.</w:t>
      </w:r>
    </w:p>
    <w:p w14:paraId="51EF5731" w14:textId="77777777" w:rsidR="009B4D09" w:rsidRPr="00D13CAC" w:rsidRDefault="009B4D09" w:rsidP="009B4D09">
      <w:pPr>
        <w:pStyle w:val="ListBullet"/>
        <w:tabs>
          <w:tab w:val="num" w:pos="709"/>
        </w:tabs>
        <w:rPr>
          <w:lang w:bidi="fa-IR"/>
        </w:rPr>
      </w:pPr>
      <w:r>
        <w:rPr>
          <w:lang w:bidi="fa-IR"/>
        </w:rPr>
        <w:t xml:space="preserve">A more comprehensive (albeit older) Australian study </w:t>
      </w:r>
      <w:r w:rsidRPr="00D13CAC">
        <w:rPr>
          <w:lang w:bidi="fa-IR"/>
        </w:rPr>
        <w:t xml:space="preserve">for the Australian Property Institute and Property Funds Association </w:t>
      </w:r>
      <w:r>
        <w:rPr>
          <w:lang w:bidi="fa-IR"/>
        </w:rPr>
        <w:t xml:space="preserve">also found </w:t>
      </w:r>
      <w:r w:rsidRPr="00D13CAC">
        <w:rPr>
          <w:lang w:bidi="fa-IR"/>
        </w:rPr>
        <w:t xml:space="preserve">evidence of energy bill savings associated with higher levels of energy efficiency being capitalised into rents and prices (as well as lower vacancy rates). </w:t>
      </w:r>
      <w:r>
        <w:rPr>
          <w:lang w:bidi="fa-IR"/>
        </w:rPr>
        <w:t>The</w:t>
      </w:r>
      <w:r w:rsidRPr="00D13CAC">
        <w:rPr>
          <w:lang w:bidi="fa-IR"/>
        </w:rPr>
        <w:t xml:space="preserve"> study compared rents and prices of 206 NABERS</w:t>
      </w:r>
      <w:r w:rsidRPr="00D13CAC">
        <w:rPr>
          <w:lang w:bidi="fa-IR"/>
        </w:rPr>
        <w:noBreakHyphen/>
        <w:t>rated office buildings and 160 office buildings that did not have a NABERS rating in Sydney and Canberra. This study focused mostly (over 97 per cent) on office buildings with an area exceeding 2</w:t>
      </w:r>
      <w:r>
        <w:rPr>
          <w:lang w:bidi="fa-IR"/>
        </w:rPr>
        <w:t>,</w:t>
      </w:r>
      <w:r w:rsidRPr="00D13CAC">
        <w:rPr>
          <w:lang w:bidi="fa-IR"/>
        </w:rPr>
        <w:t>000 m</w:t>
      </w:r>
      <w:r w:rsidRPr="00B64730">
        <w:rPr>
          <w:lang w:bidi="fa-IR"/>
        </w:rPr>
        <w:t>2</w:t>
      </w:r>
      <w:r w:rsidRPr="00D13CAC">
        <w:rPr>
          <w:lang w:bidi="fa-IR"/>
        </w:rPr>
        <w:t>. A key feature of this study is that it controlled for differences in building characteristics to ensure that any identified ‘green premium’ is not a result of green buildings being newer.</w:t>
      </w:r>
      <w:r w:rsidRPr="003667D6">
        <w:rPr>
          <w:rStyle w:val="FootnoteReference"/>
          <w:lang w:bidi="fa-IR"/>
        </w:rPr>
        <w:footnoteReference w:id="147"/>
      </w:r>
      <w:r w:rsidRPr="003667D6">
        <w:rPr>
          <w:rStyle w:val="FootnoteReference"/>
          <w:lang w:bidi="fa-IR"/>
        </w:rPr>
        <w:t xml:space="preserve"> </w:t>
      </w:r>
      <w:r w:rsidRPr="00D13CAC">
        <w:rPr>
          <w:lang w:bidi="fa-IR"/>
        </w:rPr>
        <w:t>The study found:</w:t>
      </w:r>
    </w:p>
    <w:p w14:paraId="65F0D4BB" w14:textId="77777777" w:rsidR="009B4D09" w:rsidRDefault="009B4D09" w:rsidP="009B4D09">
      <w:pPr>
        <w:pStyle w:val="ListBullet"/>
        <w:numPr>
          <w:ilvl w:val="1"/>
          <w:numId w:val="34"/>
        </w:numPr>
      </w:pPr>
      <w:r w:rsidRPr="00D13CAC">
        <w:t>Evidence of a green premium in values for buildings with higher NABERS ratings</w:t>
      </w:r>
      <w:r>
        <w:t>:</w:t>
      </w:r>
    </w:p>
    <w:p w14:paraId="631DF348" w14:textId="77777777" w:rsidR="009B4D09" w:rsidRDefault="009B4D09" w:rsidP="009B4D09">
      <w:pPr>
        <w:pStyle w:val="ListBullet"/>
        <w:numPr>
          <w:ilvl w:val="2"/>
          <w:numId w:val="34"/>
        </w:numPr>
      </w:pPr>
      <w:r>
        <w:t>a</w:t>
      </w:r>
      <w:r w:rsidRPr="00D13CAC">
        <w:t xml:space="preserve"> 5-star NABERS energy rating delivering a 9 per cent </w:t>
      </w:r>
      <w:r>
        <w:t>‘</w:t>
      </w:r>
      <w:r w:rsidRPr="00D13CAC">
        <w:t>green premium</w:t>
      </w:r>
      <w:r>
        <w:t>’</w:t>
      </w:r>
      <w:r w:rsidRPr="00D13CAC">
        <w:t xml:space="preserve"> in value </w:t>
      </w:r>
      <w:r>
        <w:t xml:space="preserve">(relative to unrated buildings), </w:t>
      </w:r>
      <w:r w:rsidRPr="00D13CAC">
        <w:t>and</w:t>
      </w:r>
    </w:p>
    <w:p w14:paraId="0F0AF9D6" w14:textId="77777777" w:rsidR="009B4D09" w:rsidRPr="00D13CAC" w:rsidRDefault="009B4D09" w:rsidP="009B4D09">
      <w:pPr>
        <w:pStyle w:val="ListBullet"/>
        <w:numPr>
          <w:ilvl w:val="2"/>
          <w:numId w:val="34"/>
        </w:numPr>
      </w:pPr>
      <w:r>
        <w:t>a</w:t>
      </w:r>
      <w:r w:rsidRPr="00D13CAC">
        <w:t xml:space="preserve"> 3</w:t>
      </w:r>
      <w:r>
        <w:t xml:space="preserve"> to </w:t>
      </w:r>
      <w:r w:rsidRPr="00D13CAC">
        <w:t>4.5-star NABERS rating delivering a 2-3 per cent green premium in value.</w:t>
      </w:r>
    </w:p>
    <w:p w14:paraId="331F30B4" w14:textId="77777777" w:rsidR="009B4D09" w:rsidRPr="00D13CAC" w:rsidRDefault="009B4D09" w:rsidP="009B4D09">
      <w:pPr>
        <w:pStyle w:val="ListBullet"/>
        <w:numPr>
          <w:ilvl w:val="1"/>
          <w:numId w:val="34"/>
        </w:numPr>
      </w:pPr>
      <w:r w:rsidRPr="00D13CAC">
        <w:t>These green premiums were most evident in the Canberra office market and the Sydney suburban office market (North Sydney, Parramatta, Chatswood, St Leonards, South Sydney, Norwest, Macquarie Park, Rhodes and Homebush Bay).</w:t>
      </w:r>
    </w:p>
    <w:p w14:paraId="4E9C3870" w14:textId="77777777" w:rsidR="009B4D09" w:rsidRPr="00D13CAC" w:rsidRDefault="009B4D09" w:rsidP="009B4D09">
      <w:pPr>
        <w:pStyle w:val="ListBullet"/>
        <w:numPr>
          <w:ilvl w:val="1"/>
          <w:numId w:val="34"/>
        </w:numPr>
      </w:pPr>
      <w:r w:rsidRPr="00D13CAC">
        <w:t>Green premiums were also evident in reduced vacancy rates and reduced outgoings.</w:t>
      </w:r>
      <w:r w:rsidRPr="00D13CAC">
        <w:rPr>
          <w:rStyle w:val="FootnoteReference"/>
        </w:rPr>
        <w:footnoteReference w:id="148"/>
      </w:r>
    </w:p>
    <w:p w14:paraId="5A2E12BA" w14:textId="77777777" w:rsidR="009B4D09" w:rsidRDefault="009B4D09" w:rsidP="009B4D09">
      <w:pPr>
        <w:pStyle w:val="BodyText"/>
      </w:pPr>
      <w:r>
        <w:t xml:space="preserve">Note that these studies have used the NABERS rating (based on GHG emissions) as the measure of energy efficiency, rather than energy consumption </w:t>
      </w:r>
      <w:r w:rsidRPr="008E3B4E">
        <w:rPr>
          <w:i/>
          <w:iCs/>
        </w:rPr>
        <w:t>per se</w:t>
      </w:r>
      <w:r>
        <w:rPr>
          <w:i/>
          <w:iCs/>
        </w:rPr>
        <w:t xml:space="preserve"> </w:t>
      </w:r>
      <w:r>
        <w:t>(there is not necessarily a close correlation between NABERS rating and energy consumption). It may be that the observed premiums reflect environmental objectives, rather than direct financial considerations alone.</w:t>
      </w:r>
    </w:p>
    <w:p w14:paraId="349154F2" w14:textId="77777777" w:rsidR="009B4D09" w:rsidRDefault="009B4D09" w:rsidP="009B4D09">
      <w:pPr>
        <w:pStyle w:val="BodyText"/>
      </w:pPr>
      <w:r>
        <w:t xml:space="preserve">In this regard, </w:t>
      </w:r>
      <w:r w:rsidRPr="00D13CAC">
        <w:t xml:space="preserve">it should be noted that the CBD </w:t>
      </w:r>
      <w:r>
        <w:t xml:space="preserve">Program </w:t>
      </w:r>
      <w:r w:rsidRPr="00D13CAC">
        <w:t>currently covers offices with an area at or above 1</w:t>
      </w:r>
      <w:r>
        <w:t>,</w:t>
      </w:r>
      <w:r w:rsidRPr="00D13CAC">
        <w:t>000 m</w:t>
      </w:r>
      <w:r w:rsidRPr="00D13CAC">
        <w:rPr>
          <w:vertAlign w:val="superscript"/>
        </w:rPr>
        <w:t>2</w:t>
      </w:r>
      <w:r>
        <w:t>.</w:t>
      </w:r>
      <w:r w:rsidRPr="00D13CAC">
        <w:t xml:space="preserve"> </w:t>
      </w:r>
      <w:r>
        <w:t xml:space="preserve">There may be some information asymmetries (in relation to the NABERS rating) for other commercial buildings. </w:t>
      </w:r>
    </w:p>
    <w:p w14:paraId="4674868E" w14:textId="77777777" w:rsidR="009B4D09" w:rsidRPr="00D13CAC" w:rsidRDefault="009B4D09" w:rsidP="009B4D09">
      <w:pPr>
        <w:pStyle w:val="Heading8"/>
      </w:pPr>
      <w:r w:rsidRPr="00D13CAC">
        <w:t>Split incentives</w:t>
      </w:r>
    </w:p>
    <w:p w14:paraId="7F5AC9BA" w14:textId="77777777" w:rsidR="009B4D09" w:rsidRPr="00D13CAC" w:rsidRDefault="009B4D09" w:rsidP="009B4D09">
      <w:pPr>
        <w:pStyle w:val="BodyText"/>
      </w:pPr>
      <w:r w:rsidRPr="00D13CAC">
        <w:t xml:space="preserve">A subset of information </w:t>
      </w:r>
      <w:r>
        <w:t>failures</w:t>
      </w:r>
      <w:r w:rsidRPr="00D13CAC">
        <w:t xml:space="preserve"> discussed above is the issue of split incentives. Split incentives occur when the party making the decision on whether to invest in energy efficiency </w:t>
      </w:r>
      <w:r>
        <w:t>is</w:t>
      </w:r>
      <w:r w:rsidRPr="00D13CAC">
        <w:t xml:space="preserve"> not responsible for energy bills.</w:t>
      </w:r>
    </w:p>
    <w:p w14:paraId="58F9E419" w14:textId="77777777" w:rsidR="009B4D09" w:rsidRPr="00D13CAC" w:rsidRDefault="009B4D09" w:rsidP="009B4D09">
      <w:pPr>
        <w:pStyle w:val="Heading9"/>
      </w:pPr>
      <w:r w:rsidRPr="00D13CAC">
        <w:t>Landlord</w:t>
      </w:r>
      <w:r w:rsidRPr="00D13CAC">
        <w:noBreakHyphen/>
        <w:t>tenant problem¤</w:t>
      </w:r>
    </w:p>
    <w:p w14:paraId="05B072EB" w14:textId="77777777" w:rsidR="009B4D09" w:rsidRPr="00D13CAC" w:rsidRDefault="009B4D09" w:rsidP="009B4D09">
      <w:pPr>
        <w:pStyle w:val="BodyText"/>
      </w:pPr>
      <w:r w:rsidRPr="00D13CAC">
        <w:t>The most commonly cited split incentive in relation to commercial buildings is the landlord</w:t>
      </w:r>
      <w:r w:rsidRPr="00D13CAC">
        <w:noBreakHyphen/>
        <w:t>tenant problem. This problem potentially applies to leased buildings where:</w:t>
      </w:r>
    </w:p>
    <w:p w14:paraId="5D35610F" w14:textId="77777777" w:rsidR="009B4D09" w:rsidRPr="00E02987" w:rsidRDefault="009B4D09" w:rsidP="009B4D09">
      <w:pPr>
        <w:pStyle w:val="ListBullet"/>
        <w:tabs>
          <w:tab w:val="num" w:pos="709"/>
        </w:tabs>
        <w:rPr>
          <w:lang w:bidi="fa-IR"/>
        </w:rPr>
      </w:pPr>
      <w:r w:rsidRPr="00D13CAC">
        <w:rPr>
          <w:lang w:bidi="fa-IR"/>
        </w:rPr>
        <w:t xml:space="preserve">the building </w:t>
      </w:r>
      <w:r w:rsidRPr="00E02987">
        <w:rPr>
          <w:lang w:bidi="fa-IR"/>
        </w:rPr>
        <w:t>owner (the landlord) bears the cost of any investment in energy efficiency (including the building façade and central services); and</w:t>
      </w:r>
    </w:p>
    <w:p w14:paraId="63D9656C" w14:textId="77777777" w:rsidR="009B4D09" w:rsidRPr="00D13CAC" w:rsidRDefault="009B4D09" w:rsidP="009B4D09">
      <w:pPr>
        <w:pStyle w:val="ListBullet"/>
        <w:tabs>
          <w:tab w:val="num" w:pos="709"/>
        </w:tabs>
        <w:rPr>
          <w:lang w:bidi="fa-IR"/>
        </w:rPr>
      </w:pPr>
      <w:r w:rsidRPr="00E02987">
        <w:rPr>
          <w:lang w:bidi="fa-IR"/>
        </w:rPr>
        <w:t>energy bills are passed</w:t>
      </w:r>
      <w:r w:rsidRPr="00D13CAC">
        <w:rPr>
          <w:lang w:bidi="fa-IR"/>
        </w:rPr>
        <w:t xml:space="preserve"> onto tenants (although this is not always the case).</w:t>
      </w:r>
    </w:p>
    <w:p w14:paraId="2614CC6F" w14:textId="77777777" w:rsidR="009B4D09" w:rsidRDefault="009B4D09" w:rsidP="009B4D09">
      <w:pPr>
        <w:pStyle w:val="BodyText"/>
      </w:pPr>
      <w:r w:rsidRPr="00D13CAC">
        <w:t xml:space="preserve">The landlord-tenant problem is </w:t>
      </w:r>
      <w:r>
        <w:t>potentially most</w:t>
      </w:r>
      <w:r w:rsidRPr="00D13CAC">
        <w:t xml:space="preserve"> relevant to office and retail buildings</w:t>
      </w:r>
      <w:r>
        <w:t xml:space="preserve"> where leasing is common. These</w:t>
      </w:r>
      <w:r w:rsidRPr="00D13CAC">
        <w:t xml:space="preserve"> are the largest commercial users of energy, together accounting for over 40 per cent of the total energy consumed by commercial buildings.</w:t>
      </w:r>
    </w:p>
    <w:p w14:paraId="06F37CE5" w14:textId="77777777" w:rsidR="009B4D09" w:rsidRPr="00D13CAC" w:rsidRDefault="009B4D09" w:rsidP="009B4D09">
      <w:pPr>
        <w:pStyle w:val="BodyText"/>
      </w:pPr>
      <w:r w:rsidRPr="00D13CAC">
        <w:t>It is less relevant to other types of commercial buildings, such as educational facilities, health-care facilities and hotels, where the building owner and operator are more likely to be the same entity and responsible for both decisions on whether to invest in energy efficiency, and energy bills. However, there may be organisational inefficiencies that limit the appropriate consideration of the longer-term operating cost implications at various levels of capital expenditure decisions for these types of commercial buildings.</w:t>
      </w:r>
    </w:p>
    <w:p w14:paraId="460B0401" w14:textId="77777777" w:rsidR="009B4D09" w:rsidRDefault="009B4D09" w:rsidP="009B4D09">
      <w:pPr>
        <w:pStyle w:val="BodyText"/>
      </w:pPr>
      <w:r>
        <w:t>In general, a landlord</w:t>
      </w:r>
      <w:r>
        <w:noBreakHyphen/>
        <w:t>tenant split incentive problem is more likely to be a significant barrier to the uptake of privately cost</w:t>
      </w:r>
      <w:r>
        <w:noBreakHyphen/>
        <w:t xml:space="preserve">effective energy efficiency opportunities where an information asymmetry is present. </w:t>
      </w:r>
      <w:r w:rsidRPr="00D13CAC">
        <w:t>Where energy bill savings are understood by tenants, they are likely to be willing to pay higher rents in more energy efficient buildings</w:t>
      </w:r>
      <w:r>
        <w:t xml:space="preserve"> in exchange for lower energy bills</w:t>
      </w:r>
      <w:r w:rsidRPr="00D13CAC">
        <w:t xml:space="preserve">. In these circumstances, the benefits of better energy efficiency are </w:t>
      </w:r>
      <w:r>
        <w:t>shared between</w:t>
      </w:r>
      <w:r w:rsidRPr="00D13CAC">
        <w:t xml:space="preserve"> the building owner/manager</w:t>
      </w:r>
      <w:r>
        <w:t xml:space="preserve"> and the tenant</w:t>
      </w:r>
      <w:r w:rsidRPr="00D13CAC">
        <w:t>. The capacity to achieve higher rents would also be reflected in the value of the building.</w:t>
      </w:r>
    </w:p>
    <w:p w14:paraId="2FA577A6" w14:textId="77777777" w:rsidR="009B4D09" w:rsidRDefault="009B4D09" w:rsidP="009B4D09">
      <w:pPr>
        <w:pStyle w:val="BodyText"/>
      </w:pPr>
      <w:r>
        <w:t xml:space="preserve">That said, a split incentive may apply within a contract period. The financial incentive for a landlord to improve energy efficiency is muted by having to pass savings on to tenants for part of the tenant base. </w:t>
      </w:r>
    </w:p>
    <w:p w14:paraId="79EBFA9C" w14:textId="77777777" w:rsidR="009B4D09" w:rsidRPr="00D13CAC" w:rsidRDefault="009B4D09" w:rsidP="009B4D09">
      <w:pPr>
        <w:pStyle w:val="BodyText"/>
      </w:pPr>
      <w:r>
        <w:t>As discussed above, disclosure of outgoings (as well as the availability of benchmarking tools such as NABERS) means that information asymmetries and therefore the landlord</w:t>
      </w:r>
      <w:r>
        <w:noBreakHyphen/>
        <w:t>tenant problem are not likely to be a significant barrier to greater energy efficiency in commercial buildings in Australia.</w:t>
      </w:r>
    </w:p>
    <w:p w14:paraId="6CFA34AC" w14:textId="77777777" w:rsidR="009B4D09" w:rsidRPr="00D13CAC" w:rsidRDefault="009B4D09" w:rsidP="009B4D09">
      <w:pPr>
        <w:pStyle w:val="Heading9"/>
      </w:pPr>
      <w:r w:rsidRPr="00D13CAC">
        <w:t>Builder and end-user split incentive problem</w:t>
      </w:r>
    </w:p>
    <w:p w14:paraId="55C38A04" w14:textId="7AB58495" w:rsidR="009B4D09" w:rsidRDefault="009B4D09" w:rsidP="009B4D09">
      <w:pPr>
        <w:pStyle w:val="BodyText"/>
      </w:pPr>
      <w:r w:rsidRPr="00D13CAC">
        <w:t>Another source of split incentives reported by stakeholders in Australia is between a building contractor and its owner/occupier. As discussed in the International Energy Agency</w:t>
      </w:r>
      <w:r>
        <w:t xml:space="preserve"> (IEA)</w:t>
      </w:r>
      <w:r w:rsidRPr="00D13CAC">
        <w:t xml:space="preserve">’s 2007 report, </w:t>
      </w:r>
      <w:hyperlink r:id="rId45" w:history="1">
        <w:r w:rsidRPr="00D13CAC">
          <w:rPr>
            <w:rStyle w:val="Hyperlink"/>
            <w:i/>
            <w:color w:val="000000" w:themeColor="text1"/>
          </w:rPr>
          <w:t>Mind the Gap: Quantifying Principal-Agent Problems</w:t>
        </w:r>
      </w:hyperlink>
      <w:r w:rsidRPr="00D13CAC">
        <w:rPr>
          <w:rStyle w:val="Hyperlink"/>
          <w:i/>
          <w:color w:val="000000" w:themeColor="text1"/>
        </w:rPr>
        <w:t xml:space="preserve"> in Energy Efficiency</w:t>
      </w:r>
      <w:r w:rsidRPr="00D13CAC">
        <w:rPr>
          <w:rStyle w:val="Hyperlink"/>
          <w:color w:val="000000" w:themeColor="text1"/>
        </w:rPr>
        <w:t>,</w:t>
      </w:r>
      <w:r w:rsidRPr="00D13CAC">
        <w:rPr>
          <w:i/>
        </w:rPr>
        <w:t xml:space="preserve"> </w:t>
      </w:r>
      <w:r w:rsidRPr="00D13CAC">
        <w:t>a building contractor makes many energy-related decisions, including the efficiency of the heating system and of the windows, and the building’s resistance to air infiltration. However, given these energy efficient alternatives usually increase the cost of construction, ‘the building contractor has incentives to avoid these measures, especially if the measures are invisible to prospective buyers’.</w:t>
      </w:r>
      <w:r w:rsidRPr="00D13CAC">
        <w:rPr>
          <w:rStyle w:val="FootnoteReference"/>
        </w:rPr>
        <w:footnoteReference w:id="149"/>
      </w:r>
      <w:r w:rsidRPr="00D13CAC">
        <w:t xml:space="preserve"> That is, the developer is naturally trying to build for the lowest cost possible, and would incur the capital cost of energy efficiency investments, while the end user is not identified and may potentially not pay the full cost of those investments.</w:t>
      </w:r>
    </w:p>
    <w:p w14:paraId="4992AC12" w14:textId="77777777" w:rsidR="009B4D09" w:rsidRPr="00D13CAC" w:rsidRDefault="009B4D09" w:rsidP="009B4D09">
      <w:pPr>
        <w:pStyle w:val="BodyText"/>
      </w:pPr>
      <w:r w:rsidRPr="00D13CAC">
        <w:t>This applies to all building types and particularly to those developments that are completed speculatively</w:t>
      </w:r>
      <w:r>
        <w:t>,</w:t>
      </w:r>
      <w:r w:rsidRPr="00D13CAC">
        <w:t xml:space="preserve"> or where there is a fixed-price build and energy efficiency measures may be </w:t>
      </w:r>
      <w:r>
        <w:t>reduced</w:t>
      </w:r>
      <w:r w:rsidRPr="00D13CAC">
        <w:t xml:space="preserve"> to increase the builder</w:t>
      </w:r>
      <w:r>
        <w:t>’</w:t>
      </w:r>
      <w:r w:rsidRPr="00D13CAC">
        <w:t xml:space="preserve">s margin. Due to the complexity of observing the compliance to design after building, it may be difficult for the owner to observe the difference between </w:t>
      </w:r>
      <w:r>
        <w:t xml:space="preserve">the </w:t>
      </w:r>
      <w:r w:rsidRPr="00D13CAC">
        <w:t xml:space="preserve">planned and actual </w:t>
      </w:r>
      <w:r>
        <w:t>level of energy efficiency during the construction phase</w:t>
      </w:r>
      <w:r w:rsidRPr="00D13CAC">
        <w:t xml:space="preserve">. </w:t>
      </w:r>
    </w:p>
    <w:p w14:paraId="1AE0089B" w14:textId="77777777" w:rsidR="009B4D09" w:rsidRPr="00D13CAC" w:rsidRDefault="009B4D09" w:rsidP="009B4D09">
      <w:pPr>
        <w:pStyle w:val="Heading9"/>
      </w:pPr>
      <w:r w:rsidRPr="00D13CAC">
        <w:t>Other types of split incentives</w:t>
      </w:r>
    </w:p>
    <w:p w14:paraId="1FB6E286" w14:textId="77777777" w:rsidR="009B4D09" w:rsidRPr="00D13CAC" w:rsidRDefault="009B4D09" w:rsidP="009B4D09">
      <w:pPr>
        <w:pStyle w:val="BodyText"/>
      </w:pPr>
      <w:r w:rsidRPr="00D13CAC">
        <w:t xml:space="preserve">Another type of split incentive could occur within large organisations, where separate parts of the organisation are responsible for capital budgets and paying energy bills. This is effectively an organisational failure, rather than a market failure. This type of split incentive was </w:t>
      </w:r>
      <w:r>
        <w:t xml:space="preserve">previously </w:t>
      </w:r>
      <w:r w:rsidRPr="00D13CAC">
        <w:t>identified during stakeholder consultations as a key barrier to improved energy efficiency in government buildings</w:t>
      </w:r>
      <w:r>
        <w:t xml:space="preserve">, </w:t>
      </w:r>
      <w:r w:rsidRPr="00D13CAC">
        <w:t>as a result of government budgeting arrangements.</w:t>
      </w:r>
    </w:p>
    <w:p w14:paraId="461CFBB5" w14:textId="77777777" w:rsidR="009B4D09" w:rsidRPr="00D13CAC" w:rsidRDefault="009B4D09" w:rsidP="009B4D09">
      <w:pPr>
        <w:pStyle w:val="Heading8"/>
      </w:pPr>
      <w:r w:rsidRPr="00D13CAC">
        <w:t>Bounded rationality and heuristic decision</w:t>
      </w:r>
      <w:r w:rsidRPr="00D13CAC">
        <w:noBreakHyphen/>
        <w:t>making</w:t>
      </w:r>
    </w:p>
    <w:p w14:paraId="60F11E1A" w14:textId="77777777" w:rsidR="009B4D09" w:rsidRPr="00D13CAC" w:rsidRDefault="009B4D09" w:rsidP="009B4D09">
      <w:pPr>
        <w:pStyle w:val="BodyText"/>
      </w:pPr>
      <w:r w:rsidRPr="00D13CAC">
        <w:t>In addition to the market failures discussed above, some studies cite behavioural anomalies/failures as a reason for under</w:t>
      </w:r>
      <w:r w:rsidRPr="00D13CAC">
        <w:noBreakHyphen/>
        <w:t>investment in improved energy efficiency. Behavioural anomalies cited in the literature include bounded rationality and heuristic decision-making.</w:t>
      </w:r>
    </w:p>
    <w:p w14:paraId="1D1CB300" w14:textId="77777777" w:rsidR="009B4D09" w:rsidRPr="00D13CAC" w:rsidRDefault="009B4D09" w:rsidP="009B4D09">
      <w:pPr>
        <w:pStyle w:val="BodyText"/>
      </w:pPr>
      <w:r w:rsidRPr="00D13CAC">
        <w:t>Energy efficiency choices in commercial buildings may involve complex trade</w:t>
      </w:r>
      <w:r w:rsidRPr="00D13CAC">
        <w:noBreakHyphen/>
        <w:t>offs with factors, such as design preferences as well as cost. In the face of this complexity, some owners/developers may make sub</w:t>
      </w:r>
      <w:r w:rsidRPr="00D13CAC">
        <w:noBreakHyphen/>
        <w:t>optimal decisions due to cognitive limitations and/or rely on heuristics (mental short cuts).</w:t>
      </w:r>
    </w:p>
    <w:p w14:paraId="710BBB86" w14:textId="77777777" w:rsidR="009B4D09" w:rsidRPr="00D13CAC" w:rsidRDefault="009B4D09" w:rsidP="009B4D09">
      <w:pPr>
        <w:pStyle w:val="BodyText"/>
      </w:pPr>
      <w:r w:rsidRPr="00D13CAC">
        <w:t xml:space="preserve">In an assessment of the evidence on the causes of the energy efficiency gap, Gerarden </w:t>
      </w:r>
      <w:r w:rsidRPr="00D13CAC">
        <w:rPr>
          <w:i/>
        </w:rPr>
        <w:t>et. Al.</w:t>
      </w:r>
      <w:r w:rsidRPr="00D13CAC">
        <w:t xml:space="preserve"> (2015) noted that cognitive limitations could conceivably contribute to the energy efficiency gap by preventing individuals (or possibly firms) from properly balancing</w:t>
      </w:r>
      <w:r>
        <w:t xml:space="preserve"> the</w:t>
      </w:r>
      <w:r w:rsidRPr="00D13CAC">
        <w:t xml:space="preserve"> present value of benefits </w:t>
      </w:r>
      <w:r>
        <w:t>against</w:t>
      </w:r>
      <w:r w:rsidRPr="00D13CAC">
        <w:t xml:space="preserve"> costs when investing in energy</w:t>
      </w:r>
      <w:r w:rsidRPr="00D13CAC">
        <w:noBreakHyphen/>
        <w:t>using capital goods.</w:t>
      </w:r>
      <w:r w:rsidRPr="00D13CAC">
        <w:rPr>
          <w:rStyle w:val="FootnoteReference"/>
        </w:rPr>
        <w:footnoteReference w:id="150"/>
      </w:r>
    </w:p>
    <w:p w14:paraId="6A25EA2E" w14:textId="77777777" w:rsidR="009B4D09" w:rsidRPr="00D13CAC" w:rsidRDefault="009B4D09" w:rsidP="009B4D09">
      <w:pPr>
        <w:pStyle w:val="BodyText"/>
      </w:pPr>
      <w:r w:rsidRPr="00D13CAC">
        <w:t xml:space="preserve">Gerarden </w:t>
      </w:r>
      <w:r w:rsidRPr="00D13CAC">
        <w:rPr>
          <w:i/>
        </w:rPr>
        <w:t>et. Al</w:t>
      </w:r>
      <w:r w:rsidRPr="00D13CAC">
        <w:t>. (2015) note that many empirical studies are consistent with this explanation. However, it is difficult to disentangle the role of heuristics and bounded rationality from competing explanations because consumers’ decision</w:t>
      </w:r>
      <w:r w:rsidRPr="00D13CAC">
        <w:noBreakHyphen/>
        <w:t>making processes cannot be directly observed.</w:t>
      </w:r>
      <w:r w:rsidRPr="00D13CAC">
        <w:rPr>
          <w:rStyle w:val="FootnoteReference"/>
        </w:rPr>
        <w:footnoteReference w:id="151"/>
      </w:r>
    </w:p>
    <w:p w14:paraId="4B95D322" w14:textId="77777777" w:rsidR="009B4D09" w:rsidRDefault="009B4D09" w:rsidP="009B4D09">
      <w:pPr>
        <w:pStyle w:val="BodyText"/>
      </w:pPr>
      <w:r w:rsidRPr="00D13CAC">
        <w:t>Given these challenges, it is difficult to find direct evidence that bounded rationality and heuristic decision</w:t>
      </w:r>
      <w:r w:rsidRPr="00D13CAC">
        <w:noBreakHyphen/>
        <w:t xml:space="preserve">making contributes to the energy efficiency paradox in relation to commercial buildings. </w:t>
      </w:r>
    </w:p>
    <w:p w14:paraId="4DD192D2" w14:textId="77777777" w:rsidR="009B4D09" w:rsidRDefault="009B4D09" w:rsidP="009B4D09">
      <w:pPr>
        <w:pStyle w:val="BodyText"/>
      </w:pPr>
      <w:r w:rsidRPr="00D13CAC">
        <w:t xml:space="preserve">That said, </w:t>
      </w:r>
      <w:r>
        <w:t>there is qualitative evidence from stakeholders that</w:t>
      </w:r>
      <w:r w:rsidRPr="00D13CAC">
        <w:t xml:space="preserve"> entrenched practices in the construction industry — a form of heuristic decision making — </w:t>
      </w:r>
      <w:r>
        <w:t>is</w:t>
      </w:r>
      <w:r w:rsidRPr="00D13CAC">
        <w:t xml:space="preserve"> a key barrier to greater uptake of energy efficiency in commercial buildings in Australia</w:t>
      </w:r>
      <w:r>
        <w:t>. E</w:t>
      </w:r>
      <w:r w:rsidRPr="00D13CAC">
        <w:t xml:space="preserve">nergy efficiency </w:t>
      </w:r>
      <w:r>
        <w:t>can</w:t>
      </w:r>
      <w:r w:rsidRPr="00D13CAC">
        <w:t xml:space="preserve"> sometimes </w:t>
      </w:r>
      <w:r>
        <w:t xml:space="preserve">be </w:t>
      </w:r>
      <w:r w:rsidRPr="00D13CAC">
        <w:t>overlooked or ignored as a lower order imperative to life safety.</w:t>
      </w:r>
    </w:p>
    <w:p w14:paraId="7BFA6976" w14:textId="77777777" w:rsidR="009B4D09" w:rsidRDefault="009B4D09" w:rsidP="009B4D09">
      <w:pPr>
        <w:pStyle w:val="BodyText"/>
      </w:pPr>
      <w:r>
        <w:t>In particular, current processes for the design and construction of commercial buildings (including the regulatory processes) reportedly precludes optimisation of energy efficiency from a whole building perspective.</w:t>
      </w:r>
    </w:p>
    <w:p w14:paraId="50ACD8A4" w14:textId="77777777" w:rsidR="009B4D09" w:rsidRDefault="009B4D09" w:rsidP="009B4D09">
      <w:pPr>
        <w:pStyle w:val="ListBullet"/>
        <w:tabs>
          <w:tab w:val="num" w:pos="709"/>
        </w:tabs>
        <w:rPr>
          <w:lang w:bidi="fa-IR"/>
        </w:rPr>
      </w:pPr>
      <w:r>
        <w:rPr>
          <w:lang w:bidi="fa-IR"/>
        </w:rPr>
        <w:t>A key early step in the design and construction process is obtaining planning approval. Planning approval is mainly focused on the building envelope.</w:t>
      </w:r>
    </w:p>
    <w:p w14:paraId="11FFE053" w14:textId="77777777" w:rsidR="009B4D09" w:rsidRDefault="009B4D09" w:rsidP="009B4D09">
      <w:pPr>
        <w:pStyle w:val="ListBullet"/>
        <w:tabs>
          <w:tab w:val="num" w:pos="709"/>
        </w:tabs>
        <w:rPr>
          <w:lang w:bidi="fa-IR"/>
        </w:rPr>
      </w:pPr>
      <w:r>
        <w:rPr>
          <w:lang w:bidi="fa-IR"/>
        </w:rPr>
        <w:t>This means that in many cases the façade is designed and submitted to the planning authority for planning approval, without any involvement of the energy efficiency consultant or the mechanical engineer that design the HVAC system.</w:t>
      </w:r>
    </w:p>
    <w:p w14:paraId="204D9457" w14:textId="77777777" w:rsidR="009B4D09" w:rsidRDefault="009B4D09" w:rsidP="009B4D09">
      <w:pPr>
        <w:pStyle w:val="ListBullet"/>
        <w:tabs>
          <w:tab w:val="num" w:pos="709"/>
        </w:tabs>
        <w:rPr>
          <w:lang w:bidi="fa-IR"/>
        </w:rPr>
      </w:pPr>
      <w:r>
        <w:rPr>
          <w:lang w:bidi="fa-IR"/>
        </w:rPr>
        <w:t>Once planning permission has been received, the energy efficiency consultant and mechanical engineer will design the HVAC system for the approved façade. Any significant changes to the façade may require a variation to the planning approval, which can result in delays and add to costs.</w:t>
      </w:r>
    </w:p>
    <w:p w14:paraId="5B408C52" w14:textId="77777777" w:rsidR="009B4D09" w:rsidRPr="00D13CAC" w:rsidRDefault="009B4D09" w:rsidP="009B4D09">
      <w:pPr>
        <w:pStyle w:val="ListBullet"/>
        <w:tabs>
          <w:tab w:val="num" w:pos="709"/>
        </w:tabs>
        <w:rPr>
          <w:lang w:bidi="fa-IR"/>
        </w:rPr>
      </w:pPr>
      <w:r>
        <w:rPr>
          <w:lang w:bidi="fa-IR"/>
        </w:rPr>
        <w:t>This process means that energy efficiency may not be optimised from a whole</w:t>
      </w:r>
      <w:r>
        <w:rPr>
          <w:lang w:bidi="fa-IR"/>
        </w:rPr>
        <w:noBreakHyphen/>
        <w:t>of</w:t>
      </w:r>
      <w:r>
        <w:rPr>
          <w:lang w:bidi="fa-IR"/>
        </w:rPr>
        <w:noBreakHyphen/>
        <w:t xml:space="preserve">building perspective. Many buildings are therefore built to comply with the minimum energy efficiency standards specified in the NCC (i.e. ‘building to code’), rather than seeking to optimise between capital and operating costs. </w:t>
      </w:r>
    </w:p>
    <w:p w14:paraId="565400E7" w14:textId="77777777" w:rsidR="009B4D09" w:rsidRDefault="009B4D09" w:rsidP="009B4D09">
      <w:pPr>
        <w:pStyle w:val="BodyText"/>
      </w:pPr>
      <w:r>
        <w:t>Another way that heuristic decision</w:t>
      </w:r>
      <w:r>
        <w:noBreakHyphen/>
        <w:t>making can lead to sub</w:t>
      </w:r>
      <w:r>
        <w:noBreakHyphen/>
        <w:t>optimal outcomes is where mechanical engineers are heavily focused on performance and therefore build in significant redundancy when making decisions on the sizing of HVAC equipment.</w:t>
      </w:r>
    </w:p>
    <w:p w14:paraId="6FB372F6" w14:textId="77777777" w:rsidR="009B4D09" w:rsidRPr="00D13CAC" w:rsidRDefault="009B4D09" w:rsidP="009B4D09">
      <w:pPr>
        <w:pStyle w:val="Heading8"/>
      </w:pPr>
      <w:r w:rsidRPr="00D13CAC">
        <w:t>Inattention and non</w:t>
      </w:r>
      <w:r w:rsidRPr="00D13CAC">
        <w:noBreakHyphen/>
        <w:t>salience of energy costs</w:t>
      </w:r>
    </w:p>
    <w:p w14:paraId="524E276D" w14:textId="77777777" w:rsidR="009B4D09" w:rsidRPr="00D13CAC" w:rsidRDefault="009B4D09" w:rsidP="009B4D09">
      <w:pPr>
        <w:pStyle w:val="BodyText"/>
      </w:pPr>
      <w:r w:rsidRPr="00D13CAC">
        <w:t xml:space="preserve">Some studies have sought to explain the energy efficiency paradox </w:t>
      </w:r>
      <w:r>
        <w:t>as</w:t>
      </w:r>
      <w:r w:rsidRPr="00D13CAC">
        <w:t xml:space="preserve"> </w:t>
      </w:r>
      <w:r>
        <w:t xml:space="preserve">a result of </w:t>
      </w:r>
      <w:r w:rsidRPr="00D13CAC">
        <w:t>the inattention of energy users and/or the salience of energy costs. As energy costs are relatively small component of total costs for many businesses, little attention is paid to them, leading to under</w:t>
      </w:r>
      <w:r w:rsidRPr="00D13CAC">
        <w:noBreakHyphen/>
        <w:t>investment in energy efficiency.</w:t>
      </w:r>
    </w:p>
    <w:p w14:paraId="1B4B5558" w14:textId="77777777" w:rsidR="009B4D09" w:rsidRPr="00D13CAC" w:rsidRDefault="009B4D09" w:rsidP="009B4D09">
      <w:pPr>
        <w:pStyle w:val="BodyText"/>
      </w:pPr>
      <w:r w:rsidRPr="00D13CAC">
        <w:t xml:space="preserve">Gerarden </w:t>
      </w:r>
      <w:r w:rsidRPr="00D13CAC">
        <w:rPr>
          <w:i/>
        </w:rPr>
        <w:t>et. Al</w:t>
      </w:r>
      <w:r w:rsidRPr="00D13CAC">
        <w:t>. (2015)</w:t>
      </w:r>
      <w:r w:rsidRPr="00D13CAC" w:rsidDel="000D352A">
        <w:t xml:space="preserve"> </w:t>
      </w:r>
      <w:r>
        <w:t>found</w:t>
      </w:r>
      <w:r w:rsidRPr="00D13CAC">
        <w:t xml:space="preserve"> some evidence that consumer inattention to non</w:t>
      </w:r>
      <w:r w:rsidRPr="00D13CAC">
        <w:noBreakHyphen/>
        <w:t>salient costs affect decisions.</w:t>
      </w:r>
      <w:r w:rsidRPr="00D13CAC">
        <w:rPr>
          <w:rStyle w:val="FootnoteReference"/>
        </w:rPr>
        <w:footnoteReference w:id="152"/>
      </w:r>
      <w:r w:rsidRPr="00D13CAC">
        <w:t xml:space="preserve"> However, most of the research cited relates to consumers rather than businesses.</w:t>
      </w:r>
    </w:p>
    <w:p w14:paraId="3415D528" w14:textId="77777777" w:rsidR="009B4D09" w:rsidRPr="00D13CAC" w:rsidRDefault="009B4D09" w:rsidP="009B4D09">
      <w:pPr>
        <w:pStyle w:val="BodyText"/>
      </w:pPr>
      <w:r w:rsidRPr="00D13CAC">
        <w:t>While there is little direct evidence that inattention to energy costs leads to under</w:t>
      </w:r>
      <w:r w:rsidRPr="00D13CAC">
        <w:noBreakHyphen/>
        <w:t>investment in energy efficiency, it is nonetheless a plausible explanation (particularly for small businesses).</w:t>
      </w:r>
    </w:p>
    <w:p w14:paraId="449F1E3F" w14:textId="77777777" w:rsidR="009B4D09" w:rsidRPr="00D13CAC" w:rsidRDefault="009B4D09" w:rsidP="009B4D09">
      <w:pPr>
        <w:pStyle w:val="Heading7"/>
      </w:pPr>
      <w:bookmarkStart w:id="6443" w:name="_Toc509220804"/>
      <w:bookmarkStart w:id="6444" w:name="_Toc530476925"/>
      <w:r w:rsidRPr="00D13CAC">
        <w:t>Alternative explanations</w:t>
      </w:r>
      <w:bookmarkEnd w:id="6443"/>
      <w:bookmarkEnd w:id="6444"/>
    </w:p>
    <w:p w14:paraId="27583200" w14:textId="77777777" w:rsidR="009B4D09" w:rsidRPr="00D13CAC" w:rsidRDefault="009B4D09" w:rsidP="009B4D09">
      <w:pPr>
        <w:pStyle w:val="BodyText"/>
      </w:pPr>
      <w:r w:rsidRPr="00D13CAC">
        <w:t>As discussed above, the failure of industry (and government) to adopt energy efficiency opportunities that modelling shows is privately cost</w:t>
      </w:r>
      <w:r w:rsidRPr="00D13CAC">
        <w:noBreakHyphen/>
        <w:t>effective is often explained through the market and behavioural failures</w:t>
      </w:r>
      <w:r>
        <w:t xml:space="preserve"> outlined above</w:t>
      </w:r>
      <w:r w:rsidRPr="00D13CAC">
        <w:t>. However, an alternative view in the international literature is that the perceived energy efficiency gap may be much smaller than it appears because the modelling may not always be accurately reflecting the true costs and benefits of energy efficiency measures.</w:t>
      </w:r>
    </w:p>
    <w:p w14:paraId="7D82FF0A" w14:textId="77777777" w:rsidR="009B4D09" w:rsidRPr="00D13CAC" w:rsidRDefault="009B4D09" w:rsidP="009B4D09">
      <w:pPr>
        <w:pStyle w:val="BodyText"/>
      </w:pPr>
      <w:r w:rsidRPr="00D13CAC">
        <w:t>Some of the potential modelling issues identified in the energy efficiency literature include the following:</w:t>
      </w:r>
    </w:p>
    <w:p w14:paraId="257F290E" w14:textId="77777777" w:rsidR="009B4D09" w:rsidRPr="00D13CAC" w:rsidRDefault="009B4D09" w:rsidP="009B4D09">
      <w:pPr>
        <w:pStyle w:val="ListBullet"/>
        <w:tabs>
          <w:tab w:val="num" w:pos="709"/>
        </w:tabs>
        <w:rPr>
          <w:lang w:bidi="fa-IR"/>
        </w:rPr>
      </w:pPr>
      <w:r w:rsidRPr="00D13CAC">
        <w:rPr>
          <w:lang w:bidi="fa-IR"/>
        </w:rPr>
        <w:t>Over</w:t>
      </w:r>
      <w:r w:rsidRPr="00D13CAC">
        <w:rPr>
          <w:lang w:bidi="fa-IR"/>
        </w:rPr>
        <w:noBreakHyphen/>
      </w:r>
      <w:r w:rsidRPr="00E02987">
        <w:rPr>
          <w:lang w:bidi="fa-IR"/>
        </w:rPr>
        <w:t>estimation</w:t>
      </w:r>
      <w:r w:rsidRPr="00D13CAC">
        <w:rPr>
          <w:lang w:bidi="fa-IR"/>
        </w:rPr>
        <w:t xml:space="preserve"> of energy savings — in many CBAs, energy saving estimates are based on engineering estimates, particularly in the case of </w:t>
      </w:r>
      <w:r w:rsidRPr="00DD2B28">
        <w:rPr>
          <w:lang w:bidi="fa-IR"/>
        </w:rPr>
        <w:t>ex</w:t>
      </w:r>
      <w:r w:rsidRPr="00DD2B28">
        <w:rPr>
          <w:lang w:bidi="fa-IR"/>
        </w:rPr>
        <w:noBreakHyphen/>
        <w:t>ante</w:t>
      </w:r>
      <w:r w:rsidRPr="00D13CAC">
        <w:rPr>
          <w:lang w:bidi="fa-IR"/>
        </w:rPr>
        <w:t xml:space="preserve"> CBAs where actual energy saving cannot be observed. There is some evidence that engineering estimates can significantly overstate the energy savings achieved from improved energy efficiency. </w:t>
      </w:r>
      <w:r>
        <w:rPr>
          <w:lang w:bidi="fa-IR"/>
        </w:rPr>
        <w:t>Gerarden et. Al. (2015) noted that s</w:t>
      </w:r>
      <w:r w:rsidRPr="00D13CAC">
        <w:rPr>
          <w:lang w:bidi="fa-IR"/>
        </w:rPr>
        <w:t>tudies that over</w:t>
      </w:r>
      <w:r w:rsidRPr="00D13CAC">
        <w:rPr>
          <w:lang w:bidi="fa-IR"/>
        </w:rPr>
        <w:noBreakHyphen/>
        <w:t xml:space="preserve">estimate energy savings have persisted, despite improvements in </w:t>
      </w:r>
      <w:r w:rsidRPr="00DD2B28">
        <w:rPr>
          <w:lang w:bidi="fa-IR"/>
        </w:rPr>
        <w:t>ex</w:t>
      </w:r>
      <w:r w:rsidRPr="00DD2B28">
        <w:rPr>
          <w:lang w:bidi="fa-IR"/>
        </w:rPr>
        <w:noBreakHyphen/>
        <w:t>ante</w:t>
      </w:r>
      <w:r w:rsidRPr="00D13CAC">
        <w:rPr>
          <w:lang w:bidi="fa-IR"/>
        </w:rPr>
        <w:t xml:space="preserve"> engineering</w:t>
      </w:r>
      <w:r w:rsidRPr="00D13CAC">
        <w:rPr>
          <w:lang w:bidi="fa-IR"/>
        </w:rPr>
        <w:noBreakHyphen/>
        <w:t>economic methods over time.</w:t>
      </w:r>
      <w:r w:rsidRPr="00181940">
        <w:rPr>
          <w:rStyle w:val="FootnoteReference"/>
          <w:lang w:bidi="fa-IR"/>
        </w:rPr>
        <w:footnoteReference w:id="153"/>
      </w:r>
      <w:r w:rsidRPr="00181940">
        <w:rPr>
          <w:rStyle w:val="FootnoteReference"/>
          <w:lang w:bidi="fa-IR"/>
        </w:rPr>
        <w:t xml:space="preserve"> </w:t>
      </w:r>
      <w:r>
        <w:rPr>
          <w:lang w:bidi="fa-IR"/>
        </w:rPr>
        <w:t>A review of more recent evidence suggests that the performance gap remains an ongoing issue, although difficult to quantify (see Appendix C for details).</w:t>
      </w:r>
    </w:p>
    <w:p w14:paraId="1A56D2D5" w14:textId="77777777" w:rsidR="009B4D09" w:rsidRPr="00D13CAC" w:rsidRDefault="009B4D09" w:rsidP="009B4D09">
      <w:pPr>
        <w:pStyle w:val="ListBullet"/>
        <w:tabs>
          <w:tab w:val="num" w:pos="709"/>
        </w:tabs>
        <w:rPr>
          <w:lang w:bidi="fa-IR"/>
        </w:rPr>
      </w:pPr>
      <w:r w:rsidRPr="00D13CAC">
        <w:rPr>
          <w:lang w:bidi="fa-IR"/>
        </w:rPr>
        <w:t>Under</w:t>
      </w:r>
      <w:r w:rsidRPr="00D13CAC">
        <w:rPr>
          <w:lang w:bidi="fa-IR"/>
        </w:rPr>
        <w:noBreakHyphen/>
        <w:t xml:space="preserve">estimation of </w:t>
      </w:r>
      <w:r w:rsidRPr="00E02987">
        <w:rPr>
          <w:lang w:bidi="fa-IR"/>
        </w:rPr>
        <w:t>energy</w:t>
      </w:r>
      <w:r w:rsidRPr="00D13CAC">
        <w:rPr>
          <w:lang w:bidi="fa-IR"/>
        </w:rPr>
        <w:t xml:space="preserve"> efficiency improvements under the base</w:t>
      </w:r>
      <w:r>
        <w:rPr>
          <w:lang w:bidi="fa-IR"/>
        </w:rPr>
        <w:t xml:space="preserve"> case</w:t>
      </w:r>
      <w:r w:rsidRPr="00D13CAC">
        <w:rPr>
          <w:lang w:bidi="fa-IR"/>
        </w:rPr>
        <w:t xml:space="preserve"> scenario — the Productivity Commission has previously noted that policy makers may overstate the potential for regulation to deliver cost-effective improvements in energy efficiency because their assumed business-as-usual improvements in energy efficiency are too pessimistic and fail to anticipate the responsiveness of consumers to future reductions in the prices of energy-efficient products.</w:t>
      </w:r>
      <w:r w:rsidRPr="00D13CAC">
        <w:rPr>
          <w:rStyle w:val="FootnoteReference"/>
        </w:rPr>
        <w:footnoteReference w:id="154"/>
      </w:r>
    </w:p>
    <w:p w14:paraId="0FE2F991" w14:textId="77777777" w:rsidR="009B4D09" w:rsidRPr="00D13CAC" w:rsidRDefault="009B4D09" w:rsidP="009B4D09">
      <w:pPr>
        <w:pStyle w:val="ListBullet"/>
        <w:tabs>
          <w:tab w:val="num" w:pos="709"/>
        </w:tabs>
        <w:rPr>
          <w:lang w:bidi="fa-IR"/>
        </w:rPr>
      </w:pPr>
      <w:r w:rsidRPr="00E02987">
        <w:rPr>
          <w:lang w:bidi="fa-IR"/>
        </w:rPr>
        <w:t>Heterogeneity</w:t>
      </w:r>
      <w:r w:rsidRPr="00D13CAC">
        <w:rPr>
          <w:lang w:bidi="fa-IR"/>
        </w:rPr>
        <w:t xml:space="preserve"> across buildings — investments in energy efficiency that appear privately cost effective for the average consumer (or developer in the case of commercial buildings) may not be cost-effective for some consumers due to different preferences, </w:t>
      </w:r>
      <w:r>
        <w:rPr>
          <w:lang w:bidi="fa-IR"/>
        </w:rPr>
        <w:t>actual</w:t>
      </w:r>
      <w:r w:rsidRPr="00D13CAC">
        <w:rPr>
          <w:lang w:bidi="fa-IR"/>
        </w:rPr>
        <w:t xml:space="preserve"> usage and</w:t>
      </w:r>
      <w:r>
        <w:rPr>
          <w:lang w:bidi="fa-IR"/>
        </w:rPr>
        <w:t>/or</w:t>
      </w:r>
      <w:r w:rsidRPr="00D13CAC">
        <w:rPr>
          <w:lang w:bidi="fa-IR"/>
        </w:rPr>
        <w:t xml:space="preserve"> the cost of </w:t>
      </w:r>
      <w:r>
        <w:rPr>
          <w:lang w:bidi="fa-IR"/>
        </w:rPr>
        <w:t>capital</w:t>
      </w:r>
      <w:r w:rsidRPr="00D13CAC">
        <w:rPr>
          <w:lang w:bidi="fa-IR"/>
        </w:rPr>
        <w:t>.</w:t>
      </w:r>
      <w:r w:rsidRPr="00F37D95">
        <w:rPr>
          <w:rStyle w:val="FootnoteReference"/>
          <w:lang w:bidi="fa-IR"/>
        </w:rPr>
        <w:footnoteReference w:id="155"/>
      </w:r>
    </w:p>
    <w:p w14:paraId="118CEE65" w14:textId="77777777" w:rsidR="009B4D09" w:rsidRPr="00D13CAC" w:rsidRDefault="009B4D09" w:rsidP="009B4D09">
      <w:pPr>
        <w:pStyle w:val="ListBullet"/>
        <w:tabs>
          <w:tab w:val="num" w:pos="709"/>
        </w:tabs>
        <w:rPr>
          <w:lang w:bidi="fa-IR"/>
        </w:rPr>
      </w:pPr>
      <w:r w:rsidRPr="00D13CAC">
        <w:rPr>
          <w:lang w:bidi="fa-IR"/>
        </w:rPr>
        <w:t>Risk and uncertainty — investment in energy efficiency involves some degree of risk or uncertainty, including uncertainty in relation to energy savings and future energy prices.</w:t>
      </w:r>
      <w:r w:rsidRPr="00F37D95">
        <w:rPr>
          <w:rStyle w:val="FootnoteReference"/>
          <w:lang w:bidi="fa-IR"/>
        </w:rPr>
        <w:footnoteReference w:id="156"/>
      </w:r>
      <w:r w:rsidRPr="00F37D95">
        <w:rPr>
          <w:rStyle w:val="FootnoteReference"/>
          <w:lang w:bidi="fa-IR"/>
        </w:rPr>
        <w:t xml:space="preserve"> </w:t>
      </w:r>
      <w:r w:rsidRPr="00D13CAC">
        <w:rPr>
          <w:lang w:bidi="fa-IR"/>
        </w:rPr>
        <w:t>Various studies have noted that risk is a common explanation for firms rejecting the recommendations from energy audits.</w:t>
      </w:r>
      <w:r w:rsidRPr="00F37D95">
        <w:rPr>
          <w:rStyle w:val="FootnoteReference"/>
          <w:lang w:bidi="fa-IR"/>
        </w:rPr>
        <w:footnoteReference w:id="157"/>
      </w:r>
      <w:r w:rsidRPr="00F37D95">
        <w:rPr>
          <w:rStyle w:val="FootnoteReference"/>
          <w:lang w:bidi="fa-IR"/>
        </w:rPr>
        <w:t xml:space="preserve"> </w:t>
      </w:r>
      <w:r w:rsidRPr="00D13CAC">
        <w:rPr>
          <w:lang w:bidi="fa-IR"/>
        </w:rPr>
        <w:t>As noted by the Productivity Commission, if the degree of risk and uncertainty facing producers and consumers is not adequately recognised, estimates of the potential for taking up energy efficiency related investments will be overstated.</w:t>
      </w:r>
      <w:r w:rsidRPr="00F37D95">
        <w:rPr>
          <w:rStyle w:val="FootnoteReference"/>
          <w:lang w:bidi="fa-IR"/>
        </w:rPr>
        <w:footnoteReference w:id="158"/>
      </w:r>
    </w:p>
    <w:p w14:paraId="66A24D70" w14:textId="77777777" w:rsidR="009B4D09" w:rsidRPr="00D13CAC" w:rsidRDefault="009B4D09" w:rsidP="009B4D09">
      <w:pPr>
        <w:pStyle w:val="ListBullet"/>
        <w:tabs>
          <w:tab w:val="num" w:pos="709"/>
        </w:tabs>
        <w:rPr>
          <w:lang w:bidi="fa-IR"/>
        </w:rPr>
      </w:pPr>
      <w:r w:rsidRPr="00D13CAC">
        <w:rPr>
          <w:lang w:bidi="fa-IR"/>
        </w:rPr>
        <w:t>Omitted and under</w:t>
      </w:r>
      <w:r w:rsidRPr="00D13CAC">
        <w:rPr>
          <w:lang w:bidi="fa-IR"/>
        </w:rPr>
        <w:noBreakHyphen/>
        <w:t xml:space="preserve">estimated costs — some studies argue that energy efficiency modelling can often omit </w:t>
      </w:r>
      <w:r>
        <w:rPr>
          <w:lang w:bidi="fa-IR"/>
        </w:rPr>
        <w:t xml:space="preserve">certain </w:t>
      </w:r>
      <w:r w:rsidRPr="00D13CAC">
        <w:rPr>
          <w:lang w:bidi="fa-IR"/>
        </w:rPr>
        <w:t>costs and therefore overstate the net impact of investing in energy efficiency. As noted by the Productivity Commission, well-informed purchasers of non</w:t>
      </w:r>
      <w:r w:rsidRPr="00D13CAC">
        <w:rPr>
          <w:lang w:bidi="fa-IR"/>
        </w:rPr>
        <w:noBreakHyphen/>
        <w:t>residential buildings may want to forgo the energy savings from a building standard because the standard causes more highly valued characteristics to be lost.</w:t>
      </w:r>
      <w:r w:rsidRPr="00F37D95">
        <w:rPr>
          <w:rStyle w:val="FootnoteReference"/>
          <w:lang w:bidi="fa-IR"/>
        </w:rPr>
        <w:footnoteReference w:id="159"/>
      </w:r>
    </w:p>
    <w:p w14:paraId="7B81BD17" w14:textId="77777777" w:rsidR="009B4D09" w:rsidRDefault="009B4D09" w:rsidP="009B4D09">
      <w:pPr>
        <w:pStyle w:val="BodyText"/>
      </w:pPr>
      <w:r w:rsidRPr="00D13CAC">
        <w:t xml:space="preserve">If the apparent energy efficiency gap is due to these modelling issues, regulation could potentially impose a net cost on building owners (energy efficiency investment costs are bigger than the actual energy bill savings). The public benefits of reduced </w:t>
      </w:r>
      <w:r>
        <w:t>GHG</w:t>
      </w:r>
      <w:r w:rsidRPr="00D13CAC">
        <w:t xml:space="preserve"> emissions would therefore need to outweigh these private costs for energy efficiency regulations to deliver a net social benefit (the combined benefits of </w:t>
      </w:r>
      <w:r>
        <w:t>net changes in</w:t>
      </w:r>
      <w:r w:rsidRPr="00D13CAC">
        <w:t xml:space="preserve"> energy bill</w:t>
      </w:r>
      <w:r>
        <w:t>s</w:t>
      </w:r>
      <w:r w:rsidRPr="00D13CAC">
        <w:t xml:space="preserve"> plus reduction in </w:t>
      </w:r>
      <w:r>
        <w:t>GHG</w:t>
      </w:r>
      <w:r w:rsidRPr="00D13CAC">
        <w:t xml:space="preserve"> emissions are larger than the energy efficiency investment costs). </w:t>
      </w:r>
    </w:p>
    <w:p w14:paraId="5EB9BDDB" w14:textId="77777777" w:rsidR="009B4D09" w:rsidRDefault="009B4D09" w:rsidP="009B4D09">
      <w:pPr>
        <w:pStyle w:val="Heading6"/>
        <w:rPr>
          <w:lang w:bidi="fa-IR"/>
        </w:rPr>
      </w:pPr>
      <w:bookmarkStart w:id="6445" w:name="_Ref149038575"/>
      <w:bookmarkStart w:id="6446" w:name="_Toc149060077"/>
      <w:bookmarkStart w:id="6447" w:name="_Toc177735123"/>
      <w:bookmarkStart w:id="6448" w:name="_Toc178292557"/>
      <w:r>
        <w:rPr>
          <w:lang w:bidi="fa-IR"/>
        </w:rPr>
        <w:t>Avoided energy</w:t>
      </w:r>
      <w:r>
        <w:rPr>
          <w:lang w:bidi="fa-IR"/>
        </w:rPr>
        <w:noBreakHyphen/>
        <w:t>related costs</w:t>
      </w:r>
      <w:bookmarkEnd w:id="6445"/>
      <w:bookmarkEnd w:id="6446"/>
      <w:bookmarkEnd w:id="6447"/>
      <w:bookmarkEnd w:id="6448"/>
    </w:p>
    <w:p w14:paraId="16B5524D" w14:textId="77777777" w:rsidR="009B4D09" w:rsidRDefault="009B4D09" w:rsidP="009B4D09">
      <w:pPr>
        <w:pStyle w:val="BodyText"/>
        <w:rPr>
          <w:lang w:bidi="fa-IR"/>
        </w:rPr>
      </w:pPr>
      <w:r>
        <w:rPr>
          <w:lang w:bidi="fa-IR"/>
        </w:rPr>
        <w:t>This appendix details the estimation of energy prices to be used in the impact analysis and the CBA in the main body of the report.</w:t>
      </w:r>
    </w:p>
    <w:p w14:paraId="45232259" w14:textId="77777777" w:rsidR="009B4D09" w:rsidRPr="00EF60E7" w:rsidRDefault="009B4D09" w:rsidP="009B4D09">
      <w:pPr>
        <w:pStyle w:val="Heading7"/>
        <w:rPr>
          <w:lang w:bidi="fa-IR"/>
        </w:rPr>
      </w:pPr>
      <w:r>
        <w:rPr>
          <w:lang w:bidi="fa-IR"/>
        </w:rPr>
        <w:t>Approach to measuring avoided energy costs</w:t>
      </w:r>
    </w:p>
    <w:p w14:paraId="6FE98A05" w14:textId="77777777" w:rsidR="009B4D09" w:rsidRDefault="009B4D09" w:rsidP="009B4D09">
      <w:pPr>
        <w:pStyle w:val="BodyText"/>
        <w:rPr>
          <w:lang w:bidi="fa-IR"/>
        </w:rPr>
      </w:pPr>
      <w:r>
        <w:rPr>
          <w:lang w:bidi="fa-IR"/>
        </w:rPr>
        <w:t>A key issue in CBAs of energy efficiency regulation is the approach to measuring the benefits of the energy saved. Conceptually, CBAs of energy efficiency proposals are seeking to measure avoided resource costs (i.e. the avoided resources such as labour inputs, fuels, generation and transmission infrastructure that would have been used to supply electricity and gas).</w:t>
      </w:r>
    </w:p>
    <w:p w14:paraId="6D60CBEA" w14:textId="77777777" w:rsidR="009B4D09" w:rsidRDefault="009B4D09" w:rsidP="009B4D09">
      <w:pPr>
        <w:pStyle w:val="BodyText"/>
        <w:rPr>
          <w:lang w:bidi="fa-IR"/>
        </w:rPr>
      </w:pPr>
      <w:r>
        <w:rPr>
          <w:lang w:bidi="fa-IR"/>
        </w:rPr>
        <w:t xml:space="preserve">It is important to note that this benefit is in addition to the benefits of a reduction in </w:t>
      </w:r>
      <w:r>
        <w:t xml:space="preserve">GHG </w:t>
      </w:r>
      <w:r w:rsidRPr="00346788">
        <w:rPr>
          <w:lang w:bidi="fa-IR"/>
        </w:rPr>
        <w:t>emissions associated with energy savings. The benefits of emissions reduction may be valued using a SCC or market or shadow price of carbon. The RIS uses an SCC, as discussed above.</w:t>
      </w:r>
    </w:p>
    <w:p w14:paraId="357BB1A4" w14:textId="1ABD5333" w:rsidR="009B4D09" w:rsidRDefault="009B4D09" w:rsidP="009B4D09">
      <w:pPr>
        <w:pStyle w:val="BodyText"/>
        <w:rPr>
          <w:lang w:bidi="fa-IR"/>
        </w:rPr>
      </w:pPr>
      <w:r>
        <w:rPr>
          <w:lang w:bidi="fa-IR"/>
        </w:rPr>
        <w:t xml:space="preserve">There have been various approaches to valuing energy savings used in RISs and CBAs (box </w:t>
      </w:r>
      <w:r>
        <w:rPr>
          <w:lang w:bidi="fa-IR"/>
        </w:rPr>
        <w:fldChar w:fldCharType="begin"/>
      </w:r>
      <w:r>
        <w:rPr>
          <w:lang w:bidi="fa-IR"/>
        </w:rPr>
        <w:instrText xml:space="preserve"> REF _Caption8912 </w:instrText>
      </w:r>
      <w:r>
        <w:rPr>
          <w:lang w:bidi="fa-IR"/>
        </w:rPr>
        <w:fldChar w:fldCharType="separate"/>
      </w:r>
      <w:r w:rsidR="006E00A7">
        <w:rPr>
          <w:noProof/>
        </w:rPr>
        <w:t>B</w:t>
      </w:r>
      <w:r w:rsidR="006E00A7" w:rsidRPr="00B779B1">
        <w:rPr>
          <w:noProof/>
        </w:rPr>
        <w:t>.</w:t>
      </w:r>
      <w:r w:rsidR="006E00A7">
        <w:rPr>
          <w:noProof/>
        </w:rPr>
        <w:t>1</w:t>
      </w:r>
      <w:r>
        <w:rPr>
          <w:lang w:bidi="fa-IR"/>
        </w:rPr>
        <w:fldChar w:fldCharType="end"/>
      </w:r>
      <w:r>
        <w:rPr>
          <w:lang w:bidi="fa-IR"/>
        </w:rPr>
        <w:t>). A standard approach in partial equilibrium analysis (used in most CBAs) is to value avoided resource costs using the market price of goods and services.</w:t>
      </w:r>
    </w:p>
    <w:p w14:paraId="655AAE21" w14:textId="77777777" w:rsidR="009B4D09" w:rsidRPr="00E02987" w:rsidRDefault="009B4D09" w:rsidP="009B4D09">
      <w:pPr>
        <w:pStyle w:val="ListBullet"/>
        <w:tabs>
          <w:tab w:val="num" w:pos="709"/>
        </w:tabs>
        <w:rPr>
          <w:lang w:bidi="fa-IR"/>
        </w:rPr>
      </w:pPr>
      <w:r>
        <w:rPr>
          <w:lang w:bidi="fa-IR"/>
        </w:rPr>
        <w:t xml:space="preserve">In competitive </w:t>
      </w:r>
      <w:r w:rsidRPr="00E02987">
        <w:rPr>
          <w:lang w:bidi="fa-IR"/>
        </w:rPr>
        <w:t>markets, the market price reflects the opportunity cost of the resources used in the production of the good or service at the margin.</w:t>
      </w:r>
    </w:p>
    <w:p w14:paraId="62D701C0" w14:textId="77777777" w:rsidR="009B4D09" w:rsidRDefault="009B4D09" w:rsidP="009B4D09">
      <w:pPr>
        <w:pStyle w:val="ListBullet"/>
        <w:tabs>
          <w:tab w:val="num" w:pos="709"/>
        </w:tabs>
        <w:rPr>
          <w:lang w:bidi="fa-IR"/>
        </w:rPr>
      </w:pPr>
      <w:r w:rsidRPr="00E02987">
        <w:rPr>
          <w:lang w:bidi="fa-IR"/>
        </w:rPr>
        <w:t>From a practical perspective, it is also more convenient to observe the price of a good or service than to estimate the opportunity cost of the inputs used in production. For example, it is easier to measure the market price of a loaf of bread than to measure the value of the labour, avoided capital costs associated with the bakery, the costs associated with growing</w:t>
      </w:r>
      <w:r>
        <w:rPr>
          <w:lang w:bidi="fa-IR"/>
        </w:rPr>
        <w:t xml:space="preserve"> the wheat and milling the flour used in its production.</w:t>
      </w:r>
    </w:p>
    <w:p w14:paraId="6D6B13D0" w14:textId="77777777" w:rsidR="009B4D09" w:rsidRDefault="009B4D09" w:rsidP="009B4D09">
      <w:pPr>
        <w:pStyle w:val="Invisiblepara"/>
      </w:pPr>
    </w:p>
    <w:tbl>
      <w:tblPr>
        <w:tblW w:w="7938" w:type="dxa"/>
        <w:tblBorders>
          <w:top w:val="single" w:sz="2" w:space="0" w:color="auto"/>
          <w:left w:val="single" w:sz="2" w:space="0" w:color="auto"/>
          <w:bottom w:val="single" w:sz="2" w:space="0" w:color="auto"/>
          <w:right w:val="single" w:sz="2" w:space="0" w:color="auto"/>
        </w:tblBorders>
        <w:tblLayout w:type="fixed"/>
        <w:tblCellMar>
          <w:left w:w="142" w:type="dxa"/>
          <w:right w:w="142" w:type="dxa"/>
        </w:tblCellMar>
        <w:tblLook w:val="0000" w:firstRow="0" w:lastRow="0" w:firstColumn="0" w:lastColumn="0" w:noHBand="0" w:noVBand="0"/>
        <w:tblCaption w:val="Box B.1 - Avoided energy costs"/>
      </w:tblPr>
      <w:tblGrid>
        <w:gridCol w:w="7938"/>
      </w:tblGrid>
      <w:tr w:rsidR="009B4D09" w:rsidRPr="00B779B1" w14:paraId="2C3D948A" w14:textId="77777777">
        <w:trPr>
          <w:cantSplit/>
        </w:trPr>
        <w:tc>
          <w:tcPr>
            <w:tcW w:w="7938" w:type="dxa"/>
            <w:tcBorders>
              <w:top w:val="nil"/>
              <w:left w:val="nil"/>
              <w:bottom w:val="nil"/>
              <w:right w:val="nil"/>
            </w:tcBorders>
            <w:shd w:val="clear" w:color="auto" w:fill="C6BFAB" w:themeFill="accent3"/>
          </w:tcPr>
          <w:p w14:paraId="3FE41670" w14:textId="5E11C5B0" w:rsidR="009B4D09" w:rsidRPr="00B779B1" w:rsidRDefault="009B4D09" w:rsidP="009B4D09">
            <w:pPr>
              <w:pStyle w:val="Caption"/>
              <w:spacing w:before="80"/>
            </w:pPr>
            <w:r w:rsidRPr="00B779B1">
              <w:fldChar w:fldCharType="begin"/>
            </w:r>
            <w:r w:rsidRPr="00B779B1">
              <w:instrText xml:space="preserve"> IF 1 = 1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fldSimple w:instr=" STYLEREF &quot;Heading 1&quot; \l \n ">
              <w:r w:rsidRPr="00B779B1">
                <w:instrText>3</w:instrText>
              </w:r>
            </w:fldSimple>
            <w:r w:rsidRPr="00B779B1">
              <w:instrText xml:space="preserve"> = 0 "" "</w:instrText>
            </w:r>
            <w:fldSimple w:instr=" STYLEREF &quot;Heading 1&quot; \l \n ">
              <w:r w:rsidRPr="00B779B1">
                <w:instrText>3</w:instrText>
              </w:r>
            </w:fldSimple>
            <w:r w:rsidRPr="00B779B1">
              <w:instrText xml:space="preserve">." </w:instrText>
            </w:r>
            <w:r w:rsidRPr="00B779B1">
              <w:fldChar w:fldCharType="separate"/>
            </w:r>
            <w:r w:rsidRPr="00B779B1">
              <w:instrText>3.</w:instrText>
            </w:r>
            <w:r w:rsidRPr="00B779B1">
              <w:fldChar w:fldCharType="end"/>
            </w:r>
            <w:r w:rsidRPr="00B779B1">
              <w:instrText>" "</w:instrText>
            </w:r>
            <w:fldSimple w:instr=" STYLEREF &quot;Heading 6&quot; \l \n ">
              <w:r w:rsidR="00520F9E">
                <w:rPr>
                  <w:noProof/>
                </w:rPr>
                <w:instrText>B</w:instrText>
              </w:r>
            </w:fldSimple>
            <w:r w:rsidRPr="00B779B1">
              <w:instrText xml:space="preserve">." </w:instrText>
            </w:r>
            <w:r w:rsidRPr="00B779B1">
              <w:fldChar w:fldCharType="separate"/>
            </w:r>
            <w:r w:rsidR="00520F9E">
              <w:rPr>
                <w:noProof/>
              </w:rPr>
              <w:instrText>B</w:instrText>
            </w:r>
            <w:r w:rsidR="00520F9E" w:rsidRPr="00B779B1">
              <w:rPr>
                <w:noProof/>
              </w:rPr>
              <w:instrText>.</w:instrText>
            </w:r>
            <w:r w:rsidRPr="00B779B1">
              <w:fldChar w:fldCharType="end"/>
            </w:r>
            <w:r w:rsidRPr="00B779B1">
              <w:fldChar w:fldCharType="begin"/>
            </w:r>
            <w:r w:rsidRPr="00B779B1">
              <w:instrText xml:space="preserve"> SEQ Item \* ARABIC \s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fldSimple w:instr=" STYLEREF &quot;Heading 1&quot; \l \n ">
              <w:r w:rsidRPr="00B779B1">
                <w:instrText>3</w:instrText>
              </w:r>
            </w:fldSimple>
            <w:r w:rsidRPr="00B779B1">
              <w:instrText xml:space="preserve"> = 0 "" "1" </w:instrText>
            </w:r>
            <w:r w:rsidRPr="00B779B1">
              <w:fldChar w:fldCharType="separate"/>
            </w:r>
            <w:r w:rsidRPr="00B779B1">
              <w:instrText>1</w:instrText>
            </w:r>
            <w:r w:rsidRPr="00B779B1">
              <w:fldChar w:fldCharType="end"/>
            </w:r>
            <w:r w:rsidRPr="00B779B1">
              <w:instrText xml:space="preserve">" "6" </w:instrText>
            </w:r>
            <w:r w:rsidRPr="00B779B1">
              <w:fldChar w:fldCharType="separate"/>
            </w:r>
            <w:r w:rsidR="00520F9E" w:rsidRPr="00B779B1">
              <w:rPr>
                <w:noProof/>
              </w:rPr>
              <w:instrText>6</w:instrText>
            </w:r>
            <w:r w:rsidRPr="00B779B1">
              <w:fldChar w:fldCharType="end"/>
            </w:r>
            <w:r w:rsidRPr="00B779B1">
              <w:instrText xml:space="preserve"> </w:instrText>
            </w:r>
            <w:r w:rsidRPr="00B779B1">
              <w:fldChar w:fldCharType="separate"/>
            </w:r>
            <w:r w:rsidR="00520F9E">
              <w:rPr>
                <w:noProof/>
              </w:rPr>
              <w:instrText>1</w:instrText>
            </w:r>
            <w:r w:rsidRPr="00B779B1">
              <w:fldChar w:fldCharType="end"/>
            </w:r>
            <w:r w:rsidRPr="00B779B1">
              <w:instrText xml:space="preserve">" "" </w:instrText>
            </w:r>
            <w:r w:rsidRPr="00B779B1">
              <w:fldChar w:fldCharType="separate"/>
            </w:r>
            <w:bookmarkStart w:id="6449" w:name="_Caption1536"/>
            <w:bookmarkStart w:id="6450" w:name="_Caption8928"/>
            <w:bookmarkStart w:id="6451" w:name="_Caption6430"/>
            <w:bookmarkStart w:id="6452" w:name="_Caption1909"/>
            <w:bookmarkStart w:id="6453" w:name="_Caption3197"/>
            <w:bookmarkStart w:id="6454" w:name="_Caption5731"/>
            <w:bookmarkStart w:id="6455" w:name="_Caption7130"/>
            <w:bookmarkStart w:id="6456" w:name="_Caption6084"/>
            <w:bookmarkStart w:id="6457" w:name="_Caption1549"/>
            <w:bookmarkStart w:id="6458" w:name="_Caption1018"/>
            <w:bookmarkStart w:id="6459" w:name="_Caption7842"/>
            <w:bookmarkStart w:id="6460" w:name="_Caption5856"/>
            <w:bookmarkStart w:id="6461" w:name="_Caption0327"/>
            <w:bookmarkStart w:id="6462" w:name="_Caption0966"/>
            <w:bookmarkStart w:id="6463" w:name="_Caption8912"/>
            <w:bookmarkStart w:id="6464" w:name="_Caption1827"/>
            <w:bookmarkStart w:id="6465" w:name="_Caption6102"/>
            <w:bookmarkStart w:id="6466" w:name="_Caption0547"/>
            <w:bookmarkStart w:id="6467" w:name="_Caption7436"/>
            <w:bookmarkStart w:id="6468" w:name="_Caption1870"/>
            <w:bookmarkStart w:id="6469" w:name="_Caption8129"/>
            <w:bookmarkStart w:id="6470" w:name="_Caption4190"/>
            <w:bookmarkStart w:id="6471" w:name="_Caption4809"/>
            <w:bookmarkStart w:id="6472" w:name="_Caption5739"/>
            <w:bookmarkStart w:id="6473" w:name="_Caption0315"/>
            <w:bookmarkStart w:id="6474" w:name="_Caption4513"/>
            <w:bookmarkStart w:id="6475" w:name="_Caption8429"/>
            <w:bookmarkStart w:id="6476" w:name="_Caption9302"/>
            <w:bookmarkStart w:id="6477" w:name="_Caption6038"/>
            <w:bookmarkStart w:id="6478" w:name="_Caption4125"/>
            <w:bookmarkStart w:id="6479" w:name="_Caption8671"/>
            <w:bookmarkStart w:id="6480" w:name="_Caption8827"/>
            <w:bookmarkStart w:id="6481" w:name="_Caption3856"/>
            <w:bookmarkStart w:id="6482" w:name="_Caption7034"/>
            <w:bookmarkStart w:id="6483" w:name="_Caption5164"/>
            <w:bookmarkStart w:id="6484" w:name="_Caption0877"/>
            <w:bookmarkStart w:id="6485" w:name="_Caption4420"/>
            <w:bookmarkStart w:id="6486" w:name="_Caption0182"/>
            <w:bookmarkStart w:id="6487" w:name="_Caption3665"/>
            <w:bookmarkStart w:id="6488" w:name="_Caption9004"/>
            <w:bookmarkStart w:id="6489" w:name="_Caption7472"/>
            <w:bookmarkStart w:id="6490" w:name="_Caption7561"/>
            <w:bookmarkStart w:id="6491" w:name="_Caption8817"/>
            <w:bookmarkStart w:id="6492" w:name="_Caption7674"/>
            <w:bookmarkStart w:id="6493" w:name="_Caption4095"/>
            <w:bookmarkStart w:id="6494" w:name="_Caption3272"/>
            <w:bookmarkStart w:id="6495" w:name="_Caption5325"/>
            <w:bookmarkStart w:id="6496" w:name="_Caption9752"/>
            <w:bookmarkStart w:id="6497" w:name="_Caption1515"/>
            <w:bookmarkStart w:id="6498" w:name="_Caption8011"/>
            <w:bookmarkStart w:id="6499" w:name="_Caption3096"/>
            <w:bookmarkStart w:id="6500" w:name="_Caption4806"/>
            <w:bookmarkStart w:id="6501" w:name="_Caption1506"/>
            <w:bookmarkStart w:id="6502" w:name="_Caption0975"/>
            <w:bookmarkStart w:id="6503" w:name="_Caption4870"/>
            <w:bookmarkStart w:id="6504" w:name="_Caption8784"/>
            <w:bookmarkStart w:id="6505" w:name="_Caption6058"/>
            <w:bookmarkStart w:id="6506" w:name="_Caption8570"/>
            <w:bookmarkStart w:id="6507" w:name="_Caption7752"/>
            <w:bookmarkStart w:id="6508" w:name="_Caption0136"/>
            <w:bookmarkStart w:id="6509" w:name="_Caption3834"/>
            <w:bookmarkStart w:id="6510" w:name="_Caption2501"/>
            <w:bookmarkStart w:id="6511" w:name="_Caption4411"/>
            <w:bookmarkStart w:id="6512" w:name="_Caption3108"/>
            <w:bookmarkStart w:id="6513" w:name="_Caption9593"/>
            <w:bookmarkStart w:id="6514" w:name="_Caption7738"/>
            <w:bookmarkStart w:id="6515" w:name="_Caption3410"/>
            <w:bookmarkStart w:id="6516" w:name="_Caption2569"/>
            <w:bookmarkStart w:id="6517" w:name="_Caption6048"/>
            <w:bookmarkStart w:id="6518" w:name="_Caption1379"/>
            <w:bookmarkStart w:id="6519" w:name="_Caption9616"/>
            <w:bookmarkStart w:id="6520" w:name="_Caption8058"/>
            <w:bookmarkStart w:id="6521" w:name="_Caption5590"/>
            <w:bookmarkStart w:id="6522" w:name="_Caption9637"/>
            <w:bookmarkStart w:id="6523" w:name="_Caption1220"/>
            <w:bookmarkStart w:id="6524" w:name="_Caption2889"/>
            <w:bookmarkStart w:id="6525" w:name="_Caption6797"/>
            <w:bookmarkStart w:id="6526" w:name="_Caption6907"/>
            <w:bookmarkStart w:id="6527" w:name="_Caption8346"/>
            <w:bookmarkStart w:id="6528" w:name="_Caption2207"/>
            <w:bookmarkStart w:id="6529" w:name="_Caption9358"/>
            <w:bookmarkStart w:id="6530" w:name="_Caption0391"/>
            <w:bookmarkStart w:id="6531" w:name="_Caption3703"/>
            <w:bookmarkStart w:id="6532" w:name="_Caption5133"/>
            <w:bookmarkStart w:id="6533" w:name="_Caption1890"/>
            <w:bookmarkStart w:id="6534" w:name="_Caption9080"/>
            <w:bookmarkStart w:id="6535" w:name="_Caption3046"/>
            <w:bookmarkStart w:id="6536" w:name="_Caption2711"/>
            <w:bookmarkStart w:id="6537" w:name="_Caption1759"/>
            <w:bookmarkStart w:id="6538" w:name="_Caption0018"/>
            <w:bookmarkStart w:id="6539" w:name="_Caption7417"/>
            <w:bookmarkStart w:id="6540" w:name="_Caption6379"/>
            <w:bookmarkStart w:id="6541" w:name="_Caption5895"/>
            <w:bookmarkStart w:id="6542" w:name="_Caption3069"/>
            <w:bookmarkStart w:id="6543" w:name="_Caption0090"/>
            <w:bookmarkStart w:id="6544" w:name="_Caption7964"/>
            <w:bookmarkStart w:id="6545" w:name="_Caption2161"/>
            <w:bookmarkStart w:id="6546" w:name="_Caption5649"/>
            <w:bookmarkStart w:id="6547" w:name="_Caption4165"/>
            <w:bookmarkStart w:id="6548" w:name="_Caption4227"/>
            <w:bookmarkStart w:id="6549" w:name="_Caption5278"/>
            <w:bookmarkStart w:id="6550" w:name="_Caption9170"/>
            <w:bookmarkStart w:id="6551" w:name="_Caption4855"/>
            <w:bookmarkStart w:id="6552" w:name="_Caption8603"/>
            <w:bookmarkStart w:id="6553" w:name="_Caption1699"/>
            <w:bookmarkStart w:id="6554" w:name="_Caption7581"/>
            <w:bookmarkStart w:id="6555" w:name="_Caption0334"/>
            <w:bookmarkStart w:id="6556" w:name="_Caption6729"/>
            <w:bookmarkStart w:id="6557" w:name="_Caption7060"/>
            <w:bookmarkStart w:id="6558" w:name="_Caption2336"/>
            <w:bookmarkStart w:id="6559" w:name="_Caption9914"/>
            <w:bookmarkStart w:id="6560" w:name="_Caption7202"/>
            <w:bookmarkStart w:id="6561" w:name="_Caption1130"/>
            <w:bookmarkStart w:id="6562" w:name="_Caption2061"/>
            <w:bookmarkStart w:id="6563" w:name="_Caption4928"/>
            <w:bookmarkStart w:id="6564" w:name="_Caption4762"/>
            <w:bookmarkStart w:id="6565" w:name="_Caption8098"/>
            <w:bookmarkStart w:id="6566" w:name="_Caption6401"/>
            <w:bookmarkStart w:id="6567" w:name="_Caption7079"/>
            <w:bookmarkStart w:id="6568" w:name="_Caption0970"/>
            <w:bookmarkStart w:id="6569" w:name="_Caption8046"/>
            <w:bookmarkStart w:id="6570" w:name="_Caption4072"/>
            <w:bookmarkStart w:id="6571" w:name="_Caption5434"/>
            <w:bookmarkStart w:id="6572" w:name="_Caption5720"/>
            <w:bookmarkStart w:id="6573" w:name="_Caption1195"/>
            <w:bookmarkStart w:id="6574" w:name="_Caption3854"/>
            <w:bookmarkStart w:id="6575" w:name="_Caption0743"/>
            <w:bookmarkStart w:id="6576" w:name="_Caption5407"/>
            <w:bookmarkStart w:id="6577" w:name="_Caption6233"/>
            <w:bookmarkStart w:id="6578" w:name="_Caption2584"/>
            <w:bookmarkStart w:id="6579" w:name="_Caption3931"/>
            <w:bookmarkStart w:id="6580" w:name="_Caption9923"/>
            <w:bookmarkStart w:id="6581" w:name="_Caption6841"/>
            <w:bookmarkStart w:id="6582" w:name="_Caption5063"/>
            <w:bookmarkStart w:id="6583" w:name="_Caption2565"/>
            <w:bookmarkStart w:id="6584" w:name="_Caption1786"/>
            <w:bookmarkStart w:id="6585" w:name="_Caption1011"/>
            <w:bookmarkStart w:id="6586" w:name="_Caption3360"/>
            <w:bookmarkStart w:id="6587" w:name="_Caption1199"/>
            <w:bookmarkStart w:id="6588" w:name="_Caption9581"/>
            <w:bookmarkStart w:id="6589" w:name="_Caption5997"/>
            <w:bookmarkStart w:id="6590" w:name="_Caption9781"/>
            <w:bookmarkStart w:id="6591" w:name="_Caption8121"/>
            <w:bookmarkStart w:id="6592" w:name="_Caption0902"/>
            <w:bookmarkStart w:id="6593" w:name="_Caption9623"/>
            <w:bookmarkStart w:id="6594" w:name="_Caption3141"/>
            <w:bookmarkStart w:id="6595" w:name="_Caption3114"/>
            <w:bookmarkStart w:id="6596" w:name="_Caption0028"/>
            <w:bookmarkStart w:id="6597" w:name="_Caption9386"/>
            <w:bookmarkStart w:id="6598" w:name="_Caption3853"/>
            <w:bookmarkStart w:id="6599" w:name="_Caption8646"/>
            <w:bookmarkStart w:id="6600" w:name="_Caption3838"/>
            <w:bookmarkStart w:id="6601" w:name="_Caption8301"/>
            <w:bookmarkStart w:id="6602" w:name="_Caption8712"/>
            <w:bookmarkStart w:id="6603" w:name="_Caption8578"/>
            <w:bookmarkStart w:id="6604" w:name="_Caption9566"/>
            <w:bookmarkStart w:id="6605" w:name="_Caption4787"/>
            <w:bookmarkStart w:id="6606" w:name="_Caption7263"/>
            <w:bookmarkStart w:id="6607" w:name="_Caption8816"/>
            <w:bookmarkStart w:id="6608" w:name="_Toc136527072"/>
            <w:bookmarkStart w:id="6609" w:name="_Toc149060086"/>
            <w:bookmarkStart w:id="6610" w:name="_Toc177735206"/>
            <w:bookmarkStart w:id="6611" w:name="_Toc178292643"/>
            <w:r w:rsidR="008C60A3">
              <w:rPr>
                <w:noProof/>
              </w:rPr>
              <w:t>B</w:t>
            </w:r>
            <w:r w:rsidR="008C60A3" w:rsidRPr="00B779B1">
              <w:rPr>
                <w:noProof/>
              </w:rPr>
              <w:t>.</w:t>
            </w:r>
            <w:r w:rsidR="008C60A3">
              <w:rPr>
                <w:noProof/>
              </w:rPr>
              <w:t>1</w:t>
            </w:r>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r w:rsidRPr="00B779B1">
              <w:fldChar w:fldCharType="end"/>
            </w:r>
            <w:r w:rsidRPr="00B779B1">
              <w:tab/>
              <w:t>Avoided energy costs</w:t>
            </w:r>
            <w:bookmarkEnd w:id="6608"/>
            <w:bookmarkEnd w:id="6609"/>
            <w:bookmarkEnd w:id="6610"/>
            <w:bookmarkEnd w:id="6611"/>
          </w:p>
        </w:tc>
      </w:tr>
      <w:tr w:rsidR="009B4D09" w14:paraId="621412DF" w14:textId="77777777">
        <w:tblPrEx>
          <w:tblBorders>
            <w:top w:val="none" w:sz="0" w:space="0" w:color="auto"/>
            <w:left w:val="none" w:sz="0" w:space="0" w:color="auto"/>
            <w:bottom w:val="none" w:sz="0" w:space="0" w:color="auto"/>
            <w:right w:val="none" w:sz="0" w:space="0" w:color="auto"/>
          </w:tblBorders>
          <w:shd w:val="clear" w:color="6F6652" w:fill="F1EFEA"/>
        </w:tblPrEx>
        <w:trPr>
          <w:cantSplit/>
        </w:trPr>
        <w:tc>
          <w:tcPr>
            <w:tcW w:w="7938" w:type="dxa"/>
            <w:shd w:val="clear" w:color="auto" w:fill="E9E8E5" w:themeFill="background2"/>
          </w:tcPr>
          <w:p w14:paraId="51784168" w14:textId="77777777" w:rsidR="009B4D09" w:rsidRDefault="009B4D09">
            <w:pPr>
              <w:pStyle w:val="BodyText"/>
              <w:rPr>
                <w:lang w:bidi="fa-IR"/>
              </w:rPr>
            </w:pPr>
            <w:r>
              <w:rPr>
                <w:lang w:bidi="fa-IR"/>
              </w:rPr>
              <w:t>As has been discussed elsewhere, there are fundamentally two ways that reduced resource costs to supply electricity and gas have been measured in CBAs:</w:t>
            </w:r>
          </w:p>
          <w:p w14:paraId="0D72135E" w14:textId="77777777" w:rsidR="009B4D09" w:rsidRPr="00E02987" w:rsidRDefault="009B4D09" w:rsidP="009B4D09">
            <w:pPr>
              <w:pStyle w:val="ListBullet"/>
              <w:tabs>
                <w:tab w:val="num" w:pos="423"/>
              </w:tabs>
              <w:ind w:left="282" w:hanging="282"/>
            </w:pPr>
            <w:r>
              <w:rPr>
                <w:lang w:bidi="fa-IR"/>
              </w:rPr>
              <w:t xml:space="preserve">The retail price approach — </w:t>
            </w:r>
            <w:r w:rsidRPr="00E02987">
              <w:t>under this approach, energy savings are valued using the retail price. The retail price captures all the components of supply, such as generation, transmission, distribution and retailer costs</w:t>
            </w:r>
          </w:p>
          <w:p w14:paraId="6C5DB5CB" w14:textId="77777777" w:rsidR="009B4D09" w:rsidRPr="00BF2F67" w:rsidRDefault="009B4D09" w:rsidP="009B4D09">
            <w:pPr>
              <w:pStyle w:val="ListBullet"/>
              <w:tabs>
                <w:tab w:val="num" w:pos="423"/>
              </w:tabs>
              <w:ind w:left="282" w:hanging="282"/>
            </w:pPr>
            <w:r w:rsidRPr="00E02987">
              <w:rPr>
                <w:lang w:bidi="fa-IR"/>
              </w:rPr>
              <w:t>The ‘capacity and energy approach’ — in general, this approach involves assessing to what extent avoided energy consumption reduces the need for investment in energy generation and energy network capacity</w:t>
            </w:r>
            <w:r>
              <w:rPr>
                <w:lang w:bidi="fa-IR"/>
              </w:rPr>
              <w:t>.</w:t>
            </w:r>
          </w:p>
        </w:tc>
      </w:tr>
      <w:tr w:rsidR="009B4D09" w14:paraId="1D732C97" w14:textId="77777777">
        <w:tblPrEx>
          <w:tblBorders>
            <w:top w:val="none" w:sz="0" w:space="0" w:color="auto"/>
            <w:left w:val="none" w:sz="0" w:space="0" w:color="auto"/>
            <w:bottom w:val="none" w:sz="0" w:space="0" w:color="auto"/>
            <w:right w:val="none" w:sz="0" w:space="0" w:color="auto"/>
          </w:tblBorders>
          <w:shd w:val="clear" w:color="6F6652" w:fill="F1EFEA"/>
        </w:tblPrEx>
        <w:trPr>
          <w:cantSplit/>
          <w:trHeight w:hRule="exact" w:val="142"/>
        </w:trPr>
        <w:tc>
          <w:tcPr>
            <w:tcW w:w="7938" w:type="dxa"/>
            <w:tcBorders>
              <w:bottom w:val="single" w:sz="6" w:space="0" w:color="9B917E" w:themeColor="accent4"/>
            </w:tcBorders>
            <w:shd w:val="clear" w:color="auto" w:fill="E9E8E5" w:themeFill="background2"/>
          </w:tcPr>
          <w:p w14:paraId="3724E508" w14:textId="77777777" w:rsidR="009B4D09" w:rsidRDefault="009B4D09"/>
        </w:tc>
      </w:tr>
    </w:tbl>
    <w:p w14:paraId="668257AC" w14:textId="77777777" w:rsidR="009B4D09" w:rsidRDefault="009B4D09" w:rsidP="009B4D09">
      <w:pPr>
        <w:pStyle w:val="BodyText"/>
        <w:rPr>
          <w:lang w:bidi="fa-IR"/>
        </w:rPr>
      </w:pPr>
      <w:r>
        <w:rPr>
          <w:lang w:bidi="fa-IR"/>
        </w:rPr>
        <w:t xml:space="preserve">In the context of avoided electricity costs, applying this general principle would lead to the </w:t>
      </w:r>
      <w:r w:rsidRPr="004879BD">
        <w:rPr>
          <w:b/>
          <w:bCs/>
          <w:lang w:bidi="fa-IR"/>
        </w:rPr>
        <w:t>retail price approach</w:t>
      </w:r>
      <w:r>
        <w:rPr>
          <w:lang w:bidi="fa-IR"/>
        </w:rPr>
        <w:t>. However, there would be a case for adjustment if some components of the retail price are:</w:t>
      </w:r>
    </w:p>
    <w:p w14:paraId="316A51E1" w14:textId="77777777" w:rsidR="009B4D09" w:rsidRDefault="009B4D09" w:rsidP="009B4D09">
      <w:pPr>
        <w:pStyle w:val="ListBullet"/>
        <w:tabs>
          <w:tab w:val="num" w:pos="709"/>
        </w:tabs>
        <w:rPr>
          <w:lang w:bidi="fa-IR"/>
        </w:rPr>
      </w:pPr>
      <w:r>
        <w:rPr>
          <w:lang w:bidi="fa-IR"/>
        </w:rPr>
        <w:t>fixed (for example charged based on the days of connection) rather than relating to the energy consumption; or</w:t>
      </w:r>
    </w:p>
    <w:p w14:paraId="56D3E9E5" w14:textId="77777777" w:rsidR="009B4D09" w:rsidRPr="00E02987" w:rsidRDefault="009B4D09" w:rsidP="009B4D09">
      <w:pPr>
        <w:pStyle w:val="ListBullet"/>
        <w:tabs>
          <w:tab w:val="num" w:pos="709"/>
        </w:tabs>
        <w:rPr>
          <w:lang w:bidi="fa-IR"/>
        </w:rPr>
      </w:pPr>
      <w:r w:rsidRPr="00E02987">
        <w:rPr>
          <w:lang w:bidi="fa-IR"/>
        </w:rPr>
        <w:t>likely included in other benefits of energy saving (for example some costs related to climate change policies) to avoid double counting.</w:t>
      </w:r>
    </w:p>
    <w:p w14:paraId="1AC0E922" w14:textId="77777777" w:rsidR="009B4D09" w:rsidRDefault="009B4D09" w:rsidP="009B4D09">
      <w:pPr>
        <w:pStyle w:val="BodyText"/>
        <w:rPr>
          <w:lang w:bidi="fa-IR"/>
        </w:rPr>
      </w:pPr>
      <w:r>
        <w:rPr>
          <w:lang w:bidi="fa-IR"/>
        </w:rPr>
        <w:t>We therefore use market (or regulated) prices to value the avoided costs associated with lower energy consumption from more stringent minimum energy efficiency standards for commercial buildings, with some adjustment for fixed charges and avoiding double counting (discussed in more details below).</w:t>
      </w:r>
    </w:p>
    <w:p w14:paraId="75BC8940" w14:textId="77777777" w:rsidR="009B4D09" w:rsidRDefault="009B4D09" w:rsidP="009B4D09">
      <w:pPr>
        <w:pStyle w:val="BodyText"/>
      </w:pPr>
      <w:r>
        <w:t>To ensure the analysis is manageable, we use average energy prices for each jurisdiction or climate zone (where data are available), incorporating relevant weights, in the central case CBA. Furthermore, considering the wide range of tariffs as detailed further in the following discussions and substantial uncertainties around the energy price projections in the future, we will consider different energy prices during the sensitivity analysis.</w:t>
      </w:r>
    </w:p>
    <w:p w14:paraId="5CEA5C87" w14:textId="77777777" w:rsidR="009B4D09" w:rsidRDefault="009B4D09" w:rsidP="009B4D09">
      <w:pPr>
        <w:pStyle w:val="Heading7"/>
        <w:rPr>
          <w:lang w:bidi="fa-IR"/>
        </w:rPr>
      </w:pPr>
      <w:r>
        <w:rPr>
          <w:lang w:bidi="fa-IR"/>
        </w:rPr>
        <w:t>Components of electricity prices</w:t>
      </w:r>
    </w:p>
    <w:p w14:paraId="25EC7FAF" w14:textId="77777777" w:rsidR="009B4D09" w:rsidRDefault="009B4D09" w:rsidP="009B4D09">
      <w:pPr>
        <w:pStyle w:val="BodyText"/>
      </w:pPr>
      <w:r>
        <w:t>According to the</w:t>
      </w:r>
      <w:r w:rsidRPr="001511B2">
        <w:t xml:space="preserve"> Australian Competition and Consumer Commission</w:t>
      </w:r>
      <w:r>
        <w:t xml:space="preserve"> (ACCC), the retail price of electricity includes the following components:</w:t>
      </w:r>
      <w:r>
        <w:rPr>
          <w:rStyle w:val="FootnoteReference"/>
        </w:rPr>
        <w:footnoteReference w:id="160"/>
      </w:r>
    </w:p>
    <w:p w14:paraId="7CEB31D7" w14:textId="77777777" w:rsidR="009B4D09" w:rsidRPr="00E02987" w:rsidRDefault="009B4D09" w:rsidP="009B4D09">
      <w:pPr>
        <w:pStyle w:val="ListBullet"/>
        <w:tabs>
          <w:tab w:val="num" w:pos="709"/>
        </w:tabs>
        <w:rPr>
          <w:lang w:bidi="fa-IR"/>
        </w:rPr>
      </w:pPr>
      <w:r>
        <w:rPr>
          <w:lang w:bidi="fa-IR"/>
        </w:rPr>
        <w:t>generation</w:t>
      </w:r>
      <w:r w:rsidRPr="00E02987">
        <w:rPr>
          <w:lang w:bidi="fa-IR"/>
        </w:rPr>
        <w:t xml:space="preserve"> costs (also referred to as energy costs);</w:t>
      </w:r>
    </w:p>
    <w:p w14:paraId="65E3FA11" w14:textId="77777777" w:rsidR="009B4D09" w:rsidRPr="00E02987" w:rsidRDefault="009B4D09" w:rsidP="009B4D09">
      <w:pPr>
        <w:pStyle w:val="ListBullet"/>
        <w:tabs>
          <w:tab w:val="num" w:pos="709"/>
        </w:tabs>
        <w:rPr>
          <w:lang w:bidi="fa-IR"/>
        </w:rPr>
      </w:pPr>
      <w:r w:rsidRPr="00E02987">
        <w:rPr>
          <w:lang w:bidi="fa-IR"/>
        </w:rPr>
        <w:t>network costs</w:t>
      </w:r>
    </w:p>
    <w:p w14:paraId="75FD4CD8" w14:textId="77777777" w:rsidR="009B4D09" w:rsidRPr="00E02987" w:rsidRDefault="009B4D09" w:rsidP="009B4D09">
      <w:pPr>
        <w:pStyle w:val="ListBullet"/>
        <w:tabs>
          <w:tab w:val="num" w:pos="709"/>
        </w:tabs>
        <w:rPr>
          <w:lang w:bidi="fa-IR"/>
        </w:rPr>
      </w:pPr>
      <w:r w:rsidRPr="00E02987">
        <w:rPr>
          <w:lang w:bidi="fa-IR"/>
        </w:rPr>
        <w:t>environmental costs</w:t>
      </w:r>
    </w:p>
    <w:p w14:paraId="1179DF2D" w14:textId="77777777" w:rsidR="009B4D09" w:rsidRPr="00E02987" w:rsidRDefault="009B4D09" w:rsidP="009B4D09">
      <w:pPr>
        <w:pStyle w:val="ListBullet"/>
        <w:tabs>
          <w:tab w:val="num" w:pos="709"/>
        </w:tabs>
        <w:rPr>
          <w:lang w:bidi="fa-IR"/>
        </w:rPr>
      </w:pPr>
      <w:r w:rsidRPr="00E02987">
        <w:rPr>
          <w:lang w:bidi="fa-IR"/>
        </w:rPr>
        <w:t>retail and other costs</w:t>
      </w:r>
      <w:r>
        <w:rPr>
          <w:lang w:bidi="fa-IR"/>
        </w:rPr>
        <w:t>,</w:t>
      </w:r>
      <w:r w:rsidRPr="00E02987">
        <w:rPr>
          <w:lang w:bidi="fa-IR"/>
        </w:rPr>
        <w:t xml:space="preserve"> and</w:t>
      </w:r>
    </w:p>
    <w:p w14:paraId="0B73799F" w14:textId="77777777" w:rsidR="009B4D09" w:rsidRPr="00E02987" w:rsidRDefault="009B4D09" w:rsidP="009B4D09">
      <w:pPr>
        <w:pStyle w:val="ListBullet"/>
        <w:tabs>
          <w:tab w:val="num" w:pos="709"/>
        </w:tabs>
        <w:rPr>
          <w:lang w:bidi="fa-IR"/>
        </w:rPr>
      </w:pPr>
      <w:r w:rsidRPr="00E02987">
        <w:rPr>
          <w:lang w:bidi="fa-IR"/>
        </w:rPr>
        <w:t>retail margins.</w:t>
      </w:r>
    </w:p>
    <w:p w14:paraId="680D8C0C" w14:textId="77777777" w:rsidR="009B4D09" w:rsidRDefault="009B4D09" w:rsidP="009B4D09">
      <w:pPr>
        <w:pStyle w:val="BodyText"/>
        <w:rPr>
          <w:lang w:bidi="fa-IR"/>
        </w:rPr>
      </w:pPr>
      <w:r>
        <w:rPr>
          <w:lang w:bidi="fa-IR"/>
        </w:rPr>
        <w:t>We will further discuss these components below, delving into their inclusion/exclusion and estimation with greater detail.</w:t>
      </w:r>
    </w:p>
    <w:p w14:paraId="6AC2868B" w14:textId="77777777" w:rsidR="009B4D09" w:rsidRDefault="009B4D09" w:rsidP="009B4D09">
      <w:pPr>
        <w:pStyle w:val="Heading8"/>
        <w:rPr>
          <w:lang w:bidi="fa-IR"/>
        </w:rPr>
      </w:pPr>
      <w:r>
        <w:rPr>
          <w:lang w:bidi="fa-IR"/>
        </w:rPr>
        <w:t>Generation costs</w:t>
      </w:r>
    </w:p>
    <w:p w14:paraId="43B068B3" w14:textId="77777777" w:rsidR="009B4D09" w:rsidRDefault="009B4D09" w:rsidP="009B4D09">
      <w:pPr>
        <w:pStyle w:val="BodyText"/>
        <w:rPr>
          <w:lang w:bidi="fa-IR"/>
        </w:rPr>
      </w:pPr>
      <w:r>
        <w:rPr>
          <w:lang w:bidi="fa-IR"/>
        </w:rPr>
        <w:t>The wholesale market is the most competitive segment of the electricity supply chain and therefore market prices are a reasonable indicator of the marginal cost of generation.</w:t>
      </w:r>
    </w:p>
    <w:p w14:paraId="61AD6B93" w14:textId="77777777" w:rsidR="009B4D09" w:rsidRDefault="009B4D09" w:rsidP="009B4D09">
      <w:pPr>
        <w:pStyle w:val="BodyText"/>
        <w:rPr>
          <w:lang w:bidi="fa-IR"/>
        </w:rPr>
      </w:pPr>
      <w:r>
        <w:rPr>
          <w:lang w:bidi="fa-IR"/>
        </w:rPr>
        <w:t>For electricity market outside of the NEM, the balancing market price compiled by AEMO</w:t>
      </w:r>
      <w:r w:rsidRPr="005C76B5">
        <w:rPr>
          <w:lang w:bidi="fa-IR"/>
        </w:rPr>
        <w:t xml:space="preserve"> </w:t>
      </w:r>
      <w:r>
        <w:rPr>
          <w:lang w:bidi="fa-IR"/>
        </w:rPr>
        <w:t>provide the basis for the wholesale electricity prices in WA.</w:t>
      </w:r>
      <w:r>
        <w:rPr>
          <w:rStyle w:val="FootnoteReference"/>
          <w:lang w:bidi="fa-IR"/>
        </w:rPr>
        <w:footnoteReference w:id="161"/>
      </w:r>
      <w:r>
        <w:rPr>
          <w:lang w:bidi="fa-IR"/>
        </w:rPr>
        <w:t xml:space="preserve"> Historical daily trading data maintained by Northern Territory Electricity System and Market Operator (NTESMO) provide the basis for the wholesale electricity prices in NT.</w:t>
      </w:r>
      <w:r>
        <w:rPr>
          <w:rStyle w:val="FootnoteReference"/>
          <w:lang w:bidi="fa-IR"/>
        </w:rPr>
        <w:footnoteReference w:id="162"/>
      </w:r>
      <w:r>
        <w:rPr>
          <w:lang w:bidi="fa-IR"/>
        </w:rPr>
        <w:t xml:space="preserve"> </w:t>
      </w:r>
    </w:p>
    <w:p w14:paraId="5504CA5B" w14:textId="77777777" w:rsidR="009B4D09" w:rsidRDefault="009B4D09" w:rsidP="009B4D09">
      <w:pPr>
        <w:pStyle w:val="BodyText"/>
        <w:rPr>
          <w:lang w:bidi="fa-IR"/>
        </w:rPr>
      </w:pPr>
      <w:r w:rsidRPr="0009292A">
        <w:rPr>
          <w:lang w:bidi="fa-IR"/>
        </w:rPr>
        <w:t xml:space="preserve">We construct a price series </w:t>
      </w:r>
      <w:r>
        <w:rPr>
          <w:lang w:bidi="fa-IR"/>
        </w:rPr>
        <w:t xml:space="preserve">as a component </w:t>
      </w:r>
      <w:r w:rsidRPr="0009292A">
        <w:rPr>
          <w:lang w:bidi="fa-IR"/>
        </w:rPr>
        <w:t>for use in the analysis</w:t>
      </w:r>
      <w:r>
        <w:rPr>
          <w:lang w:bidi="fa-IR"/>
        </w:rPr>
        <w:t xml:space="preserve"> drawing on these data sources</w:t>
      </w:r>
      <w:r w:rsidRPr="0009292A">
        <w:rPr>
          <w:lang w:bidi="fa-IR"/>
        </w:rPr>
        <w:t>.</w:t>
      </w:r>
    </w:p>
    <w:p w14:paraId="33D3EABD" w14:textId="77777777" w:rsidR="009B4D09" w:rsidRDefault="009B4D09" w:rsidP="009B4D09">
      <w:pPr>
        <w:pStyle w:val="BodyText"/>
        <w:rPr>
          <w:lang w:bidi="fa-IR"/>
        </w:rPr>
      </w:pPr>
      <w:r>
        <w:rPr>
          <w:lang w:bidi="fa-IR"/>
        </w:rPr>
        <w:t>To estimate the time of use prices, we use historical market data from the national electricity market in 2022. The wholesale prices were reported in a 5-miniute interval. We aggregated them into hourly rates (8760 hourly intervals across the year) using relevant volume weights.</w:t>
      </w:r>
    </w:p>
    <w:p w14:paraId="63E11ACB" w14:textId="1F09C767" w:rsidR="009B4D09" w:rsidRDefault="009B4D09" w:rsidP="009B4D09">
      <w:pPr>
        <w:pStyle w:val="BodyText"/>
        <w:rPr>
          <w:lang w:bidi="fa-IR"/>
        </w:rPr>
      </w:pPr>
      <w:r>
        <w:rPr>
          <w:lang w:bidi="fa-IR"/>
        </w:rPr>
        <w:t>Wholesale prices exhibit substantial daily fluctuations as well as seasonal variation. These fluctuations also tend vary across states. Charts </w:t>
      </w:r>
      <w:r>
        <w:rPr>
          <w:lang w:bidi="fa-IR"/>
        </w:rPr>
        <w:fldChar w:fldCharType="begin"/>
      </w:r>
      <w:r>
        <w:rPr>
          <w:lang w:bidi="fa-IR"/>
        </w:rPr>
        <w:instrText xml:space="preserve"> REF _Caption2247 </w:instrText>
      </w:r>
      <w:r>
        <w:rPr>
          <w:lang w:bidi="fa-IR"/>
        </w:rPr>
        <w:fldChar w:fldCharType="separate"/>
      </w:r>
      <w:r w:rsidR="006E00A7">
        <w:rPr>
          <w:noProof/>
        </w:rPr>
        <w:t>B</w:t>
      </w:r>
      <w:r w:rsidR="006E00A7" w:rsidRPr="00B779B1">
        <w:rPr>
          <w:noProof/>
        </w:rPr>
        <w:t>.</w:t>
      </w:r>
      <w:r w:rsidR="006E00A7">
        <w:rPr>
          <w:noProof/>
        </w:rPr>
        <w:t>2</w:t>
      </w:r>
      <w:r>
        <w:rPr>
          <w:lang w:bidi="fa-IR"/>
        </w:rPr>
        <w:fldChar w:fldCharType="end"/>
      </w:r>
      <w:r>
        <w:rPr>
          <w:lang w:bidi="fa-IR"/>
        </w:rPr>
        <w:t xml:space="preserve"> to </w:t>
      </w:r>
      <w:r>
        <w:rPr>
          <w:lang w:bidi="fa-IR"/>
        </w:rPr>
        <w:fldChar w:fldCharType="begin"/>
      </w:r>
      <w:r>
        <w:rPr>
          <w:lang w:bidi="fa-IR"/>
        </w:rPr>
        <w:instrText xml:space="preserve"> REF _Caption5747 </w:instrText>
      </w:r>
      <w:r>
        <w:rPr>
          <w:lang w:bidi="fa-IR"/>
        </w:rPr>
        <w:fldChar w:fldCharType="separate"/>
      </w:r>
      <w:r w:rsidR="006E00A7">
        <w:rPr>
          <w:noProof/>
        </w:rPr>
        <w:t>B</w:t>
      </w:r>
      <w:r w:rsidR="006E00A7" w:rsidRPr="00B779B1">
        <w:rPr>
          <w:noProof/>
        </w:rPr>
        <w:t>.</w:t>
      </w:r>
      <w:r w:rsidR="006E00A7">
        <w:rPr>
          <w:noProof/>
        </w:rPr>
        <w:t>9</w:t>
      </w:r>
      <w:r>
        <w:rPr>
          <w:lang w:bidi="fa-IR"/>
        </w:rPr>
        <w:fldChar w:fldCharType="end"/>
      </w:r>
      <w:r>
        <w:rPr>
          <w:lang w:bidi="fa-IR"/>
        </w:rPr>
        <w:t xml:space="preserve"> shows the wholesale price fluctuations across an average day in each season for each state and territory.</w:t>
      </w:r>
    </w:p>
    <w:p w14:paraId="4DCDB82F" w14:textId="15F56998" w:rsidR="009B4D09" w:rsidRPr="00B779B1" w:rsidRDefault="009B4D09" w:rsidP="009B4D09">
      <w:pPr>
        <w:pStyle w:val="Caption"/>
      </w:pPr>
      <w:r w:rsidRPr="00B779B1">
        <w:fldChar w:fldCharType="begin"/>
      </w:r>
      <w:r w:rsidRPr="00B779B1">
        <w:instrText xml:space="preserve"> IF 1 = 1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fldSimple w:instr=" STYLEREF &quot;Heading 1&quot; \l \n ">
        <w:r w:rsidRPr="00B779B1">
          <w:instrText>3</w:instrText>
        </w:r>
      </w:fldSimple>
      <w:r w:rsidRPr="00B779B1">
        <w:instrText xml:space="preserve"> = 0 "" "</w:instrText>
      </w:r>
      <w:fldSimple w:instr=" STYLEREF &quot;Heading 1&quot; \l \n ">
        <w:r w:rsidRPr="00B779B1">
          <w:instrText>3</w:instrText>
        </w:r>
      </w:fldSimple>
      <w:r w:rsidRPr="00B779B1">
        <w:instrText xml:space="preserve">." </w:instrText>
      </w:r>
      <w:r w:rsidRPr="00B779B1">
        <w:fldChar w:fldCharType="separate"/>
      </w:r>
      <w:r w:rsidRPr="00B779B1">
        <w:instrText>3.</w:instrText>
      </w:r>
      <w:r w:rsidRPr="00B779B1">
        <w:fldChar w:fldCharType="end"/>
      </w:r>
      <w:r w:rsidRPr="00B779B1">
        <w:instrText>" "</w:instrText>
      </w:r>
      <w:fldSimple w:instr=" STYLEREF &quot;Heading 6&quot; \l \n ">
        <w:r w:rsidR="00520F9E">
          <w:rPr>
            <w:noProof/>
          </w:rPr>
          <w:instrText>B</w:instrText>
        </w:r>
      </w:fldSimple>
      <w:r w:rsidRPr="00B779B1">
        <w:instrText xml:space="preserve">." </w:instrText>
      </w:r>
      <w:r w:rsidRPr="00B779B1">
        <w:fldChar w:fldCharType="separate"/>
      </w:r>
      <w:r w:rsidR="00520F9E">
        <w:rPr>
          <w:noProof/>
        </w:rPr>
        <w:instrText>B</w:instrText>
      </w:r>
      <w:r w:rsidR="00520F9E" w:rsidRPr="00B779B1">
        <w:rPr>
          <w:noProof/>
        </w:rPr>
        <w:instrText>.</w:instrText>
      </w:r>
      <w:r w:rsidRPr="00B779B1">
        <w:fldChar w:fldCharType="end"/>
      </w:r>
      <w:r w:rsidRPr="00B779B1">
        <w:fldChar w:fldCharType="begin"/>
      </w:r>
      <w:r w:rsidRPr="00B779B1">
        <w:instrText xml:space="preserve"> SEQ Item \* ARABIC \s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fldSimple w:instr=" STYLEREF &quot;Heading 1&quot; \l \n ">
        <w:r w:rsidRPr="00B779B1">
          <w:instrText>3</w:instrText>
        </w:r>
      </w:fldSimple>
      <w:r w:rsidRPr="00B779B1">
        <w:instrText xml:space="preserve"> = 0 "" "1" </w:instrText>
      </w:r>
      <w:r w:rsidRPr="00B779B1">
        <w:fldChar w:fldCharType="separate"/>
      </w:r>
      <w:r w:rsidRPr="00B779B1">
        <w:instrText>1</w:instrText>
      </w:r>
      <w:r w:rsidRPr="00B779B1">
        <w:fldChar w:fldCharType="end"/>
      </w:r>
      <w:r w:rsidRPr="00B779B1">
        <w:instrText xml:space="preserve">" "6" </w:instrText>
      </w:r>
      <w:r w:rsidRPr="00B779B1">
        <w:fldChar w:fldCharType="separate"/>
      </w:r>
      <w:r w:rsidR="00520F9E" w:rsidRPr="00B779B1">
        <w:rPr>
          <w:noProof/>
        </w:rPr>
        <w:instrText>6</w:instrText>
      </w:r>
      <w:r w:rsidRPr="00B779B1">
        <w:fldChar w:fldCharType="end"/>
      </w:r>
      <w:r w:rsidRPr="00B779B1">
        <w:instrText xml:space="preserve"> </w:instrText>
      </w:r>
      <w:r w:rsidRPr="00B779B1">
        <w:fldChar w:fldCharType="separate"/>
      </w:r>
      <w:r w:rsidR="00520F9E">
        <w:rPr>
          <w:noProof/>
        </w:rPr>
        <w:instrText>2</w:instrText>
      </w:r>
      <w:r w:rsidRPr="00B779B1">
        <w:fldChar w:fldCharType="end"/>
      </w:r>
      <w:r w:rsidRPr="00B779B1">
        <w:instrText xml:space="preserve">" "" </w:instrText>
      </w:r>
      <w:r w:rsidRPr="00B779B1">
        <w:fldChar w:fldCharType="separate"/>
      </w:r>
      <w:bookmarkStart w:id="6612" w:name="_Caption3225"/>
      <w:bookmarkStart w:id="6613" w:name="_Caption4416"/>
      <w:bookmarkStart w:id="6614" w:name="_Caption2452"/>
      <w:bookmarkStart w:id="6615" w:name="_Caption3151"/>
      <w:bookmarkStart w:id="6616" w:name="_Caption4412"/>
      <w:bookmarkStart w:id="6617" w:name="_Caption8911"/>
      <w:bookmarkStart w:id="6618" w:name="_Caption3022"/>
      <w:bookmarkStart w:id="6619" w:name="_Caption3454"/>
      <w:bookmarkStart w:id="6620" w:name="_Caption6142"/>
      <w:bookmarkStart w:id="6621" w:name="_Caption4893"/>
      <w:bookmarkStart w:id="6622" w:name="_Caption9263"/>
      <w:bookmarkStart w:id="6623" w:name="_Caption0074"/>
      <w:bookmarkStart w:id="6624" w:name="_Caption2997"/>
      <w:bookmarkStart w:id="6625" w:name="_Caption2247"/>
      <w:bookmarkStart w:id="6626" w:name="_Caption3730"/>
      <w:bookmarkStart w:id="6627" w:name="_Caption4011"/>
      <w:bookmarkStart w:id="6628" w:name="_Caption3871"/>
      <w:bookmarkStart w:id="6629" w:name="_Caption8507"/>
      <w:bookmarkStart w:id="6630" w:name="_Caption6046"/>
      <w:bookmarkStart w:id="6631" w:name="_Caption5480"/>
      <w:bookmarkStart w:id="6632" w:name="_Caption4406"/>
      <w:bookmarkStart w:id="6633" w:name="_Caption3042"/>
      <w:bookmarkStart w:id="6634" w:name="_Caption5217"/>
      <w:bookmarkStart w:id="6635" w:name="_Caption6559"/>
      <w:bookmarkStart w:id="6636" w:name="_Caption0398"/>
      <w:bookmarkStart w:id="6637" w:name="_Caption9311"/>
      <w:bookmarkStart w:id="6638" w:name="_Caption4299"/>
      <w:bookmarkStart w:id="6639" w:name="_Caption7361"/>
      <w:bookmarkStart w:id="6640" w:name="_Caption1464"/>
      <w:bookmarkStart w:id="6641" w:name="_Caption9682"/>
      <w:bookmarkStart w:id="6642" w:name="_Caption6891"/>
      <w:bookmarkStart w:id="6643" w:name="_Caption6508"/>
      <w:bookmarkStart w:id="6644" w:name="_Caption0637"/>
      <w:bookmarkStart w:id="6645" w:name="_Caption3545"/>
      <w:bookmarkStart w:id="6646" w:name="_Caption8273"/>
      <w:bookmarkStart w:id="6647" w:name="_Caption5170"/>
      <w:bookmarkStart w:id="6648" w:name="_Caption2279"/>
      <w:bookmarkStart w:id="6649" w:name="_Caption5280"/>
      <w:bookmarkStart w:id="6650" w:name="_Caption3672"/>
      <w:bookmarkStart w:id="6651" w:name="_Caption8601"/>
      <w:bookmarkStart w:id="6652" w:name="_Caption7553"/>
      <w:bookmarkStart w:id="6653" w:name="_Caption9585"/>
      <w:bookmarkStart w:id="6654" w:name="_Caption9829"/>
      <w:bookmarkStart w:id="6655" w:name="_Caption7024"/>
      <w:bookmarkStart w:id="6656" w:name="_Caption6366"/>
      <w:bookmarkStart w:id="6657" w:name="_Caption2298"/>
      <w:bookmarkStart w:id="6658" w:name="_Caption3056"/>
      <w:bookmarkStart w:id="6659" w:name="_Caption5038"/>
      <w:bookmarkStart w:id="6660" w:name="_Caption6682"/>
      <w:bookmarkStart w:id="6661" w:name="_Caption7543"/>
      <w:bookmarkStart w:id="6662" w:name="_Caption5899"/>
      <w:bookmarkStart w:id="6663" w:name="_Caption3788"/>
      <w:bookmarkStart w:id="6664" w:name="_Caption0158"/>
      <w:bookmarkStart w:id="6665" w:name="_Caption6659"/>
      <w:bookmarkStart w:id="6666" w:name="_Caption7282"/>
      <w:bookmarkStart w:id="6667" w:name="_Caption6506"/>
      <w:bookmarkStart w:id="6668" w:name="_Caption0681"/>
      <w:bookmarkStart w:id="6669" w:name="_Caption8241"/>
      <w:bookmarkStart w:id="6670" w:name="_Caption3789"/>
      <w:bookmarkStart w:id="6671" w:name="_Caption8865"/>
      <w:bookmarkStart w:id="6672" w:name="_Caption3266"/>
      <w:bookmarkStart w:id="6673" w:name="_Caption4342"/>
      <w:bookmarkStart w:id="6674" w:name="_Caption6077"/>
      <w:bookmarkStart w:id="6675" w:name="_Caption5771"/>
      <w:bookmarkStart w:id="6676" w:name="_Caption7889"/>
      <w:bookmarkStart w:id="6677" w:name="_Caption1898"/>
      <w:bookmarkStart w:id="6678" w:name="_Caption5854"/>
      <w:bookmarkStart w:id="6679" w:name="_Caption3769"/>
      <w:bookmarkStart w:id="6680" w:name="_Caption5885"/>
      <w:bookmarkStart w:id="6681" w:name="_Caption7520"/>
      <w:bookmarkStart w:id="6682" w:name="_Caption4084"/>
      <w:bookmarkStart w:id="6683" w:name="_Caption8001"/>
      <w:bookmarkStart w:id="6684" w:name="_Caption2206"/>
      <w:bookmarkStart w:id="6685" w:name="_Caption6378"/>
      <w:bookmarkStart w:id="6686" w:name="_Caption0421"/>
      <w:bookmarkStart w:id="6687" w:name="_Caption2044"/>
      <w:bookmarkStart w:id="6688" w:name="_Caption6332"/>
      <w:bookmarkStart w:id="6689" w:name="_Caption4786"/>
      <w:bookmarkStart w:id="6690" w:name="_Caption3895"/>
      <w:bookmarkStart w:id="6691" w:name="_Caption4961"/>
      <w:bookmarkStart w:id="6692" w:name="_Caption4090"/>
      <w:bookmarkStart w:id="6693" w:name="_Caption9242"/>
      <w:bookmarkStart w:id="6694" w:name="_Caption8610"/>
      <w:bookmarkStart w:id="6695" w:name="_Caption5882"/>
      <w:bookmarkStart w:id="6696" w:name="_Caption2445"/>
      <w:bookmarkStart w:id="6697" w:name="_Caption2300"/>
      <w:bookmarkStart w:id="6698" w:name="_Caption6122"/>
      <w:bookmarkStart w:id="6699" w:name="_Caption4603"/>
      <w:bookmarkStart w:id="6700" w:name="_Caption2535"/>
      <w:bookmarkStart w:id="6701" w:name="_Caption3786"/>
      <w:bookmarkStart w:id="6702" w:name="_Caption9191"/>
      <w:bookmarkStart w:id="6703" w:name="_Caption4585"/>
      <w:bookmarkStart w:id="6704" w:name="_Caption2906"/>
      <w:bookmarkStart w:id="6705" w:name="_Caption2257"/>
      <w:bookmarkStart w:id="6706" w:name="_Caption1216"/>
      <w:bookmarkStart w:id="6707" w:name="_Caption4287"/>
      <w:bookmarkStart w:id="6708" w:name="_Caption8902"/>
      <w:bookmarkStart w:id="6709" w:name="_Caption8100"/>
      <w:bookmarkStart w:id="6710" w:name="_Caption7644"/>
      <w:bookmarkStart w:id="6711" w:name="_Caption5032"/>
      <w:bookmarkStart w:id="6712" w:name="_Caption9337"/>
      <w:bookmarkStart w:id="6713" w:name="_Caption4221"/>
      <w:bookmarkStart w:id="6714" w:name="_Caption9765"/>
      <w:bookmarkStart w:id="6715" w:name="_Caption2654"/>
      <w:bookmarkStart w:id="6716" w:name="_Caption6778"/>
      <w:bookmarkStart w:id="6717" w:name="_Caption6750"/>
      <w:bookmarkStart w:id="6718" w:name="_Caption6357"/>
      <w:bookmarkStart w:id="6719" w:name="_Caption0023"/>
      <w:bookmarkStart w:id="6720" w:name="_Caption9422"/>
      <w:bookmarkStart w:id="6721" w:name="_Caption1484"/>
      <w:bookmarkStart w:id="6722" w:name="_Caption7174"/>
      <w:bookmarkStart w:id="6723" w:name="_Caption9156"/>
      <w:bookmarkStart w:id="6724" w:name="_Caption4216"/>
      <w:bookmarkStart w:id="6725" w:name="_Caption2185"/>
      <w:bookmarkStart w:id="6726" w:name="_Caption6738"/>
      <w:bookmarkStart w:id="6727" w:name="_Caption6802"/>
      <w:bookmarkStart w:id="6728" w:name="_Caption7813"/>
      <w:bookmarkStart w:id="6729" w:name="_Caption6551"/>
      <w:bookmarkStart w:id="6730" w:name="_Caption2420"/>
      <w:bookmarkStart w:id="6731" w:name="_Caption6259"/>
      <w:bookmarkStart w:id="6732" w:name="_Caption4096"/>
      <w:bookmarkStart w:id="6733" w:name="_Caption0008"/>
      <w:bookmarkStart w:id="6734" w:name="_Caption2158"/>
      <w:bookmarkStart w:id="6735" w:name="_Caption5667"/>
      <w:bookmarkStart w:id="6736" w:name="_Caption9906"/>
      <w:bookmarkStart w:id="6737" w:name="_Caption8232"/>
      <w:bookmarkStart w:id="6738" w:name="_Caption8538"/>
      <w:bookmarkStart w:id="6739" w:name="_Caption2672"/>
      <w:bookmarkStart w:id="6740" w:name="_Caption2796"/>
      <w:bookmarkStart w:id="6741" w:name="_Caption0567"/>
      <w:bookmarkStart w:id="6742" w:name="_Caption6616"/>
      <w:bookmarkStart w:id="6743" w:name="_Caption0146"/>
      <w:bookmarkStart w:id="6744" w:name="_Caption3756"/>
      <w:bookmarkStart w:id="6745" w:name="_Caption0381"/>
      <w:bookmarkStart w:id="6746" w:name="_Toc149060087"/>
      <w:bookmarkStart w:id="6747" w:name="_Toc177735207"/>
      <w:bookmarkStart w:id="6748" w:name="_Toc178292644"/>
      <w:r w:rsidR="008C60A3">
        <w:rPr>
          <w:noProof/>
        </w:rPr>
        <w:t>B</w:t>
      </w:r>
      <w:r w:rsidR="008C60A3" w:rsidRPr="00B779B1">
        <w:rPr>
          <w:noProof/>
        </w:rPr>
        <w:t>.</w:t>
      </w:r>
      <w:r w:rsidR="008C60A3">
        <w:rPr>
          <w:noProof/>
        </w:rPr>
        <w:t>2</w:t>
      </w:r>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r w:rsidRPr="00B779B1">
        <w:fldChar w:fldCharType="end"/>
      </w:r>
      <w:r w:rsidRPr="00B779B1">
        <w:tab/>
        <w:t>Average wholesale electricity prices 2019-2021</w:t>
      </w:r>
      <w:bookmarkEnd w:id="6746"/>
      <w:r w:rsidRPr="00B779B1">
        <w:t xml:space="preserve"> — NSW</w:t>
      </w:r>
      <w:bookmarkEnd w:id="6747"/>
      <w:bookmarkEnd w:id="6748"/>
    </w:p>
    <w:p w14:paraId="681FC621" w14:textId="77777777" w:rsidR="009B4D09" w:rsidRPr="00A55EF4" w:rsidRDefault="009B4D09" w:rsidP="009B4D09">
      <w:pPr>
        <w:pStyle w:val="Subtitlebox"/>
      </w:pPr>
      <w:r w:rsidRPr="008B5EA3">
        <w:rPr>
          <w:noProof/>
        </w:rPr>
        <w:drawing>
          <wp:inline distT="0" distB="0" distL="0" distR="0" wp14:anchorId="6943BE9F" wp14:editId="66F4D744">
            <wp:extent cx="4846320" cy="2457450"/>
            <wp:effectExtent l="76200" t="76200" r="68580" b="76200"/>
            <wp:docPr id="1050400414" name="Picture 1050400414" descr="Chart B.2  - Average wholesale electricity prices by time of day and season 2019-2021 — N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400414" name="Picture 1050400414" descr="Chart B.2  - Average wholesale electricity prices by time of day and season 2019-2021 — NSW"/>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r="3758"/>
                    <a:stretch/>
                  </pic:blipFill>
                  <pic:spPr bwMode="auto">
                    <a:xfrm>
                      <a:off x="0" y="0"/>
                      <a:ext cx="4846320" cy="245745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2600BEC6" w14:textId="77777777" w:rsidR="009B4D09" w:rsidRPr="00471D40" w:rsidRDefault="009B4D09" w:rsidP="009B4D09">
      <w:pPr>
        <w:pStyle w:val="Source"/>
      </w:pPr>
      <w:r>
        <w:rPr>
          <w:i/>
        </w:rPr>
        <w:t xml:space="preserve">Note: </w:t>
      </w:r>
      <w:r>
        <w:rPr>
          <w:iCs/>
        </w:rPr>
        <w:t>Summer covers December to February. Autumn covers March to May. Winter covers June to August. Spring covers September to November.</w:t>
      </w:r>
    </w:p>
    <w:p w14:paraId="05A38328" w14:textId="022A65C1" w:rsidR="009B4D09" w:rsidRDefault="009B4D09" w:rsidP="009B4D09">
      <w:pPr>
        <w:pStyle w:val="Source"/>
      </w:pPr>
      <w:r>
        <w:rPr>
          <w:i/>
        </w:rPr>
        <w:t>Data source</w:t>
      </w:r>
      <w:r w:rsidRPr="00A67576">
        <w:rPr>
          <w:i/>
        </w:rPr>
        <w:t>:</w:t>
      </w:r>
      <w:r>
        <w:t xml:space="preserve"> </w:t>
      </w:r>
      <w:r w:rsidRPr="00867EEC">
        <w:t xml:space="preserve">AEMO, ‘NEM data dashboard’, 2023, </w:t>
      </w:r>
      <w:hyperlink r:id="rId47" w:history="1">
        <w:r w:rsidRPr="008E035C">
          <w:rPr>
            <w:rStyle w:val="Hyperlink"/>
          </w:rPr>
          <w:t>https://aemo.com.au/en/energy-systems/electricity/national-electricity-market-nem/data-nem/data-dashboard-nem</w:t>
        </w:r>
      </w:hyperlink>
      <w:r>
        <w:t xml:space="preserve">. </w:t>
      </w:r>
    </w:p>
    <w:p w14:paraId="6CEB451C" w14:textId="4B34180F" w:rsidR="009B4D09" w:rsidRPr="00B779B1" w:rsidRDefault="009B4D09" w:rsidP="009B4D09">
      <w:pPr>
        <w:pStyle w:val="Caption"/>
      </w:pPr>
      <w:r w:rsidRPr="00B779B1">
        <w:fldChar w:fldCharType="begin"/>
      </w:r>
      <w:r w:rsidRPr="00B779B1">
        <w:instrText xml:space="preserve"> IF 1 = 1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 0 ""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w:instrText>
      </w:r>
      <w:r w:rsidRPr="00B779B1">
        <w:fldChar w:fldCharType="separate"/>
      </w:r>
      <w:r w:rsidRPr="00B779B1">
        <w:instrText>Error! No text of specified style in document..</w:instrText>
      </w:r>
      <w:r w:rsidRPr="00B779B1">
        <w:fldChar w:fldCharType="end"/>
      </w:r>
      <w:r w:rsidRPr="00B779B1">
        <w:instrText>" "</w:instrText>
      </w:r>
      <w:fldSimple w:instr=" STYLEREF &quot;Heading 6&quot; \l \n ">
        <w:r w:rsidR="00520F9E">
          <w:rPr>
            <w:noProof/>
          </w:rPr>
          <w:instrText>B</w:instrText>
        </w:r>
      </w:fldSimple>
      <w:r w:rsidRPr="00B779B1">
        <w:instrText xml:space="preserve">." </w:instrText>
      </w:r>
      <w:r w:rsidRPr="00B779B1">
        <w:fldChar w:fldCharType="separate"/>
      </w:r>
      <w:r w:rsidR="00520F9E">
        <w:rPr>
          <w:noProof/>
        </w:rPr>
        <w:instrText>B</w:instrText>
      </w:r>
      <w:r w:rsidR="00520F9E" w:rsidRPr="00B779B1">
        <w:rPr>
          <w:noProof/>
        </w:rPr>
        <w:instrText>.</w:instrText>
      </w:r>
      <w:r w:rsidRPr="00B779B1">
        <w:fldChar w:fldCharType="end"/>
      </w:r>
      <w:r w:rsidRPr="00B779B1">
        <w:fldChar w:fldCharType="begin"/>
      </w:r>
      <w:r w:rsidRPr="00B779B1">
        <w:instrText xml:space="preserve"> SEQ Item \* ARABIC \s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 0 "" "1" </w:instrText>
      </w:r>
      <w:r w:rsidRPr="00B779B1">
        <w:fldChar w:fldCharType="separate"/>
      </w:r>
      <w:r w:rsidRPr="00B779B1">
        <w:instrText>1</w:instrText>
      </w:r>
      <w:r w:rsidRPr="00B779B1">
        <w:fldChar w:fldCharType="end"/>
      </w:r>
      <w:r w:rsidRPr="00B779B1">
        <w:instrText xml:space="preserve">" "6" </w:instrText>
      </w:r>
      <w:r w:rsidRPr="00B779B1">
        <w:fldChar w:fldCharType="separate"/>
      </w:r>
      <w:r w:rsidR="00520F9E" w:rsidRPr="00B779B1">
        <w:rPr>
          <w:noProof/>
        </w:rPr>
        <w:instrText>6</w:instrText>
      </w:r>
      <w:r w:rsidRPr="00B779B1">
        <w:fldChar w:fldCharType="end"/>
      </w:r>
      <w:r w:rsidRPr="00B779B1">
        <w:instrText xml:space="preserve"> </w:instrText>
      </w:r>
      <w:r w:rsidRPr="00B779B1">
        <w:fldChar w:fldCharType="separate"/>
      </w:r>
      <w:r w:rsidR="00520F9E">
        <w:rPr>
          <w:noProof/>
        </w:rPr>
        <w:instrText>3</w:instrText>
      </w:r>
      <w:r w:rsidRPr="00B779B1">
        <w:fldChar w:fldCharType="end"/>
      </w:r>
      <w:r w:rsidRPr="00B779B1">
        <w:instrText xml:space="preserve">" "" </w:instrText>
      </w:r>
      <w:r w:rsidRPr="00B779B1">
        <w:fldChar w:fldCharType="separate"/>
      </w:r>
      <w:bookmarkStart w:id="6749" w:name="_Caption7991"/>
      <w:bookmarkStart w:id="6750" w:name="_Caption2814"/>
      <w:bookmarkStart w:id="6751" w:name="_Caption7071"/>
      <w:bookmarkStart w:id="6752" w:name="_Caption4984"/>
      <w:bookmarkStart w:id="6753" w:name="_Caption9672"/>
      <w:bookmarkStart w:id="6754" w:name="_Caption3117"/>
      <w:bookmarkStart w:id="6755" w:name="_Caption5693"/>
      <w:bookmarkStart w:id="6756" w:name="_Caption2986"/>
      <w:bookmarkStart w:id="6757" w:name="_Caption3982"/>
      <w:bookmarkStart w:id="6758" w:name="_Caption5533"/>
      <w:bookmarkStart w:id="6759" w:name="_Caption5377"/>
      <w:bookmarkStart w:id="6760" w:name="_Caption8044"/>
      <w:bookmarkStart w:id="6761" w:name="_Caption9019"/>
      <w:bookmarkStart w:id="6762" w:name="_Caption2955"/>
      <w:bookmarkStart w:id="6763" w:name="_Caption6080"/>
      <w:bookmarkStart w:id="6764" w:name="_Caption8627"/>
      <w:bookmarkStart w:id="6765" w:name="_Caption8291"/>
      <w:bookmarkStart w:id="6766" w:name="_Caption4433"/>
      <w:bookmarkStart w:id="6767" w:name="_Caption7178"/>
      <w:bookmarkStart w:id="6768" w:name="_Caption4030"/>
      <w:bookmarkStart w:id="6769" w:name="_Caption5352"/>
      <w:bookmarkStart w:id="6770" w:name="_Caption8035"/>
      <w:bookmarkStart w:id="6771" w:name="_Caption4703"/>
      <w:bookmarkStart w:id="6772" w:name="_Caption8155"/>
      <w:bookmarkStart w:id="6773" w:name="_Caption8457"/>
      <w:bookmarkStart w:id="6774" w:name="_Caption2998"/>
      <w:bookmarkStart w:id="6775" w:name="_Caption5840"/>
      <w:bookmarkStart w:id="6776" w:name="_Caption0289"/>
      <w:bookmarkStart w:id="6777" w:name="_Caption3902"/>
      <w:bookmarkStart w:id="6778" w:name="_Caption4316"/>
      <w:bookmarkStart w:id="6779" w:name="_Caption5889"/>
      <w:bookmarkStart w:id="6780" w:name="_Caption3050"/>
      <w:bookmarkStart w:id="6781" w:name="_Caption1190"/>
      <w:bookmarkStart w:id="6782" w:name="_Caption5292"/>
      <w:bookmarkStart w:id="6783" w:name="_Caption2732"/>
      <w:bookmarkStart w:id="6784" w:name="_Caption1155"/>
      <w:bookmarkStart w:id="6785" w:name="_Caption0369"/>
      <w:bookmarkStart w:id="6786" w:name="_Caption0496"/>
      <w:bookmarkStart w:id="6787" w:name="_Caption8631"/>
      <w:bookmarkStart w:id="6788" w:name="_Caption2558"/>
      <w:bookmarkStart w:id="6789" w:name="_Caption8687"/>
      <w:bookmarkStart w:id="6790" w:name="_Caption1159"/>
      <w:bookmarkStart w:id="6791" w:name="_Caption0063"/>
      <w:bookmarkStart w:id="6792" w:name="_Caption3932"/>
      <w:bookmarkStart w:id="6793" w:name="_Caption0790"/>
      <w:bookmarkStart w:id="6794" w:name="_Caption1682"/>
      <w:bookmarkStart w:id="6795" w:name="_Caption2888"/>
      <w:bookmarkStart w:id="6796" w:name="_Caption7618"/>
      <w:bookmarkStart w:id="6797" w:name="_Caption2449"/>
      <w:bookmarkStart w:id="6798" w:name="_Caption2285"/>
      <w:bookmarkStart w:id="6799" w:name="_Caption6855"/>
      <w:bookmarkStart w:id="6800" w:name="_Caption7337"/>
      <w:bookmarkStart w:id="6801" w:name="_Caption9460"/>
      <w:bookmarkStart w:id="6802" w:name="_Caption8783"/>
      <w:bookmarkStart w:id="6803" w:name="_Caption0979"/>
      <w:bookmarkStart w:id="6804" w:name="_Caption1174"/>
      <w:bookmarkStart w:id="6805" w:name="_Toc177735208"/>
      <w:bookmarkStart w:id="6806" w:name="_Toc178292645"/>
      <w:r w:rsidR="008C60A3">
        <w:rPr>
          <w:noProof/>
        </w:rPr>
        <w:t>B</w:t>
      </w:r>
      <w:r w:rsidR="008C60A3" w:rsidRPr="00B779B1">
        <w:rPr>
          <w:noProof/>
        </w:rPr>
        <w:t>.</w:t>
      </w:r>
      <w:r w:rsidR="008C60A3">
        <w:rPr>
          <w:noProof/>
        </w:rPr>
        <w:t>3</w:t>
      </w:r>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r w:rsidRPr="00B779B1">
        <w:fldChar w:fldCharType="end"/>
      </w:r>
      <w:r w:rsidRPr="00B779B1">
        <w:tab/>
        <w:t>Average wholesale electricity prices 2019-2021 — Victoria</w:t>
      </w:r>
      <w:bookmarkEnd w:id="6805"/>
      <w:bookmarkEnd w:id="6806"/>
    </w:p>
    <w:p w14:paraId="18C72A20" w14:textId="77777777" w:rsidR="009B4D09" w:rsidRPr="00A55EF4" w:rsidRDefault="009B4D09" w:rsidP="009B4D09">
      <w:pPr>
        <w:pStyle w:val="Subtitlebox"/>
      </w:pPr>
      <w:r w:rsidRPr="005F297D">
        <w:rPr>
          <w:noProof/>
        </w:rPr>
        <w:drawing>
          <wp:inline distT="0" distB="0" distL="0" distR="0" wp14:anchorId="59F32F0F" wp14:editId="616126BE">
            <wp:extent cx="4823460" cy="2457450"/>
            <wp:effectExtent l="76200" t="76200" r="72390" b="76200"/>
            <wp:docPr id="226756029" name="Picture 226756029" descr="Chart B.3 - Average wholesale electricity prices by time of day and season 2019-2021 —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756029" name="Picture 226756029" descr="Chart B.3 - Average wholesale electricity prices by time of day and season 2019-2021 — Victoria"/>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r="4212"/>
                    <a:stretch/>
                  </pic:blipFill>
                  <pic:spPr bwMode="auto">
                    <a:xfrm>
                      <a:off x="0" y="0"/>
                      <a:ext cx="4823460" cy="245745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2BA7D748" w14:textId="77777777" w:rsidR="009B4D09" w:rsidRPr="00471D40" w:rsidRDefault="009B4D09" w:rsidP="009B4D09">
      <w:pPr>
        <w:pStyle w:val="Source"/>
      </w:pPr>
      <w:r>
        <w:rPr>
          <w:i/>
        </w:rPr>
        <w:t xml:space="preserve">Note: </w:t>
      </w:r>
      <w:r>
        <w:rPr>
          <w:iCs/>
        </w:rPr>
        <w:t>Summer covers December to February. Autumn covers March to May. Winter covers June to August. Spring covers September to November.</w:t>
      </w:r>
    </w:p>
    <w:p w14:paraId="60FAADD6" w14:textId="4F8A434E" w:rsidR="009B4D09" w:rsidRDefault="009B4D09" w:rsidP="009B4D09">
      <w:pPr>
        <w:pStyle w:val="Source"/>
      </w:pPr>
      <w:r>
        <w:rPr>
          <w:i/>
        </w:rPr>
        <w:t>Data source</w:t>
      </w:r>
      <w:r w:rsidRPr="00A67576">
        <w:rPr>
          <w:i/>
        </w:rPr>
        <w:t>:</w:t>
      </w:r>
      <w:r>
        <w:t xml:space="preserve"> </w:t>
      </w:r>
      <w:r w:rsidRPr="00867EEC">
        <w:t xml:space="preserve">AEMO, ‘NEM data dashboard’, 2023, </w:t>
      </w:r>
      <w:hyperlink r:id="rId49" w:history="1">
        <w:r w:rsidRPr="008E035C">
          <w:rPr>
            <w:rStyle w:val="Hyperlink"/>
          </w:rPr>
          <w:t>https://aemo.com.au/en/energy-systems/electricity/national-electricity-market-nem/data-nem/data-dashboard-nem</w:t>
        </w:r>
      </w:hyperlink>
      <w:r>
        <w:t xml:space="preserve">. </w:t>
      </w:r>
    </w:p>
    <w:p w14:paraId="0BEBCBED" w14:textId="56CA1790" w:rsidR="009B4D09" w:rsidRPr="00B779B1" w:rsidRDefault="009B4D09" w:rsidP="009B4D09">
      <w:pPr>
        <w:pStyle w:val="Caption"/>
      </w:pPr>
      <w:r w:rsidRPr="00B779B1">
        <w:fldChar w:fldCharType="begin"/>
      </w:r>
      <w:r w:rsidRPr="00B779B1">
        <w:instrText xml:space="preserve"> IF 1 = 1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 0 ""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w:instrText>
      </w:r>
      <w:r w:rsidRPr="00B779B1">
        <w:fldChar w:fldCharType="separate"/>
      </w:r>
      <w:r w:rsidRPr="00B779B1">
        <w:instrText>Error! No text of specified style in document..</w:instrText>
      </w:r>
      <w:r w:rsidRPr="00B779B1">
        <w:fldChar w:fldCharType="end"/>
      </w:r>
      <w:r w:rsidRPr="00B779B1">
        <w:instrText>" "</w:instrText>
      </w:r>
      <w:fldSimple w:instr=" STYLEREF &quot;Heading 6&quot; \l \n ">
        <w:r w:rsidR="00520F9E">
          <w:rPr>
            <w:noProof/>
          </w:rPr>
          <w:instrText>B</w:instrText>
        </w:r>
      </w:fldSimple>
      <w:r w:rsidRPr="00B779B1">
        <w:instrText xml:space="preserve">." </w:instrText>
      </w:r>
      <w:r w:rsidRPr="00B779B1">
        <w:fldChar w:fldCharType="separate"/>
      </w:r>
      <w:r w:rsidR="00520F9E">
        <w:rPr>
          <w:noProof/>
        </w:rPr>
        <w:instrText>B</w:instrText>
      </w:r>
      <w:r w:rsidR="00520F9E" w:rsidRPr="00B779B1">
        <w:rPr>
          <w:noProof/>
        </w:rPr>
        <w:instrText>.</w:instrText>
      </w:r>
      <w:r w:rsidRPr="00B779B1">
        <w:fldChar w:fldCharType="end"/>
      </w:r>
      <w:r w:rsidRPr="00B779B1">
        <w:fldChar w:fldCharType="begin"/>
      </w:r>
      <w:r w:rsidRPr="00B779B1">
        <w:instrText xml:space="preserve"> SEQ Item \* ARABIC \s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 0 "" "1" </w:instrText>
      </w:r>
      <w:r w:rsidRPr="00B779B1">
        <w:fldChar w:fldCharType="separate"/>
      </w:r>
      <w:r w:rsidRPr="00B779B1">
        <w:instrText>1</w:instrText>
      </w:r>
      <w:r w:rsidRPr="00B779B1">
        <w:fldChar w:fldCharType="end"/>
      </w:r>
      <w:r w:rsidRPr="00B779B1">
        <w:instrText xml:space="preserve">" "6" </w:instrText>
      </w:r>
      <w:r w:rsidRPr="00B779B1">
        <w:fldChar w:fldCharType="separate"/>
      </w:r>
      <w:r w:rsidR="00520F9E" w:rsidRPr="00B779B1">
        <w:rPr>
          <w:noProof/>
        </w:rPr>
        <w:instrText>6</w:instrText>
      </w:r>
      <w:r w:rsidRPr="00B779B1">
        <w:fldChar w:fldCharType="end"/>
      </w:r>
      <w:r w:rsidRPr="00B779B1">
        <w:instrText xml:space="preserve"> </w:instrText>
      </w:r>
      <w:r w:rsidRPr="00B779B1">
        <w:fldChar w:fldCharType="separate"/>
      </w:r>
      <w:r w:rsidR="00520F9E">
        <w:rPr>
          <w:noProof/>
        </w:rPr>
        <w:instrText>4</w:instrText>
      </w:r>
      <w:r w:rsidRPr="00B779B1">
        <w:fldChar w:fldCharType="end"/>
      </w:r>
      <w:r w:rsidRPr="00B779B1">
        <w:instrText xml:space="preserve">" "" </w:instrText>
      </w:r>
      <w:r w:rsidRPr="00B779B1">
        <w:fldChar w:fldCharType="separate"/>
      </w:r>
      <w:bookmarkStart w:id="6807" w:name="_Caption0058"/>
      <w:bookmarkStart w:id="6808" w:name="_Caption4589"/>
      <w:bookmarkStart w:id="6809" w:name="_Caption2746"/>
      <w:bookmarkStart w:id="6810" w:name="_Caption7227"/>
      <w:bookmarkStart w:id="6811" w:name="_Caption3731"/>
      <w:bookmarkStart w:id="6812" w:name="_Caption2944"/>
      <w:bookmarkStart w:id="6813" w:name="_Caption5332"/>
      <w:bookmarkStart w:id="6814" w:name="_Caption5402"/>
      <w:bookmarkStart w:id="6815" w:name="_Caption7252"/>
      <w:bookmarkStart w:id="6816" w:name="_Caption8524"/>
      <w:bookmarkStart w:id="6817" w:name="_Caption1639"/>
      <w:bookmarkStart w:id="6818" w:name="_Caption4133"/>
      <w:bookmarkStart w:id="6819" w:name="_Caption0822"/>
      <w:bookmarkStart w:id="6820" w:name="_Caption8188"/>
      <w:bookmarkStart w:id="6821" w:name="_Caption6548"/>
      <w:bookmarkStart w:id="6822" w:name="_Caption2874"/>
      <w:bookmarkStart w:id="6823" w:name="_Caption2390"/>
      <w:bookmarkStart w:id="6824" w:name="_Caption1324"/>
      <w:bookmarkStart w:id="6825" w:name="_Caption1523"/>
      <w:bookmarkStart w:id="6826" w:name="_Caption6316"/>
      <w:bookmarkStart w:id="6827" w:name="_Caption0622"/>
      <w:bookmarkStart w:id="6828" w:name="_Caption5179"/>
      <w:bookmarkStart w:id="6829" w:name="_Caption7315"/>
      <w:bookmarkStart w:id="6830" w:name="_Caption4955"/>
      <w:bookmarkStart w:id="6831" w:name="_Caption2927"/>
      <w:bookmarkStart w:id="6832" w:name="_Caption8136"/>
      <w:bookmarkStart w:id="6833" w:name="_Caption6482"/>
      <w:bookmarkStart w:id="6834" w:name="_Caption1567"/>
      <w:bookmarkStart w:id="6835" w:name="_Caption3814"/>
      <w:bookmarkStart w:id="6836" w:name="_Caption6226"/>
      <w:bookmarkStart w:id="6837" w:name="_Caption7307"/>
      <w:bookmarkStart w:id="6838" w:name="_Caption5182"/>
      <w:bookmarkStart w:id="6839" w:name="_Caption5466"/>
      <w:bookmarkStart w:id="6840" w:name="_Caption3179"/>
      <w:bookmarkStart w:id="6841" w:name="_Caption3136"/>
      <w:bookmarkStart w:id="6842" w:name="_Caption9941"/>
      <w:bookmarkStart w:id="6843" w:name="_Caption7604"/>
      <w:bookmarkStart w:id="6844" w:name="_Caption1250"/>
      <w:bookmarkStart w:id="6845" w:name="_Caption3717"/>
      <w:bookmarkStart w:id="6846" w:name="_Caption4685"/>
      <w:bookmarkStart w:id="6847" w:name="_Caption2410"/>
      <w:bookmarkStart w:id="6848" w:name="_Caption4302"/>
      <w:bookmarkStart w:id="6849" w:name="_Caption0183"/>
      <w:bookmarkStart w:id="6850" w:name="_Caption1065"/>
      <w:bookmarkStart w:id="6851" w:name="_Caption2540"/>
      <w:bookmarkStart w:id="6852" w:name="_Caption6061"/>
      <w:bookmarkStart w:id="6853" w:name="_Caption9794"/>
      <w:bookmarkStart w:id="6854" w:name="_Caption5935"/>
      <w:bookmarkStart w:id="6855" w:name="_Caption1462"/>
      <w:bookmarkStart w:id="6856" w:name="_Caption1471"/>
      <w:bookmarkStart w:id="6857" w:name="_Caption2450"/>
      <w:bookmarkStart w:id="6858" w:name="_Caption9647"/>
      <w:bookmarkStart w:id="6859" w:name="_Caption6576"/>
      <w:bookmarkStart w:id="6860" w:name="_Caption8330"/>
      <w:bookmarkStart w:id="6861" w:name="_Caption6146"/>
      <w:bookmarkStart w:id="6862" w:name="_Caption1272"/>
      <w:bookmarkStart w:id="6863" w:name="_Toc177735209"/>
      <w:bookmarkStart w:id="6864" w:name="_Toc178292646"/>
      <w:r w:rsidR="008C60A3">
        <w:rPr>
          <w:noProof/>
        </w:rPr>
        <w:t>B</w:t>
      </w:r>
      <w:r w:rsidR="008C60A3" w:rsidRPr="00B779B1">
        <w:rPr>
          <w:noProof/>
        </w:rPr>
        <w:t>.</w:t>
      </w:r>
      <w:r w:rsidR="008C60A3">
        <w:rPr>
          <w:noProof/>
        </w:rPr>
        <w:t>4</w:t>
      </w:r>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r w:rsidRPr="00B779B1">
        <w:fldChar w:fldCharType="end"/>
      </w:r>
      <w:r w:rsidRPr="00B779B1">
        <w:tab/>
        <w:t>Average wholesale electricity prices 2019-2021 — Queensland</w:t>
      </w:r>
      <w:bookmarkEnd w:id="6863"/>
      <w:bookmarkEnd w:id="6864"/>
    </w:p>
    <w:p w14:paraId="6FFB0D20" w14:textId="77777777" w:rsidR="009B4D09" w:rsidRPr="00A55EF4" w:rsidRDefault="009B4D09" w:rsidP="009B4D09">
      <w:pPr>
        <w:pStyle w:val="Subtitlebox"/>
      </w:pPr>
      <w:r w:rsidRPr="004307AB">
        <w:rPr>
          <w:noProof/>
        </w:rPr>
        <w:drawing>
          <wp:inline distT="0" distB="0" distL="0" distR="0" wp14:anchorId="67182E1F" wp14:editId="25AE5911">
            <wp:extent cx="4823460" cy="2457450"/>
            <wp:effectExtent l="76200" t="76200" r="72390" b="76200"/>
            <wp:docPr id="79467959" name="Picture 79467959" descr="Chart B.4  - Average wholesale electricity prices by time of day and season 2019-2021 — Queens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67959" name="Picture 79467959" descr="Chart B.4  - Average wholesale electricity prices by time of day and season 2019-2021 — Queensland"/>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r="4212"/>
                    <a:stretch/>
                  </pic:blipFill>
                  <pic:spPr bwMode="auto">
                    <a:xfrm>
                      <a:off x="0" y="0"/>
                      <a:ext cx="4823460" cy="245745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0D337027" w14:textId="77777777" w:rsidR="009B4D09" w:rsidRPr="00471D40" w:rsidRDefault="009B4D09" w:rsidP="009B4D09">
      <w:pPr>
        <w:pStyle w:val="Source"/>
      </w:pPr>
      <w:r>
        <w:rPr>
          <w:i/>
        </w:rPr>
        <w:t xml:space="preserve">Note: </w:t>
      </w:r>
      <w:r>
        <w:rPr>
          <w:iCs/>
        </w:rPr>
        <w:t>Summer covers December to February. Autumn covers March to May. Winter covers June to August. Spring covers September to November.</w:t>
      </w:r>
    </w:p>
    <w:p w14:paraId="09622E76" w14:textId="4B039E9B" w:rsidR="009B4D09" w:rsidRDefault="009B4D09" w:rsidP="009B4D09">
      <w:pPr>
        <w:pStyle w:val="Source"/>
      </w:pPr>
      <w:r>
        <w:rPr>
          <w:i/>
        </w:rPr>
        <w:t>Data source</w:t>
      </w:r>
      <w:r w:rsidRPr="00A67576">
        <w:rPr>
          <w:i/>
        </w:rPr>
        <w:t>:</w:t>
      </w:r>
      <w:r>
        <w:t xml:space="preserve"> </w:t>
      </w:r>
      <w:r w:rsidRPr="00867EEC">
        <w:t xml:space="preserve">AEMO, ‘NEM data dashboard’, 2023, </w:t>
      </w:r>
      <w:hyperlink r:id="rId51" w:history="1">
        <w:r w:rsidRPr="008E035C">
          <w:rPr>
            <w:rStyle w:val="Hyperlink"/>
          </w:rPr>
          <w:t>https://aemo.com.au/en/energy-systems/electricity/national-electricity-market-nem/data-nem/data-dashboard-nem</w:t>
        </w:r>
      </w:hyperlink>
      <w:r>
        <w:t xml:space="preserve">. </w:t>
      </w:r>
    </w:p>
    <w:p w14:paraId="169D1161" w14:textId="7EB7CF8E" w:rsidR="009B4D09" w:rsidRPr="00B779B1" w:rsidRDefault="009B4D09" w:rsidP="009B4D09">
      <w:pPr>
        <w:pStyle w:val="Caption"/>
      </w:pPr>
      <w:r w:rsidRPr="00B779B1">
        <w:fldChar w:fldCharType="begin"/>
      </w:r>
      <w:r w:rsidRPr="00B779B1">
        <w:instrText xml:space="preserve"> IF 1 = 1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 0 ""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w:instrText>
      </w:r>
      <w:r w:rsidRPr="00B779B1">
        <w:fldChar w:fldCharType="separate"/>
      </w:r>
      <w:r w:rsidRPr="00B779B1">
        <w:instrText>Error! No text of specified style in document..</w:instrText>
      </w:r>
      <w:r w:rsidRPr="00B779B1">
        <w:fldChar w:fldCharType="end"/>
      </w:r>
      <w:r w:rsidRPr="00B779B1">
        <w:instrText>" "</w:instrText>
      </w:r>
      <w:fldSimple w:instr=" STYLEREF &quot;Heading 6&quot; \l \n ">
        <w:r w:rsidR="00520F9E">
          <w:rPr>
            <w:noProof/>
          </w:rPr>
          <w:instrText>B</w:instrText>
        </w:r>
      </w:fldSimple>
      <w:r w:rsidRPr="00B779B1">
        <w:instrText xml:space="preserve">." </w:instrText>
      </w:r>
      <w:r w:rsidRPr="00B779B1">
        <w:fldChar w:fldCharType="separate"/>
      </w:r>
      <w:r w:rsidR="00520F9E">
        <w:rPr>
          <w:noProof/>
        </w:rPr>
        <w:instrText>B</w:instrText>
      </w:r>
      <w:r w:rsidR="00520F9E" w:rsidRPr="00B779B1">
        <w:rPr>
          <w:noProof/>
        </w:rPr>
        <w:instrText>.</w:instrText>
      </w:r>
      <w:r w:rsidRPr="00B779B1">
        <w:fldChar w:fldCharType="end"/>
      </w:r>
      <w:r w:rsidRPr="00B779B1">
        <w:fldChar w:fldCharType="begin"/>
      </w:r>
      <w:r w:rsidRPr="00B779B1">
        <w:instrText xml:space="preserve"> SEQ Item \* ARABIC \s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 0 "" "1" </w:instrText>
      </w:r>
      <w:r w:rsidRPr="00B779B1">
        <w:fldChar w:fldCharType="separate"/>
      </w:r>
      <w:r w:rsidRPr="00B779B1">
        <w:instrText>1</w:instrText>
      </w:r>
      <w:r w:rsidRPr="00B779B1">
        <w:fldChar w:fldCharType="end"/>
      </w:r>
      <w:r w:rsidRPr="00B779B1">
        <w:instrText xml:space="preserve">" "6" </w:instrText>
      </w:r>
      <w:r w:rsidRPr="00B779B1">
        <w:fldChar w:fldCharType="separate"/>
      </w:r>
      <w:r w:rsidR="00520F9E" w:rsidRPr="00B779B1">
        <w:rPr>
          <w:noProof/>
        </w:rPr>
        <w:instrText>6</w:instrText>
      </w:r>
      <w:r w:rsidRPr="00B779B1">
        <w:fldChar w:fldCharType="end"/>
      </w:r>
      <w:r w:rsidRPr="00B779B1">
        <w:instrText xml:space="preserve"> </w:instrText>
      </w:r>
      <w:r w:rsidRPr="00B779B1">
        <w:fldChar w:fldCharType="separate"/>
      </w:r>
      <w:r w:rsidR="00520F9E">
        <w:rPr>
          <w:noProof/>
        </w:rPr>
        <w:instrText>5</w:instrText>
      </w:r>
      <w:r w:rsidRPr="00B779B1">
        <w:fldChar w:fldCharType="end"/>
      </w:r>
      <w:r w:rsidRPr="00B779B1">
        <w:instrText xml:space="preserve">" "" </w:instrText>
      </w:r>
      <w:r w:rsidRPr="00B779B1">
        <w:fldChar w:fldCharType="separate"/>
      </w:r>
      <w:bookmarkStart w:id="6865" w:name="_Caption5786"/>
      <w:bookmarkStart w:id="6866" w:name="_Caption1171"/>
      <w:bookmarkStart w:id="6867" w:name="_Caption9409"/>
      <w:bookmarkStart w:id="6868" w:name="_Caption0498"/>
      <w:bookmarkStart w:id="6869" w:name="_Caption6118"/>
      <w:bookmarkStart w:id="6870" w:name="_Caption6388"/>
      <w:bookmarkStart w:id="6871" w:name="_Caption0138"/>
      <w:bookmarkStart w:id="6872" w:name="_Caption0997"/>
      <w:bookmarkStart w:id="6873" w:name="_Caption4556"/>
      <w:bookmarkStart w:id="6874" w:name="_Caption0874"/>
      <w:bookmarkStart w:id="6875" w:name="_Caption9889"/>
      <w:bookmarkStart w:id="6876" w:name="_Caption5868"/>
      <w:bookmarkStart w:id="6877" w:name="_Caption5736"/>
      <w:bookmarkStart w:id="6878" w:name="_Caption5131"/>
      <w:bookmarkStart w:id="6879" w:name="_Caption9030"/>
      <w:bookmarkStart w:id="6880" w:name="_Caption4583"/>
      <w:bookmarkStart w:id="6881" w:name="_Caption9948"/>
      <w:bookmarkStart w:id="6882" w:name="_Caption1162"/>
      <w:bookmarkStart w:id="6883" w:name="_Caption3819"/>
      <w:bookmarkStart w:id="6884" w:name="_Caption1156"/>
      <w:bookmarkStart w:id="6885" w:name="_Caption3580"/>
      <w:bookmarkStart w:id="6886" w:name="_Caption5285"/>
      <w:bookmarkStart w:id="6887" w:name="_Caption3953"/>
      <w:bookmarkStart w:id="6888" w:name="_Caption2375"/>
      <w:bookmarkStart w:id="6889" w:name="_Caption5768"/>
      <w:bookmarkStart w:id="6890" w:name="_Caption1774"/>
      <w:bookmarkStart w:id="6891" w:name="_Caption1727"/>
      <w:bookmarkStart w:id="6892" w:name="_Caption9006"/>
      <w:bookmarkStart w:id="6893" w:name="_Caption4282"/>
      <w:bookmarkStart w:id="6894" w:name="_Caption2274"/>
      <w:bookmarkStart w:id="6895" w:name="_Caption8217"/>
      <w:bookmarkStart w:id="6896" w:name="_Caption9801"/>
      <w:bookmarkStart w:id="6897" w:name="_Caption7623"/>
      <w:bookmarkStart w:id="6898" w:name="_Caption1223"/>
      <w:bookmarkStart w:id="6899" w:name="_Caption0935"/>
      <w:bookmarkStart w:id="6900" w:name="_Caption3920"/>
      <w:bookmarkStart w:id="6901" w:name="_Caption8261"/>
      <w:bookmarkStart w:id="6902" w:name="_Caption3048"/>
      <w:bookmarkStart w:id="6903" w:name="_Caption1466"/>
      <w:bookmarkStart w:id="6904" w:name="_Caption8164"/>
      <w:bookmarkStart w:id="6905" w:name="_Caption9187"/>
      <w:bookmarkStart w:id="6906" w:name="_Caption6504"/>
      <w:bookmarkStart w:id="6907" w:name="_Caption3453"/>
      <w:bookmarkStart w:id="6908" w:name="_Caption2963"/>
      <w:bookmarkStart w:id="6909" w:name="_Caption6801"/>
      <w:bookmarkStart w:id="6910" w:name="_Caption4220"/>
      <w:bookmarkStart w:id="6911" w:name="_Caption4993"/>
      <w:bookmarkStart w:id="6912" w:name="_Caption4770"/>
      <w:bookmarkStart w:id="6913" w:name="_Caption6523"/>
      <w:bookmarkStart w:id="6914" w:name="_Caption5080"/>
      <w:bookmarkStart w:id="6915" w:name="_Caption4051"/>
      <w:bookmarkStart w:id="6916" w:name="_Caption5169"/>
      <w:bookmarkStart w:id="6917" w:name="_Caption8498"/>
      <w:bookmarkStart w:id="6918" w:name="_Caption3024"/>
      <w:bookmarkStart w:id="6919" w:name="_Caption2237"/>
      <w:bookmarkStart w:id="6920" w:name="_Caption8396"/>
      <w:bookmarkStart w:id="6921" w:name="_Caption6787"/>
      <w:bookmarkStart w:id="6922" w:name="_Caption7629"/>
      <w:bookmarkStart w:id="6923" w:name="_Toc177735210"/>
      <w:bookmarkStart w:id="6924" w:name="_Toc178292647"/>
      <w:r w:rsidR="008C60A3">
        <w:rPr>
          <w:noProof/>
        </w:rPr>
        <w:t>B</w:t>
      </w:r>
      <w:r w:rsidR="008C60A3" w:rsidRPr="00B779B1">
        <w:rPr>
          <w:noProof/>
        </w:rPr>
        <w:t>.</w:t>
      </w:r>
      <w:r w:rsidR="008C60A3">
        <w:rPr>
          <w:noProof/>
        </w:rPr>
        <w:t>5</w:t>
      </w:r>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r w:rsidRPr="00B779B1">
        <w:fldChar w:fldCharType="end"/>
      </w:r>
      <w:r w:rsidRPr="00B779B1">
        <w:tab/>
        <w:t>Average wholesale electricity prices 2019-2021 — Western Australia</w:t>
      </w:r>
      <w:bookmarkEnd w:id="6923"/>
      <w:bookmarkEnd w:id="6924"/>
    </w:p>
    <w:p w14:paraId="22B065AC" w14:textId="77777777" w:rsidR="009B4D09" w:rsidRPr="00A55EF4" w:rsidRDefault="009B4D09" w:rsidP="009B4D09">
      <w:pPr>
        <w:pStyle w:val="Subtitlebox"/>
      </w:pPr>
      <w:r w:rsidRPr="00F525F8">
        <w:rPr>
          <w:noProof/>
        </w:rPr>
        <w:drawing>
          <wp:inline distT="0" distB="0" distL="0" distR="0" wp14:anchorId="2C9BBA0B" wp14:editId="6D3CFBCE">
            <wp:extent cx="4846320" cy="2457450"/>
            <wp:effectExtent l="76200" t="76200" r="68580" b="76200"/>
            <wp:docPr id="1238074821" name="Picture 1238074821" descr="Chart B.5 - Average wholesale electricity prices by time of day and season 2019-2021 — Western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074821" name="Picture 1238074821" descr="Chart B.5 - Average wholesale electricity prices by time of day and season 2019-2021 — Western Australia"/>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r="3758"/>
                    <a:stretch/>
                  </pic:blipFill>
                  <pic:spPr bwMode="auto">
                    <a:xfrm>
                      <a:off x="0" y="0"/>
                      <a:ext cx="4846320" cy="245745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64392A22" w14:textId="77777777" w:rsidR="009B4D09" w:rsidRPr="00471D40" w:rsidRDefault="009B4D09" w:rsidP="009B4D09">
      <w:pPr>
        <w:pStyle w:val="Source"/>
      </w:pPr>
      <w:r>
        <w:rPr>
          <w:i/>
        </w:rPr>
        <w:t xml:space="preserve">Note: </w:t>
      </w:r>
      <w:r>
        <w:rPr>
          <w:iCs/>
        </w:rPr>
        <w:t>Summer covers December to February. Autumn covers March to May. Winter covers June to August. Spring covers September to November.</w:t>
      </w:r>
    </w:p>
    <w:p w14:paraId="00125277" w14:textId="065C0A78" w:rsidR="009B4D09" w:rsidRDefault="009B4D09" w:rsidP="009B4D09">
      <w:pPr>
        <w:pStyle w:val="Source"/>
      </w:pPr>
      <w:r>
        <w:rPr>
          <w:i/>
        </w:rPr>
        <w:t>Data source</w:t>
      </w:r>
      <w:r w:rsidRPr="00A67576">
        <w:rPr>
          <w:i/>
        </w:rPr>
        <w:t>:</w:t>
      </w:r>
      <w:r>
        <w:t xml:space="preserve"> </w:t>
      </w:r>
      <w:r w:rsidRPr="008C5302">
        <w:t xml:space="preserve">AEMO, ‘Market Data - Western Australia’, in data.wa.aemo.com.au, 2023, </w:t>
      </w:r>
      <w:hyperlink r:id="rId53" w:anchor="balancing-summary" w:history="1">
        <w:r w:rsidRPr="006B6F44">
          <w:rPr>
            <w:rStyle w:val="Hyperlink"/>
          </w:rPr>
          <w:t>https://data.wa.aemo.com.au/#balancing-summary</w:t>
        </w:r>
      </w:hyperlink>
      <w:r>
        <w:t xml:space="preserve">. </w:t>
      </w:r>
    </w:p>
    <w:p w14:paraId="59F25939" w14:textId="54E2726F" w:rsidR="009B4D09" w:rsidRPr="00B779B1" w:rsidRDefault="009B4D09" w:rsidP="009B4D09">
      <w:pPr>
        <w:pStyle w:val="Caption"/>
      </w:pPr>
      <w:r w:rsidRPr="00B779B1">
        <w:fldChar w:fldCharType="begin"/>
      </w:r>
      <w:r w:rsidRPr="00B779B1">
        <w:instrText xml:space="preserve"> IF 1 = 1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 0 ""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w:instrText>
      </w:r>
      <w:r w:rsidRPr="00B779B1">
        <w:fldChar w:fldCharType="separate"/>
      </w:r>
      <w:r w:rsidRPr="00B779B1">
        <w:instrText>Error! No text of specified style in document..</w:instrText>
      </w:r>
      <w:r w:rsidRPr="00B779B1">
        <w:fldChar w:fldCharType="end"/>
      </w:r>
      <w:r w:rsidRPr="00B779B1">
        <w:instrText>" "</w:instrText>
      </w:r>
      <w:fldSimple w:instr=" STYLEREF &quot;Heading 6&quot; \l \n ">
        <w:r w:rsidR="00520F9E">
          <w:rPr>
            <w:noProof/>
          </w:rPr>
          <w:instrText>B</w:instrText>
        </w:r>
      </w:fldSimple>
      <w:r w:rsidRPr="00B779B1">
        <w:instrText xml:space="preserve">." </w:instrText>
      </w:r>
      <w:r w:rsidRPr="00B779B1">
        <w:fldChar w:fldCharType="separate"/>
      </w:r>
      <w:r w:rsidR="00520F9E">
        <w:rPr>
          <w:noProof/>
        </w:rPr>
        <w:instrText>B</w:instrText>
      </w:r>
      <w:r w:rsidR="00520F9E" w:rsidRPr="00B779B1">
        <w:rPr>
          <w:noProof/>
        </w:rPr>
        <w:instrText>.</w:instrText>
      </w:r>
      <w:r w:rsidRPr="00B779B1">
        <w:fldChar w:fldCharType="end"/>
      </w:r>
      <w:r w:rsidRPr="00B779B1">
        <w:fldChar w:fldCharType="begin"/>
      </w:r>
      <w:r w:rsidRPr="00B779B1">
        <w:instrText xml:space="preserve"> SEQ Item \* ARABIC \s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 0 "" "1" </w:instrText>
      </w:r>
      <w:r w:rsidRPr="00B779B1">
        <w:fldChar w:fldCharType="separate"/>
      </w:r>
      <w:r w:rsidRPr="00B779B1">
        <w:instrText>1</w:instrText>
      </w:r>
      <w:r w:rsidRPr="00B779B1">
        <w:fldChar w:fldCharType="end"/>
      </w:r>
      <w:r w:rsidRPr="00B779B1">
        <w:instrText xml:space="preserve">" "6" </w:instrText>
      </w:r>
      <w:r w:rsidRPr="00B779B1">
        <w:fldChar w:fldCharType="separate"/>
      </w:r>
      <w:r w:rsidR="00520F9E" w:rsidRPr="00B779B1">
        <w:rPr>
          <w:noProof/>
        </w:rPr>
        <w:instrText>6</w:instrText>
      </w:r>
      <w:r w:rsidRPr="00B779B1">
        <w:fldChar w:fldCharType="end"/>
      </w:r>
      <w:r w:rsidRPr="00B779B1">
        <w:instrText xml:space="preserve"> </w:instrText>
      </w:r>
      <w:r w:rsidRPr="00B779B1">
        <w:fldChar w:fldCharType="separate"/>
      </w:r>
      <w:r w:rsidR="00520F9E">
        <w:rPr>
          <w:noProof/>
        </w:rPr>
        <w:instrText>6</w:instrText>
      </w:r>
      <w:r w:rsidRPr="00B779B1">
        <w:fldChar w:fldCharType="end"/>
      </w:r>
      <w:r w:rsidRPr="00B779B1">
        <w:instrText xml:space="preserve">" "" </w:instrText>
      </w:r>
      <w:r w:rsidRPr="00B779B1">
        <w:fldChar w:fldCharType="separate"/>
      </w:r>
      <w:bookmarkStart w:id="6925" w:name="_Caption2811"/>
      <w:bookmarkStart w:id="6926" w:name="_Caption1492"/>
      <w:bookmarkStart w:id="6927" w:name="_Caption0904"/>
      <w:bookmarkStart w:id="6928" w:name="_Caption1459"/>
      <w:bookmarkStart w:id="6929" w:name="_Caption5904"/>
      <w:bookmarkStart w:id="6930" w:name="_Caption0745"/>
      <w:bookmarkStart w:id="6931" w:name="_Caption8577"/>
      <w:bookmarkStart w:id="6932" w:name="_Caption0583"/>
      <w:bookmarkStart w:id="6933" w:name="_Caption9496"/>
      <w:bookmarkStart w:id="6934" w:name="_Caption1342"/>
      <w:bookmarkStart w:id="6935" w:name="_Caption7112"/>
      <w:bookmarkStart w:id="6936" w:name="_Caption5975"/>
      <w:bookmarkStart w:id="6937" w:name="_Caption3625"/>
      <w:bookmarkStart w:id="6938" w:name="_Caption2100"/>
      <w:bookmarkStart w:id="6939" w:name="_Caption8470"/>
      <w:bookmarkStart w:id="6940" w:name="_Caption0349"/>
      <w:bookmarkStart w:id="6941" w:name="_Caption7000"/>
      <w:bookmarkStart w:id="6942" w:name="_Caption0617"/>
      <w:bookmarkStart w:id="6943" w:name="_Caption6250"/>
      <w:bookmarkStart w:id="6944" w:name="_Caption3839"/>
      <w:bookmarkStart w:id="6945" w:name="_Caption8333"/>
      <w:bookmarkStart w:id="6946" w:name="_Caption1694"/>
      <w:bookmarkStart w:id="6947" w:name="_Caption5258"/>
      <w:bookmarkStart w:id="6948" w:name="_Caption5893"/>
      <w:bookmarkStart w:id="6949" w:name="_Caption2210"/>
      <w:bookmarkStart w:id="6950" w:name="_Caption6764"/>
      <w:bookmarkStart w:id="6951" w:name="_Caption8535"/>
      <w:bookmarkStart w:id="6952" w:name="_Caption8493"/>
      <w:bookmarkStart w:id="6953" w:name="_Caption9340"/>
      <w:bookmarkStart w:id="6954" w:name="_Caption2656"/>
      <w:bookmarkStart w:id="6955" w:name="_Caption0253"/>
      <w:bookmarkStart w:id="6956" w:name="_Caption8110"/>
      <w:bookmarkStart w:id="6957" w:name="_Caption4738"/>
      <w:bookmarkStart w:id="6958" w:name="_Caption4007"/>
      <w:bookmarkStart w:id="6959" w:name="_Caption2598"/>
      <w:bookmarkStart w:id="6960" w:name="_Caption6405"/>
      <w:bookmarkStart w:id="6961" w:name="_Caption6573"/>
      <w:bookmarkStart w:id="6962" w:name="_Caption1746"/>
      <w:bookmarkStart w:id="6963" w:name="_Caption8871"/>
      <w:bookmarkStart w:id="6964" w:name="_Caption0403"/>
      <w:bookmarkStart w:id="6965" w:name="_Caption5329"/>
      <w:bookmarkStart w:id="6966" w:name="_Caption9074"/>
      <w:bookmarkStart w:id="6967" w:name="_Caption3519"/>
      <w:bookmarkStart w:id="6968" w:name="_Caption2148"/>
      <w:bookmarkStart w:id="6969" w:name="_Caption8897"/>
      <w:bookmarkStart w:id="6970" w:name="_Caption8879"/>
      <w:bookmarkStart w:id="6971" w:name="_Caption8197"/>
      <w:bookmarkStart w:id="6972" w:name="_Caption8483"/>
      <w:bookmarkStart w:id="6973" w:name="_Caption5842"/>
      <w:bookmarkStart w:id="6974" w:name="_Caption2828"/>
      <w:bookmarkStart w:id="6975" w:name="_Caption3287"/>
      <w:bookmarkStart w:id="6976" w:name="_Caption4759"/>
      <w:bookmarkStart w:id="6977" w:name="_Caption6162"/>
      <w:bookmarkStart w:id="6978" w:name="_Caption6428"/>
      <w:bookmarkStart w:id="6979" w:name="_Caption3417"/>
      <w:bookmarkStart w:id="6980" w:name="_Caption7535"/>
      <w:bookmarkStart w:id="6981" w:name="_Caption1188"/>
      <w:bookmarkStart w:id="6982" w:name="_Toc177735211"/>
      <w:bookmarkStart w:id="6983" w:name="_Toc178292648"/>
      <w:r w:rsidR="008C60A3">
        <w:rPr>
          <w:noProof/>
        </w:rPr>
        <w:t>B</w:t>
      </w:r>
      <w:r w:rsidR="008C60A3" w:rsidRPr="00B779B1">
        <w:rPr>
          <w:noProof/>
        </w:rPr>
        <w:t>.</w:t>
      </w:r>
      <w:r w:rsidR="008C60A3">
        <w:rPr>
          <w:noProof/>
        </w:rPr>
        <w:t>6</w:t>
      </w:r>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r w:rsidRPr="00B779B1">
        <w:fldChar w:fldCharType="end"/>
      </w:r>
      <w:r w:rsidRPr="00B779B1">
        <w:tab/>
        <w:t>Average wholesale electricity prices 2019-2021 — South Australia</w:t>
      </w:r>
      <w:bookmarkEnd w:id="6982"/>
      <w:bookmarkEnd w:id="6983"/>
    </w:p>
    <w:p w14:paraId="4155D02D" w14:textId="77777777" w:rsidR="009B4D09" w:rsidRPr="00A55EF4" w:rsidRDefault="009B4D09" w:rsidP="009B4D09">
      <w:pPr>
        <w:pStyle w:val="Subtitlebox"/>
      </w:pPr>
      <w:r w:rsidRPr="00510756">
        <w:rPr>
          <w:noProof/>
        </w:rPr>
        <w:drawing>
          <wp:inline distT="0" distB="0" distL="0" distR="0" wp14:anchorId="5794F66F" wp14:editId="08BEF00C">
            <wp:extent cx="4831080" cy="2457450"/>
            <wp:effectExtent l="76200" t="76200" r="83820" b="76200"/>
            <wp:docPr id="520520472" name="Picture 520520472" descr="Chart B.6  - Average wholesale electricity prices by time of day and season 2019-2021 — South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520472" name="Picture 520520472" descr="Chart B.6  - Average wholesale electricity prices by time of day and season 2019-2021 — South Australia"/>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r="4060"/>
                    <a:stretch/>
                  </pic:blipFill>
                  <pic:spPr bwMode="auto">
                    <a:xfrm>
                      <a:off x="0" y="0"/>
                      <a:ext cx="4831080" cy="245745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1420281D" w14:textId="77777777" w:rsidR="009B4D09" w:rsidRPr="00471D40" w:rsidRDefault="009B4D09" w:rsidP="009B4D09">
      <w:pPr>
        <w:pStyle w:val="Source"/>
      </w:pPr>
      <w:r>
        <w:rPr>
          <w:i/>
        </w:rPr>
        <w:t xml:space="preserve">Note: </w:t>
      </w:r>
      <w:r>
        <w:rPr>
          <w:iCs/>
        </w:rPr>
        <w:t>Summer covers December to February. Autumn covers March to May. Winter covers June to August. Spring covers September to November.</w:t>
      </w:r>
    </w:p>
    <w:p w14:paraId="30AFAB3D" w14:textId="02D0F498" w:rsidR="009B4D09" w:rsidRDefault="009B4D09" w:rsidP="009B4D09">
      <w:pPr>
        <w:pStyle w:val="Source"/>
      </w:pPr>
      <w:r>
        <w:rPr>
          <w:i/>
        </w:rPr>
        <w:t>Data source</w:t>
      </w:r>
      <w:r w:rsidRPr="00A67576">
        <w:rPr>
          <w:i/>
        </w:rPr>
        <w:t>:</w:t>
      </w:r>
      <w:r>
        <w:t xml:space="preserve"> </w:t>
      </w:r>
      <w:r w:rsidRPr="00867EEC">
        <w:t xml:space="preserve">AEMO, ‘NEM data dashboard’, 2023, </w:t>
      </w:r>
      <w:hyperlink r:id="rId55" w:history="1">
        <w:r w:rsidRPr="008E035C">
          <w:rPr>
            <w:rStyle w:val="Hyperlink"/>
          </w:rPr>
          <w:t>https://aemo.com.au/en/energy-systems/electricity/national-electricity-market-nem/data-nem/data-dashboard-nem</w:t>
        </w:r>
      </w:hyperlink>
      <w:r>
        <w:t xml:space="preserve">. </w:t>
      </w:r>
    </w:p>
    <w:p w14:paraId="5E4920AB" w14:textId="30059DF7" w:rsidR="009B4D09" w:rsidRPr="00B779B1" w:rsidRDefault="009B4D09" w:rsidP="009B4D09">
      <w:pPr>
        <w:pStyle w:val="Caption"/>
      </w:pPr>
      <w:r w:rsidRPr="00B779B1">
        <w:fldChar w:fldCharType="begin"/>
      </w:r>
      <w:r w:rsidRPr="00B779B1">
        <w:instrText xml:space="preserve"> IF 1 = 1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 0 ""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w:instrText>
      </w:r>
      <w:r w:rsidRPr="00B779B1">
        <w:fldChar w:fldCharType="separate"/>
      </w:r>
      <w:r w:rsidRPr="00B779B1">
        <w:instrText>Error! No text of specified style in document..</w:instrText>
      </w:r>
      <w:r w:rsidRPr="00B779B1">
        <w:fldChar w:fldCharType="end"/>
      </w:r>
      <w:r w:rsidRPr="00B779B1">
        <w:instrText>" "</w:instrText>
      </w:r>
      <w:fldSimple w:instr=" STYLEREF &quot;Heading 6&quot; \l \n ">
        <w:r w:rsidR="00520F9E">
          <w:rPr>
            <w:noProof/>
          </w:rPr>
          <w:instrText>B</w:instrText>
        </w:r>
      </w:fldSimple>
      <w:r w:rsidRPr="00B779B1">
        <w:instrText xml:space="preserve">." </w:instrText>
      </w:r>
      <w:r w:rsidRPr="00B779B1">
        <w:fldChar w:fldCharType="separate"/>
      </w:r>
      <w:r w:rsidR="00520F9E">
        <w:rPr>
          <w:noProof/>
        </w:rPr>
        <w:instrText>B</w:instrText>
      </w:r>
      <w:r w:rsidR="00520F9E" w:rsidRPr="00B779B1">
        <w:rPr>
          <w:noProof/>
        </w:rPr>
        <w:instrText>.</w:instrText>
      </w:r>
      <w:r w:rsidRPr="00B779B1">
        <w:fldChar w:fldCharType="end"/>
      </w:r>
      <w:r w:rsidRPr="00B779B1">
        <w:fldChar w:fldCharType="begin"/>
      </w:r>
      <w:r w:rsidRPr="00B779B1">
        <w:instrText xml:space="preserve"> SEQ Item \* ARABIC \s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 0 "" "1" </w:instrText>
      </w:r>
      <w:r w:rsidRPr="00B779B1">
        <w:fldChar w:fldCharType="separate"/>
      </w:r>
      <w:r w:rsidRPr="00B779B1">
        <w:instrText>1</w:instrText>
      </w:r>
      <w:r w:rsidRPr="00B779B1">
        <w:fldChar w:fldCharType="end"/>
      </w:r>
      <w:r w:rsidRPr="00B779B1">
        <w:instrText xml:space="preserve">" "6" </w:instrText>
      </w:r>
      <w:r w:rsidRPr="00B779B1">
        <w:fldChar w:fldCharType="separate"/>
      </w:r>
      <w:r w:rsidR="00520F9E" w:rsidRPr="00B779B1">
        <w:rPr>
          <w:noProof/>
        </w:rPr>
        <w:instrText>6</w:instrText>
      </w:r>
      <w:r w:rsidRPr="00B779B1">
        <w:fldChar w:fldCharType="end"/>
      </w:r>
      <w:r w:rsidRPr="00B779B1">
        <w:instrText xml:space="preserve"> </w:instrText>
      </w:r>
      <w:r w:rsidRPr="00B779B1">
        <w:fldChar w:fldCharType="separate"/>
      </w:r>
      <w:r w:rsidR="00520F9E">
        <w:rPr>
          <w:noProof/>
        </w:rPr>
        <w:instrText>7</w:instrText>
      </w:r>
      <w:r w:rsidRPr="00B779B1">
        <w:fldChar w:fldCharType="end"/>
      </w:r>
      <w:r w:rsidRPr="00B779B1">
        <w:instrText xml:space="preserve">" "" </w:instrText>
      </w:r>
      <w:r w:rsidRPr="00B779B1">
        <w:fldChar w:fldCharType="separate"/>
      </w:r>
      <w:bookmarkStart w:id="6984" w:name="_Caption5481"/>
      <w:bookmarkStart w:id="6985" w:name="_Caption2689"/>
      <w:bookmarkStart w:id="6986" w:name="_Caption1037"/>
      <w:bookmarkStart w:id="6987" w:name="_Caption7802"/>
      <w:bookmarkStart w:id="6988" w:name="_Caption6866"/>
      <w:bookmarkStart w:id="6989" w:name="_Caption7087"/>
      <w:bookmarkStart w:id="6990" w:name="_Caption9497"/>
      <w:bookmarkStart w:id="6991" w:name="_Caption1570"/>
      <w:bookmarkStart w:id="6992" w:name="_Caption0711"/>
      <w:bookmarkStart w:id="6993" w:name="_Caption3371"/>
      <w:bookmarkStart w:id="6994" w:name="_Caption5937"/>
      <w:bookmarkStart w:id="6995" w:name="_Caption4868"/>
      <w:bookmarkStart w:id="6996" w:name="_Caption7924"/>
      <w:bookmarkStart w:id="6997" w:name="_Caption3702"/>
      <w:bookmarkStart w:id="6998" w:name="_Caption3023"/>
      <w:bookmarkStart w:id="6999" w:name="_Caption8084"/>
      <w:bookmarkStart w:id="7000" w:name="_Caption4609"/>
      <w:bookmarkStart w:id="7001" w:name="_Caption5678"/>
      <w:bookmarkStart w:id="7002" w:name="_Caption8511"/>
      <w:bookmarkStart w:id="7003" w:name="_Caption7584"/>
      <w:bookmarkStart w:id="7004" w:name="_Caption0247"/>
      <w:bookmarkStart w:id="7005" w:name="_Caption7651"/>
      <w:bookmarkStart w:id="7006" w:name="_Caption6862"/>
      <w:bookmarkStart w:id="7007" w:name="_Caption5300"/>
      <w:bookmarkStart w:id="7008" w:name="_Caption7822"/>
      <w:bookmarkStart w:id="7009" w:name="_Caption2588"/>
      <w:bookmarkStart w:id="7010" w:name="_Caption1289"/>
      <w:bookmarkStart w:id="7011" w:name="_Caption5416"/>
      <w:bookmarkStart w:id="7012" w:name="_Caption9670"/>
      <w:bookmarkStart w:id="7013" w:name="_Caption3005"/>
      <w:bookmarkStart w:id="7014" w:name="_Caption0770"/>
      <w:bookmarkStart w:id="7015" w:name="_Caption9558"/>
      <w:bookmarkStart w:id="7016" w:name="_Caption2095"/>
      <w:bookmarkStart w:id="7017" w:name="_Caption2602"/>
      <w:bookmarkStart w:id="7018" w:name="_Caption8666"/>
      <w:bookmarkStart w:id="7019" w:name="_Caption9912"/>
      <w:bookmarkStart w:id="7020" w:name="_Caption9669"/>
      <w:bookmarkStart w:id="7021" w:name="_Caption9309"/>
      <w:bookmarkStart w:id="7022" w:name="_Caption9405"/>
      <w:bookmarkStart w:id="7023" w:name="_Caption6756"/>
      <w:bookmarkStart w:id="7024" w:name="_Caption6865"/>
      <w:bookmarkStart w:id="7025" w:name="_Caption6912"/>
      <w:bookmarkStart w:id="7026" w:name="_Caption6564"/>
      <w:bookmarkStart w:id="7027" w:name="_Caption2416"/>
      <w:bookmarkStart w:id="7028" w:name="_Caption5104"/>
      <w:bookmarkStart w:id="7029" w:name="_Caption7557"/>
      <w:bookmarkStart w:id="7030" w:name="_Caption8050"/>
      <w:bookmarkStart w:id="7031" w:name="_Caption7481"/>
      <w:bookmarkStart w:id="7032" w:name="_Caption5028"/>
      <w:bookmarkStart w:id="7033" w:name="_Caption7471"/>
      <w:bookmarkStart w:id="7034" w:name="_Caption1933"/>
      <w:bookmarkStart w:id="7035" w:name="_Caption1710"/>
      <w:bookmarkStart w:id="7036" w:name="_Caption4973"/>
      <w:bookmarkStart w:id="7037" w:name="_Caption7617"/>
      <w:bookmarkStart w:id="7038" w:name="_Caption6593"/>
      <w:bookmarkStart w:id="7039" w:name="_Caption1240"/>
      <w:bookmarkStart w:id="7040" w:name="_Caption5465"/>
      <w:bookmarkStart w:id="7041" w:name="_Caption9052"/>
      <w:bookmarkStart w:id="7042" w:name="_Toc177735212"/>
      <w:bookmarkStart w:id="7043" w:name="_Toc178292649"/>
      <w:r w:rsidR="008C60A3">
        <w:rPr>
          <w:noProof/>
        </w:rPr>
        <w:t>B</w:t>
      </w:r>
      <w:r w:rsidR="008C60A3" w:rsidRPr="00B779B1">
        <w:rPr>
          <w:noProof/>
        </w:rPr>
        <w:t>.</w:t>
      </w:r>
      <w:r w:rsidR="008C60A3">
        <w:rPr>
          <w:noProof/>
        </w:rPr>
        <w:t>7</w:t>
      </w:r>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r w:rsidRPr="00B779B1">
        <w:fldChar w:fldCharType="end"/>
      </w:r>
      <w:r w:rsidRPr="00B779B1">
        <w:tab/>
        <w:t>Average wholesale electricity prices 2019-2021 — Tasmania</w:t>
      </w:r>
      <w:bookmarkEnd w:id="7042"/>
      <w:bookmarkEnd w:id="7043"/>
    </w:p>
    <w:p w14:paraId="36773456" w14:textId="77777777" w:rsidR="009B4D09" w:rsidRPr="00A55EF4" w:rsidRDefault="009B4D09" w:rsidP="009B4D09">
      <w:pPr>
        <w:pStyle w:val="Subtitlebox"/>
      </w:pPr>
      <w:r w:rsidRPr="005336E8">
        <w:rPr>
          <w:noProof/>
        </w:rPr>
        <w:drawing>
          <wp:inline distT="0" distB="0" distL="0" distR="0" wp14:anchorId="200BA92B" wp14:editId="7A65A1EC">
            <wp:extent cx="4838700" cy="2457450"/>
            <wp:effectExtent l="76200" t="76200" r="76200" b="76200"/>
            <wp:docPr id="1113577505" name="Picture 1113577505" descr="Chart B.7 - Average wholesale electricity prices by time of day and season 2019-2021 — Tas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577505" name="Picture 1113577505" descr="Chart B.7 - Average wholesale electricity prices by time of day and season 2019-2021 — Tasmania"/>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r="3909"/>
                    <a:stretch/>
                  </pic:blipFill>
                  <pic:spPr bwMode="auto">
                    <a:xfrm>
                      <a:off x="0" y="0"/>
                      <a:ext cx="4838700" cy="245745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161F9685" w14:textId="77777777" w:rsidR="009B4D09" w:rsidRPr="00471D40" w:rsidRDefault="009B4D09" w:rsidP="009B4D09">
      <w:pPr>
        <w:pStyle w:val="Source"/>
      </w:pPr>
      <w:r>
        <w:rPr>
          <w:i/>
        </w:rPr>
        <w:t xml:space="preserve">Note: </w:t>
      </w:r>
      <w:r>
        <w:rPr>
          <w:iCs/>
        </w:rPr>
        <w:t>Summer covers December to February. Autumn covers March to May. Winter covers June to August. Spring covers September to November.</w:t>
      </w:r>
    </w:p>
    <w:p w14:paraId="54DE2689" w14:textId="4B45A5D6" w:rsidR="009B4D09" w:rsidRDefault="009B4D09" w:rsidP="009B4D09">
      <w:pPr>
        <w:pStyle w:val="Source"/>
      </w:pPr>
      <w:r>
        <w:rPr>
          <w:i/>
        </w:rPr>
        <w:t>Data source</w:t>
      </w:r>
      <w:r w:rsidRPr="00A67576">
        <w:rPr>
          <w:i/>
        </w:rPr>
        <w:t>:</w:t>
      </w:r>
      <w:r>
        <w:t xml:space="preserve"> </w:t>
      </w:r>
      <w:r w:rsidRPr="00867EEC">
        <w:t xml:space="preserve">AEMO, ‘NEM data dashboard’, 2023, </w:t>
      </w:r>
      <w:hyperlink r:id="rId57" w:history="1">
        <w:r w:rsidRPr="008E035C">
          <w:rPr>
            <w:rStyle w:val="Hyperlink"/>
          </w:rPr>
          <w:t>https://aemo.com.au/en/energy-systems/electricity/national-electricity-market-nem/data-nem/data-dashboard-nem</w:t>
        </w:r>
      </w:hyperlink>
      <w:r>
        <w:t xml:space="preserve">. </w:t>
      </w:r>
    </w:p>
    <w:p w14:paraId="697934C7" w14:textId="4B6AEA36" w:rsidR="009B4D09" w:rsidRPr="00B779B1" w:rsidRDefault="009B4D09" w:rsidP="009B4D09">
      <w:pPr>
        <w:pStyle w:val="Caption"/>
      </w:pPr>
      <w:r w:rsidRPr="00B779B1">
        <w:fldChar w:fldCharType="begin"/>
      </w:r>
      <w:r w:rsidRPr="00B779B1">
        <w:instrText xml:space="preserve"> IF 1 = 1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 0 ""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w:instrText>
      </w:r>
      <w:r w:rsidRPr="00B779B1">
        <w:fldChar w:fldCharType="separate"/>
      </w:r>
      <w:r w:rsidRPr="00B779B1">
        <w:instrText>Error! No text of specified style in document..</w:instrText>
      </w:r>
      <w:r w:rsidRPr="00B779B1">
        <w:fldChar w:fldCharType="end"/>
      </w:r>
      <w:r w:rsidRPr="00B779B1">
        <w:instrText>" "</w:instrText>
      </w:r>
      <w:fldSimple w:instr=" STYLEREF &quot;Heading 6&quot; \l \n ">
        <w:r w:rsidR="00520F9E">
          <w:rPr>
            <w:noProof/>
          </w:rPr>
          <w:instrText>B</w:instrText>
        </w:r>
      </w:fldSimple>
      <w:r w:rsidRPr="00B779B1">
        <w:instrText xml:space="preserve">." </w:instrText>
      </w:r>
      <w:r w:rsidRPr="00B779B1">
        <w:fldChar w:fldCharType="separate"/>
      </w:r>
      <w:r w:rsidR="00520F9E">
        <w:rPr>
          <w:noProof/>
        </w:rPr>
        <w:instrText>B</w:instrText>
      </w:r>
      <w:r w:rsidR="00520F9E" w:rsidRPr="00B779B1">
        <w:rPr>
          <w:noProof/>
        </w:rPr>
        <w:instrText>.</w:instrText>
      </w:r>
      <w:r w:rsidRPr="00B779B1">
        <w:fldChar w:fldCharType="end"/>
      </w:r>
      <w:r w:rsidRPr="00B779B1">
        <w:fldChar w:fldCharType="begin"/>
      </w:r>
      <w:r w:rsidRPr="00B779B1">
        <w:instrText xml:space="preserve"> SEQ Item \* ARABIC \s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 0 "" "1" </w:instrText>
      </w:r>
      <w:r w:rsidRPr="00B779B1">
        <w:fldChar w:fldCharType="separate"/>
      </w:r>
      <w:r w:rsidRPr="00B779B1">
        <w:instrText>1</w:instrText>
      </w:r>
      <w:r w:rsidRPr="00B779B1">
        <w:fldChar w:fldCharType="end"/>
      </w:r>
      <w:r w:rsidRPr="00B779B1">
        <w:instrText xml:space="preserve">" "6" </w:instrText>
      </w:r>
      <w:r w:rsidRPr="00B779B1">
        <w:fldChar w:fldCharType="separate"/>
      </w:r>
      <w:r w:rsidR="00520F9E" w:rsidRPr="00B779B1">
        <w:rPr>
          <w:noProof/>
        </w:rPr>
        <w:instrText>6</w:instrText>
      </w:r>
      <w:r w:rsidRPr="00B779B1">
        <w:fldChar w:fldCharType="end"/>
      </w:r>
      <w:r w:rsidRPr="00B779B1">
        <w:instrText xml:space="preserve"> </w:instrText>
      </w:r>
      <w:r w:rsidRPr="00B779B1">
        <w:fldChar w:fldCharType="separate"/>
      </w:r>
      <w:r w:rsidR="00520F9E">
        <w:rPr>
          <w:noProof/>
        </w:rPr>
        <w:instrText>8</w:instrText>
      </w:r>
      <w:r w:rsidRPr="00B779B1">
        <w:fldChar w:fldCharType="end"/>
      </w:r>
      <w:r w:rsidRPr="00B779B1">
        <w:instrText xml:space="preserve">" "" </w:instrText>
      </w:r>
      <w:r w:rsidRPr="00B779B1">
        <w:fldChar w:fldCharType="separate"/>
      </w:r>
      <w:bookmarkStart w:id="7044" w:name="_Caption5695"/>
      <w:bookmarkStart w:id="7045" w:name="_Caption9058"/>
      <w:bookmarkStart w:id="7046" w:name="_Caption2079"/>
      <w:bookmarkStart w:id="7047" w:name="_Caption1955"/>
      <w:bookmarkStart w:id="7048" w:name="_Caption4862"/>
      <w:bookmarkStart w:id="7049" w:name="_Caption8329"/>
      <w:bookmarkStart w:id="7050" w:name="_Caption6884"/>
      <w:bookmarkStart w:id="7051" w:name="_Caption5762"/>
      <w:bookmarkStart w:id="7052" w:name="_Caption4409"/>
      <w:bookmarkStart w:id="7053" w:name="_Caption5134"/>
      <w:bookmarkStart w:id="7054" w:name="_Caption7473"/>
      <w:bookmarkStart w:id="7055" w:name="_Caption1597"/>
      <w:bookmarkStart w:id="7056" w:name="_Caption0340"/>
      <w:bookmarkStart w:id="7057" w:name="_Caption4706"/>
      <w:bookmarkStart w:id="7058" w:name="_Caption2021"/>
      <w:bookmarkStart w:id="7059" w:name="_Caption0607"/>
      <w:bookmarkStart w:id="7060" w:name="_Caption2716"/>
      <w:bookmarkStart w:id="7061" w:name="_Caption1618"/>
      <w:bookmarkStart w:id="7062" w:name="_Caption2632"/>
      <w:bookmarkStart w:id="7063" w:name="_Caption7518"/>
      <w:bookmarkStart w:id="7064" w:name="_Caption1636"/>
      <w:bookmarkStart w:id="7065" w:name="_Caption9574"/>
      <w:bookmarkStart w:id="7066" w:name="_Caption9598"/>
      <w:bookmarkStart w:id="7067" w:name="_Caption7075"/>
      <w:bookmarkStart w:id="7068" w:name="_Caption6245"/>
      <w:bookmarkStart w:id="7069" w:name="_Caption3082"/>
      <w:bookmarkStart w:id="7070" w:name="_Caption9463"/>
      <w:bookmarkStart w:id="7071" w:name="_Caption2624"/>
      <w:bookmarkStart w:id="7072" w:name="_Caption4154"/>
      <w:bookmarkStart w:id="7073" w:name="_Caption5749"/>
      <w:bookmarkStart w:id="7074" w:name="_Caption2589"/>
      <w:bookmarkStart w:id="7075" w:name="_Caption6097"/>
      <w:bookmarkStart w:id="7076" w:name="_Caption8971"/>
      <w:bookmarkStart w:id="7077" w:name="_Caption9393"/>
      <w:bookmarkStart w:id="7078" w:name="_Caption7080"/>
      <w:bookmarkStart w:id="7079" w:name="_Caption6601"/>
      <w:bookmarkStart w:id="7080" w:name="_Caption1831"/>
      <w:bookmarkStart w:id="7081" w:name="_Caption3216"/>
      <w:bookmarkStart w:id="7082" w:name="_Caption2609"/>
      <w:bookmarkStart w:id="7083" w:name="_Caption4860"/>
      <w:bookmarkStart w:id="7084" w:name="_Caption0069"/>
      <w:bookmarkStart w:id="7085" w:name="_Caption0690"/>
      <w:bookmarkStart w:id="7086" w:name="_Caption3489"/>
      <w:bookmarkStart w:id="7087" w:name="_Caption6956"/>
      <w:bookmarkStart w:id="7088" w:name="_Caption4210"/>
      <w:bookmarkStart w:id="7089" w:name="_Caption1436"/>
      <w:bookmarkStart w:id="7090" w:name="_Caption5458"/>
      <w:bookmarkStart w:id="7091" w:name="_Caption6278"/>
      <w:bookmarkStart w:id="7092" w:name="_Caption9378"/>
      <w:bookmarkStart w:id="7093" w:name="_Caption9606"/>
      <w:bookmarkStart w:id="7094" w:name="_Caption5632"/>
      <w:bookmarkStart w:id="7095" w:name="_Caption1026"/>
      <w:bookmarkStart w:id="7096" w:name="_Caption6492"/>
      <w:bookmarkStart w:id="7097" w:name="_Caption7210"/>
      <w:bookmarkStart w:id="7098" w:name="_Toc177735213"/>
      <w:bookmarkStart w:id="7099" w:name="_Toc178292650"/>
      <w:r w:rsidR="008C60A3">
        <w:rPr>
          <w:noProof/>
        </w:rPr>
        <w:t>B</w:t>
      </w:r>
      <w:r w:rsidR="008C60A3" w:rsidRPr="00B779B1">
        <w:rPr>
          <w:noProof/>
        </w:rPr>
        <w:t>.</w:t>
      </w:r>
      <w:r w:rsidR="008C60A3">
        <w:rPr>
          <w:noProof/>
        </w:rPr>
        <w:t>8</w:t>
      </w:r>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r w:rsidRPr="00B779B1">
        <w:fldChar w:fldCharType="end"/>
      </w:r>
      <w:r w:rsidRPr="00B779B1">
        <w:tab/>
        <w:t>Average wholesale electricity prices 2019-2021 — ACT</w:t>
      </w:r>
      <w:bookmarkEnd w:id="7098"/>
      <w:bookmarkEnd w:id="7099"/>
    </w:p>
    <w:p w14:paraId="69EA9C6B" w14:textId="77777777" w:rsidR="009B4D09" w:rsidRPr="00A55EF4" w:rsidRDefault="009B4D09" w:rsidP="009B4D09">
      <w:pPr>
        <w:pStyle w:val="Subtitlebox"/>
      </w:pPr>
      <w:r w:rsidRPr="007F0069">
        <w:rPr>
          <w:noProof/>
        </w:rPr>
        <w:drawing>
          <wp:inline distT="0" distB="0" distL="0" distR="0" wp14:anchorId="2801C9A1" wp14:editId="67A0F8BB">
            <wp:extent cx="4823460" cy="2457450"/>
            <wp:effectExtent l="76200" t="76200" r="72390" b="76200"/>
            <wp:docPr id="1863916478" name="Picture 1863916478" descr="Chart B.8 - Average wholesale electricity prices by time of day and season 2019-2021 — 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916478" name="Picture 1863916478" descr="Chart B.8 - Average wholesale electricity prices by time of day and season 2019-2021 — ACT"/>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r="4212"/>
                    <a:stretch/>
                  </pic:blipFill>
                  <pic:spPr bwMode="auto">
                    <a:xfrm>
                      <a:off x="0" y="0"/>
                      <a:ext cx="4823460" cy="245745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687FA4D0" w14:textId="77777777" w:rsidR="009B4D09" w:rsidRPr="00471D40" w:rsidRDefault="009B4D09" w:rsidP="009B4D09">
      <w:pPr>
        <w:pStyle w:val="Source"/>
      </w:pPr>
      <w:r>
        <w:rPr>
          <w:i/>
        </w:rPr>
        <w:t xml:space="preserve">Note: </w:t>
      </w:r>
      <w:r>
        <w:rPr>
          <w:iCs/>
        </w:rPr>
        <w:t>Summer covers December to February. Autumn covers March to May. Winter covers June to August. Spring covers September to November.</w:t>
      </w:r>
    </w:p>
    <w:p w14:paraId="03E2A7A4" w14:textId="0638EFBB" w:rsidR="009B4D09" w:rsidRDefault="009B4D09" w:rsidP="009B4D09">
      <w:pPr>
        <w:pStyle w:val="Source"/>
      </w:pPr>
      <w:r>
        <w:rPr>
          <w:i/>
        </w:rPr>
        <w:t>Data source</w:t>
      </w:r>
      <w:r w:rsidRPr="00A67576">
        <w:rPr>
          <w:i/>
        </w:rPr>
        <w:t>:</w:t>
      </w:r>
      <w:r>
        <w:t xml:space="preserve"> </w:t>
      </w:r>
      <w:r w:rsidRPr="00867EEC">
        <w:t xml:space="preserve">AEMO, ‘NEM data dashboard’, 2023, </w:t>
      </w:r>
      <w:hyperlink r:id="rId59" w:history="1">
        <w:r w:rsidRPr="008E035C">
          <w:rPr>
            <w:rStyle w:val="Hyperlink"/>
          </w:rPr>
          <w:t>https://aemo.com.au/en/energy-systems/electricity/national-electricity-market-nem/data-nem/data-dashboard-nem</w:t>
        </w:r>
      </w:hyperlink>
      <w:r>
        <w:t xml:space="preserve">. </w:t>
      </w:r>
    </w:p>
    <w:p w14:paraId="2945FD85" w14:textId="143EC289" w:rsidR="009B4D09" w:rsidRPr="00B779B1" w:rsidRDefault="009B4D09" w:rsidP="009B4D09">
      <w:pPr>
        <w:pStyle w:val="Caption"/>
      </w:pPr>
      <w:r w:rsidRPr="00B779B1">
        <w:fldChar w:fldCharType="begin"/>
      </w:r>
      <w:r w:rsidRPr="00B779B1">
        <w:instrText xml:space="preserve"> IF 1 = 1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 0 ""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w:instrText>
      </w:r>
      <w:r w:rsidRPr="00B779B1">
        <w:fldChar w:fldCharType="separate"/>
      </w:r>
      <w:r w:rsidRPr="00B779B1">
        <w:instrText>Error! No text of specified style in document..</w:instrText>
      </w:r>
      <w:r w:rsidRPr="00B779B1">
        <w:fldChar w:fldCharType="end"/>
      </w:r>
      <w:r w:rsidRPr="00B779B1">
        <w:instrText>" "</w:instrText>
      </w:r>
      <w:fldSimple w:instr=" STYLEREF &quot;Heading 6&quot; \l \n ">
        <w:r w:rsidR="00520F9E">
          <w:rPr>
            <w:noProof/>
          </w:rPr>
          <w:instrText>B</w:instrText>
        </w:r>
      </w:fldSimple>
      <w:r w:rsidRPr="00B779B1">
        <w:instrText xml:space="preserve">." </w:instrText>
      </w:r>
      <w:r w:rsidRPr="00B779B1">
        <w:fldChar w:fldCharType="separate"/>
      </w:r>
      <w:r w:rsidR="00520F9E">
        <w:rPr>
          <w:noProof/>
        </w:rPr>
        <w:instrText>B</w:instrText>
      </w:r>
      <w:r w:rsidR="00520F9E" w:rsidRPr="00B779B1">
        <w:rPr>
          <w:noProof/>
        </w:rPr>
        <w:instrText>.</w:instrText>
      </w:r>
      <w:r w:rsidRPr="00B779B1">
        <w:fldChar w:fldCharType="end"/>
      </w:r>
      <w:r w:rsidRPr="00B779B1">
        <w:fldChar w:fldCharType="begin"/>
      </w:r>
      <w:r w:rsidRPr="00B779B1">
        <w:instrText xml:space="preserve"> SEQ Item \* ARABIC \s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 0 "" "1" </w:instrText>
      </w:r>
      <w:r w:rsidRPr="00B779B1">
        <w:fldChar w:fldCharType="separate"/>
      </w:r>
      <w:r w:rsidRPr="00B779B1">
        <w:instrText>1</w:instrText>
      </w:r>
      <w:r w:rsidRPr="00B779B1">
        <w:fldChar w:fldCharType="end"/>
      </w:r>
      <w:r w:rsidRPr="00B779B1">
        <w:instrText xml:space="preserve">" "6" </w:instrText>
      </w:r>
      <w:r w:rsidRPr="00B779B1">
        <w:fldChar w:fldCharType="separate"/>
      </w:r>
      <w:r w:rsidR="00520F9E" w:rsidRPr="00B779B1">
        <w:rPr>
          <w:noProof/>
        </w:rPr>
        <w:instrText>6</w:instrText>
      </w:r>
      <w:r w:rsidRPr="00B779B1">
        <w:fldChar w:fldCharType="end"/>
      </w:r>
      <w:r w:rsidRPr="00B779B1">
        <w:instrText xml:space="preserve"> </w:instrText>
      </w:r>
      <w:r w:rsidRPr="00B779B1">
        <w:fldChar w:fldCharType="separate"/>
      </w:r>
      <w:r w:rsidR="00520F9E">
        <w:rPr>
          <w:noProof/>
        </w:rPr>
        <w:instrText>9</w:instrText>
      </w:r>
      <w:r w:rsidRPr="00B779B1">
        <w:fldChar w:fldCharType="end"/>
      </w:r>
      <w:r w:rsidRPr="00B779B1">
        <w:instrText xml:space="preserve">" "" </w:instrText>
      </w:r>
      <w:r w:rsidRPr="00B779B1">
        <w:fldChar w:fldCharType="separate"/>
      </w:r>
      <w:bookmarkStart w:id="7100" w:name="_Caption3025"/>
      <w:bookmarkStart w:id="7101" w:name="_Caption4251"/>
      <w:bookmarkStart w:id="7102" w:name="_Caption6715"/>
      <w:bookmarkStart w:id="7103" w:name="_Caption9524"/>
      <w:bookmarkStart w:id="7104" w:name="_Caption9750"/>
      <w:bookmarkStart w:id="7105" w:name="_Caption1920"/>
      <w:bookmarkStart w:id="7106" w:name="_Caption7765"/>
      <w:bookmarkStart w:id="7107" w:name="_Caption2284"/>
      <w:bookmarkStart w:id="7108" w:name="_Caption3318"/>
      <w:bookmarkStart w:id="7109" w:name="_Caption6014"/>
      <w:bookmarkStart w:id="7110" w:name="_Caption1413"/>
      <w:bookmarkStart w:id="7111" w:name="_Caption3826"/>
      <w:bookmarkStart w:id="7112" w:name="_Caption5747"/>
      <w:bookmarkStart w:id="7113" w:name="_Caption7601"/>
      <w:bookmarkStart w:id="7114" w:name="_Caption0780"/>
      <w:bookmarkStart w:id="7115" w:name="_Caption3171"/>
      <w:bookmarkStart w:id="7116" w:name="_Caption6039"/>
      <w:bookmarkStart w:id="7117" w:name="_Caption2289"/>
      <w:bookmarkStart w:id="7118" w:name="_Caption0010"/>
      <w:bookmarkStart w:id="7119" w:name="_Caption5242"/>
      <w:bookmarkStart w:id="7120" w:name="_Caption9228"/>
      <w:bookmarkStart w:id="7121" w:name="_Caption3631"/>
      <w:bookmarkStart w:id="7122" w:name="_Caption7954"/>
      <w:bookmarkStart w:id="7123" w:name="_Caption3270"/>
      <w:bookmarkStart w:id="7124" w:name="_Caption8832"/>
      <w:bookmarkStart w:id="7125" w:name="_Caption3383"/>
      <w:bookmarkStart w:id="7126" w:name="_Caption3522"/>
      <w:bookmarkStart w:id="7127" w:name="_Caption0092"/>
      <w:bookmarkStart w:id="7128" w:name="_Caption3473"/>
      <w:bookmarkStart w:id="7129" w:name="_Caption3466"/>
      <w:bookmarkStart w:id="7130" w:name="_Caption5286"/>
      <w:bookmarkStart w:id="7131" w:name="_Caption8381"/>
      <w:bookmarkStart w:id="7132" w:name="_Caption4044"/>
      <w:bookmarkStart w:id="7133" w:name="_Caption6580"/>
      <w:bookmarkStart w:id="7134" w:name="_Caption2673"/>
      <w:bookmarkStart w:id="7135" w:name="_Caption2664"/>
      <w:bookmarkStart w:id="7136" w:name="_Caption0749"/>
      <w:bookmarkStart w:id="7137" w:name="_Caption4078"/>
      <w:bookmarkStart w:id="7138" w:name="_Caption0951"/>
      <w:bookmarkStart w:id="7139" w:name="_Caption7040"/>
      <w:bookmarkStart w:id="7140" w:name="_Caption3842"/>
      <w:bookmarkStart w:id="7141" w:name="_Caption7850"/>
      <w:bookmarkStart w:id="7142" w:name="_Caption0147"/>
      <w:bookmarkStart w:id="7143" w:name="_Caption0142"/>
      <w:bookmarkStart w:id="7144" w:name="_Caption8314"/>
      <w:bookmarkStart w:id="7145" w:name="_Caption8469"/>
      <w:bookmarkStart w:id="7146" w:name="_Caption3940"/>
      <w:bookmarkStart w:id="7147" w:name="_Caption6942"/>
      <w:bookmarkStart w:id="7148" w:name="_Caption4926"/>
      <w:bookmarkStart w:id="7149" w:name="_Caption8549"/>
      <w:bookmarkStart w:id="7150" w:name="_Caption2825"/>
      <w:bookmarkStart w:id="7151" w:name="_Caption7459"/>
      <w:bookmarkStart w:id="7152" w:name="_Caption3469"/>
      <w:bookmarkStart w:id="7153" w:name="_Caption1364"/>
      <w:bookmarkStart w:id="7154" w:name="_Caption3026"/>
      <w:bookmarkStart w:id="7155" w:name="_Caption4840"/>
      <w:bookmarkStart w:id="7156" w:name="_Caption1186"/>
      <w:bookmarkStart w:id="7157" w:name="_Caption9104"/>
      <w:bookmarkStart w:id="7158" w:name="_Caption2514"/>
      <w:bookmarkStart w:id="7159" w:name="_Caption2485"/>
      <w:bookmarkStart w:id="7160" w:name="_Toc177735214"/>
      <w:bookmarkStart w:id="7161" w:name="_Toc178292651"/>
      <w:r w:rsidR="008C60A3">
        <w:rPr>
          <w:noProof/>
        </w:rPr>
        <w:t>B</w:t>
      </w:r>
      <w:r w:rsidR="008C60A3" w:rsidRPr="00B779B1">
        <w:rPr>
          <w:noProof/>
        </w:rPr>
        <w:t>.</w:t>
      </w:r>
      <w:r w:rsidR="008C60A3">
        <w:rPr>
          <w:noProof/>
        </w:rPr>
        <w:t>9</w:t>
      </w:r>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r w:rsidRPr="00B779B1">
        <w:fldChar w:fldCharType="end"/>
      </w:r>
      <w:r w:rsidRPr="00B779B1">
        <w:tab/>
        <w:t>Average wholesale electricity prices 2019-2021 — Northern Territory</w:t>
      </w:r>
      <w:bookmarkEnd w:id="7160"/>
      <w:bookmarkEnd w:id="7161"/>
    </w:p>
    <w:p w14:paraId="7D1BA0F8" w14:textId="77777777" w:rsidR="009B4D09" w:rsidRPr="00A55EF4" w:rsidRDefault="009B4D09" w:rsidP="009B4D09">
      <w:pPr>
        <w:pStyle w:val="Subtitlebox"/>
      </w:pPr>
      <w:r w:rsidRPr="007F0069">
        <w:rPr>
          <w:noProof/>
        </w:rPr>
        <w:drawing>
          <wp:inline distT="0" distB="0" distL="0" distR="0" wp14:anchorId="25731692" wp14:editId="4B35A373">
            <wp:extent cx="4800600" cy="2457450"/>
            <wp:effectExtent l="76200" t="76200" r="76200" b="76200"/>
            <wp:docPr id="2089847748" name="Picture 2089847748" descr="Chart B.9  - Average wholesale electricity prices by time of day and season 2019-2021 — Northern Terri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847748" name="Picture 2089847748" descr="Chart B.9  - Average wholesale electricity prices by time of day and season 2019-2021 — Northern Territory"/>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r="4666"/>
                    <a:stretch/>
                  </pic:blipFill>
                  <pic:spPr bwMode="auto">
                    <a:xfrm>
                      <a:off x="0" y="0"/>
                      <a:ext cx="4800600" cy="245745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27FB3924" w14:textId="77777777" w:rsidR="009B4D09" w:rsidRPr="00471D40" w:rsidRDefault="009B4D09" w:rsidP="009B4D09">
      <w:pPr>
        <w:pStyle w:val="Source"/>
      </w:pPr>
      <w:r>
        <w:rPr>
          <w:i/>
        </w:rPr>
        <w:t xml:space="preserve">Note: </w:t>
      </w:r>
      <w:r>
        <w:rPr>
          <w:iCs/>
        </w:rPr>
        <w:t>Summer covers December to February. Autumn covers March to May. Winter covers June to August. Spring covers September to November.</w:t>
      </w:r>
    </w:p>
    <w:p w14:paraId="6BCBD50B" w14:textId="4671B9E9" w:rsidR="009B4D09" w:rsidRDefault="009B4D09" w:rsidP="009B4D09">
      <w:pPr>
        <w:pStyle w:val="Source"/>
      </w:pPr>
      <w:r>
        <w:rPr>
          <w:i/>
        </w:rPr>
        <w:t>Data source</w:t>
      </w:r>
      <w:r w:rsidRPr="00A67576">
        <w:rPr>
          <w:i/>
        </w:rPr>
        <w:t>:</w:t>
      </w:r>
      <w:r>
        <w:t xml:space="preserve"> </w:t>
      </w:r>
      <w:r w:rsidRPr="007356D0">
        <w:t>Northern Territory Electricity System and Market Operator (NTESMO)</w:t>
      </w:r>
      <w:r>
        <w:t xml:space="preserve"> 2022</w:t>
      </w:r>
      <w:r w:rsidRPr="007356D0">
        <w:t xml:space="preserve">, ‘Historical daily trading data’, </w:t>
      </w:r>
      <w:hyperlink r:id="rId61" w:history="1">
        <w:r w:rsidRPr="006B6F44">
          <w:rPr>
            <w:rStyle w:val="Hyperlink"/>
          </w:rPr>
          <w:t>https://ntesmo.com.au/data/daily-trading/historical-daily-trading-data</w:t>
        </w:r>
      </w:hyperlink>
      <w:r>
        <w:t xml:space="preserve"> </w:t>
      </w:r>
    </w:p>
    <w:p w14:paraId="05B90554" w14:textId="77777777" w:rsidR="009B4D09" w:rsidRDefault="009B4D09" w:rsidP="009B4D09">
      <w:pPr>
        <w:pStyle w:val="Heading8"/>
        <w:rPr>
          <w:lang w:bidi="fa-IR"/>
        </w:rPr>
      </w:pPr>
      <w:r>
        <w:rPr>
          <w:lang w:bidi="fa-IR"/>
        </w:rPr>
        <w:t>Network costs</w:t>
      </w:r>
    </w:p>
    <w:p w14:paraId="260E2496" w14:textId="77777777" w:rsidR="009B4D09" w:rsidRPr="00020609" w:rsidRDefault="009B4D09" w:rsidP="009B4D09">
      <w:pPr>
        <w:pStyle w:val="BodyText"/>
        <w:rPr>
          <w:lang w:bidi="fa-IR"/>
        </w:rPr>
      </w:pPr>
      <w:r>
        <w:rPr>
          <w:lang w:bidi="fa-IR"/>
        </w:rPr>
        <w:t>To determine network charges, we reviewed the price offerings lodged by each provider with AER,</w:t>
      </w:r>
      <w:r>
        <w:rPr>
          <w:rStyle w:val="FootnoteReference"/>
        </w:rPr>
        <w:footnoteReference w:id="163"/>
      </w:r>
      <w:r>
        <w:rPr>
          <w:lang w:bidi="fa-IR"/>
        </w:rPr>
        <w:t xml:space="preserve"> and, in Western Australia, the pricing lodged by Western Power with the Economic Regulation Authority of Western Australia (ERAWA).</w:t>
      </w:r>
      <w:r>
        <w:rPr>
          <w:rStyle w:val="FootnoteReference"/>
        </w:rPr>
        <w:footnoteReference w:id="164"/>
      </w:r>
      <w:r>
        <w:rPr>
          <w:lang w:bidi="fa-IR"/>
        </w:rPr>
        <w:t xml:space="preserve"> A thorough examination of pricing from a total of 15 providers or distributors has been conducted.</w:t>
      </w:r>
    </w:p>
    <w:p w14:paraId="079E4365" w14:textId="77777777" w:rsidR="009B4D09" w:rsidRDefault="009B4D09" w:rsidP="009B4D09">
      <w:pPr>
        <w:pStyle w:val="BodyText"/>
        <w:rPr>
          <w:lang w:bidi="fa-IR"/>
        </w:rPr>
      </w:pPr>
      <w:r>
        <w:rPr>
          <w:lang w:bidi="fa-IR"/>
        </w:rPr>
        <w:t>Network charges are complex and have wide ranges, as shown by the analysis by DeltaQ.</w:t>
      </w:r>
      <w:r>
        <w:rPr>
          <w:rStyle w:val="FootnoteReference"/>
          <w:lang w:bidi="fa-IR"/>
        </w:rPr>
        <w:footnoteReference w:id="165"/>
      </w:r>
      <w:r>
        <w:rPr>
          <w:lang w:bidi="fa-IR"/>
        </w:rPr>
        <w:t xml:space="preserve"> </w:t>
      </w:r>
    </w:p>
    <w:p w14:paraId="5D8C364F" w14:textId="77777777" w:rsidR="009B4D09" w:rsidRDefault="009B4D09" w:rsidP="009B4D09">
      <w:pPr>
        <w:pStyle w:val="BodyText"/>
        <w:rPr>
          <w:lang w:bidi="fa-IR"/>
        </w:rPr>
      </w:pPr>
      <w:r>
        <w:rPr>
          <w:lang w:bidi="fa-IR"/>
        </w:rPr>
        <w:t>Distributors typically maintain multiple tariff codes to accommodate various user categories (residential, business, etc.) and voltage requirements. For example, Ausgrid has 29 tariff codes in its proposed pricing for 2023-24.</w:t>
      </w:r>
      <w:r>
        <w:rPr>
          <w:rStyle w:val="FootnoteReference"/>
          <w:lang w:bidi="fa-IR"/>
        </w:rPr>
        <w:footnoteReference w:id="166"/>
      </w:r>
    </w:p>
    <w:p w14:paraId="670C4C83" w14:textId="77777777" w:rsidR="009B4D09" w:rsidRDefault="009B4D09" w:rsidP="009B4D09">
      <w:pPr>
        <w:pStyle w:val="BodyText"/>
        <w:rPr>
          <w:lang w:bidi="fa-IR"/>
        </w:rPr>
      </w:pPr>
      <w:r>
        <w:rPr>
          <w:lang w:bidi="fa-IR"/>
        </w:rPr>
        <w:t>For each tariff code, the total network charges, or network use of system (NUOS), generally have three components:</w:t>
      </w:r>
    </w:p>
    <w:p w14:paraId="5DE0394C" w14:textId="77777777" w:rsidR="009B4D09" w:rsidRDefault="009B4D09" w:rsidP="009B4D09">
      <w:pPr>
        <w:pStyle w:val="ListBullet"/>
        <w:tabs>
          <w:tab w:val="num" w:pos="709"/>
        </w:tabs>
        <w:rPr>
          <w:lang w:bidi="fa-IR"/>
        </w:rPr>
      </w:pPr>
      <w:r>
        <w:rPr>
          <w:lang w:bidi="fa-IR"/>
        </w:rPr>
        <w:t>distribution use of system (DUOS), which are the charges related to relate to the conveyance of electricity from the transmission network, or generators embedded in the distribution network, to customers, covering the cost of installing and maintaining local electricity distribution networks;</w:t>
      </w:r>
    </w:p>
    <w:p w14:paraId="7E02EE2D" w14:textId="77777777" w:rsidR="009B4D09" w:rsidRDefault="009B4D09" w:rsidP="009B4D09">
      <w:pPr>
        <w:pStyle w:val="ListBullet"/>
        <w:tabs>
          <w:tab w:val="num" w:pos="709"/>
        </w:tabs>
        <w:rPr>
          <w:lang w:bidi="fa-IR"/>
        </w:rPr>
      </w:pPr>
      <w:r>
        <w:rPr>
          <w:lang w:bidi="fa-IR"/>
        </w:rPr>
        <w:t xml:space="preserve">transmission use of system (TUOS), which are the charges related to the cost of shared network services to convey electricity from sources of generation connected to the transmission network to customers; and </w:t>
      </w:r>
    </w:p>
    <w:p w14:paraId="51781ED2" w14:textId="77777777" w:rsidR="009B4D09" w:rsidRDefault="009B4D09" w:rsidP="009B4D09">
      <w:pPr>
        <w:pStyle w:val="ListBullet"/>
        <w:tabs>
          <w:tab w:val="num" w:pos="709"/>
        </w:tabs>
        <w:rPr>
          <w:lang w:bidi="fa-IR"/>
        </w:rPr>
      </w:pPr>
      <w:r>
        <w:rPr>
          <w:lang w:bidi="fa-IR"/>
        </w:rPr>
        <w:t>jurisdictional scheme amounts (JSA), which are the costs of government policies mandated into network tariffs.</w:t>
      </w:r>
    </w:p>
    <w:p w14:paraId="08433C7A" w14:textId="77777777" w:rsidR="009B4D09" w:rsidRDefault="009B4D09" w:rsidP="009B4D09">
      <w:pPr>
        <w:pStyle w:val="BodyText"/>
        <w:rPr>
          <w:lang w:bidi="fa-IR"/>
        </w:rPr>
      </w:pPr>
      <w:r w:rsidRPr="00B738F4">
        <w:rPr>
          <w:lang w:bidi="fa-IR"/>
        </w:rPr>
        <w:t>The JSAs are mostly, if not all, costs related to government environmental and renewable energy policies</w:t>
      </w:r>
      <w:r>
        <w:rPr>
          <w:lang w:bidi="fa-IR"/>
        </w:rPr>
        <w:t>. Examples</w:t>
      </w:r>
      <w:r w:rsidRPr="00B738F4">
        <w:rPr>
          <w:lang w:bidi="fa-IR"/>
        </w:rPr>
        <w:t xml:space="preserve"> for 2023-24</w:t>
      </w:r>
      <w:r>
        <w:rPr>
          <w:lang w:bidi="fa-IR"/>
        </w:rPr>
        <w:t xml:space="preserve"> include: </w:t>
      </w:r>
    </w:p>
    <w:p w14:paraId="1673D429" w14:textId="77777777" w:rsidR="009B4D09" w:rsidRDefault="009B4D09" w:rsidP="009B4D09">
      <w:pPr>
        <w:pStyle w:val="ListBullet"/>
        <w:tabs>
          <w:tab w:val="num" w:pos="709"/>
        </w:tabs>
        <w:rPr>
          <w:lang w:bidi="fa-IR"/>
        </w:rPr>
      </w:pPr>
      <w:r w:rsidRPr="00B738F4">
        <w:rPr>
          <w:lang w:bidi="fa-IR"/>
        </w:rPr>
        <w:t>the Climate Change Fund, NSW Electricity Infrastructure Roadmap contribution determination and the Roadmap exemption in NSW</w:t>
      </w:r>
    </w:p>
    <w:p w14:paraId="749EF971" w14:textId="77777777" w:rsidR="009B4D09" w:rsidRDefault="009B4D09" w:rsidP="009B4D09">
      <w:pPr>
        <w:pStyle w:val="ListBullet"/>
        <w:tabs>
          <w:tab w:val="num" w:pos="709"/>
        </w:tabs>
        <w:rPr>
          <w:lang w:bidi="fa-IR"/>
        </w:rPr>
      </w:pPr>
      <w:r w:rsidRPr="00B738F4">
        <w:rPr>
          <w:lang w:bidi="fa-IR"/>
        </w:rPr>
        <w:t xml:space="preserve">Solar Bonus Scheme in </w:t>
      </w:r>
      <w:r>
        <w:rPr>
          <w:lang w:bidi="fa-IR"/>
        </w:rPr>
        <w:t xml:space="preserve">the </w:t>
      </w:r>
      <w:r w:rsidRPr="00B738F4">
        <w:rPr>
          <w:lang w:bidi="fa-IR"/>
        </w:rPr>
        <w:t>form of feed-in tariff and Energy Industry Levy in QLD</w:t>
      </w:r>
    </w:p>
    <w:p w14:paraId="11D44802" w14:textId="77777777" w:rsidR="009B4D09" w:rsidRDefault="009B4D09" w:rsidP="009B4D09">
      <w:pPr>
        <w:pStyle w:val="ListBullet"/>
        <w:tabs>
          <w:tab w:val="num" w:pos="709"/>
        </w:tabs>
        <w:rPr>
          <w:lang w:bidi="fa-IR"/>
        </w:rPr>
      </w:pPr>
      <w:r w:rsidRPr="00B738F4">
        <w:rPr>
          <w:lang w:bidi="fa-IR"/>
        </w:rPr>
        <w:t xml:space="preserve">PV feed-in tariff and AGL Designated Services Scheme in SA </w:t>
      </w:r>
      <w:r w:rsidRPr="00E50B5A">
        <w:rPr>
          <w:rStyle w:val="FootnoteReference"/>
          <w:lang w:bidi="fa-IR"/>
        </w:rPr>
        <w:footnoteReference w:id="167"/>
      </w:r>
      <w:r w:rsidRPr="00E50B5A">
        <w:rPr>
          <w:rStyle w:val="FootnoteReference"/>
        </w:rPr>
        <w:t xml:space="preserve"> </w:t>
      </w:r>
    </w:p>
    <w:p w14:paraId="17DB3432" w14:textId="77777777" w:rsidR="009B4D09" w:rsidRDefault="009B4D09" w:rsidP="009B4D09">
      <w:pPr>
        <w:pStyle w:val="ListBullet"/>
        <w:tabs>
          <w:tab w:val="num" w:pos="709"/>
        </w:tabs>
        <w:rPr>
          <w:lang w:bidi="fa-IR"/>
        </w:rPr>
      </w:pPr>
      <w:r w:rsidRPr="00B738F4">
        <w:rPr>
          <w:lang w:bidi="fa-IR"/>
        </w:rPr>
        <w:t>Premium PV feed-in tariff and Energy Safe Victoria electricity levies in VIC</w:t>
      </w:r>
      <w:r>
        <w:rPr>
          <w:lang w:bidi="fa-IR"/>
        </w:rPr>
        <w:t>,</w:t>
      </w:r>
      <w:r w:rsidRPr="00E50B5A">
        <w:rPr>
          <w:rStyle w:val="FootnoteReference"/>
          <w:lang w:bidi="fa-IR"/>
        </w:rPr>
        <w:footnoteReference w:id="168"/>
      </w:r>
      <w:r w:rsidRPr="00E50B5A">
        <w:rPr>
          <w:rStyle w:val="FootnoteReference"/>
        </w:rPr>
        <w:t xml:space="preserve"> </w:t>
      </w:r>
      <w:r>
        <w:rPr>
          <w:lang w:bidi="fa-IR"/>
        </w:rPr>
        <w:t>and</w:t>
      </w:r>
    </w:p>
    <w:p w14:paraId="4F6E0FDF" w14:textId="77777777" w:rsidR="009B4D09" w:rsidRPr="00B738F4" w:rsidRDefault="009B4D09" w:rsidP="009B4D09">
      <w:pPr>
        <w:pStyle w:val="ListBullet"/>
        <w:tabs>
          <w:tab w:val="num" w:pos="709"/>
        </w:tabs>
        <w:rPr>
          <w:lang w:bidi="fa-IR"/>
        </w:rPr>
      </w:pPr>
      <w:r w:rsidRPr="00B738F4">
        <w:rPr>
          <w:lang w:bidi="fa-IR"/>
        </w:rPr>
        <w:t>Utilities Network Facilities Tax, and Feed-in Tariff (small, medium and large scale) in the ACT.</w:t>
      </w:r>
      <w:r w:rsidRPr="00E50B5A">
        <w:rPr>
          <w:rStyle w:val="FootnoteReference"/>
          <w:lang w:bidi="fa-IR"/>
        </w:rPr>
        <w:footnoteReference w:id="169"/>
      </w:r>
      <w:r w:rsidRPr="00E50B5A">
        <w:rPr>
          <w:rStyle w:val="FootnoteReference"/>
        </w:rPr>
        <w:t xml:space="preserve"> </w:t>
      </w:r>
    </w:p>
    <w:p w14:paraId="4C63B035" w14:textId="77777777" w:rsidR="009B4D09" w:rsidRDefault="009B4D09" w:rsidP="009B4D09">
      <w:pPr>
        <w:pStyle w:val="BodyText"/>
        <w:rPr>
          <w:lang w:bidi="fa-IR"/>
        </w:rPr>
      </w:pPr>
      <w:r w:rsidRPr="00B738F4">
        <w:rPr>
          <w:lang w:bidi="fa-IR"/>
        </w:rPr>
        <w:t xml:space="preserve">JSAs are recovered from customers of each distributor through consumption charges and thus included as part of NUOS. According to the 2023-24 pricing proposal of Power and Water Corporation (NT), Western Power (WA) and TasNetworks (Tasmania), there appears no jurisdiction scheme </w:t>
      </w:r>
      <w:r>
        <w:rPr>
          <w:lang w:bidi="fa-IR"/>
        </w:rPr>
        <w:t xml:space="preserve">that they </w:t>
      </w:r>
      <w:r w:rsidRPr="00B738F4">
        <w:rPr>
          <w:lang w:bidi="fa-IR"/>
        </w:rPr>
        <w:t>administrated and thus no JSA applicable to their customers. Distributors in other jurisdictions cover contributions to state-level scheme</w:t>
      </w:r>
      <w:r>
        <w:rPr>
          <w:lang w:bidi="fa-IR"/>
        </w:rPr>
        <w:t>s</w:t>
      </w:r>
      <w:r w:rsidRPr="00B738F4">
        <w:rPr>
          <w:lang w:bidi="fa-IR"/>
        </w:rPr>
        <w:t xml:space="preserve"> through JSA charges ranging from $0.77/kWh to $13.13/kWh.</w:t>
      </w:r>
    </w:p>
    <w:p w14:paraId="276BC50F" w14:textId="77777777" w:rsidR="009B4D09" w:rsidRDefault="009B4D09" w:rsidP="009B4D09">
      <w:pPr>
        <w:pStyle w:val="BodyText"/>
        <w:rPr>
          <w:lang w:bidi="fa-IR"/>
        </w:rPr>
      </w:pPr>
      <w:r>
        <w:rPr>
          <w:lang w:bidi="fa-IR"/>
        </w:rPr>
        <w:t>For DUOS and TUOS, distributors commonly introduce a combination of fixed supply charges, usage or consumption charges, and demand or capacity charges. The fixed supply charges are assessed based on the duration of connection and remain unaffected by variations in energy consumption. Consequently, these fixed charges are not considered in the network charges when evaluating changes in energy consumption resulting from proposed modifications to energy efficiency requirements in the NCC.</w:t>
      </w:r>
    </w:p>
    <w:p w14:paraId="6C73A830" w14:textId="77777777" w:rsidR="009B4D09" w:rsidRPr="00345467" w:rsidRDefault="009B4D09" w:rsidP="009B4D09">
      <w:pPr>
        <w:pStyle w:val="BodyText"/>
        <w:rPr>
          <w:lang w:bidi="fa-IR"/>
        </w:rPr>
      </w:pPr>
      <w:r w:rsidRPr="00345467">
        <w:rPr>
          <w:lang w:bidi="fa-IR"/>
        </w:rPr>
        <w:t xml:space="preserve">Energy usage or consumption is billed based on kilowatt-hours (kWh) or megawatt-hour (MWh) while the demand or capacity charges are determined by kilovolt-amperes (kVA) or kilowatts (kW) per day. kW represents the ‘actual’ power received by a user, indicating the amount of power converted into useful, working output. On the other hand, kVA is the measure of ‘apparent’ power, representing the total power being used in the system. </w:t>
      </w:r>
    </w:p>
    <w:p w14:paraId="2C082E2D" w14:textId="77777777" w:rsidR="009B4D09" w:rsidRPr="00345467" w:rsidRDefault="009B4D09" w:rsidP="009B4D09">
      <w:pPr>
        <w:pStyle w:val="BodyText"/>
        <w:rPr>
          <w:lang w:bidi="fa-IR"/>
        </w:rPr>
      </w:pPr>
      <w:r w:rsidRPr="00345467">
        <w:rPr>
          <w:lang w:bidi="fa-IR"/>
        </w:rPr>
        <w:t xml:space="preserve">Most distributors implement time of use pricing for energy consumption and demand/capacity charges to align with the fluctuating energy demand during peak hours, weekdays, weekends and public holidays, through setting up charging windows with different consumption charges in forms of peak, shoulder (if applicable), and off-peak windows defined for a period of time in a day. </w:t>
      </w:r>
    </w:p>
    <w:p w14:paraId="50E04E30" w14:textId="77777777" w:rsidR="009B4D09" w:rsidRPr="00345467" w:rsidRDefault="009B4D09" w:rsidP="009B4D09">
      <w:pPr>
        <w:pStyle w:val="BodyText"/>
        <w:rPr>
          <w:lang w:bidi="fa-IR"/>
        </w:rPr>
      </w:pPr>
      <w:r w:rsidRPr="00345467">
        <w:rPr>
          <w:lang w:bidi="fa-IR"/>
        </w:rPr>
        <w:t>Additionally, some distributors incorporate seasonal time of use pricing to account for seasonal variation in energy demand throughout the year. For instance, Ausgrid’s business customers encounter peak window charges between 2pm and 8pm on working weekdays during both summer mouths (from 1 November to 31 March) and winter months (from 1 June to 31 August).</w:t>
      </w:r>
      <w:r w:rsidRPr="00345467">
        <w:rPr>
          <w:rStyle w:val="FootnoteReference"/>
        </w:rPr>
        <w:footnoteReference w:id="170"/>
      </w:r>
    </w:p>
    <w:p w14:paraId="4824591C" w14:textId="77777777" w:rsidR="009B4D09" w:rsidRDefault="009B4D09" w:rsidP="009B4D09">
      <w:pPr>
        <w:pStyle w:val="Heading9"/>
        <w:rPr>
          <w:lang w:eastAsia="en-US" w:bidi="fa-IR"/>
        </w:rPr>
      </w:pPr>
      <w:bookmarkStart w:id="7162" w:name="_Caption1797"/>
      <w:bookmarkStart w:id="7163" w:name="_Caption9127"/>
      <w:r>
        <w:rPr>
          <w:lang w:eastAsia="en-US" w:bidi="fa-IR"/>
        </w:rPr>
        <w:t>N</w:t>
      </w:r>
      <w:bookmarkEnd w:id="7162"/>
      <w:bookmarkEnd w:id="7163"/>
      <w:r>
        <w:rPr>
          <w:lang w:eastAsia="en-US" w:bidi="fa-IR"/>
        </w:rPr>
        <w:t>etwork capacity costs</w:t>
      </w:r>
    </w:p>
    <w:p w14:paraId="357B6090" w14:textId="0F5E2182" w:rsidR="009B4D09" w:rsidRDefault="009B4D09" w:rsidP="009B4D09">
      <w:pPr>
        <w:pStyle w:val="BodyText"/>
        <w:rPr>
          <w:lang w:eastAsia="en-US" w:bidi="fa-IR"/>
        </w:rPr>
      </w:pPr>
      <w:r>
        <w:rPr>
          <w:lang w:eastAsia="en-US" w:bidi="fa-IR"/>
        </w:rPr>
        <w:t>Avoided network capacity costs are estimated based on the network capacity charges that apply in each state and territory (table </w:t>
      </w:r>
      <w:r>
        <w:rPr>
          <w:lang w:eastAsia="en-US" w:bidi="fa-IR"/>
        </w:rPr>
        <w:fldChar w:fldCharType="begin"/>
      </w:r>
      <w:r>
        <w:rPr>
          <w:lang w:eastAsia="en-US" w:bidi="fa-IR"/>
        </w:rPr>
        <w:instrText xml:space="preserve"> REF _Caption6923 </w:instrText>
      </w:r>
      <w:r>
        <w:rPr>
          <w:lang w:eastAsia="en-US" w:bidi="fa-IR"/>
        </w:rPr>
        <w:fldChar w:fldCharType="separate"/>
      </w:r>
      <w:r w:rsidR="0096258B">
        <w:rPr>
          <w:noProof/>
        </w:rPr>
        <w:t>B</w:t>
      </w:r>
      <w:r w:rsidR="0096258B" w:rsidRPr="00B779B1">
        <w:rPr>
          <w:noProof/>
        </w:rPr>
        <w:t>.</w:t>
      </w:r>
      <w:r w:rsidR="0096258B">
        <w:rPr>
          <w:noProof/>
        </w:rPr>
        <w:t>10</w:t>
      </w:r>
      <w:r>
        <w:rPr>
          <w:lang w:eastAsia="en-US" w:bidi="fa-IR"/>
        </w:rPr>
        <w:fldChar w:fldCharType="end"/>
      </w:r>
      <w:r>
        <w:rPr>
          <w:lang w:eastAsia="en-US" w:bidi="fa-IR"/>
        </w:rPr>
        <w:t>). Although there is some variation in the way network capacity charges are applied, they are typically based on the peak usage during an hourly interval (within a designated peak period) in the relevant billing period (usually monthly).</w:t>
      </w:r>
    </w:p>
    <w:p w14:paraId="59344289" w14:textId="6E7EB90B" w:rsidR="009B4D09" w:rsidRPr="00B779B1" w:rsidRDefault="009B4D09" w:rsidP="009B4D09">
      <w:pPr>
        <w:pStyle w:val="Caption"/>
      </w:pPr>
      <w:r w:rsidRPr="00B779B1">
        <w:fldChar w:fldCharType="begin"/>
      </w:r>
      <w:r w:rsidRPr="00B779B1">
        <w:instrText xml:space="preserve"> IF 1 = 1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fldSimple w:instr=" STYLEREF &quot;Heading 1&quot; \l \n ">
        <w:r w:rsidRPr="00B779B1">
          <w:instrText>0</w:instrText>
        </w:r>
      </w:fldSimple>
      <w:r w:rsidRPr="00B779B1">
        <w:instrText xml:space="preserve"> = 0 "" "</w:instrText>
      </w:r>
      <w:fldSimple w:instr=" STYLEREF &quot;Heading 1&quot; \l \n ">
        <w:r w:rsidRPr="00B779B1">
          <w:instrText>2</w:instrText>
        </w:r>
      </w:fldSimple>
      <w:r w:rsidRPr="00B779B1">
        <w:instrText xml:space="preserve">." </w:instrText>
      </w:r>
      <w:r w:rsidRPr="00B779B1">
        <w:fldChar w:fldCharType="end"/>
      </w:r>
      <w:r w:rsidRPr="00B779B1">
        <w:instrText>" "</w:instrText>
      </w:r>
      <w:fldSimple w:instr=" STYLEREF &quot;Heading 6&quot; \l \n ">
        <w:r w:rsidR="00520F9E">
          <w:rPr>
            <w:noProof/>
          </w:rPr>
          <w:instrText>B</w:instrText>
        </w:r>
      </w:fldSimple>
      <w:r w:rsidRPr="00B779B1">
        <w:instrText xml:space="preserve">." </w:instrText>
      </w:r>
      <w:r w:rsidRPr="00B779B1">
        <w:fldChar w:fldCharType="separate"/>
      </w:r>
      <w:r w:rsidR="00520F9E">
        <w:rPr>
          <w:noProof/>
        </w:rPr>
        <w:instrText>B</w:instrText>
      </w:r>
      <w:r w:rsidR="00520F9E" w:rsidRPr="00B779B1">
        <w:rPr>
          <w:noProof/>
        </w:rPr>
        <w:instrText>.</w:instrText>
      </w:r>
      <w:r w:rsidRPr="00B779B1">
        <w:fldChar w:fldCharType="end"/>
      </w:r>
      <w:r w:rsidRPr="00B779B1">
        <w:fldChar w:fldCharType="begin"/>
      </w:r>
      <w:r w:rsidRPr="00B779B1">
        <w:instrText xml:space="preserve"> SEQ Item \* ARABIC \s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fldSimple w:instr=" STYLEREF &quot;Heading 1&quot; \l \n ">
        <w:r w:rsidRPr="00B779B1">
          <w:instrText>0</w:instrText>
        </w:r>
      </w:fldSimple>
      <w:r w:rsidRPr="00B779B1">
        <w:instrText xml:space="preserve"> = 0 "" "1" </w:instrText>
      </w:r>
      <w:r w:rsidRPr="00B779B1">
        <w:fldChar w:fldCharType="end"/>
      </w:r>
      <w:r w:rsidRPr="00B779B1">
        <w:instrText xml:space="preserve">" "6" </w:instrText>
      </w:r>
      <w:r w:rsidRPr="00B779B1">
        <w:fldChar w:fldCharType="separate"/>
      </w:r>
      <w:r w:rsidR="00520F9E" w:rsidRPr="00B779B1">
        <w:rPr>
          <w:noProof/>
        </w:rPr>
        <w:instrText>6</w:instrText>
      </w:r>
      <w:r w:rsidRPr="00B779B1">
        <w:fldChar w:fldCharType="end"/>
      </w:r>
      <w:r w:rsidRPr="00B779B1">
        <w:instrText xml:space="preserve"> </w:instrText>
      </w:r>
      <w:r w:rsidRPr="00B779B1">
        <w:fldChar w:fldCharType="separate"/>
      </w:r>
      <w:r w:rsidR="00520F9E">
        <w:rPr>
          <w:noProof/>
        </w:rPr>
        <w:instrText>10</w:instrText>
      </w:r>
      <w:r w:rsidRPr="00B779B1">
        <w:fldChar w:fldCharType="end"/>
      </w:r>
      <w:r w:rsidRPr="00B779B1">
        <w:instrText xml:space="preserve">" "" </w:instrText>
      </w:r>
      <w:r w:rsidRPr="00B779B1">
        <w:fldChar w:fldCharType="separate"/>
      </w:r>
      <w:bookmarkStart w:id="7164" w:name="_Caption1795"/>
      <w:bookmarkStart w:id="7165" w:name="_Caption4825"/>
      <w:bookmarkStart w:id="7166" w:name="_Caption7997"/>
      <w:bookmarkStart w:id="7167" w:name="_Caption4224"/>
      <w:bookmarkStart w:id="7168" w:name="_Caption7199"/>
      <w:bookmarkStart w:id="7169" w:name="_Caption0412"/>
      <w:bookmarkStart w:id="7170" w:name="_Caption6590"/>
      <w:bookmarkStart w:id="7171" w:name="_Caption0763"/>
      <w:bookmarkStart w:id="7172" w:name="_Caption8486"/>
      <w:bookmarkStart w:id="7173" w:name="_Caption8685"/>
      <w:bookmarkStart w:id="7174" w:name="_Caption4042"/>
      <w:bookmarkStart w:id="7175" w:name="_Caption6923"/>
      <w:bookmarkStart w:id="7176" w:name="_Caption9526"/>
      <w:bookmarkStart w:id="7177" w:name="_Caption4371"/>
      <w:bookmarkStart w:id="7178" w:name="_Caption4839"/>
      <w:bookmarkStart w:id="7179" w:name="_Caption2611"/>
      <w:bookmarkStart w:id="7180" w:name="_Caption1995"/>
      <w:bookmarkStart w:id="7181" w:name="_Caption7176"/>
      <w:bookmarkStart w:id="7182" w:name="_Caption0980"/>
      <w:bookmarkStart w:id="7183" w:name="_Caption5483"/>
      <w:bookmarkStart w:id="7184" w:name="_Caption9500"/>
      <w:bookmarkStart w:id="7185" w:name="_Caption5802"/>
      <w:bookmarkStart w:id="7186" w:name="_Caption7198"/>
      <w:bookmarkStart w:id="7187" w:name="_Caption9812"/>
      <w:bookmarkStart w:id="7188" w:name="_Caption5965"/>
      <w:bookmarkStart w:id="7189" w:name="_Caption7395"/>
      <w:bookmarkStart w:id="7190" w:name="_Caption8004"/>
      <w:bookmarkStart w:id="7191" w:name="_Caption3161"/>
      <w:bookmarkStart w:id="7192" w:name="_Caption9944"/>
      <w:bookmarkStart w:id="7193" w:name="_Caption7423"/>
      <w:bookmarkStart w:id="7194" w:name="_Caption3134"/>
      <w:bookmarkStart w:id="7195" w:name="_Caption3534"/>
      <w:bookmarkStart w:id="7196" w:name="_Caption4301"/>
      <w:bookmarkStart w:id="7197" w:name="_Caption2653"/>
      <w:bookmarkStart w:id="7198" w:name="_Caption7610"/>
      <w:bookmarkStart w:id="7199" w:name="_Caption1015"/>
      <w:bookmarkStart w:id="7200" w:name="_Caption8122"/>
      <w:bookmarkStart w:id="7201" w:name="_Caption4107"/>
      <w:bookmarkStart w:id="7202" w:name="_Caption9448"/>
      <w:bookmarkStart w:id="7203" w:name="_Caption5925"/>
      <w:bookmarkStart w:id="7204" w:name="_Caption3674"/>
      <w:bookmarkStart w:id="7205" w:name="_Caption4562"/>
      <w:bookmarkStart w:id="7206" w:name="_Caption1507"/>
      <w:bookmarkStart w:id="7207" w:name="_Caption9157"/>
      <w:bookmarkStart w:id="7208" w:name="_Caption4871"/>
      <w:bookmarkStart w:id="7209" w:name="_Caption1767"/>
      <w:bookmarkStart w:id="7210" w:name="_Caption2371"/>
      <w:bookmarkStart w:id="7211" w:name="_Toc177735215"/>
      <w:bookmarkStart w:id="7212" w:name="_Toc178292652"/>
      <w:r w:rsidR="008C60A3">
        <w:rPr>
          <w:noProof/>
        </w:rPr>
        <w:t>B</w:t>
      </w:r>
      <w:r w:rsidR="008C60A3" w:rsidRPr="00B779B1">
        <w:rPr>
          <w:noProof/>
        </w:rPr>
        <w:t>.</w:t>
      </w:r>
      <w:r w:rsidR="008C60A3">
        <w:rPr>
          <w:noProof/>
        </w:rPr>
        <w:t>10</w:t>
      </w:r>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r w:rsidRPr="00B779B1">
        <w:fldChar w:fldCharType="end"/>
      </w:r>
      <w:r w:rsidRPr="00B779B1">
        <w:tab/>
        <w:t>Network capacity charges</w:t>
      </w:r>
      <w:bookmarkEnd w:id="7211"/>
      <w:bookmarkEnd w:id="7212"/>
    </w:p>
    <w:tbl>
      <w:tblPr>
        <w:tblW w:w="7934" w:type="dxa"/>
        <w:tblLayout w:type="fixed"/>
        <w:tblLook w:val="0000" w:firstRow="0" w:lastRow="0" w:firstColumn="0" w:lastColumn="0" w:noHBand="0" w:noVBand="0"/>
        <w:tblCaption w:val="Table B.10 - Network capacity charges"/>
      </w:tblPr>
      <w:tblGrid>
        <w:gridCol w:w="882"/>
        <w:gridCol w:w="881"/>
        <w:gridCol w:w="882"/>
        <w:gridCol w:w="881"/>
        <w:gridCol w:w="882"/>
        <w:gridCol w:w="882"/>
        <w:gridCol w:w="947"/>
        <w:gridCol w:w="816"/>
        <w:gridCol w:w="881"/>
      </w:tblGrid>
      <w:tr w:rsidR="009B4D09" w14:paraId="255B1B67" w14:textId="77777777">
        <w:trPr>
          <w:trHeight w:val="245"/>
          <w:tblHeader/>
        </w:trPr>
        <w:tc>
          <w:tcPr>
            <w:tcW w:w="882" w:type="dxa"/>
            <w:shd w:val="clear" w:color="auto" w:fill="6F6652"/>
            <w:tcMar>
              <w:left w:w="57" w:type="dxa"/>
              <w:right w:w="57" w:type="dxa"/>
            </w:tcMar>
          </w:tcPr>
          <w:p w14:paraId="44E973E3" w14:textId="77777777" w:rsidR="009B4D09" w:rsidRDefault="009B4D09">
            <w:pPr>
              <w:pStyle w:val="TableDataColumnHeading"/>
              <w:jc w:val="left"/>
            </w:pPr>
            <w:r>
              <w:t>Month</w:t>
            </w:r>
          </w:p>
        </w:tc>
        <w:tc>
          <w:tcPr>
            <w:tcW w:w="881" w:type="dxa"/>
            <w:shd w:val="clear" w:color="auto" w:fill="6F6652"/>
            <w:tcMar>
              <w:left w:w="57" w:type="dxa"/>
              <w:right w:w="57" w:type="dxa"/>
            </w:tcMar>
          </w:tcPr>
          <w:p w14:paraId="4B0F9771" w14:textId="77777777" w:rsidR="009B4D09" w:rsidRDefault="009B4D09">
            <w:pPr>
              <w:pStyle w:val="TableDataColumnHeading"/>
              <w:ind w:left="-57"/>
            </w:pPr>
            <w:r>
              <w:t>NSW</w:t>
            </w:r>
          </w:p>
          <w:p w14:paraId="3031AAEF" w14:textId="77777777" w:rsidR="009B4D09" w:rsidRDefault="009B4D09">
            <w:pPr>
              <w:pStyle w:val="TableDataColumnHeading"/>
              <w:ind w:left="-57"/>
            </w:pPr>
            <w:r>
              <w:t>$/kVa/day</w:t>
            </w:r>
          </w:p>
        </w:tc>
        <w:tc>
          <w:tcPr>
            <w:tcW w:w="882" w:type="dxa"/>
            <w:shd w:val="clear" w:color="auto" w:fill="6F6652"/>
            <w:tcMar>
              <w:left w:w="57" w:type="dxa"/>
              <w:right w:w="57" w:type="dxa"/>
            </w:tcMar>
          </w:tcPr>
          <w:p w14:paraId="7C776757" w14:textId="77777777" w:rsidR="009B4D09" w:rsidRDefault="009B4D09">
            <w:pPr>
              <w:pStyle w:val="TableDataColumnHeading"/>
              <w:ind w:left="-57"/>
            </w:pPr>
            <w:r>
              <w:t>VIC</w:t>
            </w:r>
          </w:p>
          <w:p w14:paraId="0BC4709E" w14:textId="77777777" w:rsidR="009B4D09" w:rsidRDefault="009B4D09">
            <w:pPr>
              <w:pStyle w:val="TableDataColumnHeading"/>
              <w:ind w:left="-57"/>
            </w:pPr>
            <w:r>
              <w:t>$/kVa/day</w:t>
            </w:r>
          </w:p>
        </w:tc>
        <w:tc>
          <w:tcPr>
            <w:tcW w:w="881" w:type="dxa"/>
            <w:shd w:val="clear" w:color="auto" w:fill="6F6652"/>
            <w:tcMar>
              <w:left w:w="57" w:type="dxa"/>
              <w:right w:w="57" w:type="dxa"/>
            </w:tcMar>
          </w:tcPr>
          <w:p w14:paraId="0A210231" w14:textId="77777777" w:rsidR="009B4D09" w:rsidRDefault="009B4D09">
            <w:pPr>
              <w:pStyle w:val="TableDataColumnHeading"/>
              <w:ind w:left="-57"/>
            </w:pPr>
            <w:r>
              <w:t>QLD</w:t>
            </w:r>
          </w:p>
          <w:p w14:paraId="2F5DCC65" w14:textId="77777777" w:rsidR="009B4D09" w:rsidRDefault="009B4D09">
            <w:pPr>
              <w:pStyle w:val="TableDataColumnHeading"/>
              <w:ind w:left="-57"/>
            </w:pPr>
            <w:r>
              <w:t>$/kVa/day</w:t>
            </w:r>
          </w:p>
        </w:tc>
        <w:tc>
          <w:tcPr>
            <w:tcW w:w="882" w:type="dxa"/>
            <w:shd w:val="clear" w:color="auto" w:fill="6F6652"/>
            <w:tcMar>
              <w:left w:w="57" w:type="dxa"/>
              <w:right w:w="57" w:type="dxa"/>
            </w:tcMar>
          </w:tcPr>
          <w:p w14:paraId="3C771A2E" w14:textId="77777777" w:rsidR="009B4D09" w:rsidRDefault="009B4D09">
            <w:pPr>
              <w:pStyle w:val="TableDataColumnHeading"/>
              <w:ind w:left="-57"/>
            </w:pPr>
            <w:r>
              <w:t>WA</w:t>
            </w:r>
          </w:p>
          <w:p w14:paraId="4034283C" w14:textId="77777777" w:rsidR="009B4D09" w:rsidRDefault="009B4D09">
            <w:pPr>
              <w:pStyle w:val="TableDataColumnHeading"/>
              <w:ind w:left="-57"/>
            </w:pPr>
            <w:r>
              <w:t>$/kVa/day</w:t>
            </w:r>
          </w:p>
        </w:tc>
        <w:tc>
          <w:tcPr>
            <w:tcW w:w="882" w:type="dxa"/>
            <w:shd w:val="clear" w:color="auto" w:fill="6F6652"/>
            <w:tcMar>
              <w:left w:w="57" w:type="dxa"/>
              <w:right w:w="57" w:type="dxa"/>
            </w:tcMar>
          </w:tcPr>
          <w:p w14:paraId="2BF85140" w14:textId="77777777" w:rsidR="009B4D09" w:rsidRDefault="009B4D09">
            <w:pPr>
              <w:pStyle w:val="TableDataColumnHeading"/>
              <w:ind w:left="-57"/>
            </w:pPr>
            <w:r>
              <w:t>SA</w:t>
            </w:r>
          </w:p>
          <w:p w14:paraId="7051DAB7" w14:textId="77777777" w:rsidR="009B4D09" w:rsidRDefault="009B4D09">
            <w:pPr>
              <w:pStyle w:val="TableDataColumnHeading"/>
              <w:ind w:left="-57"/>
            </w:pPr>
            <w:r>
              <w:t>$/kVa/day</w:t>
            </w:r>
          </w:p>
        </w:tc>
        <w:tc>
          <w:tcPr>
            <w:tcW w:w="947" w:type="dxa"/>
            <w:shd w:val="clear" w:color="auto" w:fill="6F6652"/>
            <w:tcMar>
              <w:left w:w="57" w:type="dxa"/>
              <w:right w:w="57" w:type="dxa"/>
            </w:tcMar>
          </w:tcPr>
          <w:p w14:paraId="0F408FDA" w14:textId="77777777" w:rsidR="009B4D09" w:rsidRDefault="009B4D09">
            <w:pPr>
              <w:pStyle w:val="TableDataColumnHeading"/>
              <w:ind w:left="-57"/>
            </w:pPr>
            <w:r>
              <w:t>TAS</w:t>
            </w:r>
          </w:p>
          <w:p w14:paraId="3ADB4AEE" w14:textId="77777777" w:rsidR="009B4D09" w:rsidRDefault="009B4D09">
            <w:pPr>
              <w:pStyle w:val="TableDataColumnHeading"/>
              <w:ind w:left="-57"/>
            </w:pPr>
            <w:r>
              <w:t>$/kVa/day</w:t>
            </w:r>
          </w:p>
        </w:tc>
        <w:tc>
          <w:tcPr>
            <w:tcW w:w="816" w:type="dxa"/>
            <w:shd w:val="clear" w:color="auto" w:fill="6F6652"/>
            <w:tcMar>
              <w:left w:w="57" w:type="dxa"/>
              <w:right w:w="57" w:type="dxa"/>
            </w:tcMar>
          </w:tcPr>
          <w:p w14:paraId="09D650CD" w14:textId="77777777" w:rsidR="009B4D09" w:rsidRDefault="009B4D09">
            <w:pPr>
              <w:pStyle w:val="TableDataColumnHeading"/>
              <w:ind w:left="-57" w:right="-57"/>
            </w:pPr>
            <w:r>
              <w:t>ACT</w:t>
            </w:r>
          </w:p>
          <w:p w14:paraId="7DE66EC2" w14:textId="77777777" w:rsidR="009B4D09" w:rsidRDefault="009B4D09">
            <w:pPr>
              <w:pStyle w:val="TableDataColumnHeading"/>
              <w:ind w:left="-57" w:right="-57"/>
            </w:pPr>
            <w:r>
              <w:t>$/kVa/day</w:t>
            </w:r>
          </w:p>
        </w:tc>
        <w:tc>
          <w:tcPr>
            <w:tcW w:w="881" w:type="dxa"/>
            <w:shd w:val="clear" w:color="auto" w:fill="6F6652"/>
            <w:tcMar>
              <w:left w:w="57" w:type="dxa"/>
              <w:right w:w="57" w:type="dxa"/>
            </w:tcMar>
          </w:tcPr>
          <w:p w14:paraId="0C3401B7" w14:textId="77777777" w:rsidR="009B4D09" w:rsidRDefault="009B4D09">
            <w:pPr>
              <w:pStyle w:val="TableDataColumnHeading"/>
              <w:ind w:left="-57"/>
            </w:pPr>
            <w:r>
              <w:t>NT</w:t>
            </w:r>
          </w:p>
          <w:p w14:paraId="4232790F" w14:textId="77777777" w:rsidR="009B4D09" w:rsidRDefault="009B4D09">
            <w:pPr>
              <w:pStyle w:val="TableDataColumnHeading"/>
              <w:ind w:left="-57"/>
            </w:pPr>
            <w:r>
              <w:t>$/kVa/day</w:t>
            </w:r>
          </w:p>
        </w:tc>
      </w:tr>
      <w:tr w:rsidR="009B4D09" w14:paraId="4B963D43" w14:textId="77777777">
        <w:trPr>
          <w:trHeight w:val="245"/>
        </w:trPr>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33707EC" w14:textId="77777777" w:rsidR="009B4D09" w:rsidRDefault="009B4D09">
            <w:pPr>
              <w:pStyle w:val="TableDataEntries"/>
              <w:jc w:val="left"/>
            </w:pPr>
            <w:r>
              <w:t>January</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37C9D7" w14:textId="77777777" w:rsidR="009B4D09" w:rsidRDefault="009B4D09">
            <w:pPr>
              <w:pStyle w:val="TableDataEntries"/>
            </w:pPr>
            <w:r w:rsidRPr="00F82E10">
              <w:t>0.51</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472688" w14:textId="77777777" w:rsidR="009B4D09" w:rsidRDefault="009B4D09">
            <w:pPr>
              <w:pStyle w:val="TableDataEntries"/>
            </w:pPr>
            <w:r w:rsidRPr="00F82E10">
              <w:t>0.41</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9DF8B0" w14:textId="77777777" w:rsidR="009B4D09" w:rsidRDefault="009B4D09">
            <w:pPr>
              <w:pStyle w:val="TableDataEntries"/>
            </w:pPr>
            <w:r w:rsidRPr="00F82E10">
              <w:t>0.33</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5A4424" w14:textId="77777777" w:rsidR="009B4D09" w:rsidRDefault="009B4D09">
            <w:pPr>
              <w:pStyle w:val="TableDataEntries"/>
            </w:pPr>
            <w:r w:rsidRPr="00F82E10">
              <w:t>0.08</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4F4E880" w14:textId="77777777" w:rsidR="009B4D09" w:rsidRDefault="009B4D09">
            <w:pPr>
              <w:pStyle w:val="TableDataEntries"/>
            </w:pPr>
            <w:r w:rsidRPr="00F82E10">
              <w:t>0.40</w:t>
            </w:r>
          </w:p>
        </w:tc>
        <w:tc>
          <w:tcPr>
            <w:tcW w:w="94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886505" w14:textId="77777777" w:rsidR="009B4D09" w:rsidRDefault="009B4D09">
            <w:pPr>
              <w:pStyle w:val="TableDataEntries"/>
            </w:pPr>
            <w:r w:rsidRPr="00F82E10">
              <w:t>0.69</w:t>
            </w:r>
          </w:p>
        </w:tc>
        <w:tc>
          <w:tcPr>
            <w:tcW w:w="8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984795" w14:textId="77777777" w:rsidR="009B4D09" w:rsidRDefault="009B4D09">
            <w:pPr>
              <w:pStyle w:val="TableDataEntries"/>
              <w:ind w:left="-57" w:right="-57"/>
            </w:pPr>
            <w:r w:rsidRPr="00F82E10">
              <w:t>0.37</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FF0601" w14:textId="77777777" w:rsidR="009B4D09" w:rsidRDefault="009B4D09">
            <w:pPr>
              <w:pStyle w:val="TableDataEntries"/>
            </w:pPr>
            <w:r w:rsidRPr="00F82E10">
              <w:t>0.49</w:t>
            </w:r>
          </w:p>
        </w:tc>
      </w:tr>
      <w:tr w:rsidR="009B4D09" w14:paraId="4D487C66" w14:textId="77777777">
        <w:trPr>
          <w:trHeight w:val="245"/>
        </w:trPr>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B91891" w14:textId="77777777" w:rsidR="009B4D09" w:rsidRDefault="009B4D09">
            <w:pPr>
              <w:pStyle w:val="TableDataEntries"/>
              <w:jc w:val="left"/>
            </w:pPr>
            <w:r>
              <w:t>February</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0F05BBA" w14:textId="77777777" w:rsidR="009B4D09" w:rsidRDefault="009B4D09">
            <w:pPr>
              <w:pStyle w:val="TableDataEntries"/>
            </w:pPr>
            <w:r w:rsidRPr="00F82E10">
              <w:t>0.51</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FBBB5F" w14:textId="77777777" w:rsidR="009B4D09" w:rsidRDefault="009B4D09">
            <w:pPr>
              <w:pStyle w:val="TableDataEntries"/>
            </w:pPr>
            <w:r w:rsidRPr="00F82E10">
              <w:t>0.41</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7500C52" w14:textId="77777777" w:rsidR="009B4D09" w:rsidRDefault="009B4D09">
            <w:pPr>
              <w:pStyle w:val="TableDataEntries"/>
            </w:pPr>
            <w:r w:rsidRPr="00F82E10">
              <w:t>0.33</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4F57358" w14:textId="77777777" w:rsidR="009B4D09" w:rsidRDefault="009B4D09">
            <w:pPr>
              <w:pStyle w:val="TableDataEntries"/>
            </w:pPr>
            <w:r w:rsidRPr="00F82E10">
              <w:t>0.08</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756AA5F" w14:textId="77777777" w:rsidR="009B4D09" w:rsidRDefault="009B4D09">
            <w:pPr>
              <w:pStyle w:val="TableDataEntries"/>
            </w:pPr>
            <w:r w:rsidRPr="00F82E10">
              <w:t>0.40</w:t>
            </w:r>
          </w:p>
        </w:tc>
        <w:tc>
          <w:tcPr>
            <w:tcW w:w="94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2D2C937" w14:textId="77777777" w:rsidR="009B4D09" w:rsidRDefault="009B4D09">
            <w:pPr>
              <w:pStyle w:val="TableDataEntries"/>
            </w:pPr>
            <w:r w:rsidRPr="00F82E10">
              <w:t>0.69</w:t>
            </w:r>
          </w:p>
        </w:tc>
        <w:tc>
          <w:tcPr>
            <w:tcW w:w="8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7E207E" w14:textId="77777777" w:rsidR="009B4D09" w:rsidRDefault="009B4D09">
            <w:pPr>
              <w:pStyle w:val="TableDataEntries"/>
              <w:ind w:left="-57" w:right="-57"/>
            </w:pPr>
            <w:r w:rsidRPr="00F82E10">
              <w:t>0.37</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0B14FA0" w14:textId="77777777" w:rsidR="009B4D09" w:rsidRDefault="009B4D09">
            <w:pPr>
              <w:pStyle w:val="TableDataEntries"/>
            </w:pPr>
            <w:r w:rsidRPr="00F82E10">
              <w:t>0.49</w:t>
            </w:r>
          </w:p>
        </w:tc>
      </w:tr>
      <w:tr w:rsidR="009B4D09" w14:paraId="76C15B8F" w14:textId="77777777">
        <w:trPr>
          <w:trHeight w:val="245"/>
        </w:trPr>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D935A2" w14:textId="77777777" w:rsidR="009B4D09" w:rsidRDefault="009B4D09">
            <w:pPr>
              <w:pStyle w:val="TableDataEntries"/>
              <w:jc w:val="left"/>
            </w:pPr>
            <w:r>
              <w:t>March</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EB8D39" w14:textId="77777777" w:rsidR="009B4D09" w:rsidRDefault="009B4D09">
            <w:pPr>
              <w:pStyle w:val="TableDataEntries"/>
            </w:pPr>
            <w:r w:rsidRPr="00F82E10">
              <w:t>0.51</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95A9D7" w14:textId="77777777" w:rsidR="009B4D09" w:rsidRDefault="009B4D09">
            <w:pPr>
              <w:pStyle w:val="TableDataEntries"/>
            </w:pPr>
            <w:r w:rsidRPr="00F82E10">
              <w:t>0.41</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2A14052" w14:textId="77777777" w:rsidR="009B4D09" w:rsidRDefault="009B4D09">
            <w:pPr>
              <w:pStyle w:val="TableDataEntries"/>
            </w:pPr>
            <w:r w:rsidRPr="00F82E10">
              <w:t>0.33</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2D71DE" w14:textId="77777777" w:rsidR="009B4D09" w:rsidRDefault="009B4D09">
            <w:pPr>
              <w:pStyle w:val="TableDataEntries"/>
            </w:pPr>
            <w:r w:rsidRPr="00F82E10">
              <w:t>0.08</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762797" w14:textId="77777777" w:rsidR="009B4D09" w:rsidRDefault="009B4D09">
            <w:pPr>
              <w:pStyle w:val="TableDataEntries"/>
            </w:pPr>
            <w:r w:rsidRPr="00F82E10">
              <w:t>0.40</w:t>
            </w:r>
          </w:p>
        </w:tc>
        <w:tc>
          <w:tcPr>
            <w:tcW w:w="94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D9B2CF" w14:textId="77777777" w:rsidR="009B4D09" w:rsidRDefault="009B4D09">
            <w:pPr>
              <w:pStyle w:val="TableDataEntries"/>
            </w:pPr>
            <w:r w:rsidRPr="00F82E10">
              <w:t>0.69</w:t>
            </w:r>
          </w:p>
        </w:tc>
        <w:tc>
          <w:tcPr>
            <w:tcW w:w="8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2AD78B4" w14:textId="77777777" w:rsidR="009B4D09" w:rsidRDefault="009B4D09">
            <w:pPr>
              <w:pStyle w:val="TableDataEntries"/>
              <w:ind w:left="-57" w:right="-57"/>
            </w:pPr>
            <w:r w:rsidRPr="00F82E10">
              <w:t>0.37</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3FC7280" w14:textId="77777777" w:rsidR="009B4D09" w:rsidRDefault="009B4D09">
            <w:pPr>
              <w:pStyle w:val="TableDataEntries"/>
            </w:pPr>
            <w:r w:rsidRPr="00F82E10">
              <w:t>0.49</w:t>
            </w:r>
          </w:p>
        </w:tc>
      </w:tr>
      <w:tr w:rsidR="009B4D09" w14:paraId="3382C4B3" w14:textId="77777777">
        <w:trPr>
          <w:trHeight w:val="245"/>
        </w:trPr>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E26C97" w14:textId="77777777" w:rsidR="009B4D09" w:rsidRDefault="009B4D09">
            <w:pPr>
              <w:pStyle w:val="TableDataEntries"/>
              <w:jc w:val="left"/>
            </w:pPr>
            <w:r>
              <w:t>April</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6CCF91" w14:textId="77777777" w:rsidR="009B4D09" w:rsidRDefault="009B4D09">
            <w:pPr>
              <w:pStyle w:val="TableDataEntries"/>
            </w:pPr>
            <w:r w:rsidRPr="00F82E10">
              <w:t>0.00</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063F17A" w14:textId="77777777" w:rsidR="009B4D09" w:rsidRDefault="009B4D09">
            <w:pPr>
              <w:pStyle w:val="TableDataEntries"/>
            </w:pPr>
            <w:r w:rsidRPr="00F82E10">
              <w:t>0.00</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5339C48" w14:textId="77777777" w:rsidR="009B4D09" w:rsidRDefault="009B4D09">
            <w:pPr>
              <w:pStyle w:val="TableDataEntries"/>
            </w:pPr>
            <w:r w:rsidRPr="00F82E10">
              <w:t>0.33</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7FF2A29" w14:textId="77777777" w:rsidR="009B4D09" w:rsidRDefault="009B4D09">
            <w:pPr>
              <w:pStyle w:val="TableDataEntries"/>
            </w:pPr>
            <w:r w:rsidRPr="00F82E10">
              <w:t>0.08</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011C9F" w14:textId="77777777" w:rsidR="009B4D09" w:rsidRDefault="009B4D09">
            <w:pPr>
              <w:pStyle w:val="TableDataEntries"/>
            </w:pPr>
            <w:r w:rsidRPr="00F82E10">
              <w:t>0.00</w:t>
            </w:r>
          </w:p>
        </w:tc>
        <w:tc>
          <w:tcPr>
            <w:tcW w:w="94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B3BC4D" w14:textId="77777777" w:rsidR="009B4D09" w:rsidRDefault="009B4D09">
            <w:pPr>
              <w:pStyle w:val="TableDataEntries"/>
            </w:pPr>
            <w:r w:rsidRPr="00F82E10">
              <w:t>0.69</w:t>
            </w:r>
          </w:p>
        </w:tc>
        <w:tc>
          <w:tcPr>
            <w:tcW w:w="8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64BCD2F" w14:textId="77777777" w:rsidR="009B4D09" w:rsidRDefault="009B4D09">
            <w:pPr>
              <w:pStyle w:val="TableDataEntries"/>
              <w:ind w:left="-57" w:right="-57"/>
            </w:pPr>
            <w:r w:rsidRPr="00F82E10">
              <w:t>0.37</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0B748A" w14:textId="77777777" w:rsidR="009B4D09" w:rsidRDefault="009B4D09">
            <w:pPr>
              <w:pStyle w:val="TableDataEntries"/>
            </w:pPr>
            <w:r w:rsidRPr="00F82E10">
              <w:t>0.49</w:t>
            </w:r>
          </w:p>
        </w:tc>
      </w:tr>
      <w:tr w:rsidR="009B4D09" w14:paraId="2CCE3B45" w14:textId="77777777">
        <w:trPr>
          <w:trHeight w:val="245"/>
        </w:trPr>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AC0D674" w14:textId="77777777" w:rsidR="009B4D09" w:rsidRDefault="009B4D09">
            <w:pPr>
              <w:pStyle w:val="TableDataEntries"/>
              <w:jc w:val="left"/>
            </w:pPr>
            <w:r>
              <w:t>May</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2EFE84D" w14:textId="77777777" w:rsidR="009B4D09" w:rsidRDefault="009B4D09">
            <w:pPr>
              <w:pStyle w:val="TableDataEntries"/>
            </w:pPr>
            <w:r w:rsidRPr="00F82E10">
              <w:t>0.00</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8AF8261" w14:textId="77777777" w:rsidR="009B4D09" w:rsidRDefault="009B4D09">
            <w:pPr>
              <w:pStyle w:val="TableDataEntries"/>
            </w:pPr>
            <w:r w:rsidRPr="00F82E10">
              <w:t>0.00</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02983C1" w14:textId="77777777" w:rsidR="009B4D09" w:rsidRDefault="009B4D09">
            <w:pPr>
              <w:pStyle w:val="TableDataEntries"/>
            </w:pPr>
            <w:r w:rsidRPr="00F82E10">
              <w:t>0.33</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B045A6" w14:textId="77777777" w:rsidR="009B4D09" w:rsidRDefault="009B4D09">
            <w:pPr>
              <w:pStyle w:val="TableDataEntries"/>
            </w:pPr>
            <w:r w:rsidRPr="00F82E10">
              <w:t>0.08</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6CD688" w14:textId="77777777" w:rsidR="009B4D09" w:rsidRDefault="009B4D09">
            <w:pPr>
              <w:pStyle w:val="TableDataEntries"/>
            </w:pPr>
            <w:r w:rsidRPr="00F82E10">
              <w:t>0.00</w:t>
            </w:r>
          </w:p>
        </w:tc>
        <w:tc>
          <w:tcPr>
            <w:tcW w:w="94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6F0889" w14:textId="77777777" w:rsidR="009B4D09" w:rsidRDefault="009B4D09">
            <w:pPr>
              <w:pStyle w:val="TableDataEntries"/>
            </w:pPr>
            <w:r w:rsidRPr="00F82E10">
              <w:t>0.69</w:t>
            </w:r>
          </w:p>
        </w:tc>
        <w:tc>
          <w:tcPr>
            <w:tcW w:w="8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CA71D2C" w14:textId="77777777" w:rsidR="009B4D09" w:rsidRDefault="009B4D09">
            <w:pPr>
              <w:pStyle w:val="TableDataEntries"/>
              <w:ind w:left="-57" w:right="-57"/>
            </w:pPr>
            <w:r w:rsidRPr="00F82E10">
              <w:t>0.37</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2172408" w14:textId="77777777" w:rsidR="009B4D09" w:rsidRDefault="009B4D09">
            <w:pPr>
              <w:pStyle w:val="TableDataEntries"/>
            </w:pPr>
            <w:r w:rsidRPr="00F82E10">
              <w:t>0.49</w:t>
            </w:r>
          </w:p>
        </w:tc>
      </w:tr>
      <w:tr w:rsidR="009B4D09" w14:paraId="4F061109" w14:textId="77777777">
        <w:trPr>
          <w:trHeight w:val="245"/>
        </w:trPr>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EC4A346" w14:textId="77777777" w:rsidR="009B4D09" w:rsidRDefault="009B4D09">
            <w:pPr>
              <w:pStyle w:val="TableDataEntries"/>
              <w:jc w:val="left"/>
            </w:pPr>
            <w:r>
              <w:t>June</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8B8B322" w14:textId="77777777" w:rsidR="009B4D09" w:rsidRDefault="009B4D09">
            <w:pPr>
              <w:pStyle w:val="TableDataEntries"/>
            </w:pPr>
            <w:r w:rsidRPr="00F82E10">
              <w:t>0.51</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0BCFF2F" w14:textId="77777777" w:rsidR="009B4D09" w:rsidRDefault="009B4D09">
            <w:pPr>
              <w:pStyle w:val="TableDataEntries"/>
            </w:pPr>
            <w:r w:rsidRPr="00F82E10">
              <w:t>0.00</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D969421" w14:textId="77777777" w:rsidR="009B4D09" w:rsidRDefault="009B4D09">
            <w:pPr>
              <w:pStyle w:val="TableDataEntries"/>
            </w:pPr>
            <w:r w:rsidRPr="00F82E10">
              <w:t>0.33</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4BD789A" w14:textId="77777777" w:rsidR="009B4D09" w:rsidRDefault="009B4D09">
            <w:pPr>
              <w:pStyle w:val="TableDataEntries"/>
            </w:pPr>
            <w:r w:rsidRPr="00F82E10">
              <w:t>0.08</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C871C7" w14:textId="77777777" w:rsidR="009B4D09" w:rsidRDefault="009B4D09">
            <w:pPr>
              <w:pStyle w:val="TableDataEntries"/>
            </w:pPr>
            <w:r w:rsidRPr="00F82E10">
              <w:t>0.00</w:t>
            </w:r>
          </w:p>
        </w:tc>
        <w:tc>
          <w:tcPr>
            <w:tcW w:w="94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BC1C438" w14:textId="77777777" w:rsidR="009B4D09" w:rsidRDefault="009B4D09">
            <w:pPr>
              <w:pStyle w:val="TableDataEntries"/>
            </w:pPr>
            <w:r w:rsidRPr="00F82E10">
              <w:t>0.69</w:t>
            </w:r>
          </w:p>
        </w:tc>
        <w:tc>
          <w:tcPr>
            <w:tcW w:w="8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918BF6" w14:textId="77777777" w:rsidR="009B4D09" w:rsidRDefault="009B4D09">
            <w:pPr>
              <w:pStyle w:val="TableDataEntries"/>
              <w:ind w:left="-57" w:right="-57"/>
            </w:pPr>
            <w:r w:rsidRPr="00F82E10">
              <w:t>0.37</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1B31A56" w14:textId="77777777" w:rsidR="009B4D09" w:rsidRDefault="009B4D09">
            <w:pPr>
              <w:pStyle w:val="TableDataEntries"/>
            </w:pPr>
            <w:r w:rsidRPr="00F82E10">
              <w:t>0.49</w:t>
            </w:r>
          </w:p>
        </w:tc>
      </w:tr>
      <w:tr w:rsidR="009B4D09" w14:paraId="6F9B021F" w14:textId="77777777">
        <w:trPr>
          <w:trHeight w:val="245"/>
        </w:trPr>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C85E2A" w14:textId="77777777" w:rsidR="009B4D09" w:rsidRDefault="009B4D09">
            <w:pPr>
              <w:pStyle w:val="TableDataEntries"/>
              <w:jc w:val="left"/>
            </w:pPr>
            <w:r>
              <w:t>July</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D13E36" w14:textId="77777777" w:rsidR="009B4D09" w:rsidRDefault="009B4D09">
            <w:pPr>
              <w:pStyle w:val="TableDataEntries"/>
            </w:pPr>
            <w:r w:rsidRPr="00F82E10">
              <w:t>0.51</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94C65FF" w14:textId="77777777" w:rsidR="009B4D09" w:rsidRDefault="009B4D09">
            <w:pPr>
              <w:pStyle w:val="TableDataEntries"/>
            </w:pPr>
            <w:r w:rsidRPr="00F82E10">
              <w:t>0.00</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2F1D34F" w14:textId="77777777" w:rsidR="009B4D09" w:rsidRDefault="009B4D09">
            <w:pPr>
              <w:pStyle w:val="TableDataEntries"/>
            </w:pPr>
            <w:r w:rsidRPr="00F82E10">
              <w:t>0.33</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445836" w14:textId="77777777" w:rsidR="009B4D09" w:rsidRDefault="009B4D09">
            <w:pPr>
              <w:pStyle w:val="TableDataEntries"/>
            </w:pPr>
            <w:r w:rsidRPr="00F82E10">
              <w:t>0.08</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2F8F9A4" w14:textId="77777777" w:rsidR="009B4D09" w:rsidRDefault="009B4D09">
            <w:pPr>
              <w:pStyle w:val="TableDataEntries"/>
            </w:pPr>
            <w:r w:rsidRPr="00F82E10">
              <w:t>0.00</w:t>
            </w:r>
          </w:p>
        </w:tc>
        <w:tc>
          <w:tcPr>
            <w:tcW w:w="94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48DE350" w14:textId="77777777" w:rsidR="009B4D09" w:rsidRDefault="009B4D09">
            <w:pPr>
              <w:pStyle w:val="TableDataEntries"/>
            </w:pPr>
            <w:r w:rsidRPr="00F82E10">
              <w:t>0.69</w:t>
            </w:r>
          </w:p>
        </w:tc>
        <w:tc>
          <w:tcPr>
            <w:tcW w:w="8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5672FE" w14:textId="77777777" w:rsidR="009B4D09" w:rsidRDefault="009B4D09">
            <w:pPr>
              <w:pStyle w:val="TableDataEntries"/>
              <w:ind w:left="-57" w:right="-57"/>
            </w:pPr>
            <w:r w:rsidRPr="00F82E10">
              <w:t>0.37</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9864893" w14:textId="77777777" w:rsidR="009B4D09" w:rsidRDefault="009B4D09">
            <w:pPr>
              <w:pStyle w:val="TableDataEntries"/>
            </w:pPr>
            <w:r w:rsidRPr="00F82E10">
              <w:t>0.49</w:t>
            </w:r>
          </w:p>
        </w:tc>
      </w:tr>
      <w:tr w:rsidR="009B4D09" w14:paraId="70851062" w14:textId="77777777">
        <w:trPr>
          <w:trHeight w:val="245"/>
        </w:trPr>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AD4D7C" w14:textId="77777777" w:rsidR="009B4D09" w:rsidRDefault="009B4D09">
            <w:pPr>
              <w:pStyle w:val="TableDataEntries"/>
              <w:jc w:val="left"/>
            </w:pPr>
            <w:r>
              <w:t>August</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B824905" w14:textId="77777777" w:rsidR="009B4D09" w:rsidRDefault="009B4D09">
            <w:pPr>
              <w:pStyle w:val="TableDataEntries"/>
            </w:pPr>
            <w:r w:rsidRPr="00F82E10">
              <w:t>0.51</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37F66B" w14:textId="77777777" w:rsidR="009B4D09" w:rsidRDefault="009B4D09">
            <w:pPr>
              <w:pStyle w:val="TableDataEntries"/>
            </w:pPr>
            <w:r w:rsidRPr="00F82E10">
              <w:t>0.00</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DF54A27" w14:textId="77777777" w:rsidR="009B4D09" w:rsidRDefault="009B4D09">
            <w:pPr>
              <w:pStyle w:val="TableDataEntries"/>
            </w:pPr>
            <w:r w:rsidRPr="00F82E10">
              <w:t>0.33</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2A8792" w14:textId="77777777" w:rsidR="009B4D09" w:rsidRDefault="009B4D09">
            <w:pPr>
              <w:pStyle w:val="TableDataEntries"/>
            </w:pPr>
            <w:r w:rsidRPr="00F82E10">
              <w:t>0.08</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89FB7DF" w14:textId="77777777" w:rsidR="009B4D09" w:rsidRDefault="009B4D09">
            <w:pPr>
              <w:pStyle w:val="TableDataEntries"/>
            </w:pPr>
            <w:r w:rsidRPr="00F82E10">
              <w:t>0.00</w:t>
            </w:r>
          </w:p>
        </w:tc>
        <w:tc>
          <w:tcPr>
            <w:tcW w:w="94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25D9298" w14:textId="77777777" w:rsidR="009B4D09" w:rsidRDefault="009B4D09">
            <w:pPr>
              <w:pStyle w:val="TableDataEntries"/>
            </w:pPr>
            <w:r w:rsidRPr="00F82E10">
              <w:t>0.69</w:t>
            </w:r>
          </w:p>
        </w:tc>
        <w:tc>
          <w:tcPr>
            <w:tcW w:w="8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CDADFC" w14:textId="77777777" w:rsidR="009B4D09" w:rsidRDefault="009B4D09">
            <w:pPr>
              <w:pStyle w:val="TableDataEntries"/>
              <w:ind w:left="-57" w:right="-57"/>
            </w:pPr>
            <w:r w:rsidRPr="00F82E10">
              <w:t>0.37</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F984B13" w14:textId="77777777" w:rsidR="009B4D09" w:rsidRDefault="009B4D09">
            <w:pPr>
              <w:pStyle w:val="TableDataEntries"/>
            </w:pPr>
            <w:r w:rsidRPr="00F82E10">
              <w:t>0.49</w:t>
            </w:r>
          </w:p>
        </w:tc>
      </w:tr>
      <w:tr w:rsidR="009B4D09" w14:paraId="48D7E513" w14:textId="77777777">
        <w:trPr>
          <w:trHeight w:val="245"/>
        </w:trPr>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D282CD" w14:textId="77777777" w:rsidR="009B4D09" w:rsidRDefault="009B4D09">
            <w:pPr>
              <w:pStyle w:val="TableDataEntries"/>
              <w:jc w:val="left"/>
            </w:pPr>
            <w:r>
              <w:t>September</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F0CE6A" w14:textId="77777777" w:rsidR="009B4D09" w:rsidRDefault="009B4D09">
            <w:pPr>
              <w:pStyle w:val="TableDataEntries"/>
            </w:pPr>
            <w:r w:rsidRPr="00F82E10">
              <w:t>0.00</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2B671D" w14:textId="77777777" w:rsidR="009B4D09" w:rsidRDefault="009B4D09">
            <w:pPr>
              <w:pStyle w:val="TableDataEntries"/>
            </w:pPr>
            <w:r w:rsidRPr="00F82E10">
              <w:t>0.00</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1F9C9F" w14:textId="77777777" w:rsidR="009B4D09" w:rsidRDefault="009B4D09">
            <w:pPr>
              <w:pStyle w:val="TableDataEntries"/>
            </w:pPr>
            <w:r w:rsidRPr="00F82E10">
              <w:t>0.33</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5C87ED7" w14:textId="77777777" w:rsidR="009B4D09" w:rsidRDefault="009B4D09">
            <w:pPr>
              <w:pStyle w:val="TableDataEntries"/>
            </w:pPr>
            <w:r w:rsidRPr="00F82E10">
              <w:t>0.08</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B6DA57" w14:textId="77777777" w:rsidR="009B4D09" w:rsidRDefault="009B4D09">
            <w:pPr>
              <w:pStyle w:val="TableDataEntries"/>
            </w:pPr>
            <w:r w:rsidRPr="00F82E10">
              <w:t>0.00</w:t>
            </w:r>
          </w:p>
        </w:tc>
        <w:tc>
          <w:tcPr>
            <w:tcW w:w="94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CE32C73" w14:textId="77777777" w:rsidR="009B4D09" w:rsidRDefault="009B4D09">
            <w:pPr>
              <w:pStyle w:val="TableDataEntries"/>
            </w:pPr>
            <w:r w:rsidRPr="00F82E10">
              <w:t>0.69</w:t>
            </w:r>
          </w:p>
        </w:tc>
        <w:tc>
          <w:tcPr>
            <w:tcW w:w="8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2D0062" w14:textId="77777777" w:rsidR="009B4D09" w:rsidRDefault="009B4D09">
            <w:pPr>
              <w:pStyle w:val="TableDataEntries"/>
              <w:ind w:left="-57" w:right="-57"/>
            </w:pPr>
            <w:r w:rsidRPr="00F82E10">
              <w:t>0.37</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37489D1" w14:textId="77777777" w:rsidR="009B4D09" w:rsidRDefault="009B4D09">
            <w:pPr>
              <w:pStyle w:val="TableDataEntries"/>
            </w:pPr>
            <w:r w:rsidRPr="00F82E10">
              <w:t>0.49</w:t>
            </w:r>
          </w:p>
        </w:tc>
      </w:tr>
      <w:tr w:rsidR="009B4D09" w14:paraId="67475290" w14:textId="77777777">
        <w:trPr>
          <w:trHeight w:val="245"/>
        </w:trPr>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D7BF50D" w14:textId="77777777" w:rsidR="009B4D09" w:rsidRDefault="009B4D09">
            <w:pPr>
              <w:pStyle w:val="TableDataEntries"/>
              <w:jc w:val="left"/>
            </w:pPr>
            <w:r>
              <w:t>October</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774C3D2" w14:textId="77777777" w:rsidR="009B4D09" w:rsidRDefault="009B4D09">
            <w:pPr>
              <w:pStyle w:val="TableDataEntries"/>
            </w:pPr>
            <w:r w:rsidRPr="00F82E10">
              <w:t>0.00</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892FCD" w14:textId="77777777" w:rsidR="009B4D09" w:rsidRDefault="009B4D09">
            <w:pPr>
              <w:pStyle w:val="TableDataEntries"/>
            </w:pPr>
            <w:r w:rsidRPr="00F82E10">
              <w:t>0.00</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AFB7D26" w14:textId="77777777" w:rsidR="009B4D09" w:rsidRDefault="009B4D09">
            <w:pPr>
              <w:pStyle w:val="TableDataEntries"/>
            </w:pPr>
            <w:r w:rsidRPr="00F82E10">
              <w:t>0.33</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CFD050E" w14:textId="77777777" w:rsidR="009B4D09" w:rsidRDefault="009B4D09">
            <w:pPr>
              <w:pStyle w:val="TableDataEntries"/>
            </w:pPr>
            <w:r w:rsidRPr="00F82E10">
              <w:t>0.08</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1B7B34C" w14:textId="77777777" w:rsidR="009B4D09" w:rsidRDefault="009B4D09">
            <w:pPr>
              <w:pStyle w:val="TableDataEntries"/>
            </w:pPr>
            <w:r w:rsidRPr="00F82E10">
              <w:t>0.00</w:t>
            </w:r>
          </w:p>
        </w:tc>
        <w:tc>
          <w:tcPr>
            <w:tcW w:w="94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F66097A" w14:textId="77777777" w:rsidR="009B4D09" w:rsidRDefault="009B4D09">
            <w:pPr>
              <w:pStyle w:val="TableDataEntries"/>
            </w:pPr>
            <w:r w:rsidRPr="00F82E10">
              <w:t>0.69</w:t>
            </w:r>
          </w:p>
        </w:tc>
        <w:tc>
          <w:tcPr>
            <w:tcW w:w="8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86873C" w14:textId="77777777" w:rsidR="009B4D09" w:rsidRDefault="009B4D09">
            <w:pPr>
              <w:pStyle w:val="TableDataEntries"/>
              <w:ind w:left="-57" w:right="-57"/>
            </w:pPr>
            <w:r w:rsidRPr="00F82E10">
              <w:t>0.37</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FEC138" w14:textId="77777777" w:rsidR="009B4D09" w:rsidRDefault="009B4D09">
            <w:pPr>
              <w:pStyle w:val="TableDataEntries"/>
            </w:pPr>
            <w:r w:rsidRPr="00F82E10">
              <w:t>0.49</w:t>
            </w:r>
          </w:p>
        </w:tc>
      </w:tr>
      <w:tr w:rsidR="009B4D09" w14:paraId="154C5269" w14:textId="77777777">
        <w:trPr>
          <w:trHeight w:val="245"/>
        </w:trPr>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375A9F" w14:textId="77777777" w:rsidR="009B4D09" w:rsidRDefault="009B4D09">
            <w:pPr>
              <w:pStyle w:val="TableDataEntries"/>
              <w:jc w:val="left"/>
            </w:pPr>
            <w:r>
              <w:t>November</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49C465B" w14:textId="77777777" w:rsidR="009B4D09" w:rsidRDefault="009B4D09">
            <w:pPr>
              <w:pStyle w:val="TableDataEntries"/>
            </w:pPr>
            <w:r w:rsidRPr="00F82E10">
              <w:t>0.51</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43B432" w14:textId="77777777" w:rsidR="009B4D09" w:rsidRDefault="009B4D09">
            <w:pPr>
              <w:pStyle w:val="TableDataEntries"/>
            </w:pPr>
            <w:r w:rsidRPr="00F82E10">
              <w:t>0.00</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264E9A3" w14:textId="77777777" w:rsidR="009B4D09" w:rsidRDefault="009B4D09">
            <w:pPr>
              <w:pStyle w:val="TableDataEntries"/>
            </w:pPr>
            <w:r w:rsidRPr="00F82E10">
              <w:t>0.33</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463D547" w14:textId="77777777" w:rsidR="009B4D09" w:rsidRDefault="009B4D09">
            <w:pPr>
              <w:pStyle w:val="TableDataEntries"/>
            </w:pPr>
            <w:r w:rsidRPr="00F82E10">
              <w:t>0.08</w:t>
            </w:r>
          </w:p>
        </w:tc>
        <w:tc>
          <w:tcPr>
            <w:tcW w:w="88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4F9CE13" w14:textId="77777777" w:rsidR="009B4D09" w:rsidRDefault="009B4D09">
            <w:pPr>
              <w:pStyle w:val="TableDataEntries"/>
            </w:pPr>
            <w:r w:rsidRPr="00F82E10">
              <w:t>0.40</w:t>
            </w:r>
          </w:p>
        </w:tc>
        <w:tc>
          <w:tcPr>
            <w:tcW w:w="94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637B1B" w14:textId="77777777" w:rsidR="009B4D09" w:rsidRDefault="009B4D09">
            <w:pPr>
              <w:pStyle w:val="TableDataEntries"/>
            </w:pPr>
            <w:r w:rsidRPr="00F82E10">
              <w:t>0.69</w:t>
            </w:r>
          </w:p>
        </w:tc>
        <w:tc>
          <w:tcPr>
            <w:tcW w:w="816"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9768A3C" w14:textId="77777777" w:rsidR="009B4D09" w:rsidRDefault="009B4D09">
            <w:pPr>
              <w:pStyle w:val="TableDataEntries"/>
              <w:ind w:left="-57" w:right="-57"/>
            </w:pPr>
            <w:r w:rsidRPr="00F82E10">
              <w:t>0.37</w:t>
            </w:r>
          </w:p>
        </w:tc>
        <w:tc>
          <w:tcPr>
            <w:tcW w:w="88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3A1E7F4" w14:textId="77777777" w:rsidR="009B4D09" w:rsidRDefault="009B4D09">
            <w:pPr>
              <w:pStyle w:val="TableDataEntries"/>
            </w:pPr>
            <w:r w:rsidRPr="00F82E10">
              <w:t>0.49</w:t>
            </w:r>
          </w:p>
        </w:tc>
      </w:tr>
      <w:tr w:rsidR="009B4D09" w14:paraId="6FF99A56" w14:textId="77777777">
        <w:trPr>
          <w:trHeight w:val="245"/>
        </w:trPr>
        <w:tc>
          <w:tcPr>
            <w:tcW w:w="882" w:type="dxa"/>
            <w:tcBorders>
              <w:top w:val="single" w:sz="8" w:space="0" w:color="FFFFFF" w:themeColor="background1"/>
              <w:bottom w:val="single" w:sz="6" w:space="0" w:color="6F6652"/>
            </w:tcBorders>
            <w:shd w:val="clear" w:color="auto" w:fill="E9E8E5" w:themeFill="background2"/>
            <w:tcMar>
              <w:left w:w="57" w:type="dxa"/>
              <w:right w:w="57" w:type="dxa"/>
            </w:tcMar>
          </w:tcPr>
          <w:p w14:paraId="2C0246A9" w14:textId="77777777" w:rsidR="009B4D09" w:rsidRDefault="009B4D09">
            <w:pPr>
              <w:pStyle w:val="TableDataEntries"/>
              <w:jc w:val="left"/>
            </w:pPr>
            <w:r>
              <w:t>December</w:t>
            </w:r>
          </w:p>
        </w:tc>
        <w:tc>
          <w:tcPr>
            <w:tcW w:w="881" w:type="dxa"/>
            <w:tcBorders>
              <w:top w:val="single" w:sz="8" w:space="0" w:color="FFFFFF" w:themeColor="background1"/>
              <w:bottom w:val="single" w:sz="6" w:space="0" w:color="6F6652"/>
            </w:tcBorders>
            <w:shd w:val="clear" w:color="auto" w:fill="E9E8E5" w:themeFill="background2"/>
            <w:tcMar>
              <w:left w:w="57" w:type="dxa"/>
              <w:right w:w="57" w:type="dxa"/>
            </w:tcMar>
          </w:tcPr>
          <w:p w14:paraId="6E5D83EE" w14:textId="77777777" w:rsidR="009B4D09" w:rsidRDefault="009B4D09">
            <w:pPr>
              <w:pStyle w:val="TableDataEntries"/>
            </w:pPr>
            <w:r w:rsidRPr="00F82E10">
              <w:t>0.51</w:t>
            </w:r>
          </w:p>
        </w:tc>
        <w:tc>
          <w:tcPr>
            <w:tcW w:w="882" w:type="dxa"/>
            <w:tcBorders>
              <w:top w:val="single" w:sz="8" w:space="0" w:color="FFFFFF" w:themeColor="background1"/>
              <w:bottom w:val="single" w:sz="6" w:space="0" w:color="6F6652"/>
            </w:tcBorders>
            <w:shd w:val="clear" w:color="auto" w:fill="E9E8E5" w:themeFill="background2"/>
            <w:tcMar>
              <w:left w:w="57" w:type="dxa"/>
              <w:right w:w="57" w:type="dxa"/>
            </w:tcMar>
          </w:tcPr>
          <w:p w14:paraId="149B26B1" w14:textId="77777777" w:rsidR="009B4D09" w:rsidRDefault="009B4D09">
            <w:pPr>
              <w:pStyle w:val="TableDataEntries"/>
            </w:pPr>
            <w:r w:rsidRPr="00F82E10">
              <w:t>0.41</w:t>
            </w:r>
          </w:p>
        </w:tc>
        <w:tc>
          <w:tcPr>
            <w:tcW w:w="881" w:type="dxa"/>
            <w:tcBorders>
              <w:top w:val="single" w:sz="8" w:space="0" w:color="FFFFFF" w:themeColor="background1"/>
              <w:bottom w:val="single" w:sz="6" w:space="0" w:color="6F6652"/>
            </w:tcBorders>
            <w:shd w:val="clear" w:color="auto" w:fill="E9E8E5" w:themeFill="background2"/>
            <w:tcMar>
              <w:left w:w="57" w:type="dxa"/>
              <w:right w:w="57" w:type="dxa"/>
            </w:tcMar>
          </w:tcPr>
          <w:p w14:paraId="1F281710" w14:textId="77777777" w:rsidR="009B4D09" w:rsidRDefault="009B4D09">
            <w:pPr>
              <w:pStyle w:val="TableDataEntries"/>
            </w:pPr>
            <w:r w:rsidRPr="00F82E10">
              <w:t>0.33</w:t>
            </w:r>
          </w:p>
        </w:tc>
        <w:tc>
          <w:tcPr>
            <w:tcW w:w="882" w:type="dxa"/>
            <w:tcBorders>
              <w:top w:val="single" w:sz="8" w:space="0" w:color="FFFFFF" w:themeColor="background1"/>
              <w:bottom w:val="single" w:sz="6" w:space="0" w:color="6F6652"/>
            </w:tcBorders>
            <w:shd w:val="clear" w:color="auto" w:fill="E9E8E5" w:themeFill="background2"/>
            <w:tcMar>
              <w:left w:w="57" w:type="dxa"/>
              <w:right w:w="57" w:type="dxa"/>
            </w:tcMar>
          </w:tcPr>
          <w:p w14:paraId="60099495" w14:textId="77777777" w:rsidR="009B4D09" w:rsidRDefault="009B4D09">
            <w:pPr>
              <w:pStyle w:val="TableDataEntries"/>
            </w:pPr>
            <w:r w:rsidRPr="00F82E10">
              <w:t>0.08</w:t>
            </w:r>
          </w:p>
        </w:tc>
        <w:tc>
          <w:tcPr>
            <w:tcW w:w="882" w:type="dxa"/>
            <w:tcBorders>
              <w:top w:val="single" w:sz="8" w:space="0" w:color="FFFFFF" w:themeColor="background1"/>
              <w:bottom w:val="single" w:sz="6" w:space="0" w:color="6F6652"/>
            </w:tcBorders>
            <w:shd w:val="clear" w:color="auto" w:fill="E9E8E5" w:themeFill="background2"/>
            <w:tcMar>
              <w:left w:w="57" w:type="dxa"/>
              <w:right w:w="57" w:type="dxa"/>
            </w:tcMar>
          </w:tcPr>
          <w:p w14:paraId="6A95F4D0" w14:textId="77777777" w:rsidR="009B4D09" w:rsidRDefault="009B4D09">
            <w:pPr>
              <w:pStyle w:val="TableDataEntries"/>
            </w:pPr>
            <w:r w:rsidRPr="00F82E10">
              <w:t>0.40</w:t>
            </w:r>
          </w:p>
        </w:tc>
        <w:tc>
          <w:tcPr>
            <w:tcW w:w="947" w:type="dxa"/>
            <w:tcBorders>
              <w:top w:val="single" w:sz="8" w:space="0" w:color="FFFFFF" w:themeColor="background1"/>
              <w:bottom w:val="single" w:sz="6" w:space="0" w:color="6F6652"/>
            </w:tcBorders>
            <w:shd w:val="clear" w:color="auto" w:fill="E9E8E5" w:themeFill="background2"/>
            <w:tcMar>
              <w:left w:w="57" w:type="dxa"/>
              <w:right w:w="57" w:type="dxa"/>
            </w:tcMar>
          </w:tcPr>
          <w:p w14:paraId="15DDC3DB" w14:textId="77777777" w:rsidR="009B4D09" w:rsidRDefault="009B4D09">
            <w:pPr>
              <w:pStyle w:val="TableDataEntries"/>
            </w:pPr>
            <w:r w:rsidRPr="00F82E10">
              <w:t>0.69</w:t>
            </w:r>
          </w:p>
        </w:tc>
        <w:tc>
          <w:tcPr>
            <w:tcW w:w="816" w:type="dxa"/>
            <w:tcBorders>
              <w:top w:val="single" w:sz="8" w:space="0" w:color="FFFFFF" w:themeColor="background1"/>
              <w:bottom w:val="single" w:sz="6" w:space="0" w:color="6F6652"/>
            </w:tcBorders>
            <w:shd w:val="clear" w:color="auto" w:fill="E9E8E5" w:themeFill="background2"/>
            <w:tcMar>
              <w:left w:w="57" w:type="dxa"/>
              <w:right w:w="57" w:type="dxa"/>
            </w:tcMar>
          </w:tcPr>
          <w:p w14:paraId="77AF586F" w14:textId="77777777" w:rsidR="009B4D09" w:rsidRDefault="009B4D09">
            <w:pPr>
              <w:pStyle w:val="TableDataEntries"/>
              <w:ind w:left="-57" w:right="-57"/>
            </w:pPr>
            <w:r w:rsidRPr="00F82E10">
              <w:t>0.37</w:t>
            </w:r>
          </w:p>
        </w:tc>
        <w:tc>
          <w:tcPr>
            <w:tcW w:w="881" w:type="dxa"/>
            <w:tcBorders>
              <w:top w:val="single" w:sz="8" w:space="0" w:color="FFFFFF" w:themeColor="background1"/>
              <w:bottom w:val="single" w:sz="6" w:space="0" w:color="6F6652"/>
            </w:tcBorders>
            <w:shd w:val="clear" w:color="auto" w:fill="E9E8E5" w:themeFill="background2"/>
            <w:tcMar>
              <w:left w:w="57" w:type="dxa"/>
              <w:right w:w="57" w:type="dxa"/>
            </w:tcMar>
          </w:tcPr>
          <w:p w14:paraId="1CE09D27" w14:textId="77777777" w:rsidR="009B4D09" w:rsidRDefault="009B4D09">
            <w:pPr>
              <w:pStyle w:val="TableDataEntries"/>
            </w:pPr>
            <w:r w:rsidRPr="00F82E10">
              <w:t>0.49</w:t>
            </w:r>
          </w:p>
        </w:tc>
      </w:tr>
    </w:tbl>
    <w:p w14:paraId="55A2C5C9" w14:textId="77777777" w:rsidR="009B4D09" w:rsidRDefault="009B4D09" w:rsidP="009B4D09">
      <w:pPr>
        <w:pStyle w:val="Source"/>
        <w:rPr>
          <w:lang w:bidi="fa-IR"/>
        </w:rPr>
      </w:pPr>
      <w:r w:rsidRPr="00DD054B">
        <w:rPr>
          <w:i/>
          <w:lang w:bidi="fa-IR"/>
        </w:rPr>
        <w:t>Source:</w:t>
      </w:r>
      <w:r>
        <w:rPr>
          <w:lang w:bidi="fa-IR"/>
        </w:rPr>
        <w:t xml:space="preserve"> CIE based on review of network operators’ pricing proposals in each state or territory.</w:t>
      </w:r>
    </w:p>
    <w:p w14:paraId="608A8343" w14:textId="77777777" w:rsidR="009B4D09" w:rsidRDefault="009B4D09" w:rsidP="009B4D09">
      <w:pPr>
        <w:pStyle w:val="BodyText"/>
        <w:rPr>
          <w:lang w:eastAsia="en-US" w:bidi="fa-IR"/>
        </w:rPr>
      </w:pPr>
      <w:r>
        <w:rPr>
          <w:lang w:eastAsia="en-US" w:bidi="fa-IR"/>
        </w:rPr>
        <w:t>To estimate avoided network capacity costs we use the following approach:</w:t>
      </w:r>
    </w:p>
    <w:p w14:paraId="3CDA99FA" w14:textId="77777777" w:rsidR="009B4D09" w:rsidRDefault="009B4D09" w:rsidP="009B4D09">
      <w:pPr>
        <w:pStyle w:val="ListBullet"/>
        <w:tabs>
          <w:tab w:val="num" w:pos="709"/>
        </w:tabs>
        <w:rPr>
          <w:lang w:eastAsia="en-US" w:bidi="fa-IR"/>
        </w:rPr>
      </w:pPr>
      <w:r>
        <w:rPr>
          <w:lang w:eastAsia="en-US" w:bidi="fa-IR"/>
        </w:rPr>
        <w:t>We first estimate the change in peak hourly usage (in designated peak periods where relevant) each calendar month (in kWh) based on DeltaQ modelling.</w:t>
      </w:r>
    </w:p>
    <w:p w14:paraId="2951D03B" w14:textId="77777777" w:rsidR="009B4D09" w:rsidRDefault="009B4D09" w:rsidP="009B4D09">
      <w:pPr>
        <w:pStyle w:val="ListBullet"/>
        <w:tabs>
          <w:tab w:val="num" w:pos="709"/>
        </w:tabs>
        <w:rPr>
          <w:lang w:eastAsia="en-US" w:bidi="fa-IR"/>
        </w:rPr>
      </w:pPr>
      <w:r>
        <w:rPr>
          <w:lang w:eastAsia="en-US" w:bidi="fa-IR"/>
        </w:rPr>
        <w:t xml:space="preserve">We then convert the peak usage to kVa </w:t>
      </w:r>
      <w:r w:rsidRPr="00345467">
        <w:rPr>
          <w:lang w:bidi="fa-IR"/>
        </w:rPr>
        <w:t>using a power factor of 0.9.</w:t>
      </w:r>
      <w:r w:rsidRPr="00CF4DB7">
        <w:rPr>
          <w:rStyle w:val="FootnoteReference"/>
        </w:rPr>
        <w:footnoteReference w:id="171"/>
      </w:r>
    </w:p>
    <w:p w14:paraId="42AE3B0E" w14:textId="77777777" w:rsidR="009B4D09" w:rsidRDefault="009B4D09" w:rsidP="009B4D09">
      <w:pPr>
        <w:pStyle w:val="ListBullet"/>
        <w:tabs>
          <w:tab w:val="num" w:pos="709"/>
        </w:tabs>
        <w:rPr>
          <w:lang w:eastAsia="en-US" w:bidi="fa-IR"/>
        </w:rPr>
      </w:pPr>
      <w:r>
        <w:rPr>
          <w:lang w:eastAsia="en-US" w:bidi="fa-IR"/>
        </w:rPr>
        <w:t>We then multiply the change in peak consumption by the capacity charge (in kVa per day).</w:t>
      </w:r>
    </w:p>
    <w:p w14:paraId="311C56D6" w14:textId="77777777" w:rsidR="009B4D09" w:rsidRDefault="009B4D09" w:rsidP="009B4D09">
      <w:pPr>
        <w:pStyle w:val="ListBullet"/>
        <w:tabs>
          <w:tab w:val="num" w:pos="709"/>
        </w:tabs>
        <w:rPr>
          <w:lang w:eastAsia="en-US" w:bidi="fa-IR"/>
        </w:rPr>
      </w:pPr>
      <w:r>
        <w:rPr>
          <w:lang w:eastAsia="en-US" w:bidi="fa-IR"/>
        </w:rPr>
        <w:t>Finally, we multiply by the number of days in the relevant month and then sum across months to get an annual estimate of the avoided network capacity costs.</w:t>
      </w:r>
    </w:p>
    <w:p w14:paraId="273C25E9" w14:textId="77777777" w:rsidR="009B4D09" w:rsidRDefault="009B4D09" w:rsidP="009B4D09">
      <w:pPr>
        <w:pStyle w:val="Heading9"/>
        <w:rPr>
          <w:lang w:eastAsia="en-US" w:bidi="fa-IR"/>
        </w:rPr>
      </w:pPr>
      <w:r>
        <w:rPr>
          <w:lang w:eastAsia="en-US" w:bidi="fa-IR"/>
        </w:rPr>
        <w:t>Network usage costs</w:t>
      </w:r>
    </w:p>
    <w:p w14:paraId="49873123" w14:textId="72DCCEAA" w:rsidR="009B4D09" w:rsidRDefault="009B4D09" w:rsidP="009B4D09">
      <w:pPr>
        <w:pStyle w:val="BodyText"/>
        <w:rPr>
          <w:lang w:eastAsia="en-US" w:bidi="fa-IR"/>
        </w:rPr>
      </w:pPr>
      <w:r>
        <w:rPr>
          <w:lang w:eastAsia="en-US" w:bidi="fa-IR"/>
        </w:rPr>
        <w:t>Avoided network usage costs are estimated based on network usage charges. Network usage charges vary by time of use and in some cases, by time of year. In particular, network usage charges vary by time of year in NSW (see chart </w:t>
      </w:r>
      <w:r>
        <w:rPr>
          <w:lang w:eastAsia="en-US" w:bidi="fa-IR"/>
        </w:rPr>
        <w:fldChar w:fldCharType="begin"/>
      </w:r>
      <w:r>
        <w:rPr>
          <w:lang w:eastAsia="en-US" w:bidi="fa-IR"/>
        </w:rPr>
        <w:instrText xml:space="preserve"> REF _Caption9346 </w:instrText>
      </w:r>
      <w:r>
        <w:rPr>
          <w:lang w:eastAsia="en-US" w:bidi="fa-IR"/>
        </w:rPr>
        <w:fldChar w:fldCharType="separate"/>
      </w:r>
      <w:r w:rsidR="0096258B">
        <w:rPr>
          <w:noProof/>
        </w:rPr>
        <w:t>B</w:t>
      </w:r>
      <w:r w:rsidR="0096258B" w:rsidRPr="00B779B1">
        <w:rPr>
          <w:noProof/>
        </w:rPr>
        <w:t>.</w:t>
      </w:r>
      <w:r w:rsidR="0096258B">
        <w:rPr>
          <w:noProof/>
        </w:rPr>
        <w:t>11</w:t>
      </w:r>
      <w:r>
        <w:rPr>
          <w:lang w:eastAsia="en-US" w:bidi="fa-IR"/>
        </w:rPr>
        <w:fldChar w:fldCharType="end"/>
      </w:r>
      <w:r>
        <w:rPr>
          <w:lang w:eastAsia="en-US" w:bidi="fa-IR"/>
        </w:rPr>
        <w:t>) and to a lesser extent Victoria (see chart </w:t>
      </w:r>
      <w:r>
        <w:rPr>
          <w:lang w:eastAsia="en-US" w:bidi="fa-IR"/>
        </w:rPr>
        <w:fldChar w:fldCharType="begin"/>
      </w:r>
      <w:r>
        <w:rPr>
          <w:lang w:eastAsia="en-US" w:bidi="fa-IR"/>
        </w:rPr>
        <w:instrText xml:space="preserve"> REF _Caption8463 </w:instrText>
      </w:r>
      <w:r>
        <w:rPr>
          <w:lang w:eastAsia="en-US" w:bidi="fa-IR"/>
        </w:rPr>
        <w:fldChar w:fldCharType="separate"/>
      </w:r>
      <w:r w:rsidR="0096258B">
        <w:rPr>
          <w:noProof/>
        </w:rPr>
        <w:t>B</w:t>
      </w:r>
      <w:r w:rsidR="0096258B" w:rsidRPr="00B779B1">
        <w:rPr>
          <w:noProof/>
        </w:rPr>
        <w:t>.</w:t>
      </w:r>
      <w:r w:rsidR="0096258B">
        <w:rPr>
          <w:noProof/>
        </w:rPr>
        <w:t>12</w:t>
      </w:r>
      <w:r>
        <w:rPr>
          <w:lang w:eastAsia="en-US" w:bidi="fa-IR"/>
        </w:rPr>
        <w:fldChar w:fldCharType="end"/>
      </w:r>
      <w:r>
        <w:rPr>
          <w:lang w:eastAsia="en-US" w:bidi="fa-IR"/>
        </w:rPr>
        <w:t>).</w:t>
      </w:r>
    </w:p>
    <w:p w14:paraId="6274EF38" w14:textId="0709E17D" w:rsidR="009B4D09" w:rsidRPr="00B779B1" w:rsidRDefault="009B4D09" w:rsidP="009B4D09">
      <w:pPr>
        <w:pStyle w:val="Caption"/>
      </w:pPr>
      <w:r w:rsidRPr="00B779B1">
        <w:fldChar w:fldCharType="begin"/>
      </w:r>
      <w:r w:rsidRPr="00B779B1">
        <w:instrText xml:space="preserve"> IF 1 = 1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 0 ""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w:instrText>
      </w:r>
      <w:r w:rsidRPr="00B779B1">
        <w:fldChar w:fldCharType="separate"/>
      </w:r>
      <w:r w:rsidRPr="00B779B1">
        <w:instrText>Error! No text of specified style in document..</w:instrText>
      </w:r>
      <w:r w:rsidRPr="00B779B1">
        <w:fldChar w:fldCharType="end"/>
      </w:r>
      <w:r w:rsidRPr="00B779B1">
        <w:instrText>" "</w:instrText>
      </w:r>
      <w:fldSimple w:instr=" STYLEREF &quot;Heading 6&quot; \l \n ">
        <w:r w:rsidR="00520F9E">
          <w:rPr>
            <w:noProof/>
          </w:rPr>
          <w:instrText>B</w:instrText>
        </w:r>
      </w:fldSimple>
      <w:r w:rsidRPr="00B779B1">
        <w:instrText xml:space="preserve">." </w:instrText>
      </w:r>
      <w:r w:rsidRPr="00B779B1">
        <w:fldChar w:fldCharType="separate"/>
      </w:r>
      <w:r w:rsidR="00520F9E">
        <w:rPr>
          <w:noProof/>
        </w:rPr>
        <w:instrText>B</w:instrText>
      </w:r>
      <w:r w:rsidR="00520F9E" w:rsidRPr="00B779B1">
        <w:rPr>
          <w:noProof/>
        </w:rPr>
        <w:instrText>.</w:instrText>
      </w:r>
      <w:r w:rsidRPr="00B779B1">
        <w:fldChar w:fldCharType="end"/>
      </w:r>
      <w:r w:rsidRPr="00B779B1">
        <w:fldChar w:fldCharType="begin"/>
      </w:r>
      <w:r w:rsidRPr="00B779B1">
        <w:instrText xml:space="preserve"> SEQ Item \* ARABIC \s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 0 "" "1" </w:instrText>
      </w:r>
      <w:r w:rsidRPr="00B779B1">
        <w:fldChar w:fldCharType="separate"/>
      </w:r>
      <w:r w:rsidRPr="00B779B1">
        <w:instrText>1</w:instrText>
      </w:r>
      <w:r w:rsidRPr="00B779B1">
        <w:fldChar w:fldCharType="end"/>
      </w:r>
      <w:r w:rsidRPr="00B779B1">
        <w:instrText xml:space="preserve">" "6" </w:instrText>
      </w:r>
      <w:r w:rsidRPr="00B779B1">
        <w:fldChar w:fldCharType="separate"/>
      </w:r>
      <w:r w:rsidR="00520F9E" w:rsidRPr="00B779B1">
        <w:rPr>
          <w:noProof/>
        </w:rPr>
        <w:instrText>6</w:instrText>
      </w:r>
      <w:r w:rsidRPr="00B779B1">
        <w:fldChar w:fldCharType="end"/>
      </w:r>
      <w:r w:rsidRPr="00B779B1">
        <w:instrText xml:space="preserve"> </w:instrText>
      </w:r>
      <w:r w:rsidRPr="00B779B1">
        <w:fldChar w:fldCharType="separate"/>
      </w:r>
      <w:r w:rsidR="00520F9E">
        <w:rPr>
          <w:noProof/>
        </w:rPr>
        <w:instrText>11</w:instrText>
      </w:r>
      <w:r w:rsidRPr="00B779B1">
        <w:fldChar w:fldCharType="end"/>
      </w:r>
      <w:r w:rsidRPr="00B779B1">
        <w:instrText xml:space="preserve">" "" </w:instrText>
      </w:r>
      <w:r w:rsidRPr="00B779B1">
        <w:fldChar w:fldCharType="separate"/>
      </w:r>
      <w:bookmarkStart w:id="7213" w:name="_Caption8163"/>
      <w:bookmarkStart w:id="7214" w:name="_Caption2756"/>
      <w:bookmarkStart w:id="7215" w:name="_Caption7636"/>
      <w:bookmarkStart w:id="7216" w:name="_Caption1164"/>
      <w:bookmarkStart w:id="7217" w:name="_Caption2713"/>
      <w:bookmarkStart w:id="7218" w:name="_Caption4283"/>
      <w:bookmarkStart w:id="7219" w:name="_Caption5992"/>
      <w:bookmarkStart w:id="7220" w:name="_Caption9224"/>
      <w:bookmarkStart w:id="7221" w:name="_Caption0915"/>
      <w:bookmarkStart w:id="7222" w:name="_Caption6820"/>
      <w:bookmarkStart w:id="7223" w:name="_Caption9346"/>
      <w:bookmarkStart w:id="7224" w:name="_Caption4351"/>
      <w:bookmarkStart w:id="7225" w:name="_Caption4910"/>
      <w:bookmarkStart w:id="7226" w:name="_Caption0312"/>
      <w:bookmarkStart w:id="7227" w:name="_Caption5737"/>
      <w:bookmarkStart w:id="7228" w:name="_Caption8542"/>
      <w:bookmarkStart w:id="7229" w:name="_Caption9287"/>
      <w:bookmarkStart w:id="7230" w:name="_Caption2133"/>
      <w:bookmarkStart w:id="7231" w:name="_Caption9021"/>
      <w:bookmarkStart w:id="7232" w:name="_Caption4682"/>
      <w:bookmarkStart w:id="7233" w:name="_Caption2317"/>
      <w:bookmarkStart w:id="7234" w:name="_Caption0557"/>
      <w:bookmarkStart w:id="7235" w:name="_Caption8208"/>
      <w:bookmarkStart w:id="7236" w:name="_Caption9491"/>
      <w:bookmarkStart w:id="7237" w:name="_Caption0554"/>
      <w:bookmarkStart w:id="7238" w:name="_Caption8547"/>
      <w:bookmarkStart w:id="7239" w:name="_Caption0849"/>
      <w:bookmarkStart w:id="7240" w:name="_Caption7853"/>
      <w:bookmarkStart w:id="7241" w:name="_Caption8432"/>
      <w:bookmarkStart w:id="7242" w:name="_Caption1996"/>
      <w:bookmarkStart w:id="7243" w:name="_Caption1692"/>
      <w:bookmarkStart w:id="7244" w:name="_Caption6438"/>
      <w:bookmarkStart w:id="7245" w:name="_Caption6003"/>
      <w:bookmarkStart w:id="7246" w:name="_Caption7686"/>
      <w:bookmarkStart w:id="7247" w:name="_Caption4403"/>
      <w:bookmarkStart w:id="7248" w:name="_Caption2379"/>
      <w:bookmarkStart w:id="7249" w:name="_Caption9206"/>
      <w:bookmarkStart w:id="7250" w:name="_Caption6988"/>
      <w:bookmarkStart w:id="7251" w:name="_Caption3849"/>
      <w:bookmarkStart w:id="7252" w:name="_Caption2898"/>
      <w:bookmarkStart w:id="7253" w:name="_Caption4844"/>
      <w:bookmarkStart w:id="7254" w:name="_Caption3373"/>
      <w:bookmarkStart w:id="7255" w:name="_Caption5837"/>
      <w:bookmarkStart w:id="7256" w:name="_Caption4289"/>
      <w:bookmarkStart w:id="7257" w:name="_Caption0097"/>
      <w:bookmarkStart w:id="7258" w:name="_Caption4569"/>
      <w:bookmarkStart w:id="7259" w:name="_Caption9262"/>
      <w:bookmarkStart w:id="7260" w:name="_Caption3577"/>
      <w:bookmarkStart w:id="7261" w:name="_Caption9968"/>
      <w:bookmarkStart w:id="7262" w:name="_Caption7698"/>
      <w:bookmarkStart w:id="7263" w:name="_Caption5442"/>
      <w:bookmarkStart w:id="7264" w:name="_Caption7724"/>
      <w:bookmarkStart w:id="7265" w:name="_Toc177735216"/>
      <w:bookmarkStart w:id="7266" w:name="_Toc178292653"/>
      <w:r w:rsidR="008C60A3">
        <w:rPr>
          <w:noProof/>
        </w:rPr>
        <w:t>B</w:t>
      </w:r>
      <w:r w:rsidR="008C60A3" w:rsidRPr="00B779B1">
        <w:rPr>
          <w:noProof/>
        </w:rPr>
        <w:t>.</w:t>
      </w:r>
      <w:r w:rsidR="008C60A3">
        <w:rPr>
          <w:noProof/>
        </w:rPr>
        <w:t>11</w:t>
      </w:r>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r w:rsidRPr="00B779B1">
        <w:fldChar w:fldCharType="end"/>
      </w:r>
      <w:r w:rsidRPr="00B779B1">
        <w:tab/>
        <w:t>Hourly network usage charges across an average week — NSW</w:t>
      </w:r>
      <w:bookmarkEnd w:id="7265"/>
      <w:bookmarkEnd w:id="7266"/>
    </w:p>
    <w:p w14:paraId="3B0A1993" w14:textId="77777777" w:rsidR="009B4D09" w:rsidRPr="00A55EF4" w:rsidRDefault="009B4D09" w:rsidP="009B4D09">
      <w:pPr>
        <w:pStyle w:val="Subtitlebox"/>
      </w:pPr>
      <w:r w:rsidRPr="007A123B">
        <w:rPr>
          <w:noProof/>
        </w:rPr>
        <w:drawing>
          <wp:inline distT="0" distB="0" distL="0" distR="0" wp14:anchorId="63CC4665" wp14:editId="1778D81D">
            <wp:extent cx="5039995" cy="2554605"/>
            <wp:effectExtent l="0" t="0" r="8255" b="0"/>
            <wp:docPr id="524113037" name="Picture 6" descr="B.11 - hourly network usage charges across an average week in NSW by seas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113037" name="Picture 6" descr="B.11 - hourly network usage charges across an average week in NSW by season.  "/>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039995" cy="2554605"/>
                    </a:xfrm>
                    <a:prstGeom prst="rect">
                      <a:avLst/>
                    </a:prstGeom>
                    <a:noFill/>
                    <a:ln>
                      <a:noFill/>
                    </a:ln>
                  </pic:spPr>
                </pic:pic>
              </a:graphicData>
            </a:graphic>
          </wp:inline>
        </w:drawing>
      </w:r>
    </w:p>
    <w:p w14:paraId="0D83FB44" w14:textId="77777777" w:rsidR="009B4D09" w:rsidRDefault="009B4D09" w:rsidP="009B4D09">
      <w:pPr>
        <w:pStyle w:val="Source"/>
      </w:pPr>
      <w:r>
        <w:rPr>
          <w:i/>
        </w:rPr>
        <w:t>Data source</w:t>
      </w:r>
      <w:r w:rsidRPr="00A67576">
        <w:rPr>
          <w:i/>
        </w:rPr>
        <w:t>:</w:t>
      </w:r>
      <w:r>
        <w:t xml:space="preserve"> </w:t>
      </w:r>
      <w:r>
        <w:rPr>
          <w:lang w:bidi="fa-IR"/>
        </w:rPr>
        <w:t>CIE based on review of network operators’ pricing proposals in each state or territory.</w:t>
      </w:r>
    </w:p>
    <w:p w14:paraId="1B4B1188" w14:textId="38F4026D" w:rsidR="009B4D09" w:rsidRPr="00B779B1" w:rsidRDefault="009B4D09" w:rsidP="009B4D09">
      <w:pPr>
        <w:pStyle w:val="Caption"/>
      </w:pPr>
      <w:r w:rsidRPr="00B779B1">
        <w:fldChar w:fldCharType="begin"/>
      </w:r>
      <w:r w:rsidRPr="00B779B1">
        <w:instrText xml:space="preserve"> IF 1 = 1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 0 ""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w:instrText>
      </w:r>
      <w:r w:rsidRPr="00B779B1">
        <w:fldChar w:fldCharType="separate"/>
      </w:r>
      <w:r w:rsidRPr="00B779B1">
        <w:instrText>Error! No text of specified style in document..</w:instrText>
      </w:r>
      <w:r w:rsidRPr="00B779B1">
        <w:fldChar w:fldCharType="end"/>
      </w:r>
      <w:r w:rsidRPr="00B779B1">
        <w:instrText>" "</w:instrText>
      </w:r>
      <w:fldSimple w:instr=" STYLEREF &quot;Heading 6&quot; \l \n ">
        <w:r w:rsidR="00520F9E">
          <w:rPr>
            <w:noProof/>
          </w:rPr>
          <w:instrText>B</w:instrText>
        </w:r>
      </w:fldSimple>
      <w:r w:rsidRPr="00B779B1">
        <w:instrText xml:space="preserve">." </w:instrText>
      </w:r>
      <w:r w:rsidRPr="00B779B1">
        <w:fldChar w:fldCharType="separate"/>
      </w:r>
      <w:r w:rsidR="00520F9E">
        <w:rPr>
          <w:noProof/>
        </w:rPr>
        <w:instrText>B</w:instrText>
      </w:r>
      <w:r w:rsidR="00520F9E" w:rsidRPr="00B779B1">
        <w:rPr>
          <w:noProof/>
        </w:rPr>
        <w:instrText>.</w:instrText>
      </w:r>
      <w:r w:rsidRPr="00B779B1">
        <w:fldChar w:fldCharType="end"/>
      </w:r>
      <w:r w:rsidRPr="00B779B1">
        <w:fldChar w:fldCharType="begin"/>
      </w:r>
      <w:r w:rsidRPr="00B779B1">
        <w:instrText xml:space="preserve"> SEQ Item \* ARABIC \s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 0 "" "1" </w:instrText>
      </w:r>
      <w:r w:rsidRPr="00B779B1">
        <w:fldChar w:fldCharType="separate"/>
      </w:r>
      <w:r w:rsidRPr="00B779B1">
        <w:instrText>1</w:instrText>
      </w:r>
      <w:r w:rsidRPr="00B779B1">
        <w:fldChar w:fldCharType="end"/>
      </w:r>
      <w:r w:rsidRPr="00B779B1">
        <w:instrText xml:space="preserve">" "6" </w:instrText>
      </w:r>
      <w:r w:rsidRPr="00B779B1">
        <w:fldChar w:fldCharType="separate"/>
      </w:r>
      <w:r w:rsidR="00520F9E" w:rsidRPr="00B779B1">
        <w:rPr>
          <w:noProof/>
        </w:rPr>
        <w:instrText>6</w:instrText>
      </w:r>
      <w:r w:rsidRPr="00B779B1">
        <w:fldChar w:fldCharType="end"/>
      </w:r>
      <w:r w:rsidRPr="00B779B1">
        <w:instrText xml:space="preserve"> </w:instrText>
      </w:r>
      <w:r w:rsidRPr="00B779B1">
        <w:fldChar w:fldCharType="separate"/>
      </w:r>
      <w:r w:rsidR="00520F9E">
        <w:rPr>
          <w:noProof/>
        </w:rPr>
        <w:instrText>12</w:instrText>
      </w:r>
      <w:r w:rsidRPr="00B779B1">
        <w:fldChar w:fldCharType="end"/>
      </w:r>
      <w:r w:rsidRPr="00B779B1">
        <w:instrText xml:space="preserve">" "" </w:instrText>
      </w:r>
      <w:r w:rsidRPr="00B779B1">
        <w:fldChar w:fldCharType="separate"/>
      </w:r>
      <w:bookmarkStart w:id="7267" w:name="_Caption8877"/>
      <w:bookmarkStart w:id="7268" w:name="_Caption0619"/>
      <w:bookmarkStart w:id="7269" w:name="_Caption3701"/>
      <w:bookmarkStart w:id="7270" w:name="_Caption9602"/>
      <w:bookmarkStart w:id="7271" w:name="_Caption0978"/>
      <w:bookmarkStart w:id="7272" w:name="_Caption7981"/>
      <w:bookmarkStart w:id="7273" w:name="_Caption7127"/>
      <w:bookmarkStart w:id="7274" w:name="_Caption9789"/>
      <w:bookmarkStart w:id="7275" w:name="_Caption9099"/>
      <w:bookmarkStart w:id="7276" w:name="_Caption8463"/>
      <w:bookmarkStart w:id="7277" w:name="_Caption3939"/>
      <w:bookmarkStart w:id="7278" w:name="_Caption7541"/>
      <w:bookmarkStart w:id="7279" w:name="_Caption7968"/>
      <w:bookmarkStart w:id="7280" w:name="_Caption4544"/>
      <w:bookmarkStart w:id="7281" w:name="_Caption6698"/>
      <w:bookmarkStart w:id="7282" w:name="_Caption9890"/>
      <w:bookmarkStart w:id="7283" w:name="_Caption3162"/>
      <w:bookmarkStart w:id="7284" w:name="_Caption4417"/>
      <w:bookmarkStart w:id="7285" w:name="_Caption6484"/>
      <w:bookmarkStart w:id="7286" w:name="_Caption7505"/>
      <w:bookmarkStart w:id="7287" w:name="_Caption3401"/>
      <w:bookmarkStart w:id="7288" w:name="_Caption5219"/>
      <w:bookmarkStart w:id="7289" w:name="_Caption9613"/>
      <w:bookmarkStart w:id="7290" w:name="_Caption3936"/>
      <w:bookmarkStart w:id="7291" w:name="_Caption1800"/>
      <w:bookmarkStart w:id="7292" w:name="_Caption7588"/>
      <w:bookmarkStart w:id="7293" w:name="_Caption6042"/>
      <w:bookmarkStart w:id="7294" w:name="_Caption5684"/>
      <w:bookmarkStart w:id="7295" w:name="_Caption9451"/>
      <w:bookmarkStart w:id="7296" w:name="_Caption9714"/>
      <w:bookmarkStart w:id="7297" w:name="_Caption4816"/>
      <w:bookmarkStart w:id="7298" w:name="_Caption9161"/>
      <w:bookmarkStart w:id="7299" w:name="_Caption0675"/>
      <w:bookmarkStart w:id="7300" w:name="_Caption9326"/>
      <w:bookmarkStart w:id="7301" w:name="_Caption8635"/>
      <w:bookmarkStart w:id="7302" w:name="_Caption3985"/>
      <w:bookmarkStart w:id="7303" w:name="_Caption7403"/>
      <w:bookmarkStart w:id="7304" w:name="_Caption4024"/>
      <w:bookmarkStart w:id="7305" w:name="_Caption2512"/>
      <w:bookmarkStart w:id="7306" w:name="_Caption9059"/>
      <w:bookmarkStart w:id="7307" w:name="_Caption4397"/>
      <w:bookmarkStart w:id="7308" w:name="_Caption3677"/>
      <w:bookmarkStart w:id="7309" w:name="_Caption8425"/>
      <w:bookmarkStart w:id="7310" w:name="_Caption3630"/>
      <w:bookmarkStart w:id="7311" w:name="_Caption3282"/>
      <w:bookmarkStart w:id="7312" w:name="_Caption1237"/>
      <w:bookmarkStart w:id="7313" w:name="_Caption4401"/>
      <w:bookmarkStart w:id="7314" w:name="_Caption8201"/>
      <w:bookmarkStart w:id="7315" w:name="_Caption1913"/>
      <w:bookmarkStart w:id="7316" w:name="_Caption5637"/>
      <w:bookmarkStart w:id="7317" w:name="_Caption4949"/>
      <w:bookmarkStart w:id="7318" w:name="_Caption3790"/>
      <w:bookmarkStart w:id="7319" w:name="_Caption1717"/>
      <w:bookmarkStart w:id="7320" w:name="_Caption7952"/>
      <w:bookmarkStart w:id="7321" w:name="_Caption6403"/>
      <w:bookmarkStart w:id="7322" w:name="_Caption1823"/>
      <w:bookmarkStart w:id="7323" w:name="_Toc177735217"/>
      <w:bookmarkStart w:id="7324" w:name="_Toc178292654"/>
      <w:r w:rsidR="008C60A3">
        <w:rPr>
          <w:noProof/>
        </w:rPr>
        <w:t>B</w:t>
      </w:r>
      <w:r w:rsidR="008C60A3" w:rsidRPr="00B779B1">
        <w:rPr>
          <w:noProof/>
        </w:rPr>
        <w:t>.</w:t>
      </w:r>
      <w:r w:rsidR="008C60A3">
        <w:rPr>
          <w:noProof/>
        </w:rPr>
        <w:t>12</w:t>
      </w:r>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r w:rsidRPr="00B779B1">
        <w:fldChar w:fldCharType="end"/>
      </w:r>
      <w:r w:rsidRPr="00B779B1">
        <w:tab/>
        <w:t>Hourly network usage charges across an average week — Victoria</w:t>
      </w:r>
      <w:bookmarkEnd w:id="7323"/>
      <w:bookmarkEnd w:id="7324"/>
    </w:p>
    <w:p w14:paraId="29EC603B" w14:textId="77777777" w:rsidR="009B4D09" w:rsidRPr="00CB7371" w:rsidRDefault="009B4D09" w:rsidP="009B4D09">
      <w:pPr>
        <w:pStyle w:val="Subtitlebox"/>
        <w:rPr>
          <w:rFonts w:eastAsia="SimSun"/>
          <w:lang w:eastAsia="zh-CN"/>
        </w:rPr>
      </w:pPr>
      <w:r w:rsidRPr="006B7226">
        <w:rPr>
          <w:noProof/>
        </w:rPr>
        <w:drawing>
          <wp:inline distT="0" distB="0" distL="0" distR="0" wp14:anchorId="04DB0602" wp14:editId="2B30BBE2">
            <wp:extent cx="5039995" cy="2554605"/>
            <wp:effectExtent l="0" t="0" r="8255" b="0"/>
            <wp:docPr id="1144444033" name="Picture 7" descr="B.12 - hourly network usage charges across an average week by season in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444033" name="Picture 7" descr="B.12 - hourly network usage charges across an average week by season in Victoria."/>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039995" cy="2554605"/>
                    </a:xfrm>
                    <a:prstGeom prst="rect">
                      <a:avLst/>
                    </a:prstGeom>
                    <a:noFill/>
                    <a:ln>
                      <a:noFill/>
                    </a:ln>
                  </pic:spPr>
                </pic:pic>
              </a:graphicData>
            </a:graphic>
          </wp:inline>
        </w:drawing>
      </w:r>
    </w:p>
    <w:p w14:paraId="6C347865" w14:textId="77777777" w:rsidR="009B4D09" w:rsidRDefault="009B4D09" w:rsidP="009B4D09">
      <w:pPr>
        <w:pStyle w:val="Source"/>
      </w:pPr>
      <w:r>
        <w:rPr>
          <w:i/>
        </w:rPr>
        <w:t>Data source</w:t>
      </w:r>
      <w:r w:rsidRPr="00A67576">
        <w:rPr>
          <w:i/>
        </w:rPr>
        <w:t>:</w:t>
      </w:r>
      <w:r>
        <w:t xml:space="preserve"> </w:t>
      </w:r>
      <w:r>
        <w:rPr>
          <w:lang w:bidi="fa-IR"/>
        </w:rPr>
        <w:t>CIE based on review of network operators’ pricing proposals in each state or territory.</w:t>
      </w:r>
    </w:p>
    <w:p w14:paraId="33FBA70A" w14:textId="5C5F7E5F" w:rsidR="009B4D09" w:rsidRDefault="009B4D09" w:rsidP="009B4D09">
      <w:pPr>
        <w:pStyle w:val="BodyText"/>
        <w:rPr>
          <w:lang w:eastAsia="en-US" w:bidi="fa-IR"/>
        </w:rPr>
      </w:pPr>
      <w:r>
        <w:rPr>
          <w:lang w:eastAsia="en-US" w:bidi="fa-IR"/>
        </w:rPr>
        <w:t>Network usage charges tend to vary less by time of year in other states and territories, but in most cases vary by time of day (see chart </w:t>
      </w:r>
      <w:r>
        <w:rPr>
          <w:lang w:eastAsia="en-US" w:bidi="fa-IR"/>
        </w:rPr>
        <w:fldChar w:fldCharType="begin"/>
      </w:r>
      <w:r>
        <w:rPr>
          <w:lang w:eastAsia="en-US" w:bidi="fa-IR"/>
        </w:rPr>
        <w:instrText xml:space="preserve"> REF _Caption5040 </w:instrText>
      </w:r>
      <w:r>
        <w:rPr>
          <w:lang w:eastAsia="en-US" w:bidi="fa-IR"/>
        </w:rPr>
        <w:fldChar w:fldCharType="separate"/>
      </w:r>
      <w:r w:rsidR="0096258B">
        <w:rPr>
          <w:noProof/>
        </w:rPr>
        <w:t>B</w:t>
      </w:r>
      <w:r w:rsidR="0096258B" w:rsidRPr="00B779B1">
        <w:rPr>
          <w:noProof/>
        </w:rPr>
        <w:t>.</w:t>
      </w:r>
      <w:r w:rsidR="0096258B">
        <w:rPr>
          <w:noProof/>
        </w:rPr>
        <w:t>13</w:t>
      </w:r>
      <w:r>
        <w:rPr>
          <w:lang w:eastAsia="en-US" w:bidi="fa-IR"/>
        </w:rPr>
        <w:fldChar w:fldCharType="end"/>
      </w:r>
      <w:r>
        <w:rPr>
          <w:lang w:eastAsia="en-US" w:bidi="fa-IR"/>
        </w:rPr>
        <w:t>).</w:t>
      </w:r>
    </w:p>
    <w:p w14:paraId="5843F749" w14:textId="4878C0B2" w:rsidR="009B4D09" w:rsidRPr="00B779B1" w:rsidRDefault="009B4D09" w:rsidP="009B4D09">
      <w:pPr>
        <w:pStyle w:val="Caption"/>
      </w:pPr>
      <w:r w:rsidRPr="00B779B1">
        <w:fldChar w:fldCharType="begin"/>
      </w:r>
      <w:r w:rsidRPr="00B779B1">
        <w:instrText xml:space="preserve"> IF 1 = 1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 0 ""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w:instrText>
      </w:r>
      <w:r w:rsidRPr="00B779B1">
        <w:fldChar w:fldCharType="separate"/>
      </w:r>
      <w:r w:rsidRPr="00B779B1">
        <w:instrText>Error! No text of specified style in document..</w:instrText>
      </w:r>
      <w:r w:rsidRPr="00B779B1">
        <w:fldChar w:fldCharType="end"/>
      </w:r>
      <w:r w:rsidRPr="00B779B1">
        <w:instrText>" "</w:instrText>
      </w:r>
      <w:fldSimple w:instr=" STYLEREF &quot;Heading 6&quot; \l \n ">
        <w:r w:rsidR="00520F9E">
          <w:rPr>
            <w:noProof/>
          </w:rPr>
          <w:instrText>B</w:instrText>
        </w:r>
      </w:fldSimple>
      <w:r w:rsidRPr="00B779B1">
        <w:instrText xml:space="preserve">." </w:instrText>
      </w:r>
      <w:r w:rsidRPr="00B779B1">
        <w:fldChar w:fldCharType="separate"/>
      </w:r>
      <w:r w:rsidR="00520F9E">
        <w:rPr>
          <w:noProof/>
        </w:rPr>
        <w:instrText>B</w:instrText>
      </w:r>
      <w:r w:rsidR="00520F9E" w:rsidRPr="00B779B1">
        <w:rPr>
          <w:noProof/>
        </w:rPr>
        <w:instrText>.</w:instrText>
      </w:r>
      <w:r w:rsidRPr="00B779B1">
        <w:fldChar w:fldCharType="end"/>
      </w:r>
      <w:r w:rsidRPr="00B779B1">
        <w:fldChar w:fldCharType="begin"/>
      </w:r>
      <w:r w:rsidRPr="00B779B1">
        <w:instrText xml:space="preserve"> SEQ Item \* ARABIC \s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 0 "" "1" </w:instrText>
      </w:r>
      <w:r w:rsidRPr="00B779B1">
        <w:fldChar w:fldCharType="separate"/>
      </w:r>
      <w:r w:rsidRPr="00B779B1">
        <w:instrText>1</w:instrText>
      </w:r>
      <w:r w:rsidRPr="00B779B1">
        <w:fldChar w:fldCharType="end"/>
      </w:r>
      <w:r w:rsidRPr="00B779B1">
        <w:instrText xml:space="preserve">" "6" </w:instrText>
      </w:r>
      <w:r w:rsidRPr="00B779B1">
        <w:fldChar w:fldCharType="separate"/>
      </w:r>
      <w:r w:rsidR="00520F9E" w:rsidRPr="00B779B1">
        <w:rPr>
          <w:noProof/>
        </w:rPr>
        <w:instrText>6</w:instrText>
      </w:r>
      <w:r w:rsidRPr="00B779B1">
        <w:fldChar w:fldCharType="end"/>
      </w:r>
      <w:r w:rsidRPr="00B779B1">
        <w:instrText xml:space="preserve"> </w:instrText>
      </w:r>
      <w:r w:rsidRPr="00B779B1">
        <w:fldChar w:fldCharType="separate"/>
      </w:r>
      <w:r w:rsidR="00520F9E">
        <w:rPr>
          <w:noProof/>
        </w:rPr>
        <w:instrText>13</w:instrText>
      </w:r>
      <w:r w:rsidRPr="00B779B1">
        <w:fldChar w:fldCharType="end"/>
      </w:r>
      <w:r w:rsidRPr="00B779B1">
        <w:instrText xml:space="preserve">" "" </w:instrText>
      </w:r>
      <w:r w:rsidRPr="00B779B1">
        <w:fldChar w:fldCharType="separate"/>
      </w:r>
      <w:bookmarkStart w:id="7325" w:name="_Caption2199"/>
      <w:bookmarkStart w:id="7326" w:name="_Caption1514"/>
      <w:bookmarkStart w:id="7327" w:name="_Caption4729"/>
      <w:bookmarkStart w:id="7328" w:name="_Caption8773"/>
      <w:bookmarkStart w:id="7329" w:name="_Caption1383"/>
      <w:bookmarkStart w:id="7330" w:name="_Caption6264"/>
      <w:bookmarkStart w:id="7331" w:name="_Caption8556"/>
      <w:bookmarkStart w:id="7332" w:name="_Caption1524"/>
      <w:bookmarkStart w:id="7333" w:name="_Caption5040"/>
      <w:bookmarkStart w:id="7334" w:name="_Caption6286"/>
      <w:bookmarkStart w:id="7335" w:name="_Caption5327"/>
      <w:bookmarkStart w:id="7336" w:name="_Caption5700"/>
      <w:bookmarkStart w:id="7337" w:name="_Caption3028"/>
      <w:bookmarkStart w:id="7338" w:name="_Caption8580"/>
      <w:bookmarkStart w:id="7339" w:name="_Caption1158"/>
      <w:bookmarkStart w:id="7340" w:name="_Caption6874"/>
      <w:bookmarkStart w:id="7341" w:name="_Caption9600"/>
      <w:bookmarkStart w:id="7342" w:name="_Caption1063"/>
      <w:bookmarkStart w:id="7343" w:name="_Caption2153"/>
      <w:bookmarkStart w:id="7344" w:name="_Caption5176"/>
      <w:bookmarkStart w:id="7345" w:name="_Caption0512"/>
      <w:bookmarkStart w:id="7346" w:name="_Caption4379"/>
      <w:bookmarkStart w:id="7347" w:name="_Caption5847"/>
      <w:bookmarkStart w:id="7348" w:name="_Caption5859"/>
      <w:bookmarkStart w:id="7349" w:name="_Caption1474"/>
      <w:bookmarkStart w:id="7350" w:name="_Caption9700"/>
      <w:bookmarkStart w:id="7351" w:name="_Caption8889"/>
      <w:bookmarkStart w:id="7352" w:name="_Caption6518"/>
      <w:bookmarkStart w:id="7353" w:name="_Caption7381"/>
      <w:bookmarkStart w:id="7354" w:name="_Caption4974"/>
      <w:bookmarkStart w:id="7355" w:name="_Caption0504"/>
      <w:bookmarkStart w:id="7356" w:name="_Caption0549"/>
      <w:bookmarkStart w:id="7357" w:name="_Caption4908"/>
      <w:bookmarkStart w:id="7358" w:name="_Caption0292"/>
      <w:bookmarkStart w:id="7359" w:name="_Caption1233"/>
      <w:bookmarkStart w:id="7360" w:name="_Caption9408"/>
      <w:bookmarkStart w:id="7361" w:name="_Caption6626"/>
      <w:bookmarkStart w:id="7362" w:name="_Caption3087"/>
      <w:bookmarkStart w:id="7363" w:name="_Caption4812"/>
      <w:bookmarkStart w:id="7364" w:name="_Caption6243"/>
      <w:bookmarkStart w:id="7365" w:name="_Caption3568"/>
      <w:bookmarkStart w:id="7366" w:name="_Caption6881"/>
      <w:bookmarkStart w:id="7367" w:name="_Caption3578"/>
      <w:bookmarkStart w:id="7368" w:name="_Caption2423"/>
      <w:bookmarkStart w:id="7369" w:name="_Caption1280"/>
      <w:bookmarkStart w:id="7370" w:name="_Caption5101"/>
      <w:bookmarkStart w:id="7371" w:name="_Caption7111"/>
      <w:bookmarkStart w:id="7372" w:name="_Caption8505"/>
      <w:bookmarkStart w:id="7373" w:name="_Caption6466"/>
      <w:bookmarkStart w:id="7374" w:name="_Caption2730"/>
      <w:bookmarkStart w:id="7375" w:name="_Caption2787"/>
      <w:bookmarkStart w:id="7376" w:name="_Caption5098"/>
      <w:bookmarkStart w:id="7377" w:name="_Caption3533"/>
      <w:bookmarkStart w:id="7378" w:name="_Caption2398"/>
      <w:bookmarkStart w:id="7379" w:name="_Caption7939"/>
      <w:bookmarkStart w:id="7380" w:name="_Caption3263"/>
      <w:bookmarkStart w:id="7381" w:name="_Toc177735218"/>
      <w:bookmarkStart w:id="7382" w:name="_Toc178292655"/>
      <w:r w:rsidR="008C60A3">
        <w:rPr>
          <w:noProof/>
        </w:rPr>
        <w:t>B</w:t>
      </w:r>
      <w:r w:rsidR="008C60A3" w:rsidRPr="00B779B1">
        <w:rPr>
          <w:noProof/>
        </w:rPr>
        <w:t>.</w:t>
      </w:r>
      <w:r w:rsidR="008C60A3">
        <w:rPr>
          <w:noProof/>
        </w:rPr>
        <w:t>13</w:t>
      </w:r>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r w:rsidRPr="00B779B1">
        <w:fldChar w:fldCharType="end"/>
      </w:r>
      <w:r w:rsidRPr="00B779B1">
        <w:tab/>
        <w:t>Hourly network charges across an average week — other states and territories</w:t>
      </w:r>
      <w:bookmarkEnd w:id="7381"/>
      <w:bookmarkEnd w:id="7382"/>
    </w:p>
    <w:p w14:paraId="42727E64" w14:textId="77777777" w:rsidR="009B4D09" w:rsidRPr="00A55EF4" w:rsidRDefault="009B4D09" w:rsidP="009B4D09">
      <w:pPr>
        <w:pStyle w:val="Subtitlebox"/>
      </w:pPr>
      <w:r w:rsidRPr="00BE6409">
        <w:rPr>
          <w:noProof/>
        </w:rPr>
        <w:drawing>
          <wp:inline distT="0" distB="0" distL="0" distR="0" wp14:anchorId="598C9A10" wp14:editId="08645FDA">
            <wp:extent cx="5039995" cy="2554605"/>
            <wp:effectExtent l="0" t="0" r="8255" b="0"/>
            <wp:docPr id="756118998" name="Picture 8" descr="B.13 - hourly network usage charges across an average week by season in Queensland, WA, SA, Tasmania, ACT and 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118998" name="Picture 8" descr="B.13 - hourly network usage charges across an average week by season in Queensland, WA, SA, Tasmania, ACT and NT."/>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039995" cy="2554605"/>
                    </a:xfrm>
                    <a:prstGeom prst="rect">
                      <a:avLst/>
                    </a:prstGeom>
                    <a:noFill/>
                    <a:ln>
                      <a:noFill/>
                    </a:ln>
                  </pic:spPr>
                </pic:pic>
              </a:graphicData>
            </a:graphic>
          </wp:inline>
        </w:drawing>
      </w:r>
    </w:p>
    <w:p w14:paraId="3D67981F" w14:textId="77777777" w:rsidR="009B4D09" w:rsidRDefault="009B4D09" w:rsidP="009B4D09">
      <w:pPr>
        <w:pStyle w:val="Source"/>
      </w:pPr>
      <w:r>
        <w:rPr>
          <w:i/>
        </w:rPr>
        <w:t>Data source</w:t>
      </w:r>
      <w:r w:rsidRPr="00A67576">
        <w:rPr>
          <w:i/>
        </w:rPr>
        <w:t>:</w:t>
      </w:r>
      <w:r>
        <w:t xml:space="preserve"> </w:t>
      </w:r>
      <w:r>
        <w:rPr>
          <w:lang w:bidi="fa-IR"/>
        </w:rPr>
        <w:t>CIE based on review of network operators’ pricing proposals in each state or territory.</w:t>
      </w:r>
    </w:p>
    <w:p w14:paraId="4A43B647" w14:textId="77777777" w:rsidR="009B4D09" w:rsidRDefault="009B4D09" w:rsidP="009B4D09">
      <w:pPr>
        <w:pStyle w:val="Heading8"/>
        <w:rPr>
          <w:lang w:bidi="fa-IR"/>
        </w:rPr>
      </w:pPr>
      <w:r>
        <w:rPr>
          <w:lang w:bidi="fa-IR"/>
        </w:rPr>
        <w:t>Environmental scheme costs</w:t>
      </w:r>
    </w:p>
    <w:p w14:paraId="22B4938B" w14:textId="77777777" w:rsidR="009B4D09" w:rsidRPr="000F45D6" w:rsidRDefault="009B4D09" w:rsidP="009B4D09">
      <w:pPr>
        <w:pStyle w:val="BodyText"/>
      </w:pPr>
      <w:r>
        <w:t>Another</w:t>
      </w:r>
      <w:r w:rsidRPr="000F45D6">
        <w:t xml:space="preserve"> cost</w:t>
      </w:r>
      <w:r>
        <w:t xml:space="preserve"> component</w:t>
      </w:r>
      <w:r w:rsidRPr="000F45D6">
        <w:t xml:space="preserve"> </w:t>
      </w:r>
      <w:r>
        <w:t xml:space="preserve">usually </w:t>
      </w:r>
      <w:r w:rsidRPr="000F45D6">
        <w:t xml:space="preserve">included in retail prices </w:t>
      </w:r>
      <w:r>
        <w:t>is</w:t>
      </w:r>
      <w:r w:rsidRPr="000F45D6">
        <w:t xml:space="preserve"> </w:t>
      </w:r>
      <w:r>
        <w:t>the cost</w:t>
      </w:r>
      <w:r w:rsidRPr="000F45D6">
        <w:t xml:space="preserve"> associated with environmental schemes. The</w:t>
      </w:r>
      <w:r>
        <w:t>re are</w:t>
      </w:r>
      <w:r w:rsidRPr="000F45D6">
        <w:t xml:space="preserve"> two key environmental schemes:</w:t>
      </w:r>
    </w:p>
    <w:p w14:paraId="048CF57F" w14:textId="76CB568C" w:rsidR="009B4D09" w:rsidRPr="00E02987" w:rsidRDefault="009B4D09" w:rsidP="009B4D09">
      <w:pPr>
        <w:pStyle w:val="ListBullet"/>
        <w:tabs>
          <w:tab w:val="num" w:pos="709"/>
        </w:tabs>
        <w:rPr>
          <w:lang w:bidi="fa-IR"/>
        </w:rPr>
      </w:pPr>
      <w:r w:rsidRPr="00E02987">
        <w:rPr>
          <w:lang w:bidi="fa-IR"/>
        </w:rPr>
        <w:t>the Large-scale Renewable Energy Target (LRET — see box</w:t>
      </w:r>
      <w:r>
        <w:rPr>
          <w:lang w:bidi="fa-IR"/>
        </w:rPr>
        <w:t xml:space="preserve"> </w:t>
      </w:r>
      <w:r>
        <w:rPr>
          <w:lang w:bidi="fa-IR"/>
        </w:rPr>
        <w:fldChar w:fldCharType="begin"/>
      </w:r>
      <w:r>
        <w:rPr>
          <w:lang w:bidi="fa-IR"/>
        </w:rPr>
        <w:instrText xml:space="preserve"> REF _Caption0695 </w:instrText>
      </w:r>
      <w:r>
        <w:rPr>
          <w:lang w:bidi="fa-IR"/>
        </w:rPr>
        <w:fldChar w:fldCharType="separate"/>
      </w:r>
      <w:r w:rsidR="0096258B">
        <w:rPr>
          <w:noProof/>
        </w:rPr>
        <w:t>B</w:t>
      </w:r>
      <w:r w:rsidR="0096258B" w:rsidRPr="00B779B1">
        <w:rPr>
          <w:noProof/>
        </w:rPr>
        <w:t>.</w:t>
      </w:r>
      <w:r w:rsidR="0096258B">
        <w:rPr>
          <w:noProof/>
        </w:rPr>
        <w:t>14</w:t>
      </w:r>
      <w:r>
        <w:rPr>
          <w:lang w:bidi="fa-IR"/>
        </w:rPr>
        <w:fldChar w:fldCharType="end"/>
      </w:r>
      <w:r w:rsidRPr="00E02987">
        <w:rPr>
          <w:lang w:bidi="fa-IR"/>
        </w:rPr>
        <w:t>)</w:t>
      </w:r>
      <w:r>
        <w:rPr>
          <w:lang w:bidi="fa-IR"/>
        </w:rPr>
        <w:t>;</w:t>
      </w:r>
      <w:r w:rsidRPr="00E02987">
        <w:rPr>
          <w:lang w:bidi="fa-IR"/>
        </w:rPr>
        <w:t xml:space="preserve"> and</w:t>
      </w:r>
    </w:p>
    <w:p w14:paraId="2EB2ACE1" w14:textId="77777777" w:rsidR="009B4D09" w:rsidRPr="00E02987" w:rsidRDefault="009B4D09" w:rsidP="009B4D09">
      <w:pPr>
        <w:pStyle w:val="ListBullet"/>
        <w:tabs>
          <w:tab w:val="num" w:pos="709"/>
        </w:tabs>
        <w:rPr>
          <w:lang w:bidi="fa-IR"/>
        </w:rPr>
      </w:pPr>
      <w:r w:rsidRPr="00E02987">
        <w:rPr>
          <w:lang w:bidi="fa-IR"/>
        </w:rPr>
        <w:t>the Small-scale Renewable Energy Scheme (SRES).</w:t>
      </w:r>
    </w:p>
    <w:p w14:paraId="179EFFDE" w14:textId="77777777" w:rsidR="009B4D09" w:rsidRDefault="009B4D09" w:rsidP="009B4D09">
      <w:pPr>
        <w:pStyle w:val="BodyText"/>
      </w:pPr>
      <w:r w:rsidRPr="000F45D6">
        <w:t xml:space="preserve">These schemes effectively provide a subsidy to relevant renewable energy generators, with the cost of the subsidy allocated across energy users based on energy usage. </w:t>
      </w:r>
    </w:p>
    <w:p w14:paraId="49CAB01B" w14:textId="77777777" w:rsidR="009B4D09" w:rsidRDefault="009B4D09" w:rsidP="009B4D09">
      <w:pPr>
        <w:pStyle w:val="Invisiblepara"/>
      </w:pPr>
    </w:p>
    <w:tbl>
      <w:tblPr>
        <w:tblW w:w="7938" w:type="dxa"/>
        <w:tblBorders>
          <w:top w:val="single" w:sz="2" w:space="0" w:color="auto"/>
          <w:left w:val="single" w:sz="2" w:space="0" w:color="auto"/>
          <w:bottom w:val="single" w:sz="2" w:space="0" w:color="auto"/>
          <w:right w:val="single" w:sz="2" w:space="0" w:color="auto"/>
        </w:tblBorders>
        <w:tblLayout w:type="fixed"/>
        <w:tblCellMar>
          <w:left w:w="142" w:type="dxa"/>
          <w:right w:w="142" w:type="dxa"/>
        </w:tblCellMar>
        <w:tblLook w:val="0000" w:firstRow="0" w:lastRow="0" w:firstColumn="0" w:lastColumn="0" w:noHBand="0" w:noVBand="0"/>
        <w:tblCaption w:val="Box B.14 - The Large-scale Renewable Energy Target"/>
      </w:tblPr>
      <w:tblGrid>
        <w:gridCol w:w="7938"/>
      </w:tblGrid>
      <w:tr w:rsidR="009B4D09" w:rsidRPr="00B779B1" w14:paraId="5452CA62" w14:textId="77777777">
        <w:trPr>
          <w:cantSplit/>
        </w:trPr>
        <w:tc>
          <w:tcPr>
            <w:tcW w:w="7938" w:type="dxa"/>
            <w:tcBorders>
              <w:top w:val="nil"/>
              <w:left w:val="nil"/>
              <w:bottom w:val="nil"/>
              <w:right w:val="nil"/>
            </w:tcBorders>
            <w:shd w:val="clear" w:color="auto" w:fill="C6BFAB" w:themeFill="accent3"/>
          </w:tcPr>
          <w:p w14:paraId="7FD2C815" w14:textId="64F76A16" w:rsidR="009B4D09" w:rsidRPr="00B779B1" w:rsidRDefault="009B4D09" w:rsidP="009B4D09">
            <w:pPr>
              <w:pStyle w:val="Caption"/>
              <w:spacing w:before="80"/>
            </w:pPr>
            <w:r w:rsidRPr="00B779B1">
              <w:fldChar w:fldCharType="begin"/>
            </w:r>
            <w:r w:rsidRPr="00B779B1">
              <w:instrText xml:space="preserve"> IF 1 = 1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fldSimple w:instr=" STYLEREF &quot;Heading 1&quot; \l \n ">
              <w:r w:rsidRPr="00B779B1">
                <w:instrText>3</w:instrText>
              </w:r>
            </w:fldSimple>
            <w:r w:rsidRPr="00B779B1">
              <w:instrText xml:space="preserve"> = 0 "" "</w:instrText>
            </w:r>
            <w:fldSimple w:instr=" STYLEREF &quot;Heading 1&quot; \l \n ">
              <w:r w:rsidRPr="00B779B1">
                <w:instrText>3</w:instrText>
              </w:r>
            </w:fldSimple>
            <w:r w:rsidRPr="00B779B1">
              <w:instrText xml:space="preserve">." </w:instrText>
            </w:r>
            <w:r w:rsidRPr="00B779B1">
              <w:fldChar w:fldCharType="separate"/>
            </w:r>
            <w:r w:rsidRPr="00B779B1">
              <w:instrText>3.</w:instrText>
            </w:r>
            <w:r w:rsidRPr="00B779B1">
              <w:fldChar w:fldCharType="end"/>
            </w:r>
            <w:r w:rsidRPr="00B779B1">
              <w:instrText>" "</w:instrText>
            </w:r>
            <w:fldSimple w:instr=" STYLEREF &quot;Heading 6&quot; \l \n ">
              <w:r w:rsidR="00520F9E">
                <w:rPr>
                  <w:noProof/>
                </w:rPr>
                <w:instrText>B</w:instrText>
              </w:r>
            </w:fldSimple>
            <w:r w:rsidRPr="00B779B1">
              <w:instrText xml:space="preserve">." </w:instrText>
            </w:r>
            <w:r w:rsidRPr="00B779B1">
              <w:fldChar w:fldCharType="separate"/>
            </w:r>
            <w:r w:rsidR="00520F9E">
              <w:rPr>
                <w:noProof/>
              </w:rPr>
              <w:instrText>B</w:instrText>
            </w:r>
            <w:r w:rsidR="00520F9E" w:rsidRPr="00B779B1">
              <w:rPr>
                <w:noProof/>
              </w:rPr>
              <w:instrText>.</w:instrText>
            </w:r>
            <w:r w:rsidRPr="00B779B1">
              <w:fldChar w:fldCharType="end"/>
            </w:r>
            <w:r w:rsidRPr="00B779B1">
              <w:fldChar w:fldCharType="begin"/>
            </w:r>
            <w:r w:rsidRPr="00B779B1">
              <w:instrText xml:space="preserve"> SEQ Item \* ARABIC \s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fldSimple w:instr=" STYLEREF &quot;Heading 1&quot; \l \n ">
              <w:r w:rsidRPr="00B779B1">
                <w:instrText>3</w:instrText>
              </w:r>
            </w:fldSimple>
            <w:r w:rsidRPr="00B779B1">
              <w:instrText xml:space="preserve"> = 0 "" "1" </w:instrText>
            </w:r>
            <w:r w:rsidRPr="00B779B1">
              <w:fldChar w:fldCharType="separate"/>
            </w:r>
            <w:r w:rsidRPr="00B779B1">
              <w:instrText>1</w:instrText>
            </w:r>
            <w:r w:rsidRPr="00B779B1">
              <w:fldChar w:fldCharType="end"/>
            </w:r>
            <w:r w:rsidRPr="00B779B1">
              <w:instrText xml:space="preserve">" "6" </w:instrText>
            </w:r>
            <w:r w:rsidRPr="00B779B1">
              <w:fldChar w:fldCharType="separate"/>
            </w:r>
            <w:r w:rsidR="00520F9E" w:rsidRPr="00B779B1">
              <w:rPr>
                <w:noProof/>
              </w:rPr>
              <w:instrText>6</w:instrText>
            </w:r>
            <w:r w:rsidRPr="00B779B1">
              <w:fldChar w:fldCharType="end"/>
            </w:r>
            <w:r w:rsidRPr="00B779B1">
              <w:instrText xml:space="preserve"> </w:instrText>
            </w:r>
            <w:r w:rsidRPr="00B779B1">
              <w:fldChar w:fldCharType="separate"/>
            </w:r>
            <w:r w:rsidR="00520F9E">
              <w:rPr>
                <w:noProof/>
              </w:rPr>
              <w:instrText>14</w:instrText>
            </w:r>
            <w:r w:rsidRPr="00B779B1">
              <w:fldChar w:fldCharType="end"/>
            </w:r>
            <w:r w:rsidRPr="00B779B1">
              <w:instrText xml:space="preserve">" "" </w:instrText>
            </w:r>
            <w:r w:rsidRPr="00B779B1">
              <w:fldChar w:fldCharType="separate"/>
            </w:r>
            <w:bookmarkStart w:id="7383" w:name="_Caption3847"/>
            <w:bookmarkStart w:id="7384" w:name="_Caption6361"/>
            <w:bookmarkStart w:id="7385" w:name="_Caption8920"/>
            <w:bookmarkStart w:id="7386" w:name="_Caption0523"/>
            <w:bookmarkStart w:id="7387" w:name="_Caption8072"/>
            <w:bookmarkStart w:id="7388" w:name="_Caption6890"/>
            <w:bookmarkStart w:id="7389" w:name="_Caption9584"/>
            <w:bookmarkStart w:id="7390" w:name="_Caption0695"/>
            <w:bookmarkStart w:id="7391" w:name="_Caption3718"/>
            <w:bookmarkStart w:id="7392" w:name="_Caption0065"/>
            <w:bookmarkStart w:id="7393" w:name="_Caption1589"/>
            <w:bookmarkStart w:id="7394" w:name="_Caption6153"/>
            <w:bookmarkStart w:id="7395" w:name="_Caption5190"/>
            <w:bookmarkStart w:id="7396" w:name="_Caption8941"/>
            <w:bookmarkStart w:id="7397" w:name="_Caption5136"/>
            <w:bookmarkStart w:id="7398" w:name="_Caption5574"/>
            <w:bookmarkStart w:id="7399" w:name="_Caption8958"/>
            <w:bookmarkStart w:id="7400" w:name="_Caption1437"/>
            <w:bookmarkStart w:id="7401" w:name="_Caption8379"/>
            <w:bookmarkStart w:id="7402" w:name="_Caption4503"/>
            <w:bookmarkStart w:id="7403" w:name="_Caption5710"/>
            <w:bookmarkStart w:id="7404" w:name="_Caption4232"/>
            <w:bookmarkStart w:id="7405" w:name="_Caption1508"/>
            <w:bookmarkStart w:id="7406" w:name="_Caption6765"/>
            <w:bookmarkStart w:id="7407" w:name="_Caption7242"/>
            <w:bookmarkStart w:id="7408" w:name="_Caption3438"/>
            <w:bookmarkStart w:id="7409" w:name="_Caption8531"/>
            <w:bookmarkStart w:id="7410" w:name="_Caption7519"/>
            <w:bookmarkStart w:id="7411" w:name="_Caption4151"/>
            <w:bookmarkStart w:id="7412" w:name="_Caption9033"/>
            <w:bookmarkStart w:id="7413" w:name="_Caption3097"/>
            <w:bookmarkStart w:id="7414" w:name="_Caption0913"/>
            <w:bookmarkStart w:id="7415" w:name="_Caption8733"/>
            <w:bookmarkStart w:id="7416" w:name="_Caption4157"/>
            <w:bookmarkStart w:id="7417" w:name="_Caption3310"/>
            <w:bookmarkStart w:id="7418" w:name="_Caption3283"/>
            <w:bookmarkStart w:id="7419" w:name="_Caption7602"/>
            <w:bookmarkStart w:id="7420" w:name="_Caption8473"/>
            <w:bookmarkStart w:id="7421" w:name="_Caption8177"/>
            <w:bookmarkStart w:id="7422" w:name="_Caption5519"/>
            <w:bookmarkStart w:id="7423" w:name="_Caption6376"/>
            <w:bookmarkStart w:id="7424" w:name="_Caption8268"/>
            <w:bookmarkStart w:id="7425" w:name="_Caption8377"/>
            <w:bookmarkStart w:id="7426" w:name="_Caption8415"/>
            <w:bookmarkStart w:id="7427" w:name="_Caption8890"/>
            <w:bookmarkStart w:id="7428" w:name="_Caption6857"/>
            <w:bookmarkStart w:id="7429" w:name="_Caption4592"/>
            <w:bookmarkStart w:id="7430" w:name="_Caption4453"/>
            <w:bookmarkStart w:id="7431" w:name="_Caption4758"/>
            <w:bookmarkStart w:id="7432" w:name="_Caption7748"/>
            <w:bookmarkStart w:id="7433" w:name="_Caption7668"/>
            <w:bookmarkStart w:id="7434" w:name="_Caption8652"/>
            <w:bookmarkStart w:id="7435" w:name="_Caption7172"/>
            <w:bookmarkStart w:id="7436" w:name="_Caption5719"/>
            <w:bookmarkStart w:id="7437" w:name="_Caption2307"/>
            <w:bookmarkStart w:id="7438" w:name="_Caption2269"/>
            <w:bookmarkStart w:id="7439" w:name="_Caption1446"/>
            <w:bookmarkStart w:id="7440" w:name="_Caption6710"/>
            <w:bookmarkStart w:id="7441" w:name="_Caption0609"/>
            <w:bookmarkStart w:id="7442" w:name="_Caption2187"/>
            <w:bookmarkStart w:id="7443" w:name="_Caption0955"/>
            <w:bookmarkStart w:id="7444" w:name="_Caption0530"/>
            <w:bookmarkStart w:id="7445" w:name="_Caption3604"/>
            <w:bookmarkStart w:id="7446" w:name="_Caption7412"/>
            <w:bookmarkStart w:id="7447" w:name="_Caption4946"/>
            <w:bookmarkStart w:id="7448" w:name="_Caption2824"/>
            <w:bookmarkStart w:id="7449" w:name="_Caption7847"/>
            <w:bookmarkStart w:id="7450" w:name="_Caption1728"/>
            <w:bookmarkStart w:id="7451" w:name="_Caption5203"/>
            <w:bookmarkStart w:id="7452" w:name="_Caption5287"/>
            <w:bookmarkStart w:id="7453" w:name="_Caption4094"/>
            <w:bookmarkStart w:id="7454" w:name="_Caption4913"/>
            <w:bookmarkStart w:id="7455" w:name="_Caption9203"/>
            <w:bookmarkStart w:id="7456" w:name="_Caption3693"/>
            <w:bookmarkStart w:id="7457" w:name="_Caption9103"/>
            <w:bookmarkStart w:id="7458" w:name="_Caption4832"/>
            <w:bookmarkStart w:id="7459" w:name="_Caption8909"/>
            <w:bookmarkStart w:id="7460" w:name="_Caption6072"/>
            <w:bookmarkStart w:id="7461" w:name="_Caption3064"/>
            <w:bookmarkStart w:id="7462" w:name="_Caption0297"/>
            <w:bookmarkStart w:id="7463" w:name="_Caption5708"/>
            <w:bookmarkStart w:id="7464" w:name="_Caption4088"/>
            <w:bookmarkStart w:id="7465" w:name="_Caption6725"/>
            <w:bookmarkStart w:id="7466" w:name="_Caption6843"/>
            <w:bookmarkStart w:id="7467" w:name="_Caption4837"/>
            <w:bookmarkStart w:id="7468" w:name="_Caption1125"/>
            <w:bookmarkStart w:id="7469" w:name="_Caption2036"/>
            <w:bookmarkStart w:id="7470" w:name="_Caption1414"/>
            <w:bookmarkStart w:id="7471" w:name="_Caption8613"/>
            <w:bookmarkStart w:id="7472" w:name="_Caption0791"/>
            <w:bookmarkStart w:id="7473" w:name="_Caption9516"/>
            <w:bookmarkStart w:id="7474" w:name="_Caption6239"/>
            <w:bookmarkStart w:id="7475" w:name="_Caption6964"/>
            <w:bookmarkStart w:id="7476" w:name="_Caption7727"/>
            <w:bookmarkStart w:id="7477" w:name="_Caption9477"/>
            <w:bookmarkStart w:id="7478" w:name="_Caption1107"/>
            <w:bookmarkStart w:id="7479" w:name="_Caption0552"/>
            <w:bookmarkStart w:id="7480" w:name="_Caption0225"/>
            <w:bookmarkStart w:id="7481" w:name="_Caption7277"/>
            <w:bookmarkStart w:id="7482" w:name="_Caption1069"/>
            <w:bookmarkStart w:id="7483" w:name="_Caption0582"/>
            <w:bookmarkStart w:id="7484" w:name="_Caption1993"/>
            <w:bookmarkStart w:id="7485" w:name="_Caption1935"/>
            <w:bookmarkStart w:id="7486" w:name="_Caption7648"/>
            <w:bookmarkStart w:id="7487" w:name="_Caption1903"/>
            <w:bookmarkStart w:id="7488" w:name="_Caption3227"/>
            <w:bookmarkStart w:id="7489" w:name="_Caption7635"/>
            <w:bookmarkStart w:id="7490" w:name="_Caption5755"/>
            <w:bookmarkStart w:id="7491" w:name="_Caption1858"/>
            <w:bookmarkStart w:id="7492" w:name="_Caption4466"/>
            <w:bookmarkStart w:id="7493" w:name="_Caption6341"/>
            <w:bookmarkStart w:id="7494" w:name="_Caption3762"/>
            <w:bookmarkStart w:id="7495" w:name="_Caption5004"/>
            <w:bookmarkStart w:id="7496" w:name="_Caption3653"/>
            <w:bookmarkStart w:id="7497" w:name="_Caption9011"/>
            <w:bookmarkStart w:id="7498" w:name="_Caption8216"/>
            <w:bookmarkStart w:id="7499" w:name="_Caption5544"/>
            <w:bookmarkStart w:id="7500" w:name="_Caption6075"/>
            <w:bookmarkStart w:id="7501" w:name="_Caption2213"/>
            <w:bookmarkStart w:id="7502" w:name="_Caption1809"/>
            <w:bookmarkStart w:id="7503" w:name="_Caption7455"/>
            <w:bookmarkStart w:id="7504" w:name="_Caption3785"/>
            <w:bookmarkStart w:id="7505" w:name="_Caption6543"/>
            <w:bookmarkStart w:id="7506" w:name="_Caption0039"/>
            <w:bookmarkStart w:id="7507" w:name="_Caption8173"/>
            <w:bookmarkStart w:id="7508" w:name="_Caption4113"/>
            <w:bookmarkStart w:id="7509" w:name="_Caption3526"/>
            <w:bookmarkStart w:id="7510" w:name="_Caption4554"/>
            <w:bookmarkStart w:id="7511" w:name="_Caption7378"/>
            <w:bookmarkStart w:id="7512" w:name="_Caption8972"/>
            <w:bookmarkStart w:id="7513" w:name="_Caption4921"/>
            <w:bookmarkStart w:id="7514" w:name="_Caption8898"/>
            <w:bookmarkStart w:id="7515" w:name="_Caption9044"/>
            <w:bookmarkStart w:id="7516" w:name="_Caption2481"/>
            <w:bookmarkStart w:id="7517" w:name="_Caption3107"/>
            <w:bookmarkStart w:id="7518" w:name="_Caption5321"/>
            <w:bookmarkStart w:id="7519" w:name="_Caption3057"/>
            <w:bookmarkStart w:id="7520" w:name="_Caption3611"/>
            <w:bookmarkStart w:id="7521" w:name="_Caption5353"/>
            <w:bookmarkStart w:id="7522" w:name="_Caption8191"/>
            <w:bookmarkStart w:id="7523" w:name="_Caption5152"/>
            <w:bookmarkStart w:id="7524" w:name="_Caption0844"/>
            <w:bookmarkStart w:id="7525" w:name="_Caption6859"/>
            <w:bookmarkStart w:id="7526" w:name="_Caption7005"/>
            <w:bookmarkStart w:id="7527" w:name="_Caption9595"/>
            <w:bookmarkStart w:id="7528" w:name="_Caption1486"/>
            <w:bookmarkStart w:id="7529" w:name="_Caption3411"/>
            <w:bookmarkStart w:id="7530" w:name="_Caption5630"/>
            <w:bookmarkStart w:id="7531" w:name="_Caption1227"/>
            <w:bookmarkStart w:id="7532" w:name="_Caption7084"/>
            <w:bookmarkStart w:id="7533" w:name="_Caption6817"/>
            <w:bookmarkStart w:id="7534" w:name="_Caption1744"/>
            <w:bookmarkStart w:id="7535" w:name="_Caption4253"/>
            <w:bookmarkStart w:id="7536" w:name="_Toc136527075"/>
            <w:bookmarkStart w:id="7537" w:name="_Toc149060091"/>
            <w:bookmarkStart w:id="7538" w:name="_Toc177735219"/>
            <w:bookmarkStart w:id="7539" w:name="_Toc178292656"/>
            <w:r w:rsidR="008C60A3">
              <w:rPr>
                <w:noProof/>
              </w:rPr>
              <w:t>B</w:t>
            </w:r>
            <w:r w:rsidR="008C60A3" w:rsidRPr="00B779B1">
              <w:rPr>
                <w:noProof/>
              </w:rPr>
              <w:t>.</w:t>
            </w:r>
            <w:r w:rsidR="008C60A3">
              <w:rPr>
                <w:noProof/>
              </w:rPr>
              <w:t>14</w:t>
            </w:r>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r w:rsidRPr="00B779B1">
              <w:fldChar w:fldCharType="end"/>
            </w:r>
            <w:r w:rsidRPr="00B779B1">
              <w:tab/>
              <w:t>The Large-scale Renewable Energy Target</w:t>
            </w:r>
            <w:bookmarkEnd w:id="7536"/>
            <w:bookmarkEnd w:id="7537"/>
            <w:bookmarkEnd w:id="7538"/>
            <w:bookmarkEnd w:id="7539"/>
          </w:p>
        </w:tc>
      </w:tr>
      <w:tr w:rsidR="009B4D09" w14:paraId="057AEDDA" w14:textId="77777777">
        <w:tblPrEx>
          <w:tblBorders>
            <w:top w:val="none" w:sz="0" w:space="0" w:color="auto"/>
            <w:left w:val="none" w:sz="0" w:space="0" w:color="auto"/>
            <w:bottom w:val="none" w:sz="0" w:space="0" w:color="auto"/>
            <w:right w:val="none" w:sz="0" w:space="0" w:color="auto"/>
          </w:tblBorders>
          <w:shd w:val="clear" w:color="6F6652" w:fill="F1EFEA"/>
        </w:tblPrEx>
        <w:trPr>
          <w:cantSplit/>
        </w:trPr>
        <w:tc>
          <w:tcPr>
            <w:tcW w:w="7938" w:type="dxa"/>
            <w:shd w:val="clear" w:color="auto" w:fill="E9E8E5" w:themeFill="background2"/>
          </w:tcPr>
          <w:p w14:paraId="072AFC14" w14:textId="77777777" w:rsidR="009B4D09" w:rsidRDefault="009B4D09">
            <w:pPr>
              <w:pStyle w:val="BodyText"/>
            </w:pPr>
            <w:r>
              <w:t>The LRET incentivises the development of renewable energy power stations through a Renewable Energy Certificate Market for the creation and sale of certificates called large</w:t>
            </w:r>
            <w:r>
              <w:noBreakHyphen/>
              <w:t>scale generation certificates (LGCs).</w:t>
            </w:r>
          </w:p>
          <w:p w14:paraId="17154304" w14:textId="77777777" w:rsidR="009B4D09" w:rsidRDefault="009B4D09" w:rsidP="009B4D09">
            <w:pPr>
              <w:pStyle w:val="ListBullet"/>
              <w:tabs>
                <w:tab w:val="num" w:pos="423"/>
              </w:tabs>
              <w:ind w:left="282" w:hanging="282"/>
              <w:rPr>
                <w:lang w:bidi="fa-IR"/>
              </w:rPr>
            </w:pPr>
            <w:r>
              <w:rPr>
                <w:lang w:bidi="fa-IR"/>
              </w:rPr>
              <w:t>LRET</w:t>
            </w:r>
            <w:r>
              <w:rPr>
                <w:lang w:bidi="fa-IR"/>
              </w:rPr>
              <w:noBreakHyphen/>
              <w:t>accredited power stations can create LGCs for electricity generated from that power station’s renewable energy source.</w:t>
            </w:r>
          </w:p>
          <w:p w14:paraId="25B8A953" w14:textId="77777777" w:rsidR="009B4D09" w:rsidRDefault="009B4D09" w:rsidP="009B4D09">
            <w:pPr>
              <w:pStyle w:val="ListBullet"/>
              <w:tabs>
                <w:tab w:val="num" w:pos="423"/>
              </w:tabs>
              <w:ind w:left="282" w:hanging="282"/>
              <w:rPr>
                <w:lang w:bidi="fa-IR"/>
              </w:rPr>
            </w:pPr>
            <w:r>
              <w:rPr>
                <w:lang w:bidi="fa-IR"/>
              </w:rPr>
              <w:t>These LGCs can be sold to ‘liable entities’ (mainly electricity retailers).</w:t>
            </w:r>
          </w:p>
          <w:p w14:paraId="3844A9D2" w14:textId="77777777" w:rsidR="009B4D09" w:rsidRDefault="009B4D09" w:rsidP="009B4D09">
            <w:pPr>
              <w:pStyle w:val="ListBullet"/>
              <w:tabs>
                <w:tab w:val="num" w:pos="423"/>
              </w:tabs>
              <w:ind w:left="282" w:hanging="282"/>
              <w:rPr>
                <w:lang w:bidi="fa-IR"/>
              </w:rPr>
            </w:pPr>
            <w:r>
              <w:rPr>
                <w:lang w:bidi="fa-IR"/>
              </w:rPr>
              <w:t xml:space="preserve">Retailers are required to surrender a specified number of LGCs to the Clean Energy Regulator (CER) every year. </w:t>
            </w:r>
          </w:p>
          <w:p w14:paraId="3D33C0DF" w14:textId="77777777" w:rsidR="009B4D09" w:rsidRPr="00BF2F67" w:rsidRDefault="009B4D09">
            <w:pPr>
              <w:pStyle w:val="BodyText"/>
            </w:pPr>
            <w:r>
              <w:t>The number of LGCs that retailers must surrender is set by the renewable power percentage (RPP). The RPP is effectively set at a level that aims to achieve a specified target. This target was incrementally increased over the period from 2001 to 2020, but has now been fixed at 33 TWh until 2030.</w:t>
            </w:r>
          </w:p>
        </w:tc>
      </w:tr>
      <w:tr w:rsidR="009B4D09" w14:paraId="1835519B" w14:textId="77777777">
        <w:tblPrEx>
          <w:tblBorders>
            <w:top w:val="none" w:sz="0" w:space="0" w:color="auto"/>
            <w:left w:val="none" w:sz="0" w:space="0" w:color="auto"/>
            <w:bottom w:val="none" w:sz="0" w:space="0" w:color="auto"/>
            <w:right w:val="none" w:sz="0" w:space="0" w:color="auto"/>
          </w:tblBorders>
          <w:shd w:val="clear" w:color="6F6652" w:fill="F1EFEA"/>
        </w:tblPrEx>
        <w:trPr>
          <w:cantSplit/>
          <w:trHeight w:hRule="exact" w:val="142"/>
        </w:trPr>
        <w:tc>
          <w:tcPr>
            <w:tcW w:w="7938" w:type="dxa"/>
            <w:tcBorders>
              <w:bottom w:val="single" w:sz="6" w:space="0" w:color="9B917E" w:themeColor="accent4"/>
            </w:tcBorders>
            <w:shd w:val="clear" w:color="auto" w:fill="E9E8E5" w:themeFill="background2"/>
          </w:tcPr>
          <w:p w14:paraId="58037892" w14:textId="77777777" w:rsidR="009B4D09" w:rsidRDefault="009B4D09"/>
        </w:tc>
      </w:tr>
    </w:tbl>
    <w:p w14:paraId="5088759C" w14:textId="77777777" w:rsidR="009B4D09" w:rsidRPr="000F45D6" w:rsidRDefault="009B4D09" w:rsidP="009B4D09">
      <w:pPr>
        <w:pStyle w:val="BodyText"/>
      </w:pPr>
      <w:r>
        <w:t>These environmental schemes are policy instruments designed to reduce emissions. T</w:t>
      </w:r>
      <w:r w:rsidRPr="000F45D6">
        <w:t>he</w:t>
      </w:r>
      <w:r>
        <w:t>y</w:t>
      </w:r>
      <w:r w:rsidRPr="000F45D6">
        <w:t xml:space="preserve"> are </w:t>
      </w:r>
      <w:r>
        <w:t>about to achieve an absolute target while specified in terms of proportion of energy sales. Energy savings may not change the total charges – less consumption is offset by higher unit charges</w:t>
      </w:r>
      <w:r w:rsidRPr="000F45D6">
        <w:t>.</w:t>
      </w:r>
    </w:p>
    <w:p w14:paraId="1E14B465" w14:textId="77777777" w:rsidR="009B4D09" w:rsidRPr="0027466B" w:rsidRDefault="009B4D09" w:rsidP="009B4D09">
      <w:pPr>
        <w:pStyle w:val="BodyText"/>
        <w:rPr>
          <w:lang w:bidi="fa-IR"/>
        </w:rPr>
      </w:pPr>
      <w:r>
        <w:rPr>
          <w:lang w:bidi="fa-IR"/>
        </w:rPr>
        <w:t xml:space="preserve">In terms of measuring the benefits of reducing energy consumption (through proposed changes to the NCC), we </w:t>
      </w:r>
      <w:r>
        <w:t>therefore</w:t>
      </w:r>
      <w:r>
        <w:rPr>
          <w:lang w:bidi="fa-IR"/>
        </w:rPr>
        <w:t xml:space="preserve"> exclude the costs associated with environmental schemes.</w:t>
      </w:r>
    </w:p>
    <w:p w14:paraId="1B594E8D" w14:textId="77777777" w:rsidR="009B4D09" w:rsidRDefault="009B4D09" w:rsidP="009B4D09">
      <w:pPr>
        <w:pStyle w:val="Heading8"/>
        <w:rPr>
          <w:lang w:bidi="fa-IR"/>
        </w:rPr>
      </w:pPr>
      <w:r>
        <w:rPr>
          <w:lang w:bidi="fa-IR"/>
        </w:rPr>
        <w:t>Retail costs and margin</w:t>
      </w:r>
    </w:p>
    <w:p w14:paraId="4C27321E" w14:textId="77777777" w:rsidR="009B4D09" w:rsidRPr="0027466B" w:rsidRDefault="009B4D09" w:rsidP="009B4D09">
      <w:pPr>
        <w:pStyle w:val="BodyText"/>
      </w:pPr>
      <w:r w:rsidRPr="0027466B">
        <w:t>The retailer costs comprise the retailer’s operating costs and margin.</w:t>
      </w:r>
      <w:r>
        <w:t xml:space="preserve"> R</w:t>
      </w:r>
      <w:r w:rsidRPr="0027466B">
        <w:t xml:space="preserve">etailer’s operating costs (call centres, revenue and billing collection, customer acquisition and retention, and IT systems) are </w:t>
      </w:r>
      <w:r>
        <w:t xml:space="preserve">usually </w:t>
      </w:r>
      <w:r w:rsidRPr="0027466B">
        <w:t xml:space="preserve">driven by the number of customers, rather than energy consumption. As such, these costs would not change as energy usage decreases through the additional energy efficiency requirements in the </w:t>
      </w:r>
      <w:r>
        <w:t>NCC 2</w:t>
      </w:r>
      <w:r w:rsidRPr="0027466B">
        <w:t>02</w:t>
      </w:r>
      <w:r>
        <w:t>5</w:t>
      </w:r>
      <w:r w:rsidRPr="0027466B">
        <w:t>.</w:t>
      </w:r>
    </w:p>
    <w:p w14:paraId="16BA79E6" w14:textId="77777777" w:rsidR="009B4D09" w:rsidRPr="0027466B" w:rsidRDefault="009B4D09" w:rsidP="009B4D09">
      <w:pPr>
        <w:pStyle w:val="BodyText"/>
      </w:pPr>
      <w:r>
        <w:t xml:space="preserve">On the other hand, </w:t>
      </w:r>
      <w:r w:rsidRPr="0027466B">
        <w:t>the retail margin is generally assumed to be applied as a percentage of the other costs</w:t>
      </w:r>
      <w:r>
        <w:t>.</w:t>
      </w:r>
      <w:r w:rsidRPr="0027466B">
        <w:t xml:space="preserve"> </w:t>
      </w:r>
      <w:r>
        <w:t>I</w:t>
      </w:r>
      <w:r w:rsidRPr="0027466B">
        <w:t>f energy costs decrease, then the operating margin applied to those costs would also decrease</w:t>
      </w:r>
      <w:r>
        <w:t>. As a result</w:t>
      </w:r>
      <w:r w:rsidRPr="0027466B">
        <w:t xml:space="preserve">, </w:t>
      </w:r>
      <w:r>
        <w:t>the retail margin should be included as an avoided cost when evaluating the energy savings</w:t>
      </w:r>
      <w:r w:rsidRPr="0027466B">
        <w:t>.</w:t>
      </w:r>
    </w:p>
    <w:p w14:paraId="0AE32D99" w14:textId="77777777" w:rsidR="009B4D09" w:rsidRDefault="009B4D09" w:rsidP="009B4D09">
      <w:pPr>
        <w:pStyle w:val="BodyText"/>
      </w:pPr>
      <w:r>
        <w:t>In its final determination on default market offer (DMO) prices for 2022-23, the AER has set a transition of the</w:t>
      </w:r>
      <w:r w:rsidRPr="00681379">
        <w:t xml:space="preserve"> retail allowance </w:t>
      </w:r>
      <w:r>
        <w:t xml:space="preserve">for small business customers to </w:t>
      </w:r>
      <w:r w:rsidRPr="00681379">
        <w:t>15</w:t>
      </w:r>
      <w:r>
        <w:t xml:space="preserve"> per cent</w:t>
      </w:r>
      <w:r w:rsidRPr="00681379">
        <w:t xml:space="preserve"> for small business customers</w:t>
      </w:r>
      <w:r>
        <w:t xml:space="preserve"> because it ‘is at the lower end of previous small business allowances and enables the DMO prices to maintain approximately the same aggregate level of allowance across the DMO regions and customers.’</w:t>
      </w:r>
      <w:r>
        <w:rPr>
          <w:rStyle w:val="FootnoteReference"/>
        </w:rPr>
        <w:footnoteReference w:id="172"/>
      </w:r>
      <w:r>
        <w:t xml:space="preserve"> In its final determination on DMO prices for 2023-24, AER has adhered to this 15 per cent small business customer retail allowance target while adjusting down the allowance in jurisdictions where the existing allowances are higher than 15 per cent.</w:t>
      </w:r>
      <w:r>
        <w:rPr>
          <w:rStyle w:val="FootnoteReference"/>
        </w:rPr>
        <w:footnoteReference w:id="173"/>
      </w:r>
    </w:p>
    <w:p w14:paraId="4858ED2C" w14:textId="77777777" w:rsidR="009B4D09" w:rsidRDefault="009B4D09" w:rsidP="009B4D09">
      <w:pPr>
        <w:pStyle w:val="BodyText"/>
      </w:pPr>
      <w:r>
        <w:t>We therefore use the rate of 15 per cent to estimate the retail margin. This is applied to the change in variable costs as identified above.</w:t>
      </w:r>
    </w:p>
    <w:p w14:paraId="168F795E" w14:textId="77777777" w:rsidR="009B4D09" w:rsidRPr="00ED1723" w:rsidRDefault="009B4D09" w:rsidP="009B4D09">
      <w:pPr>
        <w:pStyle w:val="Heading7"/>
      </w:pPr>
      <w:r w:rsidRPr="00ED1723">
        <w:t>Value of exported electricity</w:t>
      </w:r>
    </w:p>
    <w:p w14:paraId="192FD076" w14:textId="77777777" w:rsidR="009B4D09" w:rsidRPr="00ED1723" w:rsidRDefault="009B4D09" w:rsidP="009B4D09">
      <w:pPr>
        <w:pStyle w:val="BodyText"/>
      </w:pPr>
      <w:r w:rsidRPr="00ED1723">
        <w:t>In addition to avoiding the consumption of energy from the grid, some options (i.e. Stringency 2 and Stringency 3) mandate rooftop solar panels and there are estimated to be some periods where some buildings export electricity to the grid (i.e. periods where the electricity generated by solar panels exceed the building’s electricity consumption).</w:t>
      </w:r>
    </w:p>
    <w:p w14:paraId="5A5CF304" w14:textId="77777777" w:rsidR="009B4D09" w:rsidRPr="005343FA" w:rsidRDefault="009B4D09" w:rsidP="009B4D09">
      <w:pPr>
        <w:pStyle w:val="Heading8"/>
      </w:pPr>
      <w:r w:rsidRPr="005343FA">
        <w:t>Feed</w:t>
      </w:r>
      <w:r w:rsidRPr="005343FA">
        <w:noBreakHyphen/>
        <w:t>in tariffs</w:t>
      </w:r>
    </w:p>
    <w:p w14:paraId="3AE3CA7A" w14:textId="77777777" w:rsidR="009B4D09" w:rsidRDefault="009B4D09" w:rsidP="009B4D09">
      <w:pPr>
        <w:pStyle w:val="BodyText"/>
      </w:pPr>
      <w:r w:rsidRPr="005343FA">
        <w:t>Feed</w:t>
      </w:r>
      <w:r>
        <w:t xml:space="preserve">-in tariffs are estimated as a share of the electricity wholesale prices as they are considered as the wholesale energy cost a retailer avoids when it sources exported electricity from solar PV customers rather than from the wholesale markets. </w:t>
      </w:r>
    </w:p>
    <w:p w14:paraId="4FDB84FC" w14:textId="304C5BE6" w:rsidR="009B4D09" w:rsidRDefault="009B4D09" w:rsidP="009B4D09">
      <w:pPr>
        <w:pStyle w:val="BodyText"/>
      </w:pPr>
      <w:r>
        <w:t xml:space="preserve">Each year, NSW and </w:t>
      </w:r>
      <w:r w:rsidR="00973817">
        <w:t>Victoria</w:t>
      </w:r>
      <w:r>
        <w:t xml:space="preserve"> publish the solar feed-in tariff benchmark ranges and the wholesale price forecast that derive the benchmark tariffs.</w:t>
      </w:r>
      <w:r>
        <w:rPr>
          <w:rStyle w:val="FootnoteReference"/>
        </w:rPr>
        <w:footnoteReference w:id="174"/>
      </w:r>
      <w:r>
        <w:t xml:space="preserve"> From here, we estimate the ratio of feed-in tariffs over the wholesale price forecast and apply the ratio to estimate the feed-in tariffs for our model. For other states, there is no such information provided to estimate the ratio, so we collated solar feed-in tariffs that are currently available to consumers and derive the ratio of the feed-in tariff over the average wholesale prices estimated in our model.</w:t>
      </w:r>
      <w:r>
        <w:rPr>
          <w:rStyle w:val="FootnoteReference"/>
        </w:rPr>
        <w:footnoteReference w:id="175"/>
      </w:r>
      <w:r>
        <w:t xml:space="preserve"> As a result, </w:t>
      </w:r>
      <w:r>
        <w:rPr>
          <w:lang w:eastAsia="en-US" w:bidi="fa-IR"/>
        </w:rPr>
        <w:t xml:space="preserve">feed-in tariffs vary by time of a day with the wholesale prices in </w:t>
      </w:r>
      <w:r w:rsidR="00973817">
        <w:rPr>
          <w:lang w:eastAsia="en-US" w:bidi="fa-IR"/>
        </w:rPr>
        <w:t>Queensland</w:t>
      </w:r>
      <w:r>
        <w:rPr>
          <w:lang w:eastAsia="en-US" w:bidi="fa-IR"/>
        </w:rPr>
        <w:t xml:space="preserve"> and to a lesser extent in other states (see chart </w:t>
      </w:r>
      <w:r>
        <w:rPr>
          <w:lang w:eastAsia="en-US" w:bidi="fa-IR"/>
        </w:rPr>
        <w:fldChar w:fldCharType="begin"/>
      </w:r>
      <w:r>
        <w:rPr>
          <w:lang w:eastAsia="en-US" w:bidi="fa-IR"/>
        </w:rPr>
        <w:instrText xml:space="preserve"> REF _Caption4324 </w:instrText>
      </w:r>
      <w:r>
        <w:rPr>
          <w:lang w:eastAsia="en-US" w:bidi="fa-IR"/>
        </w:rPr>
        <w:fldChar w:fldCharType="separate"/>
      </w:r>
      <w:r w:rsidR="0096258B">
        <w:rPr>
          <w:noProof/>
        </w:rPr>
        <w:t>B</w:t>
      </w:r>
      <w:r w:rsidR="0096258B" w:rsidRPr="00B779B1">
        <w:rPr>
          <w:noProof/>
        </w:rPr>
        <w:t>.</w:t>
      </w:r>
      <w:r w:rsidR="0096258B">
        <w:rPr>
          <w:noProof/>
        </w:rPr>
        <w:t>15</w:t>
      </w:r>
      <w:r>
        <w:rPr>
          <w:lang w:eastAsia="en-US" w:bidi="fa-IR"/>
        </w:rPr>
        <w:fldChar w:fldCharType="end"/>
      </w:r>
      <w:r>
        <w:rPr>
          <w:lang w:eastAsia="en-US" w:bidi="fa-IR"/>
        </w:rPr>
        <w:t>).</w:t>
      </w:r>
    </w:p>
    <w:p w14:paraId="33898925" w14:textId="5134584E" w:rsidR="009B4D09" w:rsidRPr="00B779B1" w:rsidRDefault="009B4D09" w:rsidP="009B4D09">
      <w:pPr>
        <w:pStyle w:val="Caption"/>
      </w:pPr>
      <w:r w:rsidRPr="00B779B1">
        <w:fldChar w:fldCharType="begin"/>
      </w:r>
      <w:r w:rsidRPr="00B779B1">
        <w:instrText xml:space="preserve"> IF 1 = 1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 0 ""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w:instrText>
      </w:r>
      <w:r w:rsidRPr="00B779B1">
        <w:fldChar w:fldCharType="separate"/>
      </w:r>
      <w:r w:rsidRPr="00B779B1">
        <w:instrText>Error! No text of specified style in document..</w:instrText>
      </w:r>
      <w:r w:rsidRPr="00B779B1">
        <w:fldChar w:fldCharType="end"/>
      </w:r>
      <w:r w:rsidRPr="00B779B1">
        <w:instrText>" "</w:instrText>
      </w:r>
      <w:fldSimple w:instr=" STYLEREF &quot;Heading 6&quot; \l \n ">
        <w:r w:rsidR="00520F9E">
          <w:rPr>
            <w:noProof/>
          </w:rPr>
          <w:instrText>B</w:instrText>
        </w:r>
      </w:fldSimple>
      <w:r w:rsidRPr="00B779B1">
        <w:instrText xml:space="preserve">." </w:instrText>
      </w:r>
      <w:r w:rsidRPr="00B779B1">
        <w:fldChar w:fldCharType="separate"/>
      </w:r>
      <w:r w:rsidR="00520F9E">
        <w:rPr>
          <w:noProof/>
        </w:rPr>
        <w:instrText>B</w:instrText>
      </w:r>
      <w:r w:rsidR="00520F9E" w:rsidRPr="00B779B1">
        <w:rPr>
          <w:noProof/>
        </w:rPr>
        <w:instrText>.</w:instrText>
      </w:r>
      <w:r w:rsidRPr="00B779B1">
        <w:fldChar w:fldCharType="end"/>
      </w:r>
      <w:r w:rsidRPr="00B779B1">
        <w:fldChar w:fldCharType="begin"/>
      </w:r>
      <w:r w:rsidRPr="00B779B1">
        <w:instrText xml:space="preserve"> SEQ Item \* ARABIC \s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r w:rsidRPr="00B779B1">
        <w:fldChar w:fldCharType="begin"/>
      </w:r>
      <w:r w:rsidRPr="00B779B1">
        <w:instrText xml:space="preserve"> STYLEREF "Heading 1" \l \n </w:instrText>
      </w:r>
      <w:r w:rsidRPr="00B779B1">
        <w:fldChar w:fldCharType="separate"/>
      </w:r>
      <w:r w:rsidRPr="00B779B1">
        <w:instrText>Error! No text of specified style in document.</w:instrText>
      </w:r>
      <w:r w:rsidRPr="00B779B1">
        <w:fldChar w:fldCharType="end"/>
      </w:r>
      <w:r w:rsidRPr="00B779B1">
        <w:instrText xml:space="preserve"> = 0 "" "1" </w:instrText>
      </w:r>
      <w:r w:rsidRPr="00B779B1">
        <w:fldChar w:fldCharType="separate"/>
      </w:r>
      <w:r w:rsidRPr="00B779B1">
        <w:instrText>1</w:instrText>
      </w:r>
      <w:r w:rsidRPr="00B779B1">
        <w:fldChar w:fldCharType="end"/>
      </w:r>
      <w:r w:rsidRPr="00B779B1">
        <w:instrText xml:space="preserve">" "6" </w:instrText>
      </w:r>
      <w:r w:rsidRPr="00B779B1">
        <w:fldChar w:fldCharType="separate"/>
      </w:r>
      <w:r w:rsidR="00520F9E" w:rsidRPr="00B779B1">
        <w:rPr>
          <w:noProof/>
        </w:rPr>
        <w:instrText>6</w:instrText>
      </w:r>
      <w:r w:rsidRPr="00B779B1">
        <w:fldChar w:fldCharType="end"/>
      </w:r>
      <w:r w:rsidRPr="00B779B1">
        <w:instrText xml:space="preserve"> </w:instrText>
      </w:r>
      <w:r w:rsidRPr="00B779B1">
        <w:fldChar w:fldCharType="separate"/>
      </w:r>
      <w:r w:rsidR="00520F9E">
        <w:rPr>
          <w:noProof/>
        </w:rPr>
        <w:instrText>15</w:instrText>
      </w:r>
      <w:r w:rsidRPr="00B779B1">
        <w:fldChar w:fldCharType="end"/>
      </w:r>
      <w:r w:rsidRPr="00B779B1">
        <w:instrText xml:space="preserve">" "" </w:instrText>
      </w:r>
      <w:r w:rsidRPr="00B779B1">
        <w:fldChar w:fldCharType="separate"/>
      </w:r>
      <w:bookmarkStart w:id="7540" w:name="_Caption3166"/>
      <w:bookmarkStart w:id="7541" w:name="_Caption4126"/>
      <w:bookmarkStart w:id="7542" w:name="_Caption5797"/>
      <w:bookmarkStart w:id="7543" w:name="_Caption6634"/>
      <w:bookmarkStart w:id="7544" w:name="_Caption5549"/>
      <w:bookmarkStart w:id="7545" w:name="_Caption2057"/>
      <w:bookmarkStart w:id="7546" w:name="_Caption4324"/>
      <w:bookmarkStart w:id="7547" w:name="_Caption3071"/>
      <w:bookmarkStart w:id="7548" w:name="_Caption3799"/>
      <w:bookmarkStart w:id="7549" w:name="_Caption6073"/>
      <w:bookmarkStart w:id="7550" w:name="_Caption0373"/>
      <w:bookmarkStart w:id="7551" w:name="_Caption9144"/>
      <w:bookmarkStart w:id="7552" w:name="_Caption7540"/>
      <w:bookmarkStart w:id="7553" w:name="_Caption9648"/>
      <w:bookmarkStart w:id="7554" w:name="_Caption5843"/>
      <w:bookmarkStart w:id="7555" w:name="_Caption5508"/>
      <w:bookmarkStart w:id="7556" w:name="_Caption5996"/>
      <w:bookmarkStart w:id="7557" w:name="_Caption4019"/>
      <w:bookmarkStart w:id="7558" w:name="_Caption1654"/>
      <w:bookmarkStart w:id="7559" w:name="_Caption8709"/>
      <w:bookmarkStart w:id="7560" w:name="_Caption3734"/>
      <w:bookmarkStart w:id="7561" w:name="_Caption6587"/>
      <w:bookmarkStart w:id="7562" w:name="_Caption4223"/>
      <w:bookmarkStart w:id="7563" w:name="_Caption7537"/>
      <w:bookmarkStart w:id="7564" w:name="_Caption0035"/>
      <w:bookmarkStart w:id="7565" w:name="_Caption2107"/>
      <w:bookmarkStart w:id="7566" w:name="_Caption1743"/>
      <w:bookmarkStart w:id="7567" w:name="_Caption2652"/>
      <w:bookmarkStart w:id="7568" w:name="_Caption1810"/>
      <w:bookmarkStart w:id="7569" w:name="_Caption5218"/>
      <w:bookmarkStart w:id="7570" w:name="_Toc177735220"/>
      <w:bookmarkStart w:id="7571" w:name="_Toc178292657"/>
      <w:r w:rsidR="008C60A3">
        <w:rPr>
          <w:noProof/>
        </w:rPr>
        <w:t>B</w:t>
      </w:r>
      <w:r w:rsidR="008C60A3" w:rsidRPr="00B779B1">
        <w:rPr>
          <w:noProof/>
        </w:rPr>
        <w:t>.</w:t>
      </w:r>
      <w:r w:rsidR="008C60A3">
        <w:rPr>
          <w:noProof/>
        </w:rPr>
        <w:t>15</w:t>
      </w:r>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r w:rsidRPr="00B779B1">
        <w:fldChar w:fldCharType="end"/>
      </w:r>
      <w:r w:rsidRPr="00B779B1">
        <w:tab/>
        <w:t>Hourly feed-in tariffs across an average day by state and territory</w:t>
      </w:r>
      <w:bookmarkEnd w:id="7570"/>
      <w:bookmarkEnd w:id="7571"/>
    </w:p>
    <w:tbl>
      <w:tblPr>
        <w:tblStyle w:val="TableGrid"/>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9E8E5" w:themeFill="background2"/>
        <w:tblLayout w:type="fixed"/>
        <w:tblCellMar>
          <w:left w:w="0" w:type="dxa"/>
          <w:right w:w="0" w:type="dxa"/>
        </w:tblCellMar>
        <w:tblLook w:val="04A0" w:firstRow="1" w:lastRow="0" w:firstColumn="1" w:lastColumn="0" w:noHBand="0" w:noVBand="1"/>
      </w:tblPr>
      <w:tblGrid>
        <w:gridCol w:w="7938"/>
      </w:tblGrid>
      <w:tr w:rsidR="009B4D09" w14:paraId="62C94AA1" w14:textId="77777777">
        <w:trPr>
          <w:cantSplit/>
        </w:trPr>
        <w:tc>
          <w:tcPr>
            <w:tcW w:w="7938" w:type="dxa"/>
            <w:shd w:val="clear" w:color="auto" w:fill="E9E8E5" w:themeFill="background2"/>
          </w:tcPr>
          <w:p w14:paraId="3E5F22DD" w14:textId="77777777" w:rsidR="009B4D09" w:rsidRDefault="009B4D09">
            <w:pPr>
              <w:pStyle w:val="Chart"/>
            </w:pPr>
            <w:r w:rsidRPr="00FF50FC">
              <w:rPr>
                <w:noProof/>
              </w:rPr>
              <w:drawing>
                <wp:inline distT="0" distB="0" distL="0" distR="0" wp14:anchorId="376296DB" wp14:editId="3CCF7636">
                  <wp:extent cx="5035550" cy="2520950"/>
                  <wp:effectExtent l="0" t="0" r="0" b="0"/>
                  <wp:docPr id="248118142" name="Picture 11" descr="B.15 - hourly feed in tariff across an average day by state and terri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18142" name="Picture 11" descr="B.15 - hourly feed in tariff across an average day by state and territory"/>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035550" cy="2520950"/>
                          </a:xfrm>
                          <a:prstGeom prst="rect">
                            <a:avLst/>
                          </a:prstGeom>
                          <a:noFill/>
                          <a:ln>
                            <a:noFill/>
                          </a:ln>
                        </pic:spPr>
                      </pic:pic>
                    </a:graphicData>
                  </a:graphic>
                </wp:inline>
              </w:drawing>
            </w:r>
          </w:p>
        </w:tc>
      </w:tr>
    </w:tbl>
    <w:p w14:paraId="5F40F43A" w14:textId="77777777" w:rsidR="009B4D09" w:rsidRPr="00516955" w:rsidRDefault="009B4D09" w:rsidP="009B4D09">
      <w:pPr>
        <w:pStyle w:val="Source"/>
      </w:pPr>
      <w:r>
        <w:rPr>
          <w:i/>
        </w:rPr>
        <w:t>Data source</w:t>
      </w:r>
      <w:r w:rsidRPr="00A67576">
        <w:rPr>
          <w:i/>
        </w:rPr>
        <w:t>:</w:t>
      </w:r>
      <w:r>
        <w:t xml:space="preserve"> </w:t>
      </w:r>
      <w:r>
        <w:rPr>
          <w:lang w:bidi="fa-IR"/>
        </w:rPr>
        <w:t>CIE based on review of solar feed-in tariffs offers in each state or territory.</w:t>
      </w:r>
    </w:p>
    <w:p w14:paraId="59E64AEE" w14:textId="3E45C42C" w:rsidR="009B4D09" w:rsidRDefault="009B4D09" w:rsidP="009B4D09">
      <w:pPr>
        <w:pStyle w:val="Heading8"/>
      </w:pPr>
      <w:r w:rsidRPr="00ED1723">
        <w:t>Network</w:t>
      </w:r>
      <w:r>
        <w:t xml:space="preserve"> </w:t>
      </w:r>
      <w:r w:rsidR="008D626A">
        <w:t>impacts</w:t>
      </w:r>
    </w:p>
    <w:p w14:paraId="4A0C1577" w14:textId="32B7B405" w:rsidR="00607FD2" w:rsidRPr="003C7B5B" w:rsidRDefault="00607FD2" w:rsidP="00220E34">
      <w:pPr>
        <w:pStyle w:val="BodyText"/>
      </w:pPr>
      <w:r>
        <w:t xml:space="preserve">Consistent with </w:t>
      </w:r>
      <w:r w:rsidR="00BD5A76">
        <w:t xml:space="preserve">Ausgrid’s </w:t>
      </w:r>
      <w:r w:rsidRPr="003C7B5B">
        <w:t>two</w:t>
      </w:r>
      <w:r w:rsidRPr="003C7B5B">
        <w:noBreakHyphen/>
        <w:t>way tariff</w:t>
      </w:r>
      <w:r w:rsidR="005C0F2D">
        <w:t xml:space="preserve">, we </w:t>
      </w:r>
      <w:r w:rsidR="00751645">
        <w:t xml:space="preserve">measure </w:t>
      </w:r>
      <w:r w:rsidR="008D626A">
        <w:t>the network impacts of electricity exported to the grid as follows</w:t>
      </w:r>
      <w:r w:rsidRPr="003C7B5B">
        <w:t>:</w:t>
      </w:r>
      <w:r w:rsidRPr="003C7B5B">
        <w:rPr>
          <w:rStyle w:val="FootnoteReference"/>
        </w:rPr>
        <w:footnoteReference w:id="176"/>
      </w:r>
    </w:p>
    <w:p w14:paraId="4CA06413" w14:textId="7E368386" w:rsidR="00607FD2" w:rsidRPr="003C7B5B" w:rsidRDefault="00E004B6" w:rsidP="008D626A">
      <w:pPr>
        <w:pStyle w:val="ListBullet"/>
      </w:pPr>
      <w:r>
        <w:t>Additional network costs</w:t>
      </w:r>
      <w:r w:rsidR="00435C9B">
        <w:t xml:space="preserve"> </w:t>
      </w:r>
      <w:r w:rsidR="009945E7">
        <w:t xml:space="preserve">are </w:t>
      </w:r>
      <w:r w:rsidR="00A910C3">
        <w:t>measured at</w:t>
      </w:r>
      <w:r w:rsidR="00607FD2" w:rsidRPr="003C7B5B">
        <w:t xml:space="preserve"> </w:t>
      </w:r>
      <w:r w:rsidR="00607FD2" w:rsidRPr="00727A7B">
        <w:t>1.2 c/kWh</w:t>
      </w:r>
      <w:r w:rsidR="00607FD2" w:rsidRPr="003C7B5B">
        <w:t xml:space="preserve"> for exports during the peak export period (10am to 3pm)</w:t>
      </w:r>
    </w:p>
    <w:p w14:paraId="402C11AE" w14:textId="23D2E51A" w:rsidR="00607FD2" w:rsidRPr="003C7B5B" w:rsidRDefault="00A910C3" w:rsidP="008D626A">
      <w:pPr>
        <w:pStyle w:val="ListBullet"/>
      </w:pPr>
      <w:r>
        <w:t xml:space="preserve">Network benefits are measured at </w:t>
      </w:r>
      <w:r w:rsidR="00607FD2" w:rsidRPr="00727A7B">
        <w:t>2.3 c/kWh</w:t>
      </w:r>
      <w:r w:rsidR="00607FD2" w:rsidRPr="003C7B5B">
        <w:t xml:space="preserve"> for the electricity exported during the peak demand period (4 pm to 9 pm).</w:t>
      </w:r>
    </w:p>
    <w:p w14:paraId="03E719ED" w14:textId="77777777" w:rsidR="009B4D09" w:rsidRDefault="009B4D09" w:rsidP="009B4D09">
      <w:pPr>
        <w:pStyle w:val="Heading7"/>
      </w:pPr>
      <w:r>
        <w:t>Gas costs</w:t>
      </w:r>
    </w:p>
    <w:p w14:paraId="53DA5A0F" w14:textId="77777777" w:rsidR="009B4D09" w:rsidRDefault="009B4D09" w:rsidP="009B4D09">
      <w:pPr>
        <w:pStyle w:val="BodyText"/>
        <w:rPr>
          <w:lang w:bidi="fa-IR"/>
        </w:rPr>
      </w:pPr>
      <w:r>
        <w:rPr>
          <w:lang w:bidi="fa-IR"/>
        </w:rPr>
        <w:t xml:space="preserve">AER publishes NEM electricity wholesale prices and East Coast gas wholesale prices in its </w:t>
      </w:r>
      <w:r>
        <w:rPr>
          <w:i/>
          <w:iCs/>
          <w:lang w:bidi="fa-IR"/>
        </w:rPr>
        <w:t>Wholesale Markets Quarterly</w:t>
      </w:r>
      <w:r>
        <w:rPr>
          <w:lang w:bidi="fa-IR"/>
        </w:rPr>
        <w:t>. According to the latest issue of the Quarterly, the average quarterly wholesale price in NEM ranged from $64 per MWh in Victoria to $114/MWh in Queensland in March 2023, compared to the highs of $241-344/MWh in June quarter of 2022.</w:t>
      </w:r>
      <w:r>
        <w:rPr>
          <w:rStyle w:val="FootnoteReference"/>
          <w:lang w:bidi="fa-IR"/>
        </w:rPr>
        <w:footnoteReference w:id="177"/>
      </w:r>
      <w:r>
        <w:rPr>
          <w:lang w:bidi="fa-IR"/>
        </w:rPr>
        <w:t xml:space="preserve"> For gas, the wholesale prices in the East Coast market has fallen from over $40 per gigajoule (GJ) on average in July 2022 to below $12/GJ in March quarter of 2023.</w:t>
      </w:r>
      <w:r>
        <w:rPr>
          <w:rStyle w:val="FootnoteReference"/>
          <w:lang w:bidi="fa-IR"/>
        </w:rPr>
        <w:footnoteReference w:id="178"/>
      </w:r>
      <w:r>
        <w:rPr>
          <w:lang w:bidi="fa-IR"/>
        </w:rPr>
        <w:t xml:space="preserve"> </w:t>
      </w:r>
    </w:p>
    <w:p w14:paraId="7ABDDDCB" w14:textId="77777777" w:rsidR="009B4D09" w:rsidRDefault="009B4D09" w:rsidP="009B4D09">
      <w:pPr>
        <w:pStyle w:val="BodyText"/>
        <w:rPr>
          <w:lang w:bidi="fa-IR"/>
        </w:rPr>
      </w:pPr>
      <w:r>
        <w:rPr>
          <w:lang w:bidi="fa-IR"/>
        </w:rPr>
        <w:t>WA Department of Mines, Industry Regulation and Safety (DMIRS) publishes price data on major commodity resources including domestic gas.</w:t>
      </w:r>
      <w:r>
        <w:rPr>
          <w:rStyle w:val="FootnoteReference"/>
          <w:lang w:bidi="fa-IR"/>
        </w:rPr>
        <w:footnoteReference w:id="179"/>
      </w:r>
      <w:r>
        <w:rPr>
          <w:lang w:bidi="fa-IR"/>
        </w:rPr>
        <w:t xml:space="preserve"> The average domestic price in 2022 was $5.46/GJ.</w:t>
      </w:r>
    </w:p>
    <w:p w14:paraId="60F2A79C" w14:textId="77777777" w:rsidR="009B4D09" w:rsidRDefault="009B4D09" w:rsidP="009B4D09">
      <w:pPr>
        <w:pStyle w:val="Heading7"/>
        <w:rPr>
          <w:lang w:bidi="fa-IR"/>
        </w:rPr>
      </w:pPr>
      <w:r>
        <w:rPr>
          <w:lang w:bidi="fa-IR"/>
        </w:rPr>
        <w:t>Energy price forecasts</w:t>
      </w:r>
    </w:p>
    <w:p w14:paraId="5814F70B" w14:textId="77777777" w:rsidR="009B4D09" w:rsidRDefault="009B4D09" w:rsidP="009B4D09">
      <w:pPr>
        <w:pStyle w:val="BodyText"/>
        <w:rPr>
          <w:lang w:bidi="fa-IR"/>
        </w:rPr>
      </w:pPr>
      <w:r>
        <w:rPr>
          <w:lang w:bidi="fa-IR"/>
        </w:rPr>
        <w:t>Forecasting energy price is a multifaceted undertaking that exceeds the scope of this analysis. Therefore, we will rely on established energy price forecasts available from reliable sources.</w:t>
      </w:r>
    </w:p>
    <w:p w14:paraId="37564600" w14:textId="77777777" w:rsidR="009B4D09" w:rsidRDefault="009B4D09" w:rsidP="009B4D09">
      <w:pPr>
        <w:pStyle w:val="BodyText"/>
        <w:rPr>
          <w:lang w:bidi="fa-IR"/>
        </w:rPr>
      </w:pPr>
      <w:r>
        <w:rPr>
          <w:lang w:bidi="fa-IR"/>
        </w:rPr>
        <w:t>AEMO provides comprehensive price indexes for commercial electricity, extending across a significant time horizon under different scenarios.</w:t>
      </w:r>
      <w:r>
        <w:rPr>
          <w:rStyle w:val="FootnoteReference"/>
          <w:lang w:bidi="fa-IR"/>
        </w:rPr>
        <w:footnoteReference w:id="180"/>
      </w:r>
      <w:r>
        <w:rPr>
          <w:lang w:bidi="fa-IR"/>
        </w:rPr>
        <w:t xml:space="preserve"> </w:t>
      </w:r>
    </w:p>
    <w:p w14:paraId="03C84226" w14:textId="1529AC44" w:rsidR="009B4D09" w:rsidRDefault="009B4D09" w:rsidP="009B4D09">
      <w:pPr>
        <w:pStyle w:val="BodyText"/>
      </w:pPr>
      <w:r>
        <w:rPr>
          <w:lang w:bidi="fa-IR"/>
        </w:rPr>
        <w:t xml:space="preserve">As discussed above, the Step Change scenario is most relevant because it is the most </w:t>
      </w:r>
      <w:r>
        <w:t xml:space="preserve">likely scenario identified by AEMO. Charts </w:t>
      </w:r>
      <w:fldSimple w:instr=" REF _Caption2164 ">
        <w:r w:rsidR="0096258B">
          <w:rPr>
            <w:noProof/>
          </w:rPr>
          <w:t>B</w:t>
        </w:r>
        <w:r w:rsidR="0096258B" w:rsidRPr="00B779B1">
          <w:rPr>
            <w:noProof/>
          </w:rPr>
          <w:t>.</w:t>
        </w:r>
        <w:r w:rsidR="0096258B">
          <w:rPr>
            <w:noProof/>
          </w:rPr>
          <w:t>16</w:t>
        </w:r>
      </w:fldSimple>
      <w:r>
        <w:t xml:space="preserve"> illustrates the electricity price index for commercial customers by NEM states under the Step Change scenario.</w:t>
      </w:r>
    </w:p>
    <w:p w14:paraId="349E5E9B" w14:textId="6E96D2BA" w:rsidR="009B4D09" w:rsidRDefault="009B4D09" w:rsidP="009B4D09">
      <w:pPr>
        <w:pStyle w:val="BodyText"/>
        <w:rPr>
          <w:lang w:bidi="fa-IR"/>
        </w:rPr>
      </w:pPr>
      <w:r>
        <w:rPr>
          <w:lang w:bidi="fa-IR"/>
        </w:rPr>
        <w:t>For the 2023 Gas Statement of Opportunities (GSOO), Lewis Grey Advisory (LGA) prepared forecast of wholesale and delivered prices up to 2053 under different scenarios.</w:t>
      </w:r>
      <w:r>
        <w:rPr>
          <w:rStyle w:val="FootnoteReference"/>
          <w:lang w:bidi="fa-IR"/>
        </w:rPr>
        <w:footnoteReference w:id="181"/>
      </w:r>
      <w:r>
        <w:rPr>
          <w:lang w:bidi="fa-IR"/>
        </w:rPr>
        <w:t xml:space="preserve"> Chart </w:t>
      </w:r>
      <w:r>
        <w:rPr>
          <w:lang w:bidi="fa-IR"/>
        </w:rPr>
        <w:fldChar w:fldCharType="begin"/>
      </w:r>
      <w:r>
        <w:rPr>
          <w:lang w:bidi="fa-IR"/>
        </w:rPr>
        <w:instrText xml:space="preserve"> REF _Caption4320 </w:instrText>
      </w:r>
      <w:r>
        <w:rPr>
          <w:lang w:bidi="fa-IR"/>
        </w:rPr>
        <w:fldChar w:fldCharType="separate"/>
      </w:r>
      <w:r w:rsidR="0096258B">
        <w:rPr>
          <w:noProof/>
        </w:rPr>
        <w:t>B</w:t>
      </w:r>
      <w:r w:rsidR="0096258B" w:rsidRPr="00B779B1">
        <w:rPr>
          <w:noProof/>
        </w:rPr>
        <w:t>.</w:t>
      </w:r>
      <w:r w:rsidR="0096258B">
        <w:rPr>
          <w:noProof/>
        </w:rPr>
        <w:t>17</w:t>
      </w:r>
      <w:r>
        <w:rPr>
          <w:lang w:bidi="fa-IR"/>
        </w:rPr>
        <w:fldChar w:fldCharType="end"/>
      </w:r>
      <w:r>
        <w:rPr>
          <w:lang w:bidi="fa-IR"/>
        </w:rPr>
        <w:t xml:space="preserve"> illustrates the delivered gas prices (weighted oil indexed) for Eastern Australian markets under the Step Change scenario.</w:t>
      </w:r>
    </w:p>
    <w:p w14:paraId="3AA03FFE" w14:textId="77777777" w:rsidR="009B4D09" w:rsidRDefault="009B4D09" w:rsidP="009B4D09">
      <w:pPr>
        <w:pStyle w:val="BodyText"/>
        <w:rPr>
          <w:lang w:bidi="fa-IR"/>
        </w:rPr>
      </w:pPr>
      <w:r w:rsidRPr="00B822C3">
        <w:rPr>
          <w:lang w:bidi="fa-IR"/>
        </w:rPr>
        <w:t>Price forecasts for WA and the NT are unavailable. As a result, we rely on the NEM average price index for these regions.</w:t>
      </w:r>
    </w:p>
    <w:p w14:paraId="30C3CB64" w14:textId="7D3763A6" w:rsidR="009B4D09" w:rsidRPr="00B779B1" w:rsidRDefault="009B4D09" w:rsidP="009B4D09">
      <w:pPr>
        <w:pStyle w:val="Caption"/>
      </w:pPr>
      <w:r w:rsidRPr="00B779B1">
        <w:fldChar w:fldCharType="begin"/>
      </w:r>
      <w:r w:rsidRPr="00B779B1">
        <w:instrText xml:space="preserve"> IF 1 = 1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fldSimple w:instr=" STYLEREF &quot;Heading 1&quot; \l \n ">
        <w:r w:rsidRPr="00B779B1">
          <w:instrText>3</w:instrText>
        </w:r>
      </w:fldSimple>
      <w:r w:rsidRPr="00B779B1">
        <w:instrText xml:space="preserve"> = 0 "" "</w:instrText>
      </w:r>
      <w:fldSimple w:instr=" STYLEREF &quot;Heading 1&quot; \l \n ">
        <w:r w:rsidRPr="00B779B1">
          <w:instrText>3</w:instrText>
        </w:r>
      </w:fldSimple>
      <w:r w:rsidRPr="00B779B1">
        <w:instrText xml:space="preserve">." </w:instrText>
      </w:r>
      <w:r w:rsidRPr="00B779B1">
        <w:fldChar w:fldCharType="separate"/>
      </w:r>
      <w:r w:rsidRPr="00B779B1">
        <w:instrText>3.</w:instrText>
      </w:r>
      <w:r w:rsidRPr="00B779B1">
        <w:fldChar w:fldCharType="end"/>
      </w:r>
      <w:r w:rsidRPr="00B779B1">
        <w:instrText>" "</w:instrText>
      </w:r>
      <w:fldSimple w:instr=" STYLEREF &quot;Heading 6&quot; \l \n ">
        <w:r w:rsidR="00520F9E">
          <w:rPr>
            <w:noProof/>
          </w:rPr>
          <w:instrText>B</w:instrText>
        </w:r>
      </w:fldSimple>
      <w:r w:rsidRPr="00B779B1">
        <w:instrText xml:space="preserve">." </w:instrText>
      </w:r>
      <w:r w:rsidRPr="00B779B1">
        <w:fldChar w:fldCharType="separate"/>
      </w:r>
      <w:r w:rsidR="00520F9E">
        <w:rPr>
          <w:noProof/>
        </w:rPr>
        <w:instrText>B</w:instrText>
      </w:r>
      <w:r w:rsidR="00520F9E" w:rsidRPr="00B779B1">
        <w:rPr>
          <w:noProof/>
        </w:rPr>
        <w:instrText>.</w:instrText>
      </w:r>
      <w:r w:rsidRPr="00B779B1">
        <w:fldChar w:fldCharType="end"/>
      </w:r>
      <w:r w:rsidRPr="00B779B1">
        <w:fldChar w:fldCharType="begin"/>
      </w:r>
      <w:r w:rsidRPr="00B779B1">
        <w:instrText xml:space="preserve"> SEQ Item \* ARABIC \s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fldSimple w:instr=" STYLEREF &quot;Heading 1&quot; \l \n ">
        <w:r w:rsidRPr="00B779B1">
          <w:instrText>3</w:instrText>
        </w:r>
      </w:fldSimple>
      <w:r w:rsidRPr="00B779B1">
        <w:instrText xml:space="preserve"> = 0 "" "1" </w:instrText>
      </w:r>
      <w:r w:rsidRPr="00B779B1">
        <w:fldChar w:fldCharType="separate"/>
      </w:r>
      <w:r w:rsidRPr="00B779B1">
        <w:instrText>1</w:instrText>
      </w:r>
      <w:r w:rsidRPr="00B779B1">
        <w:fldChar w:fldCharType="end"/>
      </w:r>
      <w:r w:rsidRPr="00B779B1">
        <w:instrText xml:space="preserve">" "6" </w:instrText>
      </w:r>
      <w:r w:rsidRPr="00B779B1">
        <w:fldChar w:fldCharType="separate"/>
      </w:r>
      <w:r w:rsidR="00520F9E" w:rsidRPr="00B779B1">
        <w:rPr>
          <w:noProof/>
        </w:rPr>
        <w:instrText>6</w:instrText>
      </w:r>
      <w:r w:rsidRPr="00B779B1">
        <w:fldChar w:fldCharType="end"/>
      </w:r>
      <w:r w:rsidRPr="00B779B1">
        <w:instrText xml:space="preserve"> </w:instrText>
      </w:r>
      <w:r w:rsidRPr="00B779B1">
        <w:fldChar w:fldCharType="separate"/>
      </w:r>
      <w:r w:rsidR="00520F9E">
        <w:rPr>
          <w:noProof/>
        </w:rPr>
        <w:instrText>16</w:instrText>
      </w:r>
      <w:r w:rsidRPr="00B779B1">
        <w:fldChar w:fldCharType="end"/>
      </w:r>
      <w:r w:rsidRPr="00B779B1">
        <w:instrText xml:space="preserve">" "" </w:instrText>
      </w:r>
      <w:r w:rsidRPr="00B779B1">
        <w:fldChar w:fldCharType="separate"/>
      </w:r>
      <w:bookmarkStart w:id="7574" w:name="_Caption5995"/>
      <w:bookmarkStart w:id="7575" w:name="_Caption1029"/>
      <w:bookmarkStart w:id="7576" w:name="_Caption8213"/>
      <w:bookmarkStart w:id="7577" w:name="_Caption0927"/>
      <w:bookmarkStart w:id="7578" w:name="_Caption0808"/>
      <w:bookmarkStart w:id="7579" w:name="_Caption2164"/>
      <w:bookmarkStart w:id="7580" w:name="_Caption7928"/>
      <w:bookmarkStart w:id="7581" w:name="_Caption9384"/>
      <w:bookmarkStart w:id="7582" w:name="_Caption9891"/>
      <w:bookmarkStart w:id="7583" w:name="_Caption0706"/>
      <w:bookmarkStart w:id="7584" w:name="_Caption0309"/>
      <w:bookmarkStart w:id="7585" w:name="_Caption5166"/>
      <w:bookmarkStart w:id="7586" w:name="_Caption8689"/>
      <w:bookmarkStart w:id="7587" w:name="_Caption4923"/>
      <w:bookmarkStart w:id="7588" w:name="_Caption4536"/>
      <w:bookmarkStart w:id="7589" w:name="_Caption3585"/>
      <w:bookmarkStart w:id="7590" w:name="_Caption0416"/>
      <w:bookmarkStart w:id="7591" w:name="_Caption3525"/>
      <w:bookmarkStart w:id="7592" w:name="_Caption9843"/>
      <w:bookmarkStart w:id="7593" w:name="_Caption5078"/>
      <w:bookmarkStart w:id="7594" w:name="_Caption4215"/>
      <w:bookmarkStart w:id="7595" w:name="_Caption3742"/>
      <w:bookmarkStart w:id="7596" w:name="_Caption4699"/>
      <w:bookmarkStart w:id="7597" w:name="_Caption0760"/>
      <w:bookmarkStart w:id="7598" w:name="_Caption9141"/>
      <w:bookmarkStart w:id="7599" w:name="_Caption1877"/>
      <w:bookmarkStart w:id="7600" w:name="_Caption0586"/>
      <w:bookmarkStart w:id="7601" w:name="_Caption8219"/>
      <w:bookmarkStart w:id="7602" w:name="_Caption4018"/>
      <w:bookmarkStart w:id="7603" w:name="_Caption9484"/>
      <w:bookmarkStart w:id="7604" w:name="_Caption9798"/>
      <w:bookmarkStart w:id="7605" w:name="_Caption4886"/>
      <w:bookmarkStart w:id="7606" w:name="_Caption0900"/>
      <w:bookmarkStart w:id="7607" w:name="_Caption6842"/>
      <w:bookmarkStart w:id="7608" w:name="_Caption0192"/>
      <w:bookmarkStart w:id="7609" w:name="_Caption8055"/>
      <w:bookmarkStart w:id="7610" w:name="_Caption0256"/>
      <w:bookmarkStart w:id="7611" w:name="_Caption1078"/>
      <w:bookmarkStart w:id="7612" w:name="_Caption4717"/>
      <w:bookmarkStart w:id="7613" w:name="_Caption5124"/>
      <w:bookmarkStart w:id="7614" w:name="_Caption0346"/>
      <w:bookmarkStart w:id="7615" w:name="_Caption4854"/>
      <w:bookmarkStart w:id="7616" w:name="_Caption2246"/>
      <w:bookmarkStart w:id="7617" w:name="_Caption3549"/>
      <w:bookmarkStart w:id="7618" w:name="_Caption4291"/>
      <w:bookmarkStart w:id="7619" w:name="_Caption1672"/>
      <w:bookmarkStart w:id="7620" w:name="_Caption6373"/>
      <w:bookmarkStart w:id="7621" w:name="_Caption8710"/>
      <w:bookmarkStart w:id="7622" w:name="_Caption3957"/>
      <w:bookmarkStart w:id="7623" w:name="_Caption8476"/>
      <w:bookmarkStart w:id="7624" w:name="_Caption8013"/>
      <w:bookmarkStart w:id="7625" w:name="_Caption8206"/>
      <w:bookmarkStart w:id="7626" w:name="_Caption5230"/>
      <w:bookmarkStart w:id="7627" w:name="_Caption9576"/>
      <w:bookmarkStart w:id="7628" w:name="_Caption7510"/>
      <w:bookmarkStart w:id="7629" w:name="_Caption6648"/>
      <w:bookmarkStart w:id="7630" w:name="_Caption9503"/>
      <w:bookmarkStart w:id="7631" w:name="_Caption4263"/>
      <w:bookmarkStart w:id="7632" w:name="_Caption7475"/>
      <w:bookmarkStart w:id="7633" w:name="_Caption7229"/>
      <w:bookmarkStart w:id="7634" w:name="_Caption9587"/>
      <w:bookmarkStart w:id="7635" w:name="_Caption5211"/>
      <w:bookmarkStart w:id="7636" w:name="_Caption6826"/>
      <w:bookmarkStart w:id="7637" w:name="_Caption2425"/>
      <w:bookmarkStart w:id="7638" w:name="_Caption5193"/>
      <w:bookmarkStart w:id="7639" w:name="_Caption8153"/>
      <w:bookmarkStart w:id="7640" w:name="_Caption4745"/>
      <w:bookmarkStart w:id="7641" w:name="_Caption1628"/>
      <w:bookmarkStart w:id="7642" w:name="_Caption9012"/>
      <w:bookmarkStart w:id="7643" w:name="_Caption2881"/>
      <w:bookmarkStart w:id="7644" w:name="_Caption7180"/>
      <w:bookmarkStart w:id="7645" w:name="_Caption5981"/>
      <w:bookmarkStart w:id="7646" w:name="_Caption2714"/>
      <w:bookmarkStart w:id="7647" w:name="_Caption3640"/>
      <w:bookmarkStart w:id="7648" w:name="_Caption7723"/>
      <w:bookmarkStart w:id="7649" w:name="_Caption0338"/>
      <w:bookmarkStart w:id="7650" w:name="_Caption8820"/>
      <w:bookmarkStart w:id="7651" w:name="_Caption3875"/>
      <w:bookmarkStart w:id="7652" w:name="_Caption8891"/>
      <w:bookmarkStart w:id="7653" w:name="_Caption1874"/>
      <w:bookmarkStart w:id="7654" w:name="_Caption7197"/>
      <w:bookmarkStart w:id="7655" w:name="_Caption9093"/>
      <w:bookmarkStart w:id="7656" w:name="_Caption7730"/>
      <w:bookmarkStart w:id="7657" w:name="_Caption9764"/>
      <w:bookmarkStart w:id="7658" w:name="_Caption3968"/>
      <w:bookmarkStart w:id="7659" w:name="_Caption4861"/>
      <w:bookmarkStart w:id="7660" w:name="_Caption7551"/>
      <w:bookmarkStart w:id="7661" w:name="_Caption9216"/>
      <w:bookmarkStart w:id="7662" w:name="_Caption6702"/>
      <w:bookmarkStart w:id="7663" w:name="_Caption4016"/>
      <w:bookmarkStart w:id="7664" w:name="_Caption5069"/>
      <w:bookmarkStart w:id="7665" w:name="_Caption0724"/>
      <w:bookmarkStart w:id="7666" w:name="_Caption7597"/>
      <w:bookmarkStart w:id="7667" w:name="_Caption3998"/>
      <w:bookmarkStart w:id="7668" w:name="_Caption1255"/>
      <w:bookmarkStart w:id="7669" w:name="_Caption9416"/>
      <w:bookmarkStart w:id="7670" w:name="_Caption1202"/>
      <w:bookmarkStart w:id="7671" w:name="_Caption3104"/>
      <w:bookmarkStart w:id="7672" w:name="_Caption6604"/>
      <w:bookmarkStart w:id="7673" w:name="_Caption6664"/>
      <w:bookmarkStart w:id="7674" w:name="_Caption3924"/>
      <w:bookmarkStart w:id="7675" w:name="_Caption6201"/>
      <w:bookmarkStart w:id="7676" w:name="_Caption4305"/>
      <w:bookmarkStart w:id="7677" w:name="_Caption9883"/>
      <w:bookmarkStart w:id="7678" w:name="_Caption1755"/>
      <w:bookmarkStart w:id="7679" w:name="_Caption4753"/>
      <w:bookmarkStart w:id="7680" w:name="_Caption3431"/>
      <w:bookmarkStart w:id="7681" w:name="_Caption9363"/>
      <w:bookmarkStart w:id="7682" w:name="_Caption3412"/>
      <w:bookmarkStart w:id="7683" w:name="_Caption0339"/>
      <w:bookmarkStart w:id="7684" w:name="_Caption0378"/>
      <w:bookmarkStart w:id="7685" w:name="_Caption1239"/>
      <w:bookmarkStart w:id="7686" w:name="_Caption2179"/>
      <w:bookmarkStart w:id="7687" w:name="_Caption9681"/>
      <w:bookmarkStart w:id="7688" w:name="_Caption7667"/>
      <w:bookmarkStart w:id="7689" w:name="_Caption0916"/>
      <w:bookmarkStart w:id="7690" w:name="_Caption9465"/>
      <w:bookmarkStart w:id="7691" w:name="_Caption4361"/>
      <w:bookmarkStart w:id="7692" w:name="_Caption3745"/>
      <w:bookmarkStart w:id="7693" w:name="_Caption8149"/>
      <w:bookmarkStart w:id="7694" w:name="_Caption0648"/>
      <w:bookmarkStart w:id="7695" w:name="_Caption9499"/>
      <w:bookmarkStart w:id="7696" w:name="_Caption7420"/>
      <w:bookmarkStart w:id="7697" w:name="_Caption4288"/>
      <w:bookmarkStart w:id="7698" w:name="_Caption0442"/>
      <w:bookmarkStart w:id="7699" w:name="_Caption8285"/>
      <w:bookmarkStart w:id="7700" w:name="_Caption9109"/>
      <w:bookmarkStart w:id="7701" w:name="_Caption0102"/>
      <w:bookmarkStart w:id="7702" w:name="_Caption6615"/>
      <w:bookmarkStart w:id="7703" w:name="_Caption7231"/>
      <w:bookmarkStart w:id="7704" w:name="_Caption5443"/>
      <w:bookmarkStart w:id="7705" w:name="_Caption3593"/>
      <w:bookmarkStart w:id="7706" w:name="_Caption3418"/>
      <w:bookmarkStart w:id="7707" w:name="_Caption5733"/>
      <w:bookmarkStart w:id="7708" w:name="_Caption2193"/>
      <w:bookmarkStart w:id="7709" w:name="_Caption1595"/>
      <w:bookmarkStart w:id="7710" w:name="_Caption7299"/>
      <w:bookmarkStart w:id="7711" w:name="_Caption9050"/>
      <w:bookmarkStart w:id="7712" w:name="_Caption2384"/>
      <w:bookmarkStart w:id="7713" w:name="_Caption0515"/>
      <w:bookmarkStart w:id="7714" w:name="_Caption1170"/>
      <w:bookmarkStart w:id="7715" w:name="_Caption4464"/>
      <w:bookmarkStart w:id="7716" w:name="_Toc136527076"/>
      <w:bookmarkStart w:id="7717" w:name="_Toc149060093"/>
      <w:bookmarkStart w:id="7718" w:name="_Toc177735221"/>
      <w:bookmarkStart w:id="7719" w:name="_Toc178292658"/>
      <w:r w:rsidR="008C60A3">
        <w:rPr>
          <w:noProof/>
        </w:rPr>
        <w:t>B</w:t>
      </w:r>
      <w:r w:rsidR="008C60A3" w:rsidRPr="00B779B1">
        <w:rPr>
          <w:noProof/>
        </w:rPr>
        <w:t>.</w:t>
      </w:r>
      <w:r w:rsidR="008C60A3">
        <w:rPr>
          <w:noProof/>
        </w:rPr>
        <w:t>16</w:t>
      </w:r>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r w:rsidRPr="00B779B1">
        <w:fldChar w:fldCharType="end"/>
      </w:r>
      <w:r w:rsidRPr="00B779B1">
        <w:tab/>
        <w:t>Electricity price index for commercial customers under Step Change scenario</w:t>
      </w:r>
      <w:bookmarkEnd w:id="7716"/>
      <w:bookmarkEnd w:id="7717"/>
      <w:bookmarkEnd w:id="7718"/>
      <w:bookmarkEnd w:id="7719"/>
    </w:p>
    <w:p w14:paraId="625E862E" w14:textId="77777777" w:rsidR="009B4D09" w:rsidRPr="00A55EF4" w:rsidRDefault="009B4D09" w:rsidP="009B4D09">
      <w:pPr>
        <w:pStyle w:val="Subtitlebox"/>
      </w:pPr>
      <w:r w:rsidRPr="008A7F6E">
        <w:rPr>
          <w:noProof/>
        </w:rPr>
        <w:drawing>
          <wp:inline distT="0" distB="0" distL="0" distR="0" wp14:anchorId="70FBD992" wp14:editId="14EF61D6">
            <wp:extent cx="4815840" cy="2499360"/>
            <wp:effectExtent l="76200" t="76200" r="80010" b="72390"/>
            <wp:docPr id="1088364751" name="Picture 1088364751" descr="Chart B.16 - Electricity price index for commercial customers by state under Step Change scen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364751" name="Picture 1088364751" descr="Chart B.16 - Electricity price index for commercial customers by state under Step Change scenario"/>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r="4097"/>
                    <a:stretch/>
                  </pic:blipFill>
                  <pic:spPr bwMode="auto">
                    <a:xfrm>
                      <a:off x="0" y="0"/>
                      <a:ext cx="4815840" cy="249936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5F4E7E28" w14:textId="77777777" w:rsidR="009B4D09" w:rsidRDefault="009B4D09" w:rsidP="009B4D09">
      <w:pPr>
        <w:pStyle w:val="Source"/>
      </w:pPr>
      <w:r>
        <w:rPr>
          <w:i/>
        </w:rPr>
        <w:t>Data source</w:t>
      </w:r>
      <w:r w:rsidRPr="00A67576">
        <w:rPr>
          <w:i/>
        </w:rPr>
        <w:t>:</w:t>
      </w:r>
      <w:r>
        <w:t xml:space="preserve"> AEMO (2022).</w:t>
      </w:r>
    </w:p>
    <w:p w14:paraId="614AB080" w14:textId="15E198D4" w:rsidR="009B4D09" w:rsidRPr="00B779B1" w:rsidRDefault="009B4D09" w:rsidP="009B4D09">
      <w:pPr>
        <w:pStyle w:val="Caption"/>
        <w:ind w:left="568" w:hanging="568"/>
      </w:pPr>
      <w:r w:rsidRPr="00B779B1">
        <w:fldChar w:fldCharType="begin"/>
      </w:r>
      <w:r w:rsidRPr="00B779B1">
        <w:instrText xml:space="preserve"> IF 1 = 1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fldSimple w:instr=" STYLEREF &quot;Heading 1&quot; \l \n ">
        <w:r w:rsidRPr="00B779B1">
          <w:instrText>3</w:instrText>
        </w:r>
      </w:fldSimple>
      <w:r w:rsidRPr="00B779B1">
        <w:instrText xml:space="preserve"> = 0 "" "</w:instrText>
      </w:r>
      <w:fldSimple w:instr=" STYLEREF &quot;Heading 1&quot; \l \n ">
        <w:r w:rsidRPr="00B779B1">
          <w:instrText>3</w:instrText>
        </w:r>
      </w:fldSimple>
      <w:r w:rsidRPr="00B779B1">
        <w:instrText xml:space="preserve">." </w:instrText>
      </w:r>
      <w:r w:rsidRPr="00B779B1">
        <w:fldChar w:fldCharType="separate"/>
      </w:r>
      <w:r w:rsidRPr="00B779B1">
        <w:instrText>3.</w:instrText>
      </w:r>
      <w:r w:rsidRPr="00B779B1">
        <w:fldChar w:fldCharType="end"/>
      </w:r>
      <w:r w:rsidRPr="00B779B1">
        <w:instrText>" "</w:instrText>
      </w:r>
      <w:fldSimple w:instr=" STYLEREF &quot;Heading 6&quot; \l \n ">
        <w:r w:rsidR="00520F9E">
          <w:rPr>
            <w:noProof/>
          </w:rPr>
          <w:instrText>B</w:instrText>
        </w:r>
      </w:fldSimple>
      <w:r w:rsidRPr="00B779B1">
        <w:instrText xml:space="preserve">." </w:instrText>
      </w:r>
      <w:r w:rsidRPr="00B779B1">
        <w:fldChar w:fldCharType="separate"/>
      </w:r>
      <w:r w:rsidR="00520F9E">
        <w:rPr>
          <w:noProof/>
        </w:rPr>
        <w:instrText>B</w:instrText>
      </w:r>
      <w:r w:rsidR="00520F9E" w:rsidRPr="00B779B1">
        <w:rPr>
          <w:noProof/>
        </w:rPr>
        <w:instrText>.</w:instrText>
      </w:r>
      <w:r w:rsidRPr="00B779B1">
        <w:fldChar w:fldCharType="end"/>
      </w:r>
      <w:r w:rsidRPr="00B779B1">
        <w:fldChar w:fldCharType="begin"/>
      </w:r>
      <w:r w:rsidRPr="00B779B1">
        <w:instrText xml:space="preserve"> SEQ Item \* ARABIC \s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fldSimple w:instr=" STYLEREF &quot;Heading 1&quot; \l \n ">
        <w:r w:rsidRPr="00B779B1">
          <w:instrText>3</w:instrText>
        </w:r>
      </w:fldSimple>
      <w:r w:rsidRPr="00B779B1">
        <w:instrText xml:space="preserve"> = 0 "" "1" </w:instrText>
      </w:r>
      <w:r w:rsidRPr="00B779B1">
        <w:fldChar w:fldCharType="separate"/>
      </w:r>
      <w:r w:rsidRPr="00B779B1">
        <w:instrText>1</w:instrText>
      </w:r>
      <w:r w:rsidRPr="00B779B1">
        <w:fldChar w:fldCharType="end"/>
      </w:r>
      <w:r w:rsidRPr="00B779B1">
        <w:instrText xml:space="preserve">" "6" </w:instrText>
      </w:r>
      <w:r w:rsidRPr="00B779B1">
        <w:fldChar w:fldCharType="separate"/>
      </w:r>
      <w:r w:rsidR="00520F9E" w:rsidRPr="00B779B1">
        <w:rPr>
          <w:noProof/>
        </w:rPr>
        <w:instrText>6</w:instrText>
      </w:r>
      <w:r w:rsidRPr="00B779B1">
        <w:fldChar w:fldCharType="end"/>
      </w:r>
      <w:r w:rsidRPr="00B779B1">
        <w:instrText xml:space="preserve"> </w:instrText>
      </w:r>
      <w:r w:rsidRPr="00B779B1">
        <w:fldChar w:fldCharType="separate"/>
      </w:r>
      <w:r w:rsidR="00520F9E">
        <w:rPr>
          <w:noProof/>
        </w:rPr>
        <w:instrText>17</w:instrText>
      </w:r>
      <w:r w:rsidRPr="00B779B1">
        <w:fldChar w:fldCharType="end"/>
      </w:r>
      <w:r w:rsidRPr="00B779B1">
        <w:instrText xml:space="preserve">" "" </w:instrText>
      </w:r>
      <w:r w:rsidRPr="00B779B1">
        <w:fldChar w:fldCharType="separate"/>
      </w:r>
      <w:bookmarkStart w:id="7720" w:name="_Caption2724"/>
      <w:bookmarkStart w:id="7721" w:name="_Caption5342"/>
      <w:bookmarkStart w:id="7722" w:name="_Caption1888"/>
      <w:bookmarkStart w:id="7723" w:name="_Caption7616"/>
      <w:bookmarkStart w:id="7724" w:name="_Caption4320"/>
      <w:bookmarkStart w:id="7725" w:name="_Caption1058"/>
      <w:bookmarkStart w:id="7726" w:name="_Caption7074"/>
      <w:bookmarkStart w:id="7727" w:name="_Caption8316"/>
      <w:bookmarkStart w:id="7728" w:name="_Caption8863"/>
      <w:bookmarkStart w:id="7729" w:name="_Caption8612"/>
      <w:bookmarkStart w:id="7730" w:name="_Caption1897"/>
      <w:bookmarkStart w:id="7731" w:name="_Caption7902"/>
      <w:bookmarkStart w:id="7732" w:name="_Caption9494"/>
      <w:bookmarkStart w:id="7733" w:name="_Caption4602"/>
      <w:bookmarkStart w:id="7734" w:name="_Caption6858"/>
      <w:bookmarkStart w:id="7735" w:name="_Caption6613"/>
      <w:bookmarkStart w:id="7736" w:name="_Caption6810"/>
      <w:bookmarkStart w:id="7737" w:name="_Caption3576"/>
      <w:bookmarkStart w:id="7738" w:name="_Caption2700"/>
      <w:bookmarkStart w:id="7739" w:name="_Caption0444"/>
      <w:bookmarkStart w:id="7740" w:name="_Caption5964"/>
      <w:bookmarkStart w:id="7741" w:name="_Caption0213"/>
      <w:bookmarkStart w:id="7742" w:name="_Caption9436"/>
      <w:bookmarkStart w:id="7743" w:name="_Caption7614"/>
      <w:bookmarkStart w:id="7744" w:name="_Caption3617"/>
      <w:bookmarkStart w:id="7745" w:name="_Caption8672"/>
      <w:bookmarkStart w:id="7746" w:name="_Caption0320"/>
      <w:bookmarkStart w:id="7747" w:name="_Caption7347"/>
      <w:bookmarkStart w:id="7748" w:name="_Caption1588"/>
      <w:bookmarkStart w:id="7749" w:name="_Caption3556"/>
      <w:bookmarkStart w:id="7750" w:name="_Caption8403"/>
      <w:bookmarkStart w:id="7751" w:name="_Caption0766"/>
      <w:bookmarkStart w:id="7752" w:name="_Caption3060"/>
      <w:bookmarkStart w:id="7753" w:name="_Caption8814"/>
      <w:bookmarkStart w:id="7754" w:name="_Caption9977"/>
      <w:bookmarkStart w:id="7755" w:name="_Caption0833"/>
      <w:bookmarkStart w:id="7756" w:name="_Caption5344"/>
      <w:bookmarkStart w:id="7757" w:name="_Caption1924"/>
      <w:bookmarkStart w:id="7758" w:name="_Caption8629"/>
      <w:bookmarkStart w:id="7759" w:name="_Caption7498"/>
      <w:bookmarkStart w:id="7760" w:name="_Caption8914"/>
      <w:bookmarkStart w:id="7761" w:name="_Caption7109"/>
      <w:bookmarkStart w:id="7762" w:name="_Caption1100"/>
      <w:bookmarkStart w:id="7763" w:name="_Caption9580"/>
      <w:bookmarkStart w:id="7764" w:name="_Caption9960"/>
      <w:bookmarkStart w:id="7765" w:name="_Caption7470"/>
      <w:bookmarkStart w:id="7766" w:name="_Caption2050"/>
      <w:bookmarkStart w:id="7767" w:name="_Caption0269"/>
      <w:bookmarkStart w:id="7768" w:name="_Caption7292"/>
      <w:bookmarkStart w:id="7769" w:name="_Caption7217"/>
      <w:bookmarkStart w:id="7770" w:name="_Caption6742"/>
      <w:bookmarkStart w:id="7771" w:name="_Caption7760"/>
      <w:bookmarkStart w:id="7772" w:name="_Caption9381"/>
      <w:bookmarkStart w:id="7773" w:name="_Caption1375"/>
      <w:bookmarkStart w:id="7774" w:name="_Caption3213"/>
      <w:bookmarkStart w:id="7775" w:name="_Caption3634"/>
      <w:bookmarkStart w:id="7776" w:name="_Caption0707"/>
      <w:bookmarkStart w:id="7777" w:name="_Caption1501"/>
      <w:bookmarkStart w:id="7778" w:name="_Caption0123"/>
      <w:bookmarkStart w:id="7779" w:name="_Caption4266"/>
      <w:bookmarkStart w:id="7780" w:name="_Caption7236"/>
      <w:bookmarkStart w:id="7781" w:name="_Caption4884"/>
      <w:bookmarkStart w:id="7782" w:name="_Caption8192"/>
      <w:bookmarkStart w:id="7783" w:name="_Caption6777"/>
      <w:bookmarkStart w:id="7784" w:name="_Caption0462"/>
      <w:bookmarkStart w:id="7785" w:name="_Caption1502"/>
      <w:bookmarkStart w:id="7786" w:name="_Toc136527077"/>
      <w:bookmarkStart w:id="7787" w:name="_Toc149060094"/>
      <w:bookmarkStart w:id="7788" w:name="_Toc177735222"/>
      <w:bookmarkStart w:id="7789" w:name="_Toc178292659"/>
      <w:r w:rsidR="008C60A3">
        <w:rPr>
          <w:noProof/>
        </w:rPr>
        <w:t>B</w:t>
      </w:r>
      <w:r w:rsidR="008C60A3" w:rsidRPr="00B779B1">
        <w:rPr>
          <w:noProof/>
        </w:rPr>
        <w:t>.</w:t>
      </w:r>
      <w:r w:rsidR="008C60A3">
        <w:rPr>
          <w:noProof/>
        </w:rPr>
        <w:t>17</w:t>
      </w:r>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r w:rsidRPr="00B779B1">
        <w:fldChar w:fldCharType="end"/>
      </w:r>
      <w:r w:rsidRPr="00B779B1">
        <w:tab/>
        <w:t>Gas delivered price for residential and commercial customers under Step Change scenario</w:t>
      </w:r>
      <w:bookmarkEnd w:id="7786"/>
      <w:bookmarkEnd w:id="7787"/>
      <w:bookmarkEnd w:id="7788"/>
      <w:bookmarkEnd w:id="7789"/>
    </w:p>
    <w:p w14:paraId="096214E4" w14:textId="77777777" w:rsidR="009B4D09" w:rsidRPr="00A55EF4" w:rsidRDefault="009B4D09" w:rsidP="009B4D09">
      <w:pPr>
        <w:pStyle w:val="Subtitlebox"/>
      </w:pPr>
      <w:r w:rsidRPr="00C8224C">
        <w:rPr>
          <w:noProof/>
        </w:rPr>
        <w:drawing>
          <wp:inline distT="0" distB="0" distL="0" distR="0" wp14:anchorId="30C3D2B7" wp14:editId="1640422A">
            <wp:extent cx="4853940" cy="2499360"/>
            <wp:effectExtent l="76200" t="76200" r="80010" b="72390"/>
            <wp:docPr id="1790310473" name="Picture 1790310473" descr="Chart B.17 - Gas delivered price for residential and commercial customers by city under Step Change scen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310473" name="Picture 1790310473" descr="Chart B.17 - Gas delivered price for residential and commercial customers by city under Step Change scenario"/>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r="3339"/>
                    <a:stretch/>
                  </pic:blipFill>
                  <pic:spPr bwMode="auto">
                    <a:xfrm>
                      <a:off x="0" y="0"/>
                      <a:ext cx="4853940" cy="249936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12C82202" w14:textId="77777777" w:rsidR="009B4D09" w:rsidRDefault="009B4D09" w:rsidP="009B4D09">
      <w:pPr>
        <w:pStyle w:val="Source"/>
      </w:pPr>
      <w:r>
        <w:rPr>
          <w:i/>
        </w:rPr>
        <w:t>Data source</w:t>
      </w:r>
      <w:r w:rsidRPr="00A67576">
        <w:rPr>
          <w:i/>
        </w:rPr>
        <w:t>:</w:t>
      </w:r>
      <w:r>
        <w:t xml:space="preserve"> LGA (2022).</w:t>
      </w:r>
    </w:p>
    <w:p w14:paraId="22CD5C87" w14:textId="790BC07E" w:rsidR="009B4D09" w:rsidRDefault="009B4D09" w:rsidP="009B4D09">
      <w:pPr>
        <w:pStyle w:val="BodyText"/>
        <w:rPr>
          <w:lang w:bidi="fa-IR"/>
        </w:rPr>
      </w:pPr>
      <w:r>
        <w:rPr>
          <w:lang w:bidi="fa-IR"/>
        </w:rPr>
        <w:t xml:space="preserve">We use these indexes or price forecasts as a basis for forecasting future energy prices. </w:t>
      </w:r>
      <w:r>
        <w:rPr>
          <w:lang w:eastAsia="en-US"/>
        </w:rPr>
        <w:t xml:space="preserve">Charts </w:t>
      </w:r>
      <w:r>
        <w:rPr>
          <w:lang w:eastAsia="en-US"/>
        </w:rPr>
        <w:fldChar w:fldCharType="begin"/>
      </w:r>
      <w:r>
        <w:rPr>
          <w:lang w:eastAsia="en-US"/>
        </w:rPr>
        <w:instrText xml:space="preserve"> REF _Caption2463 </w:instrText>
      </w:r>
      <w:r>
        <w:rPr>
          <w:lang w:eastAsia="en-US"/>
        </w:rPr>
        <w:fldChar w:fldCharType="separate"/>
      </w:r>
      <w:r w:rsidR="0096258B">
        <w:rPr>
          <w:noProof/>
        </w:rPr>
        <w:t>B</w:t>
      </w:r>
      <w:r w:rsidR="0096258B" w:rsidRPr="00B779B1">
        <w:rPr>
          <w:noProof/>
        </w:rPr>
        <w:t>.</w:t>
      </w:r>
      <w:r w:rsidR="0096258B">
        <w:rPr>
          <w:noProof/>
        </w:rPr>
        <w:t>18</w:t>
      </w:r>
      <w:r>
        <w:rPr>
          <w:lang w:eastAsia="en-US"/>
        </w:rPr>
        <w:fldChar w:fldCharType="end"/>
      </w:r>
      <w:r>
        <w:rPr>
          <w:lang w:eastAsia="en-US"/>
        </w:rPr>
        <w:t xml:space="preserve"> to </w:t>
      </w:r>
      <w:r>
        <w:rPr>
          <w:lang w:eastAsia="en-US"/>
        </w:rPr>
        <w:fldChar w:fldCharType="begin"/>
      </w:r>
      <w:r>
        <w:rPr>
          <w:lang w:eastAsia="en-US"/>
        </w:rPr>
        <w:instrText xml:space="preserve"> REF _Caption8124 </w:instrText>
      </w:r>
      <w:r>
        <w:rPr>
          <w:lang w:eastAsia="en-US"/>
        </w:rPr>
        <w:fldChar w:fldCharType="separate"/>
      </w:r>
      <w:r w:rsidR="0096258B">
        <w:rPr>
          <w:noProof/>
        </w:rPr>
        <w:t>B</w:t>
      </w:r>
      <w:r w:rsidR="0096258B" w:rsidRPr="00B779B1">
        <w:rPr>
          <w:noProof/>
        </w:rPr>
        <w:t>.</w:t>
      </w:r>
      <w:r w:rsidR="0096258B">
        <w:rPr>
          <w:noProof/>
        </w:rPr>
        <w:t>20</w:t>
      </w:r>
      <w:r>
        <w:rPr>
          <w:lang w:eastAsia="en-US"/>
        </w:rPr>
        <w:fldChar w:fldCharType="end"/>
      </w:r>
      <w:r>
        <w:rPr>
          <w:lang w:eastAsia="en-US"/>
        </w:rPr>
        <w:t xml:space="preserve"> illustrate the national average price series up to 2054.</w:t>
      </w:r>
    </w:p>
    <w:p w14:paraId="3B636A8E" w14:textId="77777777" w:rsidR="009B4D09" w:rsidRDefault="009B4D09" w:rsidP="009B4D09">
      <w:pPr>
        <w:pStyle w:val="BodyText"/>
        <w:rPr>
          <w:lang w:eastAsia="en-US"/>
        </w:rPr>
      </w:pPr>
      <w:r>
        <w:rPr>
          <w:lang w:eastAsia="en-US"/>
        </w:rPr>
        <w:t>In the CBA modelling for the RIS, we apply the projected change in the retail price for each jurisdiction across all the relevant components.</w:t>
      </w:r>
    </w:p>
    <w:p w14:paraId="6FFB964F" w14:textId="103E95B2" w:rsidR="009B4D09" w:rsidRPr="00B779B1" w:rsidRDefault="009B4D09" w:rsidP="009B4D09">
      <w:pPr>
        <w:pStyle w:val="Caption"/>
      </w:pPr>
      <w:r w:rsidRPr="00B779B1">
        <w:fldChar w:fldCharType="begin"/>
      </w:r>
      <w:r w:rsidRPr="00B779B1">
        <w:instrText xml:space="preserve"> IF 1 = 1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fldSimple w:instr=" STYLEREF &quot;Heading 1&quot; \l \n ">
        <w:r w:rsidRPr="00B779B1">
          <w:instrText>3</w:instrText>
        </w:r>
      </w:fldSimple>
      <w:r w:rsidRPr="00B779B1">
        <w:instrText xml:space="preserve"> = 0 "" "</w:instrText>
      </w:r>
      <w:fldSimple w:instr=" STYLEREF &quot;Heading 1&quot; \l \n ">
        <w:r w:rsidRPr="00B779B1">
          <w:instrText>3</w:instrText>
        </w:r>
      </w:fldSimple>
      <w:r w:rsidRPr="00B779B1">
        <w:instrText xml:space="preserve">." </w:instrText>
      </w:r>
      <w:r w:rsidRPr="00B779B1">
        <w:fldChar w:fldCharType="separate"/>
      </w:r>
      <w:r w:rsidRPr="00B779B1">
        <w:instrText>3.</w:instrText>
      </w:r>
      <w:r w:rsidRPr="00B779B1">
        <w:fldChar w:fldCharType="end"/>
      </w:r>
      <w:r w:rsidRPr="00B779B1">
        <w:instrText>" "</w:instrText>
      </w:r>
      <w:fldSimple w:instr=" STYLEREF &quot;Heading 6&quot; \l \n ">
        <w:r w:rsidR="00520F9E">
          <w:rPr>
            <w:noProof/>
          </w:rPr>
          <w:instrText>B</w:instrText>
        </w:r>
      </w:fldSimple>
      <w:r w:rsidRPr="00B779B1">
        <w:instrText xml:space="preserve">." </w:instrText>
      </w:r>
      <w:r w:rsidRPr="00B779B1">
        <w:fldChar w:fldCharType="separate"/>
      </w:r>
      <w:r w:rsidR="00520F9E">
        <w:rPr>
          <w:noProof/>
        </w:rPr>
        <w:instrText>B</w:instrText>
      </w:r>
      <w:r w:rsidR="00520F9E" w:rsidRPr="00B779B1">
        <w:rPr>
          <w:noProof/>
        </w:rPr>
        <w:instrText>.</w:instrText>
      </w:r>
      <w:r w:rsidRPr="00B779B1">
        <w:fldChar w:fldCharType="end"/>
      </w:r>
      <w:r w:rsidRPr="00B779B1">
        <w:fldChar w:fldCharType="begin"/>
      </w:r>
      <w:r w:rsidRPr="00B779B1">
        <w:instrText xml:space="preserve"> SEQ Item \* ARABIC \s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fldSimple w:instr=" STYLEREF &quot;Heading 1&quot; \l \n ">
        <w:r w:rsidRPr="00B779B1">
          <w:instrText>3</w:instrText>
        </w:r>
      </w:fldSimple>
      <w:r w:rsidRPr="00B779B1">
        <w:instrText xml:space="preserve"> = 0 "" "1" </w:instrText>
      </w:r>
      <w:r w:rsidRPr="00B779B1">
        <w:fldChar w:fldCharType="separate"/>
      </w:r>
      <w:r w:rsidRPr="00B779B1">
        <w:instrText>1</w:instrText>
      </w:r>
      <w:r w:rsidRPr="00B779B1">
        <w:fldChar w:fldCharType="end"/>
      </w:r>
      <w:r w:rsidRPr="00B779B1">
        <w:instrText xml:space="preserve">" "6" </w:instrText>
      </w:r>
      <w:r w:rsidRPr="00B779B1">
        <w:fldChar w:fldCharType="separate"/>
      </w:r>
      <w:r w:rsidR="00520F9E" w:rsidRPr="00B779B1">
        <w:rPr>
          <w:noProof/>
        </w:rPr>
        <w:instrText>6</w:instrText>
      </w:r>
      <w:r w:rsidRPr="00B779B1">
        <w:fldChar w:fldCharType="end"/>
      </w:r>
      <w:r w:rsidRPr="00B779B1">
        <w:instrText xml:space="preserve"> </w:instrText>
      </w:r>
      <w:r w:rsidRPr="00B779B1">
        <w:fldChar w:fldCharType="separate"/>
      </w:r>
      <w:r w:rsidR="00520F9E">
        <w:rPr>
          <w:noProof/>
        </w:rPr>
        <w:instrText>18</w:instrText>
      </w:r>
      <w:r w:rsidRPr="00B779B1">
        <w:fldChar w:fldCharType="end"/>
      </w:r>
      <w:r w:rsidRPr="00B779B1">
        <w:instrText xml:space="preserve">" "" </w:instrText>
      </w:r>
      <w:r w:rsidRPr="00B779B1">
        <w:fldChar w:fldCharType="separate"/>
      </w:r>
      <w:bookmarkStart w:id="7790" w:name="_Caption4459"/>
      <w:bookmarkStart w:id="7791" w:name="_Caption8399"/>
      <w:bookmarkStart w:id="7792" w:name="_Caption3424"/>
      <w:bookmarkStart w:id="7793" w:name="_Caption2463"/>
      <w:bookmarkStart w:id="7794" w:name="_Caption2144"/>
      <w:bookmarkStart w:id="7795" w:name="_Caption4675"/>
      <w:bookmarkStart w:id="7796" w:name="_Caption9678"/>
      <w:bookmarkStart w:id="7797" w:name="_Caption4618"/>
      <w:bookmarkStart w:id="7798" w:name="_Caption7795"/>
      <w:bookmarkStart w:id="7799" w:name="_Caption3312"/>
      <w:bookmarkStart w:id="7800" w:name="_Caption6703"/>
      <w:bookmarkStart w:id="7801" w:name="_Caption6582"/>
      <w:bookmarkStart w:id="7802" w:name="_Caption8264"/>
      <w:bookmarkStart w:id="7803" w:name="_Caption2680"/>
      <w:bookmarkStart w:id="7804" w:name="_Caption5871"/>
      <w:bookmarkStart w:id="7805" w:name="_Caption9350"/>
      <w:bookmarkStart w:id="7806" w:name="_Caption3451"/>
      <w:bookmarkStart w:id="7807" w:name="_Caption1378"/>
      <w:bookmarkStart w:id="7808" w:name="_Caption7300"/>
      <w:bookmarkStart w:id="7809" w:name="_Caption3190"/>
      <w:bookmarkStart w:id="7810" w:name="_Caption7305"/>
      <w:bookmarkStart w:id="7811" w:name="_Caption2957"/>
      <w:bookmarkStart w:id="7812" w:name="_Caption2440"/>
      <w:bookmarkStart w:id="7813" w:name="_Caption0191"/>
      <w:bookmarkStart w:id="7814" w:name="_Caption0120"/>
      <w:bookmarkStart w:id="7815" w:name="_Caption6806"/>
      <w:bookmarkStart w:id="7816" w:name="_Caption1433"/>
      <w:bookmarkStart w:id="7817" w:name="_Caption0733"/>
      <w:bookmarkStart w:id="7818" w:name="_Caption1671"/>
      <w:bookmarkStart w:id="7819" w:name="_Caption1850"/>
      <w:bookmarkStart w:id="7820" w:name="_Caption7262"/>
      <w:bookmarkStart w:id="7821" w:name="_Caption4611"/>
      <w:bookmarkStart w:id="7822" w:name="_Caption6995"/>
      <w:bookmarkStart w:id="7823" w:name="_Caption1674"/>
      <w:bookmarkStart w:id="7824" w:name="_Caption2643"/>
      <w:bookmarkStart w:id="7825" w:name="_Caption6034"/>
      <w:bookmarkStart w:id="7826" w:name="_Caption9284"/>
      <w:bookmarkStart w:id="7827" w:name="_Caption1407"/>
      <w:bookmarkStart w:id="7828" w:name="_Caption4449"/>
      <w:bookmarkStart w:id="7829" w:name="_Caption2967"/>
      <w:bookmarkStart w:id="7830" w:name="_Caption1621"/>
      <w:bookmarkStart w:id="7831" w:name="_Caption6132"/>
      <w:bookmarkStart w:id="7832" w:name="_Caption9689"/>
      <w:bookmarkStart w:id="7833" w:name="_Caption6994"/>
      <w:bookmarkStart w:id="7834" w:name="_Caption0040"/>
      <w:bookmarkStart w:id="7835" w:name="_Caption6323"/>
      <w:bookmarkStart w:id="7836" w:name="_Caption7912"/>
      <w:bookmarkStart w:id="7837" w:name="_Caption1408"/>
      <w:bookmarkStart w:id="7838" w:name="_Caption9151"/>
      <w:bookmarkStart w:id="7839" w:name="_Caption3746"/>
      <w:bookmarkStart w:id="7840" w:name="_Caption2457"/>
      <w:bookmarkStart w:id="7841" w:name="_Caption2637"/>
      <w:bookmarkStart w:id="7842" w:name="_Caption3066"/>
      <w:bookmarkStart w:id="7843" w:name="_Caption8139"/>
      <w:bookmarkStart w:id="7844" w:name="_Caption3113"/>
      <w:bookmarkStart w:id="7845" w:name="_Caption6117"/>
      <w:bookmarkStart w:id="7846" w:name="_Caption9240"/>
      <w:bookmarkStart w:id="7847" w:name="_Caption9478"/>
      <w:bookmarkStart w:id="7848" w:name="_Caption7333"/>
      <w:bookmarkStart w:id="7849" w:name="_Caption2077"/>
      <w:bookmarkStart w:id="7850" w:name="_Caption7298"/>
      <w:bookmarkStart w:id="7851" w:name="_Caption1852"/>
      <w:bookmarkStart w:id="7852" w:name="_Caption5796"/>
      <w:bookmarkStart w:id="7853" w:name="_Caption1495"/>
      <w:bookmarkStart w:id="7854" w:name="_Caption2742"/>
      <w:bookmarkStart w:id="7855" w:name="_Caption9803"/>
      <w:bookmarkStart w:id="7856" w:name="_Caption4023"/>
      <w:bookmarkStart w:id="7857" w:name="_Caption7516"/>
      <w:bookmarkStart w:id="7858" w:name="_Caption6100"/>
      <w:bookmarkStart w:id="7859" w:name="_Caption6763"/>
      <w:bookmarkStart w:id="7860" w:name="_Caption8420"/>
      <w:bookmarkStart w:id="7861" w:name="_Caption9501"/>
      <w:bookmarkStart w:id="7862" w:name="_Caption1020"/>
      <w:bookmarkStart w:id="7863" w:name="_Toc136527078"/>
      <w:bookmarkStart w:id="7864" w:name="_Toc149060095"/>
      <w:bookmarkStart w:id="7865" w:name="_Toc177735223"/>
      <w:bookmarkStart w:id="7866" w:name="_Toc178292660"/>
      <w:r w:rsidR="008C60A3">
        <w:rPr>
          <w:noProof/>
        </w:rPr>
        <w:t>B</w:t>
      </w:r>
      <w:r w:rsidR="008C60A3" w:rsidRPr="00B779B1">
        <w:rPr>
          <w:noProof/>
        </w:rPr>
        <w:t>.</w:t>
      </w:r>
      <w:r w:rsidR="008C60A3">
        <w:rPr>
          <w:noProof/>
        </w:rPr>
        <w:t>18</w:t>
      </w:r>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r w:rsidRPr="00B779B1">
        <w:fldChar w:fldCharType="end"/>
      </w:r>
      <w:r w:rsidRPr="00B779B1">
        <w:tab/>
        <w:t>Electricity consumption tariff forecast</w:t>
      </w:r>
      <w:bookmarkEnd w:id="7863"/>
      <w:bookmarkEnd w:id="7864"/>
      <w:bookmarkEnd w:id="7865"/>
      <w:bookmarkEnd w:id="7866"/>
    </w:p>
    <w:p w14:paraId="21C254E7" w14:textId="77777777" w:rsidR="009B4D09" w:rsidRPr="00A55EF4" w:rsidRDefault="009B4D09" w:rsidP="009B4D09">
      <w:pPr>
        <w:pStyle w:val="Subtitlebox"/>
      </w:pPr>
      <w:r w:rsidRPr="00D90F73">
        <w:rPr>
          <w:noProof/>
        </w:rPr>
        <w:drawing>
          <wp:inline distT="0" distB="0" distL="0" distR="0" wp14:anchorId="7CFC8A8D" wp14:editId="71052078">
            <wp:extent cx="4732020" cy="2531745"/>
            <wp:effectExtent l="76200" t="76200" r="68580" b="78105"/>
            <wp:docPr id="1204603608" name="Picture 1204603608" descr="Chart B.18 - Electricity consumption tariff forec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603608" name="Picture 1204603608" descr="Chart B.18 - Electricity consumption tariff forecast"/>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r="3820"/>
                    <a:stretch/>
                  </pic:blipFill>
                  <pic:spPr bwMode="auto">
                    <a:xfrm>
                      <a:off x="0" y="0"/>
                      <a:ext cx="4732020" cy="2531745"/>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373FF3AA" w14:textId="77777777" w:rsidR="009B4D09" w:rsidRDefault="009B4D09" w:rsidP="009B4D09">
      <w:pPr>
        <w:pStyle w:val="Source"/>
      </w:pPr>
      <w:r>
        <w:rPr>
          <w:i/>
        </w:rPr>
        <w:t>Data source</w:t>
      </w:r>
      <w:r w:rsidRPr="00A67576">
        <w:rPr>
          <w:i/>
        </w:rPr>
        <w:t>:</w:t>
      </w:r>
      <w:r>
        <w:t xml:space="preserve"> CIE estimates.</w:t>
      </w:r>
    </w:p>
    <w:p w14:paraId="2B73A11E" w14:textId="0E0A473D" w:rsidR="009B4D09" w:rsidRPr="00B779B1" w:rsidRDefault="009B4D09" w:rsidP="009B4D09">
      <w:pPr>
        <w:pStyle w:val="Caption"/>
      </w:pPr>
      <w:r w:rsidRPr="00B779B1">
        <w:fldChar w:fldCharType="begin"/>
      </w:r>
      <w:r w:rsidRPr="00B779B1">
        <w:instrText xml:space="preserve"> IF 1 = 1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fldSimple w:instr=" STYLEREF &quot;Heading 1&quot; \l \n ">
        <w:r w:rsidRPr="00B779B1">
          <w:instrText>3</w:instrText>
        </w:r>
      </w:fldSimple>
      <w:r w:rsidRPr="00B779B1">
        <w:instrText xml:space="preserve"> = 0 "" "</w:instrText>
      </w:r>
      <w:fldSimple w:instr=" STYLEREF &quot;Heading 1&quot; \l \n ">
        <w:r w:rsidRPr="00B779B1">
          <w:instrText>3</w:instrText>
        </w:r>
      </w:fldSimple>
      <w:r w:rsidRPr="00B779B1">
        <w:instrText xml:space="preserve">." </w:instrText>
      </w:r>
      <w:r w:rsidRPr="00B779B1">
        <w:fldChar w:fldCharType="separate"/>
      </w:r>
      <w:r w:rsidRPr="00B779B1">
        <w:instrText>3.</w:instrText>
      </w:r>
      <w:r w:rsidRPr="00B779B1">
        <w:fldChar w:fldCharType="end"/>
      </w:r>
      <w:r w:rsidRPr="00B779B1">
        <w:instrText>" "</w:instrText>
      </w:r>
      <w:fldSimple w:instr=" STYLEREF &quot;Heading 6&quot; \l \n ">
        <w:r w:rsidR="00520F9E">
          <w:rPr>
            <w:noProof/>
          </w:rPr>
          <w:instrText>B</w:instrText>
        </w:r>
      </w:fldSimple>
      <w:r w:rsidRPr="00B779B1">
        <w:instrText xml:space="preserve">." </w:instrText>
      </w:r>
      <w:r w:rsidRPr="00B779B1">
        <w:fldChar w:fldCharType="separate"/>
      </w:r>
      <w:r w:rsidR="00520F9E">
        <w:rPr>
          <w:noProof/>
        </w:rPr>
        <w:instrText>B</w:instrText>
      </w:r>
      <w:r w:rsidR="00520F9E" w:rsidRPr="00B779B1">
        <w:rPr>
          <w:noProof/>
        </w:rPr>
        <w:instrText>.</w:instrText>
      </w:r>
      <w:r w:rsidRPr="00B779B1">
        <w:fldChar w:fldCharType="end"/>
      </w:r>
      <w:r w:rsidRPr="00B779B1">
        <w:fldChar w:fldCharType="begin"/>
      </w:r>
      <w:r w:rsidRPr="00B779B1">
        <w:instrText xml:space="preserve"> SEQ Item \* ARABIC \s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fldSimple w:instr=" STYLEREF &quot;Heading 1&quot; \l \n ">
        <w:r w:rsidRPr="00B779B1">
          <w:instrText>3</w:instrText>
        </w:r>
      </w:fldSimple>
      <w:r w:rsidRPr="00B779B1">
        <w:instrText xml:space="preserve"> = 0 "" "1" </w:instrText>
      </w:r>
      <w:r w:rsidRPr="00B779B1">
        <w:fldChar w:fldCharType="separate"/>
      </w:r>
      <w:r w:rsidRPr="00B779B1">
        <w:instrText>1</w:instrText>
      </w:r>
      <w:r w:rsidRPr="00B779B1">
        <w:fldChar w:fldCharType="end"/>
      </w:r>
      <w:r w:rsidRPr="00B779B1">
        <w:instrText xml:space="preserve">" "6" </w:instrText>
      </w:r>
      <w:r w:rsidRPr="00B779B1">
        <w:fldChar w:fldCharType="separate"/>
      </w:r>
      <w:r w:rsidR="00520F9E" w:rsidRPr="00B779B1">
        <w:rPr>
          <w:noProof/>
        </w:rPr>
        <w:instrText>6</w:instrText>
      </w:r>
      <w:r w:rsidRPr="00B779B1">
        <w:fldChar w:fldCharType="end"/>
      </w:r>
      <w:r w:rsidRPr="00B779B1">
        <w:instrText xml:space="preserve"> </w:instrText>
      </w:r>
      <w:r w:rsidRPr="00B779B1">
        <w:fldChar w:fldCharType="separate"/>
      </w:r>
      <w:r w:rsidR="00520F9E">
        <w:rPr>
          <w:noProof/>
        </w:rPr>
        <w:instrText>19</w:instrText>
      </w:r>
      <w:r w:rsidRPr="00B779B1">
        <w:fldChar w:fldCharType="end"/>
      </w:r>
      <w:r w:rsidRPr="00B779B1">
        <w:instrText xml:space="preserve">" "" </w:instrText>
      </w:r>
      <w:r w:rsidRPr="00B779B1">
        <w:fldChar w:fldCharType="separate"/>
      </w:r>
      <w:bookmarkStart w:id="7867" w:name="_Caption7770"/>
      <w:bookmarkStart w:id="7868" w:name="_Caption8702"/>
      <w:bookmarkStart w:id="7869" w:name="_Caption5881"/>
      <w:bookmarkStart w:id="7870" w:name="_Caption7697"/>
      <w:bookmarkStart w:id="7871" w:name="_Caption2331"/>
      <w:bookmarkStart w:id="7872" w:name="_Caption1791"/>
      <w:bookmarkStart w:id="7873" w:name="_Caption0680"/>
      <w:bookmarkStart w:id="7874" w:name="_Caption1561"/>
      <w:bookmarkStart w:id="7875" w:name="_Caption8929"/>
      <w:bookmarkStart w:id="7876" w:name="_Caption0896"/>
      <w:bookmarkStart w:id="7877" w:name="_Caption2283"/>
      <w:bookmarkStart w:id="7878" w:name="_Caption3657"/>
      <w:bookmarkStart w:id="7879" w:name="_Caption9734"/>
      <w:bookmarkStart w:id="7880" w:name="_Caption3987"/>
      <w:bookmarkStart w:id="7881" w:name="_Caption4784"/>
      <w:bookmarkStart w:id="7882" w:name="_Caption9177"/>
      <w:bookmarkStart w:id="7883" w:name="_Caption3517"/>
      <w:bookmarkStart w:id="7884" w:name="_Caption6799"/>
      <w:bookmarkStart w:id="7885" w:name="_Caption9970"/>
      <w:bookmarkStart w:id="7886" w:name="_Caption1754"/>
      <w:bookmarkStart w:id="7887" w:name="_Caption7042"/>
      <w:bookmarkStart w:id="7888" w:name="_Caption1085"/>
      <w:bookmarkStart w:id="7889" w:name="_Caption0440"/>
      <w:bookmarkStart w:id="7890" w:name="_Caption6633"/>
      <w:bookmarkStart w:id="7891" w:name="_Caption4170"/>
      <w:bookmarkStart w:id="7892" w:name="_Caption3978"/>
      <w:bookmarkStart w:id="7893" w:name="_Caption9701"/>
      <w:bookmarkStart w:id="7894" w:name="_Caption4101"/>
      <w:bookmarkStart w:id="7895" w:name="_Caption6937"/>
      <w:bookmarkStart w:id="7896" w:name="_Caption3778"/>
      <w:bookmarkStart w:id="7897" w:name="_Caption7454"/>
      <w:bookmarkStart w:id="7898" w:name="_Caption7316"/>
      <w:bookmarkStart w:id="7899" w:name="_Caption7508"/>
      <w:bookmarkStart w:id="7900" w:name="_Caption1653"/>
      <w:bookmarkStart w:id="7901" w:name="_Caption4471"/>
      <w:bookmarkStart w:id="7902" w:name="_Caption3943"/>
      <w:bookmarkStart w:id="7903" w:name="_Caption2633"/>
      <w:bookmarkStart w:id="7904" w:name="_Caption1426"/>
      <w:bookmarkStart w:id="7905" w:name="_Caption8989"/>
      <w:bookmarkStart w:id="7906" w:name="_Caption9257"/>
      <w:bookmarkStart w:id="7907" w:name="_Caption0684"/>
      <w:bookmarkStart w:id="7908" w:name="_Caption1376"/>
      <w:bookmarkStart w:id="7909" w:name="_Caption6128"/>
      <w:bookmarkStart w:id="7910" w:name="_Caption5026"/>
      <w:bookmarkStart w:id="7911" w:name="_Caption0195"/>
      <w:bookmarkStart w:id="7912" w:name="_Caption3824"/>
      <w:bookmarkStart w:id="7913" w:name="_Caption6050"/>
      <w:bookmarkStart w:id="7914" w:name="_Caption9234"/>
      <w:bookmarkStart w:id="7915" w:name="_Caption2424"/>
      <w:bookmarkStart w:id="7916" w:name="_Caption9660"/>
      <w:bookmarkStart w:id="7917" w:name="_Caption7238"/>
      <w:bookmarkStart w:id="7918" w:name="_Caption9068"/>
      <w:bookmarkStart w:id="7919" w:name="_Caption0989"/>
      <w:bookmarkStart w:id="7920" w:name="_Caption4877"/>
      <w:bookmarkStart w:id="7921" w:name="_Caption0091"/>
      <w:bookmarkStart w:id="7922" w:name="_Caption0408"/>
      <w:bookmarkStart w:id="7923" w:name="_Caption7391"/>
      <w:bookmarkStart w:id="7924" w:name="_Caption9361"/>
      <w:bookmarkStart w:id="7925" w:name="_Caption2523"/>
      <w:bookmarkStart w:id="7926" w:name="_Caption2676"/>
      <w:bookmarkStart w:id="7927" w:name="_Caption7921"/>
      <w:bookmarkStart w:id="7928" w:name="_Caption3382"/>
      <w:bookmarkStart w:id="7929" w:name="_Caption4178"/>
      <w:bookmarkStart w:id="7930" w:name="_Caption2059"/>
      <w:bookmarkStart w:id="7931" w:name="_Caption9688"/>
      <w:bookmarkStart w:id="7932" w:name="_Caption4508"/>
      <w:bookmarkStart w:id="7933" w:name="_Caption5335"/>
      <w:bookmarkStart w:id="7934" w:name="_Caption0052"/>
      <w:bookmarkStart w:id="7935" w:name="_Toc136527079"/>
      <w:bookmarkStart w:id="7936" w:name="_Toc149060096"/>
      <w:bookmarkStart w:id="7937" w:name="_Toc177735224"/>
      <w:bookmarkStart w:id="7938" w:name="_Toc178292661"/>
      <w:r w:rsidR="008C60A3">
        <w:rPr>
          <w:noProof/>
        </w:rPr>
        <w:t>B</w:t>
      </w:r>
      <w:r w:rsidR="008C60A3" w:rsidRPr="00B779B1">
        <w:rPr>
          <w:noProof/>
        </w:rPr>
        <w:t>.</w:t>
      </w:r>
      <w:r w:rsidR="008C60A3">
        <w:rPr>
          <w:noProof/>
        </w:rPr>
        <w:t>19</w:t>
      </w:r>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r w:rsidRPr="00B779B1">
        <w:fldChar w:fldCharType="end"/>
      </w:r>
      <w:r w:rsidRPr="00B779B1">
        <w:tab/>
        <w:t>Electricity demand/capacity charge forecast</w:t>
      </w:r>
      <w:bookmarkEnd w:id="7935"/>
      <w:bookmarkEnd w:id="7936"/>
      <w:bookmarkEnd w:id="7937"/>
      <w:bookmarkEnd w:id="7938"/>
    </w:p>
    <w:p w14:paraId="0DF8C602" w14:textId="77777777" w:rsidR="009B4D09" w:rsidRPr="00A55EF4" w:rsidRDefault="009B4D09" w:rsidP="009B4D09">
      <w:pPr>
        <w:pStyle w:val="Subtitlebox"/>
      </w:pPr>
      <w:r w:rsidRPr="00D90F73">
        <w:rPr>
          <w:noProof/>
        </w:rPr>
        <w:drawing>
          <wp:inline distT="0" distB="0" distL="0" distR="0" wp14:anchorId="12EF4EA0" wp14:editId="1C0D3E86">
            <wp:extent cx="4716780" cy="2531745"/>
            <wp:effectExtent l="76200" t="76200" r="83820" b="78105"/>
            <wp:docPr id="262562853" name="Picture 262562853" descr="Chart B.19 - Electricity demand/capacity charge forec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562853" name="Picture 262562853" descr="Chart B.19 - Electricity demand/capacity charge forecast"/>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r="4130"/>
                    <a:stretch/>
                  </pic:blipFill>
                  <pic:spPr bwMode="auto">
                    <a:xfrm>
                      <a:off x="0" y="0"/>
                      <a:ext cx="4716780" cy="2531745"/>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1BD0E07E" w14:textId="77777777" w:rsidR="009B4D09" w:rsidRDefault="009B4D09" w:rsidP="009B4D09">
      <w:pPr>
        <w:pStyle w:val="Source"/>
      </w:pPr>
      <w:r>
        <w:rPr>
          <w:i/>
        </w:rPr>
        <w:t>Data source</w:t>
      </w:r>
      <w:r w:rsidRPr="00A67576">
        <w:rPr>
          <w:i/>
        </w:rPr>
        <w:t>:</w:t>
      </w:r>
      <w:r>
        <w:t xml:space="preserve"> CIE estimates.</w:t>
      </w:r>
    </w:p>
    <w:p w14:paraId="37410A3B" w14:textId="78EDD7FB" w:rsidR="009B4D09" w:rsidRPr="00B779B1" w:rsidRDefault="009B4D09" w:rsidP="009B4D09">
      <w:pPr>
        <w:pStyle w:val="Caption"/>
      </w:pPr>
      <w:r w:rsidRPr="00B779B1">
        <w:fldChar w:fldCharType="begin"/>
      </w:r>
      <w:r w:rsidRPr="00B779B1">
        <w:instrText xml:space="preserve"> IF 1 = 1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fldSimple w:instr=" STYLEREF &quot;Heading 1&quot; \l \n ">
        <w:r w:rsidRPr="00B779B1">
          <w:instrText>3</w:instrText>
        </w:r>
      </w:fldSimple>
      <w:r w:rsidRPr="00B779B1">
        <w:instrText xml:space="preserve"> = 0 "" "</w:instrText>
      </w:r>
      <w:fldSimple w:instr=" STYLEREF &quot;Heading 1&quot; \l \n ">
        <w:r w:rsidRPr="00B779B1">
          <w:instrText>3</w:instrText>
        </w:r>
      </w:fldSimple>
      <w:r w:rsidRPr="00B779B1">
        <w:instrText xml:space="preserve">." </w:instrText>
      </w:r>
      <w:r w:rsidRPr="00B779B1">
        <w:fldChar w:fldCharType="separate"/>
      </w:r>
      <w:r w:rsidRPr="00B779B1">
        <w:instrText>3.</w:instrText>
      </w:r>
      <w:r w:rsidRPr="00B779B1">
        <w:fldChar w:fldCharType="end"/>
      </w:r>
      <w:r w:rsidRPr="00B779B1">
        <w:instrText>" "</w:instrText>
      </w:r>
      <w:fldSimple w:instr=" STYLEREF &quot;Heading 6&quot; \l \n ">
        <w:r w:rsidR="00520F9E">
          <w:rPr>
            <w:noProof/>
          </w:rPr>
          <w:instrText>B</w:instrText>
        </w:r>
      </w:fldSimple>
      <w:r w:rsidRPr="00B779B1">
        <w:instrText xml:space="preserve">." </w:instrText>
      </w:r>
      <w:r w:rsidRPr="00B779B1">
        <w:fldChar w:fldCharType="separate"/>
      </w:r>
      <w:r w:rsidR="00520F9E">
        <w:rPr>
          <w:noProof/>
        </w:rPr>
        <w:instrText>B</w:instrText>
      </w:r>
      <w:r w:rsidR="00520F9E" w:rsidRPr="00B779B1">
        <w:rPr>
          <w:noProof/>
        </w:rPr>
        <w:instrText>.</w:instrText>
      </w:r>
      <w:r w:rsidRPr="00B779B1">
        <w:fldChar w:fldCharType="end"/>
      </w:r>
      <w:r w:rsidRPr="00B779B1">
        <w:fldChar w:fldCharType="begin"/>
      </w:r>
      <w:r w:rsidRPr="00B779B1">
        <w:instrText xml:space="preserve"> SEQ Item \* ARABIC \s </w:instrText>
      </w:r>
      <w:r w:rsidRPr="00B779B1">
        <w:fldChar w:fldCharType="begin"/>
      </w:r>
      <w:r w:rsidRPr="00B779B1">
        <w:instrText xml:space="preserve"> IF </w:instrText>
      </w:r>
      <w:fldSimple w:instr=" STYLEREF &quot;Heading 6&quot; \l \n ">
        <w:r w:rsidR="00520F9E">
          <w:rPr>
            <w:noProof/>
          </w:rPr>
          <w:instrText>B</w:instrText>
        </w:r>
      </w:fldSimple>
      <w:r w:rsidRPr="00B779B1">
        <w:instrText xml:space="preserve"> = 0 "</w:instrText>
      </w:r>
      <w:r w:rsidRPr="00B779B1">
        <w:fldChar w:fldCharType="begin"/>
      </w:r>
      <w:r w:rsidRPr="00B779B1">
        <w:instrText xml:space="preserve"> IF </w:instrText>
      </w:r>
      <w:fldSimple w:instr=" STYLEREF &quot;Heading 1&quot; \l \n ">
        <w:r w:rsidRPr="00B779B1">
          <w:instrText>3</w:instrText>
        </w:r>
      </w:fldSimple>
      <w:r w:rsidRPr="00B779B1">
        <w:instrText xml:space="preserve"> = 0 "" "1" </w:instrText>
      </w:r>
      <w:r w:rsidRPr="00B779B1">
        <w:fldChar w:fldCharType="separate"/>
      </w:r>
      <w:r w:rsidRPr="00B779B1">
        <w:instrText>1</w:instrText>
      </w:r>
      <w:r w:rsidRPr="00B779B1">
        <w:fldChar w:fldCharType="end"/>
      </w:r>
      <w:r w:rsidRPr="00B779B1">
        <w:instrText xml:space="preserve">" "6" </w:instrText>
      </w:r>
      <w:r w:rsidRPr="00B779B1">
        <w:fldChar w:fldCharType="separate"/>
      </w:r>
      <w:r w:rsidR="00520F9E" w:rsidRPr="00B779B1">
        <w:rPr>
          <w:noProof/>
        </w:rPr>
        <w:instrText>6</w:instrText>
      </w:r>
      <w:r w:rsidRPr="00B779B1">
        <w:fldChar w:fldCharType="end"/>
      </w:r>
      <w:r w:rsidRPr="00B779B1">
        <w:instrText xml:space="preserve"> </w:instrText>
      </w:r>
      <w:r w:rsidRPr="00B779B1">
        <w:fldChar w:fldCharType="separate"/>
      </w:r>
      <w:r w:rsidR="00520F9E">
        <w:rPr>
          <w:noProof/>
        </w:rPr>
        <w:instrText>20</w:instrText>
      </w:r>
      <w:r w:rsidRPr="00B779B1">
        <w:fldChar w:fldCharType="end"/>
      </w:r>
      <w:r w:rsidRPr="00B779B1">
        <w:instrText xml:space="preserve">" "" </w:instrText>
      </w:r>
      <w:r w:rsidRPr="00B779B1">
        <w:fldChar w:fldCharType="separate"/>
      </w:r>
      <w:bookmarkStart w:id="7939" w:name="_Caption4006"/>
      <w:bookmarkStart w:id="7940" w:name="_Caption6713"/>
      <w:bookmarkStart w:id="7941" w:name="_Caption8124"/>
      <w:bookmarkStart w:id="7942" w:name="_Caption9963"/>
      <w:bookmarkStart w:id="7943" w:name="_Caption0048"/>
      <w:bookmarkStart w:id="7944" w:name="_Caption4487"/>
      <w:bookmarkStart w:id="7945" w:name="_Caption1987"/>
      <w:bookmarkStart w:id="7946" w:name="_Caption8242"/>
      <w:bookmarkStart w:id="7947" w:name="_Caption8182"/>
      <w:bookmarkStart w:id="7948" w:name="_Caption6542"/>
      <w:bookmarkStart w:id="7949" w:name="_Caption7797"/>
      <w:bookmarkStart w:id="7950" w:name="_Caption7142"/>
      <w:bookmarkStart w:id="7951" w:name="_Caption0014"/>
      <w:bookmarkStart w:id="7952" w:name="_Caption8554"/>
      <w:bookmarkStart w:id="7953" w:name="_Caption0017"/>
      <w:bookmarkStart w:id="7954" w:name="_Caption4345"/>
      <w:bookmarkStart w:id="7955" w:name="_Caption9001"/>
      <w:bookmarkStart w:id="7956" w:name="_Caption4740"/>
      <w:bookmarkStart w:id="7957" w:name="_Caption1553"/>
      <w:bookmarkStart w:id="7958" w:name="_Caption8915"/>
      <w:bookmarkStart w:id="7959" w:name="_Caption6305"/>
      <w:bookmarkStart w:id="7960" w:name="_Caption3152"/>
      <w:bookmarkStart w:id="7961" w:name="_Caption0692"/>
      <w:bookmarkStart w:id="7962" w:name="_Caption3043"/>
      <w:bookmarkStart w:id="7963" w:name="_Caption6281"/>
      <w:bookmarkStart w:id="7964" w:name="_Caption3502"/>
      <w:bookmarkStart w:id="7965" w:name="_Caption7973"/>
      <w:bookmarkStart w:id="7966" w:name="_Caption9837"/>
      <w:bookmarkStart w:id="7967" w:name="_Caption2294"/>
      <w:bookmarkStart w:id="7968" w:name="_Caption6571"/>
      <w:bookmarkStart w:id="7969" w:name="_Caption7175"/>
      <w:bookmarkStart w:id="7970" w:name="_Caption5730"/>
      <w:bookmarkStart w:id="7971" w:name="_Caption8680"/>
      <w:bookmarkStart w:id="7972" w:name="_Caption6973"/>
      <w:bookmarkStart w:id="7973" w:name="_Caption3421"/>
      <w:bookmarkStart w:id="7974" w:name="_Caption6783"/>
      <w:bookmarkStart w:id="7975" w:name="_Caption4135"/>
      <w:bookmarkStart w:id="7976" w:name="_Caption7093"/>
      <w:bookmarkStart w:id="7977" w:name="_Caption6780"/>
      <w:bookmarkStart w:id="7978" w:name="_Caption3505"/>
      <w:bookmarkStart w:id="7979" w:name="_Caption5109"/>
      <w:bookmarkStart w:id="7980" w:name="_Caption6575"/>
      <w:bookmarkStart w:id="7981" w:name="_Caption0857"/>
      <w:bookmarkStart w:id="7982" w:name="_Caption2117"/>
      <w:bookmarkStart w:id="7983" w:name="_Caption2154"/>
      <w:bookmarkStart w:id="7984" w:name="_Caption3385"/>
      <w:bookmarkStart w:id="7985" w:name="_Caption1825"/>
      <w:bookmarkStart w:id="7986" w:name="_Caption9334"/>
      <w:bookmarkStart w:id="7987" w:name="_Caption0110"/>
      <w:bookmarkStart w:id="7988" w:name="_Caption2017"/>
      <w:bookmarkStart w:id="7989" w:name="_Caption5272"/>
      <w:bookmarkStart w:id="7990" w:name="_Caption1092"/>
      <w:bookmarkStart w:id="7991" w:name="_Caption0261"/>
      <w:bookmarkStart w:id="7992" w:name="_Caption5473"/>
      <w:bookmarkStart w:id="7993" w:name="_Caption9612"/>
      <w:bookmarkStart w:id="7994" w:name="_Caption4184"/>
      <w:bookmarkStart w:id="7995" w:name="_Caption1099"/>
      <w:bookmarkStart w:id="7996" w:name="_Caption2429"/>
      <w:bookmarkStart w:id="7997" w:name="_Caption5863"/>
      <w:bookmarkStart w:id="7998" w:name="_Caption9964"/>
      <w:bookmarkStart w:id="7999" w:name="_Caption3573"/>
      <w:bookmarkStart w:id="8000" w:name="_Caption0422"/>
      <w:bookmarkStart w:id="8001" w:name="_Caption3323"/>
      <w:bookmarkStart w:id="8002" w:name="_Toc136527080"/>
      <w:bookmarkStart w:id="8003" w:name="_Toc149060097"/>
      <w:bookmarkStart w:id="8004" w:name="_Toc177735225"/>
      <w:bookmarkStart w:id="8005" w:name="_Toc178292662"/>
      <w:r w:rsidR="008C60A3">
        <w:rPr>
          <w:noProof/>
        </w:rPr>
        <w:t>B</w:t>
      </w:r>
      <w:r w:rsidR="008C60A3" w:rsidRPr="00B779B1">
        <w:rPr>
          <w:noProof/>
        </w:rPr>
        <w:t>.</w:t>
      </w:r>
      <w:r w:rsidR="008C60A3">
        <w:rPr>
          <w:noProof/>
        </w:rPr>
        <w:t>20</w:t>
      </w:r>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r w:rsidRPr="00B779B1">
        <w:fldChar w:fldCharType="end"/>
      </w:r>
      <w:r w:rsidRPr="00B779B1">
        <w:tab/>
        <w:t>Gas price forecast</w:t>
      </w:r>
      <w:bookmarkEnd w:id="8002"/>
      <w:bookmarkEnd w:id="8003"/>
      <w:bookmarkEnd w:id="8004"/>
      <w:bookmarkEnd w:id="8005"/>
    </w:p>
    <w:p w14:paraId="553245B6" w14:textId="77777777" w:rsidR="009B4D09" w:rsidRPr="00A55EF4" w:rsidRDefault="009B4D09" w:rsidP="009B4D09">
      <w:pPr>
        <w:pStyle w:val="Subtitlebox"/>
      </w:pPr>
      <w:r w:rsidRPr="00BE1C98">
        <w:rPr>
          <w:noProof/>
        </w:rPr>
        <w:drawing>
          <wp:inline distT="0" distB="0" distL="0" distR="0" wp14:anchorId="25937D23" wp14:editId="551CC8D4">
            <wp:extent cx="4792980" cy="2499360"/>
            <wp:effectExtent l="76200" t="76200" r="83820" b="72390"/>
            <wp:docPr id="1113696687" name="Picture 1113696687" descr="Chart B.20 - Gas price forec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696687" name="Picture 1113696687" descr="Chart B.20 - Gas price forecast"/>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r="4552"/>
                    <a:stretch/>
                  </pic:blipFill>
                  <pic:spPr bwMode="auto">
                    <a:xfrm>
                      <a:off x="0" y="0"/>
                      <a:ext cx="4792980" cy="249936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04A92D83" w14:textId="77777777" w:rsidR="009B4D09" w:rsidRDefault="009B4D09" w:rsidP="009B4D09">
      <w:pPr>
        <w:pStyle w:val="Source"/>
      </w:pPr>
      <w:r>
        <w:rPr>
          <w:i/>
        </w:rPr>
        <w:t>Data source</w:t>
      </w:r>
      <w:r w:rsidRPr="00A67576">
        <w:rPr>
          <w:i/>
        </w:rPr>
        <w:t>:</w:t>
      </w:r>
      <w:r>
        <w:t xml:space="preserve"> CIE estimates.</w:t>
      </w:r>
    </w:p>
    <w:p w14:paraId="716EB801" w14:textId="77777777" w:rsidR="00D24C7F" w:rsidRDefault="00D24C7F" w:rsidP="00D24C7F">
      <w:pPr>
        <w:pStyle w:val="Heading6"/>
      </w:pPr>
      <w:bookmarkStart w:id="8006" w:name="_Toc149060078"/>
      <w:bookmarkStart w:id="8007" w:name="_Toc177735124"/>
      <w:bookmarkStart w:id="8008" w:name="_Toc178292558"/>
      <w:r>
        <w:t>Are modelled energy savings realised in practice?</w:t>
      </w:r>
      <w:bookmarkEnd w:id="8006"/>
      <w:bookmarkEnd w:id="8007"/>
      <w:bookmarkEnd w:id="8008"/>
    </w:p>
    <w:p w14:paraId="3F95F7BF" w14:textId="77777777" w:rsidR="00D24C7F" w:rsidRDefault="00D24C7F" w:rsidP="00D24C7F">
      <w:pPr>
        <w:pStyle w:val="Heading7"/>
      </w:pPr>
      <w:r>
        <w:t>The performance gap</w:t>
      </w:r>
    </w:p>
    <w:p w14:paraId="774E3E1D" w14:textId="77777777" w:rsidR="00D24C7F" w:rsidRPr="00270204" w:rsidRDefault="00D24C7F" w:rsidP="00D24C7F">
      <w:pPr>
        <w:pStyle w:val="BodyText"/>
      </w:pPr>
      <w:r w:rsidRPr="00F91656">
        <w:t>A well</w:t>
      </w:r>
      <w:r w:rsidRPr="00F91656">
        <w:noBreakHyphen/>
        <w:t xml:space="preserve">known issue covered extensively in the international literature is </w:t>
      </w:r>
      <w:r>
        <w:t xml:space="preserve">that </w:t>
      </w:r>
      <w:r w:rsidRPr="00F91656">
        <w:t>a building’s actual energy consumption tends to exceed model</w:t>
      </w:r>
      <w:r w:rsidRPr="00F91656">
        <w:noBreakHyphen/>
        <w:t>based estimates of energy consumption. This is often referred to as the ‘performance gap’. The performance gap appears to be a more significant issue in commercial (non-residential) buildings, compared with residences.</w:t>
      </w:r>
      <w:r w:rsidRPr="00F91656">
        <w:rPr>
          <w:rStyle w:val="FootnoteReference"/>
        </w:rPr>
        <w:footnoteReference w:id="182"/>
      </w:r>
      <w:r w:rsidRPr="00F91656">
        <w:t xml:space="preserve"> </w:t>
      </w:r>
    </w:p>
    <w:p w14:paraId="0FB1D5AD" w14:textId="77777777" w:rsidR="00D24C7F" w:rsidRDefault="00D24C7F" w:rsidP="00D24C7F">
      <w:pPr>
        <w:pStyle w:val="Heading7"/>
        <w:rPr>
          <w:lang w:eastAsia="en-US"/>
        </w:rPr>
      </w:pPr>
      <w:r>
        <w:rPr>
          <w:lang w:eastAsia="en-US"/>
        </w:rPr>
        <w:t>Treatment in the 2018 RIS</w:t>
      </w:r>
    </w:p>
    <w:p w14:paraId="345EFA22" w14:textId="77777777" w:rsidR="00D24C7F" w:rsidRDefault="00D24C7F" w:rsidP="00D24C7F">
      <w:pPr>
        <w:pStyle w:val="BodyText"/>
        <w:rPr>
          <w:lang w:eastAsia="en-US"/>
        </w:rPr>
      </w:pPr>
      <w:r>
        <w:rPr>
          <w:lang w:eastAsia="en-US"/>
        </w:rPr>
        <w:t>Although the performance gap was a well</w:t>
      </w:r>
      <w:r>
        <w:rPr>
          <w:lang w:eastAsia="en-US"/>
        </w:rPr>
        <w:noBreakHyphen/>
        <w:t>known issue, the 2018 RIS (prepared by CIE) was the first Australian RIS (or cost</w:t>
      </w:r>
      <w:r>
        <w:rPr>
          <w:lang w:eastAsia="en-US"/>
        </w:rPr>
        <w:noBreakHyphen/>
        <w:t>benefit analysis) of energy efficiency regulation to have addressed the issue of whether modelled energy savings are achieved in practice. In particular, the 2018 RIS:</w:t>
      </w:r>
    </w:p>
    <w:p w14:paraId="3AAEAB3D" w14:textId="77777777" w:rsidR="00D24C7F" w:rsidRDefault="00D24C7F" w:rsidP="00D24C7F">
      <w:pPr>
        <w:pStyle w:val="ListBullet"/>
        <w:tabs>
          <w:tab w:val="num" w:pos="709"/>
        </w:tabs>
        <w:rPr>
          <w:lang w:bidi="fa-IR"/>
        </w:rPr>
      </w:pPr>
      <w:r>
        <w:rPr>
          <w:lang w:eastAsia="en-US" w:bidi="fa-IR"/>
        </w:rPr>
        <w:t xml:space="preserve">presented </w:t>
      </w:r>
      <w:r w:rsidRPr="00E02987">
        <w:rPr>
          <w:lang w:bidi="fa-IR"/>
        </w:rPr>
        <w:t>evidence</w:t>
      </w:r>
      <w:r>
        <w:rPr>
          <w:lang w:eastAsia="en-US" w:bidi="fa-IR"/>
        </w:rPr>
        <w:t xml:space="preserve"> from several international (peer reviewed) papers that suggested that predicted energy savings in buildings designed to be more energy efficient may not be achieved in practice. For example, Frankel and Turner (2008)</w:t>
      </w:r>
      <w:r>
        <w:rPr>
          <w:lang w:bidi="fa-IR"/>
        </w:rPr>
        <w:t xml:space="preserve"> noted that projects with more aggressive energy performance goals generate overly optimistic predictions of actual energy use.</w:t>
      </w:r>
      <w:r>
        <w:rPr>
          <w:rStyle w:val="FootnoteReference"/>
        </w:rPr>
        <w:footnoteReference w:id="183"/>
      </w:r>
      <w:r>
        <w:rPr>
          <w:lang w:bidi="fa-IR"/>
        </w:rPr>
        <w:t xml:space="preserve"> This suggests that predicted energy savings may not be achieved in practice.</w:t>
      </w:r>
    </w:p>
    <w:p w14:paraId="59EC2889" w14:textId="77777777" w:rsidR="00D24C7F" w:rsidRDefault="00D24C7F" w:rsidP="00D24C7F">
      <w:pPr>
        <w:pStyle w:val="ListBullet"/>
        <w:tabs>
          <w:tab w:val="num" w:pos="709"/>
        </w:tabs>
        <w:rPr>
          <w:lang w:eastAsia="en-US" w:bidi="fa-IR"/>
        </w:rPr>
      </w:pPr>
      <w:r>
        <w:rPr>
          <w:lang w:eastAsia="en-US" w:bidi="fa-IR"/>
        </w:rPr>
        <w:t>presented a re</w:t>
      </w:r>
      <w:r>
        <w:rPr>
          <w:lang w:eastAsia="en-US" w:bidi="fa-IR"/>
        </w:rPr>
        <w:noBreakHyphen/>
      </w:r>
      <w:r w:rsidRPr="00E02987">
        <w:rPr>
          <w:lang w:bidi="fa-IR"/>
        </w:rPr>
        <w:t>analysis</w:t>
      </w:r>
      <w:r>
        <w:rPr>
          <w:lang w:eastAsia="en-US" w:bidi="fa-IR"/>
        </w:rPr>
        <w:t xml:space="preserve"> of data published by GBCA.</w:t>
      </w:r>
    </w:p>
    <w:p w14:paraId="53DC06C1" w14:textId="62F1FC74" w:rsidR="00D24C7F" w:rsidRPr="005E5FA8" w:rsidRDefault="00D24C7F" w:rsidP="00CA0DBC">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20F9E">
          <w:rPr>
            <w:noProof/>
          </w:rPr>
          <w:instrText>C</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w:instrText>
      </w:r>
      <w:r w:rsidRPr="005E5FA8">
        <w:fldChar w:fldCharType="separate"/>
      </w:r>
      <w:r w:rsidRPr="005E5FA8">
        <w:instrText>Error! No text of specified style in document..</w:instrText>
      </w:r>
      <w:r w:rsidRPr="005E5FA8">
        <w:fldChar w:fldCharType="end"/>
      </w:r>
      <w:r w:rsidRPr="005E5FA8">
        <w:instrText>" "</w:instrText>
      </w:r>
      <w:fldSimple w:instr=" STYLEREF &quot;Heading 6&quot; \l \n ">
        <w:r w:rsidR="00520F9E">
          <w:rPr>
            <w:noProof/>
          </w:rPr>
          <w:instrText>C</w:instrText>
        </w:r>
      </w:fldSimple>
      <w:r w:rsidRPr="005E5FA8">
        <w:instrText xml:space="preserve">." </w:instrText>
      </w:r>
      <w:r w:rsidRPr="005E5FA8">
        <w:fldChar w:fldCharType="separate"/>
      </w:r>
      <w:r w:rsidR="00520F9E">
        <w:rPr>
          <w:noProof/>
        </w:rPr>
        <w:instrText>C</w:instrText>
      </w:r>
      <w:r w:rsidR="00520F9E"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20F9E">
          <w:rPr>
            <w:noProof/>
          </w:rPr>
          <w:instrText>C</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"1" </w:instrText>
      </w:r>
      <w:r w:rsidRPr="005E5FA8">
        <w:fldChar w:fldCharType="separate"/>
      </w:r>
      <w:r w:rsidRPr="005E5FA8">
        <w:instrText>1</w:instrText>
      </w:r>
      <w:r w:rsidRPr="005E5FA8">
        <w:fldChar w:fldCharType="end"/>
      </w:r>
      <w:r w:rsidRPr="005E5FA8">
        <w:instrText xml:space="preserve">" "6" </w:instrText>
      </w:r>
      <w:r w:rsidRPr="005E5FA8">
        <w:fldChar w:fldCharType="separate"/>
      </w:r>
      <w:r w:rsidR="00520F9E" w:rsidRPr="005E5FA8">
        <w:rPr>
          <w:noProof/>
        </w:rPr>
        <w:instrText>6</w:instrText>
      </w:r>
      <w:r w:rsidRPr="005E5FA8">
        <w:fldChar w:fldCharType="end"/>
      </w:r>
      <w:r w:rsidRPr="005E5FA8">
        <w:instrText xml:space="preserve"> </w:instrText>
      </w:r>
      <w:r w:rsidRPr="005E5FA8">
        <w:fldChar w:fldCharType="separate"/>
      </w:r>
      <w:r w:rsidR="00520F9E">
        <w:rPr>
          <w:noProof/>
        </w:rPr>
        <w:instrText>1</w:instrText>
      </w:r>
      <w:r w:rsidRPr="005E5FA8">
        <w:fldChar w:fldCharType="end"/>
      </w:r>
      <w:r w:rsidRPr="005E5FA8">
        <w:instrText xml:space="preserve">" "" </w:instrText>
      </w:r>
      <w:r w:rsidRPr="005E5FA8">
        <w:fldChar w:fldCharType="separate"/>
      </w:r>
      <w:bookmarkStart w:id="8009" w:name="_Caption3218"/>
      <w:bookmarkStart w:id="8010" w:name="_Caption2053"/>
      <w:bookmarkStart w:id="8011" w:name="_Caption2297"/>
      <w:bookmarkStart w:id="8012" w:name="_Caption4087"/>
      <w:bookmarkStart w:id="8013" w:name="_Caption8927"/>
      <w:bookmarkStart w:id="8014" w:name="_Caption5655"/>
      <w:bookmarkStart w:id="8015" w:name="_Caption4819"/>
      <w:bookmarkStart w:id="8016" w:name="_Caption3315"/>
      <w:bookmarkStart w:id="8017" w:name="_Caption7778"/>
      <w:bookmarkStart w:id="8018" w:name="_Caption4637"/>
      <w:bookmarkStart w:id="8019" w:name="_Caption6437"/>
      <w:bookmarkStart w:id="8020" w:name="_Caption6671"/>
      <w:bookmarkStart w:id="8021" w:name="_Caption9512"/>
      <w:bookmarkStart w:id="8022" w:name="_Caption7970"/>
      <w:bookmarkStart w:id="8023" w:name="_Caption3509"/>
      <w:bookmarkStart w:id="8024" w:name="_Caption6279"/>
      <w:bookmarkStart w:id="8025" w:name="_Caption7302"/>
      <w:bookmarkStart w:id="8026" w:name="_Caption8829"/>
      <w:bookmarkStart w:id="8027" w:name="_Caption4328"/>
      <w:bookmarkStart w:id="8028" w:name="_Caption3642"/>
      <w:bookmarkStart w:id="8029" w:name="_Caption8664"/>
      <w:bookmarkStart w:id="8030" w:name="_Caption3214"/>
      <w:bookmarkStart w:id="8031" w:name="_Caption3935"/>
      <w:bookmarkStart w:id="8032" w:name="_Caption7670"/>
      <w:bookmarkStart w:id="8033" w:name="_Caption0266"/>
      <w:bookmarkStart w:id="8034" w:name="_Caption0588"/>
      <w:bookmarkStart w:id="8035" w:name="_Caption7949"/>
      <w:bookmarkStart w:id="8036" w:name="_Caption7914"/>
      <w:bookmarkStart w:id="8037" w:name="_Caption7893"/>
      <w:bookmarkStart w:id="8038" w:name="_Caption4143"/>
      <w:bookmarkStart w:id="8039" w:name="_Caption0575"/>
      <w:bookmarkStart w:id="8040" w:name="_Caption0124"/>
      <w:bookmarkStart w:id="8041" w:name="_Caption1434"/>
      <w:bookmarkStart w:id="8042" w:name="_Caption4290"/>
      <w:bookmarkStart w:id="8043" w:name="_Caption1517"/>
      <w:bookmarkStart w:id="8044" w:name="_Caption8880"/>
      <w:bookmarkStart w:id="8045" w:name="_Toc149060098"/>
      <w:bookmarkStart w:id="8046" w:name="_Toc177735226"/>
      <w:bookmarkStart w:id="8047" w:name="_Toc178292663"/>
      <w:r w:rsidR="008C60A3">
        <w:rPr>
          <w:noProof/>
        </w:rPr>
        <w:t>C</w:t>
      </w:r>
      <w:r w:rsidR="008C60A3" w:rsidRPr="005E5FA8">
        <w:rPr>
          <w:noProof/>
        </w:rPr>
        <w:t>.</w:t>
      </w:r>
      <w:r w:rsidR="008C60A3">
        <w:rPr>
          <w:noProof/>
        </w:rPr>
        <w:t>1</w:t>
      </w:r>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r w:rsidRPr="005E5FA8">
        <w:fldChar w:fldCharType="end"/>
      </w:r>
      <w:r w:rsidRPr="005E5FA8">
        <w:tab/>
        <w:t>Relationship between predicted and actual GHG emissions</w:t>
      </w:r>
      <w:bookmarkEnd w:id="8045"/>
      <w:r w:rsidRPr="005E5FA8">
        <w:t xml:space="preserve"> (from 2018 RIS)</w:t>
      </w:r>
      <w:bookmarkEnd w:id="8046"/>
      <w:bookmarkEnd w:id="8047"/>
    </w:p>
    <w:p w14:paraId="3AFC0509" w14:textId="77777777" w:rsidR="00D24C7F" w:rsidRPr="00A55EF4" w:rsidRDefault="00D24C7F" w:rsidP="00D24C7F">
      <w:pPr>
        <w:pStyle w:val="Subtitlebox"/>
      </w:pPr>
      <w:r w:rsidRPr="003A0387">
        <w:rPr>
          <w:noProof/>
        </w:rPr>
        <w:drawing>
          <wp:inline distT="0" distB="0" distL="0" distR="0" wp14:anchorId="4718ED29" wp14:editId="224F2692">
            <wp:extent cx="5039995" cy="2548526"/>
            <wp:effectExtent l="0" t="0" r="8255" b="4445"/>
            <wp:docPr id="28" name="Picture 28" descr="Chart C.1 - Relationship between predicted and actual GHG emissions based on data available for the 2018 RIS.&#10;&#10;The chart plots the actual emissions (the vertical axis) against the predicted greenhouse gas emissions (the horizontal axis). Most points are above the perfect prediction line (red line, meaning predicted equals to actual emissions). This means that actual emissions are higher than predicted. As a results, the relationship is very weak - actual emissions reduction is only about half (0.49) of prediction red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hart C.1 - Relationship between predicted and actual GHG emissions based on data available for the 2018 RIS.&#10;&#10;The chart plots the actual emissions (the vertical axis) against the predicted greenhouse gas emissions (the horizontal axis). Most points are above the perfect prediction line (red line, meaning predicted equals to actual emissions). This means that actual emissions are higher than predicted. As a results, the relationship is very weak - actual emissions reduction is only about half (0.49) of prediction reduction."/>
                    <pic:cNvPicPr>
                      <a:picLocks noChangeAspect="1" noChangeArrowheads="1"/>
                    </pic:cNvPicPr>
                  </pic:nvPicPr>
                  <pic:blipFill rotWithShape="1">
                    <a:blip r:embed="rId71">
                      <a:extLst>
                        <a:ext uri="{28A0092B-C50C-407E-A947-70E740481C1C}">
                          <a14:useLocalDpi xmlns:a14="http://schemas.microsoft.com/office/drawing/2010/main" val="0"/>
                        </a:ext>
                      </a:extLst>
                    </a:blip>
                    <a:srcRect l="-960" r="-936" b="-3050"/>
                    <a:stretch/>
                  </pic:blipFill>
                  <pic:spPr bwMode="auto">
                    <a:xfrm>
                      <a:off x="0" y="0"/>
                      <a:ext cx="5039995" cy="2548526"/>
                    </a:xfrm>
                    <a:prstGeom prst="rect">
                      <a:avLst/>
                    </a:prstGeom>
                    <a:solidFill>
                      <a:schemeClr val="bg2"/>
                    </a:solidFill>
                    <a:ln>
                      <a:noFill/>
                    </a:ln>
                    <a:extLst>
                      <a:ext uri="{53640926-AAD7-44D8-BBD7-CCE9431645EC}">
                        <a14:shadowObscured xmlns:a14="http://schemas.microsoft.com/office/drawing/2010/main"/>
                      </a:ext>
                    </a:extLst>
                  </pic:spPr>
                </pic:pic>
              </a:graphicData>
            </a:graphic>
          </wp:inline>
        </w:drawing>
      </w:r>
    </w:p>
    <w:p w14:paraId="715A0BD3" w14:textId="77777777" w:rsidR="00D24C7F" w:rsidRDefault="00D24C7F" w:rsidP="00D24C7F">
      <w:pPr>
        <w:pStyle w:val="Source"/>
      </w:pPr>
      <w:r>
        <w:rPr>
          <w:i/>
        </w:rPr>
        <w:t>Data source</w:t>
      </w:r>
      <w:r w:rsidRPr="00A67576">
        <w:rPr>
          <w:i/>
        </w:rPr>
        <w:t>:</w:t>
      </w:r>
      <w:r>
        <w:t xml:space="preserve"> CIE based on data in Bell, H., Millagre, R. and Sanchez, C. 2013, </w:t>
      </w:r>
      <w:r w:rsidRPr="005F13AE">
        <w:rPr>
          <w:i/>
        </w:rPr>
        <w:t>Achieving the Green Dream: Predicted vs Actual</w:t>
      </w:r>
      <w:r>
        <w:t>, Green Building Council of Australia, August 2013, pp. 17</w:t>
      </w:r>
      <w:r>
        <w:noBreakHyphen/>
        <w:t>20.</w:t>
      </w:r>
    </w:p>
    <w:p w14:paraId="26848A86" w14:textId="77777777" w:rsidR="00D24C7F" w:rsidRDefault="00D24C7F" w:rsidP="00D24C7F">
      <w:pPr>
        <w:pStyle w:val="BodyText"/>
        <w:rPr>
          <w:lang w:eastAsia="en-US"/>
        </w:rPr>
      </w:pPr>
      <w:r>
        <w:rPr>
          <w:lang w:eastAsia="en-US"/>
        </w:rPr>
        <w:t>Key limitations of the analysis included the following.</w:t>
      </w:r>
    </w:p>
    <w:p w14:paraId="45C30DAC" w14:textId="77777777" w:rsidR="00D24C7F" w:rsidRPr="00E02987" w:rsidRDefault="00D24C7F" w:rsidP="00D24C7F">
      <w:pPr>
        <w:pStyle w:val="ListBullet"/>
        <w:tabs>
          <w:tab w:val="num" w:pos="709"/>
        </w:tabs>
        <w:rPr>
          <w:lang w:bidi="fa-IR"/>
        </w:rPr>
      </w:pPr>
      <w:r w:rsidRPr="00E02987">
        <w:rPr>
          <w:lang w:bidi="fa-IR"/>
        </w:rPr>
        <w:t>The analysis did not take into account the extent to which the difference between predicted and actual outcomes was due to factors such as actual occupancy patterns varying from the modelling protocols.</w:t>
      </w:r>
    </w:p>
    <w:p w14:paraId="66F054E7" w14:textId="77777777" w:rsidR="00D24C7F" w:rsidRPr="00E02987" w:rsidRDefault="00D24C7F" w:rsidP="00D24C7F">
      <w:pPr>
        <w:pStyle w:val="ListBullet"/>
        <w:tabs>
          <w:tab w:val="num" w:pos="709"/>
        </w:tabs>
        <w:rPr>
          <w:lang w:bidi="fa-IR"/>
        </w:rPr>
      </w:pPr>
      <w:r w:rsidRPr="00E02987">
        <w:rPr>
          <w:lang w:bidi="fa-IR"/>
        </w:rPr>
        <w:t>The sample covers only a subset of office buildings (</w:t>
      </w:r>
      <w:r>
        <w:rPr>
          <w:lang w:bidi="fa-IR"/>
        </w:rPr>
        <w:t>i.e.</w:t>
      </w:r>
      <w:r w:rsidRPr="00E02987">
        <w:rPr>
          <w:lang w:bidi="fa-IR"/>
        </w:rPr>
        <w:t xml:space="preserve"> office buildings with both a Green Star rating and a NABERS rating) and was unlikely to be representative of all commercial buildings.</w:t>
      </w:r>
    </w:p>
    <w:p w14:paraId="2CF5FE75" w14:textId="77777777" w:rsidR="00D24C7F" w:rsidRDefault="00D24C7F" w:rsidP="00D24C7F">
      <w:pPr>
        <w:pStyle w:val="BodyText"/>
        <w:rPr>
          <w:lang w:eastAsia="en-US"/>
        </w:rPr>
      </w:pPr>
      <w:r>
        <w:rPr>
          <w:lang w:eastAsia="en-US"/>
        </w:rPr>
        <w:t>Given the uncertainty around the performance gap, CBA results were presented under various realisation assumptions, as follows.</w:t>
      </w:r>
    </w:p>
    <w:p w14:paraId="742F8E7D" w14:textId="77777777" w:rsidR="00D24C7F" w:rsidRPr="00F91656" w:rsidRDefault="00D24C7F" w:rsidP="00D24C7F">
      <w:pPr>
        <w:pStyle w:val="ListNumber"/>
        <w:spacing w:line="240" w:lineRule="auto"/>
      </w:pPr>
      <w:r w:rsidRPr="00F91656">
        <w:t xml:space="preserve">Under the first (low) realisation scenario, it was assumed that </w:t>
      </w:r>
      <w:r>
        <w:t>49</w:t>
      </w:r>
      <w:r w:rsidRPr="00F91656">
        <w:t> per cent of modelled energy savings would be achieved in practice. This was consistent with the relationship between modelled and actual GHG emission savings implied by the Green Star data (see chart </w:t>
      </w:r>
      <w:fldSimple w:instr=" REF _Caption7778 " w:fldLock="1">
        <w:r>
          <w:rPr>
            <w:noProof/>
          </w:rPr>
          <w:t>C</w:t>
        </w:r>
        <w:r w:rsidRPr="00695C93">
          <w:rPr>
            <w:noProof/>
          </w:rPr>
          <w:t>.</w:t>
        </w:r>
        <w:r>
          <w:rPr>
            <w:noProof/>
          </w:rPr>
          <w:t>1</w:t>
        </w:r>
      </w:fldSimple>
      <w:r w:rsidRPr="00F91656">
        <w:rPr>
          <w:lang w:bidi="fa-IR"/>
        </w:rPr>
        <w:t xml:space="preserve"> above)</w:t>
      </w:r>
      <w:r w:rsidRPr="00F91656">
        <w:t>.</w:t>
      </w:r>
    </w:p>
    <w:p w14:paraId="5F7A5642" w14:textId="77777777" w:rsidR="00D24C7F" w:rsidRPr="00F91656" w:rsidRDefault="00D24C7F" w:rsidP="00D24C7F">
      <w:pPr>
        <w:pStyle w:val="ListNumber"/>
        <w:numPr>
          <w:ilvl w:val="0"/>
          <w:numId w:val="12"/>
        </w:numPr>
        <w:spacing w:line="240" w:lineRule="auto"/>
      </w:pPr>
      <w:r w:rsidRPr="00F91656">
        <w:t xml:space="preserve">Under the second (medium) realisation scenario, 75 per cent of modelled energy savings were assumed to be achieved in practice. This was consistent with the relationship between modelled and actual GHG emissions implied by the Green Star data when the five outliers have been excluded from the sample. </w:t>
      </w:r>
    </w:p>
    <w:p w14:paraId="734BFDC3" w14:textId="77777777" w:rsidR="00D24C7F" w:rsidRPr="00F91656" w:rsidRDefault="00D24C7F" w:rsidP="00D24C7F">
      <w:pPr>
        <w:pStyle w:val="ListNumber"/>
        <w:numPr>
          <w:ilvl w:val="0"/>
          <w:numId w:val="12"/>
        </w:numPr>
        <w:spacing w:line="240" w:lineRule="auto"/>
      </w:pPr>
      <w:r w:rsidRPr="00F91656">
        <w:t>Under the third (high) realisation scenario, modelled energy savings were assumed to be achieved fully in practice.</w:t>
      </w:r>
    </w:p>
    <w:p w14:paraId="45530F3C" w14:textId="77777777" w:rsidR="00D24C7F" w:rsidRDefault="00D24C7F" w:rsidP="00D24C7F">
      <w:pPr>
        <w:pStyle w:val="Heading7"/>
        <w:rPr>
          <w:lang w:eastAsia="en-US"/>
        </w:rPr>
      </w:pPr>
      <w:r>
        <w:rPr>
          <w:lang w:eastAsia="en-US"/>
        </w:rPr>
        <w:t>Relevance of the performance gap to the RIS</w:t>
      </w:r>
    </w:p>
    <w:p w14:paraId="1E7C5222" w14:textId="77777777" w:rsidR="00D24C7F" w:rsidRDefault="00D24C7F" w:rsidP="00D24C7F">
      <w:pPr>
        <w:pStyle w:val="BodyText"/>
        <w:rPr>
          <w:lang w:eastAsia="en-US"/>
        </w:rPr>
      </w:pPr>
      <w:r>
        <w:rPr>
          <w:lang w:eastAsia="en-US"/>
        </w:rPr>
        <w:t>As energy modelling forms the primary evidence base to support the proposed changes to the minimum energy efficiency requirements in NCC, it is critical to examine whether this evidence is a reliable indicator of the actual impacts of the proposal.</w:t>
      </w:r>
    </w:p>
    <w:p w14:paraId="226793F5" w14:textId="77777777" w:rsidR="00D24C7F" w:rsidRDefault="00D24C7F" w:rsidP="00D24C7F">
      <w:pPr>
        <w:pStyle w:val="BodyText"/>
        <w:rPr>
          <w:lang w:eastAsia="en-US"/>
        </w:rPr>
      </w:pPr>
      <w:r>
        <w:rPr>
          <w:lang w:eastAsia="en-US"/>
        </w:rPr>
        <w:t>The modelling for the NCC 2025 update for the Department of Industry, Science and Resources (DISR) argued that any discount applied to energy consumption</w:t>
      </w:r>
      <w:r>
        <w:rPr>
          <w:rStyle w:val="FootnoteReference"/>
          <w:lang w:eastAsia="en-US"/>
        </w:rPr>
        <w:footnoteReference w:id="184"/>
      </w:r>
      <w:r>
        <w:rPr>
          <w:lang w:eastAsia="en-US"/>
        </w:rPr>
        <w:t xml:space="preserve"> in the policy case (i.e. the proposed energy efficiency provisions for NCC 2025) should also be applied in the base case (i.e. NCC 2019) to avoid unfairly penalising the policy </w:t>
      </w:r>
      <w:r w:rsidRPr="00C80DAD">
        <w:rPr>
          <w:lang w:eastAsia="en-US"/>
        </w:rPr>
        <w:t>case.</w:t>
      </w:r>
      <w:r w:rsidRPr="00C80DAD">
        <w:rPr>
          <w:rStyle w:val="FootnoteReference"/>
        </w:rPr>
        <w:footnoteReference w:id="185"/>
      </w:r>
    </w:p>
    <w:p w14:paraId="7AA3DAEB" w14:textId="77777777" w:rsidR="00D24C7F" w:rsidRDefault="00D24C7F" w:rsidP="00D24C7F">
      <w:pPr>
        <w:pStyle w:val="BodyText"/>
        <w:rPr>
          <w:lang w:eastAsia="en-US"/>
        </w:rPr>
      </w:pPr>
      <w:r w:rsidRPr="00C80DAD">
        <w:rPr>
          <w:lang w:eastAsia="en-US"/>
        </w:rPr>
        <w:t>H</w:t>
      </w:r>
      <w:r>
        <w:rPr>
          <w:lang w:eastAsia="en-US"/>
        </w:rPr>
        <w:t>owever, this misinterprets the evidence cited in the RIS.</w:t>
      </w:r>
    </w:p>
    <w:p w14:paraId="7B125D0F" w14:textId="77777777" w:rsidR="00D24C7F" w:rsidRDefault="00D24C7F" w:rsidP="00D24C7F">
      <w:pPr>
        <w:pStyle w:val="ListBullet"/>
        <w:tabs>
          <w:tab w:val="num" w:pos="709"/>
        </w:tabs>
        <w:rPr>
          <w:lang w:bidi="fa-IR"/>
        </w:rPr>
      </w:pPr>
      <w:r>
        <w:rPr>
          <w:lang w:bidi="fa-IR"/>
        </w:rPr>
        <w:t>In particular, the above analysis (see chart</w:t>
      </w:r>
      <w:r w:rsidRPr="00F91656">
        <w:rPr>
          <w:lang w:bidi="fa-IR"/>
        </w:rPr>
        <w:t> </w:t>
      </w:r>
      <w:r>
        <w:rPr>
          <w:lang w:bidi="fa-IR"/>
        </w:rPr>
        <w:fldChar w:fldCharType="begin" w:fldLock="1"/>
      </w:r>
      <w:r>
        <w:rPr>
          <w:lang w:bidi="fa-IR"/>
        </w:rPr>
        <w:instrText xml:space="preserve"> REF _Caption7778  \* MERGEFORMAT </w:instrText>
      </w:r>
      <w:r>
        <w:rPr>
          <w:lang w:bidi="fa-IR"/>
        </w:rPr>
        <w:fldChar w:fldCharType="separate"/>
      </w:r>
      <w:r>
        <w:rPr>
          <w:lang w:bidi="fa-IR"/>
        </w:rPr>
        <w:t>C</w:t>
      </w:r>
      <w:r w:rsidRPr="00695C93">
        <w:rPr>
          <w:lang w:bidi="fa-IR"/>
        </w:rPr>
        <w:t>.</w:t>
      </w:r>
      <w:r>
        <w:rPr>
          <w:lang w:bidi="fa-IR"/>
        </w:rPr>
        <w:t>1</w:t>
      </w:r>
      <w:r>
        <w:rPr>
          <w:lang w:bidi="fa-IR"/>
        </w:rPr>
        <w:fldChar w:fldCharType="end"/>
      </w:r>
      <w:r>
        <w:rPr>
          <w:lang w:bidi="fa-IR"/>
        </w:rPr>
        <w:t>)</w:t>
      </w:r>
      <w:r w:rsidRPr="00D86312">
        <w:rPr>
          <w:rStyle w:val="FootnoteReference"/>
        </w:rPr>
        <w:footnoteReference w:id="186"/>
      </w:r>
      <w:r w:rsidRPr="00D86312">
        <w:rPr>
          <w:rStyle w:val="FootnoteReference"/>
        </w:rPr>
        <w:t xml:space="preserve"> </w:t>
      </w:r>
      <w:r>
        <w:rPr>
          <w:lang w:bidi="fa-IR"/>
        </w:rPr>
        <w:t>found that on average, the (absolute) performance gap tends to be much higher in energy efficient buildings (i.e. buildings with low modelled energy intensity), compared with less energy efficient buildings (i.e. building with higher modelled energy intensity).</w:t>
      </w:r>
    </w:p>
    <w:p w14:paraId="0A88F3AD" w14:textId="77777777" w:rsidR="00D24C7F" w:rsidRPr="00D86312" w:rsidRDefault="00D24C7F" w:rsidP="00D24C7F">
      <w:pPr>
        <w:pStyle w:val="ListBullet"/>
        <w:tabs>
          <w:tab w:val="num" w:pos="709"/>
        </w:tabs>
        <w:rPr>
          <w:lang w:bidi="fa-IR"/>
        </w:rPr>
      </w:pPr>
      <w:r>
        <w:rPr>
          <w:lang w:bidi="fa-IR"/>
        </w:rPr>
        <w:t xml:space="preserve">This relationship implies that the performance gap is likely to be higher for a building </w:t>
      </w:r>
      <w:r w:rsidRPr="00D86312">
        <w:rPr>
          <w:lang w:bidi="fa-IR"/>
        </w:rPr>
        <w:t>under the policy case (i.e. compliant with NCC 2025), compared with the base case (i.e. compliant with NCC 2019).</w:t>
      </w:r>
    </w:p>
    <w:p w14:paraId="42F8E4A0" w14:textId="77777777" w:rsidR="00D24C7F" w:rsidRDefault="00D24C7F" w:rsidP="00D24C7F">
      <w:pPr>
        <w:pStyle w:val="ListBullet"/>
        <w:tabs>
          <w:tab w:val="num" w:pos="709"/>
        </w:tabs>
        <w:rPr>
          <w:lang w:bidi="fa-IR"/>
        </w:rPr>
      </w:pPr>
      <w:r>
        <w:rPr>
          <w:lang w:bidi="fa-IR"/>
        </w:rPr>
        <w:t xml:space="preserve">The implication would be that the modelled energy </w:t>
      </w:r>
      <w:r w:rsidRPr="00D86312">
        <w:rPr>
          <w:lang w:bidi="fa-IR"/>
        </w:rPr>
        <w:t>savings</w:t>
      </w:r>
      <w:r>
        <w:rPr>
          <w:lang w:bidi="fa-IR"/>
        </w:rPr>
        <w:t xml:space="preserve"> (i.e. the difference between NCC 2019 and NCC 2016) are unlikely to be fully realised on average (i.e. the slope of the line of best fit is less than 1).</w:t>
      </w:r>
    </w:p>
    <w:p w14:paraId="6167B17A" w14:textId="77777777" w:rsidR="00D24C7F" w:rsidRDefault="00D24C7F" w:rsidP="00D24C7F">
      <w:pPr>
        <w:pStyle w:val="BodyText"/>
        <w:rPr>
          <w:lang w:bidi="fa-IR"/>
        </w:rPr>
      </w:pPr>
      <w:r>
        <w:rPr>
          <w:lang w:bidi="fa-IR"/>
        </w:rPr>
        <w:t>If, as argued in the commercial buildings update report, the ‘performance gap’ (in absolute terms) is likely to be the same in the base case (i.e. NCC 2019) and the policy case (the NCC 2025 proposal), we would expect the line of best fit (i.e. the grey line in chart</w:t>
      </w:r>
      <w:r w:rsidRPr="00F91656">
        <w:t> </w:t>
      </w:r>
      <w:fldSimple w:instr=" REF _Caption7778 " w:fldLock="1">
        <w:r>
          <w:rPr>
            <w:noProof/>
          </w:rPr>
          <w:t>C</w:t>
        </w:r>
        <w:r w:rsidRPr="00695C93">
          <w:rPr>
            <w:noProof/>
          </w:rPr>
          <w:t>.</w:t>
        </w:r>
        <w:r>
          <w:rPr>
            <w:noProof/>
          </w:rPr>
          <w:t>1</w:t>
        </w:r>
      </w:fldSimple>
      <w:r>
        <w:rPr>
          <w:lang w:bidi="fa-IR"/>
        </w:rPr>
        <w:t>) to have a slope close to 1 (i.e. parallel to the red line where actual energy consumption equals predicted energy consumption).</w:t>
      </w:r>
    </w:p>
    <w:p w14:paraId="62108FFA" w14:textId="77777777" w:rsidR="00D24C7F" w:rsidRDefault="00D24C7F" w:rsidP="00D24C7F">
      <w:pPr>
        <w:pStyle w:val="Heading7"/>
        <w:rPr>
          <w:lang w:eastAsia="en-US"/>
        </w:rPr>
      </w:pPr>
      <w:r>
        <w:rPr>
          <w:lang w:eastAsia="en-US"/>
        </w:rPr>
        <w:t>Recent evidence</w:t>
      </w:r>
    </w:p>
    <w:p w14:paraId="307050EC" w14:textId="77777777" w:rsidR="00D24C7F" w:rsidRDefault="00D24C7F" w:rsidP="00D24C7F">
      <w:pPr>
        <w:pStyle w:val="BodyText"/>
        <w:rPr>
          <w:lang w:eastAsia="en-US"/>
        </w:rPr>
      </w:pPr>
      <w:r>
        <w:rPr>
          <w:lang w:eastAsia="en-US"/>
        </w:rPr>
        <w:t>Over recent years (i.e. since the 2018 RIS), there has been significant research to understand the performance gap from both a technical and a policy perspective.</w:t>
      </w:r>
    </w:p>
    <w:p w14:paraId="5FDD452D" w14:textId="77777777" w:rsidR="00D24C7F" w:rsidRDefault="00D24C7F" w:rsidP="00D24C7F">
      <w:pPr>
        <w:pStyle w:val="BodyText"/>
        <w:rPr>
          <w:lang w:eastAsia="en-US"/>
        </w:rPr>
      </w:pPr>
      <w:r>
        <w:rPr>
          <w:lang w:eastAsia="en-US"/>
        </w:rPr>
        <w:t xml:space="preserve">Much of the literature focuses on estimating the size of the performance gap using various building samples and the causes of the performance gap, rather than the central question to the RIS: whether modelled energy </w:t>
      </w:r>
      <w:r w:rsidRPr="00E10A97">
        <w:rPr>
          <w:i/>
          <w:iCs/>
          <w:lang w:eastAsia="en-US"/>
        </w:rPr>
        <w:t>savings</w:t>
      </w:r>
      <w:r>
        <w:rPr>
          <w:lang w:eastAsia="en-US"/>
        </w:rPr>
        <w:t xml:space="preserve"> are achieved in practice.</w:t>
      </w:r>
    </w:p>
    <w:p w14:paraId="46B3A836" w14:textId="77777777" w:rsidR="00D24C7F" w:rsidRPr="0031667F" w:rsidRDefault="00D24C7F" w:rsidP="00D24C7F">
      <w:pPr>
        <w:pStyle w:val="BodyText"/>
      </w:pPr>
      <w:r w:rsidRPr="0031667F">
        <w:t>Recent work for the International Partnership for Energy Efficiency Cooperation (IPEEC) Building Energy Efficiency Taskgroup (BEET) noted that building energy modelling can be a powerful tool for understanding the likely impacts of different building system alternatives, construction practices, and occupant behaviour issues. However, building energy models are generally not intended to “predict” actual energy performance when the building is operational.</w:t>
      </w:r>
    </w:p>
    <w:p w14:paraId="754909CA" w14:textId="77777777" w:rsidR="00D24C7F" w:rsidRDefault="00D24C7F" w:rsidP="00D24C7F">
      <w:pPr>
        <w:pStyle w:val="BodyText"/>
        <w:rPr>
          <w:lang w:eastAsia="en-US"/>
        </w:rPr>
      </w:pPr>
      <w:r w:rsidRPr="0031667F">
        <w:t>According to the IPEEC report, energy modelling during the building’s design phase is most commonly used</w:t>
      </w:r>
      <w:r w:rsidRPr="0031667F" w:rsidDel="00905064">
        <w:t xml:space="preserve"> </w:t>
      </w:r>
      <w:r w:rsidRPr="0031667F">
        <w:t>to demonstrate compliance with ‘a building code or other regulatory instrument, which typically cover</w:t>
      </w:r>
      <w:r>
        <w:t>s</w:t>
      </w:r>
      <w:r w:rsidRPr="0031667F">
        <w:t xml:space="preserve"> only a subset of energy uses (referred to as ‘regulated uses’). In operation, buildings often incur other loads which are not regulated (such as appliances, elevators, process loads, or other plug loads) which</w:t>
      </w:r>
      <w:r w:rsidRPr="0031667F" w:rsidDel="00ED23DE">
        <w:t xml:space="preserve"> </w:t>
      </w:r>
      <w:r w:rsidRPr="0031667F">
        <w:t>can be significant. These uses are often not captured accurately in compliance-oriented energy models.</w:t>
      </w:r>
      <w:r w:rsidRPr="0031667F">
        <w:rPr>
          <w:rStyle w:val="FootnoteReference"/>
        </w:rPr>
        <w:footnoteReference w:id="187"/>
      </w:r>
      <w:r>
        <w:t xml:space="preserve"> This implies that comparisons between modelled and actual energy consumption may not be an ‘apples with apples’ comparison.</w:t>
      </w:r>
    </w:p>
    <w:p w14:paraId="0E0972FC" w14:textId="77777777" w:rsidR="00D24C7F" w:rsidRDefault="00D24C7F" w:rsidP="00D24C7F">
      <w:pPr>
        <w:pStyle w:val="BodyText"/>
        <w:rPr>
          <w:lang w:eastAsia="en-US"/>
        </w:rPr>
      </w:pPr>
      <w:r>
        <w:t xml:space="preserve">Of relevance to the RIS, the IPEEC report noted </w:t>
      </w:r>
      <w:r w:rsidRPr="0031667F">
        <w:t>increasing evidence of expected savings from retrofit projects not being realised.</w:t>
      </w:r>
      <w:r w:rsidRPr="0031667F">
        <w:rPr>
          <w:rStyle w:val="FootnoteReference"/>
        </w:rPr>
        <w:footnoteReference w:id="188"/>
      </w:r>
      <w:r>
        <w:t xml:space="preserve"> The evidence from retrofit projects is important because the ‘base case’ (i.e. the building’s performance prior to the retrofit) can be observed. By contrast, the base case (i.e. a hypothetical less energy efficient alternative building) cannot be directly observed for new buildings (as discussed below it can be challenging to compare across buildings).</w:t>
      </w:r>
    </w:p>
    <w:p w14:paraId="1B8CF6E7" w14:textId="77777777" w:rsidR="00D24C7F" w:rsidRPr="0031667F" w:rsidRDefault="00D24C7F" w:rsidP="00D24C7F">
      <w:pPr>
        <w:pStyle w:val="BodyText"/>
      </w:pPr>
      <w:r>
        <w:rPr>
          <w:lang w:bidi="fa-IR"/>
        </w:rPr>
        <w:t xml:space="preserve">In the Australian context, an important recent contribution to understanding the performance gap is the GBCA’s recent report </w:t>
      </w:r>
      <w:r w:rsidRPr="00CF25AE">
        <w:rPr>
          <w:i/>
          <w:lang w:bidi="fa-IR"/>
        </w:rPr>
        <w:t>Green Star in focus: Energy performance in Green Star buildings: Closing the performance gap in Australia’s commercial office sector</w:t>
      </w:r>
      <w:r>
        <w:rPr>
          <w:lang w:bidi="fa-IR"/>
        </w:rPr>
        <w:t xml:space="preserve">. This report was an </w:t>
      </w:r>
      <w:r w:rsidRPr="0031667F">
        <w:t xml:space="preserve">update and expansion of a previous (2013) report </w:t>
      </w:r>
      <w:r w:rsidRPr="0031667F">
        <w:rPr>
          <w:i/>
        </w:rPr>
        <w:t>Achieving the Green Dream: Predicted vs. Actual – Greenhouse Gas Performance in Green Star certified office buildings,</w:t>
      </w:r>
      <w:r w:rsidRPr="0031667F">
        <w:t xml:space="preserve"> the research report that provided the data that CIE used as the basis for our analysis (see chart</w:t>
      </w:r>
      <w:r w:rsidRPr="00F91656">
        <w:t> </w:t>
      </w:r>
      <w:fldSimple w:instr=" REF _Caption7778 " w:fldLock="1">
        <w:r>
          <w:rPr>
            <w:noProof/>
          </w:rPr>
          <w:t>C</w:t>
        </w:r>
        <w:r w:rsidRPr="00695C93">
          <w:rPr>
            <w:noProof/>
          </w:rPr>
          <w:t>.</w:t>
        </w:r>
        <w:r>
          <w:rPr>
            <w:noProof/>
          </w:rPr>
          <w:t>1</w:t>
        </w:r>
      </w:fldSimple>
      <w:r>
        <w:t xml:space="preserve"> </w:t>
      </w:r>
      <w:r w:rsidRPr="0031667F">
        <w:t>above).</w:t>
      </w:r>
    </w:p>
    <w:p w14:paraId="09E8CF18" w14:textId="77777777" w:rsidR="00D24C7F" w:rsidRPr="0031667F" w:rsidRDefault="00D24C7F" w:rsidP="00D24C7F">
      <w:pPr>
        <w:pStyle w:val="BodyText"/>
      </w:pPr>
      <w:r w:rsidRPr="0031667F">
        <w:t>The main objective of the new study was to verify how predictive energy modelling applied to the design of Green Star rated buildings translates into performance in operations.</w:t>
      </w:r>
      <w:r>
        <w:t xml:space="preserve"> </w:t>
      </w:r>
      <w:r w:rsidRPr="0031667F">
        <w:t>The analysis compared modelled and actual performance of 176 office buildings (this compared to a sample of 70 buildings for the 2012 report) with both:</w:t>
      </w:r>
    </w:p>
    <w:p w14:paraId="435D70A9" w14:textId="77777777" w:rsidR="00D24C7F" w:rsidRPr="00E02987" w:rsidRDefault="00D24C7F" w:rsidP="00D24C7F">
      <w:pPr>
        <w:pStyle w:val="ListBullet"/>
        <w:tabs>
          <w:tab w:val="num" w:pos="709"/>
        </w:tabs>
        <w:rPr>
          <w:lang w:bidi="fa-IR"/>
        </w:rPr>
      </w:pPr>
      <w:r w:rsidRPr="00E02987">
        <w:rPr>
          <w:lang w:bidi="fa-IR"/>
        </w:rPr>
        <w:t>a Green Star rating (which includes modelled outcomes); and</w:t>
      </w:r>
    </w:p>
    <w:p w14:paraId="72B7CBEC" w14:textId="77777777" w:rsidR="00D24C7F" w:rsidRPr="00E02987" w:rsidRDefault="00D24C7F" w:rsidP="00D24C7F">
      <w:pPr>
        <w:pStyle w:val="ListBullet"/>
        <w:tabs>
          <w:tab w:val="num" w:pos="709"/>
        </w:tabs>
        <w:rPr>
          <w:lang w:bidi="fa-IR"/>
        </w:rPr>
      </w:pPr>
      <w:r w:rsidRPr="00E02987">
        <w:rPr>
          <w:lang w:bidi="fa-IR"/>
        </w:rPr>
        <w:t>a NABERS Energy (base building) rating (which reports actual outcomes).</w:t>
      </w:r>
    </w:p>
    <w:p w14:paraId="10171659" w14:textId="77777777" w:rsidR="00D24C7F" w:rsidRPr="0031667F" w:rsidRDefault="00D24C7F" w:rsidP="00D24C7F">
      <w:pPr>
        <w:pStyle w:val="BodyText"/>
      </w:pPr>
      <w:r w:rsidRPr="0031667F">
        <w:t xml:space="preserve">Modelled energy performance was taken from Green Star project submissions and converted to a NABERS star rating using the NABERS Energy Calculator. This was then compared to the actual NABERS Energy rating from the NABERS database. </w:t>
      </w:r>
    </w:p>
    <w:p w14:paraId="60C10050" w14:textId="77777777" w:rsidR="00D24C7F" w:rsidRDefault="00D24C7F" w:rsidP="00D24C7F">
      <w:pPr>
        <w:pStyle w:val="BodyText"/>
        <w:rPr>
          <w:lang w:bidi="fa-IR"/>
        </w:rPr>
      </w:pPr>
      <w:r w:rsidRPr="0031667F">
        <w:t>The analysis focuses on the NABERS Energy ratings (rather than energy intensity) because it corrects for unavoidable operational factors, such as</w:t>
      </w:r>
      <w:r w:rsidRPr="0031667F" w:rsidDel="00C81249">
        <w:t xml:space="preserve"> </w:t>
      </w:r>
      <w:r w:rsidRPr="0031667F">
        <w:t>hours of occupancy (</w:t>
      </w:r>
      <w:r>
        <w:t>i.e.</w:t>
      </w:r>
      <w:r w:rsidRPr="0031667F">
        <w:t xml:space="preserve"> where a building’s actual hours of occupancy are greater than modelled, the building will use more energy).</w:t>
      </w:r>
      <w:r w:rsidRPr="0031667F">
        <w:rPr>
          <w:rStyle w:val="FootnoteReference"/>
        </w:rPr>
        <w:footnoteReference w:id="189"/>
      </w:r>
    </w:p>
    <w:p w14:paraId="6735EECD" w14:textId="77777777" w:rsidR="00D24C7F" w:rsidRDefault="00D24C7F" w:rsidP="00D24C7F">
      <w:pPr>
        <w:pStyle w:val="BodyText"/>
        <w:rPr>
          <w:lang w:bidi="fa-IR"/>
        </w:rPr>
      </w:pPr>
      <w:r>
        <w:rPr>
          <w:lang w:bidi="fa-IR"/>
        </w:rPr>
        <w:t>The GBCA found that (see chart </w:t>
      </w:r>
      <w:r>
        <w:rPr>
          <w:lang w:bidi="fa-IR"/>
        </w:rPr>
        <w:fldChar w:fldCharType="begin" w:fldLock="1"/>
      </w:r>
      <w:r>
        <w:rPr>
          <w:lang w:bidi="fa-IR"/>
        </w:rPr>
        <w:instrText xml:space="preserve"> REF _Caption0252 </w:instrText>
      </w:r>
      <w:r>
        <w:rPr>
          <w:lang w:bidi="fa-IR"/>
        </w:rPr>
        <w:fldChar w:fldCharType="separate"/>
      </w:r>
      <w:r>
        <w:rPr>
          <w:noProof/>
        </w:rPr>
        <w:t>C</w:t>
      </w:r>
      <w:r w:rsidRPr="00695C93">
        <w:rPr>
          <w:noProof/>
        </w:rPr>
        <w:t>.</w:t>
      </w:r>
      <w:r>
        <w:rPr>
          <w:noProof/>
        </w:rPr>
        <w:t>2</w:t>
      </w:r>
      <w:r>
        <w:rPr>
          <w:lang w:bidi="fa-IR"/>
        </w:rPr>
        <w:fldChar w:fldCharType="end"/>
      </w:r>
      <w:r>
        <w:rPr>
          <w:lang w:bidi="fa-IR"/>
        </w:rPr>
        <w:t>):</w:t>
      </w:r>
      <w:r>
        <w:rPr>
          <w:rStyle w:val="FootnoteReference"/>
          <w:lang w:bidi="fa-IR"/>
        </w:rPr>
        <w:footnoteReference w:id="190"/>
      </w:r>
    </w:p>
    <w:p w14:paraId="1B172456" w14:textId="77777777" w:rsidR="00D24C7F" w:rsidRDefault="00D24C7F" w:rsidP="00D24C7F">
      <w:pPr>
        <w:pStyle w:val="ListBullet"/>
        <w:tabs>
          <w:tab w:val="num" w:pos="709"/>
        </w:tabs>
        <w:rPr>
          <w:lang w:bidi="fa-IR"/>
        </w:rPr>
      </w:pPr>
      <w:r>
        <w:rPr>
          <w:lang w:bidi="fa-IR"/>
        </w:rPr>
        <w:t>88 per cent of buildings in the sample achieved, exceeded or were within reach of their modelled NABERS Energy rating, including:</w:t>
      </w:r>
    </w:p>
    <w:p w14:paraId="61D9C65D" w14:textId="77777777" w:rsidR="00D24C7F" w:rsidRDefault="00D24C7F" w:rsidP="00D24C7F">
      <w:pPr>
        <w:pStyle w:val="ListBullet"/>
        <w:tabs>
          <w:tab w:val="num" w:pos="709"/>
        </w:tabs>
        <w:rPr>
          <w:lang w:bidi="fa-IR"/>
        </w:rPr>
      </w:pPr>
      <w:r>
        <w:rPr>
          <w:lang w:bidi="fa-IR"/>
        </w:rPr>
        <w:t>23 per cent improved on their modelled NABERS Energy rating</w:t>
      </w:r>
    </w:p>
    <w:p w14:paraId="7A9BD6CB" w14:textId="77777777" w:rsidR="00D24C7F" w:rsidRDefault="00D24C7F" w:rsidP="00D24C7F">
      <w:pPr>
        <w:pStyle w:val="ListBullet"/>
        <w:tabs>
          <w:tab w:val="num" w:pos="709"/>
        </w:tabs>
        <w:rPr>
          <w:lang w:bidi="fa-IR"/>
        </w:rPr>
      </w:pPr>
      <w:r>
        <w:rPr>
          <w:lang w:bidi="fa-IR"/>
        </w:rPr>
        <w:t>44 per cent achieved their modelled NABERS Energy rating</w:t>
      </w:r>
    </w:p>
    <w:p w14:paraId="478C10FF" w14:textId="77777777" w:rsidR="00D24C7F" w:rsidRDefault="00D24C7F" w:rsidP="00D24C7F">
      <w:pPr>
        <w:pStyle w:val="ListBullet"/>
        <w:tabs>
          <w:tab w:val="num" w:pos="709"/>
        </w:tabs>
        <w:rPr>
          <w:lang w:bidi="fa-IR"/>
        </w:rPr>
      </w:pPr>
      <w:r>
        <w:rPr>
          <w:lang w:bidi="fa-IR"/>
        </w:rPr>
        <w:t>21 per cent were within 0.5 starts of their modelled NABERS Energy rating</w:t>
      </w:r>
    </w:p>
    <w:p w14:paraId="6374EC2A" w14:textId="77777777" w:rsidR="00D24C7F" w:rsidRDefault="00D24C7F" w:rsidP="00D24C7F">
      <w:pPr>
        <w:pStyle w:val="ListBullet"/>
        <w:tabs>
          <w:tab w:val="num" w:pos="709"/>
        </w:tabs>
        <w:rPr>
          <w:lang w:bidi="fa-IR"/>
        </w:rPr>
      </w:pPr>
      <w:r>
        <w:rPr>
          <w:lang w:bidi="fa-IR"/>
        </w:rPr>
        <w:t>12 per cent of buildings were more than 0.5 stars from their modelled NABERS Energy rating.</w:t>
      </w:r>
    </w:p>
    <w:p w14:paraId="1794E5D2" w14:textId="3C0C532C" w:rsidR="00D24C7F" w:rsidRPr="005E5FA8" w:rsidRDefault="00D24C7F" w:rsidP="00CA0DBC">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20F9E">
          <w:rPr>
            <w:noProof/>
          </w:rPr>
          <w:instrText>C</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w:instrText>
      </w:r>
      <w:r w:rsidRPr="005E5FA8">
        <w:fldChar w:fldCharType="separate"/>
      </w:r>
      <w:r w:rsidRPr="005E5FA8">
        <w:instrText>Error! No text of specified style in document..</w:instrText>
      </w:r>
      <w:r w:rsidRPr="005E5FA8">
        <w:fldChar w:fldCharType="end"/>
      </w:r>
      <w:r w:rsidRPr="005E5FA8">
        <w:instrText>" "</w:instrText>
      </w:r>
      <w:fldSimple w:instr=" STYLEREF &quot;Heading 6&quot; \l \n ">
        <w:r w:rsidR="00520F9E">
          <w:rPr>
            <w:noProof/>
          </w:rPr>
          <w:instrText>C</w:instrText>
        </w:r>
      </w:fldSimple>
      <w:r w:rsidRPr="005E5FA8">
        <w:instrText xml:space="preserve">." </w:instrText>
      </w:r>
      <w:r w:rsidRPr="005E5FA8">
        <w:fldChar w:fldCharType="separate"/>
      </w:r>
      <w:r w:rsidR="00520F9E">
        <w:rPr>
          <w:noProof/>
        </w:rPr>
        <w:instrText>C</w:instrText>
      </w:r>
      <w:r w:rsidR="00520F9E"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20F9E">
          <w:rPr>
            <w:noProof/>
          </w:rPr>
          <w:instrText>C</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"1" </w:instrText>
      </w:r>
      <w:r w:rsidRPr="005E5FA8">
        <w:fldChar w:fldCharType="separate"/>
      </w:r>
      <w:r w:rsidRPr="005E5FA8">
        <w:instrText>1</w:instrText>
      </w:r>
      <w:r w:rsidRPr="005E5FA8">
        <w:fldChar w:fldCharType="end"/>
      </w:r>
      <w:r w:rsidRPr="005E5FA8">
        <w:instrText xml:space="preserve">" "6" </w:instrText>
      </w:r>
      <w:r w:rsidRPr="005E5FA8">
        <w:fldChar w:fldCharType="separate"/>
      </w:r>
      <w:r w:rsidR="00520F9E" w:rsidRPr="005E5FA8">
        <w:rPr>
          <w:noProof/>
        </w:rPr>
        <w:instrText>6</w:instrText>
      </w:r>
      <w:r w:rsidRPr="005E5FA8">
        <w:fldChar w:fldCharType="end"/>
      </w:r>
      <w:r w:rsidRPr="005E5FA8">
        <w:instrText xml:space="preserve"> </w:instrText>
      </w:r>
      <w:r w:rsidRPr="005E5FA8">
        <w:fldChar w:fldCharType="separate"/>
      </w:r>
      <w:r w:rsidR="00520F9E">
        <w:rPr>
          <w:noProof/>
        </w:rPr>
        <w:instrText>2</w:instrText>
      </w:r>
      <w:r w:rsidRPr="005E5FA8">
        <w:fldChar w:fldCharType="end"/>
      </w:r>
      <w:r w:rsidRPr="005E5FA8">
        <w:instrText xml:space="preserve">" "" </w:instrText>
      </w:r>
      <w:r w:rsidRPr="005E5FA8">
        <w:fldChar w:fldCharType="separate"/>
      </w:r>
      <w:bookmarkStart w:id="8048" w:name="_Caption6683"/>
      <w:bookmarkStart w:id="8049" w:name="_Caption8956"/>
      <w:bookmarkStart w:id="8050" w:name="_Caption0242"/>
      <w:bookmarkStart w:id="8051" w:name="_Caption4036"/>
      <w:bookmarkStart w:id="8052" w:name="_Caption3254"/>
      <w:bookmarkStart w:id="8053" w:name="_Caption9207"/>
      <w:bookmarkStart w:id="8054" w:name="_Caption6020"/>
      <w:bookmarkStart w:id="8055" w:name="_Caption8639"/>
      <w:bookmarkStart w:id="8056" w:name="_Caption3156"/>
      <w:bookmarkStart w:id="8057" w:name="_Caption0252"/>
      <w:bookmarkStart w:id="8058" w:name="_Caption3612"/>
      <w:bookmarkStart w:id="8059" w:name="_Caption8530"/>
      <w:bookmarkStart w:id="8060" w:name="_Caption6309"/>
      <w:bookmarkStart w:id="8061" w:name="_Caption2352"/>
      <w:bookmarkStart w:id="8062" w:name="_Caption1329"/>
      <w:bookmarkStart w:id="8063" w:name="_Caption0999"/>
      <w:bookmarkStart w:id="8064" w:name="_Caption4319"/>
      <w:bookmarkStart w:id="8065" w:name="_Caption6235"/>
      <w:bookmarkStart w:id="8066" w:name="_Caption7061"/>
      <w:bookmarkStart w:id="8067" w:name="_Caption5355"/>
      <w:bookmarkStart w:id="8068" w:name="_Caption7906"/>
      <w:bookmarkStart w:id="8069" w:name="_Caption5070"/>
      <w:bookmarkStart w:id="8070" w:name="_Caption1010"/>
      <w:bookmarkStart w:id="8071" w:name="_Caption2936"/>
      <w:bookmarkStart w:id="8072" w:name="_Caption9091"/>
      <w:bookmarkStart w:id="8073" w:name="_Caption8096"/>
      <w:bookmarkStart w:id="8074" w:name="_Caption6740"/>
      <w:bookmarkStart w:id="8075" w:name="_Caption2887"/>
      <w:bookmarkStart w:id="8076" w:name="_Caption4338"/>
      <w:bookmarkStart w:id="8077" w:name="_Caption8899"/>
      <w:bookmarkStart w:id="8078" w:name="_Caption7485"/>
      <w:bookmarkStart w:id="8079" w:name="_Toc149060099"/>
      <w:bookmarkStart w:id="8080" w:name="_Toc177735227"/>
      <w:bookmarkStart w:id="8081" w:name="_Toc178292664"/>
      <w:r w:rsidR="008C60A3">
        <w:rPr>
          <w:noProof/>
        </w:rPr>
        <w:t>C</w:t>
      </w:r>
      <w:r w:rsidR="008C60A3" w:rsidRPr="005E5FA8">
        <w:rPr>
          <w:noProof/>
        </w:rPr>
        <w:t>.</w:t>
      </w:r>
      <w:r w:rsidR="008C60A3">
        <w:rPr>
          <w:noProof/>
        </w:rPr>
        <w:t>2</w:t>
      </w:r>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r w:rsidRPr="005E5FA8">
        <w:fldChar w:fldCharType="end"/>
      </w:r>
      <w:r w:rsidRPr="005E5FA8">
        <w:tab/>
        <w:t>Comparison of actual and modelled NABERS rating</w:t>
      </w:r>
      <w:bookmarkEnd w:id="8079"/>
      <w:bookmarkEnd w:id="8080"/>
      <w:bookmarkEnd w:id="8081"/>
    </w:p>
    <w:p w14:paraId="4641659B" w14:textId="77777777" w:rsidR="00D24C7F" w:rsidRPr="00401E3A" w:rsidRDefault="00D24C7F" w:rsidP="00D24C7F">
      <w:pPr>
        <w:pStyle w:val="Subtitlebox"/>
      </w:pPr>
      <w:r w:rsidRPr="007C4AB4">
        <w:rPr>
          <w:noProof/>
        </w:rPr>
        <w:drawing>
          <wp:inline distT="0" distB="0" distL="0" distR="0" wp14:anchorId="51877F5D" wp14:editId="562DE1D5">
            <wp:extent cx="5035550" cy="2432050"/>
            <wp:effectExtent l="76200" t="76200" r="69850" b="82550"/>
            <wp:docPr id="1219909567" name="Picture 1219909567" descr="Chart C.2 Comparison of actual and modelled NABERS rating&#10;&#10;The GBCA found that: &#10;■ 88 per cent of buildings in the sample achieved, exceeded or were within reach of their modelled NABERS Energy rating, including:&#10;■ 23 per cent improved on their modelled NABERS Energy rating&#10;■ 44 per cent achieved their modelled NABERS Energy rating&#10;■ 21 per cent were within 0.5 starts of their modelled NABERS Energy rating&#10;■ 12 per cent of buildings were more than 0.5 stars from their modelled NABERS Energy rat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909567" name="Picture 1219909567" descr="Chart C.2 Comparison of actual and modelled NABERS rating&#10;&#10;The GBCA found that: &#10;■ 88 per cent of buildings in the sample achieved, exceeded or were within reach of their modelled NABERS Energy rating, including:&#10;■ 23 per cent improved on their modelled NABERS Energy rating&#10;■ 44 per cent achieved their modelled NABERS Energy rating&#10;■ 21 per cent were within 0.5 starts of their modelled NABERS Energy rating&#10;■ 12 per cent of buildings were more than 0.5 stars from their modelled NABERS Energy rating.&#1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035550" cy="2432050"/>
                    </a:xfrm>
                    <a:prstGeom prst="rect">
                      <a:avLst/>
                    </a:prstGeom>
                    <a:noFill/>
                    <a:ln w="76200">
                      <a:solidFill>
                        <a:schemeClr val="bg2"/>
                      </a:solidFill>
                    </a:ln>
                  </pic:spPr>
                </pic:pic>
              </a:graphicData>
            </a:graphic>
          </wp:inline>
        </w:drawing>
      </w:r>
    </w:p>
    <w:p w14:paraId="55E3CD9D" w14:textId="77777777" w:rsidR="00D24C7F" w:rsidRDefault="00D24C7F" w:rsidP="00D24C7F">
      <w:pPr>
        <w:pStyle w:val="Source"/>
      </w:pPr>
      <w:r>
        <w:rPr>
          <w:i/>
        </w:rPr>
        <w:t>Data source</w:t>
      </w:r>
      <w:r w:rsidRPr="00A67576">
        <w:rPr>
          <w:i/>
        </w:rPr>
        <w:t>:</w:t>
      </w:r>
      <w:r>
        <w:t xml:space="preserve"> Green Building Council of Australia, 2021, </w:t>
      </w:r>
      <w:r w:rsidRPr="00756CF5">
        <w:rPr>
          <w:i/>
          <w:iCs/>
        </w:rPr>
        <w:t>Green star in focus: Energy performance in Green Star buildings: Closing the performance gap in Australia’s commercial office sector</w:t>
      </w:r>
      <w:r>
        <w:t>, pp. 56</w:t>
      </w:r>
      <w:r>
        <w:noBreakHyphen/>
        <w:t>57.</w:t>
      </w:r>
    </w:p>
    <w:p w14:paraId="1F53E5DD" w14:textId="35404410" w:rsidR="00D24C7F" w:rsidRDefault="00D24C7F" w:rsidP="00D24C7F">
      <w:pPr>
        <w:pStyle w:val="BodyText"/>
        <w:rPr>
          <w:lang w:bidi="fa-IR"/>
        </w:rPr>
      </w:pPr>
      <w:r>
        <w:rPr>
          <w:lang w:bidi="fa-IR"/>
        </w:rPr>
        <w:t>These results were an improvement from the previous (2012) analysis (see chart </w:t>
      </w:r>
      <w:r w:rsidR="00CA0DBC">
        <w:rPr>
          <w:lang w:bidi="fa-IR"/>
        </w:rPr>
        <w:t>C.3</w:t>
      </w:r>
      <w:r>
        <w:rPr>
          <w:lang w:bidi="fa-IR"/>
        </w:rPr>
        <w:t>):</w:t>
      </w:r>
    </w:p>
    <w:p w14:paraId="70A6235A" w14:textId="77777777" w:rsidR="00D24C7F" w:rsidRPr="00E02987" w:rsidRDefault="00D24C7F" w:rsidP="00D24C7F">
      <w:pPr>
        <w:pStyle w:val="ListBullet"/>
        <w:tabs>
          <w:tab w:val="num" w:pos="709"/>
        </w:tabs>
        <w:rPr>
          <w:lang w:bidi="fa-IR"/>
        </w:rPr>
      </w:pPr>
      <w:r w:rsidRPr="00E02987">
        <w:rPr>
          <w:lang w:bidi="fa-IR"/>
        </w:rPr>
        <w:t>a greater proportion of buildings in the sample achieved or exceeded the modelled NABERS rating</w:t>
      </w:r>
    </w:p>
    <w:p w14:paraId="30A72C42" w14:textId="77777777" w:rsidR="00D24C7F" w:rsidRPr="00E02987" w:rsidRDefault="00D24C7F" w:rsidP="00D24C7F">
      <w:pPr>
        <w:pStyle w:val="ListBullet"/>
        <w:tabs>
          <w:tab w:val="num" w:pos="709"/>
        </w:tabs>
        <w:rPr>
          <w:lang w:bidi="fa-IR"/>
        </w:rPr>
      </w:pPr>
      <w:r w:rsidRPr="00E02987">
        <w:rPr>
          <w:lang w:bidi="fa-IR"/>
        </w:rPr>
        <w:t>a smaller proportion of buildings in the sample performed significantly below the modelled NABERS rating.</w:t>
      </w:r>
    </w:p>
    <w:p w14:paraId="18599D7F" w14:textId="20917B86" w:rsidR="00D24C7F" w:rsidRPr="005E5FA8" w:rsidRDefault="00D24C7F" w:rsidP="00CA0DBC">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20F9E">
          <w:rPr>
            <w:noProof/>
          </w:rPr>
          <w:instrText>C</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w:instrText>
      </w:r>
      <w:r w:rsidRPr="005E5FA8">
        <w:fldChar w:fldCharType="separate"/>
      </w:r>
      <w:r w:rsidRPr="005E5FA8">
        <w:instrText>Error! No text of specified style in document..</w:instrText>
      </w:r>
      <w:r w:rsidRPr="005E5FA8">
        <w:fldChar w:fldCharType="end"/>
      </w:r>
      <w:r w:rsidRPr="005E5FA8">
        <w:instrText>" "</w:instrText>
      </w:r>
      <w:fldSimple w:instr=" STYLEREF &quot;Heading 6&quot; \l \n ">
        <w:r w:rsidR="00520F9E">
          <w:rPr>
            <w:noProof/>
          </w:rPr>
          <w:instrText>C</w:instrText>
        </w:r>
      </w:fldSimple>
      <w:r w:rsidRPr="005E5FA8">
        <w:instrText xml:space="preserve">." </w:instrText>
      </w:r>
      <w:r w:rsidRPr="005E5FA8">
        <w:fldChar w:fldCharType="separate"/>
      </w:r>
      <w:r w:rsidR="00520F9E">
        <w:rPr>
          <w:noProof/>
        </w:rPr>
        <w:instrText>C</w:instrText>
      </w:r>
      <w:r w:rsidR="00520F9E"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20F9E">
          <w:rPr>
            <w:noProof/>
          </w:rPr>
          <w:instrText>C</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"1" </w:instrText>
      </w:r>
      <w:r w:rsidRPr="005E5FA8">
        <w:fldChar w:fldCharType="separate"/>
      </w:r>
      <w:r w:rsidRPr="005E5FA8">
        <w:instrText>1</w:instrText>
      </w:r>
      <w:r w:rsidRPr="005E5FA8">
        <w:fldChar w:fldCharType="end"/>
      </w:r>
      <w:r w:rsidRPr="005E5FA8">
        <w:instrText xml:space="preserve">" "6" </w:instrText>
      </w:r>
      <w:r w:rsidRPr="005E5FA8">
        <w:fldChar w:fldCharType="separate"/>
      </w:r>
      <w:r w:rsidR="00520F9E" w:rsidRPr="005E5FA8">
        <w:rPr>
          <w:noProof/>
        </w:rPr>
        <w:instrText>6</w:instrText>
      </w:r>
      <w:r w:rsidRPr="005E5FA8">
        <w:fldChar w:fldCharType="end"/>
      </w:r>
      <w:r w:rsidRPr="005E5FA8">
        <w:instrText xml:space="preserve"> </w:instrText>
      </w:r>
      <w:r w:rsidRPr="005E5FA8">
        <w:fldChar w:fldCharType="separate"/>
      </w:r>
      <w:r w:rsidR="00520F9E">
        <w:rPr>
          <w:noProof/>
        </w:rPr>
        <w:instrText>3</w:instrText>
      </w:r>
      <w:r w:rsidRPr="005E5FA8">
        <w:fldChar w:fldCharType="end"/>
      </w:r>
      <w:r w:rsidRPr="005E5FA8">
        <w:instrText xml:space="preserve">" "" </w:instrText>
      </w:r>
      <w:r w:rsidRPr="005E5FA8">
        <w:fldChar w:fldCharType="separate"/>
      </w:r>
      <w:bookmarkStart w:id="8082" w:name="_Caption3305"/>
      <w:bookmarkStart w:id="8083" w:name="_Caption3468"/>
      <w:bookmarkStart w:id="8084" w:name="_Caption5775"/>
      <w:bookmarkStart w:id="8085" w:name="_Caption5367"/>
      <w:bookmarkStart w:id="8086" w:name="_Caption7456"/>
      <w:bookmarkStart w:id="8087" w:name="_Caption4008"/>
      <w:bookmarkStart w:id="8088" w:name="_Caption2651"/>
      <w:bookmarkStart w:id="8089" w:name="_Caption1788"/>
      <w:bookmarkStart w:id="8090" w:name="_Caption7281"/>
      <w:bookmarkStart w:id="8091" w:name="_Caption5486"/>
      <w:bookmarkStart w:id="8092" w:name="_Caption2827"/>
      <w:bookmarkStart w:id="8093" w:name="_Caption5752"/>
      <w:bookmarkStart w:id="8094" w:name="_Caption1951"/>
      <w:bookmarkStart w:id="8095" w:name="_Caption7136"/>
      <w:bookmarkStart w:id="8096" w:name="_Caption6767"/>
      <w:bookmarkStart w:id="8097" w:name="_Caption1355"/>
      <w:bookmarkStart w:id="8098" w:name="_Caption9822"/>
      <w:bookmarkStart w:id="8099" w:name="_Caption9330"/>
      <w:bookmarkStart w:id="8100" w:name="_Caption9507"/>
      <w:bookmarkStart w:id="8101" w:name="_Caption2321"/>
      <w:bookmarkStart w:id="8102" w:name="_Caption1923"/>
      <w:bookmarkStart w:id="8103" w:name="_Caption4714"/>
      <w:bookmarkStart w:id="8104" w:name="_Caption5994"/>
      <w:bookmarkStart w:id="8105" w:name="_Caption0323"/>
      <w:bookmarkStart w:id="8106" w:name="_Caption6458"/>
      <w:bookmarkStart w:id="8107" w:name="_Caption3242"/>
      <w:bookmarkStart w:id="8108" w:name="_Caption1449"/>
      <w:bookmarkStart w:id="8109" w:name="_Caption4218"/>
      <w:bookmarkStart w:id="8110" w:name="_Caption2616"/>
      <w:bookmarkStart w:id="8111" w:name="_Caption4393"/>
      <w:bookmarkStart w:id="8112" w:name="_Caption8489"/>
      <w:bookmarkStart w:id="8113" w:name="_Caption4942"/>
      <w:bookmarkStart w:id="8114" w:name="_Caption8686"/>
      <w:bookmarkStart w:id="8115" w:name="_Caption4813"/>
      <w:bookmarkStart w:id="8116" w:name="_Caption0209"/>
      <w:bookmarkStart w:id="8117" w:name="_Caption4480"/>
      <w:bookmarkStart w:id="8118" w:name="_Caption8045"/>
      <w:bookmarkStart w:id="8119" w:name="_Toc149060100"/>
      <w:bookmarkStart w:id="8120" w:name="_Toc177735228"/>
      <w:bookmarkStart w:id="8121" w:name="_Toc178292665"/>
      <w:r w:rsidR="008C60A3">
        <w:rPr>
          <w:noProof/>
        </w:rPr>
        <w:t>C</w:t>
      </w:r>
      <w:r w:rsidR="008C60A3" w:rsidRPr="005E5FA8">
        <w:rPr>
          <w:noProof/>
        </w:rPr>
        <w:t>.</w:t>
      </w:r>
      <w:r w:rsidR="008C60A3">
        <w:rPr>
          <w:noProof/>
        </w:rPr>
        <w:t>3</w:t>
      </w:r>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r w:rsidRPr="005E5FA8">
        <w:fldChar w:fldCharType="end"/>
      </w:r>
      <w:r w:rsidRPr="005E5FA8">
        <w:tab/>
        <w:t>Comparison of actual and modelled NABERS rating — frequency distribution</w:t>
      </w:r>
      <w:bookmarkEnd w:id="8119"/>
      <w:bookmarkEnd w:id="8120"/>
      <w:bookmarkEnd w:id="8121"/>
    </w:p>
    <w:p w14:paraId="40FBC97C" w14:textId="77777777" w:rsidR="00D24C7F" w:rsidRPr="00401E3A" w:rsidRDefault="00D24C7F" w:rsidP="00D24C7F">
      <w:pPr>
        <w:pStyle w:val="Subtitlebox"/>
      </w:pPr>
      <w:r w:rsidRPr="00AB3C1F">
        <w:rPr>
          <w:noProof/>
        </w:rPr>
        <w:drawing>
          <wp:inline distT="0" distB="0" distL="0" distR="0" wp14:anchorId="393D9A6C" wp14:editId="02F73874">
            <wp:extent cx="5039995" cy="2424759"/>
            <wp:effectExtent l="76200" t="76200" r="84455" b="71120"/>
            <wp:docPr id="1248066794" name="Picture 1248066794" descr="Chart C.3  - Comparison of actual and modelled NABERS rating — frequency distribution of the difference in rating (negatives mean actual rating is lower modelled rating while positives the oppo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066794" name="Picture 1248066794" descr="Chart C.3  - Comparison of actual and modelled NABERS rating — frequency distribution of the difference in rating (negatives mean actual rating is lower modelled rating while positives the opposite)"/>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039995" cy="2424759"/>
                    </a:xfrm>
                    <a:prstGeom prst="rect">
                      <a:avLst/>
                    </a:prstGeom>
                    <a:noFill/>
                    <a:ln w="76200">
                      <a:solidFill>
                        <a:schemeClr val="bg2"/>
                      </a:solidFill>
                    </a:ln>
                  </pic:spPr>
                </pic:pic>
              </a:graphicData>
            </a:graphic>
          </wp:inline>
        </w:drawing>
      </w:r>
    </w:p>
    <w:p w14:paraId="166D644E" w14:textId="77777777" w:rsidR="00D24C7F" w:rsidRDefault="00D24C7F" w:rsidP="00D24C7F">
      <w:pPr>
        <w:pStyle w:val="Source"/>
      </w:pPr>
      <w:r>
        <w:rPr>
          <w:i/>
        </w:rPr>
        <w:t>Data source</w:t>
      </w:r>
      <w:r w:rsidRPr="00A67576">
        <w:rPr>
          <w:i/>
        </w:rPr>
        <w:t>:</w:t>
      </w:r>
      <w:r>
        <w:t xml:space="preserve"> CIE based on: Green Building Council of Australia, 2021, </w:t>
      </w:r>
      <w:r w:rsidRPr="00756CF5">
        <w:rPr>
          <w:i/>
          <w:iCs/>
        </w:rPr>
        <w:t>Green star in focus: Energy performance in Green Star buildings: Closing the performance gap in Australia’s commercial office sector</w:t>
      </w:r>
      <w:r>
        <w:t>, pp. 56</w:t>
      </w:r>
      <w:r>
        <w:noBreakHyphen/>
        <w:t xml:space="preserve">57; and Bell, H., Millagre, R. and Sanchez, C. 2013, </w:t>
      </w:r>
      <w:r w:rsidRPr="005F13AE">
        <w:rPr>
          <w:i/>
        </w:rPr>
        <w:t>Achieving the Green Dream: Predicted vs Actual</w:t>
      </w:r>
      <w:r>
        <w:t>, Green Building Council of Australia, August 2013, pp. 17</w:t>
      </w:r>
      <w:r>
        <w:noBreakHyphen/>
        <w:t>20.</w:t>
      </w:r>
    </w:p>
    <w:p w14:paraId="7DADB808" w14:textId="77777777" w:rsidR="00D24C7F" w:rsidRDefault="00D24C7F" w:rsidP="00D24C7F">
      <w:pPr>
        <w:pStyle w:val="BodyText"/>
        <w:rPr>
          <w:lang w:bidi="fa-IR"/>
        </w:rPr>
      </w:pPr>
      <w:r>
        <w:rPr>
          <w:lang w:bidi="fa-IR"/>
        </w:rPr>
        <w:t>Although the improvement in actual performance relative to modelled outcomes is a welcome development, there is nonetheless some evidence within the data that buildings designed to be more energy efficient are not achieving the intended savings. As discussed above, this is the key issue of relevance to the RIS.</w:t>
      </w:r>
    </w:p>
    <w:p w14:paraId="0C7A17DA" w14:textId="7C27744A" w:rsidR="00D24C7F" w:rsidRDefault="00D24C7F" w:rsidP="00D24C7F">
      <w:pPr>
        <w:pStyle w:val="BodyText"/>
        <w:rPr>
          <w:lang w:bidi="fa-IR"/>
        </w:rPr>
      </w:pPr>
      <w:r>
        <w:rPr>
          <w:lang w:bidi="fa-IR"/>
        </w:rPr>
        <w:t>In particular, the data suggests the following (see chart </w:t>
      </w:r>
      <w:r w:rsidR="00CA0DBC">
        <w:rPr>
          <w:lang w:bidi="fa-IR"/>
        </w:rPr>
        <w:t>C.4</w:t>
      </w:r>
      <w:r>
        <w:rPr>
          <w:lang w:bidi="fa-IR"/>
        </w:rPr>
        <w:t>).</w:t>
      </w:r>
    </w:p>
    <w:p w14:paraId="42F1ACEF" w14:textId="77777777" w:rsidR="00D24C7F" w:rsidRPr="00E02987" w:rsidRDefault="00D24C7F" w:rsidP="00D24C7F">
      <w:pPr>
        <w:pStyle w:val="ListBullet"/>
        <w:tabs>
          <w:tab w:val="num" w:pos="709"/>
        </w:tabs>
        <w:rPr>
          <w:lang w:bidi="fa-IR"/>
        </w:rPr>
      </w:pPr>
      <w:r w:rsidRPr="00E02987">
        <w:rPr>
          <w:lang w:bidi="fa-IR"/>
        </w:rPr>
        <w:t>Buildings that are designed to be less energy efficient (</w:t>
      </w:r>
      <w:r>
        <w:rPr>
          <w:lang w:bidi="fa-IR"/>
        </w:rPr>
        <w:t>i.e.</w:t>
      </w:r>
      <w:r w:rsidRPr="00E02987">
        <w:rPr>
          <w:lang w:bidi="fa-IR"/>
        </w:rPr>
        <w:t xml:space="preserve"> the modelled star rating is lower) tend to over</w:t>
      </w:r>
      <w:r w:rsidRPr="00E02987">
        <w:rPr>
          <w:lang w:bidi="fa-IR"/>
        </w:rPr>
        <w:noBreakHyphen/>
        <w:t>perform (</w:t>
      </w:r>
      <w:r>
        <w:rPr>
          <w:lang w:bidi="fa-IR"/>
        </w:rPr>
        <w:t>i.e.</w:t>
      </w:r>
      <w:r w:rsidRPr="00E02987">
        <w:rPr>
          <w:lang w:bidi="fa-IR"/>
        </w:rPr>
        <w:t xml:space="preserve"> achieve a higher star rating than modelled).</w:t>
      </w:r>
    </w:p>
    <w:p w14:paraId="4C842324" w14:textId="77777777" w:rsidR="00D24C7F" w:rsidRDefault="00D24C7F" w:rsidP="00D24C7F">
      <w:pPr>
        <w:pStyle w:val="ListBullet"/>
        <w:tabs>
          <w:tab w:val="num" w:pos="709"/>
        </w:tabs>
        <w:rPr>
          <w:lang w:bidi="fa-IR"/>
        </w:rPr>
      </w:pPr>
      <w:r w:rsidRPr="00E02987">
        <w:rPr>
          <w:lang w:bidi="fa-IR"/>
        </w:rPr>
        <w:t>Buildings that are designed to be more energy efficient (</w:t>
      </w:r>
      <w:r>
        <w:rPr>
          <w:lang w:bidi="fa-IR"/>
        </w:rPr>
        <w:t>i.e.</w:t>
      </w:r>
      <w:r w:rsidRPr="00E02987">
        <w:rPr>
          <w:lang w:bidi="fa-IR"/>
        </w:rPr>
        <w:t xml:space="preserve"> the modelled star rating is higher) tend to under</w:t>
      </w:r>
      <w:r>
        <w:rPr>
          <w:lang w:bidi="fa-IR"/>
        </w:rPr>
        <w:noBreakHyphen/>
        <w:t>perform (i.e. achieve a lower star rating than modelled).</w:t>
      </w:r>
    </w:p>
    <w:p w14:paraId="0444FF83" w14:textId="006BE67F" w:rsidR="00D24C7F" w:rsidRPr="005E5FA8" w:rsidRDefault="00D24C7F" w:rsidP="00CA0DBC">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20F9E">
          <w:rPr>
            <w:noProof/>
          </w:rPr>
          <w:instrText>C</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w:instrText>
      </w:r>
      <w:r w:rsidRPr="005E5FA8">
        <w:fldChar w:fldCharType="separate"/>
      </w:r>
      <w:r w:rsidRPr="005E5FA8">
        <w:instrText>Error! No text of specified style in document..</w:instrText>
      </w:r>
      <w:r w:rsidRPr="005E5FA8">
        <w:fldChar w:fldCharType="end"/>
      </w:r>
      <w:r w:rsidRPr="005E5FA8">
        <w:instrText>" "</w:instrText>
      </w:r>
      <w:fldSimple w:instr=" STYLEREF &quot;Heading 6&quot; \l \n ">
        <w:r w:rsidR="00520F9E">
          <w:rPr>
            <w:noProof/>
          </w:rPr>
          <w:instrText>C</w:instrText>
        </w:r>
      </w:fldSimple>
      <w:r w:rsidRPr="005E5FA8">
        <w:instrText xml:space="preserve">." </w:instrText>
      </w:r>
      <w:r w:rsidRPr="005E5FA8">
        <w:fldChar w:fldCharType="separate"/>
      </w:r>
      <w:r w:rsidR="00520F9E">
        <w:rPr>
          <w:noProof/>
        </w:rPr>
        <w:instrText>C</w:instrText>
      </w:r>
      <w:r w:rsidR="00520F9E"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20F9E">
          <w:rPr>
            <w:noProof/>
          </w:rPr>
          <w:instrText>C</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"1" </w:instrText>
      </w:r>
      <w:r w:rsidRPr="005E5FA8">
        <w:fldChar w:fldCharType="separate"/>
      </w:r>
      <w:r w:rsidRPr="005E5FA8">
        <w:instrText>1</w:instrText>
      </w:r>
      <w:r w:rsidRPr="005E5FA8">
        <w:fldChar w:fldCharType="end"/>
      </w:r>
      <w:r w:rsidRPr="005E5FA8">
        <w:instrText xml:space="preserve">" "6" </w:instrText>
      </w:r>
      <w:r w:rsidRPr="005E5FA8">
        <w:fldChar w:fldCharType="separate"/>
      </w:r>
      <w:r w:rsidR="00520F9E" w:rsidRPr="005E5FA8">
        <w:rPr>
          <w:noProof/>
        </w:rPr>
        <w:instrText>6</w:instrText>
      </w:r>
      <w:r w:rsidRPr="005E5FA8">
        <w:fldChar w:fldCharType="end"/>
      </w:r>
      <w:r w:rsidRPr="005E5FA8">
        <w:instrText xml:space="preserve"> </w:instrText>
      </w:r>
      <w:r w:rsidRPr="005E5FA8">
        <w:fldChar w:fldCharType="separate"/>
      </w:r>
      <w:r w:rsidR="00520F9E">
        <w:rPr>
          <w:noProof/>
        </w:rPr>
        <w:instrText>4</w:instrText>
      </w:r>
      <w:r w:rsidRPr="005E5FA8">
        <w:fldChar w:fldCharType="end"/>
      </w:r>
      <w:r w:rsidRPr="005E5FA8">
        <w:instrText xml:space="preserve">" "" </w:instrText>
      </w:r>
      <w:r w:rsidRPr="005E5FA8">
        <w:fldChar w:fldCharType="separate"/>
      </w:r>
      <w:bookmarkStart w:id="8122" w:name="_Caption8738"/>
      <w:bookmarkStart w:id="8123" w:name="_Caption9917"/>
      <w:bookmarkStart w:id="8124" w:name="_Caption0795"/>
      <w:bookmarkStart w:id="8125" w:name="_Caption7241"/>
      <w:bookmarkStart w:id="8126" w:name="_Caption4640"/>
      <w:bookmarkStart w:id="8127" w:name="_Caption3177"/>
      <w:bookmarkStart w:id="8128" w:name="_Caption8039"/>
      <w:bookmarkStart w:id="8129" w:name="_Caption9250"/>
      <w:bookmarkStart w:id="8130" w:name="_Caption5339"/>
      <w:bookmarkStart w:id="8131" w:name="_Caption3511"/>
      <w:bookmarkStart w:id="8132" w:name="_Caption5704"/>
      <w:bookmarkStart w:id="8133" w:name="_Caption6642"/>
      <w:bookmarkStart w:id="8134" w:name="_Caption5961"/>
      <w:bookmarkStart w:id="8135" w:name="_Caption2861"/>
      <w:bookmarkStart w:id="8136" w:name="_Caption3705"/>
      <w:bookmarkStart w:id="8137" w:name="_Caption2003"/>
      <w:bookmarkStart w:id="8138" w:name="_Caption9467"/>
      <w:bookmarkStart w:id="8139" w:name="_Caption3378"/>
      <w:bookmarkStart w:id="8140" w:name="_Caption1072"/>
      <w:bookmarkStart w:id="8141" w:name="_Caption1121"/>
      <w:bookmarkStart w:id="8142" w:name="_Caption8815"/>
      <w:bookmarkStart w:id="8143" w:name="_Caption8193"/>
      <w:bookmarkStart w:id="8144" w:name="_Caption2240"/>
      <w:bookmarkStart w:id="8145" w:name="_Caption1465"/>
      <w:bookmarkStart w:id="8146" w:name="_Caption7237"/>
      <w:bookmarkStart w:id="8147" w:name="_Caption1984"/>
      <w:bookmarkStart w:id="8148" w:name="_Caption4390"/>
      <w:bookmarkStart w:id="8149" w:name="_Caption4326"/>
      <w:bookmarkStart w:id="8150" w:name="_Caption2084"/>
      <w:bookmarkStart w:id="8151" w:name="_Caption0282"/>
      <w:bookmarkStart w:id="8152" w:name="_Caption8756"/>
      <w:bookmarkStart w:id="8153" w:name="_Toc149060101"/>
      <w:bookmarkStart w:id="8154" w:name="_Toc177735229"/>
      <w:bookmarkStart w:id="8155" w:name="_Toc178292666"/>
      <w:r w:rsidR="008C60A3">
        <w:rPr>
          <w:noProof/>
        </w:rPr>
        <w:t>C</w:t>
      </w:r>
      <w:r w:rsidR="008C60A3" w:rsidRPr="005E5FA8">
        <w:rPr>
          <w:noProof/>
        </w:rPr>
        <w:t>.</w:t>
      </w:r>
      <w:r w:rsidR="008C60A3">
        <w:rPr>
          <w:noProof/>
        </w:rPr>
        <w:t>4</w:t>
      </w:r>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r w:rsidRPr="005E5FA8">
        <w:fldChar w:fldCharType="end"/>
      </w:r>
      <w:r w:rsidRPr="005E5FA8">
        <w:tab/>
        <w:t>Comparison of modelled and actual NABERS star rating by modelled star rating</w:t>
      </w:r>
      <w:bookmarkEnd w:id="8153"/>
      <w:bookmarkEnd w:id="8154"/>
      <w:bookmarkEnd w:id="8155"/>
    </w:p>
    <w:p w14:paraId="660AF97D" w14:textId="77777777" w:rsidR="00D24C7F" w:rsidRPr="00401E3A" w:rsidRDefault="00D24C7F" w:rsidP="00D24C7F">
      <w:pPr>
        <w:pStyle w:val="Subtitlebox"/>
      </w:pPr>
      <w:r w:rsidRPr="004D4210">
        <w:rPr>
          <w:noProof/>
        </w:rPr>
        <w:drawing>
          <wp:inline distT="0" distB="0" distL="0" distR="0" wp14:anchorId="12E2BD88" wp14:editId="1F8DB831">
            <wp:extent cx="5035550" cy="2425700"/>
            <wp:effectExtent l="76200" t="76200" r="69850" b="69850"/>
            <wp:docPr id="120430770" name="Picture 120430770" descr="Chart C.4 - Comparison of modelled and actual NABERS star rating by modelled star rating.&#10;The chart shows that when the modelled start rating is lower, the building is more likely to perform better than modelled. However, at higher modelled star ratings, the building is more likely to under-perform the modelled perform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30770" name="Picture 120430770" descr="Chart C.4 - Comparison of modelled and actual NABERS star rating by modelled star rating.&#10;The chart shows that when the modelled start rating is lower, the building is more likely to perform better than modelled. However, at higher modelled star ratings, the building is more likely to under-perform the modelled performance."/>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035550" cy="2425700"/>
                    </a:xfrm>
                    <a:prstGeom prst="rect">
                      <a:avLst/>
                    </a:prstGeom>
                    <a:noFill/>
                    <a:ln w="76200">
                      <a:solidFill>
                        <a:schemeClr val="bg2"/>
                      </a:solidFill>
                    </a:ln>
                  </pic:spPr>
                </pic:pic>
              </a:graphicData>
            </a:graphic>
          </wp:inline>
        </w:drawing>
      </w:r>
    </w:p>
    <w:p w14:paraId="4E121364" w14:textId="77777777" w:rsidR="00D24C7F" w:rsidRDefault="00D24C7F" w:rsidP="00D24C7F">
      <w:pPr>
        <w:pStyle w:val="Source"/>
      </w:pPr>
      <w:r w:rsidRPr="008E5661">
        <w:rPr>
          <w:i/>
        </w:rPr>
        <w:t>Data source:</w:t>
      </w:r>
      <w:r w:rsidRPr="008E5661">
        <w:t xml:space="preserve"> CIE based on data reported in Green Building Council of Australia, 2021, </w:t>
      </w:r>
      <w:r w:rsidRPr="008E5661">
        <w:rPr>
          <w:i/>
          <w:iCs/>
        </w:rPr>
        <w:t>Green star in focus: Energy performance in</w:t>
      </w:r>
      <w:r w:rsidRPr="00756CF5">
        <w:rPr>
          <w:i/>
          <w:iCs/>
        </w:rPr>
        <w:t xml:space="preserve"> Green Star buildings: Closing the performance gap in Australia’s commercial office sector</w:t>
      </w:r>
      <w:r>
        <w:t>.</w:t>
      </w:r>
    </w:p>
    <w:p w14:paraId="267EBB25" w14:textId="77777777" w:rsidR="00D24C7F" w:rsidRDefault="00D24C7F" w:rsidP="00D24C7F">
      <w:pPr>
        <w:pStyle w:val="BodyText"/>
        <w:rPr>
          <w:lang w:bidi="fa-IR"/>
        </w:rPr>
      </w:pPr>
      <w:r>
        <w:rPr>
          <w:lang w:bidi="fa-IR"/>
        </w:rPr>
        <w:t>An important caveat on this analysis is the small sample of buildings at either end of the spectrum. In particular: there were only 2 buildings that were modelled to achieve 4 stars (both of which achieved 4.5 stars); and only 6 buildings that were modelled to achieve 6 stars. Nevertheless, this bias implies that more energy efficient buildings are unlikely to fully achieve the expected energy savings.</w:t>
      </w:r>
    </w:p>
    <w:p w14:paraId="66DE4FC8" w14:textId="77777777" w:rsidR="00D24C7F" w:rsidRPr="000E3D34" w:rsidRDefault="00D24C7F" w:rsidP="00D24C7F">
      <w:pPr>
        <w:pStyle w:val="BodyText"/>
        <w:rPr>
          <w:lang w:bidi="fa-IR"/>
        </w:rPr>
      </w:pPr>
      <w:r w:rsidRPr="000E3D34">
        <w:rPr>
          <w:lang w:bidi="fa-IR"/>
        </w:rPr>
        <w:t>Furthermore, a subsequent scoping study investigating the Building Energy Performance Gap (BEPG) found that it is not appropriate to extrapolate from findings in relation to the performance gap based on the GBCA’s 2021 dataset to other building types for the purposes of regulatory impact analysis.</w:t>
      </w:r>
      <w:r w:rsidRPr="000E3D34">
        <w:rPr>
          <w:rStyle w:val="FootnoteReference"/>
          <w:lang w:bidi="fa-IR"/>
        </w:rPr>
        <w:footnoteReference w:id="191"/>
      </w:r>
    </w:p>
    <w:p w14:paraId="79A7A796" w14:textId="77777777" w:rsidR="00D24C7F" w:rsidRPr="00E02987" w:rsidRDefault="00D24C7F" w:rsidP="00D24C7F">
      <w:pPr>
        <w:pStyle w:val="ListBullet"/>
        <w:tabs>
          <w:tab w:val="num" w:pos="709"/>
        </w:tabs>
        <w:rPr>
          <w:lang w:bidi="fa-IR"/>
        </w:rPr>
      </w:pPr>
      <w:r w:rsidRPr="000E3D34">
        <w:rPr>
          <w:lang w:bidi="fa-IR"/>
        </w:rPr>
        <w:t xml:space="preserve">The scoping study </w:t>
      </w:r>
      <w:r w:rsidRPr="00E02987">
        <w:rPr>
          <w:lang w:bidi="fa-IR"/>
        </w:rPr>
        <w:t>argues that the BEPG in well</w:t>
      </w:r>
      <w:r w:rsidRPr="00E02987">
        <w:rPr>
          <w:lang w:bidi="fa-IR"/>
        </w:rPr>
        <w:noBreakHyphen/>
        <w:t>designed and well</w:t>
      </w:r>
      <w:r w:rsidRPr="00E02987">
        <w:rPr>
          <w:lang w:bidi="fa-IR"/>
        </w:rPr>
        <w:noBreakHyphen/>
        <w:t>managed office buildings has been materially resolved through their participation in rating systems that measure both design and performance.</w:t>
      </w:r>
    </w:p>
    <w:p w14:paraId="2FD50FF7" w14:textId="77777777" w:rsidR="00D24C7F" w:rsidRDefault="00D24C7F" w:rsidP="00D24C7F">
      <w:pPr>
        <w:pStyle w:val="ListBullet"/>
        <w:tabs>
          <w:tab w:val="num" w:pos="709"/>
        </w:tabs>
        <w:rPr>
          <w:lang w:bidi="fa-IR"/>
        </w:rPr>
      </w:pPr>
      <w:r w:rsidRPr="00E02987">
        <w:rPr>
          <w:lang w:bidi="fa-IR"/>
        </w:rPr>
        <w:t>The performance gap in other types of buildings that are not captured by these rating systems remains unquantif</w:t>
      </w:r>
      <w:r>
        <w:rPr>
          <w:lang w:bidi="fa-IR"/>
        </w:rPr>
        <w:t>ied and poorly understood.</w:t>
      </w:r>
    </w:p>
    <w:p w14:paraId="1BD254EB" w14:textId="77777777" w:rsidR="00D24C7F" w:rsidRDefault="00D24C7F" w:rsidP="00D24C7F">
      <w:pPr>
        <w:pStyle w:val="BodyText"/>
        <w:rPr>
          <w:lang w:bidi="fa-IR"/>
        </w:rPr>
      </w:pPr>
      <w:r>
        <w:rPr>
          <w:lang w:bidi="fa-IR"/>
        </w:rPr>
        <w:t>As part of the scoping study, the authors reviewed potential data sources across a broader range of building types that could be used to investigate the issues relating to the performance gap in subsequent phases of the research.</w:t>
      </w:r>
    </w:p>
    <w:p w14:paraId="6F107B35" w14:textId="77777777" w:rsidR="00D24C7F" w:rsidRDefault="00D24C7F" w:rsidP="00D24C7F">
      <w:pPr>
        <w:pStyle w:val="BodyText"/>
        <w:rPr>
          <w:lang w:bidi="fa-IR"/>
        </w:rPr>
      </w:pPr>
      <w:r>
        <w:rPr>
          <w:lang w:bidi="fa-IR"/>
        </w:rPr>
        <w:t>The project encountered significant challenges obtaining relevant data, ultimately concluding that:</w:t>
      </w:r>
    </w:p>
    <w:p w14:paraId="6653972A" w14:textId="77777777" w:rsidR="00D24C7F" w:rsidRDefault="00D24C7F" w:rsidP="00D24C7F">
      <w:pPr>
        <w:pStyle w:val="ListBullet"/>
        <w:tabs>
          <w:tab w:val="num" w:pos="709"/>
        </w:tabs>
        <w:rPr>
          <w:lang w:bidi="fa-IR"/>
        </w:rPr>
      </w:pPr>
      <w:r w:rsidRPr="00E02987">
        <w:rPr>
          <w:lang w:bidi="fa-IR"/>
        </w:rPr>
        <w:t>JV3</w:t>
      </w:r>
      <w:r w:rsidRPr="00CF25AE">
        <w:rPr>
          <w:lang w:bidi="fa-IR"/>
        </w:rPr>
        <w:t xml:space="preserve"> energy modelling cannot be used to extrapolate total energy use.</w:t>
      </w:r>
      <w:r w:rsidRPr="009B20CF">
        <w:footnoteReference w:id="192"/>
      </w:r>
      <w:r w:rsidRPr="000E3D34">
        <w:rPr>
          <w:lang w:bidi="fa-IR"/>
        </w:rPr>
        <w:t xml:space="preserve"> In</w:t>
      </w:r>
      <w:r>
        <w:rPr>
          <w:lang w:bidi="fa-IR"/>
        </w:rPr>
        <w:t xml:space="preserve"> particular, the following factors limited the usefulness of JV3 reports for analysing the performance gaps:</w:t>
      </w:r>
      <w:r w:rsidRPr="007C690F">
        <w:rPr>
          <w:rStyle w:val="FootnoteReference"/>
          <w:lang w:bidi="fa-IR"/>
        </w:rPr>
        <w:footnoteReference w:id="193"/>
      </w:r>
    </w:p>
    <w:p w14:paraId="2FDB0A4A" w14:textId="77777777" w:rsidR="00D24C7F" w:rsidRDefault="00D24C7F" w:rsidP="00D24C7F">
      <w:pPr>
        <w:pStyle w:val="ListBullet"/>
        <w:numPr>
          <w:ilvl w:val="1"/>
          <w:numId w:val="34"/>
        </w:numPr>
        <w:rPr>
          <w:lang w:bidi="fa-IR"/>
        </w:rPr>
      </w:pPr>
      <w:r>
        <w:rPr>
          <w:lang w:bidi="fa-IR"/>
        </w:rPr>
        <w:t>The typical design and construction process means that the final systems have not been confirmed when the JV3 energy simulation is completed.</w:t>
      </w:r>
    </w:p>
    <w:p w14:paraId="01267F2B" w14:textId="77777777" w:rsidR="00D24C7F" w:rsidRDefault="00D24C7F" w:rsidP="00D24C7F">
      <w:pPr>
        <w:pStyle w:val="ListBullet"/>
        <w:numPr>
          <w:ilvl w:val="1"/>
          <w:numId w:val="34"/>
        </w:numPr>
        <w:rPr>
          <w:lang w:bidi="fa-IR"/>
        </w:rPr>
      </w:pPr>
      <w:r>
        <w:rPr>
          <w:lang w:bidi="fa-IR"/>
        </w:rPr>
        <w:t>JV3 is used as a tool to enable comparisons between alternate designs, allowing projects to confirm building aesthetics and tender pricing for building fabric. It is not used by industry as a performance measurement tool.</w:t>
      </w:r>
    </w:p>
    <w:p w14:paraId="3CE956A2" w14:textId="77777777" w:rsidR="00D24C7F" w:rsidRDefault="00D24C7F" w:rsidP="00D24C7F">
      <w:pPr>
        <w:pStyle w:val="ListBullet"/>
        <w:tabs>
          <w:tab w:val="num" w:pos="709"/>
        </w:tabs>
        <w:rPr>
          <w:lang w:bidi="fa-IR"/>
        </w:rPr>
      </w:pPr>
      <w:r>
        <w:rPr>
          <w:lang w:bidi="fa-IR"/>
        </w:rPr>
        <w:t>This means that a study comparing energy use estimates from JV3 assessment reports with actual outcomes would not be comparing like with like.</w:t>
      </w:r>
    </w:p>
    <w:p w14:paraId="5EAD5FAA" w14:textId="77777777" w:rsidR="00D24C7F" w:rsidRPr="00C85F25" w:rsidRDefault="00D24C7F" w:rsidP="00D24C7F">
      <w:pPr>
        <w:pStyle w:val="ListBullet"/>
        <w:tabs>
          <w:tab w:val="num" w:pos="709"/>
        </w:tabs>
        <w:rPr>
          <w:lang w:bidi="fa-IR"/>
        </w:rPr>
      </w:pPr>
      <w:r w:rsidRPr="00C85F25">
        <w:rPr>
          <w:lang w:bidi="fa-IR"/>
        </w:rPr>
        <w:t xml:space="preserve">There is no data </w:t>
      </w:r>
      <w:r w:rsidRPr="00E02987">
        <w:rPr>
          <w:lang w:bidi="fa-IR"/>
        </w:rPr>
        <w:t>currently</w:t>
      </w:r>
      <w:r w:rsidRPr="00C85F25">
        <w:rPr>
          <w:lang w:bidi="fa-IR"/>
        </w:rPr>
        <w:t xml:space="preserve"> available within industry that could be aggregated to create an appropriate dataset.</w:t>
      </w:r>
      <w:r w:rsidRPr="00C85F25">
        <w:rPr>
          <w:rStyle w:val="FootnoteReference"/>
          <w:lang w:bidi="fa-IR"/>
        </w:rPr>
        <w:footnoteReference w:id="194"/>
      </w:r>
    </w:p>
    <w:p w14:paraId="3C3BE7C2" w14:textId="77777777" w:rsidR="00D24C7F" w:rsidRDefault="00D24C7F" w:rsidP="00D24C7F">
      <w:pPr>
        <w:pStyle w:val="BodyText"/>
        <w:rPr>
          <w:lang w:bidi="fa-IR"/>
        </w:rPr>
      </w:pPr>
      <w:r>
        <w:rPr>
          <w:lang w:bidi="fa-IR"/>
        </w:rPr>
        <w:t>Based on these findings it seems unlikely that a robust estimate of the extent to which modelled energy savings associated with more stringent energy efficiency standards will be realised in practice or will be available in the near term.</w:t>
      </w:r>
    </w:p>
    <w:p w14:paraId="6136BFA3" w14:textId="77777777" w:rsidR="00D24C7F" w:rsidRPr="00C85F25" w:rsidRDefault="00D24C7F" w:rsidP="00D24C7F">
      <w:pPr>
        <w:pStyle w:val="Heading7"/>
        <w:rPr>
          <w:lang w:bidi="fa-IR"/>
        </w:rPr>
      </w:pPr>
      <w:r w:rsidRPr="00C85F25">
        <w:rPr>
          <w:lang w:bidi="fa-IR"/>
        </w:rPr>
        <w:t>Reasons for the performance gap</w:t>
      </w:r>
    </w:p>
    <w:p w14:paraId="0C62B8F8" w14:textId="77777777" w:rsidR="00D24C7F" w:rsidRPr="00C85F25" w:rsidRDefault="00D24C7F" w:rsidP="00D24C7F">
      <w:pPr>
        <w:pStyle w:val="BodyText"/>
        <w:rPr>
          <w:spacing w:val="-3"/>
          <w:lang w:bidi="fa-IR"/>
        </w:rPr>
      </w:pPr>
      <w:r w:rsidRPr="00C85F25">
        <w:rPr>
          <w:spacing w:val="-3"/>
          <w:lang w:bidi="fa-IR"/>
        </w:rPr>
        <w:t xml:space="preserve">There are a range of explanations for the performance gap at all stages of a building’s life cycle. </w:t>
      </w:r>
    </w:p>
    <w:p w14:paraId="425EB306" w14:textId="77777777" w:rsidR="00D24C7F" w:rsidRPr="00C85F25" w:rsidRDefault="00D24C7F" w:rsidP="00D24C7F">
      <w:pPr>
        <w:pStyle w:val="ListBullet"/>
        <w:tabs>
          <w:tab w:val="num" w:pos="709"/>
        </w:tabs>
        <w:rPr>
          <w:lang w:bidi="fa-IR"/>
        </w:rPr>
      </w:pPr>
      <w:r w:rsidRPr="00C85F25">
        <w:rPr>
          <w:lang w:bidi="fa-IR"/>
        </w:rPr>
        <w:t xml:space="preserve">Design and construction phase — </w:t>
      </w:r>
      <w:r w:rsidRPr="007C690F">
        <w:rPr>
          <w:lang w:bidi="fa-IR"/>
        </w:rPr>
        <w:t>the NCC focuses on building design, but there can be gaps between a building’s design and the building actually constructed.</w:t>
      </w:r>
    </w:p>
    <w:p w14:paraId="4606B81C" w14:textId="77777777" w:rsidR="00D24C7F" w:rsidRPr="00C85F25" w:rsidRDefault="00D24C7F" w:rsidP="00D24C7F">
      <w:pPr>
        <w:pStyle w:val="ListBullet"/>
        <w:tabs>
          <w:tab w:val="num" w:pos="709"/>
        </w:tabs>
        <w:rPr>
          <w:lang w:bidi="fa-IR"/>
        </w:rPr>
      </w:pPr>
      <w:r w:rsidRPr="007C690F">
        <w:rPr>
          <w:lang w:bidi="fa-IR"/>
        </w:rPr>
        <w:t xml:space="preserve">The National Energy Efficient Buildings Project also noted that anecdotally, </w:t>
      </w:r>
      <w:r w:rsidRPr="00C85F25">
        <w:rPr>
          <w:lang w:bidi="fa-IR"/>
        </w:rPr>
        <w:t>energy efficiency features and technologies are eliminated during the design and construction process. Budget constraints often force the building developer (not necessarily the ultimate owner) to choose between energy performance and other design elements that are more highly valued.</w:t>
      </w:r>
      <w:r w:rsidRPr="008E527A">
        <w:rPr>
          <w:rStyle w:val="FootnoteReference"/>
          <w:rFonts w:asciiTheme="minorHAnsi" w:hAnsiTheme="minorHAnsi"/>
          <w:spacing w:val="-3"/>
          <w:lang w:bidi="fa-IR"/>
        </w:rPr>
        <w:footnoteReference w:id="195"/>
      </w:r>
      <w:r w:rsidRPr="008E527A">
        <w:rPr>
          <w:rStyle w:val="FootnoteReference"/>
          <w:rFonts w:asciiTheme="minorHAnsi" w:hAnsiTheme="minorHAnsi"/>
          <w:spacing w:val="-3"/>
          <w:lang w:bidi="fa-IR"/>
        </w:rPr>
        <w:t xml:space="preserve"> </w:t>
      </w:r>
      <w:r w:rsidRPr="00C85F25">
        <w:rPr>
          <w:lang w:bidi="fa-IR"/>
        </w:rPr>
        <w:t>However, no quantitative evidence on the extent to which this occurs was reported.</w:t>
      </w:r>
    </w:p>
    <w:p w14:paraId="0AD1D63A" w14:textId="77777777" w:rsidR="00D24C7F" w:rsidRPr="00C85F25" w:rsidRDefault="00D24C7F" w:rsidP="00D24C7F">
      <w:pPr>
        <w:pStyle w:val="ListBullet"/>
        <w:tabs>
          <w:tab w:val="num" w:pos="709"/>
        </w:tabs>
        <w:rPr>
          <w:lang w:bidi="fa-IR"/>
        </w:rPr>
      </w:pPr>
      <w:r w:rsidRPr="00C85F25">
        <w:rPr>
          <w:lang w:bidi="fa-IR"/>
        </w:rPr>
        <w:t>The U</w:t>
      </w:r>
      <w:r>
        <w:rPr>
          <w:lang w:bidi="fa-IR"/>
        </w:rPr>
        <w:t xml:space="preserve">nited </w:t>
      </w:r>
      <w:r w:rsidRPr="00C85F25">
        <w:rPr>
          <w:lang w:bidi="fa-IR"/>
        </w:rPr>
        <w:t>K</w:t>
      </w:r>
      <w:r>
        <w:rPr>
          <w:lang w:bidi="fa-IR"/>
        </w:rPr>
        <w:t>ingdom</w:t>
      </w:r>
      <w:r w:rsidRPr="00C85F25">
        <w:rPr>
          <w:lang w:bidi="fa-IR"/>
        </w:rPr>
        <w:t xml:space="preserve"> Carbon Trust also noted that:</w:t>
      </w:r>
    </w:p>
    <w:p w14:paraId="2F14308F" w14:textId="77777777" w:rsidR="00D24C7F" w:rsidRPr="00C85F25" w:rsidRDefault="00D24C7F" w:rsidP="00D24C7F">
      <w:pPr>
        <w:pStyle w:val="ListBullet"/>
        <w:numPr>
          <w:ilvl w:val="1"/>
          <w:numId w:val="34"/>
        </w:numPr>
        <w:rPr>
          <w:lang w:bidi="fa-IR"/>
        </w:rPr>
      </w:pPr>
      <w:r w:rsidRPr="00C85F25">
        <w:rPr>
          <w:lang w:bidi="fa-IR"/>
        </w:rPr>
        <w:t>the aim to make building low carbon in</w:t>
      </w:r>
      <w:r w:rsidRPr="00C85F25">
        <w:rPr>
          <w:lang w:bidi="fa-IR"/>
        </w:rPr>
        <w:noBreakHyphen/>
        <w:t>use is not clearly conveyed to the design team</w:t>
      </w:r>
      <w:r>
        <w:rPr>
          <w:lang w:bidi="fa-IR"/>
        </w:rPr>
        <w:t>,</w:t>
      </w:r>
      <w:r w:rsidRPr="00C85F25">
        <w:rPr>
          <w:lang w:bidi="fa-IR"/>
        </w:rPr>
        <w:t xml:space="preserve"> and</w:t>
      </w:r>
    </w:p>
    <w:p w14:paraId="3497AE59" w14:textId="77777777" w:rsidR="00D24C7F" w:rsidRPr="00C85F25" w:rsidRDefault="00D24C7F" w:rsidP="00D24C7F">
      <w:pPr>
        <w:pStyle w:val="ListBullet"/>
        <w:numPr>
          <w:ilvl w:val="1"/>
          <w:numId w:val="34"/>
        </w:numPr>
        <w:rPr>
          <w:lang w:bidi="fa-IR"/>
        </w:rPr>
      </w:pPr>
      <w:r w:rsidRPr="00C85F25">
        <w:rPr>
          <w:lang w:bidi="fa-IR"/>
        </w:rPr>
        <w:t>design intent is not delivered on</w:t>
      </w:r>
      <w:r w:rsidRPr="00C85F25">
        <w:rPr>
          <w:lang w:bidi="fa-IR"/>
        </w:rPr>
        <w:noBreakHyphen/>
        <w:t>site during construction.</w:t>
      </w:r>
      <w:r w:rsidRPr="00C85F25">
        <w:rPr>
          <w:rStyle w:val="FootnoteReference"/>
          <w:rFonts w:asciiTheme="minorHAnsi" w:hAnsiTheme="minorHAnsi"/>
          <w:spacing w:val="-3"/>
          <w:lang w:bidi="fa-IR"/>
        </w:rPr>
        <w:t xml:space="preserve"> </w:t>
      </w:r>
      <w:r w:rsidRPr="00C85F25">
        <w:rPr>
          <w:rStyle w:val="FootnoteReference"/>
          <w:rFonts w:asciiTheme="minorHAnsi" w:hAnsiTheme="minorHAnsi"/>
          <w:spacing w:val="-3"/>
          <w:lang w:bidi="fa-IR"/>
        </w:rPr>
        <w:footnoteReference w:id="196"/>
      </w:r>
    </w:p>
    <w:p w14:paraId="3A08625A" w14:textId="77777777" w:rsidR="00D24C7F" w:rsidRPr="00C85F25" w:rsidRDefault="00D24C7F" w:rsidP="00D24C7F">
      <w:pPr>
        <w:pStyle w:val="ListBullet"/>
        <w:tabs>
          <w:tab w:val="num" w:pos="709"/>
        </w:tabs>
        <w:rPr>
          <w:lang w:bidi="fa-IR"/>
        </w:rPr>
      </w:pPr>
      <w:r w:rsidRPr="006D5E2C">
        <w:rPr>
          <w:lang w:bidi="fa-IR"/>
        </w:rPr>
        <w:t>Operation</w:t>
      </w:r>
      <w:r w:rsidRPr="00C85F25">
        <w:rPr>
          <w:lang w:bidi="fa-IR"/>
        </w:rPr>
        <w:t xml:space="preserve"> phase — building operation could contribute to the performance gap, including:</w:t>
      </w:r>
    </w:p>
    <w:p w14:paraId="6EB1DE40" w14:textId="77777777" w:rsidR="00D24C7F" w:rsidRPr="00C85F25" w:rsidRDefault="00D24C7F" w:rsidP="00D24C7F">
      <w:pPr>
        <w:pStyle w:val="ListBullet"/>
        <w:numPr>
          <w:ilvl w:val="1"/>
          <w:numId w:val="34"/>
        </w:numPr>
      </w:pPr>
      <w:r w:rsidRPr="00C85F25">
        <w:rPr>
          <w:lang w:bidi="fa-IR"/>
        </w:rPr>
        <w:t xml:space="preserve">A lack of </w:t>
      </w:r>
      <w:r w:rsidRPr="00E02987">
        <w:t>adequate</w:t>
      </w:r>
      <w:r w:rsidRPr="00C85F25">
        <w:rPr>
          <w:lang w:bidi="fa-IR"/>
        </w:rPr>
        <w:t xml:space="preserve"> commissioning and maintenance — </w:t>
      </w:r>
      <w:r w:rsidRPr="00C85F25">
        <w:rPr>
          <w:lang w:val="en-GB" w:eastAsia="en-GB"/>
        </w:rPr>
        <w:t>t</w:t>
      </w:r>
      <w:r w:rsidRPr="00C85F25">
        <w:t>he National Energy Efficient Buildings Project reported that a perceived lack of adequate commissioning for new and renovated commercial buildings and ongoing maintenance was likely to be contributing to poor energy efficiency outcomes. As buildings aim for higher energy efficiency, integrating all of the relevant systems and ensuring that they deliver intended outcomes, through all seasons and weather conditions becomes more challenging. This means there is often greater scope for high performance buildings to deviate from design energy consumption than simpler, ‘refrigerated boxes’.</w:t>
      </w:r>
      <w:r w:rsidRPr="00C85F25">
        <w:rPr>
          <w:rStyle w:val="FootnoteReference"/>
          <w:rFonts w:asciiTheme="minorHAnsi" w:hAnsiTheme="minorHAnsi"/>
          <w:spacing w:val="-3"/>
        </w:rPr>
        <w:footnoteReference w:id="197"/>
      </w:r>
      <w:r w:rsidRPr="00C85F25">
        <w:t xml:space="preserve"> This finding was based on industry perceptions, rather than quantified evidence.</w:t>
      </w:r>
    </w:p>
    <w:p w14:paraId="38A828FF" w14:textId="77777777" w:rsidR="00D24C7F" w:rsidRPr="00C85F25" w:rsidRDefault="00D24C7F" w:rsidP="00D24C7F">
      <w:pPr>
        <w:pStyle w:val="ListBullet"/>
        <w:numPr>
          <w:ilvl w:val="1"/>
          <w:numId w:val="34"/>
        </w:numPr>
      </w:pPr>
      <w:r w:rsidRPr="00C85F25">
        <w:t>Sub</w:t>
      </w:r>
      <w:r w:rsidRPr="00C85F25">
        <w:noBreakHyphen/>
      </w:r>
      <w:r w:rsidRPr="00E02987">
        <w:t>optimal</w:t>
      </w:r>
      <w:r w:rsidRPr="00C85F25">
        <w:t xml:space="preserve"> building operation — one stakeholder noted that there is less ‘margin for error’ in buildings with more energy efficient equipment. This could imply that sub</w:t>
      </w:r>
      <w:r w:rsidRPr="00C85F25">
        <w:noBreakHyphen/>
        <w:t>optimal building operating practices have a greater impact in more energy efficient buildings.</w:t>
      </w:r>
    </w:p>
    <w:p w14:paraId="2639A045" w14:textId="77777777" w:rsidR="00D24C7F" w:rsidRPr="00C85F25" w:rsidRDefault="00D24C7F" w:rsidP="00D24C7F">
      <w:pPr>
        <w:pStyle w:val="ListBullet"/>
        <w:numPr>
          <w:ilvl w:val="1"/>
          <w:numId w:val="34"/>
        </w:numPr>
        <w:rPr>
          <w:spacing w:val="-3"/>
        </w:rPr>
      </w:pPr>
      <w:r w:rsidRPr="00C85F25">
        <w:t>Occupancy patterns and behaviour — occupancy patterns can be difficult to predict and where they vary from those modelled, this could contribute to the performance gap. Similarly, the behaviour of building occupants can have a significant impact on energy consumption.</w:t>
      </w:r>
      <w:r>
        <w:t xml:space="preserve"> Although several reports have found that occupant behaviour was a key driver of the ‘performance gap’, a recent analysis found </w:t>
      </w:r>
      <w:r w:rsidRPr="0013524C">
        <w:rPr>
          <w:lang w:bidi="fa-IR"/>
        </w:rPr>
        <w:t>no conclusive and sufficient empirical evidence supporting the claim that occupants’ behaviour is responsible for the bulk of building-related energy performance gap.</w:t>
      </w:r>
      <w:r w:rsidRPr="0013524C">
        <w:rPr>
          <w:rStyle w:val="FootnoteReference"/>
          <w:lang w:bidi="fa-IR"/>
        </w:rPr>
        <w:footnoteReference w:id="198"/>
      </w:r>
    </w:p>
    <w:p w14:paraId="0BC6448C" w14:textId="77777777" w:rsidR="00D24C7F" w:rsidRPr="00C85F25" w:rsidRDefault="00D24C7F" w:rsidP="00D24C7F">
      <w:pPr>
        <w:pStyle w:val="ListBullet"/>
        <w:numPr>
          <w:ilvl w:val="1"/>
          <w:numId w:val="34"/>
        </w:numPr>
        <w:rPr>
          <w:lang w:bidi="fa-IR"/>
        </w:rPr>
      </w:pPr>
      <w:r w:rsidRPr="00C85F25">
        <w:rPr>
          <w:lang w:bidi="fa-IR"/>
        </w:rPr>
        <w:t>Modelling failures — a recent U</w:t>
      </w:r>
      <w:r>
        <w:rPr>
          <w:lang w:bidi="fa-IR"/>
        </w:rPr>
        <w:t xml:space="preserve">nited </w:t>
      </w:r>
      <w:r w:rsidRPr="00C85F25">
        <w:rPr>
          <w:lang w:bidi="fa-IR"/>
        </w:rPr>
        <w:t>K</w:t>
      </w:r>
      <w:r>
        <w:rPr>
          <w:lang w:bidi="fa-IR"/>
        </w:rPr>
        <w:t>ingdom</w:t>
      </w:r>
      <w:r w:rsidRPr="00C85F25">
        <w:rPr>
          <w:lang w:bidi="fa-IR"/>
        </w:rPr>
        <w:t xml:space="preserve"> study (albeit in relation to residential buildings) found that a sample of 108 building modellers found that there was little correlation between variables that the modellers considered to be important to annual energy demand and the factors that were objectively found to be important.</w:t>
      </w:r>
      <w:r w:rsidRPr="00C85F25">
        <w:rPr>
          <w:rStyle w:val="FootnoteReference"/>
          <w:rFonts w:asciiTheme="minorHAnsi" w:hAnsiTheme="minorHAnsi"/>
          <w:spacing w:val="-3"/>
          <w:lang w:bidi="fa-IR"/>
        </w:rPr>
        <w:footnoteReference w:id="199"/>
      </w:r>
      <w:r w:rsidRPr="00C85F25">
        <w:rPr>
          <w:lang w:bidi="fa-IR"/>
        </w:rPr>
        <w:t xml:space="preserve"> On this basis, the study concluded that this sample of building modellers, and by implication the population of building modellers cannot be considered ‘modelling literate’. This suggested that the performance of building modellers was contributing to the performance gap. Although these findings have no direct relevance to commercial building energy modellers in Australia, it nonetheless demonstrates that energy modelling involves subjective judgement and modellers are not infallible.</w:t>
      </w:r>
    </w:p>
    <w:p w14:paraId="644325E3" w14:textId="5C22B80B" w:rsidR="00761044" w:rsidRDefault="00B54010" w:rsidP="00C7682F">
      <w:pPr>
        <w:pStyle w:val="Heading6"/>
      </w:pPr>
      <w:bookmarkStart w:id="8156" w:name="_Toc178292559"/>
      <w:r>
        <w:t>He</w:t>
      </w:r>
      <w:r w:rsidR="00EF7D2C">
        <w:t>alth and productivity benefits</w:t>
      </w:r>
      <w:bookmarkEnd w:id="8156"/>
    </w:p>
    <w:p w14:paraId="1C94FF32" w14:textId="77777777" w:rsidR="00B54010" w:rsidRPr="00271A83" w:rsidRDefault="00B54010" w:rsidP="00EF7D2C">
      <w:pPr>
        <w:pStyle w:val="Heading7"/>
      </w:pPr>
      <w:r>
        <w:t>Health benefits from reduced coal-fired electricity</w:t>
      </w:r>
    </w:p>
    <w:p w14:paraId="1B0EEE92" w14:textId="77777777" w:rsidR="00B54010" w:rsidRPr="00844A6E" w:rsidRDefault="00B54010" w:rsidP="00B54010">
      <w:pPr>
        <w:pStyle w:val="BodyText"/>
        <w:rPr>
          <w:szCs w:val="22"/>
        </w:rPr>
      </w:pPr>
      <w:r w:rsidRPr="00844A6E">
        <w:rPr>
          <w:szCs w:val="22"/>
        </w:rPr>
        <w:t>There are health benefits arising from the improved energy efficiency that reduces energy consumption generated from fossil fuels. Power stations, especially coal-fired power stations, emit a range of toxic pollutants and are the key sources of generating sulphur dioxide, oxides of nitrogen and fine particle pollution (PM2.5). Exposure to such toxic pollutants has a health burden and may cause premature deaths, heart attacks, strokes, asthma attacks, low birth weight infants, lung cancer and type 2 diabetes.</w:t>
      </w:r>
      <w:r w:rsidRPr="00844A6E">
        <w:rPr>
          <w:rStyle w:val="FootnoteReference"/>
          <w:sz w:val="22"/>
          <w:szCs w:val="22"/>
        </w:rPr>
        <w:footnoteReference w:id="200"/>
      </w:r>
      <w:r w:rsidRPr="00844A6E">
        <w:rPr>
          <w:szCs w:val="22"/>
        </w:rPr>
        <w:t xml:space="preserve"> Reducing the consumption of energy that involves burning of fossil fuels (particularly coal</w:t>
      </w:r>
      <w:r w:rsidRPr="00844A6E">
        <w:rPr>
          <w:szCs w:val="22"/>
        </w:rPr>
        <w:noBreakHyphen/>
        <w:t>fired electricity generation) can therefore reduce the health burden.</w:t>
      </w:r>
      <w:r w:rsidRPr="00844A6E">
        <w:rPr>
          <w:rStyle w:val="FootnoteReference"/>
          <w:sz w:val="22"/>
          <w:szCs w:val="22"/>
        </w:rPr>
        <w:footnoteReference w:id="201"/>
      </w:r>
    </w:p>
    <w:p w14:paraId="26E30802" w14:textId="10E7346B" w:rsidR="00B54010" w:rsidRPr="00844A6E" w:rsidRDefault="00B54010" w:rsidP="00B54010">
      <w:pPr>
        <w:pStyle w:val="BodyText"/>
        <w:rPr>
          <w:szCs w:val="22"/>
        </w:rPr>
      </w:pPr>
      <w:r w:rsidRPr="00844A6E">
        <w:rPr>
          <w:szCs w:val="22"/>
        </w:rPr>
        <w:t>There is literature estimating health impacts in terms of damage cost per megawatt hour (table</w:t>
      </w:r>
      <w:r>
        <w:rPr>
          <w:szCs w:val="22"/>
        </w:rPr>
        <w:t xml:space="preserve"> </w:t>
      </w:r>
      <w:r w:rsidR="0095095D">
        <w:rPr>
          <w:szCs w:val="22"/>
        </w:rPr>
        <w:t>D.1</w:t>
      </w:r>
      <w:r w:rsidRPr="00844A6E">
        <w:rPr>
          <w:szCs w:val="22"/>
        </w:rPr>
        <w:t xml:space="preserve">). The cost assessment is often locally specific to metropolitan regions, depending on a range of factors such as local context, electricity generation models and outlooks in the region and the state, the volume and nature of the emissions of the relevant pollutants, how those pollutants are dispersed, and population exposure in the relevant areas. </w:t>
      </w:r>
    </w:p>
    <w:p w14:paraId="6EB6EFF4" w14:textId="26588A8A" w:rsidR="00B54010" w:rsidRPr="00695C93" w:rsidRDefault="00B54010" w:rsidP="00B54010">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520F9E">
          <w:rPr>
            <w:noProof/>
          </w:rPr>
          <w:instrText>D</w:instrText>
        </w:r>
      </w:fldSimple>
      <w:r w:rsidRPr="00695C93">
        <w:instrText xml:space="preserve"> = 0 "</w:instrText>
      </w:r>
      <w:r w:rsidRPr="00695C93">
        <w:fldChar w:fldCharType="begin"/>
      </w:r>
      <w:r w:rsidRPr="00695C93">
        <w:instrText xml:space="preserve"> IF </w:instrText>
      </w:r>
      <w:fldSimple w:instr=" STYLEREF &quot;Heading 1&quot; \l \n ">
        <w:r>
          <w:rPr>
            <w:noProof/>
          </w:rPr>
          <w:instrText>5</w:instrText>
        </w:r>
      </w:fldSimple>
      <w:r w:rsidRPr="00695C93">
        <w:instrText xml:space="preserve"> = 0 "" "</w:instrText>
      </w:r>
      <w:fldSimple w:instr=" STYLEREF &quot;Heading 1&quot; \l \n ">
        <w:r>
          <w:rPr>
            <w:noProof/>
          </w:rPr>
          <w:instrText>5</w:instrText>
        </w:r>
      </w:fldSimple>
      <w:r w:rsidRPr="00695C93">
        <w:instrText xml:space="preserve">." </w:instrText>
      </w:r>
      <w:r w:rsidRPr="00695C93">
        <w:fldChar w:fldCharType="separate"/>
      </w:r>
      <w:r>
        <w:rPr>
          <w:noProof/>
        </w:rPr>
        <w:instrText>5</w:instrText>
      </w:r>
      <w:r w:rsidRPr="00695C93">
        <w:rPr>
          <w:noProof/>
        </w:rPr>
        <w:instrText>.</w:instrText>
      </w:r>
      <w:r w:rsidRPr="00695C93">
        <w:fldChar w:fldCharType="end"/>
      </w:r>
      <w:r w:rsidRPr="00695C93">
        <w:instrText>" "</w:instrText>
      </w:r>
      <w:fldSimple w:instr=" STYLEREF &quot;Heading 6&quot; \l \n ">
        <w:r w:rsidR="00520F9E">
          <w:rPr>
            <w:noProof/>
          </w:rPr>
          <w:instrText>D</w:instrText>
        </w:r>
      </w:fldSimple>
      <w:r w:rsidRPr="00695C93">
        <w:instrText xml:space="preserve">." </w:instrText>
      </w:r>
      <w:r w:rsidRPr="00695C93">
        <w:fldChar w:fldCharType="separate"/>
      </w:r>
      <w:r w:rsidR="00520F9E">
        <w:rPr>
          <w:noProof/>
        </w:rPr>
        <w:instrText>D</w:instrText>
      </w:r>
      <w:r w:rsidR="00520F9E"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520F9E">
          <w:rPr>
            <w:noProof/>
          </w:rPr>
          <w:instrText>D</w:instrText>
        </w:r>
      </w:fldSimple>
      <w:r w:rsidRPr="00695C93">
        <w:instrText xml:space="preserve"> = 0 "</w:instrText>
      </w:r>
      <w:r w:rsidRPr="00695C93">
        <w:fldChar w:fldCharType="begin"/>
      </w:r>
      <w:r w:rsidRPr="00695C93">
        <w:instrText xml:space="preserve"> IF </w:instrText>
      </w:r>
      <w:fldSimple w:instr=" STYLEREF &quot;Heading 1&quot; \l \n ">
        <w:r>
          <w:rPr>
            <w:noProof/>
          </w:rPr>
          <w:instrText>5</w:instrText>
        </w:r>
      </w:fldSimple>
      <w:r w:rsidRPr="00695C93">
        <w:instrText xml:space="preserve"> = 0 "" "1" </w:instrText>
      </w:r>
      <w:r w:rsidRPr="00695C93">
        <w:fldChar w:fldCharType="separate"/>
      </w:r>
      <w:r w:rsidRPr="00695C93">
        <w:rPr>
          <w:noProof/>
        </w:rPr>
        <w:instrText>1</w:instrText>
      </w:r>
      <w:r w:rsidRPr="00695C93">
        <w:fldChar w:fldCharType="end"/>
      </w:r>
      <w:r w:rsidRPr="00695C93">
        <w:instrText xml:space="preserve">" "6" </w:instrText>
      </w:r>
      <w:r w:rsidRPr="00695C93">
        <w:fldChar w:fldCharType="separate"/>
      </w:r>
      <w:r w:rsidR="00520F9E" w:rsidRPr="00695C93">
        <w:rPr>
          <w:noProof/>
        </w:rPr>
        <w:instrText>6</w:instrText>
      </w:r>
      <w:r w:rsidRPr="00695C93">
        <w:fldChar w:fldCharType="end"/>
      </w:r>
      <w:r w:rsidRPr="00695C93">
        <w:instrText xml:space="preserve"> </w:instrText>
      </w:r>
      <w:r w:rsidRPr="00695C93">
        <w:fldChar w:fldCharType="separate"/>
      </w:r>
      <w:r w:rsidR="00520F9E">
        <w:rPr>
          <w:noProof/>
        </w:rPr>
        <w:instrText>1</w:instrText>
      </w:r>
      <w:r w:rsidRPr="00695C93">
        <w:fldChar w:fldCharType="end"/>
      </w:r>
      <w:r w:rsidRPr="00695C93">
        <w:instrText xml:space="preserve">" "" </w:instrText>
      </w:r>
      <w:r w:rsidRPr="00695C93">
        <w:fldChar w:fldCharType="separate"/>
      </w:r>
      <w:bookmarkStart w:id="8157" w:name="_Caption4164"/>
      <w:bookmarkStart w:id="8158" w:name="_Caption0521"/>
      <w:bookmarkStart w:id="8159" w:name="_Caption1650"/>
      <w:bookmarkStart w:id="8160" w:name="_Caption0246"/>
      <w:bookmarkStart w:id="8161" w:name="_Caption4392"/>
      <w:bookmarkStart w:id="8162" w:name="_Caption0531"/>
      <w:bookmarkStart w:id="8163" w:name="_Caption0248"/>
      <w:bookmarkStart w:id="8164" w:name="_Caption2544"/>
      <w:bookmarkStart w:id="8165" w:name="_Caption5275"/>
      <w:bookmarkStart w:id="8166" w:name="_Caption9391"/>
      <w:bookmarkStart w:id="8167" w:name="_Caption5824"/>
      <w:bookmarkStart w:id="8168" w:name="_Caption1840"/>
      <w:bookmarkStart w:id="8169" w:name="_Caption4452"/>
      <w:bookmarkStart w:id="8170" w:name="_Caption0081"/>
      <w:bookmarkStart w:id="8171" w:name="_Caption7923"/>
      <w:bookmarkStart w:id="8172" w:name="_Caption5800"/>
      <w:bookmarkStart w:id="8173" w:name="_Caption6389"/>
      <w:bookmarkStart w:id="8174" w:name="_Caption6269"/>
      <w:bookmarkStart w:id="8175" w:name="_Caption9957"/>
      <w:bookmarkStart w:id="8176" w:name="_Caption2354"/>
      <w:bookmarkStart w:id="8177" w:name="_Caption8421"/>
      <w:bookmarkStart w:id="8178" w:name="_Caption2364"/>
      <w:bookmarkStart w:id="8179" w:name="_Caption1557"/>
      <w:bookmarkStart w:id="8180" w:name="_Caption2438"/>
      <w:bookmarkStart w:id="8181" w:name="_Caption0375"/>
      <w:bookmarkStart w:id="8182" w:name="_Caption9305"/>
      <w:bookmarkStart w:id="8183" w:name="_Caption9896"/>
      <w:bookmarkStart w:id="8184" w:name="_Caption6224"/>
      <w:bookmarkStart w:id="8185" w:name="_Caption3725"/>
      <w:bookmarkStart w:id="8186" w:name="_Caption7766"/>
      <w:bookmarkStart w:id="8187" w:name="_Caption8571"/>
      <w:bookmarkStart w:id="8188" w:name="_Caption4041"/>
      <w:bookmarkStart w:id="8189" w:name="_Caption7754"/>
      <w:bookmarkStart w:id="8190" w:name="_Caption0228"/>
      <w:bookmarkStart w:id="8191" w:name="_Caption7579"/>
      <w:bookmarkStart w:id="8192" w:name="_Caption6545"/>
      <w:bookmarkStart w:id="8193" w:name="_Caption2145"/>
      <w:bookmarkStart w:id="8194" w:name="_Caption9862"/>
      <w:bookmarkStart w:id="8195" w:name="_Caption6556"/>
      <w:bookmarkStart w:id="8196" w:name="_Caption9279"/>
      <w:bookmarkStart w:id="8197" w:name="_Caption9599"/>
      <w:bookmarkStart w:id="8198" w:name="_Caption7120"/>
      <w:bookmarkStart w:id="8199" w:name="_Caption8688"/>
      <w:bookmarkStart w:id="8200" w:name="_Caption1412"/>
      <w:bookmarkStart w:id="8201" w:name="_Caption3496"/>
      <w:bookmarkStart w:id="8202" w:name="_Caption2245"/>
      <w:bookmarkStart w:id="8203" w:name="_Caption1813"/>
      <w:bookmarkStart w:id="8204" w:name="_Caption4917"/>
      <w:bookmarkStart w:id="8205" w:name="_Caption6533"/>
      <w:bookmarkStart w:id="8206" w:name="_Caption4142"/>
      <w:bookmarkStart w:id="8207" w:name="_Caption7187"/>
      <w:bookmarkStart w:id="8208" w:name="_Caption8779"/>
      <w:bookmarkStart w:id="8209" w:name="_Caption1540"/>
      <w:bookmarkStart w:id="8210" w:name="_Caption6502"/>
      <w:bookmarkStart w:id="8211" w:name="_Caption3229"/>
      <w:bookmarkStart w:id="8212" w:name="_Caption0259"/>
      <w:bookmarkStart w:id="8213" w:name="_Caption8515"/>
      <w:bookmarkStart w:id="8214" w:name="_Caption4578"/>
      <w:bookmarkStart w:id="8215" w:name="_Caption7379"/>
      <w:bookmarkStart w:id="8216" w:name="_Caption4755"/>
      <w:bookmarkStart w:id="8217" w:name="_Caption9831"/>
      <w:bookmarkStart w:id="8218" w:name="_Caption9236"/>
      <w:bookmarkStart w:id="8219" w:name="_Caption9776"/>
      <w:bookmarkStart w:id="8220" w:name="_Caption6318"/>
      <w:bookmarkStart w:id="8221" w:name="_Caption9629"/>
      <w:bookmarkStart w:id="8222" w:name="_Caption5857"/>
      <w:bookmarkStart w:id="8223" w:name="_Caption5990"/>
      <w:bookmarkStart w:id="8224" w:name="_Caption7576"/>
      <w:bookmarkStart w:id="8225" w:name="_Caption8625"/>
      <w:bookmarkStart w:id="8226" w:name="_Caption4369"/>
      <w:bookmarkStart w:id="8227" w:name="_Toc178292667"/>
      <w:r w:rsidR="008C60A3">
        <w:rPr>
          <w:noProof/>
        </w:rPr>
        <w:t>D</w:t>
      </w:r>
      <w:r w:rsidR="008C60A3" w:rsidRPr="00695C93">
        <w:rPr>
          <w:noProof/>
        </w:rPr>
        <w:t>.</w:t>
      </w:r>
      <w:r w:rsidR="008C60A3">
        <w:rPr>
          <w:noProof/>
        </w:rPr>
        <w:t>1</w:t>
      </w:r>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r w:rsidRPr="00695C93">
        <w:fldChar w:fldCharType="end"/>
      </w:r>
      <w:r w:rsidRPr="00695C93">
        <w:tab/>
      </w:r>
      <w:r w:rsidRPr="00E432D5">
        <w:t>Health cost of coal power stations in 2023 dollar</w:t>
      </w:r>
      <w:bookmarkEnd w:id="8227"/>
    </w:p>
    <w:tbl>
      <w:tblPr>
        <w:tblW w:w="5000" w:type="pct"/>
        <w:tblLook w:val="0000" w:firstRow="0" w:lastRow="0" w:firstColumn="0" w:lastColumn="0" w:noHBand="0" w:noVBand="0"/>
        <w:tblCaption w:val="Table 4.4 "/>
        <w:tblDescription w:val="Health cost of coal power stations in 2023 dollar"/>
      </w:tblPr>
      <w:tblGrid>
        <w:gridCol w:w="1985"/>
        <w:gridCol w:w="1984"/>
        <w:gridCol w:w="1984"/>
        <w:gridCol w:w="1984"/>
      </w:tblGrid>
      <w:tr w:rsidR="00B54010" w14:paraId="2BD3BBF5" w14:textId="77777777" w:rsidTr="00C7682F">
        <w:tc>
          <w:tcPr>
            <w:tcW w:w="1250" w:type="pct"/>
            <w:tcBorders>
              <w:bottom w:val="single" w:sz="8" w:space="0" w:color="FFFFFF" w:themeColor="background1"/>
            </w:tcBorders>
            <w:shd w:val="clear" w:color="auto" w:fill="6F6652"/>
            <w:tcMar>
              <w:left w:w="57" w:type="dxa"/>
              <w:right w:w="57" w:type="dxa"/>
            </w:tcMar>
          </w:tcPr>
          <w:p w14:paraId="7B20672D" w14:textId="77777777" w:rsidR="00B54010" w:rsidRDefault="00B54010" w:rsidP="00C7682F">
            <w:pPr>
              <w:pStyle w:val="TableTextColumnHeading"/>
            </w:pPr>
            <w:r>
              <w:t>Source</w:t>
            </w:r>
          </w:p>
        </w:tc>
        <w:tc>
          <w:tcPr>
            <w:tcW w:w="1250" w:type="pct"/>
            <w:tcBorders>
              <w:bottom w:val="single" w:sz="8" w:space="0" w:color="FFFFFF" w:themeColor="background1"/>
            </w:tcBorders>
            <w:shd w:val="clear" w:color="auto" w:fill="6F6652"/>
            <w:tcMar>
              <w:left w:w="57" w:type="dxa"/>
              <w:right w:w="57" w:type="dxa"/>
            </w:tcMar>
          </w:tcPr>
          <w:p w14:paraId="2523116D" w14:textId="77777777" w:rsidR="00B54010" w:rsidRDefault="00B54010" w:rsidP="00C7682F">
            <w:pPr>
              <w:pStyle w:val="TableTextColumnHeading"/>
            </w:pPr>
            <w:r>
              <w:t>Region</w:t>
            </w:r>
          </w:p>
        </w:tc>
        <w:tc>
          <w:tcPr>
            <w:tcW w:w="1250" w:type="pct"/>
            <w:tcBorders>
              <w:bottom w:val="single" w:sz="8" w:space="0" w:color="FFFFFF" w:themeColor="background1"/>
            </w:tcBorders>
            <w:shd w:val="clear" w:color="auto" w:fill="6F6652"/>
          </w:tcPr>
          <w:p w14:paraId="4D60419D" w14:textId="77777777" w:rsidR="00B54010" w:rsidRDefault="00B54010" w:rsidP="00C7682F">
            <w:pPr>
              <w:pStyle w:val="TableDataColumnHeading"/>
            </w:pPr>
            <w:r>
              <w:t>Pollutant</w:t>
            </w:r>
          </w:p>
        </w:tc>
        <w:tc>
          <w:tcPr>
            <w:tcW w:w="1250" w:type="pct"/>
            <w:tcBorders>
              <w:bottom w:val="single" w:sz="8" w:space="0" w:color="FFFFFF" w:themeColor="background1"/>
            </w:tcBorders>
            <w:shd w:val="clear" w:color="auto" w:fill="6F6652"/>
            <w:tcMar>
              <w:left w:w="57" w:type="dxa"/>
              <w:right w:w="57" w:type="dxa"/>
            </w:tcMar>
          </w:tcPr>
          <w:p w14:paraId="00C1F4AA" w14:textId="77777777" w:rsidR="00B54010" w:rsidRDefault="00B54010" w:rsidP="00C7682F">
            <w:pPr>
              <w:pStyle w:val="TableDataColumnHeading"/>
            </w:pPr>
            <w:r>
              <w:rPr>
                <w:lang w:bidi="fa-IR"/>
              </w:rPr>
              <w:t>Damage cost (A$/MWh)</w:t>
            </w:r>
          </w:p>
        </w:tc>
      </w:tr>
      <w:tr w:rsidR="00B54010" w14:paraId="7F1E3614" w14:textId="77777777" w:rsidTr="00C7682F">
        <w:tc>
          <w:tcPr>
            <w:tcW w:w="1250"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4DE6132" w14:textId="77777777" w:rsidR="00B54010" w:rsidRDefault="00B54010" w:rsidP="00C7682F">
            <w:pPr>
              <w:pStyle w:val="TableTextEntries"/>
            </w:pPr>
            <w:r>
              <w:t>M Mazaheri et al. 2021</w:t>
            </w:r>
          </w:p>
        </w:tc>
        <w:tc>
          <w:tcPr>
            <w:tcW w:w="1250"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243B38A" w14:textId="77777777" w:rsidR="00B54010" w:rsidRDefault="00B54010" w:rsidP="00C7682F">
            <w:pPr>
              <w:pStyle w:val="TableTextEntries"/>
            </w:pPr>
            <w:r>
              <w:t>NSW Greater Metropolitan Area</w:t>
            </w:r>
          </w:p>
        </w:tc>
        <w:tc>
          <w:tcPr>
            <w:tcW w:w="1250" w:type="pct"/>
            <w:tcBorders>
              <w:top w:val="single" w:sz="8" w:space="0" w:color="FFFFFF" w:themeColor="background1"/>
              <w:bottom w:val="single" w:sz="8" w:space="0" w:color="FFFFFF" w:themeColor="background1"/>
            </w:tcBorders>
            <w:shd w:val="clear" w:color="auto" w:fill="E9E8E5" w:themeFill="background2"/>
          </w:tcPr>
          <w:p w14:paraId="4A4B7472" w14:textId="77777777" w:rsidR="00B54010" w:rsidRDefault="00B54010" w:rsidP="00C7682F">
            <w:pPr>
              <w:pStyle w:val="TableDataEntries"/>
            </w:pPr>
            <w:r>
              <w:t>PM2.5</w:t>
            </w:r>
          </w:p>
        </w:tc>
        <w:tc>
          <w:tcPr>
            <w:tcW w:w="1250"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BBF25E9" w14:textId="77777777" w:rsidR="00B54010" w:rsidRDefault="00B54010" w:rsidP="00C7682F">
            <w:pPr>
              <w:pStyle w:val="TableDataEntries"/>
            </w:pPr>
            <w:r>
              <w:t>2.93</w:t>
            </w:r>
          </w:p>
        </w:tc>
      </w:tr>
      <w:tr w:rsidR="00B54010" w14:paraId="5BAD4088" w14:textId="77777777" w:rsidTr="00C7682F">
        <w:tc>
          <w:tcPr>
            <w:tcW w:w="1250"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50DA6AF" w14:textId="77777777" w:rsidR="00B54010" w:rsidRDefault="00B54010" w:rsidP="00C7682F">
            <w:pPr>
              <w:pStyle w:val="TableTextEntries"/>
            </w:pPr>
            <w:r>
              <w:t>CIE 2020</w:t>
            </w:r>
          </w:p>
        </w:tc>
        <w:tc>
          <w:tcPr>
            <w:tcW w:w="1250"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7C06682" w14:textId="77777777" w:rsidR="00B54010" w:rsidRDefault="00B54010" w:rsidP="00C7682F">
            <w:pPr>
              <w:pStyle w:val="TableTextEntries"/>
            </w:pPr>
            <w:r>
              <w:t>VIC</w:t>
            </w:r>
          </w:p>
        </w:tc>
        <w:tc>
          <w:tcPr>
            <w:tcW w:w="1250" w:type="pct"/>
            <w:tcBorders>
              <w:top w:val="single" w:sz="8" w:space="0" w:color="FFFFFF" w:themeColor="background1"/>
              <w:bottom w:val="single" w:sz="8" w:space="0" w:color="FFFFFF" w:themeColor="background1"/>
            </w:tcBorders>
            <w:shd w:val="clear" w:color="auto" w:fill="E9E8E5" w:themeFill="background2"/>
          </w:tcPr>
          <w:p w14:paraId="6B296862" w14:textId="77777777" w:rsidR="00B54010" w:rsidRPr="0086024D" w:rsidRDefault="00B54010" w:rsidP="00C7682F">
            <w:pPr>
              <w:pStyle w:val="TableDataEntries"/>
            </w:pPr>
            <w:r w:rsidRPr="0086024D">
              <w:t>SO</w:t>
            </w:r>
            <w:r w:rsidRPr="00E15E4A">
              <w:rPr>
                <w:vertAlign w:val="subscript"/>
              </w:rPr>
              <w:t>2</w:t>
            </w:r>
            <w:r>
              <w:t>, NO</w:t>
            </w:r>
            <w:r w:rsidRPr="00E15E4A">
              <w:rPr>
                <w:vertAlign w:val="subscript"/>
              </w:rPr>
              <w:t>X</w:t>
            </w:r>
            <w:r>
              <w:t xml:space="preserve">, PM2.5, PM10 </w:t>
            </w:r>
          </w:p>
        </w:tc>
        <w:tc>
          <w:tcPr>
            <w:tcW w:w="1250" w:type="pct"/>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966BAB" w14:textId="77777777" w:rsidR="00B54010" w:rsidRDefault="00B54010" w:rsidP="00C7682F">
            <w:pPr>
              <w:pStyle w:val="TableDataEntries"/>
            </w:pPr>
            <w:r>
              <w:t>14.26 – 22.56</w:t>
            </w:r>
          </w:p>
        </w:tc>
      </w:tr>
      <w:tr w:rsidR="00B54010" w14:paraId="4526C53F" w14:textId="77777777" w:rsidTr="00C7682F">
        <w:tc>
          <w:tcPr>
            <w:tcW w:w="1250" w:type="pct"/>
            <w:tcBorders>
              <w:top w:val="single" w:sz="8" w:space="0" w:color="FFFFFF" w:themeColor="background1"/>
              <w:bottom w:val="single" w:sz="6" w:space="0" w:color="6F6652"/>
            </w:tcBorders>
            <w:shd w:val="clear" w:color="auto" w:fill="E9E8E5" w:themeFill="background2"/>
            <w:tcMar>
              <w:left w:w="57" w:type="dxa"/>
              <w:right w:w="57" w:type="dxa"/>
            </w:tcMar>
          </w:tcPr>
          <w:p w14:paraId="20919134" w14:textId="77777777" w:rsidR="00B54010" w:rsidRDefault="00B54010" w:rsidP="00C7682F">
            <w:pPr>
              <w:pStyle w:val="TableTextEntries"/>
            </w:pPr>
            <w:r>
              <w:t>CIE 2019</w:t>
            </w:r>
          </w:p>
        </w:tc>
        <w:tc>
          <w:tcPr>
            <w:tcW w:w="1250" w:type="pct"/>
            <w:tcBorders>
              <w:top w:val="single" w:sz="8" w:space="0" w:color="FFFFFF" w:themeColor="background1"/>
              <w:bottom w:val="single" w:sz="6" w:space="0" w:color="6F6652"/>
            </w:tcBorders>
            <w:shd w:val="clear" w:color="auto" w:fill="E9E8E5" w:themeFill="background2"/>
            <w:tcMar>
              <w:left w:w="57" w:type="dxa"/>
              <w:right w:w="57" w:type="dxa"/>
            </w:tcMar>
          </w:tcPr>
          <w:p w14:paraId="0B7C2BAB" w14:textId="77777777" w:rsidR="00B54010" w:rsidRDefault="00B54010" w:rsidP="00C7682F">
            <w:pPr>
              <w:pStyle w:val="TableTextEntries"/>
            </w:pPr>
            <w:r>
              <w:t>Urban areas where coal power stations are located</w:t>
            </w:r>
          </w:p>
        </w:tc>
        <w:tc>
          <w:tcPr>
            <w:tcW w:w="1250" w:type="pct"/>
            <w:tcBorders>
              <w:top w:val="single" w:sz="8" w:space="0" w:color="FFFFFF" w:themeColor="background1"/>
              <w:bottom w:val="single" w:sz="6" w:space="0" w:color="6F6652"/>
            </w:tcBorders>
            <w:shd w:val="clear" w:color="auto" w:fill="E9E8E5" w:themeFill="background2"/>
          </w:tcPr>
          <w:p w14:paraId="35A4064E" w14:textId="77777777" w:rsidR="00B54010" w:rsidRDefault="00B54010" w:rsidP="00C7682F">
            <w:pPr>
              <w:pStyle w:val="TableDataEntries"/>
            </w:pPr>
            <w:r>
              <w:t>PM2.5</w:t>
            </w:r>
          </w:p>
        </w:tc>
        <w:tc>
          <w:tcPr>
            <w:tcW w:w="1250" w:type="pct"/>
            <w:tcBorders>
              <w:top w:val="single" w:sz="8" w:space="0" w:color="FFFFFF" w:themeColor="background1"/>
              <w:bottom w:val="single" w:sz="6" w:space="0" w:color="6F6652"/>
            </w:tcBorders>
            <w:shd w:val="clear" w:color="auto" w:fill="E9E8E5" w:themeFill="background2"/>
            <w:tcMar>
              <w:left w:w="57" w:type="dxa"/>
              <w:right w:w="57" w:type="dxa"/>
            </w:tcMar>
          </w:tcPr>
          <w:p w14:paraId="7092A73D" w14:textId="77777777" w:rsidR="00B54010" w:rsidRDefault="00B54010" w:rsidP="00C7682F">
            <w:pPr>
              <w:pStyle w:val="TableDataEntries"/>
            </w:pPr>
            <w:r>
              <w:t>0.0 - 0.52</w:t>
            </w:r>
          </w:p>
        </w:tc>
      </w:tr>
    </w:tbl>
    <w:p w14:paraId="7B69E5EA" w14:textId="3C76D9A8" w:rsidR="00B54010" w:rsidRDefault="00B54010" w:rsidP="00B54010">
      <w:pPr>
        <w:pStyle w:val="Source"/>
      </w:pPr>
      <w:r>
        <w:rPr>
          <w:i/>
        </w:rPr>
        <w:t>Source</w:t>
      </w:r>
      <w:r w:rsidRPr="00E4232C">
        <w:rPr>
          <w:i/>
        </w:rPr>
        <w:t>:</w:t>
      </w:r>
      <w:r>
        <w:t xml:space="preserve"> M Mazaheri et al., ‘Monetising Air Pollution Benefits of Clean Energy Requires Locally Specific Information’, in </w:t>
      </w:r>
      <w:r>
        <w:rPr>
          <w:i/>
          <w:iCs/>
        </w:rPr>
        <w:t>Energies</w:t>
      </w:r>
      <w:r>
        <w:t xml:space="preserve">, vol. 14, 2021, 7622. CIE, </w:t>
      </w:r>
      <w:r>
        <w:rPr>
          <w:i/>
          <w:iCs/>
        </w:rPr>
        <w:t>Greenhouse gas emissions projections and economic analysis of emissions reduction in Victoria - Whole of the economy modelling</w:t>
      </w:r>
      <w:r>
        <w:t xml:space="preserve">, Prepared for the Department of Environment, Land, Water and Planning, 2020, unpublished. CIE, </w:t>
      </w:r>
      <w:r>
        <w:rPr>
          <w:i/>
          <w:iCs/>
        </w:rPr>
        <w:t>Independent review of the Commercial Building Disclosure Program</w:t>
      </w:r>
      <w:r>
        <w:t xml:space="preserve">, Prepared for the Department of the Environment and Energy, 2019, </w:t>
      </w:r>
      <w:hyperlink r:id="rId75" w:history="1">
        <w:r w:rsidRPr="003C2868">
          <w:rPr>
            <w:rStyle w:val="Hyperlink"/>
          </w:rPr>
          <w:t>https://www.cbd.gov.au/sites/default/files/2020-09/cbd_review_cie_report_draft.pdf</w:t>
        </w:r>
      </w:hyperlink>
      <w:r>
        <w:t>.</w:t>
      </w:r>
    </w:p>
    <w:p w14:paraId="28A62EA8" w14:textId="77777777" w:rsidR="00B54010" w:rsidRPr="00844A6E" w:rsidRDefault="00B54010" w:rsidP="00B54010">
      <w:pPr>
        <w:pStyle w:val="BodyText"/>
        <w:rPr>
          <w:szCs w:val="22"/>
        </w:rPr>
      </w:pPr>
      <w:r w:rsidRPr="00844A6E">
        <w:rPr>
          <w:szCs w:val="22"/>
        </w:rPr>
        <w:t>Mazaheri et al. (2021) estimated the health damage attributable to long-term exposure to PM2.5 concentrations for the NSW greater metropolitan area which cover over 85 per cent of the NSW population.</w:t>
      </w:r>
      <w:r w:rsidRPr="00844A6E">
        <w:rPr>
          <w:rStyle w:val="FootnoteReference"/>
          <w:sz w:val="22"/>
          <w:szCs w:val="22"/>
        </w:rPr>
        <w:footnoteReference w:id="202"/>
      </w:r>
      <w:r w:rsidRPr="00844A6E">
        <w:rPr>
          <w:szCs w:val="22"/>
        </w:rPr>
        <w:t xml:space="preserve"> The health cost per megawatt hour was estimated at $2.40 in 2016 dollar (equivalent to $2.93 in 2023 dollar). It was drawn upon the estimated life years gained in reducing long-term exposure to PM2.5 through clean energy program, under the medium demand shock scenario throughout 2026-2118 (covering the entire period until extinction of the population cohort) using a real social discount factor of 7 per cent. The estimate accounts for dispersion of PM2.5 within the NSW greater metropolitan area and is specific to NSW where coal power stations primarily use black coal. </w:t>
      </w:r>
    </w:p>
    <w:p w14:paraId="0A58A532" w14:textId="63160B6E" w:rsidR="00B54010" w:rsidRPr="00844A6E" w:rsidRDefault="00B54010" w:rsidP="00B54010">
      <w:pPr>
        <w:pStyle w:val="BodyText"/>
        <w:rPr>
          <w:szCs w:val="22"/>
          <w:lang w:bidi="fa-IR"/>
        </w:rPr>
      </w:pPr>
      <w:r w:rsidRPr="00844A6E">
        <w:rPr>
          <w:szCs w:val="22"/>
        </w:rPr>
        <w:t>CIE estimated the health cost per megawatt hour of electricity generated by the VIC coal power stations (using brown coal) based on estimates from J Ward &amp; M Power (2015).</w:t>
      </w:r>
      <w:r w:rsidRPr="00844A6E">
        <w:rPr>
          <w:rStyle w:val="FootnoteReference"/>
          <w:sz w:val="22"/>
          <w:szCs w:val="22"/>
        </w:rPr>
        <w:footnoteReference w:id="203"/>
      </w:r>
      <w:r w:rsidRPr="00844A6E">
        <w:rPr>
          <w:szCs w:val="22"/>
        </w:rPr>
        <w:t xml:space="preserve"> The health damage is attributable to long-term exposure to sulphur dioxide, oxides of nitrogen, PM2.5 and PM10.</w:t>
      </w:r>
      <w:r w:rsidRPr="00844A6E">
        <w:rPr>
          <w:rStyle w:val="FootnoteReference"/>
          <w:sz w:val="22"/>
          <w:szCs w:val="22"/>
          <w:lang w:bidi="fa-IR"/>
        </w:rPr>
        <w:footnoteReference w:id="204"/>
      </w:r>
      <w:r w:rsidRPr="00844A6E">
        <w:rPr>
          <w:szCs w:val="22"/>
        </w:rPr>
        <w:t xml:space="preserve"> </w:t>
      </w:r>
      <w:r w:rsidRPr="0095095D">
        <w:rPr>
          <w:szCs w:val="22"/>
          <w:lang w:bidi="fa-IR"/>
        </w:rPr>
        <w:t xml:space="preserve">Table </w:t>
      </w:r>
      <w:r w:rsidR="0095095D">
        <w:rPr>
          <w:szCs w:val="22"/>
          <w:lang w:bidi="fa-IR"/>
        </w:rPr>
        <w:t>D.2</w:t>
      </w:r>
      <w:r w:rsidRPr="00844A6E">
        <w:rPr>
          <w:szCs w:val="22"/>
          <w:lang w:bidi="fa-IR"/>
        </w:rPr>
        <w:t xml:space="preserve"> reproduces these estimates in 2023 terms. The estimates considered dispersion and transformation of pollutants using air</w:t>
      </w:r>
      <w:r>
        <w:rPr>
          <w:lang w:bidi="fa-IR"/>
        </w:rPr>
        <w:t xml:space="preserve"> </w:t>
      </w:r>
      <w:r w:rsidRPr="00844A6E">
        <w:rPr>
          <w:szCs w:val="22"/>
          <w:lang w:bidi="fa-IR"/>
        </w:rPr>
        <w:t>plume modelling and represent a shadow market value of the health impacts of using willingness-to-pay methodology.</w:t>
      </w:r>
    </w:p>
    <w:p w14:paraId="05C6318E" w14:textId="667F5655" w:rsidR="00B54010" w:rsidRPr="00695C93" w:rsidRDefault="00B54010" w:rsidP="00B54010">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520F9E">
          <w:rPr>
            <w:noProof/>
          </w:rPr>
          <w:instrText>D</w:instrText>
        </w:r>
      </w:fldSimple>
      <w:r w:rsidRPr="00695C93">
        <w:instrText xml:space="preserve"> = 0 "</w:instrText>
      </w:r>
      <w:r w:rsidRPr="00695C93">
        <w:fldChar w:fldCharType="begin"/>
      </w:r>
      <w:r w:rsidRPr="00695C93">
        <w:instrText xml:space="preserve"> IF </w:instrText>
      </w:r>
      <w:fldSimple w:instr=" STYLEREF &quot;Heading 1&quot; \l \n ">
        <w:r>
          <w:rPr>
            <w:noProof/>
          </w:rPr>
          <w:instrText>5</w:instrText>
        </w:r>
      </w:fldSimple>
      <w:r w:rsidRPr="00695C93">
        <w:instrText xml:space="preserve"> = 0 "" "</w:instrText>
      </w:r>
      <w:fldSimple w:instr=" STYLEREF &quot;Heading 1&quot; \l \n ">
        <w:r>
          <w:rPr>
            <w:noProof/>
          </w:rPr>
          <w:instrText>5</w:instrText>
        </w:r>
      </w:fldSimple>
      <w:r w:rsidRPr="00695C93">
        <w:instrText xml:space="preserve">." </w:instrText>
      </w:r>
      <w:r w:rsidRPr="00695C93">
        <w:fldChar w:fldCharType="separate"/>
      </w:r>
      <w:r>
        <w:rPr>
          <w:noProof/>
        </w:rPr>
        <w:instrText>5</w:instrText>
      </w:r>
      <w:r w:rsidRPr="00695C93">
        <w:rPr>
          <w:noProof/>
        </w:rPr>
        <w:instrText>.</w:instrText>
      </w:r>
      <w:r w:rsidRPr="00695C93">
        <w:fldChar w:fldCharType="end"/>
      </w:r>
      <w:r w:rsidRPr="00695C93">
        <w:instrText>" "</w:instrText>
      </w:r>
      <w:fldSimple w:instr=" STYLEREF &quot;Heading 6&quot; \l \n ">
        <w:r w:rsidR="00520F9E">
          <w:rPr>
            <w:noProof/>
          </w:rPr>
          <w:instrText>D</w:instrText>
        </w:r>
      </w:fldSimple>
      <w:r w:rsidRPr="00695C93">
        <w:instrText xml:space="preserve">." </w:instrText>
      </w:r>
      <w:r w:rsidRPr="00695C93">
        <w:fldChar w:fldCharType="separate"/>
      </w:r>
      <w:r w:rsidR="00520F9E">
        <w:rPr>
          <w:noProof/>
        </w:rPr>
        <w:instrText>D</w:instrText>
      </w:r>
      <w:r w:rsidR="00520F9E"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520F9E">
          <w:rPr>
            <w:noProof/>
          </w:rPr>
          <w:instrText>D</w:instrText>
        </w:r>
      </w:fldSimple>
      <w:r w:rsidRPr="00695C93">
        <w:instrText xml:space="preserve"> = 0 "</w:instrText>
      </w:r>
      <w:r w:rsidRPr="00695C93">
        <w:fldChar w:fldCharType="begin"/>
      </w:r>
      <w:r w:rsidRPr="00695C93">
        <w:instrText xml:space="preserve"> IF </w:instrText>
      </w:r>
      <w:fldSimple w:instr=" STYLEREF &quot;Heading 1&quot; \l \n ">
        <w:r>
          <w:rPr>
            <w:noProof/>
          </w:rPr>
          <w:instrText>5</w:instrText>
        </w:r>
      </w:fldSimple>
      <w:r w:rsidRPr="00695C93">
        <w:instrText xml:space="preserve"> = 0 "" "1" </w:instrText>
      </w:r>
      <w:r w:rsidRPr="00695C93">
        <w:fldChar w:fldCharType="separate"/>
      </w:r>
      <w:r w:rsidR="00BD1538" w:rsidRPr="00695C93">
        <w:rPr>
          <w:noProof/>
        </w:rPr>
        <w:instrText>1</w:instrText>
      </w:r>
      <w:r w:rsidRPr="00695C93">
        <w:fldChar w:fldCharType="end"/>
      </w:r>
      <w:r w:rsidRPr="00695C93">
        <w:instrText xml:space="preserve">" "6" </w:instrText>
      </w:r>
      <w:r w:rsidRPr="00695C93">
        <w:fldChar w:fldCharType="separate"/>
      </w:r>
      <w:r w:rsidR="00520F9E" w:rsidRPr="00695C93">
        <w:rPr>
          <w:noProof/>
        </w:rPr>
        <w:instrText>6</w:instrText>
      </w:r>
      <w:r w:rsidRPr="00695C93">
        <w:fldChar w:fldCharType="end"/>
      </w:r>
      <w:r w:rsidRPr="00695C93">
        <w:instrText xml:space="preserve"> </w:instrText>
      </w:r>
      <w:r w:rsidRPr="00695C93">
        <w:fldChar w:fldCharType="separate"/>
      </w:r>
      <w:r w:rsidR="00520F9E">
        <w:rPr>
          <w:noProof/>
        </w:rPr>
        <w:instrText>2</w:instrText>
      </w:r>
      <w:r w:rsidRPr="00695C93">
        <w:fldChar w:fldCharType="end"/>
      </w:r>
      <w:r w:rsidRPr="00695C93">
        <w:instrText xml:space="preserve">" "" </w:instrText>
      </w:r>
      <w:r w:rsidRPr="00695C93">
        <w:fldChar w:fldCharType="separate"/>
      </w:r>
      <w:bookmarkStart w:id="8228" w:name="_Caption2729"/>
      <w:bookmarkStart w:id="8229" w:name="_Caption5848"/>
      <w:bookmarkStart w:id="8230" w:name="_Caption5546"/>
      <w:bookmarkStart w:id="8231" w:name="_Caption9275"/>
      <w:bookmarkStart w:id="8232" w:name="_Caption0409"/>
      <w:bookmarkStart w:id="8233" w:name="_Caption4716"/>
      <w:bookmarkStart w:id="8234" w:name="_Caption7386"/>
      <w:bookmarkStart w:id="8235" w:name="_Caption2593"/>
      <w:bookmarkStart w:id="8236" w:name="_Caption6271"/>
      <w:bookmarkStart w:id="8237" w:name="_Caption4638"/>
      <w:bookmarkStart w:id="8238" w:name="_Caption3234"/>
      <w:bookmarkStart w:id="8239" w:name="_Caption4322"/>
      <w:bookmarkStart w:id="8240" w:name="_Caption8703"/>
      <w:bookmarkStart w:id="8241" w:name="_Caption8449"/>
      <w:bookmarkStart w:id="8242" w:name="_Caption0366"/>
      <w:bookmarkStart w:id="8243" w:name="_Caption4710"/>
      <w:bookmarkStart w:id="8244" w:name="_Caption4900"/>
      <w:bookmarkStart w:id="8245" w:name="_Caption6092"/>
      <w:bookmarkStart w:id="8246" w:name="_Caption4186"/>
      <w:bookmarkStart w:id="8247" w:name="_Caption7894"/>
      <w:bookmarkStart w:id="8248" w:name="_Caption3140"/>
      <w:bookmarkStart w:id="8249" w:name="_Caption1166"/>
      <w:bookmarkStart w:id="8250" w:name="_Caption4842"/>
      <w:bookmarkStart w:id="8251" w:name="_Caption6203"/>
      <w:bookmarkStart w:id="8252" w:name="_Caption4284"/>
      <w:bookmarkStart w:id="8253" w:name="_Caption1865"/>
      <w:bookmarkStart w:id="8254" w:name="_Caption0250"/>
      <w:bookmarkStart w:id="8255" w:name="_Caption2180"/>
      <w:bookmarkStart w:id="8256" w:name="_Caption6115"/>
      <w:bookmarkStart w:id="8257" w:name="_Caption2977"/>
      <w:bookmarkStart w:id="8258" w:name="_Caption5982"/>
      <w:bookmarkStart w:id="8259" w:name="_Caption2533"/>
      <w:bookmarkStart w:id="8260" w:name="_Caption2252"/>
      <w:bookmarkStart w:id="8261" w:name="_Caption7679"/>
      <w:bookmarkStart w:id="8262" w:name="_Caption5122"/>
      <w:bookmarkStart w:id="8263" w:name="_Caption0762"/>
      <w:bookmarkStart w:id="8264" w:name="_Caption8207"/>
      <w:bookmarkStart w:id="8265" w:name="_Caption3506"/>
      <w:bookmarkStart w:id="8266" w:name="_Caption1842"/>
      <w:bookmarkStart w:id="8267" w:name="_Caption9582"/>
      <w:bookmarkStart w:id="8268" w:name="_Caption5113"/>
      <w:bookmarkStart w:id="8269" w:name="_Caption2913"/>
      <w:bookmarkStart w:id="8270" w:name="_Caption2740"/>
      <w:bookmarkStart w:id="8271" w:name="_Caption8984"/>
      <w:bookmarkStart w:id="8272" w:name="_Caption1270"/>
      <w:bookmarkStart w:id="8273" w:name="_Caption1944"/>
      <w:bookmarkStart w:id="8274" w:name="_Caption7218"/>
      <w:bookmarkStart w:id="8275" w:name="_Caption1042"/>
      <w:bookmarkStart w:id="8276" w:name="_Caption0317"/>
      <w:bookmarkStart w:id="8277" w:name="_Caption1046"/>
      <w:bookmarkStart w:id="8278" w:name="_Caption3228"/>
      <w:bookmarkStart w:id="8279" w:name="_Caption5201"/>
      <w:bookmarkStart w:id="8280" w:name="_Caption7922"/>
      <w:bookmarkStart w:id="8281" w:name="_Caption5679"/>
      <w:bookmarkStart w:id="8282" w:name="_Caption2583"/>
      <w:bookmarkStart w:id="8283" w:name="_Caption8412"/>
      <w:bookmarkStart w:id="8284" w:name="_Caption9780"/>
      <w:bookmarkStart w:id="8285" w:name="_Caption5831"/>
      <w:bookmarkStart w:id="8286" w:name="_Caption3540"/>
      <w:bookmarkStart w:id="8287" w:name="_Caption9579"/>
      <w:bookmarkStart w:id="8288" w:name="_Caption1643"/>
      <w:bookmarkStart w:id="8289" w:name="_Caption1917"/>
      <w:bookmarkStart w:id="8290" w:name="_Caption1891"/>
      <w:bookmarkStart w:id="8291" w:name="_Caption8447"/>
      <w:bookmarkStart w:id="8292" w:name="_Caption5394"/>
      <w:bookmarkStart w:id="8293" w:name="_Caption6427"/>
      <w:bookmarkStart w:id="8294" w:name="_Caption7303"/>
      <w:bookmarkStart w:id="8295" w:name="_Caption4219"/>
      <w:bookmarkStart w:id="8296" w:name="_Caption2175"/>
      <w:bookmarkStart w:id="8297" w:name="_Toc178292668"/>
      <w:r w:rsidR="008C60A3">
        <w:rPr>
          <w:noProof/>
        </w:rPr>
        <w:t>D</w:t>
      </w:r>
      <w:r w:rsidR="008C60A3" w:rsidRPr="00695C93">
        <w:rPr>
          <w:noProof/>
        </w:rPr>
        <w:t>.</w:t>
      </w:r>
      <w:r w:rsidR="008C60A3">
        <w:rPr>
          <w:noProof/>
        </w:rPr>
        <w:t>2</w:t>
      </w:r>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r w:rsidRPr="00695C93">
        <w:fldChar w:fldCharType="end"/>
      </w:r>
      <w:r w:rsidRPr="00695C93">
        <w:tab/>
      </w:r>
      <w:r w:rsidRPr="00E432D5">
        <w:t>Health cost per unit of generation for Victorian power stations in 2023 dollar</w:t>
      </w:r>
      <w:bookmarkEnd w:id="8297"/>
    </w:p>
    <w:tbl>
      <w:tblPr>
        <w:tblW w:w="0" w:type="auto"/>
        <w:tblLayout w:type="fixed"/>
        <w:tblLook w:val="0000" w:firstRow="0" w:lastRow="0" w:firstColumn="0" w:lastColumn="0" w:noHBand="0" w:noVBand="0"/>
        <w:tblCaption w:val="Table 4.5"/>
        <w:tblDescription w:val="Health cost per unit of generation for Victorian power stations in 2023 dollar"/>
      </w:tblPr>
      <w:tblGrid>
        <w:gridCol w:w="3968"/>
        <w:gridCol w:w="3969"/>
      </w:tblGrid>
      <w:tr w:rsidR="00B54010" w14:paraId="3C8DFD18" w14:textId="77777777" w:rsidTr="00C7682F">
        <w:tc>
          <w:tcPr>
            <w:tcW w:w="3968" w:type="dxa"/>
            <w:shd w:val="clear" w:color="auto" w:fill="6F6652"/>
            <w:tcMar>
              <w:left w:w="57" w:type="dxa"/>
              <w:right w:w="57" w:type="dxa"/>
            </w:tcMar>
          </w:tcPr>
          <w:p w14:paraId="1F67C584" w14:textId="77777777" w:rsidR="00B54010" w:rsidRDefault="00B54010" w:rsidP="00C7682F">
            <w:pPr>
              <w:pStyle w:val="TableDataColumnHeading"/>
              <w:jc w:val="left"/>
              <w:rPr>
                <w:lang w:bidi="fa-IR"/>
              </w:rPr>
            </w:pPr>
            <w:r>
              <w:rPr>
                <w:lang w:bidi="fa-IR"/>
              </w:rPr>
              <w:t>Power station</w:t>
            </w:r>
          </w:p>
        </w:tc>
        <w:tc>
          <w:tcPr>
            <w:tcW w:w="3969" w:type="dxa"/>
            <w:shd w:val="clear" w:color="auto" w:fill="6F6652"/>
            <w:tcMar>
              <w:left w:w="57" w:type="dxa"/>
              <w:right w:w="57" w:type="dxa"/>
            </w:tcMar>
          </w:tcPr>
          <w:p w14:paraId="6B1123E1" w14:textId="77777777" w:rsidR="00B54010" w:rsidRDefault="00B54010" w:rsidP="00C7682F">
            <w:pPr>
              <w:pStyle w:val="TableDataColumnHeading"/>
              <w:rPr>
                <w:lang w:bidi="fa-IR"/>
              </w:rPr>
            </w:pPr>
            <w:r>
              <w:rPr>
                <w:lang w:bidi="fa-IR"/>
              </w:rPr>
              <w:t>Damage cost</w:t>
            </w:r>
          </w:p>
          <w:p w14:paraId="0B9A6128" w14:textId="77777777" w:rsidR="00B54010" w:rsidRDefault="00B54010" w:rsidP="00C7682F">
            <w:pPr>
              <w:pStyle w:val="TableDataColumnHeading"/>
              <w:rPr>
                <w:lang w:bidi="fa-IR"/>
              </w:rPr>
            </w:pPr>
            <w:r>
              <w:rPr>
                <w:lang w:bidi="fa-IR"/>
              </w:rPr>
              <w:t>(A$/MWh)</w:t>
            </w:r>
          </w:p>
        </w:tc>
      </w:tr>
      <w:tr w:rsidR="00B54010" w14:paraId="6A5D5CC2" w14:textId="77777777" w:rsidTr="00C7682F">
        <w:tc>
          <w:tcPr>
            <w:tcW w:w="39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335916" w14:textId="77777777" w:rsidR="00B54010" w:rsidRDefault="00B54010" w:rsidP="00C7682F">
            <w:pPr>
              <w:pStyle w:val="TableDataEntries"/>
              <w:jc w:val="left"/>
              <w:rPr>
                <w:lang w:bidi="fa-IR"/>
              </w:rPr>
            </w:pPr>
            <w:r>
              <w:rPr>
                <w:lang w:bidi="fa-IR"/>
              </w:rPr>
              <w:t>Hazelwood</w:t>
            </w:r>
          </w:p>
        </w:tc>
        <w:tc>
          <w:tcPr>
            <w:tcW w:w="39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ED72E5" w14:textId="77777777" w:rsidR="00B54010" w:rsidRDefault="00B54010" w:rsidP="00C7682F">
            <w:pPr>
              <w:pStyle w:val="TableDataEntries"/>
              <w:rPr>
                <w:lang w:bidi="fa-IR"/>
              </w:rPr>
            </w:pPr>
            <w:r w:rsidRPr="002B4CAE">
              <w:t>10.10</w:t>
            </w:r>
          </w:p>
        </w:tc>
      </w:tr>
      <w:tr w:rsidR="00B54010" w14:paraId="129A94C7" w14:textId="77777777" w:rsidTr="00C7682F">
        <w:tc>
          <w:tcPr>
            <w:tcW w:w="39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BC66B5" w14:textId="77777777" w:rsidR="00B54010" w:rsidRDefault="00B54010" w:rsidP="00C7682F">
            <w:pPr>
              <w:pStyle w:val="TableDataEntries"/>
              <w:jc w:val="left"/>
              <w:rPr>
                <w:lang w:bidi="fa-IR"/>
              </w:rPr>
            </w:pPr>
            <w:r>
              <w:rPr>
                <w:lang w:bidi="fa-IR"/>
              </w:rPr>
              <w:t>Loy Yang A</w:t>
            </w:r>
          </w:p>
        </w:tc>
        <w:tc>
          <w:tcPr>
            <w:tcW w:w="39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BCEB45" w14:textId="77777777" w:rsidR="00B54010" w:rsidRDefault="00B54010" w:rsidP="00C7682F">
            <w:pPr>
              <w:pStyle w:val="TableDataEntries"/>
              <w:rPr>
                <w:lang w:bidi="fa-IR"/>
              </w:rPr>
            </w:pPr>
            <w:r w:rsidRPr="002B4CAE">
              <w:t>22.56</w:t>
            </w:r>
          </w:p>
        </w:tc>
      </w:tr>
      <w:tr w:rsidR="00B54010" w14:paraId="4637A850" w14:textId="77777777" w:rsidTr="00C7682F">
        <w:tc>
          <w:tcPr>
            <w:tcW w:w="396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4A608C" w14:textId="77777777" w:rsidR="00B54010" w:rsidRDefault="00B54010" w:rsidP="00C7682F">
            <w:pPr>
              <w:pStyle w:val="TableDataEntries"/>
              <w:jc w:val="left"/>
              <w:rPr>
                <w:lang w:bidi="fa-IR"/>
              </w:rPr>
            </w:pPr>
            <w:r>
              <w:rPr>
                <w:lang w:bidi="fa-IR"/>
              </w:rPr>
              <w:t>Loy Yang B</w:t>
            </w:r>
          </w:p>
        </w:tc>
        <w:tc>
          <w:tcPr>
            <w:tcW w:w="396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66B4EC" w14:textId="77777777" w:rsidR="00B54010" w:rsidRDefault="00B54010" w:rsidP="00C7682F">
            <w:pPr>
              <w:pStyle w:val="TableDataEntries"/>
              <w:rPr>
                <w:lang w:bidi="fa-IR"/>
              </w:rPr>
            </w:pPr>
            <w:r w:rsidRPr="002B4CAE">
              <w:t>20.17</w:t>
            </w:r>
          </w:p>
        </w:tc>
      </w:tr>
      <w:tr w:rsidR="00B54010" w14:paraId="63EAC9D5" w14:textId="77777777" w:rsidTr="00C7682F">
        <w:tc>
          <w:tcPr>
            <w:tcW w:w="3968" w:type="dxa"/>
            <w:tcBorders>
              <w:top w:val="single" w:sz="8" w:space="0" w:color="FFFFFF" w:themeColor="background1"/>
              <w:bottom w:val="single" w:sz="6" w:space="0" w:color="6F6652"/>
            </w:tcBorders>
            <w:shd w:val="clear" w:color="auto" w:fill="E9E8E5" w:themeFill="background2"/>
            <w:tcMar>
              <w:left w:w="57" w:type="dxa"/>
              <w:right w:w="57" w:type="dxa"/>
            </w:tcMar>
          </w:tcPr>
          <w:p w14:paraId="6040D229" w14:textId="77777777" w:rsidR="00B54010" w:rsidRDefault="00B54010" w:rsidP="00C7682F">
            <w:pPr>
              <w:pStyle w:val="TableDataEntries"/>
              <w:jc w:val="left"/>
              <w:rPr>
                <w:lang w:bidi="fa-IR"/>
              </w:rPr>
            </w:pPr>
            <w:r>
              <w:rPr>
                <w:lang w:bidi="fa-IR"/>
              </w:rPr>
              <w:t>Yallourn</w:t>
            </w:r>
          </w:p>
        </w:tc>
        <w:tc>
          <w:tcPr>
            <w:tcW w:w="3969" w:type="dxa"/>
            <w:tcBorders>
              <w:top w:val="single" w:sz="8" w:space="0" w:color="FFFFFF" w:themeColor="background1"/>
              <w:bottom w:val="single" w:sz="6" w:space="0" w:color="6F6652"/>
            </w:tcBorders>
            <w:shd w:val="clear" w:color="auto" w:fill="E9E8E5" w:themeFill="background2"/>
            <w:tcMar>
              <w:left w:w="57" w:type="dxa"/>
              <w:right w:w="57" w:type="dxa"/>
            </w:tcMar>
          </w:tcPr>
          <w:p w14:paraId="31CB6B94" w14:textId="77777777" w:rsidR="00B54010" w:rsidRDefault="00B54010" w:rsidP="00C7682F">
            <w:pPr>
              <w:pStyle w:val="TableDataEntries"/>
              <w:rPr>
                <w:lang w:bidi="fa-IR"/>
              </w:rPr>
            </w:pPr>
            <w:r w:rsidRPr="002B4CAE">
              <w:t>14.26</w:t>
            </w:r>
          </w:p>
        </w:tc>
      </w:tr>
    </w:tbl>
    <w:p w14:paraId="414DCBA4" w14:textId="12B4D4C2" w:rsidR="00B54010" w:rsidRDefault="00B54010" w:rsidP="00B54010">
      <w:pPr>
        <w:pStyle w:val="Source"/>
        <w:rPr>
          <w:lang w:bidi="fa-IR"/>
        </w:rPr>
      </w:pPr>
      <w:r w:rsidRPr="00D66259">
        <w:rPr>
          <w:i/>
          <w:lang w:bidi="fa-IR"/>
        </w:rPr>
        <w:t>Source:</w:t>
      </w:r>
      <w:r>
        <w:rPr>
          <w:lang w:bidi="fa-IR"/>
        </w:rPr>
        <w:t xml:space="preserve"> </w:t>
      </w:r>
      <w:r>
        <w:t xml:space="preserve">DELWP, </w:t>
      </w:r>
      <w:r>
        <w:rPr>
          <w:i/>
          <w:iCs/>
        </w:rPr>
        <w:t>Estimating the health costs of air pollution in Victoria</w:t>
      </w:r>
      <w:r>
        <w:t xml:space="preserve">, DELWP Economics working paper to inform the Independent Expert Panel on Interim Targets, 2018, table 2, </w:t>
      </w:r>
      <w:hyperlink r:id="rId76" w:history="1">
        <w:r w:rsidRPr="006E5978">
          <w:rPr>
            <w:rStyle w:val="Hyperlink"/>
          </w:rPr>
          <w:t>https://www.climatechange.vic.gov.au/__data/assets/pdf_file/0022/421717/Final_Health-costs-of-air-pollution-in-Victoria.pdf</w:t>
        </w:r>
      </w:hyperlink>
      <w:r>
        <w:t>, accessed 6 December 2023.</w:t>
      </w:r>
    </w:p>
    <w:p w14:paraId="608A358F" w14:textId="77777777" w:rsidR="00B54010" w:rsidRPr="00844A6E" w:rsidRDefault="00B54010" w:rsidP="00B54010">
      <w:pPr>
        <w:pStyle w:val="BodyText"/>
        <w:rPr>
          <w:szCs w:val="22"/>
          <w:lang w:bidi="fa-IR"/>
        </w:rPr>
      </w:pPr>
      <w:r w:rsidRPr="00844A6E">
        <w:rPr>
          <w:szCs w:val="22"/>
          <w:lang w:bidi="fa-IR"/>
        </w:rPr>
        <w:t>CIE further estimated future local health impact</w:t>
      </w:r>
      <w:r>
        <w:rPr>
          <w:szCs w:val="22"/>
          <w:lang w:bidi="fa-IR"/>
        </w:rPr>
        <w:t>s</w:t>
      </w:r>
      <w:r w:rsidRPr="00844A6E">
        <w:rPr>
          <w:szCs w:val="22"/>
          <w:lang w:bidi="fa-IR"/>
        </w:rPr>
        <w:t xml:space="preserve"> with the changes in population density and local family income, which translate to projected population growth in the local region and projected gross state product (GSP) growth as an important factor of the future willingness to pay.</w:t>
      </w:r>
      <w:r w:rsidRPr="00844A6E">
        <w:rPr>
          <w:rStyle w:val="FootnoteReference"/>
          <w:sz w:val="22"/>
          <w:szCs w:val="22"/>
          <w:lang w:bidi="fa-IR"/>
        </w:rPr>
        <w:footnoteReference w:id="205"/>
      </w:r>
    </w:p>
    <w:p w14:paraId="313586C4" w14:textId="3B20A1B7" w:rsidR="00B54010" w:rsidRPr="00844A6E" w:rsidRDefault="00B54010" w:rsidP="00B54010">
      <w:pPr>
        <w:pStyle w:val="BodyText"/>
        <w:rPr>
          <w:szCs w:val="22"/>
        </w:rPr>
      </w:pPr>
      <w:r w:rsidRPr="00844A6E">
        <w:rPr>
          <w:szCs w:val="22"/>
        </w:rPr>
        <w:t>CIE had also estimated heath costs associated with operating coal power stations for NCC 2019 (table</w:t>
      </w:r>
      <w:r>
        <w:rPr>
          <w:szCs w:val="22"/>
        </w:rPr>
        <w:t xml:space="preserve"> </w:t>
      </w:r>
      <w:r>
        <w:rPr>
          <w:szCs w:val="22"/>
        </w:rPr>
        <w:fldChar w:fldCharType="begin"/>
      </w:r>
      <w:r>
        <w:rPr>
          <w:szCs w:val="22"/>
        </w:rPr>
        <w:instrText xml:space="preserve"> REF _Caption1358 </w:instrText>
      </w:r>
      <w:r>
        <w:rPr>
          <w:szCs w:val="22"/>
        </w:rPr>
        <w:fldChar w:fldCharType="separate"/>
      </w:r>
      <w:r w:rsidR="0096258B">
        <w:rPr>
          <w:noProof/>
        </w:rPr>
        <w:t>D</w:t>
      </w:r>
      <w:r w:rsidR="0096258B" w:rsidRPr="00695C93">
        <w:rPr>
          <w:noProof/>
        </w:rPr>
        <w:t>.</w:t>
      </w:r>
      <w:r w:rsidR="0096258B">
        <w:rPr>
          <w:noProof/>
        </w:rPr>
        <w:t>3</w:t>
      </w:r>
      <w:r>
        <w:rPr>
          <w:szCs w:val="22"/>
        </w:rPr>
        <w:fldChar w:fldCharType="end"/>
      </w:r>
      <w:r w:rsidRPr="00844A6E">
        <w:rPr>
          <w:szCs w:val="22"/>
        </w:rPr>
        <w:t>).</w:t>
      </w:r>
      <w:r w:rsidRPr="00844A6E">
        <w:rPr>
          <w:rStyle w:val="FootnoteReference"/>
          <w:sz w:val="22"/>
          <w:szCs w:val="22"/>
        </w:rPr>
        <w:footnoteReference w:id="206"/>
      </w:r>
      <w:r w:rsidRPr="00844A6E">
        <w:rPr>
          <w:szCs w:val="22"/>
        </w:rPr>
        <w:t xml:space="preserve"> The estimates are health damage attributable to exposure to PM2.5 in the urban areas where the stations are located or nearby, but they did not account for dispersion of pollutants. </w:t>
      </w:r>
    </w:p>
    <w:p w14:paraId="6D7FE28B" w14:textId="4BAFCAA6" w:rsidR="00B54010" w:rsidRPr="00695C93" w:rsidRDefault="00B54010" w:rsidP="00B54010">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520F9E">
          <w:rPr>
            <w:noProof/>
          </w:rPr>
          <w:instrText>D</w:instrText>
        </w:r>
      </w:fldSimple>
      <w:r w:rsidRPr="00695C93">
        <w:instrText xml:space="preserve"> = 0 "</w:instrText>
      </w:r>
      <w:r w:rsidRPr="00695C93">
        <w:fldChar w:fldCharType="begin"/>
      </w:r>
      <w:r w:rsidRPr="00695C93">
        <w:instrText xml:space="preserve"> IF </w:instrText>
      </w:r>
      <w:fldSimple w:instr=" STYLEREF &quot;Heading 1&quot; \l \n ">
        <w:r>
          <w:rPr>
            <w:noProof/>
          </w:rPr>
          <w:instrText>5</w:instrText>
        </w:r>
      </w:fldSimple>
      <w:r w:rsidRPr="00695C93">
        <w:instrText xml:space="preserve"> = 0 "" "</w:instrText>
      </w:r>
      <w:fldSimple w:instr=" STYLEREF &quot;Heading 1&quot; \l \n ">
        <w:r>
          <w:rPr>
            <w:noProof/>
          </w:rPr>
          <w:instrText>5</w:instrText>
        </w:r>
      </w:fldSimple>
      <w:r w:rsidRPr="00695C93">
        <w:instrText xml:space="preserve">." </w:instrText>
      </w:r>
      <w:r w:rsidRPr="00695C93">
        <w:fldChar w:fldCharType="separate"/>
      </w:r>
      <w:r>
        <w:rPr>
          <w:noProof/>
        </w:rPr>
        <w:instrText>5</w:instrText>
      </w:r>
      <w:r w:rsidRPr="00695C93">
        <w:rPr>
          <w:noProof/>
        </w:rPr>
        <w:instrText>.</w:instrText>
      </w:r>
      <w:r w:rsidRPr="00695C93">
        <w:fldChar w:fldCharType="end"/>
      </w:r>
      <w:r w:rsidRPr="00695C93">
        <w:instrText>" "</w:instrText>
      </w:r>
      <w:fldSimple w:instr=" STYLEREF &quot;Heading 6&quot; \l \n ">
        <w:r w:rsidR="00520F9E">
          <w:rPr>
            <w:noProof/>
          </w:rPr>
          <w:instrText>D</w:instrText>
        </w:r>
      </w:fldSimple>
      <w:r w:rsidRPr="00695C93">
        <w:instrText xml:space="preserve">." </w:instrText>
      </w:r>
      <w:r w:rsidRPr="00695C93">
        <w:fldChar w:fldCharType="separate"/>
      </w:r>
      <w:r w:rsidR="00520F9E">
        <w:rPr>
          <w:noProof/>
        </w:rPr>
        <w:instrText>D</w:instrText>
      </w:r>
      <w:r w:rsidR="00520F9E"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520F9E">
          <w:rPr>
            <w:noProof/>
          </w:rPr>
          <w:instrText>D</w:instrText>
        </w:r>
      </w:fldSimple>
      <w:r w:rsidRPr="00695C93">
        <w:instrText xml:space="preserve"> = 0 "</w:instrText>
      </w:r>
      <w:r w:rsidRPr="00695C93">
        <w:fldChar w:fldCharType="begin"/>
      </w:r>
      <w:r w:rsidRPr="00695C93">
        <w:instrText xml:space="preserve"> IF </w:instrText>
      </w:r>
      <w:fldSimple w:instr=" STYLEREF &quot;Heading 1&quot; \l \n ">
        <w:r>
          <w:rPr>
            <w:noProof/>
          </w:rPr>
          <w:instrText>5</w:instrText>
        </w:r>
      </w:fldSimple>
      <w:r w:rsidRPr="00695C93">
        <w:instrText xml:space="preserve"> = 0 "" "1" </w:instrText>
      </w:r>
      <w:r w:rsidRPr="00695C93">
        <w:fldChar w:fldCharType="separate"/>
      </w:r>
      <w:r w:rsidR="00BD1538" w:rsidRPr="00695C93">
        <w:rPr>
          <w:noProof/>
        </w:rPr>
        <w:instrText>1</w:instrText>
      </w:r>
      <w:r w:rsidRPr="00695C93">
        <w:fldChar w:fldCharType="end"/>
      </w:r>
      <w:r w:rsidRPr="00695C93">
        <w:instrText xml:space="preserve">" "6" </w:instrText>
      </w:r>
      <w:r w:rsidRPr="00695C93">
        <w:fldChar w:fldCharType="separate"/>
      </w:r>
      <w:r w:rsidR="00520F9E" w:rsidRPr="00695C93">
        <w:rPr>
          <w:noProof/>
        </w:rPr>
        <w:instrText>6</w:instrText>
      </w:r>
      <w:r w:rsidRPr="00695C93">
        <w:fldChar w:fldCharType="end"/>
      </w:r>
      <w:r w:rsidRPr="00695C93">
        <w:instrText xml:space="preserve"> </w:instrText>
      </w:r>
      <w:r w:rsidRPr="00695C93">
        <w:fldChar w:fldCharType="separate"/>
      </w:r>
      <w:r w:rsidR="00520F9E">
        <w:rPr>
          <w:noProof/>
        </w:rPr>
        <w:instrText>3</w:instrText>
      </w:r>
      <w:r w:rsidRPr="00695C93">
        <w:fldChar w:fldCharType="end"/>
      </w:r>
      <w:r w:rsidRPr="00695C93">
        <w:instrText xml:space="preserve">" "" </w:instrText>
      </w:r>
      <w:r w:rsidRPr="00695C93">
        <w:fldChar w:fldCharType="separate"/>
      </w:r>
      <w:bookmarkStart w:id="8298" w:name="_Caption7643"/>
      <w:bookmarkStart w:id="8299" w:name="_Caption2228"/>
      <w:bookmarkStart w:id="8300" w:name="_Caption9325"/>
      <w:bookmarkStart w:id="8301" w:name="_Caption2332"/>
      <w:bookmarkStart w:id="8302" w:name="_Caption1411"/>
      <w:bookmarkStart w:id="8303" w:name="_Caption3581"/>
      <w:bookmarkStart w:id="8304" w:name="_Caption8774"/>
      <w:bookmarkStart w:id="8305" w:name="_Caption8107"/>
      <w:bookmarkStart w:id="8306" w:name="_Caption3133"/>
      <w:bookmarkStart w:id="8307" w:name="_Caption7562"/>
      <w:bookmarkStart w:id="8308" w:name="_Caption2486"/>
      <w:bookmarkStart w:id="8309" w:name="_Caption0837"/>
      <w:bookmarkStart w:id="8310" w:name="_Caption8983"/>
      <w:bookmarkStart w:id="8311" w:name="_Caption8025"/>
      <w:bookmarkStart w:id="8312" w:name="_Caption0046"/>
      <w:bookmarkStart w:id="8313" w:name="_Caption8235"/>
      <w:bookmarkStart w:id="8314" w:name="_Caption9707"/>
      <w:bookmarkStart w:id="8315" w:name="_Caption5091"/>
      <w:bookmarkStart w:id="8316" w:name="_Caption7965"/>
      <w:bookmarkStart w:id="8317" w:name="_Caption8428"/>
      <w:bookmarkStart w:id="8318" w:name="_Caption8801"/>
      <w:bookmarkStart w:id="8319" w:name="_Caption1954"/>
      <w:bookmarkStart w:id="8320" w:name="_Caption1358"/>
      <w:bookmarkStart w:id="8321" w:name="_Caption6980"/>
      <w:bookmarkStart w:id="8322" w:name="_Caption5817"/>
      <w:bookmarkStart w:id="8323" w:name="_Caption8220"/>
      <w:bookmarkStart w:id="8324" w:name="_Caption4343"/>
      <w:bookmarkStart w:id="8325" w:name="_Caption3912"/>
      <w:bookmarkStart w:id="8326" w:name="_Caption4539"/>
      <w:bookmarkStart w:id="8327" w:name="_Caption0361"/>
      <w:bookmarkStart w:id="8328" w:name="_Caption4522"/>
      <w:bookmarkStart w:id="8329" w:name="_Caption1931"/>
      <w:bookmarkStart w:id="8330" w:name="_Caption9175"/>
      <w:bookmarkStart w:id="8331" w:name="_Caption5148"/>
      <w:bookmarkStart w:id="8332" w:name="_Caption1576"/>
      <w:bookmarkStart w:id="8333" w:name="_Caption2159"/>
      <w:bookmarkStart w:id="8334" w:name="_Caption7926"/>
      <w:bookmarkStart w:id="8335" w:name="_Caption2029"/>
      <w:bookmarkStart w:id="8336" w:name="_Caption1479"/>
      <w:bookmarkStart w:id="8337" w:name="_Caption3298"/>
      <w:bookmarkStart w:id="8338" w:name="_Caption2847"/>
      <w:bookmarkStart w:id="8339" w:name="_Caption6242"/>
      <w:bookmarkStart w:id="8340" w:name="_Caption9946"/>
      <w:bookmarkStart w:id="8341" w:name="_Caption2636"/>
      <w:bookmarkStart w:id="8342" w:name="_Caption3719"/>
      <w:bookmarkStart w:id="8343" w:name="_Caption7712"/>
      <w:bookmarkStart w:id="8344" w:name="_Caption0976"/>
      <w:bookmarkStart w:id="8345" w:name="_Caption9315"/>
      <w:bookmarkStart w:id="8346" w:name="_Caption8523"/>
      <w:bookmarkStart w:id="8347" w:name="_Caption3416"/>
      <w:bookmarkStart w:id="8348" w:name="_Caption0007"/>
      <w:bookmarkStart w:id="8349" w:name="_Caption7134"/>
      <w:bookmarkStart w:id="8350" w:name="_Caption8176"/>
      <w:bookmarkStart w:id="8351" w:name="_Caption8590"/>
      <w:bookmarkStart w:id="8352" w:name="_Caption9414"/>
      <w:bookmarkStart w:id="8353" w:name="_Caption6561"/>
      <w:bookmarkStart w:id="8354" w:name="_Caption9610"/>
      <w:bookmarkStart w:id="8355" w:name="_Caption3474"/>
      <w:bookmarkStart w:id="8356" w:name="_Caption3984"/>
      <w:bookmarkStart w:id="8357" w:name="_Caption3647"/>
      <w:bookmarkStart w:id="8358" w:name="_Caption7151"/>
      <w:bookmarkStart w:id="8359" w:name="_Caption8407"/>
      <w:bookmarkStart w:id="8360" w:name="_Caption2994"/>
      <w:bookmarkStart w:id="8361" w:name="_Caption5928"/>
      <w:bookmarkStart w:id="8362" w:name="_Caption4438"/>
      <w:bookmarkStart w:id="8363" w:name="_Caption8437"/>
      <w:bookmarkStart w:id="8364" w:name="_Caption8402"/>
      <w:bookmarkStart w:id="8365" w:name="_Caption6768"/>
      <w:bookmarkStart w:id="8366" w:name="_Toc178292669"/>
      <w:r w:rsidR="008C60A3">
        <w:rPr>
          <w:noProof/>
        </w:rPr>
        <w:t>D</w:t>
      </w:r>
      <w:r w:rsidR="008C60A3" w:rsidRPr="00695C93">
        <w:rPr>
          <w:noProof/>
        </w:rPr>
        <w:t>.</w:t>
      </w:r>
      <w:r w:rsidR="008C60A3">
        <w:rPr>
          <w:noProof/>
        </w:rPr>
        <w:t>3</w:t>
      </w:r>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r w:rsidRPr="00695C93">
        <w:fldChar w:fldCharType="end"/>
      </w:r>
      <w:r w:rsidRPr="00695C93">
        <w:tab/>
      </w:r>
      <w:r w:rsidRPr="00E432D5">
        <w:t>Health cost by facility in 2023 dollars</w:t>
      </w:r>
      <w:bookmarkEnd w:id="8366"/>
    </w:p>
    <w:tbl>
      <w:tblPr>
        <w:tblW w:w="7938" w:type="dxa"/>
        <w:tblLayout w:type="fixed"/>
        <w:tblLook w:val="04A0" w:firstRow="1" w:lastRow="0" w:firstColumn="1" w:lastColumn="0" w:noHBand="0" w:noVBand="1"/>
        <w:tblCaption w:val="Table 4.6"/>
        <w:tblDescription w:val="Health cost by facility in 2023 dollars"/>
      </w:tblPr>
      <w:tblGrid>
        <w:gridCol w:w="2977"/>
        <w:gridCol w:w="2126"/>
        <w:gridCol w:w="851"/>
        <w:gridCol w:w="992"/>
        <w:gridCol w:w="992"/>
      </w:tblGrid>
      <w:tr w:rsidR="00B54010" w:rsidRPr="0014439F" w14:paraId="7EE1A02E" w14:textId="77777777" w:rsidTr="00C7682F">
        <w:trPr>
          <w:trHeight w:val="250"/>
          <w:tblHeader/>
        </w:trPr>
        <w:tc>
          <w:tcPr>
            <w:tcW w:w="2977" w:type="dxa"/>
            <w:shd w:val="clear" w:color="auto" w:fill="6F6652"/>
            <w:noWrap/>
            <w:tcMar>
              <w:left w:w="57" w:type="dxa"/>
              <w:right w:w="57" w:type="dxa"/>
            </w:tcMar>
            <w:hideMark/>
          </w:tcPr>
          <w:p w14:paraId="5E22EA6D" w14:textId="77777777" w:rsidR="00B54010" w:rsidRPr="0014439F" w:rsidRDefault="00B54010" w:rsidP="00C7682F">
            <w:pPr>
              <w:pStyle w:val="TableDataColumnHeading"/>
              <w:jc w:val="left"/>
            </w:pPr>
            <w:r w:rsidRPr="0014439F">
              <w:t>Facility Name</w:t>
            </w:r>
          </w:p>
        </w:tc>
        <w:tc>
          <w:tcPr>
            <w:tcW w:w="2126" w:type="dxa"/>
            <w:shd w:val="clear" w:color="auto" w:fill="6F6652"/>
          </w:tcPr>
          <w:p w14:paraId="7C884238" w14:textId="77777777" w:rsidR="00B54010" w:rsidRDefault="00B54010" w:rsidP="00C7682F">
            <w:pPr>
              <w:pStyle w:val="TableDataColumnHeading"/>
              <w:jc w:val="left"/>
            </w:pPr>
            <w:r>
              <w:t>Urban area (nearest)</w:t>
            </w:r>
          </w:p>
        </w:tc>
        <w:tc>
          <w:tcPr>
            <w:tcW w:w="851" w:type="dxa"/>
            <w:shd w:val="clear" w:color="auto" w:fill="6F6652"/>
            <w:noWrap/>
            <w:tcMar>
              <w:left w:w="57" w:type="dxa"/>
              <w:right w:w="57" w:type="dxa"/>
            </w:tcMar>
            <w:hideMark/>
          </w:tcPr>
          <w:p w14:paraId="12614A65" w14:textId="77777777" w:rsidR="00B54010" w:rsidRDefault="00B54010" w:rsidP="00C7682F">
            <w:pPr>
              <w:pStyle w:val="TableDataColumnHeading"/>
            </w:pPr>
            <w:r>
              <w:t>E</w:t>
            </w:r>
            <w:r w:rsidRPr="0014439F">
              <w:t>missions intensity</w:t>
            </w:r>
          </w:p>
          <w:p w14:paraId="396FB578" w14:textId="77777777" w:rsidR="00B54010" w:rsidRPr="0014439F" w:rsidRDefault="00B54010" w:rsidP="00C7682F">
            <w:pPr>
              <w:pStyle w:val="TableDataColumnHeading"/>
            </w:pPr>
            <w:r>
              <w:t>(tPM</w:t>
            </w:r>
            <w:r w:rsidRPr="009253DC">
              <w:rPr>
                <w:vertAlign w:val="subscript"/>
              </w:rPr>
              <w:t>2.5</w:t>
            </w:r>
            <w:r>
              <w:t>/</w:t>
            </w:r>
            <w:r>
              <w:br/>
              <w:t>GWh)</w:t>
            </w:r>
            <w:r w:rsidRPr="0014439F">
              <w:t xml:space="preserve"> </w:t>
            </w:r>
          </w:p>
        </w:tc>
        <w:tc>
          <w:tcPr>
            <w:tcW w:w="992" w:type="dxa"/>
            <w:shd w:val="clear" w:color="auto" w:fill="6F6652"/>
            <w:noWrap/>
            <w:tcMar>
              <w:left w:w="57" w:type="dxa"/>
              <w:right w:w="57" w:type="dxa"/>
            </w:tcMar>
            <w:hideMark/>
          </w:tcPr>
          <w:p w14:paraId="0D919FF4" w14:textId="77777777" w:rsidR="00B54010" w:rsidRDefault="00B54010" w:rsidP="00C7682F">
            <w:pPr>
              <w:pStyle w:val="TableDataColumnHeading"/>
            </w:pPr>
            <w:r w:rsidRPr="0014439F">
              <w:t>Damage cost</w:t>
            </w:r>
          </w:p>
          <w:p w14:paraId="26B20193" w14:textId="77777777" w:rsidR="00B54010" w:rsidRPr="0014439F" w:rsidRDefault="00B54010" w:rsidP="00C7682F">
            <w:pPr>
              <w:pStyle w:val="TableDataColumnHeading"/>
            </w:pPr>
            <w:r>
              <w:t>($/tPM</w:t>
            </w:r>
            <w:r w:rsidRPr="009253DC">
              <w:rPr>
                <w:vertAlign w:val="subscript"/>
              </w:rPr>
              <w:t>2.5</w:t>
            </w:r>
            <w:r>
              <w:t>)</w:t>
            </w:r>
          </w:p>
        </w:tc>
        <w:tc>
          <w:tcPr>
            <w:tcW w:w="992" w:type="dxa"/>
            <w:shd w:val="clear" w:color="auto" w:fill="6F6652"/>
          </w:tcPr>
          <w:p w14:paraId="15F32525" w14:textId="77777777" w:rsidR="00B54010" w:rsidRDefault="00B54010" w:rsidP="00C7682F">
            <w:pPr>
              <w:pStyle w:val="TableDataColumnHeading"/>
            </w:pPr>
            <w:r w:rsidRPr="0014439F">
              <w:t>Damage cost</w:t>
            </w:r>
          </w:p>
          <w:p w14:paraId="2BE4AD85" w14:textId="77777777" w:rsidR="00B54010" w:rsidRPr="0014439F" w:rsidRDefault="00B54010" w:rsidP="00C7682F">
            <w:pPr>
              <w:pStyle w:val="TableDataColumnHeading"/>
            </w:pPr>
            <w:r>
              <w:t>(</w:t>
            </w:r>
            <w:r>
              <w:rPr>
                <w:lang w:bidi="fa-IR"/>
              </w:rPr>
              <w:t>A$/MWh</w:t>
            </w:r>
            <w:r>
              <w:t>)</w:t>
            </w:r>
          </w:p>
        </w:tc>
      </w:tr>
      <w:tr w:rsidR="00B54010" w:rsidRPr="0014439F" w14:paraId="43275A83" w14:textId="77777777" w:rsidTr="00C7682F">
        <w:trPr>
          <w:trHeight w:val="250"/>
        </w:trPr>
        <w:tc>
          <w:tcPr>
            <w:tcW w:w="297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30CAEEE3" w14:textId="77777777" w:rsidR="00B54010" w:rsidRPr="0014439F" w:rsidRDefault="00B54010" w:rsidP="00C7682F">
            <w:pPr>
              <w:pStyle w:val="TableDataEntries"/>
              <w:jc w:val="left"/>
            </w:pPr>
            <w:r w:rsidRPr="0014439F">
              <w:t>Eraring Power Station</w:t>
            </w:r>
            <w:r>
              <w:t xml:space="preserve"> (NSW)</w:t>
            </w:r>
          </w:p>
        </w:tc>
        <w:tc>
          <w:tcPr>
            <w:tcW w:w="2126" w:type="dxa"/>
            <w:tcBorders>
              <w:top w:val="single" w:sz="8" w:space="0" w:color="FFFFFF" w:themeColor="background1"/>
              <w:bottom w:val="single" w:sz="8" w:space="0" w:color="FFFFFF" w:themeColor="background1"/>
            </w:tcBorders>
            <w:shd w:val="clear" w:color="auto" w:fill="E9E8E5" w:themeFill="background2"/>
            <w:vAlign w:val="bottom"/>
          </w:tcPr>
          <w:p w14:paraId="743B3CC6" w14:textId="77777777" w:rsidR="00B54010" w:rsidRDefault="00B54010" w:rsidP="00C7682F">
            <w:pPr>
              <w:pStyle w:val="TableDataEntries"/>
              <w:jc w:val="left"/>
            </w:pPr>
            <w:r>
              <w:t>Morisset - Cooranbong</w:t>
            </w:r>
          </w:p>
        </w:tc>
        <w:tc>
          <w:tcPr>
            <w:tcW w:w="851"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F976E9E" w14:textId="77777777" w:rsidR="00B54010" w:rsidRPr="0014439F" w:rsidRDefault="00B54010" w:rsidP="00C7682F">
            <w:pPr>
              <w:pStyle w:val="TableDataEntries"/>
            </w:pPr>
            <w:r w:rsidRPr="00CE46EF">
              <w:t xml:space="preserve"> 0.005 </w:t>
            </w:r>
          </w:p>
        </w:tc>
        <w:tc>
          <w:tcPr>
            <w:tcW w:w="99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0F7B7273" w14:textId="77777777" w:rsidR="00B54010" w:rsidRPr="0014439F" w:rsidRDefault="00B54010" w:rsidP="00C7682F">
            <w:pPr>
              <w:pStyle w:val="TableDataEntries"/>
            </w:pPr>
            <w:r w:rsidRPr="00EF16E4">
              <w:t xml:space="preserve"> 25 735 </w:t>
            </w:r>
          </w:p>
        </w:tc>
        <w:tc>
          <w:tcPr>
            <w:tcW w:w="992" w:type="dxa"/>
            <w:tcBorders>
              <w:top w:val="single" w:sz="8" w:space="0" w:color="FFFFFF" w:themeColor="background1"/>
              <w:bottom w:val="single" w:sz="8" w:space="0" w:color="FFFFFF" w:themeColor="background1"/>
            </w:tcBorders>
            <w:shd w:val="clear" w:color="auto" w:fill="C2DADB" w:themeFill="accent6" w:themeFillTint="99"/>
            <w:noWrap/>
            <w:tcMar>
              <w:left w:w="57" w:type="dxa"/>
              <w:right w:w="57" w:type="dxa"/>
            </w:tcMar>
            <w:hideMark/>
          </w:tcPr>
          <w:p w14:paraId="0DE27175" w14:textId="77777777" w:rsidR="00B54010" w:rsidRPr="0059684D" w:rsidRDefault="00B54010" w:rsidP="00C7682F">
            <w:pPr>
              <w:pStyle w:val="TableDataEntries"/>
              <w:rPr>
                <w:rFonts w:ascii="Franklin Gothic Demi" w:hAnsi="Franklin Gothic Demi"/>
              </w:rPr>
            </w:pPr>
            <w:r w:rsidRPr="0059684D">
              <w:rPr>
                <w:rFonts w:ascii="Franklin Gothic Demi" w:hAnsi="Franklin Gothic Demi"/>
              </w:rPr>
              <w:t xml:space="preserve"> 0.12 </w:t>
            </w:r>
          </w:p>
        </w:tc>
      </w:tr>
      <w:tr w:rsidR="00B54010" w:rsidRPr="0014439F" w14:paraId="1553BCE7" w14:textId="77777777" w:rsidTr="00C7682F">
        <w:trPr>
          <w:trHeight w:val="250"/>
        </w:trPr>
        <w:tc>
          <w:tcPr>
            <w:tcW w:w="297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57C83898" w14:textId="77777777" w:rsidR="00B54010" w:rsidRPr="0014439F" w:rsidRDefault="00B54010" w:rsidP="00C7682F">
            <w:pPr>
              <w:pStyle w:val="TableDataEntries"/>
              <w:jc w:val="left"/>
            </w:pPr>
            <w:r w:rsidRPr="0014439F">
              <w:t>Bayswater Power Station</w:t>
            </w:r>
            <w:r>
              <w:t xml:space="preserve"> (NSW)</w:t>
            </w:r>
          </w:p>
        </w:tc>
        <w:tc>
          <w:tcPr>
            <w:tcW w:w="2126" w:type="dxa"/>
            <w:tcBorders>
              <w:top w:val="single" w:sz="8" w:space="0" w:color="FFFFFF" w:themeColor="background1"/>
              <w:bottom w:val="single" w:sz="8" w:space="0" w:color="FFFFFF" w:themeColor="background1"/>
            </w:tcBorders>
            <w:shd w:val="clear" w:color="auto" w:fill="E9E8E5" w:themeFill="background2"/>
            <w:vAlign w:val="bottom"/>
          </w:tcPr>
          <w:p w14:paraId="372FF35D" w14:textId="77777777" w:rsidR="00B54010" w:rsidRDefault="00B54010" w:rsidP="00C7682F">
            <w:pPr>
              <w:pStyle w:val="TableDataEntries"/>
              <w:jc w:val="left"/>
            </w:pPr>
            <w:r>
              <w:t>Muswellbrook</w:t>
            </w:r>
          </w:p>
        </w:tc>
        <w:tc>
          <w:tcPr>
            <w:tcW w:w="851"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5980FF3" w14:textId="77777777" w:rsidR="00B54010" w:rsidRPr="0014439F" w:rsidRDefault="00B54010" w:rsidP="00C7682F">
            <w:pPr>
              <w:pStyle w:val="TableDataEntries"/>
            </w:pPr>
            <w:r w:rsidRPr="00CE46EF">
              <w:t xml:space="preserve"> 0.006 </w:t>
            </w:r>
          </w:p>
        </w:tc>
        <w:tc>
          <w:tcPr>
            <w:tcW w:w="99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75A8BCF5" w14:textId="77777777" w:rsidR="00B54010" w:rsidRPr="0014439F" w:rsidRDefault="00B54010" w:rsidP="00C7682F">
            <w:pPr>
              <w:pStyle w:val="TableDataEntries"/>
            </w:pPr>
            <w:r w:rsidRPr="00EF16E4">
              <w:t xml:space="preserve"> 18 717 </w:t>
            </w:r>
          </w:p>
        </w:tc>
        <w:tc>
          <w:tcPr>
            <w:tcW w:w="992" w:type="dxa"/>
            <w:tcBorders>
              <w:top w:val="single" w:sz="8" w:space="0" w:color="FFFFFF" w:themeColor="background1"/>
              <w:bottom w:val="single" w:sz="8" w:space="0" w:color="FFFFFF" w:themeColor="background1"/>
            </w:tcBorders>
            <w:shd w:val="clear" w:color="auto" w:fill="C2DADB" w:themeFill="accent6" w:themeFillTint="99"/>
            <w:noWrap/>
            <w:tcMar>
              <w:left w:w="57" w:type="dxa"/>
              <w:right w:w="57" w:type="dxa"/>
            </w:tcMar>
            <w:hideMark/>
          </w:tcPr>
          <w:p w14:paraId="6566017B" w14:textId="77777777" w:rsidR="00B54010" w:rsidRPr="0059684D" w:rsidRDefault="00B54010" w:rsidP="00C7682F">
            <w:pPr>
              <w:pStyle w:val="TableDataEntries"/>
              <w:rPr>
                <w:rFonts w:ascii="Franklin Gothic Demi" w:hAnsi="Franklin Gothic Demi"/>
              </w:rPr>
            </w:pPr>
            <w:r w:rsidRPr="0059684D">
              <w:rPr>
                <w:rFonts w:ascii="Franklin Gothic Demi" w:hAnsi="Franklin Gothic Demi"/>
              </w:rPr>
              <w:t xml:space="preserve"> 0.12 </w:t>
            </w:r>
          </w:p>
        </w:tc>
      </w:tr>
      <w:tr w:rsidR="00B54010" w:rsidRPr="0014439F" w14:paraId="7F634285" w14:textId="77777777" w:rsidTr="00C7682F">
        <w:trPr>
          <w:trHeight w:val="250"/>
        </w:trPr>
        <w:tc>
          <w:tcPr>
            <w:tcW w:w="297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882AF00" w14:textId="77777777" w:rsidR="00B54010" w:rsidRPr="0014439F" w:rsidRDefault="00B54010" w:rsidP="00C7682F">
            <w:pPr>
              <w:pStyle w:val="TableDataEntries"/>
              <w:jc w:val="left"/>
            </w:pPr>
            <w:r w:rsidRPr="0014439F">
              <w:t>Liddell Power Station</w:t>
            </w:r>
            <w:r>
              <w:t xml:space="preserve"> (NSW)</w:t>
            </w:r>
          </w:p>
        </w:tc>
        <w:tc>
          <w:tcPr>
            <w:tcW w:w="2126" w:type="dxa"/>
            <w:tcBorders>
              <w:top w:val="single" w:sz="8" w:space="0" w:color="FFFFFF" w:themeColor="background1"/>
              <w:bottom w:val="single" w:sz="8" w:space="0" w:color="FFFFFF" w:themeColor="background1"/>
            </w:tcBorders>
            <w:shd w:val="clear" w:color="auto" w:fill="E9E8E5" w:themeFill="background2"/>
            <w:vAlign w:val="bottom"/>
          </w:tcPr>
          <w:p w14:paraId="58807EF8" w14:textId="77777777" w:rsidR="00B54010" w:rsidRDefault="00B54010" w:rsidP="00C7682F">
            <w:pPr>
              <w:pStyle w:val="TableDataEntries"/>
              <w:jc w:val="left"/>
            </w:pPr>
            <w:r>
              <w:t>Muswellbrook</w:t>
            </w:r>
          </w:p>
        </w:tc>
        <w:tc>
          <w:tcPr>
            <w:tcW w:w="851"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5493E67B" w14:textId="77777777" w:rsidR="00B54010" w:rsidRPr="0014439F" w:rsidRDefault="00B54010" w:rsidP="00C7682F">
            <w:pPr>
              <w:pStyle w:val="TableDataEntries"/>
            </w:pPr>
            <w:r w:rsidRPr="00CE46EF">
              <w:t xml:space="preserve"> 0.029 </w:t>
            </w:r>
          </w:p>
        </w:tc>
        <w:tc>
          <w:tcPr>
            <w:tcW w:w="99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8FDD639" w14:textId="77777777" w:rsidR="00B54010" w:rsidRPr="0014439F" w:rsidRDefault="00B54010" w:rsidP="00C7682F">
            <w:pPr>
              <w:pStyle w:val="TableDataEntries"/>
            </w:pPr>
            <w:r w:rsidRPr="00EF16E4">
              <w:t xml:space="preserve"> 18 717 </w:t>
            </w:r>
          </w:p>
        </w:tc>
        <w:tc>
          <w:tcPr>
            <w:tcW w:w="992" w:type="dxa"/>
            <w:tcBorders>
              <w:top w:val="single" w:sz="8" w:space="0" w:color="FFFFFF" w:themeColor="background1"/>
              <w:bottom w:val="single" w:sz="8" w:space="0" w:color="FFFFFF" w:themeColor="background1"/>
            </w:tcBorders>
            <w:shd w:val="clear" w:color="auto" w:fill="C2DADB" w:themeFill="accent6" w:themeFillTint="99"/>
            <w:noWrap/>
            <w:tcMar>
              <w:left w:w="57" w:type="dxa"/>
              <w:right w:w="57" w:type="dxa"/>
            </w:tcMar>
            <w:hideMark/>
          </w:tcPr>
          <w:p w14:paraId="4D1024DE" w14:textId="77777777" w:rsidR="00B54010" w:rsidRPr="0059684D" w:rsidRDefault="00B54010" w:rsidP="00C7682F">
            <w:pPr>
              <w:pStyle w:val="TableDataEntries"/>
              <w:rPr>
                <w:rFonts w:ascii="Franklin Gothic Demi" w:hAnsi="Franklin Gothic Demi"/>
              </w:rPr>
            </w:pPr>
            <w:r w:rsidRPr="0059684D">
              <w:rPr>
                <w:rFonts w:ascii="Franklin Gothic Demi" w:hAnsi="Franklin Gothic Demi"/>
              </w:rPr>
              <w:t xml:space="preserve"> 0.55 </w:t>
            </w:r>
          </w:p>
        </w:tc>
      </w:tr>
      <w:tr w:rsidR="00B54010" w:rsidRPr="0014439F" w14:paraId="6FD22781" w14:textId="77777777" w:rsidTr="00C7682F">
        <w:trPr>
          <w:trHeight w:val="250"/>
        </w:trPr>
        <w:tc>
          <w:tcPr>
            <w:tcW w:w="297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DFBDB69" w14:textId="77777777" w:rsidR="00B54010" w:rsidRPr="0014439F" w:rsidRDefault="00B54010" w:rsidP="00C7682F">
            <w:pPr>
              <w:pStyle w:val="TableDataEntries"/>
              <w:jc w:val="left"/>
            </w:pPr>
            <w:r w:rsidRPr="0014439F">
              <w:t>Vales Point Power Station</w:t>
            </w:r>
            <w:r>
              <w:t xml:space="preserve"> (NSW)</w:t>
            </w:r>
          </w:p>
        </w:tc>
        <w:tc>
          <w:tcPr>
            <w:tcW w:w="2126" w:type="dxa"/>
            <w:tcBorders>
              <w:top w:val="single" w:sz="8" w:space="0" w:color="FFFFFF" w:themeColor="background1"/>
              <w:bottom w:val="single" w:sz="8" w:space="0" w:color="FFFFFF" w:themeColor="background1"/>
            </w:tcBorders>
            <w:shd w:val="clear" w:color="auto" w:fill="E9E8E5" w:themeFill="background2"/>
            <w:vAlign w:val="bottom"/>
          </w:tcPr>
          <w:p w14:paraId="621CFE9E" w14:textId="77777777" w:rsidR="00B54010" w:rsidRDefault="00B54010" w:rsidP="00C7682F">
            <w:pPr>
              <w:pStyle w:val="TableDataEntries"/>
              <w:jc w:val="left"/>
            </w:pPr>
            <w:r>
              <w:t>Central Coast</w:t>
            </w:r>
          </w:p>
        </w:tc>
        <w:tc>
          <w:tcPr>
            <w:tcW w:w="851"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0D60EB70" w14:textId="77777777" w:rsidR="00B54010" w:rsidRPr="0014439F" w:rsidRDefault="00B54010" w:rsidP="00C7682F">
            <w:pPr>
              <w:pStyle w:val="TableDataEntries"/>
            </w:pPr>
            <w:r w:rsidRPr="00CE46EF">
              <w:t xml:space="preserve"> 0.012 </w:t>
            </w:r>
          </w:p>
        </w:tc>
        <w:tc>
          <w:tcPr>
            <w:tcW w:w="99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5A34DAB6" w14:textId="77777777" w:rsidR="00B54010" w:rsidRPr="0014439F" w:rsidRDefault="00B54010" w:rsidP="00C7682F">
            <w:pPr>
              <w:pStyle w:val="TableDataEntries"/>
            </w:pPr>
            <w:r w:rsidRPr="00EF16E4">
              <w:t xml:space="preserve"> 214 071 </w:t>
            </w:r>
          </w:p>
        </w:tc>
        <w:tc>
          <w:tcPr>
            <w:tcW w:w="992" w:type="dxa"/>
            <w:tcBorders>
              <w:top w:val="single" w:sz="8" w:space="0" w:color="FFFFFF" w:themeColor="background1"/>
              <w:bottom w:val="single" w:sz="8" w:space="0" w:color="FFFFFF" w:themeColor="background1"/>
            </w:tcBorders>
            <w:shd w:val="clear" w:color="auto" w:fill="C2DADB" w:themeFill="accent6" w:themeFillTint="99"/>
            <w:noWrap/>
            <w:tcMar>
              <w:left w:w="57" w:type="dxa"/>
              <w:right w:w="57" w:type="dxa"/>
            </w:tcMar>
            <w:hideMark/>
          </w:tcPr>
          <w:p w14:paraId="38B76CB5" w14:textId="77777777" w:rsidR="00B54010" w:rsidRPr="0059684D" w:rsidRDefault="00B54010" w:rsidP="00C7682F">
            <w:pPr>
              <w:pStyle w:val="TableDataEntries"/>
              <w:rPr>
                <w:rFonts w:ascii="Franklin Gothic Demi" w:hAnsi="Franklin Gothic Demi"/>
              </w:rPr>
            </w:pPr>
            <w:r w:rsidRPr="0059684D">
              <w:rPr>
                <w:rFonts w:ascii="Franklin Gothic Demi" w:hAnsi="Franklin Gothic Demi"/>
              </w:rPr>
              <w:t xml:space="preserve"> 2.53 </w:t>
            </w:r>
          </w:p>
        </w:tc>
      </w:tr>
      <w:tr w:rsidR="00B54010" w:rsidRPr="0014439F" w14:paraId="082EA5FF" w14:textId="77777777" w:rsidTr="00C7682F">
        <w:trPr>
          <w:trHeight w:val="250"/>
        </w:trPr>
        <w:tc>
          <w:tcPr>
            <w:tcW w:w="297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6C427234" w14:textId="77777777" w:rsidR="00B54010" w:rsidRPr="0014439F" w:rsidRDefault="00B54010" w:rsidP="00C7682F">
            <w:pPr>
              <w:pStyle w:val="TableDataEntries"/>
              <w:jc w:val="left"/>
            </w:pPr>
            <w:r w:rsidRPr="0014439F">
              <w:t>Mt Piper Power Station</w:t>
            </w:r>
            <w:r>
              <w:t xml:space="preserve"> (NSW)</w:t>
            </w:r>
          </w:p>
        </w:tc>
        <w:tc>
          <w:tcPr>
            <w:tcW w:w="2126" w:type="dxa"/>
            <w:tcBorders>
              <w:top w:val="single" w:sz="8" w:space="0" w:color="FFFFFF" w:themeColor="background1"/>
              <w:bottom w:val="single" w:sz="8" w:space="0" w:color="FFFFFF" w:themeColor="background1"/>
            </w:tcBorders>
            <w:shd w:val="clear" w:color="auto" w:fill="E9E8E5" w:themeFill="background2"/>
            <w:vAlign w:val="bottom"/>
          </w:tcPr>
          <w:p w14:paraId="4C2415EC" w14:textId="77777777" w:rsidR="00B54010" w:rsidRDefault="00B54010" w:rsidP="00C7682F">
            <w:pPr>
              <w:pStyle w:val="TableDataEntries"/>
              <w:jc w:val="left"/>
            </w:pPr>
            <w:r>
              <w:t>Lithgow</w:t>
            </w:r>
          </w:p>
        </w:tc>
        <w:tc>
          <w:tcPr>
            <w:tcW w:w="851"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F69E144" w14:textId="77777777" w:rsidR="00B54010" w:rsidRPr="0014439F" w:rsidRDefault="00B54010" w:rsidP="00C7682F">
            <w:pPr>
              <w:pStyle w:val="TableDataEntries"/>
            </w:pPr>
            <w:r w:rsidRPr="00CE46EF">
              <w:t xml:space="preserve"> 0.021 </w:t>
            </w:r>
          </w:p>
        </w:tc>
        <w:tc>
          <w:tcPr>
            <w:tcW w:w="99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3BF3C213" w14:textId="77777777" w:rsidR="00B54010" w:rsidRPr="0014439F" w:rsidRDefault="00B54010" w:rsidP="00C7682F">
            <w:pPr>
              <w:pStyle w:val="TableDataEntries"/>
            </w:pPr>
            <w:r w:rsidRPr="00EF16E4">
              <w:t xml:space="preserve"> 40 943 </w:t>
            </w:r>
          </w:p>
        </w:tc>
        <w:tc>
          <w:tcPr>
            <w:tcW w:w="992" w:type="dxa"/>
            <w:tcBorders>
              <w:top w:val="single" w:sz="8" w:space="0" w:color="FFFFFF" w:themeColor="background1"/>
              <w:bottom w:val="single" w:sz="8" w:space="0" w:color="FFFFFF" w:themeColor="background1"/>
            </w:tcBorders>
            <w:shd w:val="clear" w:color="auto" w:fill="C2DADB" w:themeFill="accent6" w:themeFillTint="99"/>
            <w:noWrap/>
            <w:tcMar>
              <w:left w:w="57" w:type="dxa"/>
              <w:right w:w="57" w:type="dxa"/>
            </w:tcMar>
            <w:hideMark/>
          </w:tcPr>
          <w:p w14:paraId="11691A9D" w14:textId="77777777" w:rsidR="00B54010" w:rsidRPr="0059684D" w:rsidRDefault="00B54010" w:rsidP="00C7682F">
            <w:pPr>
              <w:pStyle w:val="TableDataEntries"/>
              <w:rPr>
                <w:rFonts w:ascii="Franklin Gothic Demi" w:hAnsi="Franklin Gothic Demi"/>
              </w:rPr>
            </w:pPr>
            <w:r w:rsidRPr="0059684D">
              <w:rPr>
                <w:rFonts w:ascii="Franklin Gothic Demi" w:hAnsi="Franklin Gothic Demi"/>
              </w:rPr>
              <w:t xml:space="preserve"> 0.86 </w:t>
            </w:r>
          </w:p>
        </w:tc>
      </w:tr>
      <w:tr w:rsidR="00B54010" w:rsidRPr="0014439F" w14:paraId="3054098F" w14:textId="77777777" w:rsidTr="00C7682F">
        <w:trPr>
          <w:trHeight w:val="250"/>
        </w:trPr>
        <w:tc>
          <w:tcPr>
            <w:tcW w:w="297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00A2DA84" w14:textId="77777777" w:rsidR="00B54010" w:rsidRPr="0014439F" w:rsidRDefault="00B54010" w:rsidP="00C7682F">
            <w:pPr>
              <w:pStyle w:val="TableDataEntries"/>
              <w:jc w:val="left"/>
            </w:pPr>
            <w:r w:rsidRPr="0014439F">
              <w:t>Tarong Power Stations</w:t>
            </w:r>
            <w:r>
              <w:t xml:space="preserve"> (QLD)</w:t>
            </w:r>
          </w:p>
        </w:tc>
        <w:tc>
          <w:tcPr>
            <w:tcW w:w="2126" w:type="dxa"/>
            <w:tcBorders>
              <w:top w:val="single" w:sz="8" w:space="0" w:color="FFFFFF" w:themeColor="background1"/>
              <w:bottom w:val="single" w:sz="8" w:space="0" w:color="FFFFFF" w:themeColor="background1"/>
            </w:tcBorders>
            <w:shd w:val="clear" w:color="auto" w:fill="E9E8E5" w:themeFill="background2"/>
            <w:vAlign w:val="bottom"/>
          </w:tcPr>
          <w:p w14:paraId="02A5BA3F" w14:textId="77777777" w:rsidR="00B54010" w:rsidRDefault="00B54010" w:rsidP="00C7682F">
            <w:pPr>
              <w:pStyle w:val="TableDataEntries"/>
              <w:jc w:val="left"/>
            </w:pPr>
            <w:r>
              <w:t>NIASUA (QLD)</w:t>
            </w:r>
          </w:p>
        </w:tc>
        <w:tc>
          <w:tcPr>
            <w:tcW w:w="851"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AE6B085" w14:textId="77777777" w:rsidR="00B54010" w:rsidRPr="0014439F" w:rsidRDefault="00B54010" w:rsidP="00C7682F">
            <w:pPr>
              <w:pStyle w:val="TableDataEntries"/>
            </w:pPr>
            <w:r w:rsidRPr="00CE46EF">
              <w:t xml:space="preserve"> 0.141 </w:t>
            </w:r>
          </w:p>
        </w:tc>
        <w:tc>
          <w:tcPr>
            <w:tcW w:w="99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6F0EB50B" w14:textId="77777777" w:rsidR="00B54010" w:rsidRPr="0014439F" w:rsidRDefault="00B54010" w:rsidP="00C7682F">
            <w:pPr>
              <w:pStyle w:val="TableDataEntries"/>
            </w:pPr>
            <w:r w:rsidRPr="00EF16E4">
              <w:t xml:space="preserve"> 175 </w:t>
            </w:r>
          </w:p>
        </w:tc>
        <w:tc>
          <w:tcPr>
            <w:tcW w:w="992" w:type="dxa"/>
            <w:tcBorders>
              <w:top w:val="single" w:sz="8" w:space="0" w:color="FFFFFF" w:themeColor="background1"/>
              <w:bottom w:val="single" w:sz="8" w:space="0" w:color="FFFFFF" w:themeColor="background1"/>
            </w:tcBorders>
            <w:shd w:val="clear" w:color="auto" w:fill="C2DADB" w:themeFill="accent6" w:themeFillTint="99"/>
            <w:noWrap/>
            <w:tcMar>
              <w:left w:w="57" w:type="dxa"/>
              <w:right w:w="57" w:type="dxa"/>
            </w:tcMar>
            <w:hideMark/>
          </w:tcPr>
          <w:p w14:paraId="22444692" w14:textId="77777777" w:rsidR="00B54010" w:rsidRPr="0059684D" w:rsidRDefault="00B54010" w:rsidP="00C7682F">
            <w:pPr>
              <w:pStyle w:val="TableDataEntries"/>
              <w:rPr>
                <w:rFonts w:ascii="Franklin Gothic Demi" w:hAnsi="Franklin Gothic Demi"/>
              </w:rPr>
            </w:pPr>
            <w:r w:rsidRPr="0059684D">
              <w:rPr>
                <w:rFonts w:ascii="Franklin Gothic Demi" w:hAnsi="Franklin Gothic Demi"/>
              </w:rPr>
              <w:t xml:space="preserve"> 0.02 </w:t>
            </w:r>
          </w:p>
        </w:tc>
      </w:tr>
      <w:tr w:rsidR="00B54010" w:rsidRPr="0014439F" w14:paraId="564515A7" w14:textId="77777777" w:rsidTr="00C7682F">
        <w:trPr>
          <w:trHeight w:val="250"/>
        </w:trPr>
        <w:tc>
          <w:tcPr>
            <w:tcW w:w="297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2FF8778" w14:textId="77777777" w:rsidR="00B54010" w:rsidRPr="0014439F" w:rsidRDefault="00B54010" w:rsidP="00C7682F">
            <w:pPr>
              <w:pStyle w:val="TableDataEntries"/>
              <w:jc w:val="left"/>
            </w:pPr>
            <w:r w:rsidRPr="0014439F">
              <w:t>Gladstone Power Station</w:t>
            </w:r>
            <w:r>
              <w:t xml:space="preserve"> (QLD)</w:t>
            </w:r>
          </w:p>
        </w:tc>
        <w:tc>
          <w:tcPr>
            <w:tcW w:w="2126" w:type="dxa"/>
            <w:tcBorders>
              <w:top w:val="single" w:sz="8" w:space="0" w:color="FFFFFF" w:themeColor="background1"/>
              <w:bottom w:val="single" w:sz="8" w:space="0" w:color="FFFFFF" w:themeColor="background1"/>
            </w:tcBorders>
            <w:shd w:val="clear" w:color="auto" w:fill="E9E8E5" w:themeFill="background2"/>
            <w:vAlign w:val="bottom"/>
          </w:tcPr>
          <w:p w14:paraId="3FFCDC3D" w14:textId="77777777" w:rsidR="00B54010" w:rsidRDefault="00B54010" w:rsidP="00C7682F">
            <w:pPr>
              <w:pStyle w:val="TableDataEntries"/>
              <w:jc w:val="left"/>
            </w:pPr>
            <w:r>
              <w:t>Gladstone - Tannum Sands</w:t>
            </w:r>
          </w:p>
        </w:tc>
        <w:tc>
          <w:tcPr>
            <w:tcW w:w="851"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6299DB3D" w14:textId="77777777" w:rsidR="00B54010" w:rsidRPr="0014439F" w:rsidRDefault="00B54010" w:rsidP="00C7682F">
            <w:pPr>
              <w:pStyle w:val="TableDataEntries"/>
            </w:pPr>
            <w:r w:rsidRPr="00CE46EF">
              <w:t xml:space="preserve"> 0.019 </w:t>
            </w:r>
          </w:p>
        </w:tc>
        <w:tc>
          <w:tcPr>
            <w:tcW w:w="99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37C8D26" w14:textId="77777777" w:rsidR="00B54010" w:rsidRPr="0014439F" w:rsidRDefault="00B54010" w:rsidP="00C7682F">
            <w:pPr>
              <w:pStyle w:val="TableDataEntries"/>
            </w:pPr>
            <w:r w:rsidRPr="00EF16E4">
              <w:t xml:space="preserve"> 70 187 </w:t>
            </w:r>
          </w:p>
        </w:tc>
        <w:tc>
          <w:tcPr>
            <w:tcW w:w="992" w:type="dxa"/>
            <w:tcBorders>
              <w:top w:val="single" w:sz="8" w:space="0" w:color="FFFFFF" w:themeColor="background1"/>
              <w:bottom w:val="single" w:sz="8" w:space="0" w:color="FFFFFF" w:themeColor="background1"/>
            </w:tcBorders>
            <w:shd w:val="clear" w:color="auto" w:fill="C2DADB" w:themeFill="accent6" w:themeFillTint="99"/>
            <w:noWrap/>
            <w:tcMar>
              <w:left w:w="57" w:type="dxa"/>
              <w:right w:w="57" w:type="dxa"/>
            </w:tcMar>
            <w:hideMark/>
          </w:tcPr>
          <w:p w14:paraId="1C3FCA6A" w14:textId="77777777" w:rsidR="00B54010" w:rsidRPr="0059684D" w:rsidRDefault="00B54010" w:rsidP="00C7682F">
            <w:pPr>
              <w:pStyle w:val="TableDataEntries"/>
              <w:rPr>
                <w:rFonts w:ascii="Franklin Gothic Demi" w:hAnsi="Franklin Gothic Demi"/>
              </w:rPr>
            </w:pPr>
            <w:r w:rsidRPr="0059684D">
              <w:rPr>
                <w:rFonts w:ascii="Franklin Gothic Demi" w:hAnsi="Franklin Gothic Demi"/>
              </w:rPr>
              <w:t xml:space="preserve"> 1.37 </w:t>
            </w:r>
          </w:p>
        </w:tc>
      </w:tr>
      <w:tr w:rsidR="00B54010" w:rsidRPr="0014439F" w14:paraId="2F83B551" w14:textId="77777777" w:rsidTr="00C7682F">
        <w:trPr>
          <w:trHeight w:val="250"/>
        </w:trPr>
        <w:tc>
          <w:tcPr>
            <w:tcW w:w="297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335C9D02" w14:textId="77777777" w:rsidR="00B54010" w:rsidRPr="0014439F" w:rsidRDefault="00B54010" w:rsidP="00C7682F">
            <w:pPr>
              <w:pStyle w:val="TableDataEntries"/>
              <w:jc w:val="left"/>
            </w:pPr>
            <w:r w:rsidRPr="0014439F">
              <w:t>Stanwell Power Station</w:t>
            </w:r>
            <w:r>
              <w:t xml:space="preserve"> (QLD)</w:t>
            </w:r>
          </w:p>
        </w:tc>
        <w:tc>
          <w:tcPr>
            <w:tcW w:w="2126" w:type="dxa"/>
            <w:tcBorders>
              <w:top w:val="single" w:sz="8" w:space="0" w:color="FFFFFF" w:themeColor="background1"/>
              <w:bottom w:val="single" w:sz="8" w:space="0" w:color="FFFFFF" w:themeColor="background1"/>
            </w:tcBorders>
            <w:shd w:val="clear" w:color="auto" w:fill="E9E8E5" w:themeFill="background2"/>
            <w:vAlign w:val="bottom"/>
          </w:tcPr>
          <w:p w14:paraId="03001A71" w14:textId="77777777" w:rsidR="00B54010" w:rsidRDefault="00B54010" w:rsidP="00C7682F">
            <w:pPr>
              <w:pStyle w:val="TableDataEntries"/>
              <w:jc w:val="left"/>
            </w:pPr>
            <w:r>
              <w:t>Rockhampton</w:t>
            </w:r>
          </w:p>
        </w:tc>
        <w:tc>
          <w:tcPr>
            <w:tcW w:w="851"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360303D2" w14:textId="77777777" w:rsidR="00B54010" w:rsidRPr="0014439F" w:rsidRDefault="00B54010" w:rsidP="00C7682F">
            <w:pPr>
              <w:pStyle w:val="TableDataEntries"/>
            </w:pPr>
            <w:r w:rsidRPr="00CE46EF">
              <w:t xml:space="preserve"> 0.018 </w:t>
            </w:r>
          </w:p>
        </w:tc>
        <w:tc>
          <w:tcPr>
            <w:tcW w:w="99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CB64D8F" w14:textId="77777777" w:rsidR="00B54010" w:rsidRPr="0014439F" w:rsidRDefault="00B54010" w:rsidP="00C7682F">
            <w:pPr>
              <w:pStyle w:val="TableDataEntries"/>
            </w:pPr>
            <w:r w:rsidRPr="00EF16E4">
              <w:t xml:space="preserve"> 51 471 </w:t>
            </w:r>
          </w:p>
        </w:tc>
        <w:tc>
          <w:tcPr>
            <w:tcW w:w="992" w:type="dxa"/>
            <w:tcBorders>
              <w:top w:val="single" w:sz="8" w:space="0" w:color="FFFFFF" w:themeColor="background1"/>
              <w:bottom w:val="single" w:sz="8" w:space="0" w:color="FFFFFF" w:themeColor="background1"/>
            </w:tcBorders>
            <w:shd w:val="clear" w:color="auto" w:fill="C2DADB" w:themeFill="accent6" w:themeFillTint="99"/>
            <w:noWrap/>
            <w:tcMar>
              <w:left w:w="57" w:type="dxa"/>
              <w:right w:w="57" w:type="dxa"/>
            </w:tcMar>
            <w:hideMark/>
          </w:tcPr>
          <w:p w14:paraId="68CA2F41" w14:textId="77777777" w:rsidR="00B54010" w:rsidRPr="0059684D" w:rsidRDefault="00B54010" w:rsidP="00C7682F">
            <w:pPr>
              <w:pStyle w:val="TableDataEntries"/>
              <w:rPr>
                <w:rFonts w:ascii="Franklin Gothic Demi" w:hAnsi="Franklin Gothic Demi"/>
              </w:rPr>
            </w:pPr>
            <w:r w:rsidRPr="0059684D">
              <w:rPr>
                <w:rFonts w:ascii="Franklin Gothic Demi" w:hAnsi="Franklin Gothic Demi"/>
              </w:rPr>
              <w:t xml:space="preserve"> 0.94 </w:t>
            </w:r>
          </w:p>
        </w:tc>
      </w:tr>
      <w:tr w:rsidR="00B54010" w:rsidRPr="0014439F" w14:paraId="05D0241F" w14:textId="77777777" w:rsidTr="00C7682F">
        <w:trPr>
          <w:trHeight w:val="250"/>
        </w:trPr>
        <w:tc>
          <w:tcPr>
            <w:tcW w:w="297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6ACFC30F" w14:textId="77777777" w:rsidR="00B54010" w:rsidRPr="0014439F" w:rsidRDefault="00B54010" w:rsidP="00C7682F">
            <w:pPr>
              <w:pStyle w:val="TableDataEntries"/>
              <w:jc w:val="left"/>
            </w:pPr>
            <w:r w:rsidRPr="0014439F">
              <w:t xml:space="preserve">Millmerran Power Station </w:t>
            </w:r>
            <w:r>
              <w:t>(</w:t>
            </w:r>
            <w:r w:rsidRPr="0014439F">
              <w:t>facility)</w:t>
            </w:r>
            <w:r>
              <w:t xml:space="preserve"> (QLD)</w:t>
            </w:r>
          </w:p>
        </w:tc>
        <w:tc>
          <w:tcPr>
            <w:tcW w:w="2126" w:type="dxa"/>
            <w:tcBorders>
              <w:top w:val="single" w:sz="8" w:space="0" w:color="FFFFFF" w:themeColor="background1"/>
              <w:bottom w:val="single" w:sz="8" w:space="0" w:color="FFFFFF" w:themeColor="background1"/>
            </w:tcBorders>
            <w:shd w:val="clear" w:color="auto" w:fill="E9E8E5" w:themeFill="background2"/>
            <w:vAlign w:val="bottom"/>
          </w:tcPr>
          <w:p w14:paraId="3F7B0019" w14:textId="77777777" w:rsidR="00B54010" w:rsidRDefault="00B54010" w:rsidP="00C7682F">
            <w:pPr>
              <w:pStyle w:val="TableDataEntries"/>
              <w:jc w:val="left"/>
            </w:pPr>
            <w:r>
              <w:t>Toowoomba</w:t>
            </w:r>
          </w:p>
        </w:tc>
        <w:tc>
          <w:tcPr>
            <w:tcW w:w="851"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6CBF9D6A" w14:textId="77777777" w:rsidR="00B54010" w:rsidRPr="0014439F" w:rsidRDefault="00B54010" w:rsidP="00C7682F">
            <w:pPr>
              <w:pStyle w:val="TableDataEntries"/>
            </w:pPr>
            <w:r w:rsidRPr="00CE46EF">
              <w:t xml:space="preserve"> 0.061 </w:t>
            </w:r>
          </w:p>
        </w:tc>
        <w:tc>
          <w:tcPr>
            <w:tcW w:w="99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0E06DFA6" w14:textId="77777777" w:rsidR="00B54010" w:rsidRPr="0014439F" w:rsidRDefault="00B54010" w:rsidP="00C7682F">
            <w:pPr>
              <w:pStyle w:val="TableDataEntries"/>
            </w:pPr>
            <w:r w:rsidRPr="00EF16E4">
              <w:t xml:space="preserve"> 85 395 </w:t>
            </w:r>
          </w:p>
        </w:tc>
        <w:tc>
          <w:tcPr>
            <w:tcW w:w="992" w:type="dxa"/>
            <w:tcBorders>
              <w:top w:val="single" w:sz="8" w:space="0" w:color="FFFFFF" w:themeColor="background1"/>
              <w:bottom w:val="single" w:sz="8" w:space="0" w:color="FFFFFF" w:themeColor="background1"/>
            </w:tcBorders>
            <w:shd w:val="clear" w:color="auto" w:fill="C2DADB" w:themeFill="accent6" w:themeFillTint="99"/>
            <w:noWrap/>
            <w:tcMar>
              <w:left w:w="57" w:type="dxa"/>
              <w:right w:w="57" w:type="dxa"/>
            </w:tcMar>
            <w:hideMark/>
          </w:tcPr>
          <w:p w14:paraId="38BEABC3" w14:textId="77777777" w:rsidR="00B54010" w:rsidRPr="0059684D" w:rsidRDefault="00B54010" w:rsidP="00C7682F">
            <w:pPr>
              <w:pStyle w:val="TableDataEntries"/>
              <w:rPr>
                <w:rFonts w:ascii="Franklin Gothic Demi" w:hAnsi="Franklin Gothic Demi"/>
              </w:rPr>
            </w:pPr>
            <w:r w:rsidRPr="0059684D">
              <w:rPr>
                <w:rFonts w:ascii="Franklin Gothic Demi" w:hAnsi="Franklin Gothic Demi"/>
              </w:rPr>
              <w:t xml:space="preserve"> 5.20 </w:t>
            </w:r>
          </w:p>
        </w:tc>
      </w:tr>
      <w:tr w:rsidR="00B54010" w:rsidRPr="0014439F" w14:paraId="573F6648" w14:textId="77777777" w:rsidTr="00C7682F">
        <w:trPr>
          <w:trHeight w:val="250"/>
        </w:trPr>
        <w:tc>
          <w:tcPr>
            <w:tcW w:w="297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D06694B" w14:textId="77777777" w:rsidR="00B54010" w:rsidRPr="0014439F" w:rsidRDefault="00B54010" w:rsidP="00C7682F">
            <w:pPr>
              <w:pStyle w:val="TableDataEntries"/>
              <w:jc w:val="left"/>
            </w:pPr>
            <w:r w:rsidRPr="0014439F">
              <w:t>Callide C Power Station</w:t>
            </w:r>
            <w:r>
              <w:t xml:space="preserve"> (QLD)</w:t>
            </w:r>
          </w:p>
        </w:tc>
        <w:tc>
          <w:tcPr>
            <w:tcW w:w="2126" w:type="dxa"/>
            <w:tcBorders>
              <w:top w:val="single" w:sz="8" w:space="0" w:color="FFFFFF" w:themeColor="background1"/>
              <w:bottom w:val="single" w:sz="8" w:space="0" w:color="FFFFFF" w:themeColor="background1"/>
            </w:tcBorders>
            <w:shd w:val="clear" w:color="auto" w:fill="E9E8E5" w:themeFill="background2"/>
            <w:vAlign w:val="bottom"/>
          </w:tcPr>
          <w:p w14:paraId="1A022649" w14:textId="77777777" w:rsidR="00B54010" w:rsidRDefault="00B54010" w:rsidP="00C7682F">
            <w:pPr>
              <w:pStyle w:val="TableDataEntries"/>
              <w:jc w:val="left"/>
            </w:pPr>
            <w:r>
              <w:t>NIASUA (QLD)</w:t>
            </w:r>
          </w:p>
        </w:tc>
        <w:tc>
          <w:tcPr>
            <w:tcW w:w="851"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5F836F4C" w14:textId="77777777" w:rsidR="00B54010" w:rsidRPr="0014439F" w:rsidRDefault="00B54010" w:rsidP="00C7682F">
            <w:pPr>
              <w:pStyle w:val="TableDataEntries"/>
            </w:pPr>
            <w:r w:rsidRPr="00CE46EF">
              <w:t xml:space="preserve"> 0.050 </w:t>
            </w:r>
          </w:p>
        </w:tc>
        <w:tc>
          <w:tcPr>
            <w:tcW w:w="99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505199F7" w14:textId="77777777" w:rsidR="00B54010" w:rsidRPr="0014439F" w:rsidRDefault="00B54010" w:rsidP="00C7682F">
            <w:pPr>
              <w:pStyle w:val="TableDataEntries"/>
            </w:pPr>
            <w:r w:rsidRPr="00EF16E4">
              <w:t xml:space="preserve"> 175 </w:t>
            </w:r>
          </w:p>
        </w:tc>
        <w:tc>
          <w:tcPr>
            <w:tcW w:w="992" w:type="dxa"/>
            <w:tcBorders>
              <w:top w:val="single" w:sz="8" w:space="0" w:color="FFFFFF" w:themeColor="background1"/>
              <w:bottom w:val="single" w:sz="8" w:space="0" w:color="FFFFFF" w:themeColor="background1"/>
            </w:tcBorders>
            <w:shd w:val="clear" w:color="auto" w:fill="C2DADB" w:themeFill="accent6" w:themeFillTint="99"/>
            <w:noWrap/>
            <w:tcMar>
              <w:left w:w="57" w:type="dxa"/>
              <w:right w:w="57" w:type="dxa"/>
            </w:tcMar>
            <w:hideMark/>
          </w:tcPr>
          <w:p w14:paraId="658C6D06" w14:textId="77777777" w:rsidR="00B54010" w:rsidRPr="0059684D" w:rsidRDefault="00B54010" w:rsidP="00C7682F">
            <w:pPr>
              <w:pStyle w:val="TableDataEntries"/>
              <w:rPr>
                <w:rFonts w:ascii="Franklin Gothic Demi" w:hAnsi="Franklin Gothic Demi"/>
              </w:rPr>
            </w:pPr>
            <w:r w:rsidRPr="0059684D">
              <w:rPr>
                <w:rFonts w:ascii="Franklin Gothic Demi" w:hAnsi="Franklin Gothic Demi"/>
              </w:rPr>
              <w:t xml:space="preserve"> 0.01 </w:t>
            </w:r>
          </w:p>
        </w:tc>
      </w:tr>
      <w:tr w:rsidR="00B54010" w:rsidRPr="0014439F" w14:paraId="7E48A512" w14:textId="77777777" w:rsidTr="00C7682F">
        <w:trPr>
          <w:trHeight w:val="250"/>
        </w:trPr>
        <w:tc>
          <w:tcPr>
            <w:tcW w:w="297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3643AF99" w14:textId="77777777" w:rsidR="00B54010" w:rsidRPr="0014439F" w:rsidRDefault="00B54010" w:rsidP="00C7682F">
            <w:pPr>
              <w:pStyle w:val="TableDataEntries"/>
              <w:jc w:val="left"/>
            </w:pPr>
            <w:r w:rsidRPr="0014439F">
              <w:t>Callide B Power Station</w:t>
            </w:r>
            <w:r>
              <w:t xml:space="preserve"> (QLD)</w:t>
            </w:r>
          </w:p>
        </w:tc>
        <w:tc>
          <w:tcPr>
            <w:tcW w:w="2126" w:type="dxa"/>
            <w:tcBorders>
              <w:top w:val="single" w:sz="8" w:space="0" w:color="FFFFFF" w:themeColor="background1"/>
              <w:bottom w:val="single" w:sz="8" w:space="0" w:color="FFFFFF" w:themeColor="background1"/>
            </w:tcBorders>
            <w:shd w:val="clear" w:color="auto" w:fill="E9E8E5" w:themeFill="background2"/>
            <w:vAlign w:val="bottom"/>
          </w:tcPr>
          <w:p w14:paraId="5DB45972" w14:textId="77777777" w:rsidR="00B54010" w:rsidRDefault="00B54010" w:rsidP="00C7682F">
            <w:pPr>
              <w:pStyle w:val="TableDataEntries"/>
              <w:jc w:val="left"/>
            </w:pPr>
            <w:r>
              <w:t>NIASUA (QLD)</w:t>
            </w:r>
          </w:p>
        </w:tc>
        <w:tc>
          <w:tcPr>
            <w:tcW w:w="851"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6AD85496" w14:textId="77777777" w:rsidR="00B54010" w:rsidRPr="0014439F" w:rsidRDefault="00B54010" w:rsidP="00C7682F">
            <w:pPr>
              <w:pStyle w:val="TableDataEntries"/>
            </w:pPr>
            <w:r w:rsidRPr="00CE46EF">
              <w:t xml:space="preserve"> 0.070 </w:t>
            </w:r>
          </w:p>
        </w:tc>
        <w:tc>
          <w:tcPr>
            <w:tcW w:w="99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0831E719" w14:textId="77777777" w:rsidR="00B54010" w:rsidRPr="0014439F" w:rsidRDefault="00B54010" w:rsidP="00C7682F">
            <w:pPr>
              <w:pStyle w:val="TableDataEntries"/>
            </w:pPr>
            <w:r w:rsidRPr="00EF16E4">
              <w:t xml:space="preserve"> 175 </w:t>
            </w:r>
          </w:p>
        </w:tc>
        <w:tc>
          <w:tcPr>
            <w:tcW w:w="992" w:type="dxa"/>
            <w:tcBorders>
              <w:top w:val="single" w:sz="8" w:space="0" w:color="FFFFFF" w:themeColor="background1"/>
              <w:bottom w:val="single" w:sz="8" w:space="0" w:color="FFFFFF" w:themeColor="background1"/>
            </w:tcBorders>
            <w:shd w:val="clear" w:color="auto" w:fill="C2DADB" w:themeFill="accent6" w:themeFillTint="99"/>
            <w:noWrap/>
            <w:tcMar>
              <w:left w:w="57" w:type="dxa"/>
              <w:right w:w="57" w:type="dxa"/>
            </w:tcMar>
            <w:hideMark/>
          </w:tcPr>
          <w:p w14:paraId="7D7B4D12" w14:textId="77777777" w:rsidR="00B54010" w:rsidRPr="0059684D" w:rsidRDefault="00B54010" w:rsidP="00C7682F">
            <w:pPr>
              <w:pStyle w:val="TableDataEntries"/>
              <w:rPr>
                <w:rFonts w:ascii="Franklin Gothic Demi" w:hAnsi="Franklin Gothic Demi"/>
              </w:rPr>
            </w:pPr>
            <w:r w:rsidRPr="0059684D">
              <w:rPr>
                <w:rFonts w:ascii="Franklin Gothic Demi" w:hAnsi="Franklin Gothic Demi"/>
              </w:rPr>
              <w:t xml:space="preserve"> 0.01 </w:t>
            </w:r>
          </w:p>
        </w:tc>
      </w:tr>
      <w:tr w:rsidR="00B54010" w:rsidRPr="0014439F" w14:paraId="7B62BD3B" w14:textId="77777777" w:rsidTr="00C7682F">
        <w:trPr>
          <w:trHeight w:val="250"/>
        </w:trPr>
        <w:tc>
          <w:tcPr>
            <w:tcW w:w="297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3F1955B" w14:textId="77777777" w:rsidR="00B54010" w:rsidRPr="0014439F" w:rsidRDefault="00B54010" w:rsidP="00C7682F">
            <w:pPr>
              <w:pStyle w:val="TableDataEntries"/>
              <w:jc w:val="left"/>
            </w:pPr>
            <w:r w:rsidRPr="0014439F">
              <w:t>Kogan Creek Power Station</w:t>
            </w:r>
            <w:r>
              <w:t xml:space="preserve"> (QLD)</w:t>
            </w:r>
          </w:p>
        </w:tc>
        <w:tc>
          <w:tcPr>
            <w:tcW w:w="2126" w:type="dxa"/>
            <w:tcBorders>
              <w:top w:val="single" w:sz="8" w:space="0" w:color="FFFFFF" w:themeColor="background1"/>
              <w:bottom w:val="single" w:sz="8" w:space="0" w:color="FFFFFF" w:themeColor="background1"/>
            </w:tcBorders>
            <w:shd w:val="clear" w:color="auto" w:fill="E9E8E5" w:themeFill="background2"/>
            <w:vAlign w:val="bottom"/>
          </w:tcPr>
          <w:p w14:paraId="25FB9A9A" w14:textId="77777777" w:rsidR="00B54010" w:rsidRDefault="00B54010" w:rsidP="00C7682F">
            <w:pPr>
              <w:pStyle w:val="TableDataEntries"/>
              <w:jc w:val="left"/>
            </w:pPr>
            <w:r>
              <w:t>NIASUA (QLD)</w:t>
            </w:r>
          </w:p>
        </w:tc>
        <w:tc>
          <w:tcPr>
            <w:tcW w:w="851"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066D7EB" w14:textId="77777777" w:rsidR="00B54010" w:rsidRPr="0014439F" w:rsidRDefault="00B54010" w:rsidP="00C7682F">
            <w:pPr>
              <w:pStyle w:val="TableDataEntries"/>
            </w:pPr>
            <w:r w:rsidRPr="00CE46EF">
              <w:t xml:space="preserve"> 0.005 </w:t>
            </w:r>
          </w:p>
        </w:tc>
        <w:tc>
          <w:tcPr>
            <w:tcW w:w="99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4762145" w14:textId="77777777" w:rsidR="00B54010" w:rsidRPr="0014439F" w:rsidRDefault="00B54010" w:rsidP="00C7682F">
            <w:pPr>
              <w:pStyle w:val="TableDataEntries"/>
            </w:pPr>
            <w:r w:rsidRPr="00EF16E4">
              <w:t xml:space="preserve"> 175 </w:t>
            </w:r>
          </w:p>
        </w:tc>
        <w:tc>
          <w:tcPr>
            <w:tcW w:w="992" w:type="dxa"/>
            <w:tcBorders>
              <w:top w:val="single" w:sz="8" w:space="0" w:color="FFFFFF" w:themeColor="background1"/>
              <w:bottom w:val="single" w:sz="8" w:space="0" w:color="FFFFFF" w:themeColor="background1"/>
            </w:tcBorders>
            <w:shd w:val="clear" w:color="auto" w:fill="C2DADB" w:themeFill="accent6" w:themeFillTint="99"/>
            <w:noWrap/>
            <w:tcMar>
              <w:left w:w="57" w:type="dxa"/>
              <w:right w:w="57" w:type="dxa"/>
            </w:tcMar>
            <w:hideMark/>
          </w:tcPr>
          <w:p w14:paraId="02E7382D" w14:textId="77777777" w:rsidR="00B54010" w:rsidRPr="0059684D" w:rsidRDefault="00B54010" w:rsidP="00C7682F">
            <w:pPr>
              <w:pStyle w:val="TableDataEntries"/>
              <w:rPr>
                <w:rFonts w:ascii="Franklin Gothic Demi" w:hAnsi="Franklin Gothic Demi"/>
              </w:rPr>
            </w:pPr>
            <w:r w:rsidRPr="0059684D">
              <w:rPr>
                <w:rFonts w:ascii="Franklin Gothic Demi" w:hAnsi="Franklin Gothic Demi"/>
              </w:rPr>
              <w:t xml:space="preserve"> 0.00 </w:t>
            </w:r>
          </w:p>
        </w:tc>
      </w:tr>
      <w:tr w:rsidR="00B54010" w:rsidRPr="0014439F" w14:paraId="2EF8488F" w14:textId="77777777" w:rsidTr="00C7682F">
        <w:trPr>
          <w:trHeight w:val="250"/>
        </w:trPr>
        <w:tc>
          <w:tcPr>
            <w:tcW w:w="297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6028B0E" w14:textId="77777777" w:rsidR="00B54010" w:rsidRPr="0014439F" w:rsidRDefault="00B54010" w:rsidP="00C7682F">
            <w:pPr>
              <w:pStyle w:val="TableDataEntries"/>
              <w:jc w:val="left"/>
            </w:pPr>
            <w:r w:rsidRPr="0014439F">
              <w:t>Loy Yang Power Station and Mine</w:t>
            </w:r>
            <w:r>
              <w:t xml:space="preserve"> (VIC)</w:t>
            </w:r>
          </w:p>
        </w:tc>
        <w:tc>
          <w:tcPr>
            <w:tcW w:w="2126" w:type="dxa"/>
            <w:tcBorders>
              <w:top w:val="single" w:sz="8" w:space="0" w:color="FFFFFF" w:themeColor="background1"/>
              <w:bottom w:val="single" w:sz="8" w:space="0" w:color="FFFFFF" w:themeColor="background1"/>
            </w:tcBorders>
            <w:shd w:val="clear" w:color="auto" w:fill="E9E8E5" w:themeFill="background2"/>
            <w:vAlign w:val="bottom"/>
          </w:tcPr>
          <w:p w14:paraId="7A9D63FC" w14:textId="77777777" w:rsidR="00B54010" w:rsidRPr="007E4CD1" w:rsidRDefault="00B54010" w:rsidP="00C7682F">
            <w:pPr>
              <w:pStyle w:val="TableDataEntries"/>
              <w:jc w:val="left"/>
            </w:pPr>
            <w:r w:rsidRPr="007E4CD1">
              <w:t>Traralgon - Morwell</w:t>
            </w:r>
          </w:p>
        </w:tc>
        <w:tc>
          <w:tcPr>
            <w:tcW w:w="851"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0311BAD4" w14:textId="77777777" w:rsidR="00B54010" w:rsidRPr="0014439F" w:rsidRDefault="00B54010" w:rsidP="00C7682F">
            <w:pPr>
              <w:pStyle w:val="TableDataEntries"/>
            </w:pPr>
            <w:r w:rsidRPr="00CE46EF">
              <w:t xml:space="preserve"> 0.050 </w:t>
            </w:r>
          </w:p>
        </w:tc>
        <w:tc>
          <w:tcPr>
            <w:tcW w:w="99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5A39094B" w14:textId="77777777" w:rsidR="00B54010" w:rsidRPr="0014439F" w:rsidRDefault="00B54010" w:rsidP="00C7682F">
            <w:pPr>
              <w:pStyle w:val="TableDataEntries"/>
            </w:pPr>
            <w:r w:rsidRPr="00EF16E4">
              <w:t xml:space="preserve"> 66 678 </w:t>
            </w:r>
          </w:p>
        </w:tc>
        <w:tc>
          <w:tcPr>
            <w:tcW w:w="992" w:type="dxa"/>
            <w:tcBorders>
              <w:top w:val="single" w:sz="8" w:space="0" w:color="FFFFFF" w:themeColor="background1"/>
              <w:bottom w:val="single" w:sz="8" w:space="0" w:color="FFFFFF" w:themeColor="background1"/>
            </w:tcBorders>
            <w:shd w:val="clear" w:color="auto" w:fill="C2DADB" w:themeFill="accent6" w:themeFillTint="99"/>
            <w:noWrap/>
            <w:tcMar>
              <w:left w:w="57" w:type="dxa"/>
              <w:right w:w="57" w:type="dxa"/>
            </w:tcMar>
            <w:hideMark/>
          </w:tcPr>
          <w:p w14:paraId="59265784" w14:textId="77777777" w:rsidR="00B54010" w:rsidRPr="0059684D" w:rsidRDefault="00B54010" w:rsidP="00C7682F">
            <w:pPr>
              <w:pStyle w:val="TableDataEntries"/>
              <w:rPr>
                <w:rFonts w:ascii="Franklin Gothic Demi" w:hAnsi="Franklin Gothic Demi"/>
              </w:rPr>
            </w:pPr>
            <w:r w:rsidRPr="0059684D">
              <w:rPr>
                <w:rFonts w:ascii="Franklin Gothic Demi" w:hAnsi="Franklin Gothic Demi"/>
              </w:rPr>
              <w:t xml:space="preserve"> 3.33 </w:t>
            </w:r>
          </w:p>
        </w:tc>
      </w:tr>
      <w:tr w:rsidR="00B54010" w:rsidRPr="0014439F" w14:paraId="36ED2A36" w14:textId="77777777" w:rsidTr="00C7682F">
        <w:trPr>
          <w:trHeight w:val="250"/>
        </w:trPr>
        <w:tc>
          <w:tcPr>
            <w:tcW w:w="297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0604551E" w14:textId="77777777" w:rsidR="00B54010" w:rsidRPr="0014439F" w:rsidRDefault="00B54010" w:rsidP="00C7682F">
            <w:pPr>
              <w:pStyle w:val="TableDataEntries"/>
              <w:jc w:val="left"/>
            </w:pPr>
            <w:r w:rsidRPr="0014439F">
              <w:t>Yallourn Power Station</w:t>
            </w:r>
            <w:r>
              <w:t xml:space="preserve"> (VIC)</w:t>
            </w:r>
          </w:p>
        </w:tc>
        <w:tc>
          <w:tcPr>
            <w:tcW w:w="2126" w:type="dxa"/>
            <w:tcBorders>
              <w:top w:val="single" w:sz="8" w:space="0" w:color="FFFFFF" w:themeColor="background1"/>
              <w:bottom w:val="single" w:sz="8" w:space="0" w:color="FFFFFF" w:themeColor="background1"/>
            </w:tcBorders>
            <w:shd w:val="clear" w:color="auto" w:fill="E9E8E5" w:themeFill="background2"/>
            <w:vAlign w:val="bottom"/>
          </w:tcPr>
          <w:p w14:paraId="6F421818" w14:textId="77777777" w:rsidR="00B54010" w:rsidRPr="007E4CD1" w:rsidRDefault="00B54010" w:rsidP="00C7682F">
            <w:pPr>
              <w:pStyle w:val="TableDataEntries"/>
              <w:jc w:val="left"/>
            </w:pPr>
            <w:r w:rsidRPr="007E4CD1">
              <w:t>Traralgon - Morwell</w:t>
            </w:r>
          </w:p>
        </w:tc>
        <w:tc>
          <w:tcPr>
            <w:tcW w:w="851"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55A33366" w14:textId="77777777" w:rsidR="00B54010" w:rsidRPr="0014439F" w:rsidRDefault="00B54010" w:rsidP="00C7682F">
            <w:pPr>
              <w:pStyle w:val="TableDataEntries"/>
            </w:pPr>
            <w:r w:rsidRPr="00CE46EF">
              <w:t xml:space="preserve"> 0.070 </w:t>
            </w:r>
          </w:p>
        </w:tc>
        <w:tc>
          <w:tcPr>
            <w:tcW w:w="99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70F7B26F" w14:textId="77777777" w:rsidR="00B54010" w:rsidRPr="0014439F" w:rsidRDefault="00B54010" w:rsidP="00C7682F">
            <w:pPr>
              <w:pStyle w:val="TableDataEntries"/>
            </w:pPr>
            <w:r w:rsidRPr="00EF16E4">
              <w:t xml:space="preserve"> 66 678 </w:t>
            </w:r>
          </w:p>
        </w:tc>
        <w:tc>
          <w:tcPr>
            <w:tcW w:w="992" w:type="dxa"/>
            <w:tcBorders>
              <w:top w:val="single" w:sz="8" w:space="0" w:color="FFFFFF" w:themeColor="background1"/>
              <w:bottom w:val="single" w:sz="8" w:space="0" w:color="FFFFFF" w:themeColor="background1"/>
            </w:tcBorders>
            <w:shd w:val="clear" w:color="auto" w:fill="C2DADB" w:themeFill="accent6" w:themeFillTint="99"/>
            <w:noWrap/>
            <w:tcMar>
              <w:left w:w="57" w:type="dxa"/>
              <w:right w:w="57" w:type="dxa"/>
            </w:tcMar>
            <w:hideMark/>
          </w:tcPr>
          <w:p w14:paraId="6985391E" w14:textId="77777777" w:rsidR="00B54010" w:rsidRPr="0059684D" w:rsidRDefault="00B54010" w:rsidP="00C7682F">
            <w:pPr>
              <w:pStyle w:val="TableDataEntries"/>
              <w:rPr>
                <w:rFonts w:ascii="Franklin Gothic Demi" w:hAnsi="Franklin Gothic Demi"/>
              </w:rPr>
            </w:pPr>
            <w:r w:rsidRPr="0059684D">
              <w:rPr>
                <w:rFonts w:ascii="Franklin Gothic Demi" w:hAnsi="Franklin Gothic Demi"/>
              </w:rPr>
              <w:t xml:space="preserve"> 4.67 </w:t>
            </w:r>
          </w:p>
        </w:tc>
      </w:tr>
      <w:tr w:rsidR="00B54010" w:rsidRPr="0014439F" w14:paraId="16212A8D" w14:textId="77777777" w:rsidTr="00C7682F">
        <w:trPr>
          <w:trHeight w:val="250"/>
        </w:trPr>
        <w:tc>
          <w:tcPr>
            <w:tcW w:w="297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3792C30" w14:textId="77777777" w:rsidR="00B54010" w:rsidRPr="0014439F" w:rsidRDefault="00B54010" w:rsidP="00C7682F">
            <w:pPr>
              <w:pStyle w:val="TableDataEntries"/>
              <w:jc w:val="left"/>
            </w:pPr>
            <w:r w:rsidRPr="0014439F">
              <w:t>Loy Yang B Power Station</w:t>
            </w:r>
            <w:r>
              <w:t xml:space="preserve"> (VIC)</w:t>
            </w:r>
          </w:p>
        </w:tc>
        <w:tc>
          <w:tcPr>
            <w:tcW w:w="2126" w:type="dxa"/>
            <w:tcBorders>
              <w:top w:val="single" w:sz="8" w:space="0" w:color="FFFFFF" w:themeColor="background1"/>
              <w:bottom w:val="single" w:sz="8" w:space="0" w:color="FFFFFF" w:themeColor="background1"/>
            </w:tcBorders>
            <w:shd w:val="clear" w:color="auto" w:fill="E9E8E5" w:themeFill="background2"/>
            <w:vAlign w:val="bottom"/>
          </w:tcPr>
          <w:p w14:paraId="1AA10DB9" w14:textId="77777777" w:rsidR="00B54010" w:rsidRPr="007E4CD1" w:rsidRDefault="00B54010" w:rsidP="00C7682F">
            <w:pPr>
              <w:pStyle w:val="TableDataEntries"/>
              <w:jc w:val="left"/>
            </w:pPr>
            <w:r w:rsidRPr="007E4CD1">
              <w:t>Traralgon - Morwell</w:t>
            </w:r>
          </w:p>
        </w:tc>
        <w:tc>
          <w:tcPr>
            <w:tcW w:w="851"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2F983558" w14:textId="77777777" w:rsidR="00B54010" w:rsidRPr="0014439F" w:rsidRDefault="00B54010" w:rsidP="00C7682F">
            <w:pPr>
              <w:pStyle w:val="TableDataEntries"/>
            </w:pPr>
            <w:r w:rsidRPr="00CE46EF">
              <w:t xml:space="preserve"> 0.030 </w:t>
            </w:r>
          </w:p>
        </w:tc>
        <w:tc>
          <w:tcPr>
            <w:tcW w:w="99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7D434137" w14:textId="77777777" w:rsidR="00B54010" w:rsidRPr="0014439F" w:rsidRDefault="00B54010" w:rsidP="00C7682F">
            <w:pPr>
              <w:pStyle w:val="TableDataEntries"/>
            </w:pPr>
            <w:r w:rsidRPr="00EF16E4">
              <w:t xml:space="preserve"> 66 678 </w:t>
            </w:r>
          </w:p>
        </w:tc>
        <w:tc>
          <w:tcPr>
            <w:tcW w:w="992" w:type="dxa"/>
            <w:tcBorders>
              <w:top w:val="single" w:sz="8" w:space="0" w:color="FFFFFF" w:themeColor="background1"/>
              <w:bottom w:val="single" w:sz="8" w:space="0" w:color="FFFFFF" w:themeColor="background1"/>
            </w:tcBorders>
            <w:shd w:val="clear" w:color="auto" w:fill="C2DADB" w:themeFill="accent6" w:themeFillTint="99"/>
            <w:noWrap/>
            <w:tcMar>
              <w:left w:w="57" w:type="dxa"/>
              <w:right w:w="57" w:type="dxa"/>
            </w:tcMar>
            <w:hideMark/>
          </w:tcPr>
          <w:p w14:paraId="1829C96D" w14:textId="77777777" w:rsidR="00B54010" w:rsidRPr="0059684D" w:rsidRDefault="00B54010" w:rsidP="00C7682F">
            <w:pPr>
              <w:pStyle w:val="TableDataEntries"/>
              <w:rPr>
                <w:rFonts w:ascii="Franklin Gothic Demi" w:hAnsi="Franklin Gothic Demi"/>
              </w:rPr>
            </w:pPr>
            <w:r w:rsidRPr="0059684D">
              <w:rPr>
                <w:rFonts w:ascii="Franklin Gothic Demi" w:hAnsi="Franklin Gothic Demi"/>
              </w:rPr>
              <w:t xml:space="preserve"> 1.99 </w:t>
            </w:r>
          </w:p>
        </w:tc>
      </w:tr>
      <w:tr w:rsidR="00B54010" w:rsidRPr="0014439F" w14:paraId="572BF2AA" w14:textId="77777777" w:rsidTr="00C7682F">
        <w:trPr>
          <w:trHeight w:val="250"/>
        </w:trPr>
        <w:tc>
          <w:tcPr>
            <w:tcW w:w="297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16A0F6F" w14:textId="77777777" w:rsidR="00B54010" w:rsidRPr="0014439F" w:rsidRDefault="00B54010" w:rsidP="00C7682F">
            <w:pPr>
              <w:pStyle w:val="TableDataEntries"/>
              <w:jc w:val="left"/>
            </w:pPr>
            <w:r w:rsidRPr="0014439F">
              <w:t>Muja Power Station</w:t>
            </w:r>
            <w:r>
              <w:t xml:space="preserve"> (WA)</w:t>
            </w:r>
          </w:p>
        </w:tc>
        <w:tc>
          <w:tcPr>
            <w:tcW w:w="2126" w:type="dxa"/>
            <w:tcBorders>
              <w:top w:val="single" w:sz="8" w:space="0" w:color="FFFFFF" w:themeColor="background1"/>
              <w:bottom w:val="single" w:sz="8" w:space="0" w:color="FFFFFF" w:themeColor="background1"/>
            </w:tcBorders>
            <w:shd w:val="clear" w:color="auto" w:fill="E9E8E5" w:themeFill="background2"/>
            <w:vAlign w:val="bottom"/>
          </w:tcPr>
          <w:p w14:paraId="2CDECF3F" w14:textId="77777777" w:rsidR="00B54010" w:rsidRPr="007E4CD1" w:rsidRDefault="00B54010" w:rsidP="00C7682F">
            <w:pPr>
              <w:pStyle w:val="TableDataEntries"/>
              <w:jc w:val="left"/>
            </w:pPr>
            <w:r>
              <w:t xml:space="preserve">NIASUA </w:t>
            </w:r>
            <w:r w:rsidRPr="007E4CD1">
              <w:t>(WA)</w:t>
            </w:r>
          </w:p>
        </w:tc>
        <w:tc>
          <w:tcPr>
            <w:tcW w:w="851"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7AC16705" w14:textId="77777777" w:rsidR="00B54010" w:rsidRPr="0014439F" w:rsidRDefault="00B54010" w:rsidP="00C7682F">
            <w:pPr>
              <w:pStyle w:val="TableDataEntries"/>
            </w:pPr>
            <w:r w:rsidRPr="00CE46EF">
              <w:t xml:space="preserve"> 0.054 </w:t>
            </w:r>
          </w:p>
        </w:tc>
        <w:tc>
          <w:tcPr>
            <w:tcW w:w="99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689A216D" w14:textId="77777777" w:rsidR="00B54010" w:rsidRPr="0014439F" w:rsidRDefault="00B54010" w:rsidP="00C7682F">
            <w:pPr>
              <w:pStyle w:val="TableDataEntries"/>
            </w:pPr>
            <w:r w:rsidRPr="00EF16E4">
              <w:t xml:space="preserve"> 5 </w:t>
            </w:r>
          </w:p>
        </w:tc>
        <w:tc>
          <w:tcPr>
            <w:tcW w:w="992" w:type="dxa"/>
            <w:tcBorders>
              <w:top w:val="single" w:sz="8" w:space="0" w:color="FFFFFF" w:themeColor="background1"/>
              <w:bottom w:val="single" w:sz="8" w:space="0" w:color="FFFFFF" w:themeColor="background1"/>
            </w:tcBorders>
            <w:shd w:val="clear" w:color="auto" w:fill="C2DADB" w:themeFill="accent6" w:themeFillTint="99"/>
            <w:noWrap/>
            <w:tcMar>
              <w:left w:w="57" w:type="dxa"/>
              <w:right w:w="57" w:type="dxa"/>
            </w:tcMar>
            <w:hideMark/>
          </w:tcPr>
          <w:p w14:paraId="7C01411D" w14:textId="77777777" w:rsidR="00B54010" w:rsidRPr="0059684D" w:rsidRDefault="00B54010" w:rsidP="00C7682F">
            <w:pPr>
              <w:pStyle w:val="TableDataEntries"/>
              <w:rPr>
                <w:rFonts w:ascii="Franklin Gothic Demi" w:hAnsi="Franklin Gothic Demi"/>
              </w:rPr>
            </w:pPr>
            <w:r w:rsidRPr="0059684D">
              <w:rPr>
                <w:rFonts w:ascii="Franklin Gothic Demi" w:hAnsi="Franklin Gothic Demi"/>
              </w:rPr>
              <w:t xml:space="preserve"> 0.00 </w:t>
            </w:r>
          </w:p>
        </w:tc>
      </w:tr>
      <w:tr w:rsidR="00B54010" w:rsidRPr="0014439F" w14:paraId="08725730" w14:textId="77777777" w:rsidTr="00C7682F">
        <w:trPr>
          <w:trHeight w:val="250"/>
        </w:trPr>
        <w:tc>
          <w:tcPr>
            <w:tcW w:w="2977"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C094AC9" w14:textId="77777777" w:rsidR="00B54010" w:rsidRPr="0014439F" w:rsidRDefault="00B54010" w:rsidP="00C7682F">
            <w:pPr>
              <w:pStyle w:val="TableDataEntries"/>
              <w:jc w:val="left"/>
            </w:pPr>
            <w:r w:rsidRPr="0014439F">
              <w:t xml:space="preserve">Collie Power Station </w:t>
            </w:r>
            <w:r>
              <w:t>(WA)</w:t>
            </w:r>
          </w:p>
        </w:tc>
        <w:tc>
          <w:tcPr>
            <w:tcW w:w="2126" w:type="dxa"/>
            <w:tcBorders>
              <w:top w:val="single" w:sz="8" w:space="0" w:color="FFFFFF" w:themeColor="background1"/>
              <w:bottom w:val="single" w:sz="8" w:space="0" w:color="FFFFFF" w:themeColor="background1"/>
            </w:tcBorders>
            <w:shd w:val="clear" w:color="auto" w:fill="E9E8E5" w:themeFill="background2"/>
            <w:vAlign w:val="bottom"/>
          </w:tcPr>
          <w:p w14:paraId="1B86D17F" w14:textId="77777777" w:rsidR="00B54010" w:rsidRPr="007E4CD1" w:rsidRDefault="00B54010" w:rsidP="00C7682F">
            <w:pPr>
              <w:pStyle w:val="TableDataEntries"/>
              <w:jc w:val="left"/>
            </w:pPr>
            <w:r>
              <w:t xml:space="preserve">NIASUA </w:t>
            </w:r>
            <w:r w:rsidRPr="007E4CD1">
              <w:t>(WA)</w:t>
            </w:r>
          </w:p>
        </w:tc>
        <w:tc>
          <w:tcPr>
            <w:tcW w:w="851"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1E1FABC3" w14:textId="77777777" w:rsidR="00B54010" w:rsidRPr="0014439F" w:rsidRDefault="00B54010" w:rsidP="00C7682F">
            <w:pPr>
              <w:pStyle w:val="TableDataEntries"/>
            </w:pPr>
            <w:r w:rsidRPr="00CE46EF">
              <w:t xml:space="preserve"> 0.135 </w:t>
            </w:r>
          </w:p>
        </w:tc>
        <w:tc>
          <w:tcPr>
            <w:tcW w:w="992" w:type="dxa"/>
            <w:tcBorders>
              <w:top w:val="single" w:sz="8" w:space="0" w:color="FFFFFF" w:themeColor="background1"/>
              <w:bottom w:val="single" w:sz="8" w:space="0" w:color="FFFFFF" w:themeColor="background1"/>
            </w:tcBorders>
            <w:shd w:val="clear" w:color="auto" w:fill="E9E8E5" w:themeFill="background2"/>
            <w:noWrap/>
            <w:tcMar>
              <w:left w:w="57" w:type="dxa"/>
              <w:right w:w="57" w:type="dxa"/>
            </w:tcMar>
            <w:hideMark/>
          </w:tcPr>
          <w:p w14:paraId="400D1B47" w14:textId="77777777" w:rsidR="00B54010" w:rsidRPr="0014439F" w:rsidRDefault="00B54010" w:rsidP="00C7682F">
            <w:pPr>
              <w:pStyle w:val="TableDataEntries"/>
            </w:pPr>
            <w:r w:rsidRPr="00EF16E4">
              <w:t xml:space="preserve"> 5 </w:t>
            </w:r>
          </w:p>
        </w:tc>
        <w:tc>
          <w:tcPr>
            <w:tcW w:w="992" w:type="dxa"/>
            <w:tcBorders>
              <w:top w:val="single" w:sz="8" w:space="0" w:color="FFFFFF" w:themeColor="background1"/>
              <w:bottom w:val="single" w:sz="8" w:space="0" w:color="FFFFFF" w:themeColor="background1"/>
            </w:tcBorders>
            <w:shd w:val="clear" w:color="auto" w:fill="C2DADB" w:themeFill="accent6" w:themeFillTint="99"/>
            <w:noWrap/>
            <w:tcMar>
              <w:left w:w="57" w:type="dxa"/>
              <w:right w:w="57" w:type="dxa"/>
            </w:tcMar>
            <w:hideMark/>
          </w:tcPr>
          <w:p w14:paraId="51DC388D" w14:textId="77777777" w:rsidR="00B54010" w:rsidRPr="0059684D" w:rsidRDefault="00B54010" w:rsidP="00C7682F">
            <w:pPr>
              <w:pStyle w:val="TableDataEntries"/>
              <w:rPr>
                <w:rFonts w:ascii="Franklin Gothic Demi" w:hAnsi="Franklin Gothic Demi"/>
              </w:rPr>
            </w:pPr>
            <w:r w:rsidRPr="0059684D">
              <w:rPr>
                <w:rFonts w:ascii="Franklin Gothic Demi" w:hAnsi="Franklin Gothic Demi"/>
              </w:rPr>
              <w:t xml:space="preserve"> 0.00 </w:t>
            </w:r>
          </w:p>
        </w:tc>
      </w:tr>
      <w:tr w:rsidR="00B54010" w:rsidRPr="0014439F" w14:paraId="3B3F6D4E" w14:textId="77777777" w:rsidTr="00C7682F">
        <w:trPr>
          <w:trHeight w:val="250"/>
        </w:trPr>
        <w:tc>
          <w:tcPr>
            <w:tcW w:w="2977" w:type="dxa"/>
            <w:tcBorders>
              <w:top w:val="single" w:sz="8" w:space="0" w:color="FFFFFF" w:themeColor="background1"/>
              <w:bottom w:val="single" w:sz="6" w:space="0" w:color="6F6652"/>
            </w:tcBorders>
            <w:shd w:val="clear" w:color="auto" w:fill="E9E8E5" w:themeFill="background2"/>
            <w:noWrap/>
            <w:tcMar>
              <w:left w:w="57" w:type="dxa"/>
              <w:right w:w="57" w:type="dxa"/>
            </w:tcMar>
            <w:hideMark/>
          </w:tcPr>
          <w:p w14:paraId="25877760" w14:textId="77777777" w:rsidR="00B54010" w:rsidRPr="0014439F" w:rsidRDefault="00B54010" w:rsidP="00C7682F">
            <w:pPr>
              <w:pStyle w:val="TableDataEntries"/>
              <w:jc w:val="left"/>
            </w:pPr>
            <w:r w:rsidRPr="0014439F">
              <w:t>Bluewaters Power Station No 1&amp;2</w:t>
            </w:r>
            <w:r>
              <w:t xml:space="preserve"> (WA)</w:t>
            </w:r>
          </w:p>
        </w:tc>
        <w:tc>
          <w:tcPr>
            <w:tcW w:w="2126" w:type="dxa"/>
            <w:tcBorders>
              <w:top w:val="single" w:sz="8" w:space="0" w:color="FFFFFF" w:themeColor="background1"/>
              <w:bottom w:val="single" w:sz="6" w:space="0" w:color="6F6652"/>
            </w:tcBorders>
            <w:shd w:val="clear" w:color="auto" w:fill="E9E8E5" w:themeFill="background2"/>
            <w:vAlign w:val="bottom"/>
          </w:tcPr>
          <w:p w14:paraId="58FB546C" w14:textId="77777777" w:rsidR="00B54010" w:rsidRPr="007E4CD1" w:rsidRDefault="00B54010" w:rsidP="00C7682F">
            <w:pPr>
              <w:pStyle w:val="TableDataEntries"/>
              <w:jc w:val="left"/>
            </w:pPr>
            <w:r>
              <w:t xml:space="preserve">NIASUA </w:t>
            </w:r>
            <w:r w:rsidRPr="007E4CD1">
              <w:t>(WA)</w:t>
            </w:r>
          </w:p>
        </w:tc>
        <w:tc>
          <w:tcPr>
            <w:tcW w:w="851" w:type="dxa"/>
            <w:tcBorders>
              <w:top w:val="single" w:sz="8" w:space="0" w:color="FFFFFF" w:themeColor="background1"/>
              <w:bottom w:val="single" w:sz="6" w:space="0" w:color="6F6652"/>
            </w:tcBorders>
            <w:shd w:val="clear" w:color="auto" w:fill="E9E8E5" w:themeFill="background2"/>
            <w:noWrap/>
            <w:tcMar>
              <w:left w:w="57" w:type="dxa"/>
              <w:right w:w="57" w:type="dxa"/>
            </w:tcMar>
            <w:hideMark/>
          </w:tcPr>
          <w:p w14:paraId="3CE29611" w14:textId="77777777" w:rsidR="00B54010" w:rsidRPr="0014439F" w:rsidRDefault="00B54010" w:rsidP="00C7682F">
            <w:pPr>
              <w:pStyle w:val="TableDataEntries"/>
            </w:pPr>
            <w:r w:rsidRPr="00CE46EF">
              <w:t xml:space="preserve"> 0.004 </w:t>
            </w:r>
          </w:p>
        </w:tc>
        <w:tc>
          <w:tcPr>
            <w:tcW w:w="992" w:type="dxa"/>
            <w:tcBorders>
              <w:top w:val="single" w:sz="8" w:space="0" w:color="FFFFFF" w:themeColor="background1"/>
              <w:bottom w:val="single" w:sz="6" w:space="0" w:color="6F6652"/>
            </w:tcBorders>
            <w:shd w:val="clear" w:color="auto" w:fill="E9E8E5" w:themeFill="background2"/>
            <w:noWrap/>
            <w:tcMar>
              <w:left w:w="57" w:type="dxa"/>
              <w:right w:w="57" w:type="dxa"/>
            </w:tcMar>
            <w:hideMark/>
          </w:tcPr>
          <w:p w14:paraId="5BA3D40E" w14:textId="77777777" w:rsidR="00B54010" w:rsidRPr="0014439F" w:rsidRDefault="00B54010" w:rsidP="00C7682F">
            <w:pPr>
              <w:pStyle w:val="TableDataEntries"/>
            </w:pPr>
            <w:r w:rsidRPr="00EF16E4">
              <w:t xml:space="preserve"> 5 </w:t>
            </w:r>
          </w:p>
        </w:tc>
        <w:tc>
          <w:tcPr>
            <w:tcW w:w="992" w:type="dxa"/>
            <w:tcBorders>
              <w:top w:val="single" w:sz="8" w:space="0" w:color="FFFFFF" w:themeColor="background1"/>
              <w:bottom w:val="single" w:sz="6" w:space="0" w:color="6F6652"/>
            </w:tcBorders>
            <w:shd w:val="clear" w:color="auto" w:fill="C2DADB" w:themeFill="accent6" w:themeFillTint="99"/>
            <w:noWrap/>
            <w:tcMar>
              <w:left w:w="57" w:type="dxa"/>
              <w:right w:w="57" w:type="dxa"/>
            </w:tcMar>
            <w:hideMark/>
          </w:tcPr>
          <w:p w14:paraId="370AFAAC" w14:textId="77777777" w:rsidR="00B54010" w:rsidRPr="0059684D" w:rsidRDefault="00B54010" w:rsidP="00C7682F">
            <w:pPr>
              <w:pStyle w:val="TableDataEntries"/>
              <w:rPr>
                <w:rFonts w:ascii="Franklin Gothic Demi" w:hAnsi="Franklin Gothic Demi"/>
              </w:rPr>
            </w:pPr>
            <w:r w:rsidRPr="0059684D">
              <w:rPr>
                <w:rFonts w:ascii="Franklin Gothic Demi" w:hAnsi="Franklin Gothic Demi"/>
              </w:rPr>
              <w:t xml:space="preserve"> 0.00 </w:t>
            </w:r>
          </w:p>
        </w:tc>
      </w:tr>
    </w:tbl>
    <w:p w14:paraId="0B51147E" w14:textId="281B394D" w:rsidR="00B54010" w:rsidRDefault="00B54010" w:rsidP="00B54010">
      <w:pPr>
        <w:pStyle w:val="Source"/>
        <w:rPr>
          <w:rFonts w:ascii="Calisto MT" w:eastAsiaTheme="minorEastAsia" w:hAnsi="Calisto MT"/>
          <w:iCs/>
          <w:sz w:val="21"/>
          <w:szCs w:val="21"/>
          <w:lang w:eastAsia="en-AU"/>
        </w:rPr>
      </w:pPr>
      <w:r w:rsidRPr="0014439F">
        <w:rPr>
          <w:i/>
          <w:lang w:bidi="fa-IR"/>
        </w:rPr>
        <w:t>Source:</w:t>
      </w:r>
      <w:r>
        <w:rPr>
          <w:lang w:bidi="fa-IR"/>
        </w:rPr>
        <w:t xml:space="preserve"> CIE update based on </w:t>
      </w:r>
      <w:r>
        <w:t xml:space="preserve">CIE, </w:t>
      </w:r>
      <w:r>
        <w:rPr>
          <w:i/>
          <w:iCs/>
        </w:rPr>
        <w:t>Independent review of the Commercial Building Disclosure Program</w:t>
      </w:r>
      <w:r>
        <w:t>, Prepared for the Department of the Environment and Energy, 2019, &lt;</w:t>
      </w:r>
      <w:hyperlink r:id="rId77" w:history="1">
        <w:r>
          <w:rPr>
            <w:rStyle w:val="Hyperlink"/>
          </w:rPr>
          <w:t>https://www.cbd.gov.au/sites/default/files/2020-09/cbd_review_cie_report_draft.pdf</w:t>
        </w:r>
      </w:hyperlink>
      <w:r>
        <w:t>&gt;. The table is based on information sourced from</w:t>
      </w:r>
      <w:r>
        <w:rPr>
          <w:lang w:bidi="fa-IR"/>
        </w:rPr>
        <w:t xml:space="preserve"> </w:t>
      </w:r>
      <w:r>
        <w:t xml:space="preserve">PAEHolmes, 2013, Methodology for valuing the health impacts of changes in particle emissions - final report. For NSW Environment Protection Authority (EPA); </w:t>
      </w:r>
      <w:r w:rsidRPr="00091768">
        <w:rPr>
          <w:i/>
        </w:rPr>
        <w:t xml:space="preserve">Clean Energy Regulator, 2019, </w:t>
      </w:r>
      <w:r>
        <w:rPr>
          <w:i/>
        </w:rPr>
        <w:t>Electricity sector emissions and generation data 2021-22</w:t>
      </w:r>
      <w:r>
        <w:rPr>
          <w:iCs/>
        </w:rPr>
        <w:t xml:space="preserve">; </w:t>
      </w:r>
      <w:r>
        <w:t xml:space="preserve">Australian Department of the Environment and Energy, </w:t>
      </w:r>
      <w:r>
        <w:rPr>
          <w:i/>
        </w:rPr>
        <w:t xml:space="preserve">Latest NPI emissions for 2017-2018, </w:t>
      </w:r>
      <w:hyperlink r:id="rId78" w:history="1">
        <w:r w:rsidRPr="00516F3E">
          <w:rPr>
            <w:rStyle w:val="Hyperlink"/>
            <w:i/>
          </w:rPr>
          <w:t>http://www.npi.gov.au/npi-data/latest-data</w:t>
        </w:r>
      </w:hyperlink>
      <w:r>
        <w:rPr>
          <w:i/>
        </w:rPr>
        <w:t xml:space="preserve">  </w:t>
      </w:r>
      <w:r>
        <w:t xml:space="preserve">CIE, </w:t>
      </w:r>
      <w:r>
        <w:rPr>
          <w:i/>
          <w:iCs/>
        </w:rPr>
        <w:t>Independent review of the Commercial Building Disclosure Program</w:t>
      </w:r>
      <w:r>
        <w:t>, Prepared for the Department of the Environment and Energy, 2019, &lt;</w:t>
      </w:r>
      <w:hyperlink r:id="rId79" w:history="1">
        <w:r>
          <w:rPr>
            <w:rStyle w:val="Hyperlink"/>
          </w:rPr>
          <w:t>https://www.cbd.gov.au/sites/default/files/2020-09/cbd_review_cie_report_draft.pdf</w:t>
        </w:r>
      </w:hyperlink>
      <w:r>
        <w:t>&gt;.</w:t>
      </w:r>
    </w:p>
    <w:p w14:paraId="408BE05E" w14:textId="77777777" w:rsidR="00B54010" w:rsidRPr="00844A6E" w:rsidRDefault="00B54010" w:rsidP="00B54010">
      <w:pPr>
        <w:pStyle w:val="BodyText"/>
        <w:rPr>
          <w:rFonts w:ascii="Calisto MT" w:hAnsi="Calisto MT" w:cs="Calibri"/>
          <w:szCs w:val="22"/>
        </w:rPr>
      </w:pPr>
      <w:r w:rsidRPr="00844A6E">
        <w:rPr>
          <w:szCs w:val="22"/>
        </w:rPr>
        <w:t xml:space="preserve">Whilst we have sought to establish a health burden assessment for coal-fired electricity generation, </w:t>
      </w:r>
      <w:r w:rsidRPr="00844A6E">
        <w:rPr>
          <w:rFonts w:ascii="Calisto MT" w:hAnsi="Calisto MT" w:cs="Calibri"/>
          <w:szCs w:val="22"/>
        </w:rPr>
        <w:t xml:space="preserve">at this stage we have not included these impacts into the cost-benefit analysis </w:t>
      </w:r>
      <w:r>
        <w:rPr>
          <w:rFonts w:ascii="Calisto MT" w:hAnsi="Calisto MT" w:cs="Calibri"/>
          <w:szCs w:val="22"/>
        </w:rPr>
        <w:t>for</w:t>
      </w:r>
      <w:r w:rsidRPr="00844A6E">
        <w:rPr>
          <w:rFonts w:ascii="Calisto MT" w:hAnsi="Calisto MT" w:cs="Calibri"/>
          <w:szCs w:val="22"/>
        </w:rPr>
        <w:t xml:space="preserve"> the following reasons. </w:t>
      </w:r>
    </w:p>
    <w:p w14:paraId="512B51A3" w14:textId="77777777" w:rsidR="00B54010" w:rsidRPr="00844A6E" w:rsidRDefault="00B54010" w:rsidP="00B54010">
      <w:pPr>
        <w:pStyle w:val="ListBullet"/>
        <w:rPr>
          <w:szCs w:val="22"/>
        </w:rPr>
      </w:pPr>
      <w:r w:rsidRPr="00844A6E">
        <w:rPr>
          <w:szCs w:val="22"/>
        </w:rPr>
        <w:t>The health cost appears to be small. A damage cost of $10 per MWh is equivalent to 1 cent per kWh. This is relatively small compared to other benefits through improved energy efficiency. In addition, the estimate is regionally constrained or pollutant specific, and estimates at aggregate level are dependent on assumptions and generally interpreted as an indicator of potential health impacts.</w:t>
      </w:r>
    </w:p>
    <w:p w14:paraId="05E7ABBE" w14:textId="77777777" w:rsidR="00B54010" w:rsidRPr="00844A6E" w:rsidRDefault="00B54010" w:rsidP="00B54010">
      <w:pPr>
        <w:pStyle w:val="ListBullet"/>
        <w:rPr>
          <w:szCs w:val="22"/>
        </w:rPr>
      </w:pPr>
      <w:r w:rsidRPr="00844A6E">
        <w:rPr>
          <w:szCs w:val="22"/>
        </w:rPr>
        <w:t xml:space="preserve">It is difficult to link the reduction in energy consumption via energy efficiency improvements from specific buildings to particular coal fire stations and thus to provide a robust estimate.  </w:t>
      </w:r>
    </w:p>
    <w:p w14:paraId="23B43D1D" w14:textId="77777777" w:rsidR="00B54010" w:rsidRPr="00880ED9" w:rsidRDefault="00B54010" w:rsidP="00B54010">
      <w:pPr>
        <w:pStyle w:val="ListBullet"/>
        <w:rPr>
          <w:szCs w:val="22"/>
        </w:rPr>
      </w:pPr>
      <w:r w:rsidRPr="00844A6E">
        <w:rPr>
          <w:szCs w:val="22"/>
        </w:rPr>
        <w:t>Along with the grid’s decarbonisation and expected closure schedule of several coal power stations in the next 10 years, the health impacts stemming from particle pollution are expected to decrease.</w:t>
      </w:r>
    </w:p>
    <w:p w14:paraId="54995800" w14:textId="77777777" w:rsidR="00B54010" w:rsidRPr="00844A6E" w:rsidRDefault="00B54010" w:rsidP="00B54010">
      <w:pPr>
        <w:pStyle w:val="ListBullet"/>
        <w:numPr>
          <w:ilvl w:val="1"/>
          <w:numId w:val="34"/>
        </w:numPr>
        <w:rPr>
          <w:rFonts w:ascii="Calisto MT" w:hAnsi="Calisto MT" w:cs="Calibri"/>
          <w:szCs w:val="22"/>
        </w:rPr>
      </w:pPr>
      <w:r w:rsidRPr="00844A6E">
        <w:rPr>
          <w:szCs w:val="22"/>
        </w:rPr>
        <w:t>Eraring Power Station will be decommissioned in New South Wales in August 2025</w:t>
      </w:r>
      <w:r w:rsidRPr="00844A6E">
        <w:rPr>
          <w:rFonts w:ascii="Calisto MT" w:hAnsi="Calisto MT" w:cs="Calibri"/>
          <w:szCs w:val="22"/>
        </w:rPr>
        <w:t xml:space="preserve"> and </w:t>
      </w:r>
      <w:r w:rsidRPr="00844A6E">
        <w:rPr>
          <w:szCs w:val="22"/>
        </w:rPr>
        <w:t xml:space="preserve">Yallourn Power Station in Victoria in 2028. </w:t>
      </w:r>
    </w:p>
    <w:p w14:paraId="19D1E95F" w14:textId="77777777" w:rsidR="00B54010" w:rsidRPr="00844A6E" w:rsidRDefault="00B54010" w:rsidP="00B54010">
      <w:pPr>
        <w:pStyle w:val="ListBullet"/>
        <w:numPr>
          <w:ilvl w:val="1"/>
          <w:numId w:val="34"/>
        </w:numPr>
        <w:rPr>
          <w:szCs w:val="22"/>
        </w:rPr>
      </w:pPr>
      <w:r w:rsidRPr="00844A6E">
        <w:rPr>
          <w:szCs w:val="22"/>
        </w:rPr>
        <w:t>The currently announced closure timings suggest that 8.4 GW of the current 23 GW of coal capacity will withdraw by 2030. In AEMO’s Step Change scenario, modelling indicates 14 GW of coal-fired generation is likely to withdraw by 2030 to meet tighter carbon budgets for the sector. All coal capacity could close as early as 2040.</w:t>
      </w:r>
      <w:r w:rsidRPr="00844A6E">
        <w:rPr>
          <w:rStyle w:val="FootnoteReference"/>
          <w:sz w:val="22"/>
          <w:szCs w:val="22"/>
        </w:rPr>
        <w:footnoteReference w:id="207"/>
      </w:r>
    </w:p>
    <w:p w14:paraId="24F28E2C" w14:textId="77777777" w:rsidR="00B54010" w:rsidRPr="00DE22D5" w:rsidRDefault="00B54010" w:rsidP="00F34FE9">
      <w:pPr>
        <w:pStyle w:val="Heading7"/>
      </w:pPr>
      <w:r>
        <w:t>Health and productivity benefits</w:t>
      </w:r>
    </w:p>
    <w:p w14:paraId="0844EB5B" w14:textId="310BE8C2" w:rsidR="00B54010" w:rsidRPr="00844A6E" w:rsidRDefault="00B54010" w:rsidP="00B54010">
      <w:pPr>
        <w:pStyle w:val="BodyText"/>
        <w:rPr>
          <w:szCs w:val="22"/>
        </w:rPr>
      </w:pPr>
      <w:r w:rsidRPr="00844A6E">
        <w:rPr>
          <w:szCs w:val="22"/>
        </w:rPr>
        <w:t>Any health and productivity benefits would be in addition to the energy benefits estimated above. There is literature that investigates the relationship between energy efficient measures and perceptions of wellbeing and/or work performance amongst building occupants, especially the impacts of energy efficient solutions in office buildings on office users. Nevertheless, literature has showed varied perceptions of comfort, wellbeing and productivity in response to the energy efficient offices (box</w:t>
      </w:r>
      <w:r>
        <w:rPr>
          <w:szCs w:val="22"/>
        </w:rPr>
        <w:t xml:space="preserve"> </w:t>
      </w:r>
      <w:r>
        <w:rPr>
          <w:szCs w:val="22"/>
        </w:rPr>
        <w:fldChar w:fldCharType="begin"/>
      </w:r>
      <w:r>
        <w:rPr>
          <w:szCs w:val="22"/>
        </w:rPr>
        <w:instrText xml:space="preserve"> REF _Caption6934 </w:instrText>
      </w:r>
      <w:r>
        <w:rPr>
          <w:szCs w:val="22"/>
        </w:rPr>
        <w:fldChar w:fldCharType="separate"/>
      </w:r>
      <w:r w:rsidR="0096258B">
        <w:rPr>
          <w:noProof/>
        </w:rPr>
        <w:t>D</w:t>
      </w:r>
      <w:r w:rsidR="0096258B" w:rsidRPr="00E05C8C">
        <w:rPr>
          <w:noProof/>
        </w:rPr>
        <w:t>.</w:t>
      </w:r>
      <w:r w:rsidR="0096258B">
        <w:rPr>
          <w:noProof/>
        </w:rPr>
        <w:t>4</w:t>
      </w:r>
      <w:r>
        <w:rPr>
          <w:szCs w:val="22"/>
        </w:rPr>
        <w:fldChar w:fldCharType="end"/>
      </w:r>
      <w:r w:rsidRPr="00844A6E">
        <w:rPr>
          <w:szCs w:val="22"/>
        </w:rPr>
        <w:t xml:space="preserve">). In general, there appears some correlations between energy efficiency and improved health and performance outcomes, but they are not proof of causal relationships. </w:t>
      </w:r>
    </w:p>
    <w:p w14:paraId="5705AC78" w14:textId="77777777" w:rsidR="00B54010" w:rsidRDefault="00B54010" w:rsidP="00B54010">
      <w:pPr>
        <w:pStyle w:val="Invisiblepara"/>
      </w:pPr>
    </w:p>
    <w:tbl>
      <w:tblPr>
        <w:tblW w:w="7938" w:type="dxa"/>
        <w:tblBorders>
          <w:top w:val="single" w:sz="2" w:space="0" w:color="auto"/>
          <w:left w:val="single" w:sz="2" w:space="0" w:color="auto"/>
          <w:bottom w:val="single" w:sz="2" w:space="0" w:color="auto"/>
          <w:right w:val="single" w:sz="2" w:space="0" w:color="auto"/>
        </w:tblBorders>
        <w:tblLayout w:type="fixed"/>
        <w:tblCellMar>
          <w:left w:w="142" w:type="dxa"/>
          <w:right w:w="142" w:type="dxa"/>
        </w:tblCellMar>
        <w:tblLook w:val="0000" w:firstRow="0" w:lastRow="0" w:firstColumn="0" w:lastColumn="0" w:noHBand="0" w:noVBand="0"/>
      </w:tblPr>
      <w:tblGrid>
        <w:gridCol w:w="7938"/>
      </w:tblGrid>
      <w:tr w:rsidR="00B54010" w:rsidRPr="00E05C8C" w14:paraId="5F452DAB" w14:textId="77777777" w:rsidTr="00C7682F">
        <w:trPr>
          <w:cantSplit/>
        </w:trPr>
        <w:tc>
          <w:tcPr>
            <w:tcW w:w="7938" w:type="dxa"/>
            <w:tcBorders>
              <w:top w:val="nil"/>
              <w:left w:val="nil"/>
              <w:bottom w:val="nil"/>
              <w:right w:val="nil"/>
            </w:tcBorders>
            <w:shd w:val="clear" w:color="auto" w:fill="C6BFAB" w:themeFill="accent3"/>
          </w:tcPr>
          <w:p w14:paraId="0FB64A18" w14:textId="1FE31309" w:rsidR="00B54010" w:rsidRPr="00E05C8C" w:rsidRDefault="00B54010" w:rsidP="00C7682F">
            <w:pPr>
              <w:pStyle w:val="Caption"/>
              <w:numPr>
                <w:ilvl w:val="0"/>
                <w:numId w:val="19"/>
              </w:numPr>
              <w:spacing w:before="120" w:after="100"/>
            </w:pPr>
            <w:r w:rsidRPr="00E05C8C">
              <w:fldChar w:fldCharType="begin"/>
            </w:r>
            <w:r w:rsidRPr="00E05C8C">
              <w:instrText xml:space="preserve"> IF 1 = 1 "</w:instrText>
            </w:r>
            <w:r w:rsidRPr="00E05C8C">
              <w:fldChar w:fldCharType="begin"/>
            </w:r>
            <w:r w:rsidRPr="00E05C8C">
              <w:instrText xml:space="preserve"> IF </w:instrText>
            </w:r>
            <w:fldSimple w:instr=" STYLEREF &quot;Heading 6&quot; \l \n ">
              <w:r w:rsidR="00520F9E">
                <w:rPr>
                  <w:noProof/>
                </w:rPr>
                <w:instrText>D</w:instrText>
              </w:r>
            </w:fldSimple>
            <w:r w:rsidRPr="00E05C8C">
              <w:instrText xml:space="preserve"> = 0 "</w:instrText>
            </w:r>
            <w:r w:rsidRPr="00E05C8C">
              <w:fldChar w:fldCharType="begin"/>
            </w:r>
            <w:r w:rsidRPr="00E05C8C">
              <w:instrText xml:space="preserve"> IF </w:instrText>
            </w:r>
            <w:fldSimple w:instr=" STYLEREF &quot;Heading 1&quot; \l \n ">
              <w:r>
                <w:rPr>
                  <w:noProof/>
                </w:rPr>
                <w:instrText>5</w:instrText>
              </w:r>
            </w:fldSimple>
            <w:r w:rsidRPr="00E05C8C">
              <w:instrText xml:space="preserve"> = 0 "" "</w:instrText>
            </w:r>
            <w:fldSimple w:instr=" STYLEREF &quot;Heading 1&quot; \l \n ">
              <w:r>
                <w:rPr>
                  <w:noProof/>
                </w:rPr>
                <w:instrText>5</w:instrText>
              </w:r>
            </w:fldSimple>
            <w:r w:rsidRPr="00E05C8C">
              <w:instrText xml:space="preserve">." </w:instrText>
            </w:r>
            <w:r w:rsidRPr="00E05C8C">
              <w:fldChar w:fldCharType="separate"/>
            </w:r>
            <w:r>
              <w:rPr>
                <w:noProof/>
              </w:rPr>
              <w:instrText>5</w:instrText>
            </w:r>
            <w:r w:rsidRPr="00E05C8C">
              <w:rPr>
                <w:noProof/>
              </w:rPr>
              <w:instrText>.</w:instrText>
            </w:r>
            <w:r w:rsidRPr="00E05C8C">
              <w:fldChar w:fldCharType="end"/>
            </w:r>
            <w:r w:rsidRPr="00E05C8C">
              <w:instrText>" "</w:instrText>
            </w:r>
            <w:fldSimple w:instr=" STYLEREF &quot;Heading 6&quot; \l \n ">
              <w:r w:rsidR="00520F9E">
                <w:rPr>
                  <w:noProof/>
                </w:rPr>
                <w:instrText>D</w:instrText>
              </w:r>
            </w:fldSimple>
            <w:r w:rsidRPr="00E05C8C">
              <w:instrText xml:space="preserve">." </w:instrText>
            </w:r>
            <w:r w:rsidRPr="00E05C8C">
              <w:fldChar w:fldCharType="separate"/>
            </w:r>
            <w:r w:rsidR="00520F9E">
              <w:rPr>
                <w:noProof/>
              </w:rPr>
              <w:instrText>D</w:instrText>
            </w:r>
            <w:r w:rsidR="00520F9E" w:rsidRPr="00E05C8C">
              <w:rPr>
                <w:noProof/>
              </w:rPr>
              <w:instrText>.</w:instrText>
            </w:r>
            <w:r w:rsidRPr="00E05C8C">
              <w:fldChar w:fldCharType="end"/>
            </w:r>
            <w:r w:rsidRPr="00E05C8C">
              <w:fldChar w:fldCharType="begin"/>
            </w:r>
            <w:r w:rsidRPr="00E05C8C">
              <w:instrText xml:space="preserve"> SEQ Item \* ARABIC \s </w:instrText>
            </w:r>
            <w:r w:rsidRPr="00E05C8C">
              <w:fldChar w:fldCharType="begin"/>
            </w:r>
            <w:r w:rsidRPr="00E05C8C">
              <w:instrText xml:space="preserve"> IF </w:instrText>
            </w:r>
            <w:fldSimple w:instr=" STYLEREF &quot;Heading 6&quot; \l \n ">
              <w:r w:rsidR="00520F9E">
                <w:rPr>
                  <w:noProof/>
                </w:rPr>
                <w:instrText>D</w:instrText>
              </w:r>
            </w:fldSimple>
            <w:r w:rsidRPr="00E05C8C">
              <w:instrText xml:space="preserve"> = 0 "</w:instrText>
            </w:r>
            <w:r w:rsidRPr="00E05C8C">
              <w:fldChar w:fldCharType="begin"/>
            </w:r>
            <w:r w:rsidRPr="00E05C8C">
              <w:instrText xml:space="preserve"> IF </w:instrText>
            </w:r>
            <w:fldSimple w:instr=" STYLEREF &quot;Heading 1&quot; \l \n ">
              <w:r>
                <w:rPr>
                  <w:noProof/>
                </w:rPr>
                <w:instrText>5</w:instrText>
              </w:r>
            </w:fldSimple>
            <w:r w:rsidRPr="00E05C8C">
              <w:instrText xml:space="preserve"> = 0 "" "1" </w:instrText>
            </w:r>
            <w:r w:rsidRPr="00E05C8C">
              <w:fldChar w:fldCharType="separate"/>
            </w:r>
            <w:r w:rsidR="00BD1538" w:rsidRPr="00E05C8C">
              <w:rPr>
                <w:noProof/>
              </w:rPr>
              <w:instrText>1</w:instrText>
            </w:r>
            <w:r w:rsidRPr="00E05C8C">
              <w:fldChar w:fldCharType="end"/>
            </w:r>
            <w:r w:rsidRPr="00E05C8C">
              <w:instrText xml:space="preserve">" "6" </w:instrText>
            </w:r>
            <w:r w:rsidRPr="00E05C8C">
              <w:fldChar w:fldCharType="separate"/>
            </w:r>
            <w:r w:rsidR="00520F9E" w:rsidRPr="00E05C8C">
              <w:rPr>
                <w:noProof/>
              </w:rPr>
              <w:instrText>6</w:instrText>
            </w:r>
            <w:r w:rsidRPr="00E05C8C">
              <w:fldChar w:fldCharType="end"/>
            </w:r>
            <w:r w:rsidRPr="00E05C8C">
              <w:instrText xml:space="preserve"> </w:instrText>
            </w:r>
            <w:r w:rsidRPr="00E05C8C">
              <w:fldChar w:fldCharType="separate"/>
            </w:r>
            <w:r w:rsidR="00520F9E">
              <w:rPr>
                <w:noProof/>
              </w:rPr>
              <w:instrText>4</w:instrText>
            </w:r>
            <w:r w:rsidRPr="00E05C8C">
              <w:fldChar w:fldCharType="end"/>
            </w:r>
            <w:r w:rsidRPr="00E05C8C">
              <w:instrText xml:space="preserve">" "" </w:instrText>
            </w:r>
            <w:r w:rsidRPr="00E05C8C">
              <w:fldChar w:fldCharType="separate"/>
            </w:r>
            <w:bookmarkStart w:id="8367" w:name="_Caption1360"/>
            <w:bookmarkStart w:id="8368" w:name="_Caption8744"/>
            <w:bookmarkStart w:id="8369" w:name="_Caption9392"/>
            <w:bookmarkStart w:id="8370" w:name="_Caption7592"/>
            <w:bookmarkStart w:id="8371" w:name="_Caption2052"/>
            <w:bookmarkStart w:id="8372" w:name="_Caption3232"/>
            <w:bookmarkStart w:id="8373" w:name="_Caption4300"/>
            <w:bookmarkStart w:id="8374" w:name="_Caption4516"/>
            <w:bookmarkStart w:id="8375" w:name="_Caption7858"/>
            <w:bookmarkStart w:id="8376" w:name="_Caption1445"/>
            <w:bookmarkStart w:id="8377" w:name="_Caption6762"/>
            <w:bookmarkStart w:id="8378" w:name="_Caption5665"/>
            <w:bookmarkStart w:id="8379" w:name="_Caption2832"/>
            <w:bookmarkStart w:id="8380" w:name="_Caption5395"/>
            <w:bookmarkStart w:id="8381" w:name="_Caption8038"/>
            <w:bookmarkStart w:id="8382" w:name="_Caption7660"/>
            <w:bookmarkStart w:id="8383" w:name="_Caption8546"/>
            <w:bookmarkStart w:id="8384" w:name="_Caption0752"/>
            <w:bookmarkStart w:id="8385" w:name="_Caption3972"/>
            <w:bookmarkStart w:id="8386" w:name="_Caption7449"/>
            <w:bookmarkStart w:id="8387" w:name="_Caption9162"/>
            <w:bookmarkStart w:id="8388" w:name="_Caption6934"/>
            <w:bookmarkStart w:id="8389" w:name="_Caption6487"/>
            <w:bookmarkStart w:id="8390" w:name="_Caption1305"/>
            <w:bookmarkStart w:id="8391" w:name="_Caption4309"/>
            <w:bookmarkStart w:id="8392" w:name="_Caption7233"/>
            <w:bookmarkStart w:id="8393" w:name="_Caption7864"/>
            <w:bookmarkStart w:id="8394" w:name="_Caption1886"/>
            <w:bookmarkStart w:id="8395" w:name="_Caption6600"/>
            <w:bookmarkStart w:id="8396" w:name="_Caption3866"/>
            <w:bookmarkStart w:id="8397" w:name="_Caption2893"/>
            <w:bookmarkStart w:id="8398" w:name="_Caption2446"/>
            <w:bookmarkStart w:id="8399" w:name="_Caption0382"/>
            <w:bookmarkStart w:id="8400" w:name="_Caption9373"/>
            <w:bookmarkStart w:id="8401" w:name="_Caption7647"/>
            <w:bookmarkStart w:id="8402" w:name="_Caption0747"/>
            <w:bookmarkStart w:id="8403" w:name="_Caption6155"/>
            <w:bookmarkStart w:id="8404" w:name="_Caption0477"/>
            <w:bookmarkStart w:id="8405" w:name="_Caption6395"/>
            <w:bookmarkStart w:id="8406" w:name="_Caption0390"/>
            <w:bookmarkStart w:id="8407" w:name="_Caption5682"/>
            <w:bookmarkStart w:id="8408" w:name="_Caption6439"/>
            <w:bookmarkStart w:id="8409" w:name="_Caption6669"/>
            <w:bookmarkStart w:id="8410" w:name="_Caption2305"/>
            <w:bookmarkStart w:id="8411" w:name="_Caption8131"/>
            <w:bookmarkStart w:id="8412" w:name="_Caption8545"/>
            <w:bookmarkStart w:id="8413" w:name="_Caption7993"/>
            <w:bookmarkStart w:id="8414" w:name="_Caption8471"/>
            <w:bookmarkStart w:id="8415" w:name="_Caption2853"/>
            <w:bookmarkStart w:id="8416" w:name="_Caption2932"/>
            <w:bookmarkStart w:id="8417" w:name="_Caption9205"/>
            <w:bookmarkStart w:id="8418" w:name="_Caption1126"/>
            <w:bookmarkStart w:id="8419" w:name="_Caption3224"/>
            <w:bookmarkStart w:id="8420" w:name="_Caption2871"/>
            <w:bookmarkStart w:id="8421" w:name="_Caption5213"/>
            <w:bookmarkStart w:id="8422" w:name="_Caption5617"/>
            <w:bookmarkStart w:id="8423" w:name="_Caption5743"/>
            <w:bookmarkStart w:id="8424" w:name="_Caption1733"/>
            <w:bookmarkStart w:id="8425" w:name="_Caption7215"/>
            <w:bookmarkStart w:id="8426" w:name="_Caption4105"/>
            <w:bookmarkStart w:id="8427" w:name="_Caption1608"/>
            <w:bookmarkStart w:id="8428" w:name="_Caption6398"/>
            <w:bookmarkStart w:id="8429" w:name="_Caption3164"/>
            <w:bookmarkStart w:id="8430" w:name="_Caption0298"/>
            <w:bookmarkStart w:id="8431" w:name="_Caption4247"/>
            <w:bookmarkStart w:id="8432" w:name="_Caption9470"/>
            <w:bookmarkStart w:id="8433" w:name="_Caption8255"/>
            <w:bookmarkStart w:id="8434" w:name="_Toc178292670"/>
            <w:r w:rsidR="008C60A3">
              <w:rPr>
                <w:noProof/>
              </w:rPr>
              <w:t>D</w:t>
            </w:r>
            <w:r w:rsidR="008C60A3" w:rsidRPr="00E05C8C">
              <w:rPr>
                <w:noProof/>
              </w:rPr>
              <w:t>.</w:t>
            </w:r>
            <w:r w:rsidR="008C60A3">
              <w:rPr>
                <w:noProof/>
              </w:rPr>
              <w:t>4</w:t>
            </w:r>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r w:rsidRPr="00E05C8C">
              <w:fldChar w:fldCharType="end"/>
            </w:r>
            <w:r w:rsidRPr="00E05C8C">
              <w:tab/>
            </w:r>
            <w:r w:rsidRPr="00E432D5">
              <w:t>Literature on the impacts of energy efficiency on health and productivity</w:t>
            </w:r>
            <w:bookmarkEnd w:id="8434"/>
          </w:p>
        </w:tc>
      </w:tr>
      <w:tr w:rsidR="00B54010" w14:paraId="581170BB" w14:textId="77777777" w:rsidTr="00C7682F">
        <w:tblPrEx>
          <w:tblBorders>
            <w:top w:val="none" w:sz="0" w:space="0" w:color="auto"/>
            <w:left w:val="none" w:sz="0" w:space="0" w:color="auto"/>
            <w:bottom w:val="none" w:sz="0" w:space="0" w:color="auto"/>
            <w:right w:val="none" w:sz="0" w:space="0" w:color="auto"/>
          </w:tblBorders>
          <w:shd w:val="clear" w:color="6F6652" w:fill="F1EFEA"/>
        </w:tblPrEx>
        <w:tc>
          <w:tcPr>
            <w:tcW w:w="7938" w:type="dxa"/>
            <w:shd w:val="clear" w:color="auto" w:fill="E9E8E5" w:themeFill="background2"/>
          </w:tcPr>
          <w:p w14:paraId="7BF5E6BD" w14:textId="77777777" w:rsidR="00B54010" w:rsidRPr="00844A6E" w:rsidRDefault="00B54010" w:rsidP="00C7682F">
            <w:pPr>
              <w:pStyle w:val="BodyText"/>
            </w:pPr>
            <w:r w:rsidRPr="00844A6E">
              <w:t>Steinemann, Wargocki and Rismanchi (2017) examined empirical evidence on whether energy efficient buildings may promote health outcomes of occupants through better indoor air quality (IAQ) and found that perceived IAQ is higher in energy efficient buildings than in comparable conventional buildings. However, in most studies no measurements were performed in parallel to subjective evaluations to explore true differences in pollutant exposure between the investigated buildings. In addition, the perception of better IAQ can be attributed partly to overall high satisfaction of working in a green building, which may propagate on satisfaction with IAQ. While the health outcomes are improved in energy efficient buildings, as perceived by occupants, no sufficient connection is made between the subjective results and objective measurements of exposure.</w:t>
            </w:r>
          </w:p>
          <w:p w14:paraId="23A1D6E6" w14:textId="77777777" w:rsidR="00B54010" w:rsidRPr="00844A6E" w:rsidRDefault="00B54010" w:rsidP="00C7682F">
            <w:pPr>
              <w:pStyle w:val="BodyText"/>
              <w:rPr>
                <w:szCs w:val="22"/>
              </w:rPr>
            </w:pPr>
            <w:r w:rsidRPr="00844A6E">
              <w:rPr>
                <w:szCs w:val="22"/>
              </w:rPr>
              <w:t>Wallner et al. (2017) carried out a quasi-experimental field study to investigate differences in self-rated health status between occupants in energy efficient buildings with mechanical ventilation (test group) and those with natural ventilation (control group). Occupants in the test group rated the overall health status of their own and children not significantly higher than occupants in the control group. Adult occupants in the test group reported dry eyes statistically significantly more frequently, compared to the control group. In addition, mechanically ventilated buildings have better self-rated IQA and climate than naturally ventilated buildings.</w:t>
            </w:r>
          </w:p>
          <w:p w14:paraId="12BE014F" w14:textId="77777777" w:rsidR="00B54010" w:rsidRPr="00844A6E" w:rsidRDefault="00B54010" w:rsidP="00C7682F">
            <w:pPr>
              <w:pStyle w:val="BodyText"/>
              <w:rPr>
                <w:szCs w:val="22"/>
              </w:rPr>
            </w:pPr>
            <w:r w:rsidRPr="00844A6E">
              <w:rPr>
                <w:szCs w:val="22"/>
              </w:rPr>
              <w:t xml:space="preserve">Kozusznik et al. (2019) conducted a systematic review to identify existing empirical evidence on the relationships between energy efficient solutions in sustainable office buildings and the perceptions of employees’ wellbeing and productivity, as well as the boundary conditions for these relationships to occur. Among the 19 reviewed studies, 9 of them reported significant positive relationship between energy efficient buildings and perceived wellbeing and productivity of occupants. 7 studies reported insignificant positive relationships, and 2 studies found significant negative relationships. 1 study found neutral impact of energy efficient buildings on occupants’ health outcomes. These reviewed studies have different research designs, and the diversity of their results suggest study design is an important factor. That being said, the majority of reviewed studies show positive correlation between energy efficient measures and perceived health outcomes and/or work performance. In addition, some studies pointed out some moderators in the relationship such as degree of occupants’ control over the office environment, users’ adaptive behaviours, effective training provision in high-performing green buildings and the use of private workspaces. </w:t>
            </w:r>
          </w:p>
          <w:p w14:paraId="1E44FFAE" w14:textId="77777777" w:rsidR="00B54010" w:rsidRPr="00BF2F67" w:rsidRDefault="00B54010" w:rsidP="00C7682F">
            <w:pPr>
              <w:pStyle w:val="BodyText"/>
            </w:pPr>
            <w:r w:rsidRPr="00844A6E">
              <w:rPr>
                <w:szCs w:val="22"/>
              </w:rPr>
              <w:t>Menadue, Soebarto and Williamson (2014) carried out a comparative post-occupancy internal environment monitoring and occupant survey on buildings with and without Green Star certification in Australia. Green-rated buildings exhibit equal and, in some circumstances, decreased occupant satisfaction of internal thermal conditions, compared to non-green-rated buildings.</w:t>
            </w:r>
          </w:p>
        </w:tc>
      </w:tr>
      <w:tr w:rsidR="00B54010" w14:paraId="1EB259C9" w14:textId="77777777" w:rsidTr="00C7682F">
        <w:tblPrEx>
          <w:tblBorders>
            <w:top w:val="none" w:sz="0" w:space="0" w:color="auto"/>
            <w:left w:val="none" w:sz="0" w:space="0" w:color="auto"/>
            <w:bottom w:val="none" w:sz="0" w:space="0" w:color="auto"/>
            <w:right w:val="none" w:sz="0" w:space="0" w:color="auto"/>
          </w:tblBorders>
          <w:shd w:val="clear" w:color="6F6652" w:fill="F1EFEA"/>
        </w:tblPrEx>
        <w:trPr>
          <w:cantSplit/>
          <w:trHeight w:hRule="exact" w:val="142"/>
        </w:trPr>
        <w:tc>
          <w:tcPr>
            <w:tcW w:w="7938" w:type="dxa"/>
            <w:tcBorders>
              <w:bottom w:val="single" w:sz="6" w:space="0" w:color="9B917E" w:themeColor="accent4"/>
            </w:tcBorders>
            <w:shd w:val="clear" w:color="auto" w:fill="E9E8E5" w:themeFill="background2"/>
          </w:tcPr>
          <w:p w14:paraId="301E8A74" w14:textId="77777777" w:rsidR="00B54010" w:rsidRDefault="00B54010" w:rsidP="00C7682F"/>
        </w:tc>
      </w:tr>
    </w:tbl>
    <w:p w14:paraId="3B2B3F19" w14:textId="77777777" w:rsidR="00B54010" w:rsidRDefault="00B54010" w:rsidP="00B54010">
      <w:pPr>
        <w:pStyle w:val="Source"/>
      </w:pPr>
      <w:r>
        <w:rPr>
          <w:i/>
        </w:rPr>
        <w:t>Source</w:t>
      </w:r>
      <w:r w:rsidRPr="00E4232C">
        <w:rPr>
          <w:i/>
        </w:rPr>
        <w:t>:</w:t>
      </w:r>
      <w:r>
        <w:t xml:space="preserve"> MW Kozusznik et al., ‘Decoupling Office Energy Efficiency From Employees’ Well-Being and Performance: A Systematic Review’, in </w:t>
      </w:r>
      <w:r>
        <w:rPr>
          <w:i/>
          <w:iCs/>
        </w:rPr>
        <w:t>Frontiers in Psychology</w:t>
      </w:r>
      <w:r>
        <w:t xml:space="preserve">, vol. 10, 2019. V Menadue, V Soebarto &amp; T Williamson, ‘Perceived and actual thermal conditions: case studies of green-rated and conventional office buildings in the City of Adelaide’, in </w:t>
      </w:r>
      <w:r>
        <w:rPr>
          <w:i/>
          <w:iCs/>
        </w:rPr>
        <w:t>Architectural Science Review</w:t>
      </w:r>
      <w:r>
        <w:t xml:space="preserve">, vol. 57, 2014, 303–319. A Steinemann, P Wargocki &amp; B Rismanchi, ‘Ten questions concerning green buildings and indoor air quality’, in </w:t>
      </w:r>
      <w:r>
        <w:rPr>
          <w:i/>
          <w:iCs/>
        </w:rPr>
        <w:t>Building and Environment</w:t>
      </w:r>
      <w:r>
        <w:t xml:space="preserve">, vol. 112, 2017, 351–358. P Wallner et al., ‘Health and Wellbeing of Occupants in Highly Energy Efficient Buildings: A Field Study’, in </w:t>
      </w:r>
      <w:r>
        <w:rPr>
          <w:i/>
          <w:iCs/>
        </w:rPr>
        <w:t>International Journal of Environmental Research and Public Health</w:t>
      </w:r>
      <w:r>
        <w:t>, vol. 14, 2017, 314.</w:t>
      </w:r>
    </w:p>
    <w:p w14:paraId="05207C13" w14:textId="77777777" w:rsidR="00B54010" w:rsidRPr="00844A6E" w:rsidRDefault="00B54010" w:rsidP="00B54010">
      <w:pPr>
        <w:pStyle w:val="BodyText"/>
        <w:rPr>
          <w:szCs w:val="22"/>
        </w:rPr>
      </w:pPr>
      <w:r w:rsidRPr="00844A6E">
        <w:rPr>
          <w:szCs w:val="22"/>
        </w:rPr>
        <w:t>In the 2015 review of the CBD program, ACIL-Allen Consulting found significant productivity benefits of the CBD program even under conservation assumptions. That said, these benefits were reported separately from the main CBA results due to a lack of sufficient data estimating the productivity benefits of energy efficient buildings as well as the high degree of uncertainty in estimation.</w:t>
      </w:r>
      <w:r w:rsidRPr="00844A6E">
        <w:rPr>
          <w:szCs w:val="22"/>
          <w:vertAlign w:val="superscript"/>
        </w:rPr>
        <w:footnoteReference w:id="208"/>
      </w:r>
    </w:p>
    <w:p w14:paraId="4A449E26" w14:textId="17D6CE7A" w:rsidR="00B54010" w:rsidRPr="00844A6E" w:rsidRDefault="00B54010" w:rsidP="00B54010">
      <w:pPr>
        <w:pStyle w:val="BodyText"/>
        <w:spacing w:before="100"/>
        <w:rPr>
          <w:szCs w:val="22"/>
        </w:rPr>
      </w:pPr>
      <w:r w:rsidRPr="00844A6E">
        <w:rPr>
          <w:szCs w:val="22"/>
        </w:rPr>
        <w:t xml:space="preserve">In addition, an analysis of the </w:t>
      </w:r>
      <w:r>
        <w:rPr>
          <w:szCs w:val="22"/>
        </w:rPr>
        <w:t xml:space="preserve">relationship between </w:t>
      </w:r>
      <w:r w:rsidRPr="00844A6E">
        <w:rPr>
          <w:szCs w:val="22"/>
        </w:rPr>
        <w:t xml:space="preserve">NABERS Energy rating and the </w:t>
      </w:r>
      <w:r>
        <w:rPr>
          <w:szCs w:val="22"/>
        </w:rPr>
        <w:t xml:space="preserve">thermal comfort score (the component of the </w:t>
      </w:r>
      <w:r w:rsidRPr="00844A6E">
        <w:rPr>
          <w:szCs w:val="22"/>
        </w:rPr>
        <w:t xml:space="preserve">NABERS Indoor Environment Quality (IEQ) rating </w:t>
      </w:r>
      <w:r>
        <w:rPr>
          <w:szCs w:val="22"/>
        </w:rPr>
        <w:t xml:space="preserve">that is most likely to be associated with energy efficiency) for those buildings that have both ratings </w:t>
      </w:r>
      <w:r w:rsidRPr="00844A6E">
        <w:rPr>
          <w:szCs w:val="22"/>
        </w:rPr>
        <w:t xml:space="preserve">suggests a weak </w:t>
      </w:r>
      <w:r>
        <w:rPr>
          <w:szCs w:val="22"/>
        </w:rPr>
        <w:t xml:space="preserve">(albeit statistically significant) </w:t>
      </w:r>
      <w:r w:rsidRPr="00844A6E">
        <w:rPr>
          <w:szCs w:val="22"/>
        </w:rPr>
        <w:t xml:space="preserve">relationship between </w:t>
      </w:r>
      <w:r>
        <w:rPr>
          <w:szCs w:val="22"/>
        </w:rPr>
        <w:t>these variables</w:t>
      </w:r>
      <w:r w:rsidRPr="00844A6E">
        <w:rPr>
          <w:szCs w:val="22"/>
        </w:rPr>
        <w:t xml:space="preserve"> (chart</w:t>
      </w:r>
      <w:r>
        <w:rPr>
          <w:szCs w:val="22"/>
        </w:rPr>
        <w:t xml:space="preserve"> </w:t>
      </w:r>
      <w:r>
        <w:rPr>
          <w:szCs w:val="22"/>
        </w:rPr>
        <w:fldChar w:fldCharType="begin"/>
      </w:r>
      <w:r>
        <w:rPr>
          <w:szCs w:val="22"/>
        </w:rPr>
        <w:instrText xml:space="preserve"> REF _Caption5424 </w:instrText>
      </w:r>
      <w:r>
        <w:rPr>
          <w:szCs w:val="22"/>
        </w:rPr>
        <w:fldChar w:fldCharType="separate"/>
      </w:r>
      <w:r w:rsidR="0096258B">
        <w:rPr>
          <w:noProof/>
        </w:rPr>
        <w:t>D</w:t>
      </w:r>
      <w:r w:rsidR="0096258B" w:rsidRPr="00695C93">
        <w:rPr>
          <w:noProof/>
        </w:rPr>
        <w:t>.</w:t>
      </w:r>
      <w:r w:rsidR="0096258B">
        <w:rPr>
          <w:noProof/>
        </w:rPr>
        <w:t>5</w:t>
      </w:r>
      <w:r>
        <w:rPr>
          <w:szCs w:val="22"/>
        </w:rPr>
        <w:fldChar w:fldCharType="end"/>
      </w:r>
      <w:r w:rsidRPr="00844A6E">
        <w:rPr>
          <w:szCs w:val="22"/>
        </w:rPr>
        <w:t xml:space="preserve">). </w:t>
      </w:r>
    </w:p>
    <w:p w14:paraId="4573E8F4" w14:textId="25D1E159" w:rsidR="00B54010" w:rsidRPr="00695C93" w:rsidRDefault="00B54010" w:rsidP="00B54010">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520F9E">
          <w:rPr>
            <w:noProof/>
          </w:rPr>
          <w:instrText>D</w:instrText>
        </w:r>
      </w:fldSimple>
      <w:r w:rsidRPr="00695C93">
        <w:instrText xml:space="preserve"> = 0 "</w:instrText>
      </w:r>
      <w:r w:rsidRPr="00695C93">
        <w:fldChar w:fldCharType="begin"/>
      </w:r>
      <w:r w:rsidRPr="00695C93">
        <w:instrText xml:space="preserve"> IF </w:instrText>
      </w:r>
      <w:fldSimple w:instr=" STYLEREF &quot;Heading 1&quot; \l \n ">
        <w:r>
          <w:rPr>
            <w:noProof/>
          </w:rPr>
          <w:instrText>5</w:instrText>
        </w:r>
      </w:fldSimple>
      <w:r w:rsidRPr="00695C93">
        <w:instrText xml:space="preserve"> = 0 "" "</w:instrText>
      </w:r>
      <w:fldSimple w:instr=" STYLEREF &quot;Heading 1&quot; \l \n ">
        <w:r>
          <w:rPr>
            <w:noProof/>
          </w:rPr>
          <w:instrText>5</w:instrText>
        </w:r>
      </w:fldSimple>
      <w:r w:rsidRPr="00695C93">
        <w:instrText xml:space="preserve">." </w:instrText>
      </w:r>
      <w:r w:rsidRPr="00695C93">
        <w:fldChar w:fldCharType="separate"/>
      </w:r>
      <w:r>
        <w:rPr>
          <w:noProof/>
        </w:rPr>
        <w:instrText>5</w:instrText>
      </w:r>
      <w:r w:rsidRPr="00695C93">
        <w:rPr>
          <w:noProof/>
        </w:rPr>
        <w:instrText>.</w:instrText>
      </w:r>
      <w:r w:rsidRPr="00695C93">
        <w:fldChar w:fldCharType="end"/>
      </w:r>
      <w:r w:rsidRPr="00695C93">
        <w:instrText>" "</w:instrText>
      </w:r>
      <w:fldSimple w:instr=" STYLEREF &quot;Heading 6&quot; \l \n ">
        <w:r w:rsidR="00520F9E">
          <w:rPr>
            <w:noProof/>
          </w:rPr>
          <w:instrText>D</w:instrText>
        </w:r>
      </w:fldSimple>
      <w:r w:rsidRPr="00695C93">
        <w:instrText xml:space="preserve">." </w:instrText>
      </w:r>
      <w:r w:rsidRPr="00695C93">
        <w:fldChar w:fldCharType="separate"/>
      </w:r>
      <w:r w:rsidR="00520F9E">
        <w:rPr>
          <w:noProof/>
        </w:rPr>
        <w:instrText>D</w:instrText>
      </w:r>
      <w:r w:rsidR="00520F9E"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520F9E">
          <w:rPr>
            <w:noProof/>
          </w:rPr>
          <w:instrText>D</w:instrText>
        </w:r>
      </w:fldSimple>
      <w:r w:rsidRPr="00695C93">
        <w:instrText xml:space="preserve"> = 0 "</w:instrText>
      </w:r>
      <w:r w:rsidRPr="00695C93">
        <w:fldChar w:fldCharType="begin"/>
      </w:r>
      <w:r w:rsidRPr="00695C93">
        <w:instrText xml:space="preserve"> IF </w:instrText>
      </w:r>
      <w:fldSimple w:instr=" STYLEREF &quot;Heading 1&quot; \l \n ">
        <w:r>
          <w:rPr>
            <w:noProof/>
          </w:rPr>
          <w:instrText>5</w:instrText>
        </w:r>
      </w:fldSimple>
      <w:r w:rsidRPr="00695C93">
        <w:instrText xml:space="preserve"> = 0 "" "1" </w:instrText>
      </w:r>
      <w:r w:rsidRPr="00695C93">
        <w:fldChar w:fldCharType="separate"/>
      </w:r>
      <w:r w:rsidR="008F5D8F" w:rsidRPr="00695C93">
        <w:rPr>
          <w:noProof/>
        </w:rPr>
        <w:instrText>1</w:instrText>
      </w:r>
      <w:r w:rsidRPr="00695C93">
        <w:fldChar w:fldCharType="end"/>
      </w:r>
      <w:r w:rsidRPr="00695C93">
        <w:instrText xml:space="preserve">" "6" </w:instrText>
      </w:r>
      <w:r w:rsidRPr="00695C93">
        <w:fldChar w:fldCharType="separate"/>
      </w:r>
      <w:r w:rsidR="00520F9E" w:rsidRPr="00695C93">
        <w:rPr>
          <w:noProof/>
        </w:rPr>
        <w:instrText>6</w:instrText>
      </w:r>
      <w:r w:rsidRPr="00695C93">
        <w:fldChar w:fldCharType="end"/>
      </w:r>
      <w:r w:rsidRPr="00695C93">
        <w:instrText xml:space="preserve"> </w:instrText>
      </w:r>
      <w:r w:rsidRPr="00695C93">
        <w:fldChar w:fldCharType="separate"/>
      </w:r>
      <w:r w:rsidR="00520F9E">
        <w:rPr>
          <w:noProof/>
        </w:rPr>
        <w:instrText>5</w:instrText>
      </w:r>
      <w:r w:rsidRPr="00695C93">
        <w:fldChar w:fldCharType="end"/>
      </w:r>
      <w:r w:rsidRPr="00695C93">
        <w:instrText xml:space="preserve">" "" </w:instrText>
      </w:r>
      <w:r w:rsidRPr="00695C93">
        <w:fldChar w:fldCharType="separate"/>
      </w:r>
      <w:bookmarkStart w:id="8435" w:name="_Caption0561"/>
      <w:bookmarkStart w:id="8436" w:name="_Caption8637"/>
      <w:bookmarkStart w:id="8437" w:name="_Caption7123"/>
      <w:bookmarkStart w:id="8438" w:name="_Caption9417"/>
      <w:bookmarkStart w:id="8439" w:name="_Caption0129"/>
      <w:bookmarkStart w:id="8440" w:name="_Caption7118"/>
      <w:bookmarkStart w:id="8441" w:name="_Caption0109"/>
      <w:bookmarkStart w:id="8442" w:name="_Caption1591"/>
      <w:bookmarkStart w:id="8443" w:name="_Caption1649"/>
      <w:bookmarkStart w:id="8444" w:name="_Caption8388"/>
      <w:bookmarkStart w:id="8445" w:name="_Caption0032"/>
      <w:bookmarkStart w:id="8446" w:name="_Caption9617"/>
      <w:bookmarkStart w:id="8447" w:name="_Caption4728"/>
      <w:bookmarkStart w:id="8448" w:name="_Caption0629"/>
      <w:bookmarkStart w:id="8449" w:name="_Caption5154"/>
      <w:bookmarkStart w:id="8450" w:name="_Caption2039"/>
      <w:bookmarkStart w:id="8451" w:name="_Caption0177"/>
      <w:bookmarkStart w:id="8452" w:name="_Caption1113"/>
      <w:bookmarkStart w:id="8453" w:name="_Caption8606"/>
      <w:bookmarkStart w:id="8454" w:name="_Caption0846"/>
      <w:bookmarkStart w:id="8455" w:name="_Caption5424"/>
      <w:bookmarkStart w:id="8456" w:name="_Caption8837"/>
      <w:bookmarkStart w:id="8457" w:name="_Caption2186"/>
      <w:bookmarkStart w:id="8458" w:name="_Caption6044"/>
      <w:bookmarkStart w:id="8459" w:name="_Caption0758"/>
      <w:bookmarkStart w:id="8460" w:name="_Caption6008"/>
      <w:bookmarkStart w:id="8461" w:name="_Caption7974"/>
      <w:bookmarkStart w:id="8462" w:name="_Caption1326"/>
      <w:bookmarkStart w:id="8463" w:name="_Caption3800"/>
      <w:bookmarkStart w:id="8464" w:name="_Caption7353"/>
      <w:bookmarkStart w:id="8465" w:name="_Caption5289"/>
      <w:bookmarkStart w:id="8466" w:name="_Caption2025"/>
      <w:bookmarkStart w:id="8467" w:name="_Caption8014"/>
      <w:bookmarkStart w:id="8468" w:name="_Caption8528"/>
      <w:bookmarkStart w:id="8469" w:name="_Caption5727"/>
      <w:bookmarkStart w:id="8470" w:name="_Caption6435"/>
      <w:bookmarkStart w:id="8471" w:name="_Caption6138"/>
      <w:bookmarkStart w:id="8472" w:name="_Caption7102"/>
      <w:bookmarkStart w:id="8473" w:name="_Caption2478"/>
      <w:bookmarkStart w:id="8474" w:name="_Caption6577"/>
      <w:bookmarkStart w:id="8475" w:name="_Caption7746"/>
      <w:bookmarkStart w:id="8476" w:name="_Caption3918"/>
      <w:bookmarkStart w:id="8477" w:name="_Caption7031"/>
      <w:bookmarkStart w:id="8478" w:name="_Caption9693"/>
      <w:bookmarkStart w:id="8479" w:name="_Caption5421"/>
      <w:bookmarkStart w:id="8480" w:name="_Caption1599"/>
      <w:bookmarkStart w:id="8481" w:name="_Caption0114"/>
      <w:bookmarkStart w:id="8482" w:name="_Caption4948"/>
      <w:bookmarkStart w:id="8483" w:name="_Caption1503"/>
      <w:bookmarkStart w:id="8484" w:name="_Caption8737"/>
      <w:bookmarkStart w:id="8485" w:name="_Caption2367"/>
      <w:bookmarkStart w:id="8486" w:name="_Caption3388"/>
      <w:bookmarkStart w:id="8487" w:name="_Caption8772"/>
      <w:bookmarkStart w:id="8488" w:name="_Caption9772"/>
      <w:bookmarkStart w:id="8489" w:name="_Caption0251"/>
      <w:bookmarkStart w:id="8490" w:name="_Caption9522"/>
      <w:bookmarkStart w:id="8491" w:name="_Caption4882"/>
      <w:bookmarkStart w:id="8492" w:name="_Caption8777"/>
      <w:bookmarkStart w:id="8493" w:name="_Caption3865"/>
      <w:bookmarkStart w:id="8494" w:name="_Caption1314"/>
      <w:bookmarkStart w:id="8495" w:name="_Caption6170"/>
      <w:bookmarkStart w:id="8496" w:name="_Caption1307"/>
      <w:bookmarkStart w:id="8497" w:name="_Caption1420"/>
      <w:bookmarkStart w:id="8498" w:name="_Caption9146"/>
      <w:bookmarkStart w:id="8499" w:name="_Caption4704"/>
      <w:bookmarkStart w:id="8500" w:name="_Caption8723"/>
      <w:bookmarkStart w:id="8501" w:name="_Toc178292671"/>
      <w:r w:rsidR="008C60A3">
        <w:rPr>
          <w:noProof/>
        </w:rPr>
        <w:t>D</w:t>
      </w:r>
      <w:r w:rsidR="008C60A3" w:rsidRPr="00695C93">
        <w:rPr>
          <w:noProof/>
        </w:rPr>
        <w:t>.</w:t>
      </w:r>
      <w:r w:rsidR="008C60A3">
        <w:rPr>
          <w:noProof/>
        </w:rPr>
        <w:t>5</w:t>
      </w:r>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r w:rsidRPr="00695C93">
        <w:fldChar w:fldCharType="end"/>
      </w:r>
      <w:r w:rsidRPr="00695C93">
        <w:tab/>
      </w:r>
      <w:r w:rsidRPr="00E432D5">
        <w:t>Relationship between NABERS energy rating and thermal comfort score</w:t>
      </w:r>
      <w:bookmarkEnd w:id="8501"/>
    </w:p>
    <w:p w14:paraId="0ABCA79E" w14:textId="77777777" w:rsidR="00B54010" w:rsidRPr="00CC168A" w:rsidRDefault="00B54010" w:rsidP="00B54010">
      <w:pPr>
        <w:pStyle w:val="Subtitlebox"/>
      </w:pPr>
      <w:r w:rsidRPr="00D906BD">
        <w:rPr>
          <w:noProof/>
        </w:rPr>
        <w:drawing>
          <wp:inline distT="0" distB="0" distL="0" distR="0" wp14:anchorId="23F79C9E" wp14:editId="2F29470A">
            <wp:extent cx="4922520" cy="2529205"/>
            <wp:effectExtent l="76200" t="76200" r="68580" b="80645"/>
            <wp:docPr id="267802104" name="Picture 267802104" descr="Chart D.5 - Relationship between NABERS energy rating and thermal comfort s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802104" name="Picture 267802104" descr="Chart D.5 - Relationship between NABERS energy rating and thermal comfort score"/>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4922520" cy="2529205"/>
                    </a:xfrm>
                    <a:prstGeom prst="rect">
                      <a:avLst/>
                    </a:prstGeom>
                    <a:noFill/>
                    <a:ln w="76200">
                      <a:solidFill>
                        <a:schemeClr val="bg2"/>
                      </a:solidFill>
                    </a:ln>
                  </pic:spPr>
                </pic:pic>
              </a:graphicData>
            </a:graphic>
          </wp:inline>
        </w:drawing>
      </w:r>
    </w:p>
    <w:p w14:paraId="02771D1D" w14:textId="77777777" w:rsidR="00B54010" w:rsidRDefault="00B54010" w:rsidP="00B54010">
      <w:pPr>
        <w:pStyle w:val="Source"/>
      </w:pPr>
      <w:r>
        <w:rPr>
          <w:i/>
        </w:rPr>
        <w:t>Data source</w:t>
      </w:r>
      <w:r w:rsidRPr="00A67576">
        <w:rPr>
          <w:i/>
        </w:rPr>
        <w:t>:</w:t>
      </w:r>
      <w:r>
        <w:t xml:space="preserve"> CIE based on NABERS database.</w:t>
      </w:r>
    </w:p>
    <w:p w14:paraId="2EA4844E" w14:textId="77777777" w:rsidR="00B54010" w:rsidRPr="00844A6E" w:rsidRDefault="00B54010" w:rsidP="00B54010">
      <w:pPr>
        <w:pStyle w:val="BodyText"/>
        <w:rPr>
          <w:szCs w:val="22"/>
        </w:rPr>
      </w:pPr>
      <w:r w:rsidRPr="00844A6E">
        <w:rPr>
          <w:szCs w:val="22"/>
        </w:rPr>
        <w:t>One caveat here is that there are few buildings with a NABERS Energy rating of less than 4 stars in the dataset. This implies that the weak relationship may be more relevant to the higher-rated buildings rather than lower-rated buildings. There is some evidence to suggest that for low</w:t>
      </w:r>
      <w:r w:rsidRPr="00844A6E">
        <w:rPr>
          <w:szCs w:val="22"/>
        </w:rPr>
        <w:noBreakHyphen/>
        <w:t>rated buildings, improvements in the NABERS Energy star rating are associated with increased thermal comfort.</w:t>
      </w:r>
      <w:r w:rsidRPr="00844A6E">
        <w:rPr>
          <w:rStyle w:val="FootnoteReference"/>
          <w:sz w:val="22"/>
          <w:szCs w:val="22"/>
        </w:rPr>
        <w:footnoteReference w:id="209"/>
      </w:r>
    </w:p>
    <w:p w14:paraId="50405B4B" w14:textId="09A69FEB" w:rsidR="00D24C7F" w:rsidRDefault="00B54010" w:rsidP="00D24C7F">
      <w:pPr>
        <w:pStyle w:val="BodyText"/>
        <w:rPr>
          <w:lang w:bidi="fa-IR"/>
        </w:rPr>
      </w:pPr>
      <w:r w:rsidRPr="00844A6E">
        <w:rPr>
          <w:szCs w:val="22"/>
        </w:rPr>
        <w:t>Furthermore, the NABERS IEQ tool has two thermal comfort methodologies. One of these methodologies is only available to buildings with annual tracking and storing of temperature data. The thermal comfort score may be artificially low for buildings that do not store their annual temperature data. This may partly explain the weak relationship between the NABERS Energy rating and the thermal comfort score.</w:t>
      </w:r>
    </w:p>
    <w:p w14:paraId="4FFB1B12" w14:textId="77777777" w:rsidR="00D24C7F" w:rsidRDefault="00D24C7F" w:rsidP="00D24C7F">
      <w:pPr>
        <w:pStyle w:val="Heading6"/>
        <w:rPr>
          <w:lang w:bidi="fa-IR"/>
        </w:rPr>
      </w:pPr>
      <w:bookmarkStart w:id="8502" w:name="_Ref148989339"/>
      <w:bookmarkStart w:id="8503" w:name="_Toc149060079"/>
      <w:bookmarkStart w:id="8504" w:name="_Toc177735125"/>
      <w:bookmarkStart w:id="8505" w:name="_Toc178292560"/>
      <w:r>
        <w:rPr>
          <w:rFonts w:eastAsia="SimSun"/>
          <w:lang w:bidi="fa-IR"/>
        </w:rPr>
        <w:t>Impact of EV charging facilities</w:t>
      </w:r>
      <w:bookmarkEnd w:id="8502"/>
      <w:bookmarkEnd w:id="8503"/>
      <w:bookmarkEnd w:id="8504"/>
      <w:bookmarkEnd w:id="8505"/>
    </w:p>
    <w:p w14:paraId="6F4A5EAC" w14:textId="77777777" w:rsidR="00D24C7F" w:rsidRDefault="00D24C7F" w:rsidP="00D24C7F">
      <w:pPr>
        <w:pStyle w:val="BodyText"/>
        <w:rPr>
          <w:lang w:bidi="fa-IR"/>
        </w:rPr>
      </w:pPr>
      <w:r>
        <w:rPr>
          <w:lang w:bidi="fa-IR"/>
        </w:rPr>
        <w:t>A requirement to provide EV charging infrastructure at commercial buildings may increase or bring forward the provision of such charging infrastructure relative to the base case. Demand for EVs themselves may be increased as a result (due to network effects). Increased market share for EVs relative to internal combustion vehicles will result in fewer carbon emissions in Australia, a trend that will accelerate as electricity generation is decarbonised. This reduction in emissions may increase the likelihood that Australia will meet its obligations under international agreements to successfully reduce global emissions, resulting in mitigation of climate change. This is a positive externality from the provision of EV charging infrastructure at commercial buildings.</w:t>
      </w:r>
    </w:p>
    <w:p w14:paraId="131EE439" w14:textId="77777777" w:rsidR="00D24C7F" w:rsidRDefault="00D24C7F" w:rsidP="00D24C7F">
      <w:pPr>
        <w:pStyle w:val="BodyText"/>
        <w:rPr>
          <w:lang w:bidi="fa-IR"/>
        </w:rPr>
      </w:pPr>
      <w:r>
        <w:rPr>
          <w:lang w:bidi="fa-IR"/>
        </w:rPr>
        <w:t>The question of whether the requirement to provide charging infrastructure is worthwhile will come down to whether the cost is higher than the forecast value of emissions reduction (using a SCC) or the marginal cost of achieving the abatement another way. Some authors have argued that subsidising charging infrastructure has a greater impact on EV adoption than subsiding EVs themselves and results in fewer distortions.</w:t>
      </w:r>
      <w:r>
        <w:rPr>
          <w:rStyle w:val="FootnoteReference"/>
          <w:lang w:bidi="fa-IR"/>
        </w:rPr>
        <w:footnoteReference w:id="210"/>
      </w:r>
      <w:r w:rsidRPr="00C35CCC">
        <w:rPr>
          <w:vertAlign w:val="superscript"/>
          <w:lang w:bidi="fa-IR"/>
        </w:rPr>
        <w:t>,</w:t>
      </w:r>
      <w:r>
        <w:rPr>
          <w:vertAlign w:val="superscript"/>
          <w:lang w:bidi="fa-IR"/>
        </w:rPr>
        <w:t xml:space="preserve"> </w:t>
      </w:r>
      <w:r>
        <w:rPr>
          <w:rStyle w:val="FootnoteReference"/>
          <w:lang w:bidi="fa-IR"/>
        </w:rPr>
        <w:footnoteReference w:id="211"/>
      </w:r>
    </w:p>
    <w:p w14:paraId="23261C60" w14:textId="77777777" w:rsidR="00D24C7F" w:rsidRDefault="00D24C7F" w:rsidP="00D24C7F">
      <w:pPr>
        <w:pStyle w:val="BodyText"/>
        <w:rPr>
          <w:lang w:bidi="fa-IR"/>
        </w:rPr>
      </w:pPr>
      <w:r>
        <w:rPr>
          <w:lang w:bidi="fa-IR"/>
        </w:rPr>
        <w:t>The costs and benefits of the proposed NCC requirements would be measured relative to a base case scenario without changes to the Code.</w:t>
      </w:r>
    </w:p>
    <w:p w14:paraId="081B5529" w14:textId="77777777" w:rsidR="00D24C7F" w:rsidRDefault="00D24C7F" w:rsidP="00D24C7F">
      <w:pPr>
        <w:pStyle w:val="BodyText"/>
        <w:rPr>
          <w:lang w:bidi="fa-IR"/>
        </w:rPr>
      </w:pPr>
      <w:r>
        <w:rPr>
          <w:lang w:bidi="fa-IR"/>
        </w:rPr>
        <w:t>In each year, benefits will be measured as:</w:t>
      </w:r>
    </w:p>
    <w:p w14:paraId="1B9EC7E9" w14:textId="77777777" w:rsidR="00D24C7F" w:rsidRDefault="00D24C7F" w:rsidP="00D24C7F">
      <w:pPr>
        <w:pStyle w:val="ListBullet"/>
        <w:tabs>
          <w:tab w:val="num" w:pos="709"/>
        </w:tabs>
        <w:rPr>
          <w:lang w:bidi="fa-IR"/>
        </w:rPr>
      </w:pPr>
      <w:r>
        <w:rPr>
          <w:lang w:bidi="fa-IR"/>
        </w:rPr>
        <w:t xml:space="preserve">the use value </w:t>
      </w:r>
      <w:r w:rsidRPr="00E02987">
        <w:rPr>
          <w:lang w:bidi="fa-IR"/>
        </w:rPr>
        <w:t>placed</w:t>
      </w:r>
      <w:r>
        <w:rPr>
          <w:lang w:bidi="fa-IR"/>
        </w:rPr>
        <w:t xml:space="preserve"> on additional charging infrastructure.</w:t>
      </w:r>
    </w:p>
    <w:p w14:paraId="3567EA18" w14:textId="6FD6D3A3" w:rsidR="00D24C7F" w:rsidRDefault="00D24C7F" w:rsidP="00D24C7F">
      <w:pPr>
        <w:pStyle w:val="ListBullet"/>
        <w:numPr>
          <w:ilvl w:val="1"/>
          <w:numId w:val="34"/>
        </w:numPr>
        <w:rPr>
          <w:lang w:bidi="fa-IR"/>
        </w:rPr>
      </w:pPr>
      <w:r>
        <w:rPr>
          <w:lang w:bidi="fa-IR"/>
        </w:rPr>
        <w:t xml:space="preserve">Base case EV </w:t>
      </w:r>
      <w:r w:rsidRPr="00E02987">
        <w:t>user</w:t>
      </w:r>
      <w:r>
        <w:rPr>
          <w:lang w:bidi="fa-IR"/>
        </w:rPr>
        <w:t xml:space="preserve"> willingness to pay (WTP) for improved availability/charge times (Area A in figure </w:t>
      </w:r>
      <w:r w:rsidR="00CD0272">
        <w:rPr>
          <w:lang w:bidi="fa-IR"/>
        </w:rPr>
        <w:t>E.1</w:t>
      </w:r>
      <w:r>
        <w:rPr>
          <w:lang w:bidi="fa-IR"/>
        </w:rPr>
        <w:t>),</w:t>
      </w:r>
      <w:r>
        <w:rPr>
          <w:rStyle w:val="FootnoteReference"/>
          <w:lang w:bidi="fa-IR"/>
        </w:rPr>
        <w:footnoteReference w:id="212"/>
      </w:r>
      <w:r>
        <w:rPr>
          <w:lang w:bidi="fa-IR"/>
        </w:rPr>
        <w:t xml:space="preserve"> plus</w:t>
      </w:r>
    </w:p>
    <w:p w14:paraId="6E8C7A40" w14:textId="448533D7" w:rsidR="00D24C7F" w:rsidRDefault="00D24C7F" w:rsidP="00D24C7F">
      <w:pPr>
        <w:pStyle w:val="ListBullet"/>
        <w:numPr>
          <w:ilvl w:val="1"/>
          <w:numId w:val="34"/>
        </w:numPr>
        <w:rPr>
          <w:lang w:bidi="fa-IR"/>
        </w:rPr>
      </w:pPr>
      <w:r>
        <w:rPr>
          <w:lang w:bidi="fa-IR"/>
        </w:rPr>
        <w:t xml:space="preserve">A </w:t>
      </w:r>
      <w:r w:rsidRPr="00E02987">
        <w:t>proportion</w:t>
      </w:r>
      <w:r>
        <w:rPr>
          <w:lang w:bidi="fa-IR"/>
        </w:rPr>
        <w:t xml:space="preserve"> (typically half) of the same WTP for users switching from conventional to EV between the base case and change scenarios (Area B in figure </w:t>
      </w:r>
      <w:r w:rsidR="00CD0272">
        <w:rPr>
          <w:lang w:bidi="fa-IR"/>
        </w:rPr>
        <w:t>E.1</w:t>
      </w:r>
      <w:r>
        <w:rPr>
          <w:lang w:bidi="fa-IR"/>
        </w:rPr>
        <w:t>, which is around half the area of B+C)</w:t>
      </w:r>
    </w:p>
    <w:p w14:paraId="1E3AD9CB" w14:textId="25C041C6" w:rsidR="00D24C7F" w:rsidRDefault="00D24C7F" w:rsidP="00D24C7F">
      <w:pPr>
        <w:pStyle w:val="ListBullet"/>
        <w:tabs>
          <w:tab w:val="num" w:pos="709"/>
        </w:tabs>
        <w:rPr>
          <w:lang w:bidi="fa-IR"/>
        </w:rPr>
      </w:pPr>
      <w:r>
        <w:rPr>
          <w:lang w:bidi="fa-IR"/>
        </w:rPr>
        <w:t xml:space="preserve">the value of avoided emissions, which results from the increased market share for </w:t>
      </w:r>
      <w:r w:rsidR="00B97871">
        <w:rPr>
          <w:lang w:bidi="fa-IR"/>
        </w:rPr>
        <w:t>EV</w:t>
      </w:r>
      <w:r>
        <w:rPr>
          <w:lang w:bidi="fa-IR"/>
        </w:rPr>
        <w:t>s and reduced market share for conventional vehicles.</w:t>
      </w:r>
    </w:p>
    <w:p w14:paraId="52C213FE" w14:textId="0F27CBFD" w:rsidR="00D24C7F" w:rsidRPr="005E5FA8" w:rsidRDefault="00D24C7F" w:rsidP="00CA0DBC">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E</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4</w:instrText>
        </w:r>
      </w:fldSimple>
      <w:r w:rsidRPr="005E5FA8">
        <w:instrText xml:space="preserve"> = 0 "" "</w:instrText>
      </w:r>
      <w:fldSimple w:instr=" STYLEREF &quot;Heading 1&quot; \l \n ">
        <w:r w:rsidRPr="005E5FA8">
          <w:instrText>4</w:instrText>
        </w:r>
      </w:fldSimple>
      <w:r w:rsidRPr="005E5FA8">
        <w:instrText xml:space="preserve">." </w:instrText>
      </w:r>
      <w:r w:rsidRPr="005E5FA8">
        <w:fldChar w:fldCharType="separate"/>
      </w:r>
      <w:r w:rsidRPr="005E5FA8">
        <w:instrText>4.</w:instrText>
      </w:r>
      <w:r w:rsidRPr="005E5FA8">
        <w:fldChar w:fldCharType="end"/>
      </w:r>
      <w:r w:rsidRPr="005E5FA8">
        <w:instrText>" "</w:instrText>
      </w:r>
      <w:fldSimple w:instr=" STYLEREF &quot;Heading 6&quot; \l \n ">
        <w:r w:rsidR="00581346">
          <w:rPr>
            <w:noProof/>
          </w:rPr>
          <w:instrText>E</w:instrText>
        </w:r>
      </w:fldSimple>
      <w:r w:rsidRPr="005E5FA8">
        <w:instrText xml:space="preserve">." </w:instrText>
      </w:r>
      <w:r w:rsidRPr="005E5FA8">
        <w:fldChar w:fldCharType="separate"/>
      </w:r>
      <w:r w:rsidR="00581346">
        <w:rPr>
          <w:noProof/>
        </w:rPr>
        <w:instrText>E</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E</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4</w:instrText>
        </w:r>
      </w:fldSimple>
      <w:r w:rsidRPr="005E5FA8">
        <w:instrText xml:space="preserve"> = 0 "" "1" </w:instrText>
      </w:r>
      <w:r w:rsidRPr="005E5FA8">
        <w:fldChar w:fldCharType="separate"/>
      </w:r>
      <w:r w:rsidRPr="005E5FA8">
        <w:instrText>1</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1</w:instrText>
      </w:r>
      <w:r w:rsidRPr="005E5FA8">
        <w:fldChar w:fldCharType="end"/>
      </w:r>
      <w:r w:rsidRPr="005E5FA8">
        <w:instrText xml:space="preserve">" "" </w:instrText>
      </w:r>
      <w:r w:rsidRPr="005E5FA8">
        <w:fldChar w:fldCharType="separate"/>
      </w:r>
      <w:bookmarkStart w:id="8506" w:name="_Caption8034"/>
      <w:bookmarkStart w:id="8507" w:name="_Caption1910"/>
      <w:bookmarkStart w:id="8508" w:name="_Caption2194"/>
      <w:bookmarkStart w:id="8509" w:name="_Caption8157"/>
      <w:bookmarkStart w:id="8510" w:name="_Caption6301"/>
      <w:bookmarkStart w:id="8511" w:name="_Caption5062"/>
      <w:bookmarkStart w:id="8512" w:name="_Caption9633"/>
      <w:bookmarkStart w:id="8513" w:name="_Caption6686"/>
      <w:bookmarkStart w:id="8514" w:name="_Caption8300"/>
      <w:bookmarkStart w:id="8515" w:name="_Caption4978"/>
      <w:bookmarkStart w:id="8516" w:name="_Caption2455"/>
      <w:bookmarkStart w:id="8517" w:name="_Caption0667"/>
      <w:bookmarkStart w:id="8518" w:name="_Caption7326"/>
      <w:bookmarkStart w:id="8519" w:name="_Caption6380"/>
      <w:bookmarkStart w:id="8520" w:name="_Caption1548"/>
      <w:bookmarkStart w:id="8521" w:name="_Caption1096"/>
      <w:bookmarkStart w:id="8522" w:name="_Caption7376"/>
      <w:bookmarkStart w:id="8523" w:name="_Caption9857"/>
      <w:bookmarkStart w:id="8524" w:name="_Caption5512"/>
      <w:bookmarkStart w:id="8525" w:name="_Caption8382"/>
      <w:bookmarkStart w:id="8526" w:name="_Caption3740"/>
      <w:bookmarkStart w:id="8527" w:name="_Caption9836"/>
      <w:bookmarkStart w:id="8528" w:name="_Caption1285"/>
      <w:bookmarkStart w:id="8529" w:name="_Caption5663"/>
      <w:bookmarkStart w:id="8530" w:name="_Caption3081"/>
      <w:bookmarkStart w:id="8531" w:name="_Caption9435"/>
      <w:bookmarkStart w:id="8532" w:name="_Caption8828"/>
      <w:bookmarkStart w:id="8533" w:name="_Caption6965"/>
      <w:bookmarkStart w:id="8534" w:name="_Caption7448"/>
      <w:bookmarkStart w:id="8535" w:name="_Caption4483"/>
      <w:bookmarkStart w:id="8536" w:name="_Caption9197"/>
      <w:bookmarkStart w:id="8537" w:name="_Caption5983"/>
      <w:bookmarkStart w:id="8538" w:name="_Caption6019"/>
      <w:bookmarkStart w:id="8539" w:name="_Caption0397"/>
      <w:bookmarkStart w:id="8540" w:name="_Caption1089"/>
      <w:bookmarkStart w:id="8541" w:name="_Caption6447"/>
      <w:bookmarkStart w:id="8542" w:name="_Caption8529"/>
      <w:bookmarkStart w:id="8543" w:name="_Caption5715"/>
      <w:bookmarkStart w:id="8544" w:name="_Caption8697"/>
      <w:bookmarkStart w:id="8545" w:name="_Caption4296"/>
      <w:bookmarkStart w:id="8546" w:name="_Caption9973"/>
      <w:bookmarkStart w:id="8547" w:name="_Caption5406"/>
      <w:bookmarkStart w:id="8548" w:name="_Caption8167"/>
      <w:bookmarkStart w:id="8549" w:name="_Caption8508"/>
      <w:bookmarkStart w:id="8550" w:name="_Caption0406"/>
      <w:bookmarkStart w:id="8551" w:name="_Caption8374"/>
      <w:bookmarkStart w:id="8552" w:name="_Caption8787"/>
      <w:bookmarkStart w:id="8553" w:name="_Caption8642"/>
      <w:bookmarkStart w:id="8554" w:name="_Caption7363"/>
      <w:bookmarkStart w:id="8555" w:name="_Caption5891"/>
      <w:bookmarkStart w:id="8556" w:name="_Caption6450"/>
      <w:bookmarkStart w:id="8557" w:name="_Caption6270"/>
      <w:bookmarkStart w:id="8558" w:name="_Caption9362"/>
      <w:bookmarkStart w:id="8559" w:name="_Caption6620"/>
      <w:bookmarkStart w:id="8560" w:name="_Caption1416"/>
      <w:bookmarkStart w:id="8561" w:name="_Caption6534"/>
      <w:bookmarkStart w:id="8562" w:name="_Caption9573"/>
      <w:bookmarkStart w:id="8563" w:name="_Caption6574"/>
      <w:bookmarkStart w:id="8564" w:name="_Caption9535"/>
      <w:bookmarkStart w:id="8565" w:name="_Caption7966"/>
      <w:bookmarkStart w:id="8566" w:name="_Caption8588"/>
      <w:bookmarkStart w:id="8567" w:name="_Caption0386"/>
      <w:bookmarkStart w:id="8568" w:name="_Caption3783"/>
      <w:bookmarkStart w:id="8569" w:name="_Caption8930"/>
      <w:bookmarkStart w:id="8570" w:name="_Caption6294"/>
      <w:bookmarkStart w:id="8571" w:name="_Caption9000"/>
      <w:bookmarkStart w:id="8572" w:name="_Caption4619"/>
      <w:bookmarkStart w:id="8573" w:name="_Caption3099"/>
      <w:bookmarkStart w:id="8574" w:name="_Caption6825"/>
      <w:bookmarkStart w:id="8575" w:name="_Caption3891"/>
      <w:bookmarkStart w:id="8576" w:name="_Caption3248"/>
      <w:bookmarkStart w:id="8577" w:name="_Caption3848"/>
      <w:bookmarkStart w:id="8578" w:name="_Caption2934"/>
      <w:bookmarkStart w:id="8579" w:name="_Caption3091"/>
      <w:bookmarkStart w:id="8580" w:name="_Toc136527081"/>
      <w:bookmarkStart w:id="8581" w:name="_Toc149060102"/>
      <w:bookmarkStart w:id="8582" w:name="_Toc177735230"/>
      <w:bookmarkStart w:id="8583" w:name="_Toc178292672"/>
      <w:r w:rsidR="008C60A3">
        <w:rPr>
          <w:noProof/>
        </w:rPr>
        <w:t>E</w:t>
      </w:r>
      <w:r w:rsidR="008C60A3" w:rsidRPr="005E5FA8">
        <w:rPr>
          <w:noProof/>
        </w:rPr>
        <w:t>.</w:t>
      </w:r>
      <w:r w:rsidR="008C60A3">
        <w:rPr>
          <w:noProof/>
        </w:rPr>
        <w:t>1</w:t>
      </w:r>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r w:rsidRPr="005E5FA8">
        <w:fldChar w:fldCharType="end"/>
      </w:r>
      <w:r w:rsidRPr="005E5FA8">
        <w:tab/>
        <w:t>Market for electric vehicles</w:t>
      </w:r>
      <w:bookmarkEnd w:id="8580"/>
      <w:bookmarkEnd w:id="8581"/>
      <w:bookmarkEnd w:id="8582"/>
      <w:bookmarkEnd w:id="8583"/>
    </w:p>
    <w:p w14:paraId="7A85C98B" w14:textId="77777777" w:rsidR="00D24C7F" w:rsidRPr="00077D42" w:rsidRDefault="00D24C7F" w:rsidP="00D24C7F">
      <w:pPr>
        <w:pStyle w:val="Subtitlebox"/>
        <w:spacing w:before="120" w:after="120"/>
      </w:pPr>
      <w:r>
        <w:rPr>
          <w:noProof/>
        </w:rPr>
        <w:drawing>
          <wp:inline distT="0" distB="0" distL="0" distR="0" wp14:anchorId="1ADFE29B" wp14:editId="6E712C44">
            <wp:extent cx="4943475" cy="3238500"/>
            <wp:effectExtent l="57150" t="57150" r="66675" b="57150"/>
            <wp:docPr id="1601253601" name="Picture 1601253601" descr="Chart E.1 - Supply and demand diagram depicting the market for electric vehicles.&#10;An increase in the availability of charging facilities will shift the demand curve for electric vehicles, resulting in an increase in sales and a benefit to consumers (i.e. an increase in consumer surp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253601" name="Picture 1601253601" descr="Chart E.1 - Supply and demand diagram depicting the market for electric vehicles.&#10;An increase in the availability of charging facilities will shift the demand curve for electric vehicles, resulting in an increase in sales and a benefit to consumers (i.e. an increase in consumer surplus)."/>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l="-12134" t="-3445" r="-16393" b="-3066"/>
                    <a:stretch/>
                  </pic:blipFill>
                  <pic:spPr bwMode="auto">
                    <a:xfrm>
                      <a:off x="0" y="0"/>
                      <a:ext cx="4996544" cy="3273266"/>
                    </a:xfrm>
                    <a:prstGeom prst="rect">
                      <a:avLst/>
                    </a:prstGeom>
                    <a:noFill/>
                    <a:ln w="57150">
                      <a:solidFill>
                        <a:schemeClr val="bg2"/>
                      </a:solidFill>
                    </a:ln>
                    <a:extLst>
                      <a:ext uri="{53640926-AAD7-44D8-BBD7-CCE9431645EC}">
                        <a14:shadowObscured xmlns:a14="http://schemas.microsoft.com/office/drawing/2010/main"/>
                      </a:ext>
                    </a:extLst>
                  </pic:spPr>
                </pic:pic>
              </a:graphicData>
            </a:graphic>
          </wp:inline>
        </w:drawing>
      </w:r>
    </w:p>
    <w:p w14:paraId="7991C444" w14:textId="77777777" w:rsidR="00D24C7F" w:rsidRDefault="00D24C7F" w:rsidP="00D24C7F">
      <w:pPr>
        <w:pStyle w:val="Source"/>
      </w:pPr>
      <w:r>
        <w:rPr>
          <w:i/>
        </w:rPr>
        <w:t>Data source</w:t>
      </w:r>
      <w:r w:rsidRPr="00A67576">
        <w:rPr>
          <w:i/>
        </w:rPr>
        <w:t>:</w:t>
      </w:r>
      <w:r>
        <w:t xml:space="preserve"> CIE.</w:t>
      </w:r>
    </w:p>
    <w:p w14:paraId="68235EC2" w14:textId="77777777" w:rsidR="00D24C7F" w:rsidRDefault="00D24C7F" w:rsidP="00D24C7F">
      <w:pPr>
        <w:pStyle w:val="BodyText"/>
        <w:rPr>
          <w:lang w:bidi="fa-IR"/>
        </w:rPr>
      </w:pPr>
      <w:r>
        <w:rPr>
          <w:lang w:bidi="fa-IR"/>
        </w:rPr>
        <w:t xml:space="preserve">To calculate these benefits, we need to forecast, for both the baseline and change scenarios: </w:t>
      </w:r>
    </w:p>
    <w:p w14:paraId="2FF734A2" w14:textId="77777777" w:rsidR="00D24C7F" w:rsidRDefault="00D24C7F" w:rsidP="00D24C7F">
      <w:pPr>
        <w:pStyle w:val="ListBullet"/>
        <w:tabs>
          <w:tab w:val="num" w:pos="709"/>
        </w:tabs>
        <w:rPr>
          <w:lang w:bidi="fa-IR"/>
        </w:rPr>
      </w:pPr>
      <w:r>
        <w:rPr>
          <w:lang w:bidi="fa-IR"/>
        </w:rPr>
        <w:t xml:space="preserve">EV user WTP for </w:t>
      </w:r>
      <w:r w:rsidRPr="00E02987">
        <w:rPr>
          <w:lang w:bidi="fa-IR"/>
        </w:rPr>
        <w:t>charging</w:t>
      </w:r>
      <w:r>
        <w:rPr>
          <w:lang w:bidi="fa-IR"/>
        </w:rPr>
        <w:t xml:space="preserve"> infrastructure by vehicle type, which requires forecasts of:</w:t>
      </w:r>
    </w:p>
    <w:p w14:paraId="39AB03DE" w14:textId="77777777" w:rsidR="00D24C7F" w:rsidRPr="00E02987" w:rsidRDefault="00D24C7F" w:rsidP="00D24C7F">
      <w:pPr>
        <w:pStyle w:val="ListBullet"/>
        <w:numPr>
          <w:ilvl w:val="1"/>
          <w:numId w:val="34"/>
        </w:numPr>
      </w:pPr>
      <w:r w:rsidRPr="00E02987">
        <w:t>availability of charging infrastructure</w:t>
      </w:r>
    </w:p>
    <w:p w14:paraId="70C02D64" w14:textId="77777777" w:rsidR="00D24C7F" w:rsidRPr="00E02987" w:rsidRDefault="00D24C7F" w:rsidP="00D24C7F">
      <w:pPr>
        <w:pStyle w:val="ListBullet"/>
        <w:numPr>
          <w:ilvl w:val="1"/>
          <w:numId w:val="34"/>
        </w:numPr>
      </w:pPr>
      <w:r w:rsidRPr="00E02987">
        <w:t>charge time at charging infrastructure, and</w:t>
      </w:r>
    </w:p>
    <w:p w14:paraId="179A5C0D" w14:textId="77777777" w:rsidR="00D24C7F" w:rsidRDefault="00D24C7F" w:rsidP="00D24C7F">
      <w:pPr>
        <w:pStyle w:val="ListBullet"/>
        <w:numPr>
          <w:ilvl w:val="1"/>
          <w:numId w:val="34"/>
        </w:numPr>
        <w:rPr>
          <w:lang w:bidi="fa-IR"/>
        </w:rPr>
      </w:pPr>
      <w:r w:rsidRPr="00E02987">
        <w:t>EV battery range</w:t>
      </w:r>
      <w:r>
        <w:rPr>
          <w:lang w:bidi="fa-IR"/>
        </w:rPr>
        <w:t xml:space="preserve"> by vehicle type</w:t>
      </w:r>
    </w:p>
    <w:p w14:paraId="17CA28FB" w14:textId="77777777" w:rsidR="00D24C7F" w:rsidRPr="00E02987" w:rsidRDefault="00D24C7F" w:rsidP="00D24C7F">
      <w:pPr>
        <w:pStyle w:val="ListBullet"/>
        <w:tabs>
          <w:tab w:val="num" w:pos="709"/>
        </w:tabs>
        <w:rPr>
          <w:lang w:bidi="fa-IR"/>
        </w:rPr>
      </w:pPr>
      <w:r>
        <w:rPr>
          <w:lang w:bidi="fa-IR"/>
        </w:rPr>
        <w:t xml:space="preserve">EV market share/number of </w:t>
      </w:r>
      <w:r w:rsidRPr="00E02987">
        <w:rPr>
          <w:lang w:bidi="fa-IR"/>
        </w:rPr>
        <w:t>users by vehicle type</w:t>
      </w:r>
    </w:p>
    <w:p w14:paraId="4192D8E2" w14:textId="77777777" w:rsidR="00D24C7F" w:rsidRPr="00E02987" w:rsidRDefault="00D24C7F" w:rsidP="00D24C7F">
      <w:pPr>
        <w:pStyle w:val="ListBullet"/>
        <w:tabs>
          <w:tab w:val="num" w:pos="709"/>
        </w:tabs>
        <w:rPr>
          <w:lang w:bidi="fa-IR"/>
        </w:rPr>
      </w:pPr>
      <w:r w:rsidRPr="00E02987">
        <w:rPr>
          <w:lang w:bidi="fa-IR"/>
        </w:rPr>
        <w:t xml:space="preserve">emission intensity of conventional vehicles </w:t>
      </w:r>
    </w:p>
    <w:p w14:paraId="39973CAE" w14:textId="77777777" w:rsidR="00D24C7F" w:rsidRPr="00E02987" w:rsidRDefault="00D24C7F" w:rsidP="00D24C7F">
      <w:pPr>
        <w:pStyle w:val="ListBullet"/>
        <w:tabs>
          <w:tab w:val="num" w:pos="709"/>
        </w:tabs>
        <w:rPr>
          <w:lang w:bidi="fa-IR"/>
        </w:rPr>
      </w:pPr>
      <w:r w:rsidRPr="00E02987">
        <w:rPr>
          <w:lang w:bidi="fa-IR"/>
        </w:rPr>
        <w:t>emission intensity of EVs, and</w:t>
      </w:r>
    </w:p>
    <w:p w14:paraId="79FFAC3C" w14:textId="77777777" w:rsidR="00D24C7F" w:rsidRDefault="00D24C7F" w:rsidP="00D24C7F">
      <w:pPr>
        <w:pStyle w:val="ListBullet"/>
        <w:tabs>
          <w:tab w:val="num" w:pos="709"/>
        </w:tabs>
        <w:rPr>
          <w:lang w:bidi="fa-IR"/>
        </w:rPr>
      </w:pPr>
      <w:r w:rsidRPr="00E02987">
        <w:rPr>
          <w:lang w:bidi="fa-IR"/>
        </w:rPr>
        <w:t>the value of avoided emis</w:t>
      </w:r>
      <w:r>
        <w:rPr>
          <w:lang w:bidi="fa-IR"/>
        </w:rPr>
        <w:t>sions.</w:t>
      </w:r>
    </w:p>
    <w:p w14:paraId="607F6F82" w14:textId="77777777" w:rsidR="00D24C7F" w:rsidRDefault="00D24C7F" w:rsidP="00D24C7F">
      <w:pPr>
        <w:pStyle w:val="BodyText"/>
        <w:rPr>
          <w:lang w:bidi="fa-IR"/>
        </w:rPr>
      </w:pPr>
      <w:r>
        <w:rPr>
          <w:lang w:bidi="fa-IR"/>
        </w:rPr>
        <w:t>Our assumptions in relation to the baseline scenario will be consistent with commitments made in the National Electric Vehicle Strategy released in April 2023. Each of these items is discussed further below.</w:t>
      </w:r>
    </w:p>
    <w:p w14:paraId="13E5B5DB" w14:textId="77777777" w:rsidR="00D24C7F" w:rsidRDefault="00D24C7F" w:rsidP="00D24C7F">
      <w:pPr>
        <w:pStyle w:val="Heading7"/>
        <w:rPr>
          <w:lang w:bidi="fa-IR"/>
        </w:rPr>
      </w:pPr>
      <w:r>
        <w:rPr>
          <w:lang w:bidi="fa-IR"/>
        </w:rPr>
        <w:t>EV user willingness to pay</w:t>
      </w:r>
    </w:p>
    <w:p w14:paraId="6E7E4E0D" w14:textId="28CFE16B" w:rsidR="00D24C7F" w:rsidRPr="000528A5" w:rsidRDefault="00D24C7F" w:rsidP="00D24C7F">
      <w:pPr>
        <w:pStyle w:val="BodyText"/>
        <w:rPr>
          <w:lang w:bidi="fa-IR"/>
        </w:rPr>
      </w:pPr>
      <w:r>
        <w:rPr>
          <w:lang w:bidi="fa-IR"/>
        </w:rPr>
        <w:t>EV user WTP for additional charging infrastructure in the change scenarios relative to the baseline scenario will be estimated using the CIE’s 2019 choice modelling study conducted for Australian Automobile Association (AAA).</w:t>
      </w:r>
      <w:r>
        <w:rPr>
          <w:rStyle w:val="FootnoteReference"/>
          <w:lang w:bidi="fa-IR"/>
        </w:rPr>
        <w:footnoteReference w:id="213"/>
      </w:r>
      <w:r>
        <w:rPr>
          <w:lang w:bidi="fa-IR"/>
        </w:rPr>
        <w:t xml:space="preserve"> Estimates of average WTP per consumer in the vehicle purchase price (across all vehicle types) for improvements in charging time are set out in table </w:t>
      </w:r>
      <w:r w:rsidR="00CD0272">
        <w:rPr>
          <w:lang w:bidi="fa-IR"/>
        </w:rPr>
        <w:t>E.2</w:t>
      </w:r>
      <w:r>
        <w:rPr>
          <w:lang w:bidi="fa-IR"/>
        </w:rPr>
        <w:t>.</w:t>
      </w:r>
    </w:p>
    <w:p w14:paraId="7E852B1A" w14:textId="19D6613F" w:rsidR="00D24C7F" w:rsidRPr="005E5FA8" w:rsidRDefault="00D24C7F" w:rsidP="00CA0DBC">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E</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3</w:instrText>
        </w:r>
      </w:fldSimple>
      <w:r w:rsidRPr="005E5FA8">
        <w:instrText xml:space="preserve"> = 0 "" "</w:instrText>
      </w:r>
      <w:fldSimple w:instr=" STYLEREF &quot;Heading 1&quot; \l \n ">
        <w:r w:rsidRPr="005E5FA8">
          <w:instrText>3</w:instrText>
        </w:r>
      </w:fldSimple>
      <w:r w:rsidRPr="005E5FA8">
        <w:instrText xml:space="preserve">." </w:instrText>
      </w:r>
      <w:r w:rsidRPr="005E5FA8">
        <w:fldChar w:fldCharType="separate"/>
      </w:r>
      <w:r w:rsidRPr="005E5FA8">
        <w:instrText>3.</w:instrText>
      </w:r>
      <w:r w:rsidRPr="005E5FA8">
        <w:fldChar w:fldCharType="end"/>
      </w:r>
      <w:r w:rsidRPr="005E5FA8">
        <w:instrText>" "</w:instrText>
      </w:r>
      <w:fldSimple w:instr=" STYLEREF &quot;Heading 6&quot; \l \n ">
        <w:r w:rsidR="00581346">
          <w:rPr>
            <w:noProof/>
          </w:rPr>
          <w:instrText>E</w:instrText>
        </w:r>
      </w:fldSimple>
      <w:r w:rsidRPr="005E5FA8">
        <w:instrText xml:space="preserve">." </w:instrText>
      </w:r>
      <w:r w:rsidRPr="005E5FA8">
        <w:fldChar w:fldCharType="separate"/>
      </w:r>
      <w:r w:rsidR="00581346">
        <w:rPr>
          <w:noProof/>
        </w:rPr>
        <w:instrText>E</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E</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3</w:instrText>
        </w:r>
      </w:fldSimple>
      <w:r w:rsidRPr="005E5FA8">
        <w:instrText xml:space="preserve"> = 0 "" "1" </w:instrText>
      </w:r>
      <w:r w:rsidRPr="005E5FA8">
        <w:fldChar w:fldCharType="separate"/>
      </w:r>
      <w:r w:rsidRPr="005E5FA8">
        <w:instrText>1</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2</w:instrText>
      </w:r>
      <w:r w:rsidRPr="005E5FA8">
        <w:fldChar w:fldCharType="end"/>
      </w:r>
      <w:r w:rsidRPr="005E5FA8">
        <w:instrText xml:space="preserve">" "" </w:instrText>
      </w:r>
      <w:r w:rsidRPr="005E5FA8">
        <w:fldChar w:fldCharType="separate"/>
      </w:r>
      <w:bookmarkStart w:id="8584" w:name="_Caption5075"/>
      <w:bookmarkStart w:id="8585" w:name="_Caption3708"/>
      <w:bookmarkStart w:id="8586" w:name="_Caption0396"/>
      <w:bookmarkStart w:id="8587" w:name="_Caption8758"/>
      <w:bookmarkStart w:id="8588" w:name="_Caption3205"/>
      <w:bookmarkStart w:id="8589" w:name="_Caption2392"/>
      <w:bookmarkStart w:id="8590" w:name="_Caption4644"/>
      <w:bookmarkStart w:id="8591" w:name="_Caption7852"/>
      <w:bookmarkStart w:id="8592" w:name="_Caption0372"/>
      <w:bookmarkStart w:id="8593" w:name="_Caption8181"/>
      <w:bookmarkStart w:id="8594" w:name="_Caption2106"/>
      <w:bookmarkStart w:id="8595" w:name="_Caption1315"/>
      <w:bookmarkStart w:id="8596" w:name="_Caption2733"/>
      <w:bookmarkStart w:id="8597" w:name="_Caption6018"/>
      <w:bookmarkStart w:id="8598" w:name="_Caption4152"/>
      <w:bookmarkStart w:id="8599" w:name="_Caption4901"/>
      <w:bookmarkStart w:id="8600" w:name="_Caption9687"/>
      <w:bookmarkStart w:id="8601" w:name="_Caption5094"/>
      <w:bookmarkStart w:id="8602" w:name="_Caption8091"/>
      <w:bookmarkStart w:id="8603" w:name="_Caption5618"/>
      <w:bookmarkStart w:id="8604" w:name="_Caption2334"/>
      <w:bookmarkStart w:id="8605" w:name="_Caption9860"/>
      <w:bookmarkStart w:id="8606" w:name="_Caption9015"/>
      <w:bookmarkStart w:id="8607" w:name="_Caption8260"/>
      <w:bookmarkStart w:id="8608" w:name="_Caption2454"/>
      <w:bookmarkStart w:id="8609" w:name="_Caption1956"/>
      <w:bookmarkStart w:id="8610" w:name="_Caption9945"/>
      <w:bookmarkStart w:id="8611" w:name="_Caption0638"/>
      <w:bookmarkStart w:id="8612" w:name="_Caption0615"/>
      <w:bookmarkStart w:id="8613" w:name="_Caption5944"/>
      <w:bookmarkStart w:id="8614" w:name="_Caption9396"/>
      <w:bookmarkStart w:id="8615" w:name="_Caption9984"/>
      <w:bookmarkStart w:id="8616" w:name="_Caption8517"/>
      <w:bookmarkStart w:id="8617" w:name="_Caption4768"/>
      <w:bookmarkStart w:id="8618" w:name="_Caption5391"/>
      <w:bookmarkStart w:id="8619" w:name="_Caption4194"/>
      <w:bookmarkStart w:id="8620" w:name="_Caption1856"/>
      <w:bookmarkStart w:id="8621" w:name="_Caption6739"/>
      <w:bookmarkStart w:id="8622" w:name="_Caption5528"/>
      <w:bookmarkStart w:id="8623" w:name="_Caption0106"/>
      <w:bookmarkStart w:id="8624" w:name="_Caption8693"/>
      <w:bookmarkStart w:id="8625" w:name="_Caption9840"/>
      <w:bookmarkStart w:id="8626" w:name="_Caption3337"/>
      <w:bookmarkStart w:id="8627" w:name="_Caption9556"/>
      <w:bookmarkStart w:id="8628" w:name="_Caption8128"/>
      <w:bookmarkStart w:id="8629" w:name="_Caption8950"/>
      <w:bookmarkStart w:id="8630" w:name="_Caption8438"/>
      <w:bookmarkStart w:id="8631" w:name="_Caption3072"/>
      <w:bookmarkStart w:id="8632" w:name="_Caption7228"/>
      <w:bookmarkStart w:id="8633" w:name="_Caption3208"/>
      <w:bookmarkStart w:id="8634" w:name="_Caption1601"/>
      <w:bookmarkStart w:id="8635" w:name="_Caption3655"/>
      <w:bookmarkStart w:id="8636" w:name="_Caption3961"/>
      <w:bookmarkStart w:id="8637" w:name="_Caption5777"/>
      <w:bookmarkStart w:id="8638" w:name="_Caption5625"/>
      <w:bookmarkStart w:id="8639" w:name="_Caption9748"/>
      <w:bookmarkStart w:id="8640" w:name="_Caption3243"/>
      <w:bookmarkStart w:id="8641" w:name="_Caption5933"/>
      <w:bookmarkStart w:id="8642" w:name="_Caption3771"/>
      <w:bookmarkStart w:id="8643" w:name="_Caption7825"/>
      <w:bookmarkStart w:id="8644" w:name="_Caption0962"/>
      <w:bookmarkStart w:id="8645" w:name="_Caption7444"/>
      <w:bookmarkStart w:id="8646" w:name="_Caption8309"/>
      <w:bookmarkStart w:id="8647" w:name="_Caption3914"/>
      <w:bookmarkStart w:id="8648" w:name="_Caption3420"/>
      <w:bookmarkStart w:id="8649" w:name="_Caption5277"/>
      <w:bookmarkStart w:id="8650" w:name="_Caption6387"/>
      <w:bookmarkStart w:id="8651" w:name="_Caption3231"/>
      <w:bookmarkStart w:id="8652" w:name="_Caption7007"/>
      <w:bookmarkStart w:id="8653" w:name="_Caption6116"/>
      <w:bookmarkStart w:id="8654" w:name="_Caption7116"/>
      <w:bookmarkStart w:id="8655" w:name="_Caption4248"/>
      <w:bookmarkStart w:id="8656" w:name="_Caption7828"/>
      <w:bookmarkStart w:id="8657" w:name="_Caption0226"/>
      <w:bookmarkStart w:id="8658" w:name="_Caption1906"/>
      <w:bookmarkStart w:id="8659" w:name="_Caption5628"/>
      <w:bookmarkStart w:id="8660" w:name="_Toc136527082"/>
      <w:bookmarkStart w:id="8661" w:name="_Toc149060103"/>
      <w:bookmarkStart w:id="8662" w:name="_Toc177735231"/>
      <w:bookmarkStart w:id="8663" w:name="_Toc178292673"/>
      <w:r w:rsidR="008C60A3">
        <w:rPr>
          <w:noProof/>
        </w:rPr>
        <w:t>E</w:t>
      </w:r>
      <w:r w:rsidR="008C60A3" w:rsidRPr="005E5FA8">
        <w:rPr>
          <w:noProof/>
        </w:rPr>
        <w:t>.</w:t>
      </w:r>
      <w:r w:rsidR="008C60A3">
        <w:rPr>
          <w:noProof/>
        </w:rPr>
        <w:t>2</w:t>
      </w:r>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r w:rsidRPr="005E5FA8">
        <w:fldChar w:fldCharType="end"/>
      </w:r>
      <w:r w:rsidRPr="005E5FA8">
        <w:tab/>
        <w:t>Average willingness to pay for a marginal change in vehicle/charging attributes</w:t>
      </w:r>
      <w:bookmarkEnd w:id="8660"/>
      <w:bookmarkEnd w:id="8661"/>
      <w:bookmarkEnd w:id="8662"/>
      <w:bookmarkEnd w:id="8663"/>
    </w:p>
    <w:tbl>
      <w:tblPr>
        <w:tblW w:w="7938" w:type="dxa"/>
        <w:tblLook w:val="04A0" w:firstRow="1" w:lastRow="0" w:firstColumn="1" w:lastColumn="0" w:noHBand="0" w:noVBand="1"/>
        <w:tblCaption w:val="Table D.2"/>
        <w:tblDescription w:val="Average willingness to pay for a marginal change in vehicle/charging attributes"/>
      </w:tblPr>
      <w:tblGrid>
        <w:gridCol w:w="2694"/>
        <w:gridCol w:w="2551"/>
        <w:gridCol w:w="2693"/>
      </w:tblGrid>
      <w:tr w:rsidR="00D24C7F" w14:paraId="1955A74D" w14:textId="77777777">
        <w:trPr>
          <w:trHeight w:val="290"/>
          <w:tblHeader/>
        </w:trPr>
        <w:tc>
          <w:tcPr>
            <w:tcW w:w="2694" w:type="dxa"/>
            <w:tcBorders>
              <w:top w:val="nil"/>
              <w:left w:val="nil"/>
              <w:bottom w:val="single" w:sz="8" w:space="0" w:color="FFFFFF" w:themeColor="background1"/>
              <w:right w:val="nil"/>
            </w:tcBorders>
            <w:shd w:val="clear" w:color="auto" w:fill="6F6652"/>
            <w:noWrap/>
            <w:tcMar>
              <w:top w:w="0" w:type="dxa"/>
              <w:left w:w="57" w:type="dxa"/>
              <w:bottom w:w="0" w:type="dxa"/>
              <w:right w:w="57" w:type="dxa"/>
            </w:tcMar>
            <w:hideMark/>
          </w:tcPr>
          <w:p w14:paraId="55D37151" w14:textId="77777777" w:rsidR="00D24C7F" w:rsidRDefault="00D24C7F">
            <w:pPr>
              <w:pStyle w:val="TableDataColumnHeading"/>
              <w:jc w:val="left"/>
            </w:pPr>
            <w:r>
              <w:t>Attribute</w:t>
            </w:r>
          </w:p>
        </w:tc>
        <w:tc>
          <w:tcPr>
            <w:tcW w:w="2551" w:type="dxa"/>
            <w:tcBorders>
              <w:top w:val="nil"/>
              <w:left w:val="nil"/>
              <w:bottom w:val="single" w:sz="8" w:space="0" w:color="FFFFFF" w:themeColor="background1"/>
              <w:right w:val="nil"/>
            </w:tcBorders>
            <w:shd w:val="clear" w:color="auto" w:fill="6F6652"/>
            <w:noWrap/>
            <w:tcMar>
              <w:top w:w="0" w:type="dxa"/>
              <w:left w:w="57" w:type="dxa"/>
              <w:bottom w:w="0" w:type="dxa"/>
              <w:right w:w="57" w:type="dxa"/>
            </w:tcMar>
            <w:hideMark/>
          </w:tcPr>
          <w:p w14:paraId="2BAF076B" w14:textId="77777777" w:rsidR="00D24C7F" w:rsidRDefault="00D24C7F">
            <w:pPr>
              <w:pStyle w:val="TableTextColumnHeading"/>
            </w:pPr>
            <w:r>
              <w:t>Unit</w:t>
            </w:r>
          </w:p>
        </w:tc>
        <w:tc>
          <w:tcPr>
            <w:tcW w:w="2693" w:type="dxa"/>
            <w:tcBorders>
              <w:top w:val="nil"/>
              <w:left w:val="nil"/>
              <w:bottom w:val="single" w:sz="8" w:space="0" w:color="FFFFFF" w:themeColor="background1"/>
              <w:right w:val="nil"/>
            </w:tcBorders>
            <w:shd w:val="clear" w:color="auto" w:fill="6F6652"/>
            <w:noWrap/>
            <w:tcMar>
              <w:top w:w="0" w:type="dxa"/>
              <w:left w:w="57" w:type="dxa"/>
              <w:bottom w:w="0" w:type="dxa"/>
              <w:right w:w="57" w:type="dxa"/>
            </w:tcMar>
            <w:hideMark/>
          </w:tcPr>
          <w:p w14:paraId="74BC6949" w14:textId="77777777" w:rsidR="00D24C7F" w:rsidRDefault="00D24C7F">
            <w:pPr>
              <w:pStyle w:val="TableDataColumnHeading"/>
            </w:pPr>
            <w:r>
              <w:t>Marginal WTP</w:t>
            </w:r>
          </w:p>
          <w:p w14:paraId="7B20186A" w14:textId="77777777" w:rsidR="00D24C7F" w:rsidRDefault="00D24C7F">
            <w:pPr>
              <w:pStyle w:val="TableDataColumnHeading"/>
            </w:pPr>
            <w:r>
              <w:t xml:space="preserve"> (2019$ in purchase price)</w:t>
            </w:r>
          </w:p>
        </w:tc>
      </w:tr>
      <w:tr w:rsidR="00D24C7F" w14:paraId="5F107D7A" w14:textId="77777777">
        <w:trPr>
          <w:trHeight w:val="290"/>
        </w:trPr>
        <w:tc>
          <w:tcPr>
            <w:tcW w:w="2694" w:type="dxa"/>
            <w:tcBorders>
              <w:top w:val="single" w:sz="8" w:space="0" w:color="FFFFFF" w:themeColor="background1"/>
              <w:left w:val="nil"/>
              <w:bottom w:val="single" w:sz="8" w:space="0" w:color="FFFFFF" w:themeColor="background1"/>
              <w:right w:val="nil"/>
            </w:tcBorders>
            <w:shd w:val="clear" w:color="auto" w:fill="E9E8E5" w:themeFill="background2"/>
            <w:noWrap/>
            <w:tcMar>
              <w:top w:w="0" w:type="dxa"/>
              <w:left w:w="57" w:type="dxa"/>
              <w:bottom w:w="0" w:type="dxa"/>
              <w:right w:w="57" w:type="dxa"/>
            </w:tcMar>
            <w:hideMark/>
          </w:tcPr>
          <w:p w14:paraId="05FFF424" w14:textId="77777777" w:rsidR="00D24C7F" w:rsidRDefault="00D24C7F">
            <w:pPr>
              <w:pStyle w:val="TableTextEntries"/>
            </w:pPr>
            <w:r>
              <w:t>Carbon emissions</w:t>
            </w:r>
          </w:p>
        </w:tc>
        <w:tc>
          <w:tcPr>
            <w:tcW w:w="2551" w:type="dxa"/>
            <w:tcBorders>
              <w:top w:val="single" w:sz="8" w:space="0" w:color="FFFFFF" w:themeColor="background1"/>
              <w:left w:val="nil"/>
              <w:bottom w:val="single" w:sz="8" w:space="0" w:color="FFFFFF" w:themeColor="background1"/>
              <w:right w:val="nil"/>
            </w:tcBorders>
            <w:shd w:val="clear" w:color="auto" w:fill="E9E8E5" w:themeFill="background2"/>
            <w:noWrap/>
            <w:tcMar>
              <w:top w:w="0" w:type="dxa"/>
              <w:left w:w="57" w:type="dxa"/>
              <w:bottom w:w="0" w:type="dxa"/>
              <w:right w:w="57" w:type="dxa"/>
            </w:tcMar>
            <w:hideMark/>
          </w:tcPr>
          <w:p w14:paraId="4745C146" w14:textId="77777777" w:rsidR="00D24C7F" w:rsidRDefault="00D24C7F">
            <w:pPr>
              <w:pStyle w:val="TableTextEntries"/>
            </w:pPr>
            <w:r>
              <w:t>per 50 g/km (decrease)</w:t>
            </w:r>
          </w:p>
        </w:tc>
        <w:tc>
          <w:tcPr>
            <w:tcW w:w="2693" w:type="dxa"/>
            <w:tcBorders>
              <w:top w:val="single" w:sz="8" w:space="0" w:color="FFFFFF" w:themeColor="background1"/>
              <w:left w:val="nil"/>
              <w:bottom w:val="single" w:sz="8" w:space="0" w:color="FFFFFF" w:themeColor="background1"/>
              <w:right w:val="nil"/>
            </w:tcBorders>
            <w:shd w:val="clear" w:color="auto" w:fill="E9E8E5" w:themeFill="background2"/>
            <w:noWrap/>
            <w:tcMar>
              <w:top w:w="0" w:type="dxa"/>
              <w:left w:w="57" w:type="dxa"/>
              <w:bottom w:w="0" w:type="dxa"/>
              <w:right w:w="57" w:type="dxa"/>
            </w:tcMar>
            <w:vAlign w:val="center"/>
            <w:hideMark/>
          </w:tcPr>
          <w:p w14:paraId="5A147D1C" w14:textId="77777777" w:rsidR="00D24C7F" w:rsidRDefault="00D24C7F">
            <w:pPr>
              <w:pStyle w:val="TableDataEntries"/>
            </w:pPr>
            <w:r>
              <w:rPr>
                <w:szCs w:val="16"/>
              </w:rPr>
              <w:t>244</w:t>
            </w:r>
          </w:p>
        </w:tc>
      </w:tr>
      <w:tr w:rsidR="00D24C7F" w14:paraId="32B71BD8" w14:textId="77777777">
        <w:trPr>
          <w:trHeight w:val="290"/>
        </w:trPr>
        <w:tc>
          <w:tcPr>
            <w:tcW w:w="2694" w:type="dxa"/>
            <w:tcBorders>
              <w:top w:val="single" w:sz="8" w:space="0" w:color="FFFFFF" w:themeColor="background1"/>
              <w:left w:val="nil"/>
              <w:bottom w:val="single" w:sz="8" w:space="0" w:color="FFFFFF" w:themeColor="background1"/>
              <w:right w:val="nil"/>
            </w:tcBorders>
            <w:shd w:val="clear" w:color="auto" w:fill="E9E8E5" w:themeFill="background2"/>
            <w:noWrap/>
            <w:tcMar>
              <w:top w:w="0" w:type="dxa"/>
              <w:left w:w="57" w:type="dxa"/>
              <w:bottom w:w="0" w:type="dxa"/>
              <w:right w:w="57" w:type="dxa"/>
            </w:tcMar>
            <w:hideMark/>
          </w:tcPr>
          <w:p w14:paraId="16AA9727" w14:textId="77777777" w:rsidR="00D24C7F" w:rsidRDefault="00D24C7F">
            <w:pPr>
              <w:pStyle w:val="TableTextEntries"/>
            </w:pPr>
            <w:r>
              <w:t>Destination charging time</w:t>
            </w:r>
          </w:p>
        </w:tc>
        <w:tc>
          <w:tcPr>
            <w:tcW w:w="2551" w:type="dxa"/>
            <w:tcBorders>
              <w:top w:val="single" w:sz="8" w:space="0" w:color="FFFFFF" w:themeColor="background1"/>
              <w:left w:val="nil"/>
              <w:bottom w:val="single" w:sz="8" w:space="0" w:color="FFFFFF" w:themeColor="background1"/>
              <w:right w:val="nil"/>
            </w:tcBorders>
            <w:shd w:val="clear" w:color="auto" w:fill="E9E8E5" w:themeFill="background2"/>
            <w:noWrap/>
            <w:tcMar>
              <w:top w:w="0" w:type="dxa"/>
              <w:left w:w="57" w:type="dxa"/>
              <w:bottom w:w="0" w:type="dxa"/>
              <w:right w:w="57" w:type="dxa"/>
            </w:tcMar>
            <w:hideMark/>
          </w:tcPr>
          <w:p w14:paraId="297560E0" w14:textId="77777777" w:rsidR="00D24C7F" w:rsidRDefault="00D24C7F">
            <w:pPr>
              <w:pStyle w:val="TableTextEntries"/>
            </w:pPr>
            <w:r>
              <w:t>Change from 120 to 60 minutes</w:t>
            </w:r>
          </w:p>
        </w:tc>
        <w:tc>
          <w:tcPr>
            <w:tcW w:w="2693" w:type="dxa"/>
            <w:tcBorders>
              <w:top w:val="single" w:sz="8" w:space="0" w:color="FFFFFF" w:themeColor="background1"/>
              <w:left w:val="nil"/>
              <w:bottom w:val="single" w:sz="8" w:space="0" w:color="FFFFFF" w:themeColor="background1"/>
              <w:right w:val="nil"/>
            </w:tcBorders>
            <w:shd w:val="clear" w:color="auto" w:fill="E9E8E5" w:themeFill="background2"/>
            <w:noWrap/>
            <w:tcMar>
              <w:top w:w="0" w:type="dxa"/>
              <w:left w:w="57" w:type="dxa"/>
              <w:bottom w:w="0" w:type="dxa"/>
              <w:right w:w="57" w:type="dxa"/>
            </w:tcMar>
            <w:vAlign w:val="center"/>
            <w:hideMark/>
          </w:tcPr>
          <w:p w14:paraId="17124393" w14:textId="77777777" w:rsidR="00D24C7F" w:rsidRDefault="00D24C7F">
            <w:pPr>
              <w:pStyle w:val="TableDataEntries"/>
            </w:pPr>
            <w:r>
              <w:rPr>
                <w:szCs w:val="16"/>
              </w:rPr>
              <w:t>686</w:t>
            </w:r>
          </w:p>
        </w:tc>
      </w:tr>
      <w:tr w:rsidR="00D24C7F" w14:paraId="662B5277" w14:textId="77777777">
        <w:trPr>
          <w:trHeight w:val="290"/>
        </w:trPr>
        <w:tc>
          <w:tcPr>
            <w:tcW w:w="2694" w:type="dxa"/>
            <w:tcBorders>
              <w:top w:val="single" w:sz="8" w:space="0" w:color="FFFFFF" w:themeColor="background1"/>
              <w:left w:val="nil"/>
              <w:bottom w:val="single" w:sz="8" w:space="0" w:color="FFFFFF" w:themeColor="background1"/>
              <w:right w:val="nil"/>
            </w:tcBorders>
            <w:shd w:val="clear" w:color="auto" w:fill="E9E8E5" w:themeFill="background2"/>
            <w:noWrap/>
            <w:tcMar>
              <w:top w:w="0" w:type="dxa"/>
              <w:left w:w="57" w:type="dxa"/>
              <w:bottom w:w="0" w:type="dxa"/>
              <w:right w:w="57" w:type="dxa"/>
            </w:tcMar>
            <w:hideMark/>
          </w:tcPr>
          <w:p w14:paraId="35B40536" w14:textId="77777777" w:rsidR="00D24C7F" w:rsidRDefault="00D24C7F">
            <w:pPr>
              <w:pStyle w:val="TableTextEntries"/>
            </w:pPr>
            <w:r>
              <w:t>Destination charging time</w:t>
            </w:r>
          </w:p>
        </w:tc>
        <w:tc>
          <w:tcPr>
            <w:tcW w:w="2551" w:type="dxa"/>
            <w:tcBorders>
              <w:top w:val="single" w:sz="8" w:space="0" w:color="FFFFFF" w:themeColor="background1"/>
              <w:left w:val="nil"/>
              <w:bottom w:val="single" w:sz="8" w:space="0" w:color="FFFFFF" w:themeColor="background1"/>
              <w:right w:val="nil"/>
            </w:tcBorders>
            <w:shd w:val="clear" w:color="auto" w:fill="E9E8E5" w:themeFill="background2"/>
            <w:noWrap/>
            <w:tcMar>
              <w:top w:w="0" w:type="dxa"/>
              <w:left w:w="57" w:type="dxa"/>
              <w:bottom w:w="0" w:type="dxa"/>
              <w:right w:w="57" w:type="dxa"/>
            </w:tcMar>
            <w:hideMark/>
          </w:tcPr>
          <w:p w14:paraId="5638B6FE" w14:textId="77777777" w:rsidR="00D24C7F" w:rsidRDefault="00D24C7F">
            <w:pPr>
              <w:pStyle w:val="TableTextEntries"/>
            </w:pPr>
            <w:r>
              <w:t>Change from 60 to 15 minutes</w:t>
            </w:r>
          </w:p>
        </w:tc>
        <w:tc>
          <w:tcPr>
            <w:tcW w:w="2693" w:type="dxa"/>
            <w:tcBorders>
              <w:top w:val="single" w:sz="8" w:space="0" w:color="FFFFFF" w:themeColor="background1"/>
              <w:left w:val="nil"/>
              <w:bottom w:val="single" w:sz="8" w:space="0" w:color="FFFFFF" w:themeColor="background1"/>
              <w:right w:val="nil"/>
            </w:tcBorders>
            <w:shd w:val="clear" w:color="auto" w:fill="E9E8E5" w:themeFill="background2"/>
            <w:noWrap/>
            <w:tcMar>
              <w:top w:w="0" w:type="dxa"/>
              <w:left w:w="57" w:type="dxa"/>
              <w:bottom w:w="0" w:type="dxa"/>
              <w:right w:w="57" w:type="dxa"/>
            </w:tcMar>
            <w:vAlign w:val="center"/>
            <w:hideMark/>
          </w:tcPr>
          <w:p w14:paraId="58D107F6" w14:textId="77777777" w:rsidR="00D24C7F" w:rsidRDefault="00D24C7F">
            <w:pPr>
              <w:pStyle w:val="TableDataEntries"/>
            </w:pPr>
            <w:r>
              <w:rPr>
                <w:szCs w:val="16"/>
              </w:rPr>
              <w:t>25</w:t>
            </w:r>
          </w:p>
        </w:tc>
      </w:tr>
      <w:tr w:rsidR="00D24C7F" w14:paraId="68BF3E0A" w14:textId="77777777">
        <w:trPr>
          <w:trHeight w:val="290"/>
        </w:trPr>
        <w:tc>
          <w:tcPr>
            <w:tcW w:w="2694" w:type="dxa"/>
            <w:tcBorders>
              <w:top w:val="single" w:sz="8" w:space="0" w:color="FFFFFF" w:themeColor="background1"/>
              <w:left w:val="nil"/>
              <w:bottom w:val="single" w:sz="8" w:space="0" w:color="FFFFFF" w:themeColor="background1"/>
              <w:right w:val="nil"/>
            </w:tcBorders>
            <w:shd w:val="clear" w:color="auto" w:fill="E9E8E5" w:themeFill="background2"/>
            <w:noWrap/>
            <w:tcMar>
              <w:top w:w="0" w:type="dxa"/>
              <w:left w:w="57" w:type="dxa"/>
              <w:bottom w:w="0" w:type="dxa"/>
              <w:right w:w="57" w:type="dxa"/>
            </w:tcMar>
            <w:hideMark/>
          </w:tcPr>
          <w:p w14:paraId="270780DD" w14:textId="77777777" w:rsidR="00D24C7F" w:rsidRDefault="00D24C7F">
            <w:pPr>
              <w:pStyle w:val="TableTextEntries"/>
            </w:pPr>
            <w:r>
              <w:t>Highway charging time</w:t>
            </w:r>
          </w:p>
        </w:tc>
        <w:tc>
          <w:tcPr>
            <w:tcW w:w="2551" w:type="dxa"/>
            <w:tcBorders>
              <w:top w:val="single" w:sz="8" w:space="0" w:color="FFFFFF" w:themeColor="background1"/>
              <w:left w:val="nil"/>
              <w:bottom w:val="single" w:sz="8" w:space="0" w:color="FFFFFF" w:themeColor="background1"/>
              <w:right w:val="nil"/>
            </w:tcBorders>
            <w:shd w:val="clear" w:color="auto" w:fill="E9E8E5" w:themeFill="background2"/>
            <w:noWrap/>
            <w:tcMar>
              <w:top w:w="0" w:type="dxa"/>
              <w:left w:w="57" w:type="dxa"/>
              <w:bottom w:w="0" w:type="dxa"/>
              <w:right w:w="57" w:type="dxa"/>
            </w:tcMar>
            <w:hideMark/>
          </w:tcPr>
          <w:p w14:paraId="65E76BC2" w14:textId="77777777" w:rsidR="00D24C7F" w:rsidRDefault="00D24C7F">
            <w:pPr>
              <w:pStyle w:val="TableTextEntries"/>
            </w:pPr>
            <w:r>
              <w:t>Change from 60 to 30 minutes</w:t>
            </w:r>
          </w:p>
        </w:tc>
        <w:tc>
          <w:tcPr>
            <w:tcW w:w="2693" w:type="dxa"/>
            <w:tcBorders>
              <w:top w:val="single" w:sz="8" w:space="0" w:color="FFFFFF" w:themeColor="background1"/>
              <w:left w:val="nil"/>
              <w:bottom w:val="single" w:sz="8" w:space="0" w:color="FFFFFF" w:themeColor="background1"/>
              <w:right w:val="nil"/>
            </w:tcBorders>
            <w:shd w:val="clear" w:color="auto" w:fill="E9E8E5" w:themeFill="background2"/>
            <w:noWrap/>
            <w:tcMar>
              <w:top w:w="0" w:type="dxa"/>
              <w:left w:w="57" w:type="dxa"/>
              <w:bottom w:w="0" w:type="dxa"/>
              <w:right w:w="57" w:type="dxa"/>
            </w:tcMar>
            <w:vAlign w:val="center"/>
            <w:hideMark/>
          </w:tcPr>
          <w:p w14:paraId="7A1DEAA2" w14:textId="77777777" w:rsidR="00D24C7F" w:rsidRDefault="00D24C7F">
            <w:pPr>
              <w:pStyle w:val="TableDataEntries"/>
            </w:pPr>
            <w:r>
              <w:rPr>
                <w:szCs w:val="16"/>
              </w:rPr>
              <w:t>1,350</w:t>
            </w:r>
          </w:p>
        </w:tc>
      </w:tr>
      <w:tr w:rsidR="00D24C7F" w14:paraId="4547E9E3" w14:textId="77777777">
        <w:trPr>
          <w:trHeight w:val="290"/>
        </w:trPr>
        <w:tc>
          <w:tcPr>
            <w:tcW w:w="2694" w:type="dxa"/>
            <w:tcBorders>
              <w:top w:val="single" w:sz="8" w:space="0" w:color="FFFFFF" w:themeColor="background1"/>
              <w:left w:val="nil"/>
              <w:bottom w:val="single" w:sz="8" w:space="0" w:color="FFFFFF" w:themeColor="background1"/>
              <w:right w:val="nil"/>
            </w:tcBorders>
            <w:shd w:val="clear" w:color="auto" w:fill="E9E8E5" w:themeFill="background2"/>
            <w:noWrap/>
            <w:tcMar>
              <w:top w:w="0" w:type="dxa"/>
              <w:left w:w="57" w:type="dxa"/>
              <w:bottom w:w="0" w:type="dxa"/>
              <w:right w:w="57" w:type="dxa"/>
            </w:tcMar>
            <w:hideMark/>
          </w:tcPr>
          <w:p w14:paraId="0BBBE2C6" w14:textId="77777777" w:rsidR="00D24C7F" w:rsidRDefault="00D24C7F">
            <w:pPr>
              <w:pStyle w:val="TableTextEntries"/>
            </w:pPr>
            <w:r>
              <w:t>Highway charging time</w:t>
            </w:r>
          </w:p>
        </w:tc>
        <w:tc>
          <w:tcPr>
            <w:tcW w:w="2551" w:type="dxa"/>
            <w:tcBorders>
              <w:top w:val="single" w:sz="8" w:space="0" w:color="FFFFFF" w:themeColor="background1"/>
              <w:left w:val="nil"/>
              <w:bottom w:val="single" w:sz="8" w:space="0" w:color="FFFFFF" w:themeColor="background1"/>
              <w:right w:val="nil"/>
            </w:tcBorders>
            <w:shd w:val="clear" w:color="auto" w:fill="E9E8E5" w:themeFill="background2"/>
            <w:noWrap/>
            <w:tcMar>
              <w:top w:w="0" w:type="dxa"/>
              <w:left w:w="57" w:type="dxa"/>
              <w:bottom w:w="0" w:type="dxa"/>
              <w:right w:w="57" w:type="dxa"/>
            </w:tcMar>
            <w:hideMark/>
          </w:tcPr>
          <w:p w14:paraId="41F770F0" w14:textId="77777777" w:rsidR="00D24C7F" w:rsidRDefault="00D24C7F">
            <w:pPr>
              <w:pStyle w:val="TableTextEntries"/>
            </w:pPr>
            <w:r>
              <w:t>Change from 30 to 15 minutes</w:t>
            </w:r>
          </w:p>
        </w:tc>
        <w:tc>
          <w:tcPr>
            <w:tcW w:w="2693" w:type="dxa"/>
            <w:tcBorders>
              <w:top w:val="single" w:sz="8" w:space="0" w:color="FFFFFF" w:themeColor="background1"/>
              <w:left w:val="nil"/>
              <w:bottom w:val="single" w:sz="8" w:space="0" w:color="FFFFFF" w:themeColor="background1"/>
              <w:right w:val="nil"/>
            </w:tcBorders>
            <w:shd w:val="clear" w:color="auto" w:fill="E9E8E5" w:themeFill="background2"/>
            <w:noWrap/>
            <w:tcMar>
              <w:top w:w="0" w:type="dxa"/>
              <w:left w:w="57" w:type="dxa"/>
              <w:bottom w:w="0" w:type="dxa"/>
              <w:right w:w="57" w:type="dxa"/>
            </w:tcMar>
            <w:vAlign w:val="center"/>
            <w:hideMark/>
          </w:tcPr>
          <w:p w14:paraId="4CB48B11" w14:textId="77777777" w:rsidR="00D24C7F" w:rsidRDefault="00D24C7F">
            <w:pPr>
              <w:pStyle w:val="TableDataEntries"/>
            </w:pPr>
            <w:r>
              <w:rPr>
                <w:szCs w:val="16"/>
              </w:rPr>
              <w:t>1,137</w:t>
            </w:r>
          </w:p>
        </w:tc>
      </w:tr>
      <w:tr w:rsidR="00D24C7F" w14:paraId="4E8751B0" w14:textId="77777777">
        <w:trPr>
          <w:trHeight w:val="290"/>
        </w:trPr>
        <w:tc>
          <w:tcPr>
            <w:tcW w:w="2694" w:type="dxa"/>
            <w:tcBorders>
              <w:top w:val="single" w:sz="8" w:space="0" w:color="FFFFFF" w:themeColor="background1"/>
              <w:left w:val="nil"/>
              <w:bottom w:val="single" w:sz="6" w:space="0" w:color="6F6652"/>
              <w:right w:val="nil"/>
            </w:tcBorders>
            <w:shd w:val="clear" w:color="auto" w:fill="E9E8E5" w:themeFill="background2"/>
            <w:noWrap/>
            <w:tcMar>
              <w:top w:w="0" w:type="dxa"/>
              <w:left w:w="57" w:type="dxa"/>
              <w:bottom w:w="0" w:type="dxa"/>
              <w:right w:w="57" w:type="dxa"/>
            </w:tcMar>
          </w:tcPr>
          <w:p w14:paraId="72E473B7" w14:textId="77777777" w:rsidR="00D24C7F" w:rsidRDefault="00D24C7F">
            <w:pPr>
              <w:pStyle w:val="TableTextEntries"/>
            </w:pPr>
            <w:r>
              <w:t>Highway charging time</w:t>
            </w:r>
          </w:p>
        </w:tc>
        <w:tc>
          <w:tcPr>
            <w:tcW w:w="2551" w:type="dxa"/>
            <w:tcBorders>
              <w:top w:val="single" w:sz="8" w:space="0" w:color="FFFFFF" w:themeColor="background1"/>
              <w:left w:val="nil"/>
              <w:bottom w:val="single" w:sz="6" w:space="0" w:color="6F6652"/>
              <w:right w:val="nil"/>
            </w:tcBorders>
            <w:shd w:val="clear" w:color="auto" w:fill="E9E8E5" w:themeFill="background2"/>
            <w:noWrap/>
            <w:tcMar>
              <w:top w:w="0" w:type="dxa"/>
              <w:left w:w="57" w:type="dxa"/>
              <w:bottom w:w="0" w:type="dxa"/>
              <w:right w:w="57" w:type="dxa"/>
            </w:tcMar>
          </w:tcPr>
          <w:p w14:paraId="413833E8" w14:textId="77777777" w:rsidR="00D24C7F" w:rsidRDefault="00D24C7F">
            <w:pPr>
              <w:pStyle w:val="TableTextEntries"/>
            </w:pPr>
            <w:r>
              <w:t>Change from 15 to 5 minutes</w:t>
            </w:r>
          </w:p>
        </w:tc>
        <w:tc>
          <w:tcPr>
            <w:tcW w:w="2693" w:type="dxa"/>
            <w:tcBorders>
              <w:top w:val="single" w:sz="8" w:space="0" w:color="FFFFFF" w:themeColor="background1"/>
              <w:left w:val="nil"/>
              <w:bottom w:val="single" w:sz="6" w:space="0" w:color="6F6652"/>
              <w:right w:val="nil"/>
            </w:tcBorders>
            <w:shd w:val="clear" w:color="auto" w:fill="E9E8E5" w:themeFill="background2"/>
            <w:noWrap/>
            <w:tcMar>
              <w:top w:w="0" w:type="dxa"/>
              <w:left w:w="57" w:type="dxa"/>
              <w:bottom w:w="0" w:type="dxa"/>
              <w:right w:w="57" w:type="dxa"/>
            </w:tcMar>
            <w:vAlign w:val="center"/>
          </w:tcPr>
          <w:p w14:paraId="242C3203" w14:textId="77777777" w:rsidR="00D24C7F" w:rsidRDefault="00D24C7F">
            <w:pPr>
              <w:pStyle w:val="TableDataEntries"/>
            </w:pPr>
            <w:r>
              <w:rPr>
                <w:szCs w:val="16"/>
              </w:rPr>
              <w:t>1,120</w:t>
            </w:r>
          </w:p>
        </w:tc>
      </w:tr>
    </w:tbl>
    <w:p w14:paraId="3855BA69" w14:textId="77777777" w:rsidR="00D24C7F" w:rsidRDefault="00D24C7F" w:rsidP="00D24C7F">
      <w:pPr>
        <w:pStyle w:val="Source"/>
        <w:rPr>
          <w:i/>
        </w:rPr>
      </w:pPr>
      <w:r>
        <w:rPr>
          <w:i/>
        </w:rPr>
        <w:t>All vehicle types n=3021, reweighted to account for oversampling of persons with university degrees</w:t>
      </w:r>
    </w:p>
    <w:p w14:paraId="4BDD1015" w14:textId="383B52FC" w:rsidR="00D24C7F" w:rsidRDefault="00D24C7F" w:rsidP="00D24C7F">
      <w:pPr>
        <w:pStyle w:val="Source"/>
      </w:pPr>
      <w:r>
        <w:rPr>
          <w:i/>
        </w:rPr>
        <w:t>Source:</w:t>
      </w:r>
      <w:r>
        <w:t xml:space="preserve"> CIE 2019. Demand for </w:t>
      </w:r>
      <w:r w:rsidR="00B03E8A">
        <w:t>EV</w:t>
      </w:r>
      <w:r>
        <w:t>s – a discrete choice survey. Final Report prepared for Australian Automobile Association, 22 January.</w:t>
      </w:r>
    </w:p>
    <w:p w14:paraId="7ABEC978" w14:textId="4EEC1096" w:rsidR="00D24C7F" w:rsidRDefault="00D24C7F" w:rsidP="00D24C7F">
      <w:pPr>
        <w:pStyle w:val="BodyText"/>
        <w:rPr>
          <w:lang w:bidi="fa-IR"/>
        </w:rPr>
      </w:pPr>
      <w:r>
        <w:rPr>
          <w:lang w:bidi="fa-IR"/>
        </w:rPr>
        <w:t xml:space="preserve">In the CIE model, the WTP for additional availability of charging infrastructure depends on EV battery range. Estimates for selected levels of battery range are set out in table </w:t>
      </w:r>
      <w:r w:rsidR="00CD0272">
        <w:rPr>
          <w:lang w:bidi="fa-IR"/>
        </w:rPr>
        <w:t>E.3</w:t>
      </w:r>
      <w:r>
        <w:rPr>
          <w:lang w:bidi="fa-IR"/>
        </w:rPr>
        <w:t>.</w:t>
      </w:r>
    </w:p>
    <w:p w14:paraId="04440A9E" w14:textId="65684434" w:rsidR="00D24C7F" w:rsidRPr="005E5FA8" w:rsidRDefault="00D24C7F" w:rsidP="00CA0DBC">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E</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3</w:instrText>
        </w:r>
      </w:fldSimple>
      <w:r w:rsidRPr="005E5FA8">
        <w:instrText xml:space="preserve"> = 0 "" "</w:instrText>
      </w:r>
      <w:fldSimple w:instr=" STYLEREF &quot;Heading 1&quot; \l \n ">
        <w:r w:rsidRPr="005E5FA8">
          <w:instrText>3</w:instrText>
        </w:r>
      </w:fldSimple>
      <w:r w:rsidRPr="005E5FA8">
        <w:instrText xml:space="preserve">." </w:instrText>
      </w:r>
      <w:r w:rsidRPr="005E5FA8">
        <w:fldChar w:fldCharType="separate"/>
      </w:r>
      <w:r w:rsidRPr="005E5FA8">
        <w:instrText>3.</w:instrText>
      </w:r>
      <w:r w:rsidRPr="005E5FA8">
        <w:fldChar w:fldCharType="end"/>
      </w:r>
      <w:r w:rsidRPr="005E5FA8">
        <w:instrText>" "</w:instrText>
      </w:r>
      <w:fldSimple w:instr=" STYLEREF &quot;Heading 6&quot; \l \n ">
        <w:r w:rsidR="00581346">
          <w:rPr>
            <w:noProof/>
          </w:rPr>
          <w:instrText>E</w:instrText>
        </w:r>
      </w:fldSimple>
      <w:r w:rsidRPr="005E5FA8">
        <w:instrText xml:space="preserve">." </w:instrText>
      </w:r>
      <w:r w:rsidRPr="005E5FA8">
        <w:fldChar w:fldCharType="separate"/>
      </w:r>
      <w:r w:rsidR="00581346">
        <w:rPr>
          <w:noProof/>
        </w:rPr>
        <w:instrText>E</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E</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3</w:instrText>
        </w:r>
      </w:fldSimple>
      <w:r w:rsidRPr="005E5FA8">
        <w:instrText xml:space="preserve"> = 0 "" "1" </w:instrText>
      </w:r>
      <w:r w:rsidRPr="005E5FA8">
        <w:fldChar w:fldCharType="separate"/>
      </w:r>
      <w:r w:rsidRPr="005E5FA8">
        <w:instrText>1</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3</w:instrText>
      </w:r>
      <w:r w:rsidRPr="005E5FA8">
        <w:fldChar w:fldCharType="end"/>
      </w:r>
      <w:r w:rsidRPr="005E5FA8">
        <w:instrText xml:space="preserve">" "" </w:instrText>
      </w:r>
      <w:r w:rsidRPr="005E5FA8">
        <w:fldChar w:fldCharType="separate"/>
      </w:r>
      <w:bookmarkStart w:id="8664" w:name="_Caption3204"/>
      <w:bookmarkStart w:id="8665" w:name="_Caption6444"/>
      <w:bookmarkStart w:id="8666" w:name="_Caption6211"/>
      <w:bookmarkStart w:id="8667" w:name="_Caption6647"/>
      <w:bookmarkStart w:id="8668" w:name="_Caption6584"/>
      <w:bookmarkStart w:id="8669" w:name="_Caption8585"/>
      <w:bookmarkStart w:id="8670" w:name="_Caption6197"/>
      <w:bookmarkStart w:id="8671" w:name="_Caption9163"/>
      <w:bookmarkStart w:id="8672" w:name="_Caption2937"/>
      <w:bookmarkStart w:id="8673" w:name="_Caption7589"/>
      <w:bookmarkStart w:id="8674" w:name="_Caption0206"/>
      <w:bookmarkStart w:id="8675" w:name="_Caption8223"/>
      <w:bookmarkStart w:id="8676" w:name="_Caption8955"/>
      <w:bookmarkStart w:id="8677" w:name="_Caption6462"/>
      <w:bookmarkStart w:id="8678" w:name="_Caption0127"/>
      <w:bookmarkStart w:id="8679" w:name="_Caption0274"/>
      <w:bookmarkStart w:id="8680" w:name="_Caption3348"/>
      <w:bookmarkStart w:id="8681" w:name="_Caption5428"/>
      <w:bookmarkStart w:id="8682" w:name="_Caption3183"/>
      <w:bookmarkStart w:id="8683" w:name="_Caption4599"/>
      <w:bookmarkStart w:id="8684" w:name="_Caption6096"/>
      <w:bookmarkStart w:id="8685" w:name="_Caption9122"/>
      <w:bookmarkStart w:id="8686" w:name="_Caption4499"/>
      <w:bookmarkStart w:id="8687" w:name="_Caption5948"/>
      <w:bookmarkStart w:id="8688" w:name="_Caption0832"/>
      <w:bookmarkStart w:id="8689" w:name="_Caption6325"/>
      <w:bookmarkStart w:id="8690" w:name="_Caption1785"/>
      <w:bookmarkStart w:id="8691" w:name="_Caption2840"/>
      <w:bookmarkStart w:id="8692" w:name="_Caption1928"/>
      <w:bookmarkStart w:id="8693" w:name="_Caption7779"/>
      <w:bookmarkStart w:id="8694" w:name="_Caption5054"/>
      <w:bookmarkStart w:id="8695" w:name="_Caption2895"/>
      <w:bookmarkStart w:id="8696" w:name="_Caption6646"/>
      <w:bookmarkStart w:id="8697" w:name="_Caption0906"/>
      <w:bookmarkStart w:id="8698" w:name="_Caption0748"/>
      <w:bookmarkStart w:id="8699" w:name="_Caption0011"/>
      <w:bookmarkStart w:id="8700" w:name="_Caption0012"/>
      <w:bookmarkStart w:id="8701" w:name="_Caption7586"/>
      <w:bookmarkStart w:id="8702" w:name="_Caption2897"/>
      <w:bookmarkStart w:id="8703" w:name="_Caption2150"/>
      <w:bookmarkStart w:id="8704" w:name="_Caption7098"/>
      <w:bookmarkStart w:id="8705" w:name="_Caption2471"/>
      <w:bookmarkStart w:id="8706" w:name="_Caption2350"/>
      <w:bookmarkStart w:id="8707" w:name="_Caption1282"/>
      <w:bookmarkStart w:id="8708" w:name="_Caption8746"/>
      <w:bookmarkStart w:id="8709" w:name="_Caption5691"/>
      <w:bookmarkStart w:id="8710" w:name="_Caption2301"/>
      <w:bookmarkStart w:id="8711" w:name="_Caption2086"/>
      <w:bookmarkStart w:id="8712" w:name="_Caption2818"/>
      <w:bookmarkStart w:id="8713" w:name="_Caption3986"/>
      <w:bookmarkStart w:id="8714" w:name="_Caption9712"/>
      <w:bookmarkStart w:id="8715" w:name="_Caption9739"/>
      <w:bookmarkStart w:id="8716" w:name="_Caption4790"/>
      <w:bookmarkStart w:id="8717" w:name="_Caption1438"/>
      <w:bookmarkStart w:id="8718" w:name="_Caption7017"/>
      <w:bookmarkStart w:id="8719" w:name="_Caption1245"/>
      <w:bookmarkStart w:id="8720" w:name="_Caption1832"/>
      <w:bookmarkStart w:id="8721" w:name="_Caption7658"/>
      <w:bookmarkStart w:id="8722" w:name="_Caption9440"/>
      <w:bookmarkStart w:id="8723" w:name="_Caption2819"/>
      <w:bookmarkStart w:id="8724" w:name="_Caption4457"/>
      <w:bookmarkStart w:id="8725" w:name="_Caption2088"/>
      <w:bookmarkStart w:id="8726" w:name="_Caption8416"/>
      <w:bookmarkStart w:id="8727" w:name="_Caption0776"/>
      <w:bookmarkStart w:id="8728" w:name="_Caption9461"/>
      <w:bookmarkStart w:id="8729" w:name="_Caption8290"/>
      <w:bookmarkStart w:id="8730" w:name="_Caption0445"/>
      <w:bookmarkStart w:id="8731" w:name="_Caption5659"/>
      <w:bookmarkStart w:id="8732" w:name="_Caption5111"/>
      <w:bookmarkStart w:id="8733" w:name="_Caption5469"/>
      <w:bookmarkStart w:id="8734" w:name="_Caption5238"/>
      <w:bookmarkStart w:id="8735" w:name="_Caption0631"/>
      <w:bookmarkStart w:id="8736" w:name="_Caption7587"/>
      <w:bookmarkStart w:id="8737" w:name="_Caption3188"/>
      <w:bookmarkStart w:id="8738" w:name="_Caption7764"/>
      <w:bookmarkStart w:id="8739" w:name="_Toc136527083"/>
      <w:bookmarkStart w:id="8740" w:name="_Toc149060104"/>
      <w:bookmarkStart w:id="8741" w:name="_Toc177735232"/>
      <w:bookmarkStart w:id="8742" w:name="_Toc178292674"/>
      <w:r w:rsidR="008C60A3">
        <w:rPr>
          <w:noProof/>
        </w:rPr>
        <w:t>E</w:t>
      </w:r>
      <w:r w:rsidR="008C60A3" w:rsidRPr="005E5FA8">
        <w:rPr>
          <w:noProof/>
        </w:rPr>
        <w:t>.</w:t>
      </w:r>
      <w:r w:rsidR="008C60A3">
        <w:rPr>
          <w:noProof/>
        </w:rPr>
        <w:t>3</w:t>
      </w:r>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r w:rsidRPr="005E5FA8">
        <w:fldChar w:fldCharType="end"/>
      </w:r>
      <w:r w:rsidRPr="005E5FA8">
        <w:tab/>
        <w:t>Average willingness to pay for improvements in availability of charging (2019$)</w:t>
      </w:r>
      <w:bookmarkEnd w:id="8739"/>
      <w:bookmarkEnd w:id="8740"/>
      <w:bookmarkEnd w:id="8741"/>
      <w:bookmarkEnd w:id="8742"/>
    </w:p>
    <w:tbl>
      <w:tblPr>
        <w:tblW w:w="7936" w:type="dxa"/>
        <w:tblLook w:val="04A0" w:firstRow="1" w:lastRow="0" w:firstColumn="1" w:lastColumn="0" w:noHBand="0" w:noVBand="1"/>
        <w:tblCaption w:val="Table D.3"/>
        <w:tblDescription w:val="Average willingness to pay for improvements in availability of charging (2019$)"/>
      </w:tblPr>
      <w:tblGrid>
        <w:gridCol w:w="1984"/>
        <w:gridCol w:w="1984"/>
        <w:gridCol w:w="1984"/>
        <w:gridCol w:w="1984"/>
      </w:tblGrid>
      <w:tr w:rsidR="00D24C7F" w14:paraId="7A344297" w14:textId="77777777">
        <w:trPr>
          <w:trHeight w:val="290"/>
          <w:tblHeader/>
        </w:trPr>
        <w:tc>
          <w:tcPr>
            <w:tcW w:w="1984" w:type="dxa"/>
            <w:shd w:val="clear" w:color="auto" w:fill="6F6652"/>
            <w:noWrap/>
            <w:tcMar>
              <w:top w:w="0" w:type="dxa"/>
              <w:left w:w="57" w:type="dxa"/>
              <w:bottom w:w="0" w:type="dxa"/>
              <w:right w:w="57" w:type="dxa"/>
            </w:tcMar>
            <w:hideMark/>
          </w:tcPr>
          <w:p w14:paraId="4157F2FD" w14:textId="77777777" w:rsidR="00D24C7F" w:rsidRDefault="00D24C7F">
            <w:pPr>
              <w:pStyle w:val="TableDataColumnHeading"/>
              <w:jc w:val="left"/>
            </w:pPr>
            <w:r>
              <w:t>Battery range</w:t>
            </w:r>
          </w:p>
          <w:p w14:paraId="6611B876" w14:textId="77777777" w:rsidR="00D24C7F" w:rsidRDefault="00D24C7F">
            <w:pPr>
              <w:pStyle w:val="TableDataColumnHeading"/>
              <w:jc w:val="left"/>
            </w:pPr>
            <w:r>
              <w:t>(km)</w:t>
            </w:r>
          </w:p>
        </w:tc>
        <w:tc>
          <w:tcPr>
            <w:tcW w:w="1984" w:type="dxa"/>
            <w:shd w:val="clear" w:color="auto" w:fill="6F6652"/>
            <w:noWrap/>
            <w:tcMar>
              <w:top w:w="0" w:type="dxa"/>
              <w:left w:w="57" w:type="dxa"/>
              <w:bottom w:w="0" w:type="dxa"/>
              <w:right w:w="57" w:type="dxa"/>
            </w:tcMar>
            <w:hideMark/>
          </w:tcPr>
          <w:p w14:paraId="50DE7DED" w14:textId="77777777" w:rsidR="00D24C7F" w:rsidRDefault="00D24C7F">
            <w:pPr>
              <w:pStyle w:val="TableDataColumnHeading"/>
            </w:pPr>
            <w:r>
              <w:t>Availability of charging on major highways</w:t>
            </w:r>
          </w:p>
          <w:p w14:paraId="0291DEFE" w14:textId="77777777" w:rsidR="00D24C7F" w:rsidRDefault="00D24C7F">
            <w:pPr>
              <w:pStyle w:val="TableDataColumnHeading"/>
              <w:rPr>
                <w:sz w:val="20"/>
                <w:szCs w:val="20"/>
              </w:rPr>
            </w:pPr>
            <w:r>
              <w:t>(every 300 km to every 200 km)</w:t>
            </w:r>
          </w:p>
        </w:tc>
        <w:tc>
          <w:tcPr>
            <w:tcW w:w="1984" w:type="dxa"/>
            <w:shd w:val="clear" w:color="auto" w:fill="6F6652"/>
          </w:tcPr>
          <w:p w14:paraId="31246D59" w14:textId="77777777" w:rsidR="00D24C7F" w:rsidRDefault="00D24C7F">
            <w:pPr>
              <w:pStyle w:val="TableDataColumnHeading"/>
            </w:pPr>
            <w:r>
              <w:t>Availability of charging on major highways</w:t>
            </w:r>
          </w:p>
          <w:p w14:paraId="5D83B637" w14:textId="77777777" w:rsidR="00D24C7F" w:rsidRDefault="00D24C7F">
            <w:pPr>
              <w:pStyle w:val="TableDataColumnHeading"/>
              <w:rPr>
                <w:sz w:val="20"/>
                <w:szCs w:val="20"/>
              </w:rPr>
            </w:pPr>
            <w:r>
              <w:t>(every 200 km to every 100 km)</w:t>
            </w:r>
          </w:p>
        </w:tc>
        <w:tc>
          <w:tcPr>
            <w:tcW w:w="1984" w:type="dxa"/>
            <w:shd w:val="clear" w:color="auto" w:fill="6F6652"/>
            <w:noWrap/>
            <w:tcMar>
              <w:top w:w="0" w:type="dxa"/>
              <w:left w:w="57" w:type="dxa"/>
              <w:bottom w:w="0" w:type="dxa"/>
              <w:right w:w="57" w:type="dxa"/>
            </w:tcMar>
            <w:hideMark/>
          </w:tcPr>
          <w:p w14:paraId="20F24662" w14:textId="77777777" w:rsidR="00D24C7F" w:rsidRDefault="00D24C7F">
            <w:pPr>
              <w:pStyle w:val="TableDataColumnHeading"/>
            </w:pPr>
            <w:r>
              <w:t>Availability of charging at major shopping centres and commercial car parks</w:t>
            </w:r>
          </w:p>
          <w:p w14:paraId="0982CE62" w14:textId="77777777" w:rsidR="00D24C7F" w:rsidRDefault="00D24C7F">
            <w:pPr>
              <w:pStyle w:val="TableDataColumnHeading"/>
              <w:rPr>
                <w:sz w:val="20"/>
                <w:szCs w:val="20"/>
              </w:rPr>
            </w:pPr>
            <w:r>
              <w:t xml:space="preserve">(per 10 percentage points) </w:t>
            </w:r>
          </w:p>
        </w:tc>
      </w:tr>
      <w:tr w:rsidR="00D24C7F" w14:paraId="273EFDD8" w14:textId="77777777">
        <w:trPr>
          <w:trHeight w:val="290"/>
        </w:trPr>
        <w:tc>
          <w:tcPr>
            <w:tcW w:w="1984" w:type="dxa"/>
            <w:tcBorders>
              <w:top w:val="single" w:sz="8" w:space="0" w:color="FFFFFF" w:themeColor="background1"/>
              <w:left w:val="nil"/>
              <w:bottom w:val="single" w:sz="8" w:space="0" w:color="FFFFFF" w:themeColor="background1"/>
              <w:right w:val="nil"/>
            </w:tcBorders>
            <w:shd w:val="clear" w:color="auto" w:fill="E9E8E5" w:themeFill="background2"/>
            <w:noWrap/>
            <w:tcMar>
              <w:top w:w="0" w:type="dxa"/>
              <w:left w:w="57" w:type="dxa"/>
              <w:bottom w:w="0" w:type="dxa"/>
              <w:right w:w="57" w:type="dxa"/>
            </w:tcMar>
            <w:hideMark/>
          </w:tcPr>
          <w:p w14:paraId="41EB9583" w14:textId="77777777" w:rsidR="00D24C7F" w:rsidRDefault="00D24C7F">
            <w:pPr>
              <w:pStyle w:val="TableDataEntries"/>
              <w:jc w:val="left"/>
            </w:pPr>
            <w:r>
              <w:t>150</w:t>
            </w:r>
          </w:p>
        </w:tc>
        <w:tc>
          <w:tcPr>
            <w:tcW w:w="1984" w:type="dxa"/>
            <w:tcBorders>
              <w:top w:val="single" w:sz="8" w:space="0" w:color="FFFFFF" w:themeColor="background1"/>
              <w:left w:val="nil"/>
              <w:bottom w:val="single" w:sz="8" w:space="0" w:color="FFFFFF" w:themeColor="background1"/>
              <w:right w:val="nil"/>
            </w:tcBorders>
            <w:shd w:val="clear" w:color="auto" w:fill="E9E8E5" w:themeFill="background2"/>
            <w:noWrap/>
            <w:tcMar>
              <w:top w:w="0" w:type="dxa"/>
              <w:left w:w="57" w:type="dxa"/>
              <w:bottom w:w="0" w:type="dxa"/>
              <w:right w:w="57" w:type="dxa"/>
            </w:tcMar>
            <w:vAlign w:val="center"/>
            <w:hideMark/>
          </w:tcPr>
          <w:p w14:paraId="05D3A9C5" w14:textId="77777777" w:rsidR="00D24C7F" w:rsidRDefault="00D24C7F">
            <w:pPr>
              <w:pStyle w:val="TableDataEntries"/>
            </w:pPr>
            <w:r>
              <w:rPr>
                <w:szCs w:val="16"/>
              </w:rPr>
              <w:t>4,782</w:t>
            </w:r>
          </w:p>
        </w:tc>
        <w:tc>
          <w:tcPr>
            <w:tcW w:w="1984" w:type="dxa"/>
            <w:tcBorders>
              <w:top w:val="single" w:sz="8" w:space="0" w:color="FFFFFF" w:themeColor="background1"/>
              <w:left w:val="nil"/>
              <w:bottom w:val="single" w:sz="8" w:space="0" w:color="FFFFFF" w:themeColor="background1"/>
              <w:right w:val="nil"/>
            </w:tcBorders>
            <w:shd w:val="clear" w:color="auto" w:fill="E9E8E5" w:themeFill="background2"/>
            <w:noWrap/>
            <w:tcMar>
              <w:top w:w="0" w:type="dxa"/>
              <w:left w:w="57" w:type="dxa"/>
              <w:bottom w:w="0" w:type="dxa"/>
              <w:right w:w="57" w:type="dxa"/>
            </w:tcMar>
            <w:vAlign w:val="center"/>
            <w:hideMark/>
          </w:tcPr>
          <w:p w14:paraId="2424A29D" w14:textId="77777777" w:rsidR="00D24C7F" w:rsidRDefault="00D24C7F">
            <w:pPr>
              <w:pStyle w:val="TableDataEntries"/>
            </w:pPr>
            <w:r>
              <w:rPr>
                <w:szCs w:val="16"/>
              </w:rPr>
              <w:t>2,107</w:t>
            </w:r>
          </w:p>
        </w:tc>
        <w:tc>
          <w:tcPr>
            <w:tcW w:w="1984" w:type="dxa"/>
            <w:tcBorders>
              <w:top w:val="single" w:sz="8" w:space="0" w:color="FFFFFF" w:themeColor="background1"/>
              <w:left w:val="nil"/>
              <w:bottom w:val="single" w:sz="8" w:space="0" w:color="FFFFFF" w:themeColor="background1"/>
              <w:right w:val="nil"/>
            </w:tcBorders>
            <w:shd w:val="clear" w:color="auto" w:fill="E9E8E5" w:themeFill="background2"/>
            <w:noWrap/>
            <w:tcMar>
              <w:top w:w="0" w:type="dxa"/>
              <w:left w:w="57" w:type="dxa"/>
              <w:bottom w:w="0" w:type="dxa"/>
              <w:right w:w="57" w:type="dxa"/>
            </w:tcMar>
            <w:vAlign w:val="center"/>
            <w:hideMark/>
          </w:tcPr>
          <w:p w14:paraId="2C7F35C8" w14:textId="77777777" w:rsidR="00D24C7F" w:rsidRDefault="00D24C7F">
            <w:pPr>
              <w:pStyle w:val="TableDataEntries"/>
            </w:pPr>
            <w:r>
              <w:rPr>
                <w:szCs w:val="16"/>
              </w:rPr>
              <w:t>382</w:t>
            </w:r>
          </w:p>
        </w:tc>
      </w:tr>
      <w:tr w:rsidR="00D24C7F" w14:paraId="48F2BD9E" w14:textId="77777777">
        <w:trPr>
          <w:trHeight w:val="290"/>
        </w:trPr>
        <w:tc>
          <w:tcPr>
            <w:tcW w:w="1984" w:type="dxa"/>
            <w:tcBorders>
              <w:top w:val="single" w:sz="8" w:space="0" w:color="FFFFFF" w:themeColor="background1"/>
              <w:left w:val="nil"/>
              <w:bottom w:val="single" w:sz="8" w:space="0" w:color="FFFFFF" w:themeColor="background1"/>
              <w:right w:val="nil"/>
            </w:tcBorders>
            <w:shd w:val="clear" w:color="auto" w:fill="E9E8E5" w:themeFill="background2"/>
            <w:noWrap/>
            <w:tcMar>
              <w:top w:w="0" w:type="dxa"/>
              <w:left w:w="57" w:type="dxa"/>
              <w:bottom w:w="0" w:type="dxa"/>
              <w:right w:w="57" w:type="dxa"/>
            </w:tcMar>
            <w:hideMark/>
          </w:tcPr>
          <w:p w14:paraId="369D062F" w14:textId="77777777" w:rsidR="00D24C7F" w:rsidRDefault="00D24C7F">
            <w:pPr>
              <w:pStyle w:val="TableDataEntries"/>
              <w:jc w:val="left"/>
            </w:pPr>
            <w:r>
              <w:t>230</w:t>
            </w:r>
          </w:p>
        </w:tc>
        <w:tc>
          <w:tcPr>
            <w:tcW w:w="1984" w:type="dxa"/>
            <w:tcBorders>
              <w:top w:val="single" w:sz="8" w:space="0" w:color="FFFFFF" w:themeColor="background1"/>
              <w:left w:val="nil"/>
              <w:bottom w:val="single" w:sz="8" w:space="0" w:color="FFFFFF" w:themeColor="background1"/>
              <w:right w:val="nil"/>
            </w:tcBorders>
            <w:shd w:val="clear" w:color="auto" w:fill="E9E8E5" w:themeFill="background2"/>
            <w:noWrap/>
            <w:tcMar>
              <w:top w:w="0" w:type="dxa"/>
              <w:left w:w="57" w:type="dxa"/>
              <w:bottom w:w="0" w:type="dxa"/>
              <w:right w:w="57" w:type="dxa"/>
            </w:tcMar>
            <w:vAlign w:val="center"/>
            <w:hideMark/>
          </w:tcPr>
          <w:p w14:paraId="41031430" w14:textId="77777777" w:rsidR="00D24C7F" w:rsidRDefault="00D24C7F">
            <w:pPr>
              <w:pStyle w:val="TableDataEntries"/>
            </w:pPr>
            <w:r>
              <w:rPr>
                <w:szCs w:val="16"/>
              </w:rPr>
              <w:t>3,602</w:t>
            </w:r>
          </w:p>
        </w:tc>
        <w:tc>
          <w:tcPr>
            <w:tcW w:w="1984" w:type="dxa"/>
            <w:tcBorders>
              <w:top w:val="single" w:sz="8" w:space="0" w:color="FFFFFF" w:themeColor="background1"/>
              <w:left w:val="nil"/>
              <w:bottom w:val="single" w:sz="8" w:space="0" w:color="FFFFFF" w:themeColor="background1"/>
              <w:right w:val="nil"/>
            </w:tcBorders>
            <w:shd w:val="clear" w:color="auto" w:fill="E9E8E5" w:themeFill="background2"/>
            <w:noWrap/>
            <w:tcMar>
              <w:top w:w="0" w:type="dxa"/>
              <w:left w:w="57" w:type="dxa"/>
              <w:bottom w:w="0" w:type="dxa"/>
              <w:right w:w="57" w:type="dxa"/>
            </w:tcMar>
            <w:vAlign w:val="center"/>
            <w:hideMark/>
          </w:tcPr>
          <w:p w14:paraId="2E2A4A7C" w14:textId="77777777" w:rsidR="00D24C7F" w:rsidRDefault="00D24C7F">
            <w:pPr>
              <w:pStyle w:val="TableDataEntries"/>
            </w:pPr>
            <w:r>
              <w:rPr>
                <w:szCs w:val="16"/>
              </w:rPr>
              <w:t>927</w:t>
            </w:r>
          </w:p>
        </w:tc>
        <w:tc>
          <w:tcPr>
            <w:tcW w:w="1984" w:type="dxa"/>
            <w:tcBorders>
              <w:top w:val="single" w:sz="8" w:space="0" w:color="FFFFFF" w:themeColor="background1"/>
              <w:left w:val="nil"/>
              <w:bottom w:val="single" w:sz="8" w:space="0" w:color="FFFFFF" w:themeColor="background1"/>
              <w:right w:val="nil"/>
            </w:tcBorders>
            <w:shd w:val="clear" w:color="auto" w:fill="E9E8E5" w:themeFill="background2"/>
            <w:noWrap/>
            <w:tcMar>
              <w:top w:w="0" w:type="dxa"/>
              <w:left w:w="57" w:type="dxa"/>
              <w:bottom w:w="0" w:type="dxa"/>
              <w:right w:w="57" w:type="dxa"/>
            </w:tcMar>
            <w:vAlign w:val="center"/>
            <w:hideMark/>
          </w:tcPr>
          <w:p w14:paraId="277830BE" w14:textId="77777777" w:rsidR="00D24C7F" w:rsidRDefault="00D24C7F">
            <w:pPr>
              <w:pStyle w:val="TableDataEntries"/>
            </w:pPr>
            <w:r>
              <w:rPr>
                <w:szCs w:val="16"/>
              </w:rPr>
              <w:t>228</w:t>
            </w:r>
          </w:p>
        </w:tc>
      </w:tr>
      <w:tr w:rsidR="00D24C7F" w14:paraId="70745C39" w14:textId="77777777">
        <w:trPr>
          <w:trHeight w:val="290"/>
        </w:trPr>
        <w:tc>
          <w:tcPr>
            <w:tcW w:w="1984" w:type="dxa"/>
            <w:tcBorders>
              <w:top w:val="single" w:sz="8" w:space="0" w:color="FFFFFF" w:themeColor="background1"/>
              <w:left w:val="nil"/>
              <w:bottom w:val="single" w:sz="6" w:space="0" w:color="6F6652"/>
              <w:right w:val="nil"/>
            </w:tcBorders>
            <w:shd w:val="clear" w:color="auto" w:fill="E9E8E5" w:themeFill="background2"/>
            <w:noWrap/>
            <w:tcMar>
              <w:top w:w="0" w:type="dxa"/>
              <w:left w:w="57" w:type="dxa"/>
              <w:bottom w:w="0" w:type="dxa"/>
              <w:right w:w="57" w:type="dxa"/>
            </w:tcMar>
            <w:hideMark/>
          </w:tcPr>
          <w:p w14:paraId="23613303" w14:textId="77777777" w:rsidR="00D24C7F" w:rsidRDefault="00D24C7F">
            <w:pPr>
              <w:pStyle w:val="TableDataEntries"/>
              <w:jc w:val="left"/>
            </w:pPr>
            <w:r>
              <w:t>320</w:t>
            </w:r>
          </w:p>
        </w:tc>
        <w:tc>
          <w:tcPr>
            <w:tcW w:w="1984" w:type="dxa"/>
            <w:tcBorders>
              <w:top w:val="single" w:sz="8" w:space="0" w:color="FFFFFF" w:themeColor="background1"/>
              <w:left w:val="nil"/>
              <w:bottom w:val="single" w:sz="6" w:space="0" w:color="6F6652"/>
              <w:right w:val="nil"/>
            </w:tcBorders>
            <w:shd w:val="clear" w:color="auto" w:fill="E9E8E5" w:themeFill="background2"/>
            <w:noWrap/>
            <w:tcMar>
              <w:top w:w="0" w:type="dxa"/>
              <w:left w:w="57" w:type="dxa"/>
              <w:bottom w:w="0" w:type="dxa"/>
              <w:right w:w="57" w:type="dxa"/>
            </w:tcMar>
            <w:vAlign w:val="center"/>
            <w:hideMark/>
          </w:tcPr>
          <w:p w14:paraId="62EEC10C" w14:textId="77777777" w:rsidR="00D24C7F" w:rsidRDefault="00D24C7F">
            <w:pPr>
              <w:pStyle w:val="TableDataEntries"/>
            </w:pPr>
            <w:r>
              <w:rPr>
                <w:szCs w:val="16"/>
              </w:rPr>
              <w:t>2,691</w:t>
            </w:r>
          </w:p>
        </w:tc>
        <w:tc>
          <w:tcPr>
            <w:tcW w:w="1984" w:type="dxa"/>
            <w:tcBorders>
              <w:top w:val="single" w:sz="8" w:space="0" w:color="FFFFFF" w:themeColor="background1"/>
              <w:left w:val="nil"/>
              <w:bottom w:val="single" w:sz="6" w:space="0" w:color="6F6652"/>
              <w:right w:val="nil"/>
            </w:tcBorders>
            <w:shd w:val="clear" w:color="auto" w:fill="E9E8E5" w:themeFill="background2"/>
            <w:noWrap/>
            <w:tcMar>
              <w:top w:w="0" w:type="dxa"/>
              <w:left w:w="57" w:type="dxa"/>
              <w:bottom w:w="0" w:type="dxa"/>
              <w:right w:w="57" w:type="dxa"/>
            </w:tcMar>
            <w:vAlign w:val="center"/>
            <w:hideMark/>
          </w:tcPr>
          <w:p w14:paraId="7C70C3B8" w14:textId="77777777" w:rsidR="00D24C7F" w:rsidRDefault="00D24C7F">
            <w:pPr>
              <w:pStyle w:val="TableDataEntries"/>
            </w:pPr>
            <w:r>
              <w:rPr>
                <w:szCs w:val="16"/>
              </w:rPr>
              <w:t>16</w:t>
            </w:r>
          </w:p>
        </w:tc>
        <w:tc>
          <w:tcPr>
            <w:tcW w:w="1984" w:type="dxa"/>
            <w:tcBorders>
              <w:top w:val="single" w:sz="8" w:space="0" w:color="FFFFFF" w:themeColor="background1"/>
              <w:left w:val="nil"/>
              <w:bottom w:val="single" w:sz="6" w:space="0" w:color="6F6652"/>
              <w:right w:val="nil"/>
            </w:tcBorders>
            <w:shd w:val="clear" w:color="auto" w:fill="E9E8E5" w:themeFill="background2"/>
            <w:noWrap/>
            <w:tcMar>
              <w:top w:w="0" w:type="dxa"/>
              <w:left w:w="57" w:type="dxa"/>
              <w:bottom w:w="0" w:type="dxa"/>
              <w:right w:w="57" w:type="dxa"/>
            </w:tcMar>
            <w:vAlign w:val="center"/>
            <w:hideMark/>
          </w:tcPr>
          <w:p w14:paraId="0D116C4C" w14:textId="77777777" w:rsidR="00D24C7F" w:rsidRDefault="00D24C7F">
            <w:pPr>
              <w:pStyle w:val="TableDataEntries"/>
            </w:pPr>
            <w:r>
              <w:rPr>
                <w:szCs w:val="16"/>
              </w:rPr>
              <w:t>109</w:t>
            </w:r>
          </w:p>
        </w:tc>
      </w:tr>
    </w:tbl>
    <w:p w14:paraId="3B02F4E3" w14:textId="77777777" w:rsidR="00D24C7F" w:rsidRDefault="00D24C7F" w:rsidP="00D24C7F">
      <w:pPr>
        <w:pStyle w:val="Source"/>
        <w:rPr>
          <w:i/>
        </w:rPr>
      </w:pPr>
      <w:r>
        <w:rPr>
          <w:i/>
        </w:rPr>
        <w:t>All vehicle types n=3021, reweighted to account for oversampling of persons with university degrees</w:t>
      </w:r>
    </w:p>
    <w:p w14:paraId="7B797DCE" w14:textId="0C44E913" w:rsidR="00D24C7F" w:rsidRDefault="00D24C7F" w:rsidP="00D24C7F">
      <w:pPr>
        <w:pStyle w:val="Note"/>
      </w:pPr>
      <w:r>
        <w:rPr>
          <w:i/>
        </w:rPr>
        <w:t>Note:</w:t>
      </w:r>
      <w:r>
        <w:t xml:space="preserve"> Assumes vehicle is a battery </w:t>
      </w:r>
      <w:r w:rsidR="00E5280B">
        <w:t>EV</w:t>
      </w:r>
      <w:r>
        <w:t xml:space="preserve">, rather than a plug-in hybrid </w:t>
      </w:r>
      <w:r w:rsidR="0004222D">
        <w:t>EV</w:t>
      </w:r>
    </w:p>
    <w:p w14:paraId="7EDC43C4" w14:textId="7FCE9A54" w:rsidR="00D24C7F" w:rsidRDefault="00D24C7F" w:rsidP="00D24C7F">
      <w:pPr>
        <w:pStyle w:val="Source"/>
      </w:pPr>
      <w:r>
        <w:rPr>
          <w:i/>
        </w:rPr>
        <w:t>Source:</w:t>
      </w:r>
      <w:r>
        <w:t xml:space="preserve"> CIE 2019. Demand for </w:t>
      </w:r>
      <w:r w:rsidR="00297407">
        <w:t>EV</w:t>
      </w:r>
      <w:r>
        <w:t>s – a discrete choice survey. Final Report prepared for Australian Automobile Association, 22 January.</w:t>
      </w:r>
    </w:p>
    <w:p w14:paraId="6320A0D3" w14:textId="77777777" w:rsidR="00D24C7F" w:rsidRDefault="00D24C7F" w:rsidP="00D24C7F">
      <w:pPr>
        <w:pStyle w:val="Heading7"/>
        <w:rPr>
          <w:lang w:bidi="fa-IR"/>
        </w:rPr>
      </w:pPr>
      <w:r>
        <w:rPr>
          <w:lang w:bidi="fa-IR"/>
        </w:rPr>
        <w:t>Charging availability</w:t>
      </w:r>
    </w:p>
    <w:p w14:paraId="75C6AAC5" w14:textId="66D29C7F" w:rsidR="00D24C7F" w:rsidRDefault="00D24C7F" w:rsidP="00D24C7F">
      <w:pPr>
        <w:pStyle w:val="BodyText"/>
        <w:rPr>
          <w:lang w:bidi="fa-IR"/>
        </w:rPr>
      </w:pPr>
      <w:r>
        <w:rPr>
          <w:lang w:bidi="fa-IR"/>
        </w:rPr>
        <w:t xml:space="preserve">There are many factors influencing the provision of charging infrastructure in new commercial developments, including vehicle manufacturer and energy retailer initiatives and interventions at all levels of government. The starting point for our forecast will be a continuation of the historical trend in availability of charging infrastructure. The forecast will be checked for consistency with the assumptions made by CSIRO in its EV projections for AEMO. CSIRO has not made explicit assumptions about charging availability. However, CSIRO assumes, based on transport analysis and evidence from overseas, that 10 per cent of EV charging will occur at public fast chargers (table </w:t>
      </w:r>
      <w:r w:rsidR="00CD0272">
        <w:rPr>
          <w:lang w:bidi="fa-IR"/>
        </w:rPr>
        <w:t>E.4</w:t>
      </w:r>
      <w:r>
        <w:rPr>
          <w:lang w:bidi="fa-IR"/>
        </w:rPr>
        <w:t>). The CIE will review the availability of charging in the countries from which this figure was derived.</w:t>
      </w:r>
    </w:p>
    <w:p w14:paraId="61924BE3" w14:textId="23FEACDA" w:rsidR="00D24C7F" w:rsidRPr="005E5FA8" w:rsidRDefault="00D24C7F" w:rsidP="00CA0DBC">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E</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3</w:instrText>
        </w:r>
      </w:fldSimple>
      <w:r w:rsidRPr="005E5FA8">
        <w:instrText xml:space="preserve"> = 0 "" "</w:instrText>
      </w:r>
      <w:fldSimple w:instr=" STYLEREF &quot;Heading 1&quot; \l \n ">
        <w:r w:rsidRPr="005E5FA8">
          <w:instrText>3</w:instrText>
        </w:r>
      </w:fldSimple>
      <w:r w:rsidRPr="005E5FA8">
        <w:instrText xml:space="preserve">." </w:instrText>
      </w:r>
      <w:r w:rsidRPr="005E5FA8">
        <w:fldChar w:fldCharType="separate"/>
      </w:r>
      <w:r w:rsidRPr="005E5FA8">
        <w:instrText>3.</w:instrText>
      </w:r>
      <w:r w:rsidRPr="005E5FA8">
        <w:fldChar w:fldCharType="end"/>
      </w:r>
      <w:r w:rsidRPr="005E5FA8">
        <w:instrText>" "</w:instrText>
      </w:r>
      <w:fldSimple w:instr=" STYLEREF &quot;Heading 6&quot; \l \n ">
        <w:r w:rsidR="00581346">
          <w:rPr>
            <w:noProof/>
          </w:rPr>
          <w:instrText>E</w:instrText>
        </w:r>
      </w:fldSimple>
      <w:r w:rsidRPr="005E5FA8">
        <w:instrText xml:space="preserve">." </w:instrText>
      </w:r>
      <w:r w:rsidRPr="005E5FA8">
        <w:fldChar w:fldCharType="separate"/>
      </w:r>
      <w:r w:rsidR="00581346">
        <w:rPr>
          <w:noProof/>
        </w:rPr>
        <w:instrText>E</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E</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3</w:instrText>
        </w:r>
      </w:fldSimple>
      <w:r w:rsidRPr="005E5FA8">
        <w:instrText xml:space="preserve"> = 0 "" "1" </w:instrText>
      </w:r>
      <w:r w:rsidRPr="005E5FA8">
        <w:fldChar w:fldCharType="separate"/>
      </w:r>
      <w:r w:rsidRPr="005E5FA8">
        <w:instrText>1</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4</w:instrText>
      </w:r>
      <w:r w:rsidRPr="005E5FA8">
        <w:fldChar w:fldCharType="end"/>
      </w:r>
      <w:r w:rsidRPr="005E5FA8">
        <w:instrText xml:space="preserve">" "" </w:instrText>
      </w:r>
      <w:r w:rsidRPr="005E5FA8">
        <w:fldChar w:fldCharType="separate"/>
      </w:r>
      <w:bookmarkStart w:id="8743" w:name="_Caption7684"/>
      <w:bookmarkStart w:id="8744" w:name="_Caption2850"/>
      <w:bookmarkStart w:id="8745" w:name="_Caption2528"/>
      <w:bookmarkStart w:id="8746" w:name="_Caption5006"/>
      <w:bookmarkStart w:id="8747" w:name="_Caption6529"/>
      <w:bookmarkStart w:id="8748" w:name="_Caption1670"/>
      <w:bookmarkStart w:id="8749" w:name="_Caption1472"/>
      <w:bookmarkStart w:id="8750" w:name="_Caption8485"/>
      <w:bookmarkStart w:id="8751" w:name="_Caption5361"/>
      <w:bookmarkStart w:id="8752" w:name="_Caption9511"/>
      <w:bookmarkStart w:id="8753" w:name="_Caption9445"/>
      <w:bookmarkStart w:id="8754" w:name="_Caption3309"/>
      <w:bookmarkStart w:id="8755" w:name="_Caption4724"/>
      <w:bookmarkStart w:id="8756" w:name="_Caption0783"/>
      <w:bookmarkStart w:id="8757" w:name="_Caption2377"/>
      <w:bookmarkStart w:id="8758" w:name="_Caption3106"/>
      <w:bookmarkStart w:id="8759" w:name="_Caption5254"/>
      <w:bookmarkStart w:id="8760" w:name="_Caption8364"/>
      <w:bookmarkStart w:id="8761" w:name="_Caption6976"/>
      <w:bookmarkStart w:id="8762" w:name="_Caption9407"/>
      <w:bookmarkStart w:id="8763" w:name="_Caption4783"/>
      <w:bookmarkStart w:id="8764" w:name="_Caption9677"/>
      <w:bookmarkStart w:id="8765" w:name="_Caption2083"/>
      <w:bookmarkStart w:id="8766" w:name="_Caption7389"/>
      <w:bookmarkStart w:id="8767" w:name="_Caption2916"/>
      <w:bookmarkStart w:id="8768" w:name="_Caption7790"/>
      <w:bookmarkStart w:id="8769" w:name="_Caption9657"/>
      <w:bookmarkStart w:id="8770" w:name="_Caption5084"/>
      <w:bookmarkStart w:id="8771" w:name="_Caption3038"/>
      <w:bookmarkStart w:id="8772" w:name="_Caption7509"/>
      <w:bookmarkStart w:id="8773" w:name="_Caption0920"/>
      <w:bookmarkStart w:id="8774" w:name="_Caption3105"/>
      <w:bookmarkStart w:id="8775" w:name="_Caption4026"/>
      <w:bookmarkStart w:id="8776" w:name="_Caption8444"/>
      <w:bookmarkStart w:id="8777" w:name="_Caption7700"/>
      <w:bookmarkStart w:id="8778" w:name="_Caption9010"/>
      <w:bookmarkStart w:id="8779" w:name="_Caption5821"/>
      <w:bookmarkStart w:id="8780" w:name="_Caption6368"/>
      <w:bookmarkStart w:id="8781" w:name="_Caption8904"/>
      <w:bookmarkStart w:id="8782" w:name="_Caption5690"/>
      <w:bookmarkStart w:id="8783" w:name="_Caption3441"/>
      <w:bookmarkStart w:id="8784" w:name="_Caption4847"/>
      <w:bookmarkStart w:id="8785" w:name="_Caption3458"/>
      <w:bookmarkStart w:id="8786" w:name="_Caption5971"/>
      <w:bookmarkStart w:id="8787" w:name="_Caption9664"/>
      <w:bookmarkStart w:id="8788" w:name="_Caption5599"/>
      <w:bookmarkStart w:id="8789" w:name="_Caption7314"/>
      <w:bookmarkStart w:id="8790" w:name="_Caption1084"/>
      <w:bookmarkStart w:id="8791" w:name="_Caption1848"/>
      <w:bookmarkStart w:id="8792" w:name="_Caption3452"/>
      <w:bookmarkStart w:id="8793" w:name="_Caption6459"/>
      <w:bookmarkStart w:id="8794" w:name="_Caption1873"/>
      <w:bookmarkStart w:id="8795" w:name="_Caption1108"/>
      <w:bookmarkStart w:id="8796" w:name="_Caption0324"/>
      <w:bookmarkStart w:id="8797" w:name="_Caption0958"/>
      <w:bookmarkStart w:id="8798" w:name="_Caption2571"/>
      <w:bookmarkStart w:id="8799" w:name="_Caption6861"/>
      <w:bookmarkStart w:id="8800" w:name="_Caption8172"/>
      <w:bookmarkStart w:id="8801" w:name="_Caption2991"/>
      <w:bookmarkStart w:id="8802" w:name="_Caption9042"/>
      <w:bookmarkStart w:id="8803" w:name="_Caption6121"/>
      <w:bookmarkStart w:id="8804" w:name="_Caption4199"/>
      <w:bookmarkStart w:id="8805" w:name="_Caption7555"/>
      <w:bookmarkStart w:id="8806" w:name="_Caption6184"/>
      <w:bookmarkStart w:id="8807" w:name="_Caption8095"/>
      <w:bookmarkStart w:id="8808" w:name="_Caption3486"/>
      <w:bookmarkStart w:id="8809" w:name="_Caption2072"/>
      <w:bookmarkStart w:id="8810" w:name="_Caption5998"/>
      <w:bookmarkStart w:id="8811" w:name="_Caption5016"/>
      <w:bookmarkStart w:id="8812" w:name="_Caption0430"/>
      <w:bookmarkStart w:id="8813" w:name="_Caption6182"/>
      <w:bookmarkStart w:id="8814" w:name="_Caption6425"/>
      <w:bookmarkStart w:id="8815" w:name="_Caption8062"/>
      <w:bookmarkStart w:id="8816" w:name="_Caption0876"/>
      <w:bookmarkStart w:id="8817" w:name="_Caption0002"/>
      <w:bookmarkStart w:id="8818" w:name="_Caption8572"/>
      <w:bookmarkStart w:id="8819" w:name="_Caption6199"/>
      <w:bookmarkStart w:id="8820" w:name="_Caption0086"/>
      <w:bookmarkStart w:id="8821" w:name="_Caption7342"/>
      <w:bookmarkStart w:id="8822" w:name="_Caption3739"/>
      <w:bookmarkStart w:id="8823" w:name="_Caption4880"/>
      <w:bookmarkStart w:id="8824" w:name="_Toc136527084"/>
      <w:bookmarkStart w:id="8825" w:name="_Toc149060105"/>
      <w:bookmarkStart w:id="8826" w:name="_Toc177735233"/>
      <w:bookmarkStart w:id="8827" w:name="_Toc178292675"/>
      <w:r w:rsidR="008C60A3">
        <w:rPr>
          <w:noProof/>
        </w:rPr>
        <w:t>E</w:t>
      </w:r>
      <w:r w:rsidR="008C60A3" w:rsidRPr="005E5FA8">
        <w:rPr>
          <w:noProof/>
        </w:rPr>
        <w:t>.</w:t>
      </w:r>
      <w:r w:rsidR="008C60A3">
        <w:rPr>
          <w:noProof/>
        </w:rPr>
        <w:t>4</w:t>
      </w:r>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r w:rsidRPr="005E5FA8">
        <w:fldChar w:fldCharType="end"/>
      </w:r>
      <w:r w:rsidRPr="005E5FA8">
        <w:tab/>
        <w:t>CSIRO maximum market share prior to internal combustion engine vehicle collapse</w:t>
      </w:r>
      <w:bookmarkEnd w:id="8824"/>
      <w:bookmarkEnd w:id="8825"/>
      <w:bookmarkEnd w:id="8826"/>
      <w:bookmarkEnd w:id="8827"/>
    </w:p>
    <w:tbl>
      <w:tblPr>
        <w:tblW w:w="0" w:type="auto"/>
        <w:tblLayout w:type="fixed"/>
        <w:tblLook w:val="0000" w:firstRow="0" w:lastRow="0" w:firstColumn="0" w:lastColumn="0" w:noHBand="0" w:noVBand="0"/>
        <w:tblCaption w:val="Table D.4"/>
        <w:tblDescription w:val="CSIRO maximum market share prior to internal combustion engine vehicle collapse"/>
      </w:tblPr>
      <w:tblGrid>
        <w:gridCol w:w="1701"/>
        <w:gridCol w:w="1473"/>
        <w:gridCol w:w="1587"/>
        <w:gridCol w:w="1588"/>
        <w:gridCol w:w="1588"/>
      </w:tblGrid>
      <w:tr w:rsidR="00D24C7F" w14:paraId="5F7A71ED" w14:textId="77777777">
        <w:tc>
          <w:tcPr>
            <w:tcW w:w="1701" w:type="dxa"/>
            <w:shd w:val="clear" w:color="auto" w:fill="6F6652"/>
            <w:tcMar>
              <w:left w:w="57" w:type="dxa"/>
              <w:right w:w="57" w:type="dxa"/>
            </w:tcMar>
          </w:tcPr>
          <w:p w14:paraId="44763B46" w14:textId="77777777" w:rsidR="00D24C7F" w:rsidRDefault="00D24C7F">
            <w:pPr>
              <w:pStyle w:val="TableDataColumnHeading"/>
              <w:jc w:val="left"/>
              <w:rPr>
                <w:lang w:bidi="fa-IR"/>
              </w:rPr>
            </w:pPr>
            <w:r>
              <w:rPr>
                <w:lang w:bidi="fa-IR"/>
              </w:rPr>
              <w:t>Scenario</w:t>
            </w:r>
          </w:p>
        </w:tc>
        <w:tc>
          <w:tcPr>
            <w:tcW w:w="1473" w:type="dxa"/>
            <w:shd w:val="clear" w:color="auto" w:fill="6F6652"/>
            <w:tcMar>
              <w:left w:w="57" w:type="dxa"/>
              <w:right w:w="57" w:type="dxa"/>
            </w:tcMar>
          </w:tcPr>
          <w:p w14:paraId="06CCD748" w14:textId="77777777" w:rsidR="00D24C7F" w:rsidRDefault="00D24C7F">
            <w:pPr>
              <w:pStyle w:val="TableDataColumnHeading"/>
              <w:rPr>
                <w:lang w:bidi="fa-IR"/>
              </w:rPr>
            </w:pPr>
            <w:r>
              <w:rPr>
                <w:lang w:bidi="fa-IR"/>
              </w:rPr>
              <w:t>Progressive change</w:t>
            </w:r>
          </w:p>
          <w:p w14:paraId="7B6B9961" w14:textId="77777777" w:rsidR="00D24C7F" w:rsidRDefault="00D24C7F">
            <w:pPr>
              <w:pStyle w:val="TableDataColumnHeading"/>
              <w:rPr>
                <w:lang w:bidi="fa-IR"/>
              </w:rPr>
            </w:pPr>
            <w:r>
              <w:rPr>
                <w:lang w:bidi="fa-IR"/>
              </w:rPr>
              <w:t>Per cent</w:t>
            </w:r>
          </w:p>
        </w:tc>
        <w:tc>
          <w:tcPr>
            <w:tcW w:w="1587" w:type="dxa"/>
            <w:shd w:val="clear" w:color="auto" w:fill="6F6652"/>
            <w:tcMar>
              <w:left w:w="57" w:type="dxa"/>
              <w:right w:w="57" w:type="dxa"/>
            </w:tcMar>
          </w:tcPr>
          <w:p w14:paraId="69E80F3A" w14:textId="77777777" w:rsidR="00D24C7F" w:rsidRDefault="00D24C7F">
            <w:pPr>
              <w:pStyle w:val="TableDataColumnHeading"/>
              <w:rPr>
                <w:lang w:bidi="fa-IR"/>
              </w:rPr>
            </w:pPr>
            <w:r>
              <w:rPr>
                <w:lang w:bidi="fa-IR"/>
              </w:rPr>
              <w:t>Exploring alternatives</w:t>
            </w:r>
          </w:p>
          <w:p w14:paraId="069D20FB" w14:textId="77777777" w:rsidR="00D24C7F" w:rsidRDefault="00D24C7F">
            <w:pPr>
              <w:pStyle w:val="TableDataColumnHeading"/>
              <w:rPr>
                <w:lang w:bidi="fa-IR"/>
              </w:rPr>
            </w:pPr>
            <w:r>
              <w:rPr>
                <w:lang w:bidi="fa-IR"/>
              </w:rPr>
              <w:t>Per cent</w:t>
            </w:r>
          </w:p>
        </w:tc>
        <w:tc>
          <w:tcPr>
            <w:tcW w:w="1588" w:type="dxa"/>
            <w:shd w:val="clear" w:color="auto" w:fill="6F6652"/>
            <w:tcMar>
              <w:left w:w="57" w:type="dxa"/>
              <w:right w:w="57" w:type="dxa"/>
            </w:tcMar>
          </w:tcPr>
          <w:p w14:paraId="5506E8CA" w14:textId="77777777" w:rsidR="00D24C7F" w:rsidRDefault="00D24C7F">
            <w:pPr>
              <w:pStyle w:val="TableDataColumnHeading"/>
              <w:rPr>
                <w:lang w:bidi="fa-IR"/>
              </w:rPr>
            </w:pPr>
            <w:r>
              <w:rPr>
                <w:lang w:bidi="fa-IR"/>
              </w:rPr>
              <w:t>Step                         change</w:t>
            </w:r>
          </w:p>
          <w:p w14:paraId="051D82A6" w14:textId="77777777" w:rsidR="00D24C7F" w:rsidRDefault="00D24C7F">
            <w:pPr>
              <w:pStyle w:val="TableDataColumnHeading"/>
              <w:rPr>
                <w:lang w:bidi="fa-IR"/>
              </w:rPr>
            </w:pPr>
            <w:r>
              <w:rPr>
                <w:lang w:bidi="fa-IR"/>
              </w:rPr>
              <w:t>Per cent</w:t>
            </w:r>
          </w:p>
        </w:tc>
        <w:tc>
          <w:tcPr>
            <w:tcW w:w="1588" w:type="dxa"/>
            <w:shd w:val="clear" w:color="auto" w:fill="6F6652"/>
            <w:tcMar>
              <w:left w:w="57" w:type="dxa"/>
              <w:right w:w="57" w:type="dxa"/>
            </w:tcMar>
          </w:tcPr>
          <w:p w14:paraId="5829D80B" w14:textId="77777777" w:rsidR="00D24C7F" w:rsidRDefault="00D24C7F">
            <w:pPr>
              <w:pStyle w:val="TableDataColumnHeading"/>
              <w:rPr>
                <w:lang w:bidi="fa-IR"/>
              </w:rPr>
            </w:pPr>
            <w:r>
              <w:rPr>
                <w:lang w:bidi="fa-IR"/>
              </w:rPr>
              <w:t>Hydrogen                  export</w:t>
            </w:r>
          </w:p>
          <w:p w14:paraId="5852119C" w14:textId="77777777" w:rsidR="00D24C7F" w:rsidRDefault="00D24C7F">
            <w:pPr>
              <w:pStyle w:val="TableDataColumnHeading"/>
              <w:rPr>
                <w:lang w:bidi="fa-IR"/>
              </w:rPr>
            </w:pPr>
            <w:r>
              <w:rPr>
                <w:lang w:bidi="fa-IR"/>
              </w:rPr>
              <w:t>Per cent</w:t>
            </w:r>
          </w:p>
        </w:tc>
      </w:tr>
      <w:tr w:rsidR="00D24C7F" w:rsidRPr="00492AD6" w14:paraId="7234E981" w14:textId="77777777">
        <w:tc>
          <w:tcPr>
            <w:tcW w:w="1701"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77716C48" w14:textId="77777777" w:rsidR="00D24C7F" w:rsidRPr="00492AD6" w:rsidRDefault="00D24C7F">
            <w:pPr>
              <w:pStyle w:val="TableHeading1"/>
              <w:rPr>
                <w:color w:val="auto"/>
                <w:lang w:bidi="fa-IR"/>
              </w:rPr>
            </w:pPr>
            <w:r w:rsidRPr="00492AD6">
              <w:rPr>
                <w:color w:val="auto"/>
                <w:lang w:bidi="fa-IR"/>
              </w:rPr>
              <w:t>Maximum market share prior to ICE vehicle collapse</w:t>
            </w:r>
          </w:p>
        </w:tc>
        <w:tc>
          <w:tcPr>
            <w:tcW w:w="1473"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55540888" w14:textId="77777777" w:rsidR="00D24C7F" w:rsidRPr="00492AD6" w:rsidRDefault="00D24C7F">
            <w:pPr>
              <w:pStyle w:val="TableHeading1"/>
              <w:rPr>
                <w:color w:val="auto"/>
                <w:lang w:bidi="fa-IR"/>
              </w:rPr>
            </w:pPr>
          </w:p>
        </w:tc>
        <w:tc>
          <w:tcPr>
            <w:tcW w:w="1587"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13D82559" w14:textId="77777777" w:rsidR="00D24C7F" w:rsidRPr="00492AD6" w:rsidRDefault="00D24C7F">
            <w:pPr>
              <w:pStyle w:val="TableHeading1"/>
              <w:rPr>
                <w:color w:val="auto"/>
                <w:lang w:bidi="fa-IR"/>
              </w:rPr>
            </w:pPr>
          </w:p>
        </w:tc>
        <w:tc>
          <w:tcPr>
            <w:tcW w:w="1588"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661D75EF" w14:textId="77777777" w:rsidR="00D24C7F" w:rsidRPr="00492AD6" w:rsidRDefault="00D24C7F">
            <w:pPr>
              <w:pStyle w:val="TableHeading1"/>
              <w:rPr>
                <w:color w:val="auto"/>
                <w:lang w:bidi="fa-IR"/>
              </w:rPr>
            </w:pPr>
          </w:p>
        </w:tc>
        <w:tc>
          <w:tcPr>
            <w:tcW w:w="1588"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13425148" w14:textId="77777777" w:rsidR="00D24C7F" w:rsidRPr="00492AD6" w:rsidRDefault="00D24C7F">
            <w:pPr>
              <w:pStyle w:val="TableHeading1"/>
              <w:rPr>
                <w:color w:val="auto"/>
                <w:lang w:bidi="fa-IR"/>
              </w:rPr>
            </w:pPr>
          </w:p>
        </w:tc>
      </w:tr>
      <w:tr w:rsidR="00D24C7F" w:rsidRPr="00492AD6" w14:paraId="23817753" w14:textId="77777777">
        <w:tc>
          <w:tcPr>
            <w:tcW w:w="170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EEFC76" w14:textId="77777777" w:rsidR="00D24C7F" w:rsidRPr="00492AD6" w:rsidRDefault="00D24C7F">
            <w:pPr>
              <w:pStyle w:val="TableDataEntries"/>
              <w:jc w:val="left"/>
              <w:rPr>
                <w:vertAlign w:val="superscript"/>
                <w:lang w:bidi="fa-IR"/>
              </w:rPr>
            </w:pPr>
            <w:r w:rsidRPr="00492AD6">
              <w:rPr>
                <w:lang w:bidi="fa-IR"/>
              </w:rPr>
              <w:t>Public or multi-occupant building charging availability</w:t>
            </w:r>
            <w:r w:rsidRPr="00492AD6">
              <w:rPr>
                <w:vertAlign w:val="superscript"/>
                <w:lang w:bidi="fa-IR"/>
              </w:rPr>
              <w:t>a</w:t>
            </w:r>
          </w:p>
        </w:tc>
        <w:tc>
          <w:tcPr>
            <w:tcW w:w="147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582BC8" w14:textId="77777777" w:rsidR="00D24C7F" w:rsidRPr="00492AD6" w:rsidRDefault="00D24C7F">
            <w:pPr>
              <w:pStyle w:val="TableDataEntries"/>
              <w:rPr>
                <w:lang w:bidi="fa-IR"/>
              </w:rPr>
            </w:pPr>
            <w:r w:rsidRPr="00492AD6">
              <w:rPr>
                <w:lang w:bidi="fa-IR"/>
              </w:rPr>
              <w:t>40</w:t>
            </w:r>
          </w:p>
        </w:tc>
        <w:tc>
          <w:tcPr>
            <w:tcW w:w="158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948DAB" w14:textId="77777777" w:rsidR="00D24C7F" w:rsidRPr="00492AD6" w:rsidRDefault="00D24C7F">
            <w:pPr>
              <w:pStyle w:val="TableDataEntries"/>
              <w:rPr>
                <w:lang w:bidi="fa-IR"/>
              </w:rPr>
            </w:pPr>
            <w:r w:rsidRPr="00492AD6">
              <w:rPr>
                <w:lang w:bidi="fa-IR"/>
              </w:rPr>
              <w:t>50</w:t>
            </w:r>
          </w:p>
        </w:tc>
        <w:tc>
          <w:tcPr>
            <w:tcW w:w="158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0BB630" w14:textId="77777777" w:rsidR="00D24C7F" w:rsidRPr="00492AD6" w:rsidRDefault="00D24C7F">
            <w:pPr>
              <w:pStyle w:val="TableDataEntries"/>
              <w:rPr>
                <w:lang w:bidi="fa-IR"/>
              </w:rPr>
            </w:pPr>
            <w:r w:rsidRPr="00492AD6">
              <w:rPr>
                <w:lang w:bidi="fa-IR"/>
              </w:rPr>
              <w:t>65</w:t>
            </w:r>
          </w:p>
        </w:tc>
        <w:tc>
          <w:tcPr>
            <w:tcW w:w="158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458F37A" w14:textId="77777777" w:rsidR="00D24C7F" w:rsidRPr="00492AD6" w:rsidRDefault="00D24C7F">
            <w:pPr>
              <w:pStyle w:val="TableDataEntries"/>
              <w:rPr>
                <w:lang w:bidi="fa-IR"/>
              </w:rPr>
            </w:pPr>
            <w:r w:rsidRPr="00492AD6">
              <w:rPr>
                <w:lang w:bidi="fa-IR"/>
              </w:rPr>
              <w:t>80</w:t>
            </w:r>
          </w:p>
        </w:tc>
      </w:tr>
      <w:tr w:rsidR="00D24C7F" w:rsidRPr="00492AD6" w14:paraId="63CCE455" w14:textId="77777777">
        <w:tc>
          <w:tcPr>
            <w:tcW w:w="170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8CB6320" w14:textId="77777777" w:rsidR="00D24C7F" w:rsidRPr="00492AD6" w:rsidRDefault="00D24C7F">
            <w:pPr>
              <w:pStyle w:val="TableDataEntries"/>
              <w:jc w:val="left"/>
              <w:rPr>
                <w:lang w:bidi="fa-IR"/>
              </w:rPr>
            </w:pPr>
            <w:r w:rsidRPr="00492AD6">
              <w:rPr>
                <w:lang w:bidi="fa-IR"/>
              </w:rPr>
              <w:t>Off-street parking/private charging availability</w:t>
            </w:r>
          </w:p>
        </w:tc>
        <w:tc>
          <w:tcPr>
            <w:tcW w:w="147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DA69066" w14:textId="77777777" w:rsidR="00D24C7F" w:rsidRPr="00492AD6" w:rsidRDefault="00D24C7F">
            <w:pPr>
              <w:pStyle w:val="TableDataEntries"/>
              <w:rPr>
                <w:lang w:bidi="fa-IR"/>
              </w:rPr>
            </w:pPr>
            <w:r w:rsidRPr="00492AD6">
              <w:rPr>
                <w:lang w:bidi="fa-IR"/>
              </w:rPr>
              <w:t>26</w:t>
            </w:r>
          </w:p>
        </w:tc>
        <w:tc>
          <w:tcPr>
            <w:tcW w:w="158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FE87BA" w14:textId="77777777" w:rsidR="00D24C7F" w:rsidRPr="00492AD6" w:rsidRDefault="00D24C7F">
            <w:pPr>
              <w:pStyle w:val="TableDataEntries"/>
              <w:rPr>
                <w:lang w:bidi="fa-IR"/>
              </w:rPr>
            </w:pPr>
            <w:r w:rsidRPr="00492AD6">
              <w:rPr>
                <w:lang w:bidi="fa-IR"/>
              </w:rPr>
              <w:t>32</w:t>
            </w:r>
          </w:p>
        </w:tc>
        <w:tc>
          <w:tcPr>
            <w:tcW w:w="158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4A9A8FD" w14:textId="77777777" w:rsidR="00D24C7F" w:rsidRPr="00492AD6" w:rsidRDefault="00D24C7F">
            <w:pPr>
              <w:pStyle w:val="TableDataEntries"/>
              <w:rPr>
                <w:lang w:bidi="fa-IR"/>
              </w:rPr>
            </w:pPr>
            <w:r w:rsidRPr="00492AD6">
              <w:rPr>
                <w:lang w:bidi="fa-IR"/>
              </w:rPr>
              <w:t>35</w:t>
            </w:r>
          </w:p>
        </w:tc>
        <w:tc>
          <w:tcPr>
            <w:tcW w:w="158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BC4B127" w14:textId="77777777" w:rsidR="00D24C7F" w:rsidRPr="00492AD6" w:rsidRDefault="00D24C7F">
            <w:pPr>
              <w:pStyle w:val="TableDataEntries"/>
              <w:rPr>
                <w:lang w:bidi="fa-IR"/>
              </w:rPr>
            </w:pPr>
            <w:r w:rsidRPr="00492AD6">
              <w:rPr>
                <w:lang w:bidi="fa-IR"/>
              </w:rPr>
              <w:t>42</w:t>
            </w:r>
          </w:p>
        </w:tc>
      </w:tr>
      <w:tr w:rsidR="00D24C7F" w:rsidRPr="00492AD6" w14:paraId="6538589A" w14:textId="77777777">
        <w:tc>
          <w:tcPr>
            <w:tcW w:w="1701"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46606F70" w14:textId="77777777" w:rsidR="00D24C7F" w:rsidRPr="00492AD6" w:rsidRDefault="00D24C7F">
            <w:pPr>
              <w:pStyle w:val="TableHeading1"/>
              <w:rPr>
                <w:color w:val="auto"/>
                <w:lang w:bidi="fa-IR"/>
              </w:rPr>
            </w:pPr>
            <w:r w:rsidRPr="00492AD6">
              <w:rPr>
                <w:color w:val="auto"/>
                <w:lang w:bidi="fa-IR"/>
              </w:rPr>
              <w:t>Share of charging behaviour</w:t>
            </w:r>
          </w:p>
        </w:tc>
        <w:tc>
          <w:tcPr>
            <w:tcW w:w="1473"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7C9FFE5D" w14:textId="77777777" w:rsidR="00D24C7F" w:rsidRPr="00492AD6" w:rsidRDefault="00D24C7F">
            <w:pPr>
              <w:pStyle w:val="TableHeading1"/>
              <w:rPr>
                <w:color w:val="auto"/>
                <w:lang w:bidi="fa-IR"/>
              </w:rPr>
            </w:pPr>
          </w:p>
        </w:tc>
        <w:tc>
          <w:tcPr>
            <w:tcW w:w="1587"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20EE3E75" w14:textId="77777777" w:rsidR="00D24C7F" w:rsidRPr="00492AD6" w:rsidRDefault="00D24C7F">
            <w:pPr>
              <w:pStyle w:val="TableHeading1"/>
              <w:rPr>
                <w:color w:val="auto"/>
                <w:lang w:bidi="fa-IR"/>
              </w:rPr>
            </w:pPr>
          </w:p>
        </w:tc>
        <w:tc>
          <w:tcPr>
            <w:tcW w:w="1588"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6EDECDF7" w14:textId="77777777" w:rsidR="00D24C7F" w:rsidRPr="00492AD6" w:rsidRDefault="00D24C7F">
            <w:pPr>
              <w:pStyle w:val="TableHeading1"/>
              <w:rPr>
                <w:color w:val="auto"/>
                <w:lang w:bidi="fa-IR"/>
              </w:rPr>
            </w:pPr>
          </w:p>
        </w:tc>
        <w:tc>
          <w:tcPr>
            <w:tcW w:w="1588" w:type="dxa"/>
            <w:tcBorders>
              <w:top w:val="single" w:sz="8" w:space="0" w:color="FFFFFF" w:themeColor="background1"/>
              <w:bottom w:val="single" w:sz="8" w:space="0" w:color="FFFFFF" w:themeColor="background1"/>
            </w:tcBorders>
            <w:shd w:val="clear" w:color="auto" w:fill="E4E0DA" w:themeFill="text2" w:themeFillTint="33"/>
            <w:tcMar>
              <w:left w:w="57" w:type="dxa"/>
              <w:right w:w="57" w:type="dxa"/>
            </w:tcMar>
          </w:tcPr>
          <w:p w14:paraId="74907729" w14:textId="77777777" w:rsidR="00D24C7F" w:rsidRPr="00492AD6" w:rsidRDefault="00D24C7F">
            <w:pPr>
              <w:pStyle w:val="TableHeading1"/>
              <w:rPr>
                <w:color w:val="auto"/>
                <w:lang w:bidi="fa-IR"/>
              </w:rPr>
            </w:pPr>
          </w:p>
        </w:tc>
      </w:tr>
      <w:tr w:rsidR="00D24C7F" w:rsidRPr="00492AD6" w14:paraId="69B0EE25" w14:textId="77777777">
        <w:tc>
          <w:tcPr>
            <w:tcW w:w="170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ABFDC3" w14:textId="77777777" w:rsidR="00D24C7F" w:rsidRPr="00492AD6" w:rsidRDefault="00D24C7F">
            <w:pPr>
              <w:pStyle w:val="TableDataEntries"/>
              <w:jc w:val="left"/>
              <w:rPr>
                <w:lang w:bidi="fa-IR"/>
              </w:rPr>
            </w:pPr>
            <w:r w:rsidRPr="00492AD6">
              <w:rPr>
                <w:lang w:bidi="fa-IR"/>
              </w:rPr>
              <w:t>Public charging highway fast charge</w:t>
            </w:r>
          </w:p>
        </w:tc>
        <w:tc>
          <w:tcPr>
            <w:tcW w:w="147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A32F850" w14:textId="77777777" w:rsidR="00D24C7F" w:rsidRPr="00492AD6" w:rsidRDefault="00D24C7F">
            <w:pPr>
              <w:pStyle w:val="TableDataEntries"/>
              <w:rPr>
                <w:lang w:bidi="fa-IR"/>
              </w:rPr>
            </w:pPr>
            <w:r w:rsidRPr="00492AD6">
              <w:rPr>
                <w:lang w:bidi="fa-IR"/>
              </w:rPr>
              <w:t>10</w:t>
            </w:r>
          </w:p>
        </w:tc>
        <w:tc>
          <w:tcPr>
            <w:tcW w:w="158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06CB9B3" w14:textId="77777777" w:rsidR="00D24C7F" w:rsidRPr="00492AD6" w:rsidRDefault="00D24C7F">
            <w:pPr>
              <w:pStyle w:val="TableDataEntries"/>
              <w:rPr>
                <w:lang w:bidi="fa-IR"/>
              </w:rPr>
            </w:pPr>
            <w:r w:rsidRPr="00492AD6">
              <w:rPr>
                <w:lang w:bidi="fa-IR"/>
              </w:rPr>
              <w:t>10</w:t>
            </w:r>
          </w:p>
        </w:tc>
        <w:tc>
          <w:tcPr>
            <w:tcW w:w="158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61D0169" w14:textId="77777777" w:rsidR="00D24C7F" w:rsidRPr="00492AD6" w:rsidRDefault="00D24C7F">
            <w:pPr>
              <w:pStyle w:val="TableDataEntries"/>
              <w:rPr>
                <w:lang w:bidi="fa-IR"/>
              </w:rPr>
            </w:pPr>
            <w:r w:rsidRPr="00492AD6">
              <w:rPr>
                <w:lang w:bidi="fa-IR"/>
              </w:rPr>
              <w:t>10</w:t>
            </w:r>
          </w:p>
        </w:tc>
        <w:tc>
          <w:tcPr>
            <w:tcW w:w="158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CBFCDF" w14:textId="77777777" w:rsidR="00D24C7F" w:rsidRPr="00492AD6" w:rsidRDefault="00D24C7F">
            <w:pPr>
              <w:pStyle w:val="TableDataEntries"/>
              <w:rPr>
                <w:lang w:bidi="fa-IR"/>
              </w:rPr>
            </w:pPr>
            <w:r w:rsidRPr="00492AD6">
              <w:rPr>
                <w:lang w:bidi="fa-IR"/>
              </w:rPr>
              <w:t>10</w:t>
            </w:r>
          </w:p>
        </w:tc>
      </w:tr>
      <w:tr w:rsidR="00D24C7F" w:rsidRPr="00492AD6" w14:paraId="5DC1C9AB" w14:textId="77777777">
        <w:tc>
          <w:tcPr>
            <w:tcW w:w="1701" w:type="dxa"/>
            <w:tcBorders>
              <w:top w:val="single" w:sz="8" w:space="0" w:color="FFFFFF" w:themeColor="background1"/>
              <w:bottom w:val="single" w:sz="6" w:space="0" w:color="6F6652"/>
            </w:tcBorders>
            <w:shd w:val="clear" w:color="auto" w:fill="E9E8E5" w:themeFill="background2"/>
            <w:tcMar>
              <w:left w:w="57" w:type="dxa"/>
              <w:right w:w="57" w:type="dxa"/>
            </w:tcMar>
          </w:tcPr>
          <w:p w14:paraId="43ACFA4D" w14:textId="77777777" w:rsidR="00D24C7F" w:rsidRPr="00492AD6" w:rsidRDefault="00D24C7F">
            <w:pPr>
              <w:pStyle w:val="TableDataEntries"/>
              <w:jc w:val="left"/>
              <w:rPr>
                <w:lang w:bidi="fa-IR"/>
              </w:rPr>
            </w:pPr>
            <w:r w:rsidRPr="00492AD6">
              <w:rPr>
                <w:lang w:bidi="fa-IR"/>
              </w:rPr>
              <w:t>Public charging solar aligned</w:t>
            </w:r>
          </w:p>
        </w:tc>
        <w:tc>
          <w:tcPr>
            <w:tcW w:w="1473" w:type="dxa"/>
            <w:tcBorders>
              <w:top w:val="single" w:sz="8" w:space="0" w:color="FFFFFF" w:themeColor="background1"/>
              <w:bottom w:val="single" w:sz="6" w:space="0" w:color="6F6652"/>
            </w:tcBorders>
            <w:shd w:val="clear" w:color="auto" w:fill="E9E8E5" w:themeFill="background2"/>
            <w:tcMar>
              <w:left w:w="57" w:type="dxa"/>
              <w:right w:w="57" w:type="dxa"/>
            </w:tcMar>
          </w:tcPr>
          <w:p w14:paraId="5E0B3549" w14:textId="77777777" w:rsidR="00D24C7F" w:rsidRPr="00492AD6" w:rsidRDefault="00D24C7F">
            <w:pPr>
              <w:pStyle w:val="TableDataEntries"/>
              <w:rPr>
                <w:lang w:bidi="fa-IR"/>
              </w:rPr>
            </w:pPr>
            <w:r w:rsidRPr="00492AD6">
              <w:rPr>
                <w:lang w:bidi="fa-IR"/>
              </w:rPr>
              <w:t>16</w:t>
            </w:r>
          </w:p>
        </w:tc>
        <w:tc>
          <w:tcPr>
            <w:tcW w:w="1587" w:type="dxa"/>
            <w:tcBorders>
              <w:top w:val="single" w:sz="8" w:space="0" w:color="FFFFFF" w:themeColor="background1"/>
              <w:bottom w:val="single" w:sz="6" w:space="0" w:color="6F6652"/>
            </w:tcBorders>
            <w:shd w:val="clear" w:color="auto" w:fill="E9E8E5" w:themeFill="background2"/>
            <w:tcMar>
              <w:left w:w="57" w:type="dxa"/>
              <w:right w:w="57" w:type="dxa"/>
            </w:tcMar>
          </w:tcPr>
          <w:p w14:paraId="6F081F23" w14:textId="77777777" w:rsidR="00D24C7F" w:rsidRPr="00492AD6" w:rsidRDefault="00D24C7F">
            <w:pPr>
              <w:pStyle w:val="TableDataEntries"/>
              <w:rPr>
                <w:lang w:bidi="fa-IR"/>
              </w:rPr>
            </w:pPr>
            <w:r w:rsidRPr="00492AD6">
              <w:rPr>
                <w:lang w:bidi="fa-IR"/>
              </w:rPr>
              <w:t>19</w:t>
            </w:r>
          </w:p>
        </w:tc>
        <w:tc>
          <w:tcPr>
            <w:tcW w:w="1588" w:type="dxa"/>
            <w:tcBorders>
              <w:top w:val="single" w:sz="8" w:space="0" w:color="FFFFFF" w:themeColor="background1"/>
              <w:bottom w:val="single" w:sz="6" w:space="0" w:color="6F6652"/>
            </w:tcBorders>
            <w:shd w:val="clear" w:color="auto" w:fill="E9E8E5" w:themeFill="background2"/>
            <w:tcMar>
              <w:left w:w="57" w:type="dxa"/>
              <w:right w:w="57" w:type="dxa"/>
            </w:tcMar>
          </w:tcPr>
          <w:p w14:paraId="259F77F4" w14:textId="77777777" w:rsidR="00D24C7F" w:rsidRPr="00492AD6" w:rsidRDefault="00D24C7F">
            <w:pPr>
              <w:pStyle w:val="TableDataEntries"/>
              <w:rPr>
                <w:lang w:bidi="fa-IR"/>
              </w:rPr>
            </w:pPr>
            <w:r w:rsidRPr="00492AD6">
              <w:rPr>
                <w:lang w:bidi="fa-IR"/>
              </w:rPr>
              <w:t>22</w:t>
            </w:r>
          </w:p>
        </w:tc>
        <w:tc>
          <w:tcPr>
            <w:tcW w:w="1588" w:type="dxa"/>
            <w:tcBorders>
              <w:top w:val="single" w:sz="8" w:space="0" w:color="FFFFFF" w:themeColor="background1"/>
              <w:bottom w:val="single" w:sz="6" w:space="0" w:color="6F6652"/>
            </w:tcBorders>
            <w:shd w:val="clear" w:color="auto" w:fill="E9E8E5" w:themeFill="background2"/>
            <w:tcMar>
              <w:left w:w="57" w:type="dxa"/>
              <w:right w:w="57" w:type="dxa"/>
            </w:tcMar>
          </w:tcPr>
          <w:p w14:paraId="71C99764" w14:textId="77777777" w:rsidR="00D24C7F" w:rsidRPr="00492AD6" w:rsidRDefault="00D24C7F">
            <w:pPr>
              <w:pStyle w:val="TableDataEntries"/>
              <w:rPr>
                <w:lang w:bidi="fa-IR"/>
              </w:rPr>
            </w:pPr>
            <w:r w:rsidRPr="00492AD6">
              <w:rPr>
                <w:lang w:bidi="fa-IR"/>
              </w:rPr>
              <w:t>21</w:t>
            </w:r>
          </w:p>
        </w:tc>
      </w:tr>
    </w:tbl>
    <w:p w14:paraId="6E628627" w14:textId="77777777" w:rsidR="00D24C7F" w:rsidRPr="00E4232C" w:rsidRDefault="00D24C7F" w:rsidP="00D24C7F">
      <w:pPr>
        <w:pStyle w:val="Note"/>
      </w:pPr>
      <w:r w:rsidRPr="00492AD6">
        <w:rPr>
          <w:rStyle w:val="NoteLabel"/>
          <w:color w:val="auto"/>
        </w:rPr>
        <w:t>a</w:t>
      </w:r>
      <w:r>
        <w:t xml:space="preserve"> Availability here means at your work/regular daytime parking area, apartment carpark or in your street outside your house. Assumptions are based on this type of charging being the least financially viable.</w:t>
      </w:r>
    </w:p>
    <w:p w14:paraId="54C1689F" w14:textId="379362B0" w:rsidR="00D24C7F" w:rsidRDefault="00D24C7F" w:rsidP="00D24C7F">
      <w:pPr>
        <w:pStyle w:val="Source"/>
        <w:rPr>
          <w:lang w:bidi="fa-IR"/>
        </w:rPr>
      </w:pPr>
      <w:r w:rsidRPr="00C9788C">
        <w:rPr>
          <w:i/>
          <w:lang w:bidi="fa-IR"/>
        </w:rPr>
        <w:t>Source:</w:t>
      </w:r>
      <w:r>
        <w:rPr>
          <w:lang w:bidi="fa-IR"/>
        </w:rPr>
        <w:t xml:space="preserve"> CSIRO 2022. E</w:t>
      </w:r>
      <w:r w:rsidR="00E90F2B">
        <w:rPr>
          <w:lang w:bidi="fa-IR"/>
        </w:rPr>
        <w:t>V</w:t>
      </w:r>
      <w:r>
        <w:rPr>
          <w:lang w:bidi="fa-IR"/>
        </w:rPr>
        <w:t xml:space="preserve"> projections 2022. Commissioned for AEMO’s draft 2023 input, assumptions, and scenarios report. November.</w:t>
      </w:r>
    </w:p>
    <w:p w14:paraId="1AD78FAE" w14:textId="77777777" w:rsidR="00D24C7F" w:rsidRDefault="00D24C7F" w:rsidP="00D24C7F">
      <w:pPr>
        <w:pStyle w:val="BodyText"/>
        <w:rPr>
          <w:lang w:bidi="fa-IR"/>
        </w:rPr>
      </w:pPr>
      <w:r>
        <w:rPr>
          <w:lang w:bidi="fa-IR"/>
        </w:rPr>
        <w:t>Availability of public charging infrastructure under the change scenarios will be informed by forecasts of new and renovated commercial buildings as a proportion of the stock of commercial buildings and the proposed requirements under the Code.</w:t>
      </w:r>
    </w:p>
    <w:p w14:paraId="5AAFB99C" w14:textId="77777777" w:rsidR="00D24C7F" w:rsidRDefault="00D24C7F" w:rsidP="00D24C7F">
      <w:pPr>
        <w:pStyle w:val="Heading7"/>
        <w:rPr>
          <w:lang w:bidi="fa-IR"/>
        </w:rPr>
      </w:pPr>
      <w:r>
        <w:rPr>
          <w:lang w:bidi="fa-IR"/>
        </w:rPr>
        <w:t>Charging times</w:t>
      </w:r>
    </w:p>
    <w:p w14:paraId="227086BE" w14:textId="77777777" w:rsidR="00D24C7F" w:rsidRDefault="00D24C7F" w:rsidP="00D24C7F">
      <w:pPr>
        <w:pStyle w:val="BodyText"/>
        <w:rPr>
          <w:lang w:bidi="fa-IR"/>
        </w:rPr>
      </w:pPr>
      <w:r>
        <w:rPr>
          <w:lang w:bidi="fa-IR"/>
        </w:rPr>
        <w:t>Assumptions about baseline charging times, specifically the time taken to recharge batteries to 80 per cent, will be developed by the CIE with reference to any relevant assumptions made by CSIRO in its EV projections for AEMO. Charge time under change scenarios will be informed by proposed requirements under the Code. If assumptions about charge times are not available from these sources, a range of levels will be used to test sensitivity to this parameter.</w:t>
      </w:r>
    </w:p>
    <w:p w14:paraId="51EDDE2B" w14:textId="77777777" w:rsidR="00D24C7F" w:rsidRDefault="00D24C7F" w:rsidP="00D24C7F">
      <w:pPr>
        <w:pStyle w:val="Heading7"/>
        <w:rPr>
          <w:lang w:bidi="fa-IR"/>
        </w:rPr>
      </w:pPr>
      <w:r>
        <w:rPr>
          <w:lang w:bidi="fa-IR"/>
        </w:rPr>
        <w:t>Electric vehicle battery range</w:t>
      </w:r>
    </w:p>
    <w:p w14:paraId="2D710BD6" w14:textId="77777777" w:rsidR="00D24C7F" w:rsidRDefault="00D24C7F" w:rsidP="00D24C7F">
      <w:pPr>
        <w:pStyle w:val="BodyText"/>
        <w:rPr>
          <w:lang w:bidi="fa-IR"/>
        </w:rPr>
      </w:pPr>
      <w:r>
        <w:rPr>
          <w:lang w:bidi="fa-IR"/>
        </w:rPr>
        <w:t xml:space="preserve">EV battery range will be forecast based on a review of literature. For example, International Energy Agency (IEA)’s </w:t>
      </w:r>
      <w:r w:rsidRPr="0035326F">
        <w:rPr>
          <w:lang w:bidi="fa-IR"/>
        </w:rPr>
        <w:t xml:space="preserve">Global EV Outlook 2020 </w:t>
      </w:r>
      <w:r>
        <w:rPr>
          <w:lang w:bidi="fa-IR"/>
        </w:rPr>
        <w:t>assumed that by 2030 EVs will</w:t>
      </w:r>
      <w:r w:rsidRPr="0035326F">
        <w:rPr>
          <w:lang w:bidi="fa-IR"/>
        </w:rPr>
        <w:t xml:space="preserve"> </w:t>
      </w:r>
      <w:r>
        <w:rPr>
          <w:lang w:bidi="fa-IR"/>
        </w:rPr>
        <w:t>“</w:t>
      </w:r>
      <w:r w:rsidRPr="0035326F">
        <w:rPr>
          <w:lang w:bidi="fa-IR"/>
        </w:rPr>
        <w:t>reach an average driving range of 350-400</w:t>
      </w:r>
      <w:r>
        <w:rPr>
          <w:lang w:bidi="fa-IR"/>
        </w:rPr>
        <w:t xml:space="preserve"> km.”</w:t>
      </w:r>
    </w:p>
    <w:p w14:paraId="64DFE004" w14:textId="77777777" w:rsidR="00D24C7F" w:rsidRDefault="00D24C7F" w:rsidP="00D24C7F">
      <w:pPr>
        <w:pStyle w:val="Heading7"/>
        <w:rPr>
          <w:lang w:bidi="fa-IR"/>
        </w:rPr>
      </w:pPr>
      <w:r>
        <w:rPr>
          <w:lang w:bidi="fa-IR"/>
        </w:rPr>
        <w:t>Number of users by vehicle type</w:t>
      </w:r>
    </w:p>
    <w:p w14:paraId="7BA1DA08" w14:textId="77777777" w:rsidR="00D24C7F" w:rsidRDefault="00D24C7F" w:rsidP="00D24C7F">
      <w:pPr>
        <w:pStyle w:val="BodyText"/>
        <w:rPr>
          <w:lang w:bidi="fa-IR"/>
        </w:rPr>
      </w:pPr>
      <w:r>
        <w:rPr>
          <w:lang w:bidi="fa-IR"/>
        </w:rPr>
        <w:t>The CIE will establish baseline projections of both the flow of new EV and conventional vehicles and the stock of EV and conventional vehicles based on CSIRO’s EV projections for AEMO.</w:t>
      </w:r>
    </w:p>
    <w:p w14:paraId="0B366A48" w14:textId="77777777" w:rsidR="00D24C7F" w:rsidRDefault="00D24C7F" w:rsidP="00D24C7F">
      <w:pPr>
        <w:pStyle w:val="BodyText"/>
        <w:rPr>
          <w:lang w:bidi="fa-IR"/>
        </w:rPr>
      </w:pPr>
      <w:bookmarkStart w:id="8828" w:name="_Ref155607646"/>
      <w:r>
        <w:rPr>
          <w:lang w:bidi="fa-IR"/>
        </w:rPr>
        <w:t>The increase in EV market share resulting from the increased availability (and potentially charge times) of charging infrastructure under the scenarios being evaluated will be estimated using The CIE’s model of vehicle demand derived using a choice modelling survey conducted for the Australian Automobile Association in 2019. In practical terms, The CIE will construct a vehicle demand model containing baseline levels for the parameters discussed in the sections above and solve for the forecast EV purchase price each year such that the market share is calibrated to the CSIRO forecast. The model will be used to estimate the change in market share that occurs when charging infrastructure attributes are improved under the scenarios (assuming perfectly elastic supply).</w:t>
      </w:r>
      <w:bookmarkEnd w:id="8828"/>
    </w:p>
    <w:p w14:paraId="41980BEC" w14:textId="77777777" w:rsidR="00D24C7F" w:rsidRDefault="00D24C7F" w:rsidP="00D24C7F">
      <w:pPr>
        <w:pStyle w:val="Heading7"/>
        <w:rPr>
          <w:lang w:bidi="fa-IR"/>
        </w:rPr>
      </w:pPr>
      <w:r>
        <w:rPr>
          <w:lang w:bidi="fa-IR"/>
        </w:rPr>
        <w:t>Emission intensity of conventional and electric vehicles</w:t>
      </w:r>
    </w:p>
    <w:p w14:paraId="010E2651" w14:textId="77777777" w:rsidR="00D24C7F" w:rsidRDefault="00D24C7F" w:rsidP="00D24C7F">
      <w:pPr>
        <w:pStyle w:val="BodyText"/>
        <w:rPr>
          <w:lang w:bidi="fa-IR"/>
        </w:rPr>
      </w:pPr>
      <w:r>
        <w:rPr>
          <w:lang w:bidi="fa-IR"/>
        </w:rPr>
        <w:t>Emission intensity of new conventional vehicles will be assumed to improve in line with the historical trend of roughly one per cent per year (driven by improvement in fuel efficiency). The changes in emissions intensity of the stock of conventional vehicles will therefore change very slowly.</w:t>
      </w:r>
    </w:p>
    <w:p w14:paraId="16E0B324" w14:textId="01EC09DD" w:rsidR="00D24C7F" w:rsidRDefault="00D24C7F" w:rsidP="00D24C7F">
      <w:pPr>
        <w:pStyle w:val="BodyText"/>
        <w:rPr>
          <w:lang w:bidi="fa-IR"/>
        </w:rPr>
      </w:pPr>
      <w:r>
        <w:rPr>
          <w:lang w:bidi="fa-IR"/>
        </w:rPr>
        <w:t xml:space="preserve">Emission intensity of </w:t>
      </w:r>
      <w:r w:rsidR="001C16A1">
        <w:rPr>
          <w:lang w:bidi="fa-IR"/>
        </w:rPr>
        <w:t>EV</w:t>
      </w:r>
      <w:r>
        <w:rPr>
          <w:lang w:bidi="fa-IR"/>
        </w:rPr>
        <w:t>s will be forecast based on:</w:t>
      </w:r>
    </w:p>
    <w:p w14:paraId="45452B05" w14:textId="77777777" w:rsidR="00D24C7F" w:rsidRPr="00E02987" w:rsidRDefault="00D24C7F" w:rsidP="00D24C7F">
      <w:pPr>
        <w:pStyle w:val="ListBullet"/>
        <w:tabs>
          <w:tab w:val="num" w:pos="709"/>
        </w:tabs>
        <w:rPr>
          <w:lang w:bidi="fa-IR"/>
        </w:rPr>
      </w:pPr>
      <w:r w:rsidRPr="00E02987">
        <w:rPr>
          <w:lang w:bidi="fa-IR"/>
        </w:rPr>
        <w:t>the emissions trajectory in the ‘Step Change’ scenario of AEMO’s Integrated System Plan 2022, and</w:t>
      </w:r>
    </w:p>
    <w:p w14:paraId="099033FA" w14:textId="77777777" w:rsidR="00D24C7F" w:rsidRPr="00E02987" w:rsidRDefault="00D24C7F" w:rsidP="00D24C7F">
      <w:pPr>
        <w:pStyle w:val="ListBullet"/>
        <w:tabs>
          <w:tab w:val="num" w:pos="709"/>
        </w:tabs>
        <w:rPr>
          <w:lang w:bidi="fa-IR"/>
        </w:rPr>
      </w:pPr>
      <w:r w:rsidRPr="00E02987">
        <w:rPr>
          <w:lang w:bidi="fa-IR"/>
        </w:rPr>
        <w:t>gradual improvement in the efficiency (kWh per km) of new EVs (to be informed by historical trends and a literature review).</w:t>
      </w:r>
    </w:p>
    <w:p w14:paraId="7C26AED2" w14:textId="77777777" w:rsidR="00D24C7F" w:rsidRPr="00783F68" w:rsidRDefault="00D24C7F" w:rsidP="00D24C7F">
      <w:pPr>
        <w:pStyle w:val="BodyText"/>
        <w:rPr>
          <w:lang w:bidi="fa-IR"/>
        </w:rPr>
      </w:pPr>
      <w:r>
        <w:rPr>
          <w:lang w:bidi="fa-IR"/>
        </w:rPr>
        <w:t>It will take account of the load profile for EVs and carbon intensity by time of use to the degree that reliable data are available.</w:t>
      </w:r>
    </w:p>
    <w:p w14:paraId="730DA68C" w14:textId="77777777" w:rsidR="00D24C7F" w:rsidRDefault="00D24C7F" w:rsidP="00D24C7F">
      <w:pPr>
        <w:pStyle w:val="Heading7"/>
        <w:rPr>
          <w:lang w:bidi="fa-IR"/>
        </w:rPr>
      </w:pPr>
      <w:r>
        <w:rPr>
          <w:lang w:bidi="fa-IR"/>
        </w:rPr>
        <w:t xml:space="preserve">Value of avoided emissions </w:t>
      </w:r>
    </w:p>
    <w:p w14:paraId="6DBB373A" w14:textId="77777777" w:rsidR="00D24C7F" w:rsidRDefault="00D24C7F" w:rsidP="00D24C7F">
      <w:pPr>
        <w:pStyle w:val="BodyText"/>
        <w:rPr>
          <w:lang w:bidi="fa-IR"/>
        </w:rPr>
      </w:pPr>
      <w:r>
        <w:rPr>
          <w:lang w:bidi="fa-IR"/>
        </w:rPr>
        <w:t>The value of emission reduction would be applied consistently with the approach taken elsewhere in the RIS.</w:t>
      </w:r>
    </w:p>
    <w:p w14:paraId="42429B57" w14:textId="77777777" w:rsidR="00D24C7F" w:rsidRDefault="00D24C7F" w:rsidP="00D24C7F">
      <w:pPr>
        <w:pStyle w:val="Heading7"/>
        <w:rPr>
          <w:lang w:bidi="fa-IR"/>
        </w:rPr>
      </w:pPr>
      <w:r>
        <w:rPr>
          <w:lang w:bidi="fa-IR"/>
        </w:rPr>
        <w:t>Avoided electricity costs</w:t>
      </w:r>
    </w:p>
    <w:p w14:paraId="104E2868" w14:textId="415F1FC2" w:rsidR="00D24C7F" w:rsidRDefault="00D24C7F" w:rsidP="00D24C7F">
      <w:pPr>
        <w:pStyle w:val="BodyText"/>
      </w:pPr>
      <w:bookmarkStart w:id="8829" w:name="_Ref155607619"/>
      <w:r w:rsidRPr="00163BAB">
        <w:t xml:space="preserve">If there are significant avoided electricity costs from charging during the day rather than at night, then many of these costs will be avoided in the baseline scenario through voluntary provision of destination charging infrastructure to meet demand for low-cost charging. The drivers who most value daytime charging will utilise it in the baseline scenario. The proposal scenario will involve some switching from conventional to </w:t>
      </w:r>
      <w:r w:rsidR="001C16A1">
        <w:t>EV</w:t>
      </w:r>
      <w:r w:rsidRPr="00163BAB">
        <w:t>s, which will increase demand for electricity and decrease demand for petrol and diesel. It may also shift some electricity load from night to daytime. The difference between off-peak and solar sponge prices is relatively small</w:t>
      </w:r>
      <w:r>
        <w:t>;</w:t>
      </w:r>
      <w:r w:rsidRPr="00163BAB">
        <w:t xml:space="preserve"> however, there is a potential benefit in principle. We will consider whether including this benefit is warranted once the relevant inputs and assumptions have been quantified.</w:t>
      </w:r>
      <w:bookmarkEnd w:id="8829"/>
    </w:p>
    <w:p w14:paraId="2170E26B" w14:textId="77777777" w:rsidR="00D24C7F" w:rsidRDefault="00D24C7F" w:rsidP="00D24C7F">
      <w:pPr>
        <w:pStyle w:val="Heading6"/>
      </w:pPr>
      <w:bookmarkStart w:id="8830" w:name="_Toc177735126"/>
      <w:bookmarkStart w:id="8831" w:name="_Toc178292561"/>
      <w:r>
        <w:t>Modelled building archetypes and climate zones</w:t>
      </w:r>
      <w:bookmarkEnd w:id="8830"/>
      <w:bookmarkEnd w:id="8831"/>
    </w:p>
    <w:p w14:paraId="02AAE509" w14:textId="77777777" w:rsidR="00D24C7F" w:rsidRDefault="00D24C7F" w:rsidP="00D24C7F">
      <w:pPr>
        <w:pStyle w:val="Heading7"/>
      </w:pPr>
      <w:r>
        <w:t>Modelled building archetypes</w:t>
      </w:r>
    </w:p>
    <w:p w14:paraId="71214CA7" w14:textId="77777777" w:rsidR="00D24C7F" w:rsidRDefault="00D24C7F" w:rsidP="00D24C7F">
      <w:pPr>
        <w:pStyle w:val="BodyText"/>
      </w:pPr>
      <w:r>
        <w:t>DeltaQ has modelled 10 building archetypes have been modelled:</w:t>
      </w:r>
    </w:p>
    <w:p w14:paraId="2586A054" w14:textId="77777777" w:rsidR="00D24C7F" w:rsidRDefault="00D24C7F" w:rsidP="00D24C7F">
      <w:pPr>
        <w:pStyle w:val="ListBullet"/>
        <w:tabs>
          <w:tab w:val="num" w:pos="709"/>
        </w:tabs>
        <w:rPr>
          <w:lang w:bidi="fa-IR"/>
        </w:rPr>
      </w:pPr>
      <w:bookmarkStart w:id="8832" w:name="OLE_LINK1"/>
      <w:r>
        <w:rPr>
          <w:lang w:bidi="fa-IR"/>
        </w:rPr>
        <w:t>Hotels (C3HL)</w:t>
      </w:r>
    </w:p>
    <w:p w14:paraId="38C17216" w14:textId="77777777" w:rsidR="00D24C7F" w:rsidRDefault="00D24C7F" w:rsidP="00D24C7F">
      <w:pPr>
        <w:pStyle w:val="ListBullet"/>
        <w:tabs>
          <w:tab w:val="num" w:pos="709"/>
        </w:tabs>
        <w:rPr>
          <w:lang w:bidi="fa-IR"/>
        </w:rPr>
      </w:pPr>
      <w:r>
        <w:rPr>
          <w:lang w:bidi="fa-IR"/>
        </w:rPr>
        <w:t>Motels (C3HS)</w:t>
      </w:r>
    </w:p>
    <w:p w14:paraId="704278FA" w14:textId="77777777" w:rsidR="00D24C7F" w:rsidRDefault="00D24C7F" w:rsidP="00D24C7F">
      <w:pPr>
        <w:pStyle w:val="ListBullet"/>
        <w:tabs>
          <w:tab w:val="num" w:pos="709"/>
        </w:tabs>
        <w:rPr>
          <w:lang w:bidi="fa-IR"/>
        </w:rPr>
      </w:pPr>
      <w:r>
        <w:rPr>
          <w:lang w:bidi="fa-IR"/>
        </w:rPr>
        <w:t>Large office building (C5OL)</w:t>
      </w:r>
    </w:p>
    <w:p w14:paraId="4127F77F" w14:textId="77777777" w:rsidR="00D24C7F" w:rsidRDefault="00D24C7F" w:rsidP="00D24C7F">
      <w:pPr>
        <w:pStyle w:val="ListBullet"/>
        <w:tabs>
          <w:tab w:val="num" w:pos="709"/>
        </w:tabs>
        <w:rPr>
          <w:lang w:bidi="fa-IR"/>
        </w:rPr>
      </w:pPr>
      <w:r>
        <w:rPr>
          <w:lang w:bidi="fa-IR"/>
        </w:rPr>
        <w:t>Medium office building (C5OM)</w:t>
      </w:r>
    </w:p>
    <w:p w14:paraId="354E9389" w14:textId="77777777" w:rsidR="00D24C7F" w:rsidRDefault="00D24C7F" w:rsidP="00D24C7F">
      <w:pPr>
        <w:pStyle w:val="ListBullet"/>
        <w:tabs>
          <w:tab w:val="num" w:pos="709"/>
        </w:tabs>
        <w:rPr>
          <w:lang w:bidi="fa-IR"/>
        </w:rPr>
      </w:pPr>
      <w:r>
        <w:rPr>
          <w:lang w:bidi="fa-IR"/>
        </w:rPr>
        <w:t>Small office building (C5OS)</w:t>
      </w:r>
    </w:p>
    <w:p w14:paraId="227EC4CA" w14:textId="77777777" w:rsidR="00D24C7F" w:rsidRDefault="00D24C7F" w:rsidP="00D24C7F">
      <w:pPr>
        <w:pStyle w:val="ListBullet"/>
        <w:tabs>
          <w:tab w:val="num" w:pos="709"/>
        </w:tabs>
        <w:rPr>
          <w:lang w:bidi="fa-IR"/>
        </w:rPr>
      </w:pPr>
      <w:r>
        <w:rPr>
          <w:lang w:bidi="fa-IR"/>
        </w:rPr>
        <w:t>Big box retail (C6RL)</w:t>
      </w:r>
    </w:p>
    <w:p w14:paraId="745040F0" w14:textId="77777777" w:rsidR="00D24C7F" w:rsidRDefault="00D24C7F" w:rsidP="00D24C7F">
      <w:pPr>
        <w:pStyle w:val="ListBullet"/>
        <w:tabs>
          <w:tab w:val="num" w:pos="709"/>
        </w:tabs>
        <w:rPr>
          <w:lang w:bidi="fa-IR"/>
        </w:rPr>
      </w:pPr>
      <w:r>
        <w:rPr>
          <w:lang w:bidi="fa-IR"/>
        </w:rPr>
        <w:t>Strip shops (C6RS)</w:t>
      </w:r>
    </w:p>
    <w:p w14:paraId="45D822EF" w14:textId="77777777" w:rsidR="00D24C7F" w:rsidRDefault="00D24C7F" w:rsidP="00D24C7F">
      <w:pPr>
        <w:pStyle w:val="ListBullet"/>
        <w:tabs>
          <w:tab w:val="num" w:pos="709"/>
        </w:tabs>
        <w:rPr>
          <w:lang w:bidi="fa-IR"/>
        </w:rPr>
      </w:pPr>
      <w:r>
        <w:rPr>
          <w:lang w:bidi="fa-IR"/>
        </w:rPr>
        <w:t>Large hospital ward (C9A)</w:t>
      </w:r>
    </w:p>
    <w:p w14:paraId="0FC10C76" w14:textId="77777777" w:rsidR="00D24C7F" w:rsidRDefault="00D24C7F" w:rsidP="00D24C7F">
      <w:pPr>
        <w:pStyle w:val="ListBullet"/>
        <w:tabs>
          <w:tab w:val="num" w:pos="709"/>
        </w:tabs>
        <w:rPr>
          <w:lang w:bidi="fa-IR"/>
        </w:rPr>
      </w:pPr>
      <w:r>
        <w:rPr>
          <w:lang w:bidi="fa-IR"/>
        </w:rPr>
        <w:t>School classroom block (C9B)</w:t>
      </w:r>
    </w:p>
    <w:p w14:paraId="7C07B1FA" w14:textId="77777777" w:rsidR="00D24C7F" w:rsidRDefault="00D24C7F" w:rsidP="00D24C7F">
      <w:pPr>
        <w:pStyle w:val="ListBullet"/>
        <w:tabs>
          <w:tab w:val="num" w:pos="709"/>
        </w:tabs>
        <w:rPr>
          <w:lang w:bidi="fa-IR"/>
        </w:rPr>
      </w:pPr>
      <w:r>
        <w:rPr>
          <w:lang w:bidi="fa-IR"/>
        </w:rPr>
        <w:t>Aged care facility (C9C)</w:t>
      </w:r>
    </w:p>
    <w:bookmarkEnd w:id="8832"/>
    <w:p w14:paraId="4E43BCFB" w14:textId="77777777" w:rsidR="00D24C7F" w:rsidRDefault="00D24C7F" w:rsidP="00D24C7F">
      <w:pPr>
        <w:pStyle w:val="BodyText"/>
      </w:pPr>
      <w:r>
        <w:t>For more information, please see the mobilisation report by DeltaQ.</w:t>
      </w:r>
      <w:r>
        <w:rPr>
          <w:rStyle w:val="FootnoteReference"/>
        </w:rPr>
        <w:footnoteReference w:id="214"/>
      </w:r>
    </w:p>
    <w:p w14:paraId="17B5B816" w14:textId="77777777" w:rsidR="00D24C7F" w:rsidRDefault="00D24C7F" w:rsidP="00D24C7F">
      <w:pPr>
        <w:pStyle w:val="Heading8"/>
      </w:pPr>
      <w:r>
        <w:t>Floor space allocation</w:t>
      </w:r>
    </w:p>
    <w:p w14:paraId="3163E1BC" w14:textId="77777777" w:rsidR="00D24C7F" w:rsidRDefault="00D24C7F" w:rsidP="00D24C7F">
      <w:pPr>
        <w:pStyle w:val="BodyText"/>
      </w:pPr>
      <w:r>
        <w:t>For some NCC building classes, multiple archetypes have been modelled. Specifically:</w:t>
      </w:r>
    </w:p>
    <w:p w14:paraId="5FD7B68C" w14:textId="77777777" w:rsidR="00D24C7F" w:rsidRDefault="00D24C7F" w:rsidP="00D24C7F">
      <w:pPr>
        <w:pStyle w:val="ListBullet"/>
        <w:tabs>
          <w:tab w:val="num" w:pos="709"/>
        </w:tabs>
        <w:rPr>
          <w:lang w:bidi="fa-IR"/>
        </w:rPr>
      </w:pPr>
      <w:r>
        <w:rPr>
          <w:lang w:bidi="fa-IR"/>
        </w:rPr>
        <w:t>Hotels (Class 3) — DeltaQ has modelled:</w:t>
      </w:r>
    </w:p>
    <w:p w14:paraId="7182FD1C" w14:textId="77777777" w:rsidR="00D24C7F" w:rsidRDefault="00D24C7F" w:rsidP="00D24C7F">
      <w:pPr>
        <w:pStyle w:val="ListBullet"/>
        <w:numPr>
          <w:ilvl w:val="1"/>
          <w:numId w:val="34"/>
        </w:numPr>
      </w:pPr>
      <w:r>
        <w:t>a large hotel (C3HL), and</w:t>
      </w:r>
    </w:p>
    <w:p w14:paraId="49351CB9" w14:textId="77777777" w:rsidR="00D24C7F" w:rsidRDefault="00D24C7F" w:rsidP="00D24C7F">
      <w:pPr>
        <w:pStyle w:val="ListBullet"/>
        <w:numPr>
          <w:ilvl w:val="1"/>
          <w:numId w:val="34"/>
        </w:numPr>
      </w:pPr>
      <w:r>
        <w:t>a small motel (C3HS).</w:t>
      </w:r>
    </w:p>
    <w:p w14:paraId="159BC14C" w14:textId="77777777" w:rsidR="00D24C7F" w:rsidRDefault="00D24C7F" w:rsidP="00D24C7F">
      <w:pPr>
        <w:pStyle w:val="ListBullet"/>
        <w:tabs>
          <w:tab w:val="num" w:pos="709"/>
        </w:tabs>
        <w:rPr>
          <w:lang w:bidi="fa-IR"/>
        </w:rPr>
      </w:pPr>
      <w:r>
        <w:rPr>
          <w:lang w:bidi="fa-IR"/>
        </w:rPr>
        <w:t>Offices (Class 5) — DeltaQ has modelled:</w:t>
      </w:r>
    </w:p>
    <w:p w14:paraId="13533D28" w14:textId="77777777" w:rsidR="00D24C7F" w:rsidRDefault="00D24C7F" w:rsidP="00D24C7F">
      <w:pPr>
        <w:pStyle w:val="ListBullet"/>
        <w:numPr>
          <w:ilvl w:val="1"/>
          <w:numId w:val="34"/>
        </w:numPr>
      </w:pPr>
      <w:r>
        <w:t>a small office buildings</w:t>
      </w:r>
    </w:p>
    <w:p w14:paraId="7B5DD203" w14:textId="77777777" w:rsidR="00D24C7F" w:rsidRDefault="00D24C7F" w:rsidP="00D24C7F">
      <w:pPr>
        <w:pStyle w:val="ListBullet"/>
        <w:numPr>
          <w:ilvl w:val="1"/>
          <w:numId w:val="34"/>
        </w:numPr>
      </w:pPr>
      <w:r>
        <w:t>a medium office building</w:t>
      </w:r>
    </w:p>
    <w:p w14:paraId="594EBCEB" w14:textId="77777777" w:rsidR="00D24C7F" w:rsidRDefault="00D24C7F" w:rsidP="00D24C7F">
      <w:pPr>
        <w:pStyle w:val="ListBullet"/>
        <w:numPr>
          <w:ilvl w:val="1"/>
          <w:numId w:val="34"/>
        </w:numPr>
      </w:pPr>
      <w:r>
        <w:t>a large office building.</w:t>
      </w:r>
    </w:p>
    <w:p w14:paraId="3CB258B7" w14:textId="77777777" w:rsidR="00D24C7F" w:rsidRDefault="00D24C7F" w:rsidP="00D24C7F">
      <w:pPr>
        <w:pStyle w:val="ListBullet"/>
        <w:tabs>
          <w:tab w:val="num" w:pos="709"/>
        </w:tabs>
        <w:rPr>
          <w:lang w:bidi="fa-IR"/>
        </w:rPr>
      </w:pPr>
      <w:r>
        <w:rPr>
          <w:lang w:bidi="fa-IR"/>
        </w:rPr>
        <w:t>Retail buildings (Class 6) — DeltaQ has modelled:</w:t>
      </w:r>
    </w:p>
    <w:p w14:paraId="21023A0D" w14:textId="77777777" w:rsidR="00D24C7F" w:rsidRDefault="00D24C7F" w:rsidP="00D24C7F">
      <w:pPr>
        <w:pStyle w:val="ListBullet"/>
        <w:numPr>
          <w:ilvl w:val="1"/>
          <w:numId w:val="34"/>
        </w:numPr>
      </w:pPr>
      <w:r>
        <w:t>strip shops (C6RS); and</w:t>
      </w:r>
    </w:p>
    <w:p w14:paraId="6D79C8D4" w14:textId="77777777" w:rsidR="00D24C7F" w:rsidRDefault="00D24C7F" w:rsidP="00D24C7F">
      <w:pPr>
        <w:pStyle w:val="ListBullet"/>
        <w:numPr>
          <w:ilvl w:val="1"/>
          <w:numId w:val="34"/>
        </w:numPr>
      </w:pPr>
      <w:r>
        <w:t>a shopping centre (i.e. ‘big box’ retails)</w:t>
      </w:r>
    </w:p>
    <w:p w14:paraId="741A717C" w14:textId="77777777" w:rsidR="00D24C7F" w:rsidRDefault="00D24C7F" w:rsidP="00D24C7F">
      <w:pPr>
        <w:pStyle w:val="BodyText"/>
      </w:pPr>
      <w:r>
        <w:t>To aggregate up from the modelled archetypes we need an estimate of the share of the total floor space for each of these types.</w:t>
      </w:r>
    </w:p>
    <w:p w14:paraId="3580A7A5" w14:textId="77777777" w:rsidR="00D24C7F" w:rsidRDefault="00D24C7F" w:rsidP="00D24C7F">
      <w:pPr>
        <w:pStyle w:val="Heading9"/>
      </w:pPr>
      <w:r>
        <w:t>Hotels</w:t>
      </w:r>
    </w:p>
    <w:p w14:paraId="23AC39B0" w14:textId="7A042B43" w:rsidR="00D24C7F" w:rsidRDefault="00D24C7F" w:rsidP="00D24C7F">
      <w:pPr>
        <w:pStyle w:val="BodyText"/>
      </w:pPr>
      <w:r>
        <w:t>There is limited information available on the size/type of new hotels. Industry data from several years ago (2020-2021) indicates that the number of accommodation rooms increased by around 21 000, mostly in ‘hotels and resorts’ (table </w:t>
      </w:r>
      <w:r w:rsidR="00437F48">
        <w:t>F.1</w:t>
      </w:r>
      <w:r>
        <w:t>).</w:t>
      </w:r>
    </w:p>
    <w:p w14:paraId="212DD920" w14:textId="63E89D1F" w:rsidR="00D24C7F" w:rsidRPr="005E5FA8" w:rsidRDefault="00D24C7F" w:rsidP="00CA0DBC">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F</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w:instrText>
      </w:r>
      <w:fldSimple w:instr=" STYLEREF &quot;Heading 1&quot; \l \n ">
        <w:r w:rsidRPr="005E5FA8">
          <w:instrText>2</w:instrText>
        </w:r>
      </w:fldSimple>
      <w:r w:rsidRPr="005E5FA8">
        <w:instrText xml:space="preserve">." </w:instrText>
      </w:r>
      <w:r w:rsidRPr="005E5FA8">
        <w:fldChar w:fldCharType="end"/>
      </w:r>
      <w:r w:rsidRPr="005E5FA8">
        <w:instrText>" "</w:instrText>
      </w:r>
      <w:fldSimple w:instr=" STYLEREF &quot;Heading 6&quot; \l \n ">
        <w:r w:rsidR="00581346">
          <w:rPr>
            <w:noProof/>
          </w:rPr>
          <w:instrText>F</w:instrText>
        </w:r>
      </w:fldSimple>
      <w:r w:rsidRPr="005E5FA8">
        <w:instrText xml:space="preserve">." </w:instrText>
      </w:r>
      <w:r w:rsidRPr="005E5FA8">
        <w:fldChar w:fldCharType="separate"/>
      </w:r>
      <w:r w:rsidR="00581346">
        <w:rPr>
          <w:noProof/>
        </w:rPr>
        <w:instrText>F</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F</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"1" </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1</w:instrText>
      </w:r>
      <w:r w:rsidRPr="005E5FA8">
        <w:fldChar w:fldCharType="end"/>
      </w:r>
      <w:r w:rsidRPr="005E5FA8">
        <w:instrText xml:space="preserve">" "" </w:instrText>
      </w:r>
      <w:r w:rsidRPr="005E5FA8">
        <w:fldChar w:fldCharType="separate"/>
      </w:r>
      <w:bookmarkStart w:id="8833" w:name="_Caption9950"/>
      <w:bookmarkStart w:id="8834" w:name="_Caption1929"/>
      <w:bookmarkStart w:id="8835" w:name="_Caption8332"/>
      <w:bookmarkStart w:id="8836" w:name="_Caption1768"/>
      <w:bookmarkStart w:id="8837" w:name="_Toc177735234"/>
      <w:bookmarkStart w:id="8838" w:name="_Toc178292676"/>
      <w:r w:rsidR="008C60A3">
        <w:rPr>
          <w:noProof/>
        </w:rPr>
        <w:t>F</w:t>
      </w:r>
      <w:r w:rsidR="008C60A3" w:rsidRPr="005E5FA8">
        <w:rPr>
          <w:noProof/>
        </w:rPr>
        <w:t>.</w:t>
      </w:r>
      <w:r w:rsidR="008C60A3">
        <w:rPr>
          <w:noProof/>
        </w:rPr>
        <w:t>1</w:t>
      </w:r>
      <w:bookmarkEnd w:id="8833"/>
      <w:bookmarkEnd w:id="8834"/>
      <w:bookmarkEnd w:id="8835"/>
      <w:bookmarkEnd w:id="8836"/>
      <w:r w:rsidRPr="005E5FA8">
        <w:fldChar w:fldCharType="end"/>
      </w:r>
      <w:r w:rsidRPr="005E5FA8">
        <w:tab/>
        <w:t>Accommodation rooms by type</w:t>
      </w:r>
      <w:bookmarkEnd w:id="8837"/>
      <w:bookmarkEnd w:id="8838"/>
    </w:p>
    <w:tbl>
      <w:tblPr>
        <w:tblW w:w="7938" w:type="dxa"/>
        <w:tblLayout w:type="fixed"/>
        <w:tblLook w:val="0000" w:firstRow="0" w:lastRow="0" w:firstColumn="0" w:lastColumn="0" w:noHBand="0" w:noVBand="0"/>
      </w:tblPr>
      <w:tblGrid>
        <w:gridCol w:w="2535"/>
        <w:gridCol w:w="1801"/>
        <w:gridCol w:w="1801"/>
        <w:gridCol w:w="1801"/>
      </w:tblGrid>
      <w:tr w:rsidR="00D24C7F" w14:paraId="670C9F46" w14:textId="77777777">
        <w:trPr>
          <w:trHeight w:val="245"/>
        </w:trPr>
        <w:tc>
          <w:tcPr>
            <w:tcW w:w="2535" w:type="dxa"/>
            <w:shd w:val="clear" w:color="auto" w:fill="6F6652"/>
            <w:tcMar>
              <w:left w:w="57" w:type="dxa"/>
              <w:right w:w="57" w:type="dxa"/>
            </w:tcMar>
          </w:tcPr>
          <w:p w14:paraId="76EF5F56" w14:textId="77777777" w:rsidR="00D24C7F" w:rsidRDefault="00D24C7F">
            <w:pPr>
              <w:pStyle w:val="TableDataColumnHeading"/>
              <w:jc w:val="left"/>
            </w:pPr>
            <w:r>
              <w:t>Type</w:t>
            </w:r>
          </w:p>
        </w:tc>
        <w:tc>
          <w:tcPr>
            <w:tcW w:w="1801" w:type="dxa"/>
            <w:shd w:val="clear" w:color="auto" w:fill="6F6652"/>
            <w:tcMar>
              <w:left w:w="57" w:type="dxa"/>
              <w:right w:w="57" w:type="dxa"/>
            </w:tcMar>
          </w:tcPr>
          <w:p w14:paraId="582967B8" w14:textId="77777777" w:rsidR="00D24C7F" w:rsidRDefault="00D24C7F">
            <w:pPr>
              <w:pStyle w:val="TableDataColumnHeading"/>
            </w:pPr>
            <w:r>
              <w:t>2020</w:t>
            </w:r>
          </w:p>
        </w:tc>
        <w:tc>
          <w:tcPr>
            <w:tcW w:w="1801" w:type="dxa"/>
            <w:shd w:val="clear" w:color="auto" w:fill="6F6652"/>
            <w:tcMar>
              <w:left w:w="57" w:type="dxa"/>
              <w:right w:w="57" w:type="dxa"/>
            </w:tcMar>
          </w:tcPr>
          <w:p w14:paraId="477CD2E3" w14:textId="77777777" w:rsidR="00D24C7F" w:rsidRDefault="00D24C7F">
            <w:pPr>
              <w:pStyle w:val="TableDataColumnHeading"/>
            </w:pPr>
            <w:r>
              <w:t>2021</w:t>
            </w:r>
          </w:p>
        </w:tc>
        <w:tc>
          <w:tcPr>
            <w:tcW w:w="1801" w:type="dxa"/>
            <w:shd w:val="clear" w:color="auto" w:fill="6F6652"/>
            <w:tcMar>
              <w:left w:w="57" w:type="dxa"/>
              <w:right w:w="57" w:type="dxa"/>
            </w:tcMar>
          </w:tcPr>
          <w:p w14:paraId="1AB32E87" w14:textId="77777777" w:rsidR="00D24C7F" w:rsidRDefault="00D24C7F">
            <w:pPr>
              <w:pStyle w:val="TableDataColumnHeading"/>
            </w:pPr>
            <w:r>
              <w:t>Change</w:t>
            </w:r>
          </w:p>
        </w:tc>
      </w:tr>
      <w:tr w:rsidR="00D24C7F" w14:paraId="5851A4AE" w14:textId="77777777">
        <w:trPr>
          <w:trHeight w:val="245"/>
        </w:trPr>
        <w:tc>
          <w:tcPr>
            <w:tcW w:w="2535" w:type="dxa"/>
            <w:tcBorders>
              <w:bottom w:val="single" w:sz="8" w:space="0" w:color="FFFFFF" w:themeColor="background1"/>
            </w:tcBorders>
            <w:tcMar>
              <w:left w:w="57" w:type="dxa"/>
              <w:right w:w="57" w:type="dxa"/>
            </w:tcMar>
          </w:tcPr>
          <w:p w14:paraId="6A471D0A" w14:textId="77777777" w:rsidR="00D24C7F" w:rsidRDefault="00D24C7F">
            <w:pPr>
              <w:pStyle w:val="TableUnit"/>
              <w:jc w:val="left"/>
            </w:pPr>
          </w:p>
        </w:tc>
        <w:tc>
          <w:tcPr>
            <w:tcW w:w="1801" w:type="dxa"/>
            <w:tcBorders>
              <w:bottom w:val="single" w:sz="8" w:space="0" w:color="FFFFFF" w:themeColor="background1"/>
            </w:tcBorders>
            <w:tcMar>
              <w:left w:w="57" w:type="dxa"/>
              <w:right w:w="57" w:type="dxa"/>
            </w:tcMar>
          </w:tcPr>
          <w:p w14:paraId="4531F5F4" w14:textId="77777777" w:rsidR="00D24C7F" w:rsidRDefault="00D24C7F">
            <w:pPr>
              <w:pStyle w:val="TableUnit"/>
            </w:pPr>
            <w:r>
              <w:t>No.</w:t>
            </w:r>
          </w:p>
        </w:tc>
        <w:tc>
          <w:tcPr>
            <w:tcW w:w="1801" w:type="dxa"/>
            <w:tcBorders>
              <w:bottom w:val="single" w:sz="8" w:space="0" w:color="FFFFFF" w:themeColor="background1"/>
            </w:tcBorders>
            <w:tcMar>
              <w:left w:w="57" w:type="dxa"/>
              <w:right w:w="57" w:type="dxa"/>
            </w:tcMar>
          </w:tcPr>
          <w:p w14:paraId="28B56C02" w14:textId="77777777" w:rsidR="00D24C7F" w:rsidRDefault="00D24C7F">
            <w:pPr>
              <w:pStyle w:val="TableUnit"/>
            </w:pPr>
            <w:r>
              <w:t>No.</w:t>
            </w:r>
          </w:p>
        </w:tc>
        <w:tc>
          <w:tcPr>
            <w:tcW w:w="1801" w:type="dxa"/>
            <w:tcBorders>
              <w:bottom w:val="single" w:sz="8" w:space="0" w:color="FFFFFF" w:themeColor="background1"/>
            </w:tcBorders>
            <w:tcMar>
              <w:left w:w="57" w:type="dxa"/>
              <w:right w:w="57" w:type="dxa"/>
            </w:tcMar>
          </w:tcPr>
          <w:p w14:paraId="52FD3E73" w14:textId="77777777" w:rsidR="00D24C7F" w:rsidRDefault="00D24C7F">
            <w:pPr>
              <w:pStyle w:val="TableUnit"/>
            </w:pPr>
            <w:r>
              <w:t>No.</w:t>
            </w:r>
          </w:p>
        </w:tc>
      </w:tr>
      <w:tr w:rsidR="00D24C7F" w14:paraId="2AEAADF6" w14:textId="77777777">
        <w:trPr>
          <w:trHeight w:val="245"/>
        </w:trPr>
        <w:tc>
          <w:tcPr>
            <w:tcW w:w="253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279E6C" w14:textId="77777777" w:rsidR="00D24C7F" w:rsidRDefault="00D24C7F">
            <w:pPr>
              <w:pStyle w:val="TableDataEntries"/>
              <w:jc w:val="left"/>
            </w:pPr>
            <w:r>
              <w:t>Hotels and resorts</w:t>
            </w:r>
          </w:p>
        </w:tc>
        <w:tc>
          <w:tcPr>
            <w:tcW w:w="180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F56EB3" w14:textId="77777777" w:rsidR="00D24C7F" w:rsidRDefault="00D24C7F">
            <w:pPr>
              <w:pStyle w:val="TableDataEntries"/>
            </w:pPr>
            <w:r>
              <w:t>135 078</w:t>
            </w:r>
          </w:p>
        </w:tc>
        <w:tc>
          <w:tcPr>
            <w:tcW w:w="180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BA49E39" w14:textId="77777777" w:rsidR="00D24C7F" w:rsidRDefault="00D24C7F">
            <w:pPr>
              <w:pStyle w:val="TableDataEntries"/>
            </w:pPr>
            <w:r>
              <w:t>152 764</w:t>
            </w:r>
          </w:p>
        </w:tc>
        <w:tc>
          <w:tcPr>
            <w:tcW w:w="180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556B857" w14:textId="77777777" w:rsidR="00D24C7F" w:rsidRDefault="00D24C7F">
            <w:pPr>
              <w:pStyle w:val="TableDataEntries"/>
            </w:pPr>
            <w:r>
              <w:t>17 686</w:t>
            </w:r>
          </w:p>
        </w:tc>
      </w:tr>
      <w:tr w:rsidR="00D24C7F" w14:paraId="6BE82A62" w14:textId="77777777">
        <w:trPr>
          <w:trHeight w:val="245"/>
        </w:trPr>
        <w:tc>
          <w:tcPr>
            <w:tcW w:w="253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206D5E" w14:textId="77777777" w:rsidR="00D24C7F" w:rsidRDefault="00D24C7F">
            <w:pPr>
              <w:pStyle w:val="TableDataEntries"/>
              <w:jc w:val="left"/>
            </w:pPr>
            <w:r>
              <w:t>Motels/private hotels</w:t>
            </w:r>
          </w:p>
        </w:tc>
        <w:tc>
          <w:tcPr>
            <w:tcW w:w="180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F106F10" w14:textId="77777777" w:rsidR="00D24C7F" w:rsidRDefault="00D24C7F">
            <w:pPr>
              <w:pStyle w:val="TableDataEntries"/>
            </w:pPr>
            <w:r>
              <w:t>61 952</w:t>
            </w:r>
          </w:p>
        </w:tc>
        <w:tc>
          <w:tcPr>
            <w:tcW w:w="180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4819055" w14:textId="77777777" w:rsidR="00D24C7F" w:rsidRDefault="00D24C7F">
            <w:pPr>
              <w:pStyle w:val="TableDataEntries"/>
            </w:pPr>
            <w:r>
              <w:t>63 556</w:t>
            </w:r>
          </w:p>
        </w:tc>
        <w:tc>
          <w:tcPr>
            <w:tcW w:w="180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98AC659" w14:textId="77777777" w:rsidR="00D24C7F" w:rsidRDefault="00D24C7F">
            <w:pPr>
              <w:pStyle w:val="TableDataEntries"/>
            </w:pPr>
            <w:r>
              <w:t>1 604</w:t>
            </w:r>
          </w:p>
        </w:tc>
      </w:tr>
      <w:tr w:rsidR="00D24C7F" w14:paraId="03B934B3" w14:textId="77777777">
        <w:trPr>
          <w:trHeight w:val="245"/>
        </w:trPr>
        <w:tc>
          <w:tcPr>
            <w:tcW w:w="253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4AEDA93" w14:textId="77777777" w:rsidR="00D24C7F" w:rsidRDefault="00D24C7F">
            <w:pPr>
              <w:pStyle w:val="TableDataEntries"/>
              <w:jc w:val="left"/>
            </w:pPr>
            <w:r>
              <w:t>Serviced apartments</w:t>
            </w:r>
          </w:p>
        </w:tc>
        <w:tc>
          <w:tcPr>
            <w:tcW w:w="180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0425AE" w14:textId="77777777" w:rsidR="00D24C7F" w:rsidRDefault="00D24C7F">
            <w:pPr>
              <w:pStyle w:val="TableDataEntries"/>
            </w:pPr>
            <w:r>
              <w:t>73 122</w:t>
            </w:r>
          </w:p>
        </w:tc>
        <w:tc>
          <w:tcPr>
            <w:tcW w:w="180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262361" w14:textId="77777777" w:rsidR="00D24C7F" w:rsidRDefault="00D24C7F">
            <w:pPr>
              <w:pStyle w:val="TableDataEntries"/>
            </w:pPr>
            <w:r>
              <w:t>74 338</w:t>
            </w:r>
          </w:p>
        </w:tc>
        <w:tc>
          <w:tcPr>
            <w:tcW w:w="180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282FA9" w14:textId="77777777" w:rsidR="00D24C7F" w:rsidRDefault="00D24C7F">
            <w:pPr>
              <w:pStyle w:val="TableDataEntries"/>
            </w:pPr>
            <w:r>
              <w:t>1 216</w:t>
            </w:r>
          </w:p>
        </w:tc>
      </w:tr>
      <w:tr w:rsidR="00D24C7F" w14:paraId="2092A6DA" w14:textId="77777777">
        <w:trPr>
          <w:trHeight w:val="245"/>
        </w:trPr>
        <w:tc>
          <w:tcPr>
            <w:tcW w:w="2535"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276362" w14:textId="77777777" w:rsidR="00D24C7F" w:rsidRDefault="00D24C7F">
            <w:pPr>
              <w:pStyle w:val="TableDataEntries"/>
              <w:jc w:val="left"/>
            </w:pPr>
            <w:r>
              <w:t>Holiday parks</w:t>
            </w:r>
          </w:p>
        </w:tc>
        <w:tc>
          <w:tcPr>
            <w:tcW w:w="180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91C94D2" w14:textId="77777777" w:rsidR="00D24C7F" w:rsidRDefault="00D24C7F">
            <w:pPr>
              <w:pStyle w:val="TableDataEntries"/>
            </w:pPr>
            <w:r>
              <w:t>13 549</w:t>
            </w:r>
          </w:p>
        </w:tc>
        <w:tc>
          <w:tcPr>
            <w:tcW w:w="180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8861D9E" w14:textId="77777777" w:rsidR="00D24C7F" w:rsidRDefault="00D24C7F">
            <w:pPr>
              <w:pStyle w:val="TableDataEntries"/>
            </w:pPr>
            <w:r>
              <w:t>14 107</w:t>
            </w:r>
          </w:p>
        </w:tc>
        <w:tc>
          <w:tcPr>
            <w:tcW w:w="1801"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C2B34B9" w14:textId="77777777" w:rsidR="00D24C7F" w:rsidRDefault="00D24C7F">
            <w:pPr>
              <w:pStyle w:val="TableDataEntries"/>
            </w:pPr>
            <w:r>
              <w:t xml:space="preserve"> 558</w:t>
            </w:r>
          </w:p>
        </w:tc>
      </w:tr>
      <w:tr w:rsidR="00D24C7F" w:rsidRPr="00A16294" w14:paraId="000770AB" w14:textId="77777777">
        <w:trPr>
          <w:trHeight w:val="245"/>
        </w:trPr>
        <w:tc>
          <w:tcPr>
            <w:tcW w:w="2535"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517C699" w14:textId="77777777" w:rsidR="00D24C7F" w:rsidRPr="00A16294" w:rsidRDefault="00D24C7F">
            <w:pPr>
              <w:pStyle w:val="TableDataEntries"/>
              <w:jc w:val="left"/>
              <w:rPr>
                <w:rFonts w:ascii="Franklin Gothic Demi" w:hAnsi="Franklin Gothic Demi"/>
              </w:rPr>
            </w:pPr>
            <w:r w:rsidRPr="00A16294">
              <w:rPr>
                <w:rFonts w:ascii="Franklin Gothic Demi" w:hAnsi="Franklin Gothic Demi"/>
              </w:rPr>
              <w:t>Total</w:t>
            </w:r>
          </w:p>
        </w:tc>
        <w:tc>
          <w:tcPr>
            <w:tcW w:w="1801"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C2AA768" w14:textId="77777777" w:rsidR="00D24C7F" w:rsidRPr="00A16294" w:rsidRDefault="00D24C7F">
            <w:pPr>
              <w:pStyle w:val="TableDataEntries"/>
              <w:rPr>
                <w:rFonts w:ascii="Franklin Gothic Demi" w:hAnsi="Franklin Gothic Demi"/>
              </w:rPr>
            </w:pPr>
            <w:r w:rsidRPr="00A16294">
              <w:rPr>
                <w:rFonts w:ascii="Franklin Gothic Demi" w:hAnsi="Franklin Gothic Demi"/>
              </w:rPr>
              <w:t>283 701</w:t>
            </w:r>
          </w:p>
        </w:tc>
        <w:tc>
          <w:tcPr>
            <w:tcW w:w="1801"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B653A17" w14:textId="77777777" w:rsidR="00D24C7F" w:rsidRPr="00A16294" w:rsidRDefault="00D24C7F">
            <w:pPr>
              <w:pStyle w:val="TableDataEntries"/>
              <w:rPr>
                <w:rFonts w:ascii="Franklin Gothic Demi" w:hAnsi="Franklin Gothic Demi"/>
              </w:rPr>
            </w:pPr>
            <w:r w:rsidRPr="00A16294">
              <w:rPr>
                <w:rFonts w:ascii="Franklin Gothic Demi" w:hAnsi="Franklin Gothic Demi"/>
              </w:rPr>
              <w:t>304 765</w:t>
            </w:r>
          </w:p>
        </w:tc>
        <w:tc>
          <w:tcPr>
            <w:tcW w:w="1801"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5726131" w14:textId="77777777" w:rsidR="00D24C7F" w:rsidRPr="00A16294" w:rsidRDefault="00D24C7F">
            <w:pPr>
              <w:pStyle w:val="TableDataEntries"/>
              <w:rPr>
                <w:rFonts w:ascii="Franklin Gothic Demi" w:hAnsi="Franklin Gothic Demi"/>
              </w:rPr>
            </w:pPr>
            <w:r w:rsidRPr="00A16294">
              <w:rPr>
                <w:rFonts w:ascii="Franklin Gothic Demi" w:hAnsi="Franklin Gothic Demi"/>
              </w:rPr>
              <w:t>21 064</w:t>
            </w:r>
          </w:p>
        </w:tc>
      </w:tr>
    </w:tbl>
    <w:p w14:paraId="3879F7C2" w14:textId="57DABC9C" w:rsidR="00D24C7F" w:rsidRDefault="00D24C7F" w:rsidP="00D24C7F">
      <w:pPr>
        <w:pStyle w:val="Source"/>
      </w:pPr>
      <w:r>
        <w:rPr>
          <w:i/>
        </w:rPr>
        <w:t>Source</w:t>
      </w:r>
      <w:r w:rsidRPr="00E4232C">
        <w:rPr>
          <w:i/>
        </w:rPr>
        <w:t>:</w:t>
      </w:r>
      <w:r>
        <w:t xml:space="preserve"> MaxCap Investment Management, MaxCap Australian Hotel Market Update 2022, May 2022, p. 2, </w:t>
      </w:r>
      <w:hyperlink r:id="rId82" w:history="1">
        <w:r w:rsidRPr="001019E8">
          <w:rPr>
            <w:rStyle w:val="Hyperlink"/>
          </w:rPr>
          <w:t>https://maxcapgroup.com.au/wp-content/uploads/2022/05/MAXCAP_HOTEL_UPDATE_2022_FINAL.pdf</w:t>
        </w:r>
      </w:hyperlink>
      <w:r>
        <w:t>, accessed 30 August 2024.</w:t>
      </w:r>
    </w:p>
    <w:p w14:paraId="3A22AAB0" w14:textId="77777777" w:rsidR="00D24C7F" w:rsidRDefault="00D24C7F" w:rsidP="00D24C7F">
      <w:pPr>
        <w:pStyle w:val="BodyText"/>
      </w:pPr>
      <w:r>
        <w:t>We assume the that:</w:t>
      </w:r>
    </w:p>
    <w:p w14:paraId="5EFB07EA" w14:textId="77777777" w:rsidR="00D24C7F" w:rsidRDefault="00D24C7F" w:rsidP="00D24C7F">
      <w:pPr>
        <w:pStyle w:val="ListBullet"/>
        <w:tabs>
          <w:tab w:val="num" w:pos="709"/>
        </w:tabs>
        <w:rPr>
          <w:lang w:bidi="fa-IR"/>
        </w:rPr>
      </w:pPr>
      <w:r>
        <w:rPr>
          <w:lang w:bidi="fa-IR"/>
        </w:rPr>
        <w:t>‘Hotels and resorts’ and ‘Serviced apartments’ are similar to the ‘large hotel’ archetype modelled by DeltaQ; and</w:t>
      </w:r>
    </w:p>
    <w:p w14:paraId="5F6B7E03" w14:textId="77777777" w:rsidR="00D24C7F" w:rsidRDefault="00D24C7F" w:rsidP="00D24C7F">
      <w:pPr>
        <w:pStyle w:val="ListBullet"/>
        <w:tabs>
          <w:tab w:val="num" w:pos="709"/>
        </w:tabs>
        <w:rPr>
          <w:lang w:bidi="fa-IR"/>
        </w:rPr>
      </w:pPr>
      <w:r>
        <w:rPr>
          <w:lang w:bidi="fa-IR"/>
        </w:rPr>
        <w:t>Motels/private hotels are similar to the ‘small hotel’ (motel) archetype modelled by DeltaQ.</w:t>
      </w:r>
    </w:p>
    <w:p w14:paraId="39CE2968" w14:textId="16EAE33A" w:rsidR="00D24C7F" w:rsidRDefault="00D24C7F" w:rsidP="00D24C7F">
      <w:pPr>
        <w:pStyle w:val="BodyText"/>
      </w:pPr>
      <w:r>
        <w:t>This implies that (excluding ‘Holiday park’ accommodation): around 92 per cent of new accommodation rooms are in large hotel; and around 8 per cent of new accommodation rooms are in small hotels/motels (table </w:t>
      </w:r>
      <w:r w:rsidR="00437F48">
        <w:t>F.2</w:t>
      </w:r>
      <w:r>
        <w:t>).</w:t>
      </w:r>
    </w:p>
    <w:p w14:paraId="35175F56" w14:textId="1942007B" w:rsidR="00D24C7F" w:rsidRPr="005E5FA8" w:rsidRDefault="00D24C7F" w:rsidP="00CA0DBC">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F</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w:instrText>
      </w:r>
      <w:fldSimple w:instr=" STYLEREF &quot;Heading 1&quot; \l \n ">
        <w:r w:rsidRPr="005E5FA8">
          <w:instrText>2</w:instrText>
        </w:r>
      </w:fldSimple>
      <w:r w:rsidRPr="005E5FA8">
        <w:instrText xml:space="preserve">." </w:instrText>
      </w:r>
      <w:r w:rsidRPr="005E5FA8">
        <w:fldChar w:fldCharType="end"/>
      </w:r>
      <w:r w:rsidRPr="005E5FA8">
        <w:instrText>" "</w:instrText>
      </w:r>
      <w:fldSimple w:instr=" STYLEREF &quot;Heading 6&quot; \l \n ">
        <w:r w:rsidR="00581346">
          <w:rPr>
            <w:noProof/>
          </w:rPr>
          <w:instrText>F</w:instrText>
        </w:r>
      </w:fldSimple>
      <w:r w:rsidRPr="005E5FA8">
        <w:instrText xml:space="preserve">." </w:instrText>
      </w:r>
      <w:r w:rsidRPr="005E5FA8">
        <w:fldChar w:fldCharType="separate"/>
      </w:r>
      <w:r w:rsidR="00581346">
        <w:rPr>
          <w:noProof/>
        </w:rPr>
        <w:instrText>F</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F</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"1" </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2</w:instrText>
      </w:r>
      <w:r w:rsidRPr="005E5FA8">
        <w:fldChar w:fldCharType="end"/>
      </w:r>
      <w:r w:rsidRPr="005E5FA8">
        <w:instrText xml:space="preserve">" "" </w:instrText>
      </w:r>
      <w:r w:rsidRPr="005E5FA8">
        <w:fldChar w:fldCharType="separate"/>
      </w:r>
      <w:bookmarkStart w:id="8839" w:name="_Caption1968"/>
      <w:bookmarkStart w:id="8840" w:name="_Caption7691"/>
      <w:bookmarkStart w:id="8841" w:name="_Caption4626"/>
      <w:bookmarkStart w:id="8842" w:name="_Toc177735235"/>
      <w:bookmarkStart w:id="8843" w:name="_Toc178292677"/>
      <w:r w:rsidR="008C60A3">
        <w:rPr>
          <w:noProof/>
        </w:rPr>
        <w:t>F</w:t>
      </w:r>
      <w:r w:rsidR="008C60A3" w:rsidRPr="005E5FA8">
        <w:rPr>
          <w:noProof/>
        </w:rPr>
        <w:t>.</w:t>
      </w:r>
      <w:r w:rsidR="008C60A3">
        <w:rPr>
          <w:noProof/>
        </w:rPr>
        <w:t>2</w:t>
      </w:r>
      <w:bookmarkEnd w:id="8839"/>
      <w:bookmarkEnd w:id="8840"/>
      <w:bookmarkEnd w:id="8841"/>
      <w:r w:rsidRPr="005E5FA8">
        <w:fldChar w:fldCharType="end"/>
      </w:r>
      <w:r w:rsidRPr="005E5FA8">
        <w:tab/>
        <w:t>New accommodation by archetype</w:t>
      </w:r>
      <w:bookmarkEnd w:id="8842"/>
      <w:bookmarkEnd w:id="8843"/>
    </w:p>
    <w:tbl>
      <w:tblPr>
        <w:tblW w:w="0" w:type="auto"/>
        <w:tblLayout w:type="fixed"/>
        <w:tblLook w:val="0000" w:firstRow="0" w:lastRow="0" w:firstColumn="0" w:lastColumn="0" w:noHBand="0" w:noVBand="0"/>
      </w:tblPr>
      <w:tblGrid>
        <w:gridCol w:w="3279"/>
        <w:gridCol w:w="2329"/>
        <w:gridCol w:w="2329"/>
      </w:tblGrid>
      <w:tr w:rsidR="00D24C7F" w14:paraId="5AA4AB46" w14:textId="77777777">
        <w:trPr>
          <w:trHeight w:val="245"/>
        </w:trPr>
        <w:tc>
          <w:tcPr>
            <w:tcW w:w="3279" w:type="dxa"/>
            <w:shd w:val="clear" w:color="auto" w:fill="6F6652"/>
            <w:tcMar>
              <w:left w:w="57" w:type="dxa"/>
              <w:right w:w="57" w:type="dxa"/>
            </w:tcMar>
          </w:tcPr>
          <w:p w14:paraId="5CB136F0" w14:textId="77777777" w:rsidR="00D24C7F" w:rsidRDefault="00D24C7F">
            <w:pPr>
              <w:pStyle w:val="TableDataColumnHeading"/>
              <w:jc w:val="left"/>
            </w:pPr>
          </w:p>
        </w:tc>
        <w:tc>
          <w:tcPr>
            <w:tcW w:w="2329" w:type="dxa"/>
            <w:shd w:val="clear" w:color="auto" w:fill="6F6652"/>
            <w:tcMar>
              <w:left w:w="57" w:type="dxa"/>
              <w:right w:w="57" w:type="dxa"/>
            </w:tcMar>
          </w:tcPr>
          <w:p w14:paraId="15958715" w14:textId="77777777" w:rsidR="00D24C7F" w:rsidRDefault="00D24C7F">
            <w:pPr>
              <w:pStyle w:val="TableDataColumnHeading"/>
            </w:pPr>
            <w:r>
              <w:t>Change</w:t>
            </w:r>
          </w:p>
        </w:tc>
        <w:tc>
          <w:tcPr>
            <w:tcW w:w="2329" w:type="dxa"/>
            <w:shd w:val="clear" w:color="auto" w:fill="6F6652"/>
            <w:tcMar>
              <w:left w:w="57" w:type="dxa"/>
              <w:right w:w="57" w:type="dxa"/>
            </w:tcMar>
          </w:tcPr>
          <w:p w14:paraId="246BE7B4" w14:textId="77777777" w:rsidR="00D24C7F" w:rsidRDefault="00D24C7F">
            <w:pPr>
              <w:pStyle w:val="TableDataColumnHeading"/>
            </w:pPr>
            <w:r>
              <w:t>Share</w:t>
            </w:r>
          </w:p>
        </w:tc>
      </w:tr>
      <w:tr w:rsidR="00D24C7F" w14:paraId="49488182" w14:textId="77777777">
        <w:trPr>
          <w:trHeight w:val="245"/>
        </w:trPr>
        <w:tc>
          <w:tcPr>
            <w:tcW w:w="3279" w:type="dxa"/>
            <w:tcBorders>
              <w:bottom w:val="single" w:sz="8" w:space="0" w:color="FFFFFF" w:themeColor="background1"/>
            </w:tcBorders>
            <w:tcMar>
              <w:left w:w="57" w:type="dxa"/>
              <w:right w:w="57" w:type="dxa"/>
            </w:tcMar>
          </w:tcPr>
          <w:p w14:paraId="7A4B6FD2" w14:textId="77777777" w:rsidR="00D24C7F" w:rsidRDefault="00D24C7F">
            <w:pPr>
              <w:pStyle w:val="TableUnit"/>
              <w:jc w:val="left"/>
            </w:pPr>
          </w:p>
        </w:tc>
        <w:tc>
          <w:tcPr>
            <w:tcW w:w="2329" w:type="dxa"/>
            <w:tcBorders>
              <w:bottom w:val="single" w:sz="8" w:space="0" w:color="FFFFFF" w:themeColor="background1"/>
            </w:tcBorders>
            <w:tcMar>
              <w:left w:w="57" w:type="dxa"/>
              <w:right w:w="57" w:type="dxa"/>
            </w:tcMar>
          </w:tcPr>
          <w:p w14:paraId="3B0DD1DC" w14:textId="77777777" w:rsidR="00D24C7F" w:rsidRDefault="00D24C7F">
            <w:pPr>
              <w:pStyle w:val="TableUnit"/>
            </w:pPr>
            <w:r>
              <w:t>No.</w:t>
            </w:r>
          </w:p>
        </w:tc>
        <w:tc>
          <w:tcPr>
            <w:tcW w:w="2329" w:type="dxa"/>
            <w:tcBorders>
              <w:bottom w:val="single" w:sz="8" w:space="0" w:color="FFFFFF" w:themeColor="background1"/>
            </w:tcBorders>
            <w:tcMar>
              <w:left w:w="57" w:type="dxa"/>
              <w:right w:w="57" w:type="dxa"/>
            </w:tcMar>
          </w:tcPr>
          <w:p w14:paraId="1C38C775" w14:textId="77777777" w:rsidR="00D24C7F" w:rsidRDefault="00D24C7F">
            <w:pPr>
              <w:pStyle w:val="TableUnit"/>
            </w:pPr>
            <w:r>
              <w:t>Per cent</w:t>
            </w:r>
          </w:p>
        </w:tc>
      </w:tr>
      <w:tr w:rsidR="00D24C7F" w14:paraId="23DC14AE" w14:textId="77777777">
        <w:trPr>
          <w:trHeight w:val="245"/>
        </w:trPr>
        <w:tc>
          <w:tcPr>
            <w:tcW w:w="327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D9D464B" w14:textId="77777777" w:rsidR="00D24C7F" w:rsidRDefault="00D24C7F">
            <w:pPr>
              <w:pStyle w:val="TableDataEntries"/>
              <w:jc w:val="left"/>
            </w:pPr>
            <w:r>
              <w:t>Small hotels</w:t>
            </w:r>
          </w:p>
        </w:tc>
        <w:tc>
          <w:tcPr>
            <w:tcW w:w="232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9EA4EF" w14:textId="77777777" w:rsidR="00D24C7F" w:rsidRDefault="00D24C7F">
            <w:pPr>
              <w:pStyle w:val="TableDataEntries"/>
            </w:pPr>
            <w:r>
              <w:t>1 604</w:t>
            </w:r>
          </w:p>
        </w:tc>
        <w:tc>
          <w:tcPr>
            <w:tcW w:w="232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2A17B4" w14:textId="77777777" w:rsidR="00D24C7F" w:rsidRDefault="00D24C7F">
            <w:pPr>
              <w:pStyle w:val="TableDataEntries"/>
            </w:pPr>
            <w:r>
              <w:t xml:space="preserve"> 7.8</w:t>
            </w:r>
          </w:p>
        </w:tc>
      </w:tr>
      <w:tr w:rsidR="00D24C7F" w14:paraId="54C1E579" w14:textId="77777777">
        <w:trPr>
          <w:trHeight w:val="245"/>
        </w:trPr>
        <w:tc>
          <w:tcPr>
            <w:tcW w:w="327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122B35" w14:textId="77777777" w:rsidR="00D24C7F" w:rsidRDefault="00D24C7F">
            <w:pPr>
              <w:pStyle w:val="TableDataEntries"/>
              <w:jc w:val="left"/>
            </w:pPr>
            <w:r>
              <w:t>Large hotels</w:t>
            </w:r>
          </w:p>
        </w:tc>
        <w:tc>
          <w:tcPr>
            <w:tcW w:w="232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10727C" w14:textId="77777777" w:rsidR="00D24C7F" w:rsidRDefault="00D24C7F">
            <w:pPr>
              <w:pStyle w:val="TableDataEntries"/>
            </w:pPr>
            <w:r>
              <w:t>18 902</w:t>
            </w:r>
          </w:p>
        </w:tc>
        <w:tc>
          <w:tcPr>
            <w:tcW w:w="232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B04DDE9" w14:textId="77777777" w:rsidR="00D24C7F" w:rsidRDefault="00D24C7F">
            <w:pPr>
              <w:pStyle w:val="TableDataEntries"/>
            </w:pPr>
            <w:r>
              <w:t xml:space="preserve"> 92.2</w:t>
            </w:r>
          </w:p>
        </w:tc>
      </w:tr>
      <w:tr w:rsidR="00D24C7F" w:rsidRPr="009C1144" w14:paraId="202CF5E4" w14:textId="77777777">
        <w:trPr>
          <w:trHeight w:val="245"/>
        </w:trPr>
        <w:tc>
          <w:tcPr>
            <w:tcW w:w="3279"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D8D24C8" w14:textId="77777777" w:rsidR="00D24C7F" w:rsidRPr="009C1144" w:rsidRDefault="00D24C7F">
            <w:pPr>
              <w:pStyle w:val="TableDataEntries"/>
              <w:jc w:val="left"/>
              <w:rPr>
                <w:rFonts w:ascii="Franklin Gothic Demi" w:hAnsi="Franklin Gothic Demi"/>
              </w:rPr>
            </w:pPr>
            <w:r w:rsidRPr="009C1144">
              <w:rPr>
                <w:rFonts w:ascii="Franklin Gothic Demi" w:hAnsi="Franklin Gothic Demi"/>
              </w:rPr>
              <w:t>Total</w:t>
            </w:r>
          </w:p>
        </w:tc>
        <w:tc>
          <w:tcPr>
            <w:tcW w:w="2329"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AC8CD9F" w14:textId="77777777" w:rsidR="00D24C7F" w:rsidRPr="009C1144" w:rsidRDefault="00D24C7F">
            <w:pPr>
              <w:pStyle w:val="TableDataEntries"/>
              <w:rPr>
                <w:rFonts w:ascii="Franklin Gothic Demi" w:hAnsi="Franklin Gothic Demi"/>
              </w:rPr>
            </w:pPr>
            <w:r w:rsidRPr="009C1144">
              <w:rPr>
                <w:rFonts w:ascii="Franklin Gothic Demi" w:hAnsi="Franklin Gothic Demi"/>
              </w:rPr>
              <w:t>20 506</w:t>
            </w:r>
          </w:p>
        </w:tc>
        <w:tc>
          <w:tcPr>
            <w:tcW w:w="2329"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48512BF" w14:textId="77777777" w:rsidR="00D24C7F" w:rsidRPr="009C1144" w:rsidRDefault="00D24C7F">
            <w:pPr>
              <w:pStyle w:val="TableDataEntries"/>
              <w:rPr>
                <w:rFonts w:ascii="Franklin Gothic Demi" w:hAnsi="Franklin Gothic Demi"/>
              </w:rPr>
            </w:pPr>
            <w:r w:rsidRPr="009C1144">
              <w:rPr>
                <w:rFonts w:ascii="Franklin Gothic Demi" w:hAnsi="Franklin Gothic Demi"/>
              </w:rPr>
              <w:t xml:space="preserve"> 100.0</w:t>
            </w:r>
          </w:p>
        </w:tc>
      </w:tr>
    </w:tbl>
    <w:p w14:paraId="77E1F0C2" w14:textId="512BDBD8" w:rsidR="00D24C7F" w:rsidRDefault="00D24C7F" w:rsidP="00D24C7F">
      <w:pPr>
        <w:pStyle w:val="Source"/>
      </w:pPr>
      <w:r>
        <w:rPr>
          <w:i/>
        </w:rPr>
        <w:t>Source</w:t>
      </w:r>
      <w:r w:rsidRPr="00E4232C">
        <w:rPr>
          <w:i/>
        </w:rPr>
        <w:t>:</w:t>
      </w:r>
      <w:r>
        <w:t xml:space="preserve"> CIE based on: MaxCap Investment Management, MaxCap Australian Hotel Market Update 2022, May 2022, p. 2, </w:t>
      </w:r>
      <w:hyperlink r:id="rId83" w:history="1">
        <w:r w:rsidRPr="001019E8">
          <w:rPr>
            <w:rStyle w:val="Hyperlink"/>
          </w:rPr>
          <w:t>https://maxcapgroup.com.au/wp-content/uploads/2022/05/MAXCAP_HOTEL_UPDATE_2022_FINAL.pdf</w:t>
        </w:r>
      </w:hyperlink>
      <w:r>
        <w:t>, accessed 30 August 2024.</w:t>
      </w:r>
    </w:p>
    <w:p w14:paraId="31DE46E0" w14:textId="77777777" w:rsidR="00D24C7F" w:rsidRDefault="00D24C7F" w:rsidP="00D24C7F">
      <w:pPr>
        <w:pStyle w:val="BodyText"/>
      </w:pPr>
      <w:r>
        <w:t>The composition of new accommodation rooms is likely to be closely (albeit imperfectly) linked to new floor space.</w:t>
      </w:r>
    </w:p>
    <w:p w14:paraId="3751D7B7" w14:textId="77777777" w:rsidR="00D24C7F" w:rsidRDefault="00D24C7F" w:rsidP="00D24C7F">
      <w:pPr>
        <w:pStyle w:val="Heading9"/>
      </w:pPr>
      <w:r>
        <w:t>Office buildings</w:t>
      </w:r>
    </w:p>
    <w:p w14:paraId="59CD673D" w14:textId="77777777" w:rsidR="00D24C7F" w:rsidRDefault="00D24C7F" w:rsidP="00D24C7F">
      <w:pPr>
        <w:pStyle w:val="BodyText"/>
      </w:pPr>
      <w:r>
        <w:t>Although not comprehensive, the CBD Program dataset provides an indicator of the size of new office buildings. Under the CBD Program office buildings with floor space greater than 1000 m</w:t>
      </w:r>
      <w:r w:rsidRPr="002746F9">
        <w:rPr>
          <w:vertAlign w:val="superscript"/>
        </w:rPr>
        <w:t>2</w:t>
      </w:r>
      <w:r>
        <w:t xml:space="preserve"> must obtain a Building Energy Efficiency Certificate (BEEC) upon sale or lease, which (among a range of other information) records the building’s floor space net lettable area (NLA).</w:t>
      </w:r>
    </w:p>
    <w:p w14:paraId="37FE6E3F" w14:textId="77777777" w:rsidR="00D24C7F" w:rsidRDefault="00D24C7F" w:rsidP="00D24C7F">
      <w:pPr>
        <w:pStyle w:val="ListBullet"/>
        <w:tabs>
          <w:tab w:val="num" w:pos="709"/>
        </w:tabs>
        <w:rPr>
          <w:lang w:bidi="fa-IR"/>
        </w:rPr>
      </w:pPr>
      <w:r>
        <w:rPr>
          <w:lang w:bidi="fa-IR"/>
        </w:rPr>
        <w:t>We analysed a sample of 372 office buildings that obtained a BEEC for the first time over the period from 2022</w:t>
      </w:r>
      <w:r>
        <w:rPr>
          <w:lang w:bidi="fa-IR"/>
        </w:rPr>
        <w:noBreakHyphen/>
        <w:t>2024 (as a proxy for ‘new’ buildings). In total, these buildings contained more than 2.6 million m</w:t>
      </w:r>
      <w:r w:rsidRPr="00663CF5">
        <w:rPr>
          <w:lang w:bidi="fa-IR"/>
        </w:rPr>
        <w:t>2</w:t>
      </w:r>
      <w:r>
        <w:rPr>
          <w:lang w:bidi="fa-IR"/>
        </w:rPr>
        <w:t xml:space="preserve"> NLA.</w:t>
      </w:r>
    </w:p>
    <w:p w14:paraId="36D82D9F" w14:textId="77777777" w:rsidR="00D24C7F" w:rsidRDefault="00D24C7F" w:rsidP="00D24C7F">
      <w:pPr>
        <w:pStyle w:val="ListBullet"/>
        <w:tabs>
          <w:tab w:val="num" w:pos="709"/>
        </w:tabs>
        <w:rPr>
          <w:lang w:bidi="fa-IR"/>
        </w:rPr>
      </w:pPr>
      <w:r>
        <w:rPr>
          <w:lang w:bidi="fa-IR"/>
        </w:rPr>
        <w:t>We assumed:</w:t>
      </w:r>
    </w:p>
    <w:p w14:paraId="1E5AF239" w14:textId="77777777" w:rsidR="00D24C7F" w:rsidRDefault="00D24C7F" w:rsidP="00D24C7F">
      <w:pPr>
        <w:pStyle w:val="ListBullet"/>
        <w:numPr>
          <w:ilvl w:val="1"/>
          <w:numId w:val="34"/>
        </w:numPr>
      </w:pPr>
      <w:r>
        <w:t>buildings in the range from 0</w:t>
      </w:r>
      <w:r>
        <w:noBreakHyphen/>
        <w:t>1500 m</w:t>
      </w:r>
      <w:r w:rsidRPr="00A45504">
        <w:t>2</w:t>
      </w:r>
      <w:r>
        <w:t xml:space="preserve"> NLA are similar to the ‘small’ office building modelled by DeltaQ</w:t>
      </w:r>
    </w:p>
    <w:p w14:paraId="220B36CC" w14:textId="77777777" w:rsidR="00D24C7F" w:rsidRDefault="00D24C7F" w:rsidP="00D24C7F">
      <w:pPr>
        <w:pStyle w:val="ListBullet"/>
        <w:numPr>
          <w:ilvl w:val="1"/>
          <w:numId w:val="34"/>
        </w:numPr>
      </w:pPr>
      <w:r>
        <w:t>buildings in the range from 1500</w:t>
      </w:r>
      <w:r>
        <w:noBreakHyphen/>
        <w:t>7500 m</w:t>
      </w:r>
      <w:r w:rsidRPr="00A45504">
        <w:t>2</w:t>
      </w:r>
      <w:r>
        <w:t xml:space="preserve"> NLA are similar to the ‘medium’ office building modelled by DeltaQ</w:t>
      </w:r>
    </w:p>
    <w:p w14:paraId="2341EB88" w14:textId="77777777" w:rsidR="00D24C7F" w:rsidRDefault="00D24C7F" w:rsidP="00D24C7F">
      <w:pPr>
        <w:pStyle w:val="ListBullet"/>
        <w:numPr>
          <w:ilvl w:val="1"/>
          <w:numId w:val="34"/>
        </w:numPr>
      </w:pPr>
      <w:r>
        <w:t>buildings greater than 7500 m</w:t>
      </w:r>
      <w:r w:rsidRPr="00A45504">
        <w:t>2</w:t>
      </w:r>
      <w:r>
        <w:t xml:space="preserve"> NLA are similar to the ‘large’ office building modelled by DeltaQ.</w:t>
      </w:r>
    </w:p>
    <w:p w14:paraId="32F57575" w14:textId="1B99AF87" w:rsidR="00D24C7F" w:rsidRDefault="00D24C7F" w:rsidP="00D24C7F">
      <w:pPr>
        <w:pStyle w:val="BodyText"/>
      </w:pPr>
      <w:r>
        <w:t>This analysis suggested that around two</w:t>
      </w:r>
      <w:r>
        <w:noBreakHyphen/>
        <w:t>thirds of all new floor space was in ‘large’ office buildings, with most of the rest (around 30 per cent) in ‘medium’ office buildings (table </w:t>
      </w:r>
      <w:r w:rsidR="00437F48">
        <w:t>F.3</w:t>
      </w:r>
      <w:r>
        <w:t>). Only around 4 per cent of new floor space was in ‘small’ office buildings.</w:t>
      </w:r>
    </w:p>
    <w:p w14:paraId="0DA7D410" w14:textId="3504687E" w:rsidR="00D24C7F" w:rsidRPr="005E5FA8" w:rsidRDefault="00D24C7F" w:rsidP="00CA0DBC">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F</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w:instrText>
      </w:r>
      <w:fldSimple w:instr=" STYLEREF &quot;Heading 1&quot; \l \n ">
        <w:r w:rsidRPr="005E5FA8">
          <w:instrText>2</w:instrText>
        </w:r>
      </w:fldSimple>
      <w:r w:rsidRPr="005E5FA8">
        <w:instrText xml:space="preserve">." </w:instrText>
      </w:r>
      <w:r w:rsidRPr="005E5FA8">
        <w:fldChar w:fldCharType="end"/>
      </w:r>
      <w:r w:rsidRPr="005E5FA8">
        <w:instrText>" "</w:instrText>
      </w:r>
      <w:fldSimple w:instr=" STYLEREF &quot;Heading 6&quot; \l \n ">
        <w:r w:rsidR="00581346">
          <w:rPr>
            <w:noProof/>
          </w:rPr>
          <w:instrText>F</w:instrText>
        </w:r>
      </w:fldSimple>
      <w:r w:rsidRPr="005E5FA8">
        <w:instrText xml:space="preserve">." </w:instrText>
      </w:r>
      <w:r w:rsidRPr="005E5FA8">
        <w:fldChar w:fldCharType="separate"/>
      </w:r>
      <w:r w:rsidR="00581346">
        <w:rPr>
          <w:noProof/>
        </w:rPr>
        <w:instrText>F</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F</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"1" </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3</w:instrText>
      </w:r>
      <w:r w:rsidRPr="005E5FA8">
        <w:fldChar w:fldCharType="end"/>
      </w:r>
      <w:r w:rsidRPr="005E5FA8">
        <w:instrText xml:space="preserve">" "" </w:instrText>
      </w:r>
      <w:r w:rsidRPr="005E5FA8">
        <w:fldChar w:fldCharType="separate"/>
      </w:r>
      <w:bookmarkStart w:id="8844" w:name="_Caption7877"/>
      <w:bookmarkStart w:id="8845" w:name="_Caption9674"/>
      <w:bookmarkStart w:id="8846" w:name="_Caption9106"/>
      <w:bookmarkStart w:id="8847" w:name="_Caption2969"/>
      <w:bookmarkStart w:id="8848" w:name="_Toc177735236"/>
      <w:bookmarkStart w:id="8849" w:name="_Toc178292678"/>
      <w:r w:rsidR="008C60A3">
        <w:rPr>
          <w:noProof/>
        </w:rPr>
        <w:t>F</w:t>
      </w:r>
      <w:r w:rsidR="008C60A3" w:rsidRPr="005E5FA8">
        <w:rPr>
          <w:noProof/>
        </w:rPr>
        <w:t>.</w:t>
      </w:r>
      <w:r w:rsidR="008C60A3">
        <w:rPr>
          <w:noProof/>
        </w:rPr>
        <w:t>3</w:t>
      </w:r>
      <w:bookmarkEnd w:id="8844"/>
      <w:bookmarkEnd w:id="8845"/>
      <w:bookmarkEnd w:id="8846"/>
      <w:bookmarkEnd w:id="8847"/>
      <w:r w:rsidRPr="005E5FA8">
        <w:fldChar w:fldCharType="end"/>
      </w:r>
      <w:r w:rsidRPr="005E5FA8">
        <w:tab/>
        <w:t>Office buildings by floor space</w:t>
      </w:r>
      <w:bookmarkEnd w:id="8848"/>
      <w:bookmarkEnd w:id="8849"/>
    </w:p>
    <w:tbl>
      <w:tblPr>
        <w:tblW w:w="7936" w:type="dxa"/>
        <w:tblLayout w:type="fixed"/>
        <w:tblLook w:val="0000" w:firstRow="0" w:lastRow="0" w:firstColumn="0" w:lastColumn="0" w:noHBand="0" w:noVBand="0"/>
      </w:tblPr>
      <w:tblGrid>
        <w:gridCol w:w="1053"/>
        <w:gridCol w:w="1053"/>
        <w:gridCol w:w="1438"/>
        <w:gridCol w:w="1098"/>
        <w:gridCol w:w="1098"/>
        <w:gridCol w:w="1098"/>
        <w:gridCol w:w="1098"/>
      </w:tblGrid>
      <w:tr w:rsidR="00D24C7F" w14:paraId="430AFA49" w14:textId="77777777">
        <w:trPr>
          <w:trHeight w:val="490"/>
        </w:trPr>
        <w:tc>
          <w:tcPr>
            <w:tcW w:w="1053" w:type="dxa"/>
            <w:shd w:val="clear" w:color="auto" w:fill="6F6652"/>
            <w:tcMar>
              <w:left w:w="57" w:type="dxa"/>
              <w:right w:w="57" w:type="dxa"/>
            </w:tcMar>
          </w:tcPr>
          <w:p w14:paraId="7A7F1305" w14:textId="77777777" w:rsidR="00D24C7F" w:rsidRDefault="00D24C7F">
            <w:pPr>
              <w:pStyle w:val="TableDataColumnHeading"/>
              <w:jc w:val="left"/>
            </w:pPr>
            <w:r>
              <w:t>Size</w:t>
            </w:r>
          </w:p>
        </w:tc>
        <w:tc>
          <w:tcPr>
            <w:tcW w:w="1053" w:type="dxa"/>
            <w:shd w:val="clear" w:color="auto" w:fill="6F6652"/>
            <w:tcMar>
              <w:left w:w="57" w:type="dxa"/>
              <w:right w:w="57" w:type="dxa"/>
            </w:tcMar>
          </w:tcPr>
          <w:p w14:paraId="7809A345" w14:textId="77777777" w:rsidR="00D24C7F" w:rsidRDefault="00D24C7F">
            <w:pPr>
              <w:pStyle w:val="TableDataColumnHeading"/>
            </w:pPr>
            <w:r>
              <w:t>Modelled floor space</w:t>
            </w:r>
          </w:p>
        </w:tc>
        <w:tc>
          <w:tcPr>
            <w:tcW w:w="1438" w:type="dxa"/>
            <w:shd w:val="clear" w:color="auto" w:fill="6F6652"/>
            <w:tcMar>
              <w:left w:w="57" w:type="dxa"/>
              <w:right w:w="57" w:type="dxa"/>
            </w:tcMar>
          </w:tcPr>
          <w:p w14:paraId="24C98308" w14:textId="77777777" w:rsidR="00D24C7F" w:rsidRDefault="00D24C7F">
            <w:pPr>
              <w:pStyle w:val="TableDataColumnHeading"/>
            </w:pPr>
            <w:r>
              <w:t>Assumed range</w:t>
            </w:r>
          </w:p>
        </w:tc>
        <w:tc>
          <w:tcPr>
            <w:tcW w:w="1098" w:type="dxa"/>
            <w:shd w:val="clear" w:color="auto" w:fill="6F6652"/>
            <w:tcMar>
              <w:left w:w="57" w:type="dxa"/>
              <w:right w:w="57" w:type="dxa"/>
            </w:tcMar>
          </w:tcPr>
          <w:p w14:paraId="61B49236" w14:textId="77777777" w:rsidR="00D24C7F" w:rsidRDefault="00D24C7F">
            <w:pPr>
              <w:pStyle w:val="TableDataColumnHeading"/>
            </w:pPr>
            <w:r>
              <w:t>New buildings in sample</w:t>
            </w:r>
          </w:p>
        </w:tc>
        <w:tc>
          <w:tcPr>
            <w:tcW w:w="1098" w:type="dxa"/>
            <w:shd w:val="clear" w:color="auto" w:fill="6F6652"/>
            <w:tcMar>
              <w:left w:w="57" w:type="dxa"/>
              <w:right w:w="57" w:type="dxa"/>
            </w:tcMar>
          </w:tcPr>
          <w:p w14:paraId="675A0652" w14:textId="77777777" w:rsidR="00D24C7F" w:rsidRDefault="00D24C7F">
            <w:pPr>
              <w:pStyle w:val="TableDataColumnHeading"/>
            </w:pPr>
            <w:r>
              <w:t>New floor space</w:t>
            </w:r>
          </w:p>
        </w:tc>
        <w:tc>
          <w:tcPr>
            <w:tcW w:w="1098" w:type="dxa"/>
            <w:shd w:val="clear" w:color="auto" w:fill="6F6652"/>
            <w:tcMar>
              <w:left w:w="57" w:type="dxa"/>
              <w:right w:w="57" w:type="dxa"/>
            </w:tcMar>
          </w:tcPr>
          <w:p w14:paraId="03B1566D" w14:textId="77777777" w:rsidR="00D24C7F" w:rsidRDefault="00D24C7F">
            <w:pPr>
              <w:pStyle w:val="TableDataColumnHeading"/>
            </w:pPr>
            <w:r>
              <w:t>Share of floor space</w:t>
            </w:r>
          </w:p>
        </w:tc>
        <w:tc>
          <w:tcPr>
            <w:tcW w:w="1098" w:type="dxa"/>
            <w:shd w:val="clear" w:color="auto" w:fill="6F6652"/>
            <w:tcMar>
              <w:left w:w="57" w:type="dxa"/>
              <w:right w:w="57" w:type="dxa"/>
            </w:tcMar>
          </w:tcPr>
          <w:p w14:paraId="454D56E2" w14:textId="77777777" w:rsidR="00D24C7F" w:rsidRDefault="00D24C7F">
            <w:pPr>
              <w:pStyle w:val="TableDataColumnHeading"/>
            </w:pPr>
            <w:r>
              <w:t>Assumed share in CBA</w:t>
            </w:r>
          </w:p>
        </w:tc>
      </w:tr>
      <w:tr w:rsidR="00D24C7F" w14:paraId="0F942979" w14:textId="77777777">
        <w:trPr>
          <w:trHeight w:val="245"/>
        </w:trPr>
        <w:tc>
          <w:tcPr>
            <w:tcW w:w="1053" w:type="dxa"/>
            <w:tcBorders>
              <w:bottom w:val="single" w:sz="8" w:space="0" w:color="FFFFFF" w:themeColor="background1"/>
            </w:tcBorders>
            <w:tcMar>
              <w:left w:w="57" w:type="dxa"/>
              <w:right w:w="57" w:type="dxa"/>
            </w:tcMar>
          </w:tcPr>
          <w:p w14:paraId="1730A8B9" w14:textId="77777777" w:rsidR="00D24C7F" w:rsidRDefault="00D24C7F">
            <w:pPr>
              <w:pStyle w:val="TableUnit"/>
              <w:jc w:val="left"/>
            </w:pPr>
          </w:p>
        </w:tc>
        <w:tc>
          <w:tcPr>
            <w:tcW w:w="1053" w:type="dxa"/>
            <w:tcBorders>
              <w:bottom w:val="single" w:sz="8" w:space="0" w:color="FFFFFF" w:themeColor="background1"/>
            </w:tcBorders>
            <w:tcMar>
              <w:left w:w="57" w:type="dxa"/>
              <w:right w:w="57" w:type="dxa"/>
            </w:tcMar>
          </w:tcPr>
          <w:p w14:paraId="40C591C1" w14:textId="77777777" w:rsidR="00D24C7F" w:rsidRDefault="00D24C7F">
            <w:pPr>
              <w:pStyle w:val="TableUnit"/>
            </w:pPr>
          </w:p>
        </w:tc>
        <w:tc>
          <w:tcPr>
            <w:tcW w:w="1438" w:type="dxa"/>
            <w:tcBorders>
              <w:bottom w:val="single" w:sz="8" w:space="0" w:color="FFFFFF" w:themeColor="background1"/>
            </w:tcBorders>
            <w:tcMar>
              <w:left w:w="57" w:type="dxa"/>
              <w:right w:w="57" w:type="dxa"/>
            </w:tcMar>
          </w:tcPr>
          <w:p w14:paraId="76757D11" w14:textId="77777777" w:rsidR="00D24C7F" w:rsidRDefault="00D24C7F">
            <w:pPr>
              <w:pStyle w:val="TableUnit"/>
            </w:pPr>
          </w:p>
        </w:tc>
        <w:tc>
          <w:tcPr>
            <w:tcW w:w="1098" w:type="dxa"/>
            <w:tcBorders>
              <w:bottom w:val="single" w:sz="8" w:space="0" w:color="FFFFFF" w:themeColor="background1"/>
            </w:tcBorders>
            <w:tcMar>
              <w:left w:w="57" w:type="dxa"/>
              <w:right w:w="57" w:type="dxa"/>
            </w:tcMar>
          </w:tcPr>
          <w:p w14:paraId="144BDADB" w14:textId="77777777" w:rsidR="00D24C7F" w:rsidRDefault="00D24C7F">
            <w:pPr>
              <w:pStyle w:val="TableUnit"/>
            </w:pPr>
            <w:r>
              <w:t>No.</w:t>
            </w:r>
          </w:p>
        </w:tc>
        <w:tc>
          <w:tcPr>
            <w:tcW w:w="1098" w:type="dxa"/>
            <w:tcBorders>
              <w:bottom w:val="single" w:sz="8" w:space="0" w:color="FFFFFF" w:themeColor="background1"/>
            </w:tcBorders>
            <w:tcMar>
              <w:left w:w="57" w:type="dxa"/>
              <w:right w:w="57" w:type="dxa"/>
            </w:tcMar>
          </w:tcPr>
          <w:p w14:paraId="3D17C9C4" w14:textId="77777777" w:rsidR="00D24C7F" w:rsidRDefault="00D24C7F">
            <w:pPr>
              <w:pStyle w:val="TableUnit"/>
            </w:pPr>
            <w:r>
              <w:t>‘000 m</w:t>
            </w:r>
            <w:r w:rsidRPr="008F3818">
              <w:rPr>
                <w:vertAlign w:val="superscript"/>
              </w:rPr>
              <w:t>2</w:t>
            </w:r>
          </w:p>
        </w:tc>
        <w:tc>
          <w:tcPr>
            <w:tcW w:w="1098" w:type="dxa"/>
            <w:tcBorders>
              <w:bottom w:val="single" w:sz="8" w:space="0" w:color="FFFFFF" w:themeColor="background1"/>
            </w:tcBorders>
            <w:tcMar>
              <w:left w:w="57" w:type="dxa"/>
              <w:right w:w="57" w:type="dxa"/>
            </w:tcMar>
          </w:tcPr>
          <w:p w14:paraId="54A4459C" w14:textId="77777777" w:rsidR="00D24C7F" w:rsidRDefault="00D24C7F">
            <w:pPr>
              <w:pStyle w:val="TableUnit"/>
            </w:pPr>
            <w:r>
              <w:t>Per cent</w:t>
            </w:r>
          </w:p>
        </w:tc>
        <w:tc>
          <w:tcPr>
            <w:tcW w:w="1098" w:type="dxa"/>
            <w:tcBorders>
              <w:bottom w:val="single" w:sz="8" w:space="0" w:color="FFFFFF" w:themeColor="background1"/>
            </w:tcBorders>
            <w:tcMar>
              <w:left w:w="57" w:type="dxa"/>
              <w:right w:w="57" w:type="dxa"/>
            </w:tcMar>
          </w:tcPr>
          <w:p w14:paraId="3D0F509B" w14:textId="77777777" w:rsidR="00D24C7F" w:rsidRDefault="00D24C7F">
            <w:pPr>
              <w:pStyle w:val="TableUnit"/>
            </w:pPr>
            <w:r>
              <w:t>Per cent</w:t>
            </w:r>
          </w:p>
        </w:tc>
      </w:tr>
      <w:tr w:rsidR="00D24C7F" w14:paraId="13F5B5DD" w14:textId="77777777">
        <w:trPr>
          <w:trHeight w:val="245"/>
        </w:trPr>
        <w:tc>
          <w:tcPr>
            <w:tcW w:w="10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207AE4B" w14:textId="77777777" w:rsidR="00D24C7F" w:rsidRDefault="00D24C7F">
            <w:pPr>
              <w:pStyle w:val="TableDataEntries"/>
              <w:jc w:val="left"/>
            </w:pPr>
            <w:r>
              <w:t>Small</w:t>
            </w:r>
          </w:p>
        </w:tc>
        <w:tc>
          <w:tcPr>
            <w:tcW w:w="10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B65AF3" w14:textId="77777777" w:rsidR="00D24C7F" w:rsidRDefault="00D24C7F">
            <w:pPr>
              <w:pStyle w:val="TableDataEntries"/>
            </w:pPr>
            <w:r>
              <w:t>578</w:t>
            </w:r>
          </w:p>
        </w:tc>
        <w:tc>
          <w:tcPr>
            <w:tcW w:w="143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CBDEBD" w14:textId="77777777" w:rsidR="00D24C7F" w:rsidRDefault="00D24C7F">
            <w:pPr>
              <w:pStyle w:val="TableDataEntries"/>
            </w:pPr>
            <w:r>
              <w:t>0-1500 m</w:t>
            </w:r>
            <w:r w:rsidRPr="008F3818">
              <w:rPr>
                <w:vertAlign w:val="superscript"/>
              </w:rPr>
              <w:t>2</w:t>
            </w:r>
          </w:p>
        </w:tc>
        <w:tc>
          <w:tcPr>
            <w:tcW w:w="109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12CD6EB" w14:textId="77777777" w:rsidR="00D24C7F" w:rsidRDefault="00D24C7F">
            <w:pPr>
              <w:pStyle w:val="TableDataEntries"/>
            </w:pPr>
            <w:r>
              <w:t>84</w:t>
            </w:r>
          </w:p>
        </w:tc>
        <w:tc>
          <w:tcPr>
            <w:tcW w:w="109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03DE28A" w14:textId="77777777" w:rsidR="00D24C7F" w:rsidRDefault="00D24C7F">
            <w:pPr>
              <w:pStyle w:val="TableDataEntries"/>
            </w:pPr>
            <w:r>
              <w:t xml:space="preserve"> 97.6</w:t>
            </w:r>
          </w:p>
        </w:tc>
        <w:tc>
          <w:tcPr>
            <w:tcW w:w="109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128BB00" w14:textId="77777777" w:rsidR="00D24C7F" w:rsidRDefault="00D24C7F">
            <w:pPr>
              <w:pStyle w:val="TableDataEntries"/>
            </w:pPr>
            <w:r>
              <w:t xml:space="preserve"> 3.7</w:t>
            </w:r>
          </w:p>
        </w:tc>
        <w:tc>
          <w:tcPr>
            <w:tcW w:w="109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9AB3EF" w14:textId="77777777" w:rsidR="00D24C7F" w:rsidRDefault="00D24C7F">
            <w:pPr>
              <w:pStyle w:val="TableDataEntries"/>
            </w:pPr>
            <w:r>
              <w:t xml:space="preserve"> 10.0</w:t>
            </w:r>
          </w:p>
        </w:tc>
      </w:tr>
      <w:tr w:rsidR="00D24C7F" w14:paraId="77E33503" w14:textId="77777777">
        <w:trPr>
          <w:trHeight w:val="245"/>
        </w:trPr>
        <w:tc>
          <w:tcPr>
            <w:tcW w:w="10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44E9130" w14:textId="77777777" w:rsidR="00D24C7F" w:rsidRDefault="00D24C7F">
            <w:pPr>
              <w:pStyle w:val="TableDataEntries"/>
              <w:jc w:val="left"/>
            </w:pPr>
            <w:r>
              <w:t>Medium</w:t>
            </w:r>
          </w:p>
        </w:tc>
        <w:tc>
          <w:tcPr>
            <w:tcW w:w="10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524B73A" w14:textId="77777777" w:rsidR="00D24C7F" w:rsidRDefault="00D24C7F">
            <w:pPr>
              <w:pStyle w:val="TableDataEntries"/>
            </w:pPr>
            <w:r>
              <w:t>2304</w:t>
            </w:r>
          </w:p>
        </w:tc>
        <w:tc>
          <w:tcPr>
            <w:tcW w:w="143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960F46" w14:textId="77777777" w:rsidR="00D24C7F" w:rsidRDefault="00D24C7F">
            <w:pPr>
              <w:pStyle w:val="TableDataEntries"/>
            </w:pPr>
            <w:r>
              <w:t>1500-7500 m</w:t>
            </w:r>
            <w:r w:rsidRPr="008F3818">
              <w:rPr>
                <w:vertAlign w:val="superscript"/>
              </w:rPr>
              <w:t>2</w:t>
            </w:r>
          </w:p>
        </w:tc>
        <w:tc>
          <w:tcPr>
            <w:tcW w:w="109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3D4DD27" w14:textId="77777777" w:rsidR="00D24C7F" w:rsidRDefault="00D24C7F">
            <w:pPr>
              <w:pStyle w:val="TableDataEntries"/>
            </w:pPr>
            <w:r>
              <w:t>218</w:t>
            </w:r>
          </w:p>
        </w:tc>
        <w:tc>
          <w:tcPr>
            <w:tcW w:w="109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34EA27" w14:textId="77777777" w:rsidR="00D24C7F" w:rsidRDefault="00D24C7F">
            <w:pPr>
              <w:pStyle w:val="TableDataEntries"/>
            </w:pPr>
            <w:r>
              <w:t xml:space="preserve"> 783.8</w:t>
            </w:r>
          </w:p>
        </w:tc>
        <w:tc>
          <w:tcPr>
            <w:tcW w:w="109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1078A7E" w14:textId="77777777" w:rsidR="00D24C7F" w:rsidRDefault="00D24C7F">
            <w:pPr>
              <w:pStyle w:val="TableDataEntries"/>
            </w:pPr>
            <w:r>
              <w:t xml:space="preserve"> 30.0</w:t>
            </w:r>
          </w:p>
        </w:tc>
        <w:tc>
          <w:tcPr>
            <w:tcW w:w="109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9590A0B" w14:textId="77777777" w:rsidR="00D24C7F" w:rsidRDefault="00D24C7F">
            <w:pPr>
              <w:pStyle w:val="TableDataEntries"/>
            </w:pPr>
            <w:r>
              <w:t xml:space="preserve"> 25.0</w:t>
            </w:r>
          </w:p>
        </w:tc>
      </w:tr>
      <w:tr w:rsidR="00D24C7F" w14:paraId="78E4E88F" w14:textId="77777777">
        <w:trPr>
          <w:trHeight w:val="245"/>
        </w:trPr>
        <w:tc>
          <w:tcPr>
            <w:tcW w:w="10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275BF4E" w14:textId="77777777" w:rsidR="00D24C7F" w:rsidRDefault="00D24C7F">
            <w:pPr>
              <w:pStyle w:val="TableDataEntries"/>
              <w:jc w:val="left"/>
            </w:pPr>
            <w:r>
              <w:t>Large</w:t>
            </w:r>
          </w:p>
        </w:tc>
        <w:tc>
          <w:tcPr>
            <w:tcW w:w="105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39000E" w14:textId="77777777" w:rsidR="00D24C7F" w:rsidRDefault="00D24C7F">
            <w:pPr>
              <w:pStyle w:val="TableDataEntries"/>
            </w:pPr>
            <w:r>
              <w:t>12250</w:t>
            </w:r>
          </w:p>
        </w:tc>
        <w:tc>
          <w:tcPr>
            <w:tcW w:w="143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C4086E" w14:textId="77777777" w:rsidR="00D24C7F" w:rsidRDefault="00D24C7F">
            <w:pPr>
              <w:pStyle w:val="TableDataEntries"/>
            </w:pPr>
            <w:r>
              <w:t>&gt;7500 m</w:t>
            </w:r>
            <w:r w:rsidRPr="008F3818">
              <w:rPr>
                <w:vertAlign w:val="superscript"/>
              </w:rPr>
              <w:t>2</w:t>
            </w:r>
          </w:p>
        </w:tc>
        <w:tc>
          <w:tcPr>
            <w:tcW w:w="109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843AA8" w14:textId="77777777" w:rsidR="00D24C7F" w:rsidRDefault="00D24C7F">
            <w:pPr>
              <w:pStyle w:val="TableDataEntries"/>
            </w:pPr>
            <w:r>
              <w:t>70</w:t>
            </w:r>
          </w:p>
        </w:tc>
        <w:tc>
          <w:tcPr>
            <w:tcW w:w="109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9CAF893" w14:textId="77777777" w:rsidR="00D24C7F" w:rsidRDefault="00D24C7F">
            <w:pPr>
              <w:pStyle w:val="TableDataEntries"/>
            </w:pPr>
            <w:r>
              <w:t>1 728.2</w:t>
            </w:r>
          </w:p>
        </w:tc>
        <w:tc>
          <w:tcPr>
            <w:tcW w:w="109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AF0C6D" w14:textId="77777777" w:rsidR="00D24C7F" w:rsidRDefault="00D24C7F">
            <w:pPr>
              <w:pStyle w:val="TableDataEntries"/>
            </w:pPr>
            <w:r>
              <w:t xml:space="preserve"> 66.2</w:t>
            </w:r>
          </w:p>
        </w:tc>
        <w:tc>
          <w:tcPr>
            <w:tcW w:w="109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87C7017" w14:textId="77777777" w:rsidR="00D24C7F" w:rsidRDefault="00D24C7F">
            <w:pPr>
              <w:pStyle w:val="TableDataEntries"/>
            </w:pPr>
            <w:r>
              <w:t xml:space="preserve"> 65.0</w:t>
            </w:r>
          </w:p>
        </w:tc>
      </w:tr>
      <w:tr w:rsidR="00D24C7F" w:rsidRPr="005E18D8" w14:paraId="23D3460C" w14:textId="77777777">
        <w:trPr>
          <w:trHeight w:val="245"/>
        </w:trPr>
        <w:tc>
          <w:tcPr>
            <w:tcW w:w="105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0BABDB9" w14:textId="77777777" w:rsidR="00D24C7F" w:rsidRPr="005E18D8" w:rsidRDefault="00D24C7F">
            <w:pPr>
              <w:pStyle w:val="TableDataEntries"/>
              <w:jc w:val="left"/>
              <w:rPr>
                <w:rFonts w:ascii="Franklin Gothic Demi" w:hAnsi="Franklin Gothic Demi"/>
              </w:rPr>
            </w:pPr>
            <w:r w:rsidRPr="005E18D8">
              <w:rPr>
                <w:rFonts w:ascii="Franklin Gothic Demi" w:hAnsi="Franklin Gothic Demi"/>
              </w:rPr>
              <w:t>Total</w:t>
            </w:r>
          </w:p>
        </w:tc>
        <w:tc>
          <w:tcPr>
            <w:tcW w:w="105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70D1AC8" w14:textId="77777777" w:rsidR="00D24C7F" w:rsidRPr="005E18D8" w:rsidRDefault="00D24C7F">
            <w:pPr>
              <w:pStyle w:val="TableDataEntries"/>
              <w:rPr>
                <w:rFonts w:ascii="Franklin Gothic Demi" w:hAnsi="Franklin Gothic Demi"/>
              </w:rPr>
            </w:pPr>
          </w:p>
        </w:tc>
        <w:tc>
          <w:tcPr>
            <w:tcW w:w="1438"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CC92373" w14:textId="77777777" w:rsidR="00D24C7F" w:rsidRPr="005E18D8" w:rsidRDefault="00D24C7F">
            <w:pPr>
              <w:pStyle w:val="TableDataEntries"/>
              <w:rPr>
                <w:rFonts w:ascii="Franklin Gothic Demi" w:hAnsi="Franklin Gothic Demi"/>
              </w:rPr>
            </w:pPr>
          </w:p>
        </w:tc>
        <w:tc>
          <w:tcPr>
            <w:tcW w:w="1098"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7B61F257" w14:textId="77777777" w:rsidR="00D24C7F" w:rsidRPr="005E18D8" w:rsidRDefault="00D24C7F">
            <w:pPr>
              <w:pStyle w:val="TableDataEntries"/>
              <w:rPr>
                <w:rFonts w:ascii="Franklin Gothic Demi" w:hAnsi="Franklin Gothic Demi"/>
              </w:rPr>
            </w:pPr>
            <w:r w:rsidRPr="005E18D8">
              <w:rPr>
                <w:rFonts w:ascii="Franklin Gothic Demi" w:hAnsi="Franklin Gothic Demi"/>
              </w:rPr>
              <w:t>372</w:t>
            </w:r>
          </w:p>
        </w:tc>
        <w:tc>
          <w:tcPr>
            <w:tcW w:w="1098"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779AEA10" w14:textId="77777777" w:rsidR="00D24C7F" w:rsidRPr="005E18D8" w:rsidRDefault="00D24C7F">
            <w:pPr>
              <w:pStyle w:val="TableDataEntries"/>
              <w:rPr>
                <w:rFonts w:ascii="Franklin Gothic Demi" w:hAnsi="Franklin Gothic Demi"/>
              </w:rPr>
            </w:pPr>
            <w:r w:rsidRPr="005E18D8">
              <w:rPr>
                <w:rFonts w:ascii="Franklin Gothic Demi" w:hAnsi="Franklin Gothic Demi"/>
              </w:rPr>
              <w:t>2 609.5</w:t>
            </w:r>
          </w:p>
        </w:tc>
        <w:tc>
          <w:tcPr>
            <w:tcW w:w="1098"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D126EC3" w14:textId="77777777" w:rsidR="00D24C7F" w:rsidRPr="005E18D8" w:rsidRDefault="00D24C7F">
            <w:pPr>
              <w:pStyle w:val="TableDataEntries"/>
              <w:rPr>
                <w:rFonts w:ascii="Franklin Gothic Demi" w:hAnsi="Franklin Gothic Demi"/>
              </w:rPr>
            </w:pPr>
            <w:r w:rsidRPr="005E18D8">
              <w:rPr>
                <w:rFonts w:ascii="Franklin Gothic Demi" w:hAnsi="Franklin Gothic Demi"/>
              </w:rPr>
              <w:t xml:space="preserve"> 100.0</w:t>
            </w:r>
          </w:p>
        </w:tc>
        <w:tc>
          <w:tcPr>
            <w:tcW w:w="1098"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72FE790" w14:textId="77777777" w:rsidR="00D24C7F" w:rsidRPr="005E18D8" w:rsidRDefault="00D24C7F">
            <w:pPr>
              <w:pStyle w:val="TableDataEntries"/>
              <w:rPr>
                <w:rFonts w:ascii="Franklin Gothic Demi" w:hAnsi="Franklin Gothic Demi"/>
              </w:rPr>
            </w:pPr>
            <w:r w:rsidRPr="005E18D8">
              <w:rPr>
                <w:rFonts w:ascii="Franklin Gothic Demi" w:hAnsi="Franklin Gothic Demi"/>
              </w:rPr>
              <w:t xml:space="preserve"> 100.0</w:t>
            </w:r>
          </w:p>
        </w:tc>
      </w:tr>
    </w:tbl>
    <w:p w14:paraId="7B32FFD1" w14:textId="3397748B" w:rsidR="00D24C7F" w:rsidRDefault="00D24C7F" w:rsidP="00D24C7F">
      <w:pPr>
        <w:pStyle w:val="Source"/>
      </w:pPr>
      <w:r>
        <w:rPr>
          <w:i/>
        </w:rPr>
        <w:t>Source</w:t>
      </w:r>
      <w:r w:rsidRPr="00E4232C">
        <w:rPr>
          <w:i/>
        </w:rPr>
        <w:t>:</w:t>
      </w:r>
      <w:r>
        <w:t xml:space="preserve"> CBD Program website, </w:t>
      </w:r>
      <w:hyperlink r:id="rId84" w:history="1">
        <w:r w:rsidRPr="00EE48ED">
          <w:rPr>
            <w:rStyle w:val="Hyperlink"/>
          </w:rPr>
          <w:t>https://www.cbd.gov.au/about-cbd-program/performance-program/download-cbd-program-data</w:t>
        </w:r>
      </w:hyperlink>
      <w:r>
        <w:t>, accessed 30 August 2024.</w:t>
      </w:r>
    </w:p>
    <w:p w14:paraId="6E8CDD60" w14:textId="77777777" w:rsidR="00D24C7F" w:rsidRDefault="00D24C7F" w:rsidP="00D24C7F">
      <w:pPr>
        <w:pStyle w:val="BodyText"/>
      </w:pPr>
      <w:r>
        <w:t>Caveats around this analysis include the following:</w:t>
      </w:r>
    </w:p>
    <w:p w14:paraId="2D158DCF" w14:textId="77777777" w:rsidR="00D24C7F" w:rsidRDefault="00D24C7F" w:rsidP="00D24C7F">
      <w:pPr>
        <w:pStyle w:val="ListBullet"/>
        <w:tabs>
          <w:tab w:val="num" w:pos="709"/>
        </w:tabs>
        <w:rPr>
          <w:lang w:bidi="fa-IR"/>
        </w:rPr>
      </w:pPr>
      <w:r>
        <w:rPr>
          <w:lang w:bidi="fa-IR"/>
        </w:rPr>
        <w:t>The CBD Program dataset does not include all office buildings. Office buildings not covered include: owner</w:t>
      </w:r>
      <w:r>
        <w:rPr>
          <w:lang w:bidi="fa-IR"/>
        </w:rPr>
        <w:noBreakHyphen/>
        <w:t>occupied office buildings (that are not sold or leased), many smaller office buildings that fall below the threshold that triggers the requirement to obtain a BEEC (i.e. 1000 m</w:t>
      </w:r>
      <w:r w:rsidRPr="0071543B">
        <w:rPr>
          <w:vertAlign w:val="superscript"/>
          <w:lang w:bidi="fa-IR"/>
        </w:rPr>
        <w:t>2</w:t>
      </w:r>
      <w:r>
        <w:rPr>
          <w:lang w:bidi="fa-IR"/>
        </w:rPr>
        <w:t>), including office buildings where less than 1000 m</w:t>
      </w:r>
      <w:r w:rsidRPr="0071543B">
        <w:rPr>
          <w:vertAlign w:val="superscript"/>
          <w:lang w:bidi="fa-IR"/>
        </w:rPr>
        <w:t>2</w:t>
      </w:r>
      <w:r>
        <w:rPr>
          <w:lang w:bidi="fa-IR"/>
        </w:rPr>
        <w:t xml:space="preserve"> is leased at any given time. This means that office buildings in the ‘small’ range would be under</w:t>
      </w:r>
      <w:r>
        <w:rPr>
          <w:lang w:bidi="fa-IR"/>
        </w:rPr>
        <w:noBreakHyphen/>
        <w:t>represented in the sample.</w:t>
      </w:r>
    </w:p>
    <w:p w14:paraId="2EEE0143" w14:textId="77777777" w:rsidR="00D24C7F" w:rsidRDefault="00D24C7F" w:rsidP="00D24C7F">
      <w:pPr>
        <w:pStyle w:val="ListBullet"/>
        <w:tabs>
          <w:tab w:val="num" w:pos="709"/>
        </w:tabs>
        <w:rPr>
          <w:lang w:bidi="fa-IR"/>
        </w:rPr>
      </w:pPr>
      <w:r>
        <w:rPr>
          <w:lang w:bidi="fa-IR"/>
        </w:rPr>
        <w:t>Obtaining a BEEC may not be a good proxy for ‘new’ office buildings; there could be a range of reasons why older buildings had never been required to obtain a BEEC.</w:t>
      </w:r>
    </w:p>
    <w:p w14:paraId="7BB3309E" w14:textId="77777777" w:rsidR="00D24C7F" w:rsidRDefault="00D24C7F" w:rsidP="00D24C7F">
      <w:pPr>
        <w:pStyle w:val="BodyText"/>
      </w:pPr>
      <w:r>
        <w:t>As the number of office buildings in the ‘small’ range would be under</w:t>
      </w:r>
      <w:r>
        <w:noBreakHyphen/>
        <w:t>represented in the sample, for the purposes of the CBA we adjust the share of small office buildings upwards to 10 per cent (with corresponding downwards adjustments to the other categories).</w:t>
      </w:r>
    </w:p>
    <w:p w14:paraId="245D0FF7" w14:textId="77777777" w:rsidR="00D24C7F" w:rsidRDefault="00D24C7F" w:rsidP="00D24C7F">
      <w:pPr>
        <w:pStyle w:val="Heading9"/>
      </w:pPr>
      <w:r>
        <w:t>Retail buildings</w:t>
      </w:r>
    </w:p>
    <w:p w14:paraId="213A463B" w14:textId="77777777" w:rsidR="00D24C7F" w:rsidRDefault="00D24C7F" w:rsidP="00D24C7F">
      <w:pPr>
        <w:pStyle w:val="BodyText"/>
      </w:pPr>
      <w:r>
        <w:t>Similarly, the share of new retail floor space in shopping centres, compared with strip retail is not known.</w:t>
      </w:r>
    </w:p>
    <w:p w14:paraId="53A5148F" w14:textId="3D3F75EF" w:rsidR="00D24C7F" w:rsidRDefault="00D24C7F" w:rsidP="00D24C7F">
      <w:pPr>
        <w:pStyle w:val="BodyText"/>
      </w:pPr>
      <w:r>
        <w:t>Data presented in a report for the Shopping Centre Council of Australia suggested that around 70 per cent of retail floor space was outside of shopping centres</w:t>
      </w:r>
      <w:r w:rsidR="00AC0681">
        <w:t xml:space="preserve"> (table F.4)</w:t>
      </w:r>
      <w:r>
        <w:t>.</w:t>
      </w:r>
      <w:r>
        <w:rPr>
          <w:rStyle w:val="FootnoteReference"/>
        </w:rPr>
        <w:footnoteReference w:id="215"/>
      </w:r>
      <w:r>
        <w:t xml:space="preserve"> However, this included freestanding ‘big boxes’ (such as supercentres and home improvement stores, which may be closer to the ‘large shopping centre’ archetype modelled by DeltaQ, than the small strip retail archetype.</w:t>
      </w:r>
    </w:p>
    <w:p w14:paraId="7F128497" w14:textId="67C24DE1" w:rsidR="00D24C7F" w:rsidRPr="005E5FA8" w:rsidRDefault="00D24C7F" w:rsidP="00CA0DBC">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F</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w:instrText>
      </w:r>
      <w:fldSimple w:instr=" STYLEREF &quot;Heading 1&quot; \l \n ">
        <w:r w:rsidRPr="005E5FA8">
          <w:instrText>2</w:instrText>
        </w:r>
      </w:fldSimple>
      <w:r w:rsidRPr="005E5FA8">
        <w:instrText xml:space="preserve">." </w:instrText>
      </w:r>
      <w:r w:rsidRPr="005E5FA8">
        <w:fldChar w:fldCharType="end"/>
      </w:r>
      <w:r w:rsidRPr="005E5FA8">
        <w:instrText>" "</w:instrText>
      </w:r>
      <w:fldSimple w:instr=" STYLEREF &quot;Heading 6&quot; \l \n ">
        <w:r w:rsidR="00581346">
          <w:rPr>
            <w:noProof/>
          </w:rPr>
          <w:instrText>F</w:instrText>
        </w:r>
      </w:fldSimple>
      <w:r w:rsidRPr="005E5FA8">
        <w:instrText xml:space="preserve">." </w:instrText>
      </w:r>
      <w:r w:rsidRPr="005E5FA8">
        <w:fldChar w:fldCharType="separate"/>
      </w:r>
      <w:r w:rsidR="00581346">
        <w:rPr>
          <w:noProof/>
        </w:rPr>
        <w:instrText>F</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F</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"1" </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4</w:instrText>
      </w:r>
      <w:r w:rsidRPr="005E5FA8">
        <w:fldChar w:fldCharType="end"/>
      </w:r>
      <w:r w:rsidRPr="005E5FA8">
        <w:instrText xml:space="preserve">" "" </w:instrText>
      </w:r>
      <w:r w:rsidRPr="005E5FA8">
        <w:fldChar w:fldCharType="separate"/>
      </w:r>
      <w:bookmarkStart w:id="8850" w:name="_Caption3552"/>
      <w:bookmarkStart w:id="8851" w:name="_Caption8892"/>
      <w:bookmarkStart w:id="8852" w:name="_Caption3182"/>
      <w:bookmarkStart w:id="8853" w:name="_Toc177735237"/>
      <w:bookmarkStart w:id="8854" w:name="_Toc178292679"/>
      <w:r w:rsidR="008C60A3">
        <w:rPr>
          <w:noProof/>
        </w:rPr>
        <w:t>F</w:t>
      </w:r>
      <w:r w:rsidR="008C60A3" w:rsidRPr="005E5FA8">
        <w:rPr>
          <w:noProof/>
        </w:rPr>
        <w:t>.</w:t>
      </w:r>
      <w:r w:rsidR="008C60A3">
        <w:rPr>
          <w:noProof/>
        </w:rPr>
        <w:t>4</w:t>
      </w:r>
      <w:bookmarkEnd w:id="8850"/>
      <w:bookmarkEnd w:id="8851"/>
      <w:bookmarkEnd w:id="8852"/>
      <w:r w:rsidRPr="005E5FA8">
        <w:fldChar w:fldCharType="end"/>
      </w:r>
      <w:r w:rsidRPr="005E5FA8">
        <w:tab/>
        <w:t>Retail floor space</w:t>
      </w:r>
      <w:bookmarkEnd w:id="8853"/>
      <w:bookmarkEnd w:id="8854"/>
    </w:p>
    <w:tbl>
      <w:tblPr>
        <w:tblW w:w="0" w:type="auto"/>
        <w:tblLayout w:type="fixed"/>
        <w:tblLook w:val="0000" w:firstRow="0" w:lastRow="0" w:firstColumn="0" w:lastColumn="0" w:noHBand="0" w:noVBand="0"/>
      </w:tblPr>
      <w:tblGrid>
        <w:gridCol w:w="4639"/>
        <w:gridCol w:w="1649"/>
        <w:gridCol w:w="1649"/>
      </w:tblGrid>
      <w:tr w:rsidR="00D24C7F" w14:paraId="0332C4F9" w14:textId="77777777">
        <w:trPr>
          <w:trHeight w:val="490"/>
        </w:trPr>
        <w:tc>
          <w:tcPr>
            <w:tcW w:w="4639" w:type="dxa"/>
            <w:shd w:val="clear" w:color="auto" w:fill="6F6652"/>
            <w:tcMar>
              <w:left w:w="57" w:type="dxa"/>
              <w:right w:w="57" w:type="dxa"/>
            </w:tcMar>
          </w:tcPr>
          <w:p w14:paraId="0475A279" w14:textId="77777777" w:rsidR="00D24C7F" w:rsidRDefault="00D24C7F">
            <w:pPr>
              <w:pStyle w:val="TableDataColumnHeading"/>
              <w:jc w:val="left"/>
            </w:pPr>
          </w:p>
        </w:tc>
        <w:tc>
          <w:tcPr>
            <w:tcW w:w="1649" w:type="dxa"/>
            <w:shd w:val="clear" w:color="auto" w:fill="6F6652"/>
            <w:tcMar>
              <w:left w:w="57" w:type="dxa"/>
              <w:right w:w="57" w:type="dxa"/>
            </w:tcMar>
          </w:tcPr>
          <w:p w14:paraId="2FE6BB1F" w14:textId="77777777" w:rsidR="00D24C7F" w:rsidRDefault="00D24C7F">
            <w:pPr>
              <w:pStyle w:val="TableDataColumnHeading"/>
            </w:pPr>
            <w:r>
              <w:t>Square metres per capital</w:t>
            </w:r>
          </w:p>
        </w:tc>
        <w:tc>
          <w:tcPr>
            <w:tcW w:w="1649" w:type="dxa"/>
            <w:shd w:val="clear" w:color="auto" w:fill="6F6652"/>
            <w:tcMar>
              <w:left w:w="57" w:type="dxa"/>
              <w:right w:w="57" w:type="dxa"/>
            </w:tcMar>
          </w:tcPr>
          <w:p w14:paraId="41A572D2" w14:textId="77777777" w:rsidR="00D24C7F" w:rsidRDefault="00D24C7F">
            <w:pPr>
              <w:pStyle w:val="TableDataColumnHeading"/>
            </w:pPr>
            <w:r>
              <w:t>Share</w:t>
            </w:r>
          </w:p>
        </w:tc>
      </w:tr>
      <w:tr w:rsidR="00D24C7F" w14:paraId="64A6EA7A" w14:textId="77777777">
        <w:trPr>
          <w:trHeight w:val="245"/>
        </w:trPr>
        <w:tc>
          <w:tcPr>
            <w:tcW w:w="4639" w:type="dxa"/>
            <w:tcBorders>
              <w:bottom w:val="single" w:sz="8" w:space="0" w:color="FFFFFF" w:themeColor="background1"/>
            </w:tcBorders>
            <w:tcMar>
              <w:left w:w="57" w:type="dxa"/>
              <w:right w:w="57" w:type="dxa"/>
            </w:tcMar>
          </w:tcPr>
          <w:p w14:paraId="4DBB4066" w14:textId="77777777" w:rsidR="00D24C7F" w:rsidRDefault="00D24C7F">
            <w:pPr>
              <w:pStyle w:val="TableUnit"/>
              <w:jc w:val="left"/>
            </w:pPr>
          </w:p>
        </w:tc>
        <w:tc>
          <w:tcPr>
            <w:tcW w:w="1649" w:type="dxa"/>
            <w:tcBorders>
              <w:bottom w:val="single" w:sz="8" w:space="0" w:color="FFFFFF" w:themeColor="background1"/>
            </w:tcBorders>
            <w:tcMar>
              <w:left w:w="57" w:type="dxa"/>
              <w:right w:w="57" w:type="dxa"/>
            </w:tcMar>
          </w:tcPr>
          <w:p w14:paraId="23A26EE3" w14:textId="77777777" w:rsidR="00D24C7F" w:rsidRDefault="00D24C7F">
            <w:pPr>
              <w:pStyle w:val="TableUnit"/>
            </w:pPr>
            <w:r>
              <w:t>m</w:t>
            </w:r>
            <w:r w:rsidRPr="00206327">
              <w:rPr>
                <w:vertAlign w:val="superscript"/>
              </w:rPr>
              <w:t>2</w:t>
            </w:r>
            <w:r>
              <w:t xml:space="preserve"> per capita</w:t>
            </w:r>
          </w:p>
        </w:tc>
        <w:tc>
          <w:tcPr>
            <w:tcW w:w="1649" w:type="dxa"/>
            <w:tcBorders>
              <w:bottom w:val="single" w:sz="8" w:space="0" w:color="FFFFFF" w:themeColor="background1"/>
            </w:tcBorders>
            <w:tcMar>
              <w:left w:w="57" w:type="dxa"/>
              <w:right w:w="57" w:type="dxa"/>
            </w:tcMar>
          </w:tcPr>
          <w:p w14:paraId="2984BF2D" w14:textId="77777777" w:rsidR="00D24C7F" w:rsidRDefault="00D24C7F">
            <w:pPr>
              <w:pStyle w:val="TableUnit"/>
            </w:pPr>
            <w:r>
              <w:t>Per cent</w:t>
            </w:r>
          </w:p>
        </w:tc>
      </w:tr>
      <w:tr w:rsidR="00D24C7F" w14:paraId="33A1D56B" w14:textId="77777777">
        <w:trPr>
          <w:trHeight w:val="245"/>
        </w:trPr>
        <w:tc>
          <w:tcPr>
            <w:tcW w:w="463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7E2EF2" w14:textId="77777777" w:rsidR="00D24C7F" w:rsidRDefault="00D24C7F">
            <w:pPr>
              <w:pStyle w:val="TableDataEntries"/>
              <w:jc w:val="left"/>
            </w:pPr>
            <w:r>
              <w:t>Shopping centres</w:t>
            </w:r>
          </w:p>
        </w:tc>
        <w:tc>
          <w:tcPr>
            <w:tcW w:w="164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DDBF7F1" w14:textId="77777777" w:rsidR="00D24C7F" w:rsidRDefault="00D24C7F">
            <w:pPr>
              <w:pStyle w:val="TableDataEntries"/>
            </w:pPr>
            <w:r>
              <w:t xml:space="preserve"> 1.02</w:t>
            </w:r>
          </w:p>
        </w:tc>
        <w:tc>
          <w:tcPr>
            <w:tcW w:w="164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C3C679" w14:textId="77777777" w:rsidR="00D24C7F" w:rsidRDefault="00D24C7F">
            <w:pPr>
              <w:pStyle w:val="TableDataEntries"/>
            </w:pPr>
            <w:r>
              <w:t xml:space="preserve"> 30.7</w:t>
            </w:r>
          </w:p>
        </w:tc>
      </w:tr>
      <w:tr w:rsidR="00D24C7F" w14:paraId="21306DE1" w14:textId="77777777">
        <w:trPr>
          <w:trHeight w:val="245"/>
        </w:trPr>
        <w:tc>
          <w:tcPr>
            <w:tcW w:w="463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2852BF5" w14:textId="77777777" w:rsidR="00D24C7F" w:rsidRDefault="00D24C7F">
            <w:pPr>
              <w:pStyle w:val="TableDataEntries"/>
              <w:jc w:val="left"/>
            </w:pPr>
            <w:r>
              <w:t>Retail floorspace outside shopping centres</w:t>
            </w:r>
          </w:p>
        </w:tc>
        <w:tc>
          <w:tcPr>
            <w:tcW w:w="164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F437C9" w14:textId="77777777" w:rsidR="00D24C7F" w:rsidRDefault="00D24C7F">
            <w:pPr>
              <w:pStyle w:val="TableDataEntries"/>
            </w:pPr>
            <w:r>
              <w:t xml:space="preserve"> 2.30</w:t>
            </w:r>
          </w:p>
        </w:tc>
        <w:tc>
          <w:tcPr>
            <w:tcW w:w="164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90CF56F" w14:textId="77777777" w:rsidR="00D24C7F" w:rsidRDefault="00D24C7F">
            <w:pPr>
              <w:pStyle w:val="TableDataEntries"/>
            </w:pPr>
            <w:r>
              <w:t xml:space="preserve"> 69.3</w:t>
            </w:r>
          </w:p>
        </w:tc>
      </w:tr>
      <w:tr w:rsidR="00D24C7F" w:rsidRPr="00075E80" w14:paraId="1D5AC4B7" w14:textId="77777777">
        <w:trPr>
          <w:trHeight w:val="245"/>
        </w:trPr>
        <w:tc>
          <w:tcPr>
            <w:tcW w:w="4639"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9F42050" w14:textId="77777777" w:rsidR="00D24C7F" w:rsidRPr="00075E80" w:rsidRDefault="00D24C7F">
            <w:pPr>
              <w:pStyle w:val="TableDataEntries"/>
              <w:jc w:val="left"/>
              <w:rPr>
                <w:rFonts w:ascii="Franklin Gothic Demi" w:hAnsi="Franklin Gothic Demi"/>
              </w:rPr>
            </w:pPr>
            <w:r w:rsidRPr="00075E80">
              <w:rPr>
                <w:rFonts w:ascii="Franklin Gothic Demi" w:hAnsi="Franklin Gothic Demi"/>
              </w:rPr>
              <w:t>Total</w:t>
            </w:r>
          </w:p>
        </w:tc>
        <w:tc>
          <w:tcPr>
            <w:tcW w:w="1649"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5887329" w14:textId="77777777" w:rsidR="00D24C7F" w:rsidRPr="00075E80" w:rsidRDefault="00D24C7F">
            <w:pPr>
              <w:pStyle w:val="TableDataEntries"/>
              <w:rPr>
                <w:rFonts w:ascii="Franklin Gothic Demi" w:hAnsi="Franklin Gothic Demi"/>
              </w:rPr>
            </w:pPr>
            <w:r w:rsidRPr="00075E80">
              <w:rPr>
                <w:rFonts w:ascii="Franklin Gothic Demi" w:hAnsi="Franklin Gothic Demi"/>
              </w:rPr>
              <w:t xml:space="preserve"> 3.32</w:t>
            </w:r>
          </w:p>
        </w:tc>
        <w:tc>
          <w:tcPr>
            <w:tcW w:w="1649"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EB6940E" w14:textId="77777777" w:rsidR="00D24C7F" w:rsidRPr="00075E80" w:rsidRDefault="00D24C7F">
            <w:pPr>
              <w:pStyle w:val="TableDataEntries"/>
              <w:rPr>
                <w:rFonts w:ascii="Franklin Gothic Demi" w:hAnsi="Franklin Gothic Demi"/>
              </w:rPr>
            </w:pPr>
            <w:r w:rsidRPr="00075E80">
              <w:rPr>
                <w:rFonts w:ascii="Franklin Gothic Demi" w:hAnsi="Franklin Gothic Demi"/>
              </w:rPr>
              <w:t xml:space="preserve"> 100.0</w:t>
            </w:r>
          </w:p>
        </w:tc>
      </w:tr>
    </w:tbl>
    <w:p w14:paraId="080C9B8B" w14:textId="77777777" w:rsidR="00D24C7F" w:rsidRDefault="00D24C7F" w:rsidP="00D24C7F">
      <w:pPr>
        <w:pStyle w:val="Source"/>
      </w:pPr>
      <w:r>
        <w:rPr>
          <w:i/>
        </w:rPr>
        <w:t>Source</w:t>
      </w:r>
      <w:r w:rsidRPr="00E4232C">
        <w:rPr>
          <w:i/>
        </w:rPr>
        <w:t>:</w:t>
      </w:r>
      <w:r>
        <w:t xml:space="preserve"> Baker Consulting, Australia in the Global Shopping Centre Industry: An international comparison and explanation of retail sales, retail floorspace, sales productivity and occupancy costs in Australia, Canada, New Zealand, UK and USA, Report to Shopping Centre Council of Australia, December 2018, pp. 10</w:t>
      </w:r>
      <w:r>
        <w:noBreakHyphen/>
        <w:t>11.</w:t>
      </w:r>
    </w:p>
    <w:p w14:paraId="66B7CD14" w14:textId="77777777" w:rsidR="00D24C7F" w:rsidRDefault="00D24C7F" w:rsidP="00D24C7F">
      <w:pPr>
        <w:pStyle w:val="BodyText"/>
      </w:pPr>
      <w:r>
        <w:t>The Productivity Commission also published older data (from 2005</w:t>
      </w:r>
      <w:r>
        <w:noBreakHyphen/>
        <w:t>06) showing that:</w:t>
      </w:r>
      <w:r>
        <w:rPr>
          <w:rStyle w:val="FootnoteReference"/>
        </w:rPr>
        <w:footnoteReference w:id="216"/>
      </w:r>
    </w:p>
    <w:p w14:paraId="34437133" w14:textId="77777777" w:rsidR="00D24C7F" w:rsidRDefault="00D24C7F" w:rsidP="00D24C7F">
      <w:pPr>
        <w:pStyle w:val="ListBullet"/>
        <w:tabs>
          <w:tab w:val="num" w:pos="709"/>
        </w:tabs>
        <w:rPr>
          <w:lang w:bidi="fa-IR"/>
        </w:rPr>
      </w:pPr>
      <w:r>
        <w:rPr>
          <w:lang w:bidi="fa-IR"/>
        </w:rPr>
        <w:t>38 per cent of retail floor space in Australia was in shopping centres; and</w:t>
      </w:r>
    </w:p>
    <w:p w14:paraId="1A5A91D0" w14:textId="77777777" w:rsidR="00D24C7F" w:rsidRDefault="00D24C7F" w:rsidP="00D24C7F">
      <w:pPr>
        <w:pStyle w:val="ListBullet"/>
        <w:tabs>
          <w:tab w:val="num" w:pos="709"/>
        </w:tabs>
        <w:rPr>
          <w:lang w:bidi="fa-IR"/>
        </w:rPr>
      </w:pPr>
      <w:r>
        <w:rPr>
          <w:lang w:bidi="fa-IR"/>
        </w:rPr>
        <w:t>62 per cent of retail floor space in Australia was outside of shopping centres.</w:t>
      </w:r>
    </w:p>
    <w:p w14:paraId="1F989BB3" w14:textId="77777777" w:rsidR="00D24C7F" w:rsidRDefault="00D24C7F" w:rsidP="00D24C7F">
      <w:pPr>
        <w:pStyle w:val="BodyText"/>
      </w:pPr>
      <w:r>
        <w:t>However, the shopping centre share of retail floor space had increased significantly since the early 1990s, indicating that the share of new retail floor space in shopping centres is likely to be much higher.</w:t>
      </w:r>
    </w:p>
    <w:p w14:paraId="3C99F247" w14:textId="77777777" w:rsidR="00D24C7F" w:rsidRDefault="00D24C7F" w:rsidP="00D24C7F">
      <w:pPr>
        <w:pStyle w:val="Heading8"/>
      </w:pPr>
      <w:r>
        <w:t>Treatment of building types that were not modelled</w:t>
      </w:r>
    </w:p>
    <w:p w14:paraId="78F055DF" w14:textId="77777777" w:rsidR="00D24C7F" w:rsidRDefault="00D24C7F" w:rsidP="00D24C7F">
      <w:pPr>
        <w:pStyle w:val="BodyText"/>
      </w:pPr>
      <w:r>
        <w:t>The following NCC Building classes were not explicitly modelled:</w:t>
      </w:r>
    </w:p>
    <w:p w14:paraId="371B422D" w14:textId="77777777" w:rsidR="00D24C7F" w:rsidRDefault="00D24C7F" w:rsidP="00D24C7F">
      <w:pPr>
        <w:pStyle w:val="ListBullet"/>
        <w:tabs>
          <w:tab w:val="num" w:pos="709"/>
        </w:tabs>
        <w:rPr>
          <w:lang w:bidi="fa-IR"/>
        </w:rPr>
      </w:pPr>
      <w:r>
        <w:rPr>
          <w:lang w:bidi="fa-IR"/>
        </w:rPr>
        <w:t>Car parks</w:t>
      </w:r>
    </w:p>
    <w:p w14:paraId="2BC67D0F" w14:textId="77777777" w:rsidR="00D24C7F" w:rsidRDefault="00D24C7F" w:rsidP="00D24C7F">
      <w:pPr>
        <w:pStyle w:val="ListBullet"/>
        <w:tabs>
          <w:tab w:val="num" w:pos="709"/>
        </w:tabs>
        <w:rPr>
          <w:lang w:bidi="fa-IR"/>
        </w:rPr>
      </w:pPr>
      <w:r>
        <w:rPr>
          <w:lang w:bidi="fa-IR"/>
        </w:rPr>
        <w:t>Warehouses</w:t>
      </w:r>
    </w:p>
    <w:p w14:paraId="78B87193" w14:textId="77777777" w:rsidR="00D24C7F" w:rsidRDefault="00D24C7F" w:rsidP="00D24C7F">
      <w:pPr>
        <w:pStyle w:val="ListBullet"/>
        <w:tabs>
          <w:tab w:val="num" w:pos="709"/>
        </w:tabs>
        <w:rPr>
          <w:lang w:bidi="fa-IR"/>
        </w:rPr>
      </w:pPr>
      <w:r>
        <w:rPr>
          <w:lang w:bidi="fa-IR"/>
        </w:rPr>
        <w:t>Laboratories</w:t>
      </w:r>
    </w:p>
    <w:p w14:paraId="56EA1F65" w14:textId="77777777" w:rsidR="00D24C7F" w:rsidRDefault="00D24C7F" w:rsidP="00D24C7F">
      <w:pPr>
        <w:pStyle w:val="ListBullet"/>
        <w:tabs>
          <w:tab w:val="num" w:pos="709"/>
        </w:tabs>
        <w:rPr>
          <w:lang w:bidi="fa-IR"/>
        </w:rPr>
      </w:pPr>
      <w:r>
        <w:rPr>
          <w:lang w:bidi="fa-IR"/>
        </w:rPr>
        <w:t>Factories.</w:t>
      </w:r>
    </w:p>
    <w:p w14:paraId="6EC33D6E" w14:textId="4752B87D" w:rsidR="00D24C7F" w:rsidRDefault="00D24C7F" w:rsidP="00D24C7F">
      <w:pPr>
        <w:pStyle w:val="BodyText"/>
      </w:pPr>
      <w:r>
        <w:t>These building classes are included in the CBA based on the following assumptions</w:t>
      </w:r>
      <w:r w:rsidR="00CE6D73">
        <w:t xml:space="preserve"> (based on advice form ABCB)</w:t>
      </w:r>
      <w:r>
        <w:t>:</w:t>
      </w:r>
    </w:p>
    <w:p w14:paraId="531899B3" w14:textId="77777777" w:rsidR="00D24C7F" w:rsidRDefault="00D24C7F" w:rsidP="00D24C7F">
      <w:pPr>
        <w:pStyle w:val="ListBullet"/>
        <w:tabs>
          <w:tab w:val="num" w:pos="709"/>
        </w:tabs>
        <w:rPr>
          <w:lang w:bidi="fa-IR"/>
        </w:rPr>
      </w:pPr>
      <w:r>
        <w:rPr>
          <w:lang w:bidi="fa-IR"/>
        </w:rPr>
        <w:t>Car parks are assumed to contain no conditioned space, so the proposed energy efficiency changes would have minimal impact.</w:t>
      </w:r>
    </w:p>
    <w:p w14:paraId="71CD41DD" w14:textId="1B6239E6" w:rsidR="00D24C7F" w:rsidRDefault="00D24C7F" w:rsidP="00D24C7F">
      <w:pPr>
        <w:pStyle w:val="ListBullet"/>
        <w:tabs>
          <w:tab w:val="num" w:pos="709"/>
        </w:tabs>
        <w:rPr>
          <w:lang w:bidi="fa-IR"/>
        </w:rPr>
      </w:pPr>
      <w:r>
        <w:rPr>
          <w:lang w:bidi="fa-IR"/>
        </w:rPr>
        <w:t>For warehouses, and factories:</w:t>
      </w:r>
    </w:p>
    <w:p w14:paraId="6A64B351" w14:textId="77777777" w:rsidR="00D24C7F" w:rsidRDefault="00D24C7F" w:rsidP="00D24C7F">
      <w:pPr>
        <w:pStyle w:val="ListBullet"/>
        <w:numPr>
          <w:ilvl w:val="1"/>
          <w:numId w:val="34"/>
        </w:numPr>
      </w:pPr>
      <w:r>
        <w:t>we assume that around 15 per cent of total floor space is office space that is conditioned (the rest is not conditioned)</w:t>
      </w:r>
    </w:p>
    <w:p w14:paraId="34402A54" w14:textId="77777777" w:rsidR="00D24C7F" w:rsidRDefault="00D24C7F" w:rsidP="00D24C7F">
      <w:pPr>
        <w:pStyle w:val="ListBullet"/>
        <w:numPr>
          <w:ilvl w:val="1"/>
          <w:numId w:val="34"/>
        </w:numPr>
      </w:pPr>
      <w:r>
        <w:t>we apply DeltaQ’s modelled estimates for the small office archetype to the conditioned floor space.</w:t>
      </w:r>
    </w:p>
    <w:p w14:paraId="2BEEB279" w14:textId="76A4FE77" w:rsidR="00D100B7" w:rsidRDefault="00D100B7" w:rsidP="00D100B7">
      <w:pPr>
        <w:pStyle w:val="ListBullet"/>
        <w:tabs>
          <w:tab w:val="num" w:pos="709"/>
        </w:tabs>
        <w:rPr>
          <w:lang w:bidi="fa-IR"/>
        </w:rPr>
      </w:pPr>
      <w:r>
        <w:rPr>
          <w:lang w:bidi="fa-IR"/>
        </w:rPr>
        <w:t>For laboratories:</w:t>
      </w:r>
    </w:p>
    <w:p w14:paraId="7F41843A" w14:textId="08F5DFBB" w:rsidR="00D100B7" w:rsidRDefault="00D100B7" w:rsidP="00D100B7">
      <w:pPr>
        <w:pStyle w:val="ListBullet"/>
        <w:numPr>
          <w:ilvl w:val="1"/>
          <w:numId w:val="34"/>
        </w:numPr>
      </w:pPr>
      <w:r>
        <w:t>we assume that around 90 per cent of total floor space is office space that is conditioned (the rest is not conditioned)</w:t>
      </w:r>
    </w:p>
    <w:p w14:paraId="0F7A8EB9" w14:textId="77777777" w:rsidR="00D100B7" w:rsidRDefault="00D100B7" w:rsidP="00D100B7">
      <w:pPr>
        <w:pStyle w:val="ListBullet"/>
        <w:numPr>
          <w:ilvl w:val="1"/>
          <w:numId w:val="34"/>
        </w:numPr>
      </w:pPr>
      <w:r>
        <w:t>we apply DeltaQ’s modelled estimates for the small office archetype to the conditioned floor space.</w:t>
      </w:r>
    </w:p>
    <w:p w14:paraId="1CA4B4AE" w14:textId="77777777" w:rsidR="00D24C7F" w:rsidRPr="00410599" w:rsidRDefault="00D24C7F" w:rsidP="00D24C7F">
      <w:pPr>
        <w:pStyle w:val="Heading7"/>
      </w:pPr>
      <w:r w:rsidRPr="00410599">
        <w:t>NCC climate zones</w:t>
      </w:r>
    </w:p>
    <w:p w14:paraId="75B43AB8" w14:textId="45557C9E" w:rsidR="00D24C7F" w:rsidRDefault="00D24C7F" w:rsidP="00D24C7F">
      <w:pPr>
        <w:pStyle w:val="BodyText"/>
      </w:pPr>
      <w:r>
        <w:t>The NCC defines 8 Climate zones as follows (see chart </w:t>
      </w:r>
      <w:r w:rsidR="00CE6D73">
        <w:t>F.5</w:t>
      </w:r>
      <w:r>
        <w:rPr>
          <w:noProof/>
        </w:rPr>
        <w:t>)</w:t>
      </w:r>
      <w:r>
        <w:t>:</w:t>
      </w:r>
    </w:p>
    <w:p w14:paraId="1E3D97F0" w14:textId="77777777" w:rsidR="00D24C7F" w:rsidRDefault="00D24C7F" w:rsidP="00D24C7F">
      <w:pPr>
        <w:pStyle w:val="ListBullet"/>
        <w:tabs>
          <w:tab w:val="num" w:pos="709"/>
        </w:tabs>
        <w:rPr>
          <w:lang w:bidi="fa-IR"/>
        </w:rPr>
      </w:pPr>
      <w:r>
        <w:rPr>
          <w:lang w:bidi="fa-IR"/>
        </w:rPr>
        <w:t>Climate Zone 1 — high humidity summer, warm winter</w:t>
      </w:r>
    </w:p>
    <w:p w14:paraId="3BFA85AA" w14:textId="77777777" w:rsidR="00D24C7F" w:rsidRDefault="00D24C7F" w:rsidP="00D24C7F">
      <w:pPr>
        <w:pStyle w:val="ListBullet"/>
        <w:tabs>
          <w:tab w:val="num" w:pos="709"/>
        </w:tabs>
        <w:rPr>
          <w:lang w:bidi="fa-IR"/>
        </w:rPr>
      </w:pPr>
      <w:r>
        <w:rPr>
          <w:lang w:bidi="fa-IR"/>
        </w:rPr>
        <w:t>Climate Zone 2 — warm humid summer, mild winter</w:t>
      </w:r>
    </w:p>
    <w:p w14:paraId="14E69C6F" w14:textId="77777777" w:rsidR="00D24C7F" w:rsidRDefault="00D24C7F" w:rsidP="00D24C7F">
      <w:pPr>
        <w:pStyle w:val="ListBullet"/>
        <w:tabs>
          <w:tab w:val="num" w:pos="709"/>
        </w:tabs>
        <w:rPr>
          <w:lang w:bidi="fa-IR"/>
        </w:rPr>
      </w:pPr>
      <w:r>
        <w:rPr>
          <w:lang w:bidi="fa-IR"/>
        </w:rPr>
        <w:t>Climate Zone 3 — hot dry summer, warm winter</w:t>
      </w:r>
    </w:p>
    <w:p w14:paraId="6E0C0159" w14:textId="77777777" w:rsidR="00D24C7F" w:rsidRDefault="00D24C7F" w:rsidP="00D24C7F">
      <w:pPr>
        <w:pStyle w:val="ListBullet"/>
        <w:tabs>
          <w:tab w:val="num" w:pos="709"/>
        </w:tabs>
        <w:rPr>
          <w:lang w:bidi="fa-IR"/>
        </w:rPr>
      </w:pPr>
      <w:r>
        <w:rPr>
          <w:lang w:bidi="fa-IR"/>
        </w:rPr>
        <w:t>Climate Zone 4 — hot dry summer, cool winter</w:t>
      </w:r>
    </w:p>
    <w:p w14:paraId="5D9CA7EB" w14:textId="77777777" w:rsidR="00D24C7F" w:rsidRDefault="00D24C7F" w:rsidP="00D24C7F">
      <w:pPr>
        <w:pStyle w:val="ListBullet"/>
        <w:tabs>
          <w:tab w:val="num" w:pos="709"/>
        </w:tabs>
        <w:rPr>
          <w:lang w:bidi="fa-IR"/>
        </w:rPr>
      </w:pPr>
      <w:r>
        <w:rPr>
          <w:lang w:bidi="fa-IR"/>
        </w:rPr>
        <w:t>Climate Zone 5 — warm temperate</w:t>
      </w:r>
    </w:p>
    <w:p w14:paraId="5DE2D47C" w14:textId="77777777" w:rsidR="00D24C7F" w:rsidRDefault="00D24C7F" w:rsidP="00D24C7F">
      <w:pPr>
        <w:pStyle w:val="ListBullet"/>
        <w:tabs>
          <w:tab w:val="num" w:pos="709"/>
        </w:tabs>
        <w:rPr>
          <w:lang w:bidi="fa-IR"/>
        </w:rPr>
      </w:pPr>
      <w:r>
        <w:rPr>
          <w:lang w:bidi="fa-IR"/>
        </w:rPr>
        <w:t>Climate Zone 6 — mild temperate</w:t>
      </w:r>
    </w:p>
    <w:p w14:paraId="61FE8B63" w14:textId="77777777" w:rsidR="00D24C7F" w:rsidRDefault="00D24C7F" w:rsidP="00D24C7F">
      <w:pPr>
        <w:pStyle w:val="ListBullet"/>
        <w:tabs>
          <w:tab w:val="num" w:pos="709"/>
        </w:tabs>
        <w:rPr>
          <w:lang w:bidi="fa-IR"/>
        </w:rPr>
      </w:pPr>
      <w:r>
        <w:rPr>
          <w:lang w:bidi="fa-IR"/>
        </w:rPr>
        <w:t>Climate Zone 7 — cool temperate</w:t>
      </w:r>
    </w:p>
    <w:p w14:paraId="7D3635D8" w14:textId="77777777" w:rsidR="00D24C7F" w:rsidRDefault="00D24C7F" w:rsidP="00D24C7F">
      <w:pPr>
        <w:pStyle w:val="ListBullet"/>
        <w:tabs>
          <w:tab w:val="num" w:pos="709"/>
        </w:tabs>
        <w:rPr>
          <w:lang w:bidi="fa-IR"/>
        </w:rPr>
      </w:pPr>
      <w:r>
        <w:rPr>
          <w:lang w:bidi="fa-IR"/>
        </w:rPr>
        <w:t>Climate Zone 8 — alpine.</w:t>
      </w:r>
    </w:p>
    <w:p w14:paraId="23BC9A5A" w14:textId="28B462EE" w:rsidR="00D24C7F" w:rsidRPr="005E5FA8" w:rsidRDefault="00D24C7F" w:rsidP="00CA0DBC">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F</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w:instrText>
      </w:r>
      <w:r w:rsidRPr="005E5FA8">
        <w:fldChar w:fldCharType="separate"/>
      </w:r>
      <w:r w:rsidRPr="005E5FA8">
        <w:instrText>Error! No text of specified style in document..</w:instrText>
      </w:r>
      <w:r w:rsidRPr="005E5FA8">
        <w:fldChar w:fldCharType="end"/>
      </w:r>
      <w:r w:rsidRPr="005E5FA8">
        <w:instrText>" "</w:instrText>
      </w:r>
      <w:fldSimple w:instr=" STYLEREF &quot;Heading 6&quot; \l \n ">
        <w:r w:rsidR="00581346">
          <w:rPr>
            <w:noProof/>
          </w:rPr>
          <w:instrText>F</w:instrText>
        </w:r>
      </w:fldSimple>
      <w:r w:rsidRPr="005E5FA8">
        <w:instrText xml:space="preserve">." </w:instrText>
      </w:r>
      <w:r w:rsidRPr="005E5FA8">
        <w:fldChar w:fldCharType="separate"/>
      </w:r>
      <w:r w:rsidR="00581346">
        <w:rPr>
          <w:noProof/>
        </w:rPr>
        <w:instrText>F</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F</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"1" </w:instrText>
      </w:r>
      <w:r w:rsidRPr="005E5FA8">
        <w:fldChar w:fldCharType="separate"/>
      </w:r>
      <w:r w:rsidRPr="005E5FA8">
        <w:instrText>1</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5</w:instrText>
      </w:r>
      <w:r w:rsidRPr="005E5FA8">
        <w:fldChar w:fldCharType="end"/>
      </w:r>
      <w:r w:rsidRPr="005E5FA8">
        <w:instrText xml:space="preserve">" "" </w:instrText>
      </w:r>
      <w:r w:rsidRPr="005E5FA8">
        <w:fldChar w:fldCharType="separate"/>
      </w:r>
      <w:bookmarkStart w:id="8855" w:name="_Caption1794"/>
      <w:bookmarkStart w:id="8856" w:name="_Caption6602"/>
      <w:bookmarkStart w:id="8857" w:name="_Caption7088"/>
      <w:bookmarkStart w:id="8858" w:name="_Caption0721"/>
      <w:bookmarkStart w:id="8859" w:name="_Caption0288"/>
      <w:bookmarkStart w:id="8860" w:name="_Caption1425"/>
      <w:bookmarkStart w:id="8861" w:name="_Caption8684"/>
      <w:bookmarkStart w:id="8862" w:name="_Caption2259"/>
      <w:bookmarkStart w:id="8863" w:name="_Caption3754"/>
      <w:bookmarkStart w:id="8864" w:name="_Caption0272"/>
      <w:bookmarkStart w:id="8865" w:name="_Caption1258"/>
      <w:bookmarkStart w:id="8866" w:name="_Caption6854"/>
      <w:bookmarkStart w:id="8867" w:name="_Caption8856"/>
      <w:bookmarkStart w:id="8868" w:name="_Caption2412"/>
      <w:bookmarkStart w:id="8869" w:name="_Caption4431"/>
      <w:bookmarkStart w:id="8870" w:name="_Caption8951"/>
      <w:bookmarkStart w:id="8871" w:name="_Caption4979"/>
      <w:bookmarkStart w:id="8872" w:name="_Caption8354"/>
      <w:bookmarkStart w:id="8873" w:name="_Caption2278"/>
      <w:bookmarkStart w:id="8874" w:name="_Caption2008"/>
      <w:bookmarkStart w:id="8875" w:name="_Caption2607"/>
      <w:bookmarkStart w:id="8876" w:name="_Caption7469"/>
      <w:bookmarkStart w:id="8877" w:name="_Caption7870"/>
      <w:bookmarkStart w:id="8878" w:name="_Caption1098"/>
      <w:bookmarkStart w:id="8879" w:name="_Caption5306"/>
      <w:bookmarkStart w:id="8880" w:name="_Caption6638"/>
      <w:bookmarkStart w:id="8881" w:name="_Caption6088"/>
      <w:bookmarkStart w:id="8882" w:name="_Caption6949"/>
      <w:bookmarkStart w:id="8883" w:name="_Caption2541"/>
      <w:bookmarkStart w:id="8884" w:name="_Caption1773"/>
      <w:bookmarkStart w:id="8885" w:name="_Caption1925"/>
      <w:bookmarkStart w:id="8886" w:name="_Caption0240"/>
      <w:bookmarkStart w:id="8887" w:name="_Caption4187"/>
      <w:bookmarkStart w:id="8888" w:name="_Caption7288"/>
      <w:bookmarkStart w:id="8889" w:name="_Caption3377"/>
      <w:bookmarkStart w:id="8890" w:name="_Caption8874"/>
      <w:bookmarkStart w:id="8891" w:name="_Caption2549"/>
      <w:bookmarkStart w:id="8892" w:name="_Caption3262"/>
      <w:bookmarkStart w:id="8893" w:name="_Caption6285"/>
      <w:bookmarkStart w:id="8894" w:name="_Caption0856"/>
      <w:bookmarkStart w:id="8895" w:name="_Caption3047"/>
      <w:bookmarkStart w:id="8896" w:name="_Caption4668"/>
      <w:bookmarkStart w:id="8897" w:name="_Caption4553"/>
      <w:bookmarkStart w:id="8898" w:name="_Caption7701"/>
      <w:bookmarkStart w:id="8899" w:name="_Toc177735238"/>
      <w:bookmarkStart w:id="8900" w:name="_Toc178292680"/>
      <w:r w:rsidR="008C60A3">
        <w:rPr>
          <w:noProof/>
        </w:rPr>
        <w:t>F</w:t>
      </w:r>
      <w:r w:rsidR="008C60A3" w:rsidRPr="005E5FA8">
        <w:rPr>
          <w:noProof/>
        </w:rPr>
        <w:t>.</w:t>
      </w:r>
      <w:r w:rsidR="008C60A3">
        <w:rPr>
          <w:noProof/>
        </w:rPr>
        <w:t>5</w:t>
      </w:r>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r w:rsidRPr="005E5FA8">
        <w:fldChar w:fldCharType="end"/>
      </w:r>
      <w:r w:rsidRPr="005E5FA8">
        <w:tab/>
        <w:t>NCC climate zones</w:t>
      </w:r>
      <w:bookmarkEnd w:id="8899"/>
      <w:bookmarkEnd w:id="8900"/>
    </w:p>
    <w:p w14:paraId="157A4457" w14:textId="77777777" w:rsidR="00D24C7F" w:rsidRPr="00401E3A" w:rsidRDefault="00D24C7F" w:rsidP="00D24C7F">
      <w:pPr>
        <w:pStyle w:val="Subtitlebox"/>
      </w:pPr>
      <w:r>
        <w:rPr>
          <w:noProof/>
        </w:rPr>
        <w:drawing>
          <wp:inline distT="0" distB="0" distL="0" distR="0" wp14:anchorId="4EE8B19A" wp14:editId="5BA26361">
            <wp:extent cx="4860000" cy="3172041"/>
            <wp:effectExtent l="76200" t="76200" r="74295" b="66675"/>
            <wp:docPr id="381101440" name="Picture 381101440" descr="Chart F.5 - Map showing NCC climate z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01440" name="Picture 381101440" descr="Chart F.5 - Map showing NCC climate zones"/>
                    <pic:cNvPicPr/>
                  </pic:nvPicPr>
                  <pic:blipFill>
                    <a:blip r:embed="rId85">
                      <a:extLst>
                        <a:ext uri="{28A0092B-C50C-407E-A947-70E740481C1C}">
                          <a14:useLocalDpi xmlns:a14="http://schemas.microsoft.com/office/drawing/2010/main" val="0"/>
                        </a:ext>
                      </a:extLst>
                    </a:blip>
                    <a:stretch>
                      <a:fillRect/>
                    </a:stretch>
                  </pic:blipFill>
                  <pic:spPr>
                    <a:xfrm>
                      <a:off x="0" y="0"/>
                      <a:ext cx="4860000" cy="3172041"/>
                    </a:xfrm>
                    <a:prstGeom prst="rect">
                      <a:avLst/>
                    </a:prstGeom>
                    <a:ln w="76200">
                      <a:solidFill>
                        <a:schemeClr val="bg2"/>
                      </a:solidFill>
                    </a:ln>
                  </pic:spPr>
                </pic:pic>
              </a:graphicData>
            </a:graphic>
          </wp:inline>
        </w:drawing>
      </w:r>
    </w:p>
    <w:p w14:paraId="0E9C88B0" w14:textId="14627DD6" w:rsidR="00D24C7F" w:rsidRDefault="00D24C7F" w:rsidP="00D24C7F">
      <w:pPr>
        <w:pStyle w:val="Source"/>
      </w:pPr>
      <w:r>
        <w:rPr>
          <w:i/>
        </w:rPr>
        <w:t>Data source</w:t>
      </w:r>
      <w:r w:rsidRPr="00A67576">
        <w:rPr>
          <w:i/>
        </w:rPr>
        <w:t>:</w:t>
      </w:r>
      <w:r>
        <w:t xml:space="preserve"> ABCB website, </w:t>
      </w:r>
      <w:hyperlink r:id="rId86" w:history="1">
        <w:r w:rsidRPr="00C22E8E">
          <w:rPr>
            <w:rStyle w:val="Hyperlink"/>
          </w:rPr>
          <w:t>https://www.abcb.gov.au/sites/default/files/resources/2022/Climate-zone-map-aust.pdf</w:t>
        </w:r>
      </w:hyperlink>
      <w:r>
        <w:t>, accessed 3 January 2024.</w:t>
      </w:r>
    </w:p>
    <w:p w14:paraId="26347B91" w14:textId="77777777" w:rsidR="00D24C7F" w:rsidRDefault="00D24C7F" w:rsidP="00D24C7F">
      <w:pPr>
        <w:pStyle w:val="BodyText"/>
      </w:pPr>
    </w:p>
    <w:p w14:paraId="467522EC" w14:textId="77777777" w:rsidR="00D24C7F" w:rsidRDefault="00D24C7F" w:rsidP="00D24C7F">
      <w:pPr>
        <w:pStyle w:val="BodyText"/>
      </w:pPr>
    </w:p>
    <w:p w14:paraId="16C988E2" w14:textId="77777777" w:rsidR="00D24C7F" w:rsidRDefault="00D24C7F" w:rsidP="00D24C7F">
      <w:pPr>
        <w:pStyle w:val="Heading6"/>
      </w:pPr>
      <w:bookmarkStart w:id="8901" w:name="_Ref155348217"/>
      <w:bookmarkStart w:id="8902" w:name="_Ref155348249"/>
      <w:bookmarkStart w:id="8903" w:name="_Toc177735127"/>
      <w:bookmarkStart w:id="8904" w:name="_Toc178292562"/>
      <w:r>
        <w:t>Modelled electricity savings by time of day</w:t>
      </w:r>
      <w:bookmarkEnd w:id="8901"/>
      <w:bookmarkEnd w:id="8902"/>
      <w:bookmarkEnd w:id="8903"/>
      <w:bookmarkEnd w:id="8904"/>
    </w:p>
    <w:p w14:paraId="4C951513" w14:textId="77777777" w:rsidR="00D24C7F" w:rsidRDefault="00D24C7F" w:rsidP="00D24C7F">
      <w:pPr>
        <w:pStyle w:val="BodyText"/>
      </w:pPr>
      <w:r>
        <w:t xml:space="preserve">The value of electricity saved depends on the time of day (as reflected in electricity tariffs). This appendix presents charts showing modelled electricity savings by time of day throughout an average week (averaged across every week in each season) for building type and climate zone under Stringency </w:t>
      </w:r>
      <w:r>
        <w:rPr>
          <w:lang w:bidi="fa-IR"/>
        </w:rPr>
        <w:t xml:space="preserve">Level </w:t>
      </w:r>
      <w:r>
        <w:t xml:space="preserve">1 and Stringency </w:t>
      </w:r>
      <w:r>
        <w:rPr>
          <w:lang w:bidi="fa-IR"/>
        </w:rPr>
        <w:t xml:space="preserve">Level </w:t>
      </w:r>
      <w:r>
        <w:t xml:space="preserve">2. To save space, only electricity savings for large office building and large hospital ward in Climate Zones 2, 5 and 6 are presented. </w:t>
      </w:r>
    </w:p>
    <w:p w14:paraId="0E5664FA" w14:textId="77777777" w:rsidR="00D24C7F" w:rsidRDefault="00D24C7F" w:rsidP="00D24C7F">
      <w:pPr>
        <w:pStyle w:val="BodyText"/>
      </w:pPr>
      <w:r>
        <w:t>These charts show clear distinct patterns of energy savings across different time of the day, seasons, building type (mainly daytime only use versus day and night use buildings) and climate zones.</w:t>
      </w:r>
    </w:p>
    <w:p w14:paraId="236C93F4" w14:textId="77777777" w:rsidR="00D24C7F" w:rsidRDefault="00D24C7F" w:rsidP="00D24C7F">
      <w:pPr>
        <w:pStyle w:val="ListBullet"/>
        <w:tabs>
          <w:tab w:val="num" w:pos="709"/>
        </w:tabs>
        <w:rPr>
          <w:lang w:bidi="fa-IR"/>
        </w:rPr>
      </w:pPr>
      <w:r>
        <w:rPr>
          <w:lang w:bidi="fa-IR"/>
        </w:rPr>
        <w:t>For the daytime</w:t>
      </w:r>
      <w:r>
        <w:rPr>
          <w:lang w:bidi="fa-IR"/>
        </w:rPr>
        <w:noBreakHyphen/>
        <w:t>operating buildings — the large office building (C5OL):</w:t>
      </w:r>
    </w:p>
    <w:p w14:paraId="1774B5E9" w14:textId="77777777" w:rsidR="00D24C7F" w:rsidRDefault="00D24C7F" w:rsidP="00D24C7F">
      <w:pPr>
        <w:pStyle w:val="ListBullet"/>
        <w:numPr>
          <w:ilvl w:val="1"/>
          <w:numId w:val="34"/>
        </w:numPr>
        <w:rPr>
          <w:lang w:bidi="fa-IR"/>
        </w:rPr>
      </w:pPr>
      <w:r>
        <w:rPr>
          <w:lang w:bidi="fa-IR"/>
        </w:rPr>
        <w:t>the largest savings are estimated to occur during working hours (approximately 7am to 6pm on weekdays), reflecting building occupancy and therefore energy consumption patterns)</w:t>
      </w:r>
    </w:p>
    <w:p w14:paraId="73735CF2" w14:textId="77777777" w:rsidR="00D24C7F" w:rsidRDefault="00D24C7F" w:rsidP="00D24C7F">
      <w:pPr>
        <w:pStyle w:val="ListBullet"/>
        <w:numPr>
          <w:ilvl w:val="1"/>
          <w:numId w:val="34"/>
        </w:numPr>
        <w:rPr>
          <w:lang w:bidi="fa-IR"/>
        </w:rPr>
      </w:pPr>
      <w:r>
        <w:rPr>
          <w:lang w:bidi="fa-IR"/>
        </w:rPr>
        <w:t>electricity savings tend to be greatest over the summer months (although this varies across climate zones).</w:t>
      </w:r>
    </w:p>
    <w:p w14:paraId="2BC19DB0" w14:textId="77777777" w:rsidR="00D24C7F" w:rsidRDefault="00D24C7F" w:rsidP="00D24C7F">
      <w:pPr>
        <w:pStyle w:val="ListBullet"/>
        <w:tabs>
          <w:tab w:val="num" w:pos="709"/>
        </w:tabs>
        <w:rPr>
          <w:lang w:bidi="fa-IR"/>
        </w:rPr>
      </w:pPr>
      <w:r>
        <w:rPr>
          <w:lang w:bidi="fa-IR"/>
        </w:rPr>
        <w:t>For the buildings that operate during the daytime and night-time (the hospital ward):</w:t>
      </w:r>
    </w:p>
    <w:p w14:paraId="3DCB2076" w14:textId="77777777" w:rsidR="00D24C7F" w:rsidRDefault="00D24C7F" w:rsidP="00D24C7F">
      <w:pPr>
        <w:pStyle w:val="ListBullet"/>
        <w:numPr>
          <w:ilvl w:val="1"/>
          <w:numId w:val="34"/>
        </w:numPr>
        <w:rPr>
          <w:lang w:bidi="fa-IR"/>
        </w:rPr>
      </w:pPr>
      <w:r>
        <w:rPr>
          <w:lang w:bidi="fa-IR"/>
        </w:rPr>
        <w:t>electricity savings tend to be greatest during the afternoons and evenings on both weekdays and weekends, although the timing of the peaks varies across climate zones</w:t>
      </w:r>
    </w:p>
    <w:p w14:paraId="34A91932" w14:textId="77777777" w:rsidR="00D24C7F" w:rsidRDefault="00D24C7F" w:rsidP="00D24C7F">
      <w:pPr>
        <w:pStyle w:val="ListBullet"/>
        <w:numPr>
          <w:ilvl w:val="1"/>
          <w:numId w:val="34"/>
        </w:numPr>
        <w:rPr>
          <w:lang w:bidi="fa-IR"/>
        </w:rPr>
      </w:pPr>
      <w:r>
        <w:rPr>
          <w:lang w:bidi="fa-IR"/>
        </w:rPr>
        <w:t>for the aged care facility, there is also a winter peak that occurs during the night from around 10 pm through to around 9 am in some climate zones (reflecting the use of electricity for heating).</w:t>
      </w:r>
    </w:p>
    <w:p w14:paraId="56387432" w14:textId="77777777" w:rsidR="00D24C7F" w:rsidRDefault="00D24C7F" w:rsidP="00D24C7F">
      <w:pPr>
        <w:pStyle w:val="Heading7"/>
      </w:pPr>
      <w:r>
        <w:t>Large office building</w:t>
      </w:r>
    </w:p>
    <w:p w14:paraId="4ECE849F" w14:textId="77777777" w:rsidR="00D24C7F" w:rsidRDefault="00D24C7F" w:rsidP="00D24C7F">
      <w:pPr>
        <w:pStyle w:val="BodyText"/>
      </w:pPr>
      <w:r>
        <w:t xml:space="preserve">Energy savings by time of day for the large office building archetype (C5OL) in selected climate zone for Stringency </w:t>
      </w:r>
      <w:r>
        <w:rPr>
          <w:lang w:bidi="fa-IR"/>
        </w:rPr>
        <w:t xml:space="preserve">Level </w:t>
      </w:r>
      <w:r>
        <w:t xml:space="preserve">1 and Stringency </w:t>
      </w:r>
      <w:r>
        <w:rPr>
          <w:lang w:bidi="fa-IR"/>
        </w:rPr>
        <w:t xml:space="preserve">Level </w:t>
      </w:r>
      <w:r>
        <w:t>2 are shown in the charts below.</w:t>
      </w:r>
    </w:p>
    <w:p w14:paraId="63C29529" w14:textId="77777777" w:rsidR="00D24C7F" w:rsidRDefault="00D24C7F" w:rsidP="00D24C7F">
      <w:pPr>
        <w:pStyle w:val="Heading8"/>
      </w:pPr>
      <w:r>
        <w:t>Climate zone 2</w:t>
      </w:r>
    </w:p>
    <w:p w14:paraId="3AE13816" w14:textId="6DD623BE" w:rsidR="00D24C7F" w:rsidRPr="005E5FA8" w:rsidRDefault="00D24C7F" w:rsidP="00CA0DBC">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G</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w:instrText>
      </w:r>
      <w:r w:rsidRPr="005E5FA8">
        <w:fldChar w:fldCharType="separate"/>
      </w:r>
      <w:r w:rsidRPr="005E5FA8">
        <w:instrText>Error! No text of specified style in document..</w:instrText>
      </w:r>
      <w:r w:rsidRPr="005E5FA8">
        <w:fldChar w:fldCharType="end"/>
      </w:r>
      <w:r w:rsidRPr="005E5FA8">
        <w:instrText>" "</w:instrText>
      </w:r>
      <w:fldSimple w:instr=" STYLEREF &quot;Heading 6&quot; \l \n ">
        <w:r w:rsidR="00581346">
          <w:rPr>
            <w:noProof/>
          </w:rPr>
          <w:instrText>G</w:instrText>
        </w:r>
      </w:fldSimple>
      <w:r w:rsidRPr="005E5FA8">
        <w:instrText xml:space="preserve">." </w:instrText>
      </w:r>
      <w:r w:rsidRPr="005E5FA8">
        <w:fldChar w:fldCharType="separate"/>
      </w:r>
      <w:r w:rsidR="00581346">
        <w:rPr>
          <w:noProof/>
        </w:rPr>
        <w:instrText>G</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G</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"1" </w:instrText>
      </w:r>
      <w:r w:rsidRPr="005E5FA8">
        <w:fldChar w:fldCharType="separate"/>
      </w:r>
      <w:r w:rsidRPr="005E5FA8">
        <w:instrText>1</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1</w:instrText>
      </w:r>
      <w:r w:rsidRPr="005E5FA8">
        <w:fldChar w:fldCharType="end"/>
      </w:r>
      <w:r w:rsidRPr="005E5FA8">
        <w:instrText xml:space="preserve">" "" </w:instrText>
      </w:r>
      <w:r w:rsidRPr="005E5FA8">
        <w:fldChar w:fldCharType="separate"/>
      </w:r>
      <w:bookmarkStart w:id="8905" w:name="_Caption7942"/>
      <w:bookmarkStart w:id="8906" w:name="_Caption2005"/>
      <w:bookmarkStart w:id="8907" w:name="_Caption8344"/>
      <w:bookmarkStart w:id="8908" w:name="_Caption4853"/>
      <w:bookmarkStart w:id="8909" w:name="_Caption0072"/>
      <w:bookmarkStart w:id="8910" w:name="_Caption5664"/>
      <w:bookmarkStart w:id="8911" w:name="_Caption1648"/>
      <w:bookmarkStart w:id="8912" w:name="_Caption8126"/>
      <w:bookmarkStart w:id="8913" w:name="_Caption6567"/>
      <w:bookmarkStart w:id="8914" w:name="_Caption4256"/>
      <w:bookmarkStart w:id="8915" w:name="_Caption1222"/>
      <w:bookmarkStart w:id="8916" w:name="_Caption7529"/>
      <w:bookmarkStart w:id="8917" w:name="_Caption1687"/>
      <w:bookmarkStart w:id="8918" w:name="_Caption3758"/>
      <w:bookmarkStart w:id="8919" w:name="_Caption6688"/>
      <w:bookmarkStart w:id="8920" w:name="_Caption2126"/>
      <w:bookmarkStart w:id="8921" w:name="_Caption4796"/>
      <w:bookmarkStart w:id="8922" w:name="_Caption3249"/>
      <w:bookmarkStart w:id="8923" w:name="_Caption0636"/>
      <w:bookmarkStart w:id="8924" w:name="_Caption6214"/>
      <w:bookmarkStart w:id="8925" w:name="_Caption9078"/>
      <w:bookmarkStart w:id="8926" w:name="_Caption6449"/>
      <w:bookmarkStart w:id="8927" w:name="_Caption2087"/>
      <w:bookmarkStart w:id="8928" w:name="_Caption9966"/>
      <w:bookmarkStart w:id="8929" w:name="_Caption8257"/>
      <w:bookmarkStart w:id="8930" w:name="_Caption3398"/>
      <w:bookmarkStart w:id="8931" w:name="_Caption1102"/>
      <w:bookmarkStart w:id="8932" w:name="_Caption1988"/>
      <w:bookmarkStart w:id="8933" w:name="_Caption6260"/>
      <w:bookmarkStart w:id="8934" w:name="_Caption6326"/>
      <w:bookmarkStart w:id="8935" w:name="_Caption0595"/>
      <w:bookmarkStart w:id="8936" w:name="_Caption0827"/>
      <w:bookmarkStart w:id="8937" w:name="_Caption4907"/>
      <w:bookmarkStart w:id="8938" w:name="_Caption2006"/>
      <w:bookmarkStart w:id="8939" w:name="_Caption2959"/>
      <w:bookmarkStart w:id="8940" w:name="_Caption4988"/>
      <w:bookmarkStart w:id="8941" w:name="_Caption3386"/>
      <w:bookmarkStart w:id="8942" w:name="_Caption2765"/>
      <w:bookmarkStart w:id="8943" w:name="_Caption0171"/>
      <w:bookmarkStart w:id="8944" w:name="_Caption0773"/>
      <w:bookmarkStart w:id="8945" w:name="_Caption9450"/>
      <w:bookmarkStart w:id="8946" w:name="_Caption9390"/>
      <w:bookmarkStart w:id="8947" w:name="_Caption1193"/>
      <w:bookmarkStart w:id="8948" w:name="_Caption8934"/>
      <w:bookmarkStart w:id="8949" w:name="_Caption5740"/>
      <w:bookmarkStart w:id="8950" w:name="_Caption7534"/>
      <w:bookmarkStart w:id="8951" w:name="_Caption1060"/>
      <w:bookmarkStart w:id="8952" w:name="_Caption4756"/>
      <w:bookmarkStart w:id="8953" w:name="_Caption5284"/>
      <w:bookmarkStart w:id="8954" w:name="_Caption0329"/>
      <w:bookmarkStart w:id="8955" w:name="_Caption5589"/>
      <w:bookmarkStart w:id="8956" w:name="_Caption0164"/>
      <w:bookmarkStart w:id="8957" w:name="_Caption9813"/>
      <w:bookmarkStart w:id="8958" w:name="_Caption6796"/>
      <w:bookmarkStart w:id="8959" w:name="_Caption9675"/>
      <w:bookmarkStart w:id="8960" w:name="_Toc177735239"/>
      <w:bookmarkStart w:id="8961" w:name="_Toc178292681"/>
      <w:r w:rsidR="008C60A3">
        <w:rPr>
          <w:noProof/>
        </w:rPr>
        <w:t>G</w:t>
      </w:r>
      <w:r w:rsidR="008C60A3" w:rsidRPr="005E5FA8">
        <w:rPr>
          <w:noProof/>
        </w:rPr>
        <w:t>.</w:t>
      </w:r>
      <w:r w:rsidR="008C60A3">
        <w:rPr>
          <w:noProof/>
        </w:rPr>
        <w:t>1</w:t>
      </w:r>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r w:rsidRPr="005E5FA8">
        <w:fldChar w:fldCharType="end"/>
      </w:r>
      <w:r w:rsidRPr="005E5FA8">
        <w:tab/>
        <w:t>Energy savings by time of day — Stringency Level 1, large office in CZ2</w:t>
      </w:r>
      <w:bookmarkEnd w:id="8960"/>
      <w:bookmarkEnd w:id="8961"/>
    </w:p>
    <w:p w14:paraId="6D3176EF" w14:textId="77777777" w:rsidR="00D24C7F" w:rsidRPr="00401E3A" w:rsidRDefault="00D24C7F" w:rsidP="00D24C7F">
      <w:pPr>
        <w:pStyle w:val="Subtitlebox"/>
      </w:pPr>
      <w:r w:rsidRPr="00F04D95">
        <w:rPr>
          <w:noProof/>
        </w:rPr>
        <w:drawing>
          <wp:inline distT="0" distB="0" distL="0" distR="0" wp14:anchorId="1E46DA58" wp14:editId="5DC200D0">
            <wp:extent cx="4831080" cy="2457450"/>
            <wp:effectExtent l="76200" t="76200" r="83820" b="76200"/>
            <wp:docPr id="178015371" name="Picture 178015371" descr="Chart G.1 - Energy savings by time of day across an average week in each season — Stringency Level 1 for large office in CZ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15371" name="Picture 178015371" descr="Chart G.1 - Energy savings by time of day across an average week in each season — Stringency Level 1 for large office in CZ2"/>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r="4060"/>
                    <a:stretch/>
                  </pic:blipFill>
                  <pic:spPr bwMode="auto">
                    <a:xfrm>
                      <a:off x="0" y="0"/>
                      <a:ext cx="4831080" cy="245745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1DACB1F3" w14:textId="77777777" w:rsidR="00D24C7F" w:rsidRDefault="00D24C7F" w:rsidP="00D24C7F">
      <w:pPr>
        <w:pStyle w:val="Source"/>
      </w:pPr>
      <w:r>
        <w:rPr>
          <w:i/>
        </w:rPr>
        <w:t>Data source</w:t>
      </w:r>
      <w:r w:rsidRPr="00A67576">
        <w:rPr>
          <w:i/>
        </w:rPr>
        <w:t>:</w:t>
      </w:r>
      <w:r>
        <w:t xml:space="preserve"> DeltaQ modelling, CIE.</w:t>
      </w:r>
    </w:p>
    <w:p w14:paraId="05338C53" w14:textId="5EFFDA0A" w:rsidR="00D24C7F" w:rsidRPr="005E5FA8" w:rsidRDefault="00D24C7F" w:rsidP="00CA0DBC">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G</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w:instrText>
      </w:r>
      <w:r w:rsidRPr="005E5FA8">
        <w:fldChar w:fldCharType="separate"/>
      </w:r>
      <w:r w:rsidRPr="005E5FA8">
        <w:instrText>Error! No text of specified style in document..</w:instrText>
      </w:r>
      <w:r w:rsidRPr="005E5FA8">
        <w:fldChar w:fldCharType="end"/>
      </w:r>
      <w:r w:rsidRPr="005E5FA8">
        <w:instrText>" "</w:instrText>
      </w:r>
      <w:fldSimple w:instr=" STYLEREF &quot;Heading 6&quot; \l \n ">
        <w:r w:rsidR="00581346">
          <w:rPr>
            <w:noProof/>
          </w:rPr>
          <w:instrText>G</w:instrText>
        </w:r>
      </w:fldSimple>
      <w:r w:rsidRPr="005E5FA8">
        <w:instrText xml:space="preserve">." </w:instrText>
      </w:r>
      <w:r w:rsidRPr="005E5FA8">
        <w:fldChar w:fldCharType="separate"/>
      </w:r>
      <w:r w:rsidR="00581346">
        <w:rPr>
          <w:noProof/>
        </w:rPr>
        <w:instrText>G</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G</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"1" </w:instrText>
      </w:r>
      <w:r w:rsidRPr="005E5FA8">
        <w:fldChar w:fldCharType="separate"/>
      </w:r>
      <w:r w:rsidRPr="005E5FA8">
        <w:instrText>1</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2</w:instrText>
      </w:r>
      <w:r w:rsidRPr="005E5FA8">
        <w:fldChar w:fldCharType="end"/>
      </w:r>
      <w:r w:rsidRPr="005E5FA8">
        <w:instrText xml:space="preserve">" "" </w:instrText>
      </w:r>
      <w:r w:rsidRPr="005E5FA8">
        <w:fldChar w:fldCharType="separate"/>
      </w:r>
      <w:bookmarkStart w:id="8962" w:name="_Caption2922"/>
      <w:bookmarkStart w:id="8963" w:name="_Caption4306"/>
      <w:bookmarkStart w:id="8964" w:name="_Caption6266"/>
      <w:bookmarkStart w:id="8965" w:name="_Caption0413"/>
      <w:bookmarkStart w:id="8966" w:name="_Caption9668"/>
      <w:bookmarkStart w:id="8967" w:name="_Caption6927"/>
      <w:bookmarkStart w:id="8968" w:name="_Caption7671"/>
      <w:bookmarkStart w:id="8969" w:name="_Caption8567"/>
      <w:bookmarkStart w:id="8970" w:name="_Caption3548"/>
      <w:bookmarkStart w:id="8971" w:name="_Caption0796"/>
      <w:bookmarkStart w:id="8972" w:name="_Caption8302"/>
      <w:bookmarkStart w:id="8973" w:name="_Caption8315"/>
      <w:bookmarkStart w:id="8974" w:name="_Caption8317"/>
      <w:bookmarkStart w:id="8975" w:name="_Caption3784"/>
      <w:bookmarkStart w:id="8976" w:name="_Caption2219"/>
      <w:bookmarkStart w:id="8977" w:name="_Caption8991"/>
      <w:bookmarkStart w:id="8978" w:name="_Caption2116"/>
      <w:bookmarkStart w:id="8979" w:name="_Caption8803"/>
      <w:bookmarkStart w:id="8980" w:name="_Caption0894"/>
      <w:bookmarkStart w:id="8981" w:name="_Caption1080"/>
      <w:bookmarkStart w:id="8982" w:name="_Caption0350"/>
      <w:bookmarkStart w:id="8983" w:name="_Caption2980"/>
      <w:bookmarkStart w:id="8984" w:name="_Caption8408"/>
      <w:bookmarkStart w:id="8985" w:name="_Caption1248"/>
      <w:bookmarkStart w:id="8986" w:name="_Caption3332"/>
      <w:bookmarkStart w:id="8987" w:name="_Caption9418"/>
      <w:bookmarkStart w:id="8988" w:name="_Caption5269"/>
      <w:bookmarkStart w:id="8989" w:name="_Caption1340"/>
      <w:bookmarkStart w:id="8990" w:name="_Caption5331"/>
      <w:bookmarkStart w:id="8991" w:name="_Caption4915"/>
      <w:bookmarkStart w:id="8992" w:name="_Caption6878"/>
      <w:bookmarkStart w:id="8993" w:name="_Caption7399"/>
      <w:bookmarkStart w:id="8994" w:name="_Caption1983"/>
      <w:bookmarkStart w:id="8995" w:name="_Caption9100"/>
      <w:bookmarkStart w:id="8996" w:name="_Caption0222"/>
      <w:bookmarkStart w:id="8997" w:name="_Caption6218"/>
      <w:bookmarkStart w:id="8998" w:name="_Caption2682"/>
      <w:bookmarkStart w:id="8999" w:name="_Caption4485"/>
      <w:bookmarkStart w:id="9000" w:name="_Caption8539"/>
      <w:bookmarkStart w:id="9001" w:name="_Caption0278"/>
      <w:bookmarkStart w:id="9002" w:name="_Caption2976"/>
      <w:bookmarkStart w:id="9003" w:name="_Caption7528"/>
      <w:bookmarkStart w:id="9004" w:name="_Caption1215"/>
      <w:bookmarkStart w:id="9005" w:name="_Caption5393"/>
      <w:bookmarkStart w:id="9006" w:name="_Caption6836"/>
      <w:bookmarkStart w:id="9007" w:name="_Caption5779"/>
      <w:bookmarkStart w:id="9008" w:name="_Caption5073"/>
      <w:bookmarkStart w:id="9009" w:name="_Caption8440"/>
      <w:bookmarkStart w:id="9010" w:name="_Caption9604"/>
      <w:bookmarkStart w:id="9011" w:name="_Caption9575"/>
      <w:bookmarkStart w:id="9012" w:name="_Caption7348"/>
      <w:bookmarkStart w:id="9013" w:name="_Caption0370"/>
      <w:bookmarkStart w:id="9014" w:name="_Caption6257"/>
      <w:bookmarkStart w:id="9015" w:name="_Caption2812"/>
      <w:bookmarkStart w:id="9016" w:name="_Caption6899"/>
      <w:bookmarkStart w:id="9017" w:name="_Caption1007"/>
      <w:bookmarkStart w:id="9018" w:name="_Caption4469"/>
      <w:bookmarkStart w:id="9019" w:name="_Caption8073"/>
      <w:bookmarkStart w:id="9020" w:name="_Toc177735240"/>
      <w:bookmarkStart w:id="9021" w:name="_Toc178292682"/>
      <w:r w:rsidR="008C60A3">
        <w:rPr>
          <w:noProof/>
        </w:rPr>
        <w:t>G</w:t>
      </w:r>
      <w:r w:rsidR="008C60A3" w:rsidRPr="005E5FA8">
        <w:rPr>
          <w:noProof/>
        </w:rPr>
        <w:t>.</w:t>
      </w:r>
      <w:r w:rsidR="008C60A3">
        <w:rPr>
          <w:noProof/>
        </w:rPr>
        <w:t>2</w:t>
      </w:r>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r w:rsidRPr="005E5FA8">
        <w:fldChar w:fldCharType="end"/>
      </w:r>
      <w:r w:rsidRPr="005E5FA8">
        <w:tab/>
        <w:t>Energy savings by time of day — Stringency Level 2, large office in CZ2</w:t>
      </w:r>
      <w:bookmarkEnd w:id="9020"/>
      <w:bookmarkEnd w:id="9021"/>
    </w:p>
    <w:p w14:paraId="259B05D9" w14:textId="77777777" w:rsidR="00D24C7F" w:rsidRPr="00401E3A" w:rsidRDefault="00D24C7F" w:rsidP="00D24C7F">
      <w:pPr>
        <w:pStyle w:val="Subtitlebox"/>
      </w:pPr>
      <w:r w:rsidRPr="00EA6C65">
        <w:rPr>
          <w:noProof/>
        </w:rPr>
        <w:drawing>
          <wp:inline distT="0" distB="0" distL="0" distR="0" wp14:anchorId="088228CB" wp14:editId="6C695D40">
            <wp:extent cx="4838700" cy="2457450"/>
            <wp:effectExtent l="76200" t="76200" r="76200" b="76200"/>
            <wp:docPr id="775281989" name="Picture 775281989" descr="Chart G.2 - Energy savings by time of day across an average week in each season — Stringency Level 2 for large office in CZ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281989" name="Picture 775281989" descr="Chart G.2 - Energy savings by time of day across an average week in each season — Stringency Level 2 for large office in CZ2"/>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r="3909"/>
                    <a:stretch/>
                  </pic:blipFill>
                  <pic:spPr bwMode="auto">
                    <a:xfrm>
                      <a:off x="0" y="0"/>
                      <a:ext cx="4838700" cy="245745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473C2A6D" w14:textId="77777777" w:rsidR="00D24C7F" w:rsidRDefault="00D24C7F" w:rsidP="00D24C7F">
      <w:pPr>
        <w:pStyle w:val="Source"/>
      </w:pPr>
      <w:r>
        <w:rPr>
          <w:i/>
        </w:rPr>
        <w:t>Data source</w:t>
      </w:r>
      <w:r w:rsidRPr="00A67576">
        <w:rPr>
          <w:i/>
        </w:rPr>
        <w:t>:</w:t>
      </w:r>
      <w:r>
        <w:t xml:space="preserve"> DeltaQ modelling, CIE.</w:t>
      </w:r>
    </w:p>
    <w:p w14:paraId="6A347435" w14:textId="77777777" w:rsidR="00D24C7F" w:rsidRDefault="00D24C7F" w:rsidP="00D24C7F">
      <w:pPr>
        <w:pStyle w:val="Heading8"/>
      </w:pPr>
      <w:r>
        <w:t>Climate zone 5</w:t>
      </w:r>
    </w:p>
    <w:p w14:paraId="795B0292" w14:textId="0596DB7D" w:rsidR="00D24C7F" w:rsidRPr="005E5FA8" w:rsidRDefault="00D24C7F" w:rsidP="00CA0DBC">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G</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w:instrText>
      </w:r>
      <w:r w:rsidRPr="005E5FA8">
        <w:fldChar w:fldCharType="separate"/>
      </w:r>
      <w:r w:rsidRPr="005E5FA8">
        <w:instrText>Error! No text of specified style in document..</w:instrText>
      </w:r>
      <w:r w:rsidRPr="005E5FA8">
        <w:fldChar w:fldCharType="end"/>
      </w:r>
      <w:r w:rsidRPr="005E5FA8">
        <w:instrText>" "</w:instrText>
      </w:r>
      <w:fldSimple w:instr=" STYLEREF &quot;Heading 6&quot; \l \n ">
        <w:r w:rsidR="00581346">
          <w:rPr>
            <w:noProof/>
          </w:rPr>
          <w:instrText>G</w:instrText>
        </w:r>
      </w:fldSimple>
      <w:r w:rsidRPr="005E5FA8">
        <w:instrText xml:space="preserve">." </w:instrText>
      </w:r>
      <w:r w:rsidRPr="005E5FA8">
        <w:fldChar w:fldCharType="separate"/>
      </w:r>
      <w:r w:rsidR="00581346">
        <w:rPr>
          <w:noProof/>
        </w:rPr>
        <w:instrText>G</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G</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"1" </w:instrText>
      </w:r>
      <w:r w:rsidRPr="005E5FA8">
        <w:fldChar w:fldCharType="separate"/>
      </w:r>
      <w:r w:rsidRPr="005E5FA8">
        <w:instrText>1</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3</w:instrText>
      </w:r>
      <w:r w:rsidRPr="005E5FA8">
        <w:fldChar w:fldCharType="end"/>
      </w:r>
      <w:r w:rsidRPr="005E5FA8">
        <w:instrText xml:space="preserve">" "" </w:instrText>
      </w:r>
      <w:r w:rsidRPr="005E5FA8">
        <w:fldChar w:fldCharType="separate"/>
      </w:r>
      <w:bookmarkStart w:id="9022" w:name="_Caption4698"/>
      <w:bookmarkStart w:id="9023" w:name="_Caption2026"/>
      <w:bookmarkStart w:id="9024" w:name="_Caption1183"/>
      <w:bookmarkStart w:id="9025" w:name="_Caption0244"/>
      <w:bookmarkStart w:id="9026" w:name="_Caption9758"/>
      <w:bookmarkStart w:id="9027" w:name="_Caption3579"/>
      <w:bookmarkStart w:id="9028" w:name="_Caption9839"/>
      <w:bookmarkStart w:id="9029" w:name="_Caption6605"/>
      <w:bookmarkStart w:id="9030" w:name="_Caption3329"/>
      <w:bookmarkStart w:id="9031" w:name="_Caption4566"/>
      <w:bookmarkStart w:id="9032" w:name="_Caption4244"/>
      <w:bookmarkStart w:id="9033" w:name="_Caption2785"/>
      <w:bookmarkStart w:id="9034" w:name="_Caption9415"/>
      <w:bookmarkStart w:id="9035" w:name="_Caption3944"/>
      <w:bookmarkStart w:id="9036" w:name="_Caption5212"/>
      <w:bookmarkStart w:id="9037" w:name="_Caption7522"/>
      <w:bookmarkStart w:id="9038" w:name="_Caption9231"/>
      <w:bookmarkStart w:id="9039" w:name="_Caption6755"/>
      <w:bookmarkStart w:id="9040" w:name="_Caption3430"/>
      <w:bookmarkStart w:id="9041" w:name="_Caption1698"/>
      <w:bookmarkStart w:id="9042" w:name="_Caption6872"/>
      <w:bookmarkStart w:id="9043" w:name="_Caption4924"/>
      <w:bookmarkStart w:id="9044" w:name="_Caption1663"/>
      <w:bookmarkStart w:id="9045" w:name="_Caption4964"/>
      <w:bookmarkStart w:id="9046" w:name="_Caption0914"/>
      <w:bookmarkStart w:id="9047" w:name="_Caption7044"/>
      <w:bookmarkStart w:id="9048" w:name="_Caption5035"/>
      <w:bookmarkStart w:id="9049" w:name="_Caption1911"/>
      <w:bookmarkStart w:id="9050" w:name="_Caption8825"/>
      <w:bookmarkStart w:id="9051" w:name="_Caption9097"/>
      <w:bookmarkStart w:id="9052" w:name="_Caption0993"/>
      <w:bookmarkStart w:id="9053" w:name="_Caption2436"/>
      <w:bookmarkStart w:id="9054" w:name="_Caption1153"/>
      <w:bookmarkStart w:id="9055" w:name="_Caption5088"/>
      <w:bookmarkStart w:id="9056" w:name="_Caption7780"/>
      <w:bookmarkStart w:id="9057" w:name="_Caption3354"/>
      <w:bookmarkStart w:id="9058" w:name="_Caption6189"/>
      <w:bookmarkStart w:id="9059" w:name="_Caption0186"/>
      <w:bookmarkStart w:id="9060" w:name="_Caption3158"/>
      <w:bookmarkStart w:id="9061" w:name="_Caption2645"/>
      <w:bookmarkStart w:id="9062" w:name="_Caption4991"/>
      <w:bookmarkStart w:id="9063" w:name="_Caption8859"/>
      <w:bookmarkStart w:id="9064" w:name="_Caption4669"/>
      <w:bookmarkStart w:id="9065" w:name="_Caption8574"/>
      <w:bookmarkStart w:id="9066" w:name="_Caption5594"/>
      <w:bookmarkStart w:id="9067" w:name="_Caption2074"/>
      <w:bookmarkStart w:id="9068" w:name="_Caption3392"/>
      <w:bookmarkStart w:id="9069" w:name="_Caption2203"/>
      <w:bookmarkStart w:id="9070" w:name="_Caption4043"/>
      <w:bookmarkStart w:id="9071" w:name="_Caption1820"/>
      <w:bookmarkStart w:id="9072" w:name="_Caption2671"/>
      <w:bookmarkStart w:id="9073" w:name="_Caption2335"/>
      <w:bookmarkStart w:id="9074" w:name="_Caption4255"/>
      <w:bookmarkStart w:id="9075" w:name="_Caption9027"/>
      <w:bookmarkStart w:id="9076" w:name="_Caption0738"/>
      <w:bookmarkStart w:id="9077" w:name="_Caption3624"/>
      <w:bookmarkStart w:id="9078" w:name="_Caption6945"/>
      <w:bookmarkStart w:id="9079" w:name="_Caption8844"/>
      <w:bookmarkStart w:id="9080" w:name="_Caption6672"/>
      <w:bookmarkStart w:id="9081" w:name="_Caption2773"/>
      <w:bookmarkStart w:id="9082" w:name="_Caption8060"/>
      <w:bookmarkStart w:id="9083" w:name="_Caption1637"/>
      <w:bookmarkStart w:id="9084" w:name="_Caption0950"/>
      <w:bookmarkStart w:id="9085" w:name="_Caption5151"/>
      <w:bookmarkStart w:id="9086" w:name="_Caption6495"/>
      <w:bookmarkStart w:id="9087" w:name="_Caption1478"/>
      <w:bookmarkStart w:id="9088" w:name="_Caption0145"/>
      <w:bookmarkStart w:id="9089" w:name="_Toc177735241"/>
      <w:bookmarkStart w:id="9090" w:name="_Toc178292683"/>
      <w:r w:rsidR="008C60A3">
        <w:rPr>
          <w:noProof/>
        </w:rPr>
        <w:t>G</w:t>
      </w:r>
      <w:r w:rsidR="008C60A3" w:rsidRPr="005E5FA8">
        <w:rPr>
          <w:noProof/>
        </w:rPr>
        <w:t>.</w:t>
      </w:r>
      <w:r w:rsidR="008C60A3">
        <w:rPr>
          <w:noProof/>
        </w:rPr>
        <w:t>3</w:t>
      </w:r>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r w:rsidRPr="005E5FA8">
        <w:fldChar w:fldCharType="end"/>
      </w:r>
      <w:r w:rsidRPr="005E5FA8">
        <w:tab/>
        <w:t>Energy savings by time of day — Stringency Level 1, large office in CZ5</w:t>
      </w:r>
      <w:bookmarkEnd w:id="9089"/>
      <w:bookmarkEnd w:id="9090"/>
    </w:p>
    <w:p w14:paraId="337E9BC4" w14:textId="77777777" w:rsidR="00D24C7F" w:rsidRPr="00401E3A" w:rsidRDefault="00D24C7F" w:rsidP="00D24C7F">
      <w:pPr>
        <w:pStyle w:val="Subtitlebox"/>
      </w:pPr>
      <w:r w:rsidRPr="00B2353E">
        <w:rPr>
          <w:noProof/>
        </w:rPr>
        <w:drawing>
          <wp:inline distT="0" distB="0" distL="0" distR="0" wp14:anchorId="7E0787E5" wp14:editId="0A510725">
            <wp:extent cx="4808220" cy="2457450"/>
            <wp:effectExtent l="76200" t="76200" r="68580" b="76200"/>
            <wp:docPr id="92738770" name="Picture 92738770" descr="Chart G.3 - Energy savings by time of day across an average week in each season — Stringency Level 1 for large office in CZ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38770" name="Picture 92738770" descr="Chart G.3 - Energy savings by time of day across an average week in each season — Stringency Level 1 for large office in CZ5"/>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r="4515"/>
                    <a:stretch/>
                  </pic:blipFill>
                  <pic:spPr bwMode="auto">
                    <a:xfrm>
                      <a:off x="0" y="0"/>
                      <a:ext cx="4808220" cy="245745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1B2A8A71" w14:textId="77777777" w:rsidR="00D24C7F" w:rsidRDefault="00D24C7F" w:rsidP="00D24C7F">
      <w:pPr>
        <w:pStyle w:val="Source"/>
      </w:pPr>
      <w:r>
        <w:rPr>
          <w:i/>
        </w:rPr>
        <w:t>Data source</w:t>
      </w:r>
      <w:r w:rsidRPr="00A67576">
        <w:rPr>
          <w:i/>
        </w:rPr>
        <w:t>:</w:t>
      </w:r>
      <w:r>
        <w:t xml:space="preserve"> DeltaQ modelling, CIE.</w:t>
      </w:r>
    </w:p>
    <w:p w14:paraId="4A0DDB87" w14:textId="24DE76A3" w:rsidR="00D24C7F" w:rsidRPr="005E5FA8" w:rsidRDefault="00D24C7F" w:rsidP="00CA0DBC">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G</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w:instrText>
      </w:r>
      <w:r w:rsidRPr="005E5FA8">
        <w:fldChar w:fldCharType="separate"/>
      </w:r>
      <w:r w:rsidRPr="005E5FA8">
        <w:instrText>Error! No text of specified style in document..</w:instrText>
      </w:r>
      <w:r w:rsidRPr="005E5FA8">
        <w:fldChar w:fldCharType="end"/>
      </w:r>
      <w:r w:rsidRPr="005E5FA8">
        <w:instrText>" "</w:instrText>
      </w:r>
      <w:fldSimple w:instr=" STYLEREF &quot;Heading 6&quot; \l \n ">
        <w:r w:rsidR="00581346">
          <w:rPr>
            <w:noProof/>
          </w:rPr>
          <w:instrText>G</w:instrText>
        </w:r>
      </w:fldSimple>
      <w:r w:rsidRPr="005E5FA8">
        <w:instrText xml:space="preserve">." </w:instrText>
      </w:r>
      <w:r w:rsidRPr="005E5FA8">
        <w:fldChar w:fldCharType="separate"/>
      </w:r>
      <w:r w:rsidR="00581346">
        <w:rPr>
          <w:noProof/>
        </w:rPr>
        <w:instrText>G</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G</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"1" </w:instrText>
      </w:r>
      <w:r w:rsidRPr="005E5FA8">
        <w:fldChar w:fldCharType="separate"/>
      </w:r>
      <w:r w:rsidRPr="005E5FA8">
        <w:instrText>1</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4</w:instrText>
      </w:r>
      <w:r w:rsidRPr="005E5FA8">
        <w:fldChar w:fldCharType="end"/>
      </w:r>
      <w:r w:rsidRPr="005E5FA8">
        <w:instrText xml:space="preserve">" "" </w:instrText>
      </w:r>
      <w:r w:rsidRPr="005E5FA8">
        <w:fldChar w:fldCharType="separate"/>
      </w:r>
      <w:bookmarkStart w:id="9091" w:name="_Caption7209"/>
      <w:bookmarkStart w:id="9092" w:name="_Caption9312"/>
      <w:bookmarkStart w:id="9093" w:name="_Caption8258"/>
      <w:bookmarkStart w:id="9094" w:name="_Caption8479"/>
      <w:bookmarkStart w:id="9095" w:name="_Caption0157"/>
      <w:bookmarkStart w:id="9096" w:name="_Caption4106"/>
      <w:bookmarkStart w:id="9097" w:name="_Caption0020"/>
      <w:bookmarkStart w:id="9098" w:name="_Caption2509"/>
      <w:bookmarkStart w:id="9099" w:name="_Caption0236"/>
      <w:bookmarkStart w:id="9100" w:name="_Caption3369"/>
      <w:bookmarkStart w:id="9101" w:name="_Caption8745"/>
      <w:bookmarkStart w:id="9102" w:name="_Caption6951"/>
      <w:bookmarkStart w:id="9103" w:name="_Caption0744"/>
      <w:bookmarkStart w:id="9104" w:name="_Caption3797"/>
      <w:bookmarkStart w:id="9105" w:name="_Caption7664"/>
      <w:bookmarkStart w:id="9106" w:name="_Caption5439"/>
      <w:bookmarkStart w:id="9107" w:name="_Caption3795"/>
      <w:bookmarkStart w:id="9108" w:name="_Caption8763"/>
      <w:bookmarkStart w:id="9109" w:name="_Caption3660"/>
      <w:bookmarkStart w:id="9110" w:name="_Caption2856"/>
      <w:bookmarkStart w:id="9111" w:name="_Caption1632"/>
      <w:bookmarkStart w:id="9112" w:name="_Caption2048"/>
      <w:bookmarkStart w:id="9113" w:name="_Caption3020"/>
      <w:bookmarkStart w:id="9114" w:name="_Caption3009"/>
      <w:bookmarkStart w:id="9115" w:name="_Caption2665"/>
      <w:bookmarkStart w:id="9116" w:name="_Caption5140"/>
      <w:bookmarkStart w:id="9117" w:name="_Caption0798"/>
      <w:bookmarkStart w:id="9118" w:name="_Caption4512"/>
      <w:bookmarkStart w:id="9119" w:name="_Caption9974"/>
      <w:bookmarkStart w:id="9120" w:name="_Caption8717"/>
      <w:bookmarkStart w:id="9121" w:name="_Caption0054"/>
      <w:bookmarkStart w:id="9122" w:name="_Caption3419"/>
      <w:bookmarkStart w:id="9123" w:name="_Caption3335"/>
      <w:bookmarkStart w:id="9124" w:name="_Caption3235"/>
      <w:bookmarkStart w:id="9125" w:name="_Caption1087"/>
      <w:bookmarkStart w:id="9126" w:name="_Caption2099"/>
      <w:bookmarkStart w:id="9127" w:name="_Caption0812"/>
      <w:bookmarkStart w:id="9128" w:name="_Caption9096"/>
      <w:bookmarkStart w:id="9129" w:name="_Caption4067"/>
      <w:bookmarkStart w:id="9130" w:name="_Caption6455"/>
      <w:bookmarkStart w:id="9131" w:name="_Caption4506"/>
      <w:bookmarkStart w:id="9132" w:name="_Caption2885"/>
      <w:bookmarkStart w:id="9133" w:name="_Caption0468"/>
      <w:bookmarkStart w:id="9134" w:name="_Caption9045"/>
      <w:bookmarkStart w:id="9135" w:name="_Caption3946"/>
      <w:bookmarkStart w:id="9136" w:name="_Caption1892"/>
      <w:bookmarkStart w:id="9137" w:name="_Caption9754"/>
      <w:bookmarkStart w:id="9138" w:name="_Caption2722"/>
      <w:bookmarkStart w:id="9139" w:name="_Caption9043"/>
      <w:bookmarkStart w:id="9140" w:name="_Caption9402"/>
      <w:bookmarkStart w:id="9141" w:name="_Caption9958"/>
      <w:bookmarkStart w:id="9142" w:name="_Caption1613"/>
      <w:bookmarkStart w:id="9143" w:name="_Caption4352"/>
      <w:bookmarkStart w:id="9144" w:name="_Caption7967"/>
      <w:bookmarkStart w:id="9145" w:name="_Caption9991"/>
      <w:bookmarkStart w:id="9146" w:name="_Caption5162"/>
      <w:bookmarkStart w:id="9147" w:name="_Caption3816"/>
      <w:bookmarkStart w:id="9148" w:name="_Caption1821"/>
      <w:bookmarkStart w:id="9149" w:name="_Caption9775"/>
      <w:bookmarkStart w:id="9150" w:name="_Caption7247"/>
      <w:bookmarkStart w:id="9151" w:name="_Caption6752"/>
      <w:bookmarkStart w:id="9152" w:name="_Caption3450"/>
      <w:bookmarkStart w:id="9153" w:name="_Caption8303"/>
      <w:bookmarkStart w:id="9154" w:name="_Toc177735242"/>
      <w:bookmarkStart w:id="9155" w:name="_Toc178292684"/>
      <w:r w:rsidR="008C60A3">
        <w:rPr>
          <w:noProof/>
        </w:rPr>
        <w:t>G</w:t>
      </w:r>
      <w:r w:rsidR="008C60A3" w:rsidRPr="005E5FA8">
        <w:rPr>
          <w:noProof/>
        </w:rPr>
        <w:t>.</w:t>
      </w:r>
      <w:r w:rsidR="008C60A3">
        <w:rPr>
          <w:noProof/>
        </w:rPr>
        <w:t>4</w:t>
      </w:r>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r w:rsidRPr="005E5FA8">
        <w:fldChar w:fldCharType="end"/>
      </w:r>
      <w:r w:rsidRPr="005E5FA8">
        <w:tab/>
        <w:t>Energy savings by time of day — Stringency Level 2, large office in CZ5</w:t>
      </w:r>
      <w:bookmarkEnd w:id="9154"/>
      <w:bookmarkEnd w:id="9155"/>
    </w:p>
    <w:p w14:paraId="10ABB904" w14:textId="77777777" w:rsidR="00D24C7F" w:rsidRPr="00401E3A" w:rsidRDefault="00D24C7F" w:rsidP="00D24C7F">
      <w:pPr>
        <w:pStyle w:val="Subtitlebox"/>
      </w:pPr>
      <w:r w:rsidRPr="007E51EE">
        <w:rPr>
          <w:noProof/>
        </w:rPr>
        <w:drawing>
          <wp:inline distT="0" distB="0" distL="0" distR="0" wp14:anchorId="398DC6FA" wp14:editId="69F880D1">
            <wp:extent cx="4808220" cy="2457450"/>
            <wp:effectExtent l="76200" t="76200" r="68580" b="76200"/>
            <wp:docPr id="43889724" name="Picture 43889724" descr="Chart G.4 - Energy savings by time of day across an average week in each season — Stringency Level 2 for large office in CZ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89724" name="Picture 43889724" descr="Chart G.4 - Energy savings by time of day across an average week in each season — Stringency Level 2 for large office in CZ5"/>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r="4515"/>
                    <a:stretch/>
                  </pic:blipFill>
                  <pic:spPr bwMode="auto">
                    <a:xfrm>
                      <a:off x="0" y="0"/>
                      <a:ext cx="4808220" cy="245745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26E5824E" w14:textId="77777777" w:rsidR="00D24C7F" w:rsidRDefault="00D24C7F" w:rsidP="00D24C7F">
      <w:pPr>
        <w:pStyle w:val="Source"/>
      </w:pPr>
      <w:r>
        <w:rPr>
          <w:i/>
        </w:rPr>
        <w:t>Data source</w:t>
      </w:r>
      <w:r w:rsidRPr="00A67576">
        <w:rPr>
          <w:i/>
        </w:rPr>
        <w:t>:</w:t>
      </w:r>
      <w:r>
        <w:t xml:space="preserve"> DeltaQ modelling, CIE.</w:t>
      </w:r>
    </w:p>
    <w:p w14:paraId="4DC4B87C" w14:textId="77777777" w:rsidR="00D24C7F" w:rsidRDefault="00D24C7F" w:rsidP="00D24C7F">
      <w:pPr>
        <w:pStyle w:val="Heading8"/>
      </w:pPr>
      <w:r>
        <w:t>Climate zone 6</w:t>
      </w:r>
    </w:p>
    <w:p w14:paraId="0EE65833" w14:textId="4408D53C" w:rsidR="00D24C7F" w:rsidRPr="005E5FA8" w:rsidRDefault="00D24C7F" w:rsidP="00CA0DBC">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G</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w:instrText>
      </w:r>
      <w:r w:rsidRPr="005E5FA8">
        <w:fldChar w:fldCharType="separate"/>
      </w:r>
      <w:r w:rsidRPr="005E5FA8">
        <w:instrText>Error! No text of specified style in document..</w:instrText>
      </w:r>
      <w:r w:rsidRPr="005E5FA8">
        <w:fldChar w:fldCharType="end"/>
      </w:r>
      <w:r w:rsidRPr="005E5FA8">
        <w:instrText>" "</w:instrText>
      </w:r>
      <w:fldSimple w:instr=" STYLEREF &quot;Heading 6&quot; \l \n ">
        <w:r w:rsidR="00581346">
          <w:rPr>
            <w:noProof/>
          </w:rPr>
          <w:instrText>G</w:instrText>
        </w:r>
      </w:fldSimple>
      <w:r w:rsidRPr="005E5FA8">
        <w:instrText xml:space="preserve">." </w:instrText>
      </w:r>
      <w:r w:rsidRPr="005E5FA8">
        <w:fldChar w:fldCharType="separate"/>
      </w:r>
      <w:r w:rsidR="00581346">
        <w:rPr>
          <w:noProof/>
        </w:rPr>
        <w:instrText>G</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G</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"1" </w:instrText>
      </w:r>
      <w:r w:rsidRPr="005E5FA8">
        <w:fldChar w:fldCharType="separate"/>
      </w:r>
      <w:r w:rsidRPr="005E5FA8">
        <w:instrText>1</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5</w:instrText>
      </w:r>
      <w:r w:rsidRPr="005E5FA8">
        <w:fldChar w:fldCharType="end"/>
      </w:r>
      <w:r w:rsidRPr="005E5FA8">
        <w:instrText xml:space="preserve">" "" </w:instrText>
      </w:r>
      <w:r w:rsidRPr="005E5FA8">
        <w:fldChar w:fldCharType="separate"/>
      </w:r>
      <w:bookmarkStart w:id="9156" w:name="_Caption7143"/>
      <w:bookmarkStart w:id="9157" w:name="_Caption4667"/>
      <w:bookmarkStart w:id="9158" w:name="_Caption0427"/>
      <w:bookmarkStart w:id="9159" w:name="_Caption6837"/>
      <w:bookmarkStart w:id="9160" w:name="_Caption5228"/>
      <w:bookmarkStart w:id="9161" w:name="_Caption2191"/>
      <w:bookmarkStart w:id="9162" w:name="_Caption2250"/>
      <w:bookmarkStart w:id="9163" w:name="_Caption3294"/>
      <w:bookmarkStart w:id="9164" w:name="_Caption5973"/>
      <w:bookmarkStart w:id="9165" w:name="_Caption7713"/>
      <w:bookmarkStart w:id="9166" w:name="_Caption7693"/>
      <w:bookmarkStart w:id="9167" w:name="_Caption8436"/>
      <w:bookmarkStart w:id="9168" w:name="_Caption7600"/>
      <w:bookmarkStart w:id="9169" w:name="_Caption1477"/>
      <w:bookmarkStart w:id="9170" w:name="_Caption4692"/>
      <w:bookmarkStart w:id="9171" w:name="_Caption5606"/>
      <w:bookmarkStart w:id="9172" w:name="_Caption8160"/>
      <w:bookmarkStart w:id="9173" w:name="_Caption4918"/>
      <w:bookmarkStart w:id="9174" w:name="_Caption5640"/>
      <w:bookmarkStart w:id="9175" w:name="_Caption9882"/>
      <w:bookmarkStart w:id="9176" w:name="_Caption6215"/>
      <w:bookmarkStart w:id="9177" w:name="_Caption6104"/>
      <w:bookmarkStart w:id="9178" w:name="_Caption6707"/>
      <w:bookmarkStart w:id="9179" w:name="_Caption1009"/>
      <w:bookmarkStart w:id="9180" w:name="_Caption0405"/>
      <w:bookmarkStart w:id="9181" w:name="_Caption1617"/>
      <w:bookmarkStart w:id="9182" w:name="_Caption1490"/>
      <w:bookmarkStart w:id="9183" w:name="_Caption4551"/>
      <w:bookmarkStart w:id="9184" w:name="_Caption5572"/>
      <w:bookmarkStart w:id="9185" w:name="_Caption0566"/>
      <w:bookmarkStart w:id="9186" w:name="_Caption4367"/>
      <w:bookmarkStart w:id="9187" w:name="_Caption0984"/>
      <w:bookmarkStart w:id="9188" w:name="_Caption4651"/>
      <w:bookmarkStart w:id="9189" w:name="_Caption5323"/>
      <w:bookmarkStart w:id="9190" w:name="_Caption2465"/>
      <w:bookmarkStart w:id="9191" w:name="_Caption6897"/>
      <w:bookmarkStart w:id="9192" w:name="_Caption8926"/>
      <w:bookmarkStart w:id="9193" w:name="_Caption9023"/>
      <w:bookmarkStart w:id="9194" w:name="_Caption7956"/>
      <w:bookmarkStart w:id="9195" w:name="_Caption0853"/>
      <w:bookmarkStart w:id="9196" w:name="_Caption8236"/>
      <w:bookmarkStart w:id="9197" w:name="_Caption7016"/>
      <w:bookmarkStart w:id="9198" w:name="_Caption2841"/>
      <w:bookmarkStart w:id="9199" w:name="_Caption7653"/>
      <w:bookmarkStart w:id="9200" w:name="_Caption9999"/>
      <w:bookmarkStart w:id="9201" w:name="_Caption6667"/>
      <w:bookmarkStart w:id="9202" w:name="_Caption5615"/>
      <w:bookmarkStart w:id="9203" w:name="_Caption6344"/>
      <w:bookmarkStart w:id="9204" w:name="_Caption7013"/>
      <w:bookmarkStart w:id="9205" w:name="_Caption5020"/>
      <w:bookmarkStart w:id="9206" w:name="_Caption8558"/>
      <w:bookmarkStart w:id="9207" w:name="_Caption5643"/>
      <w:bookmarkStart w:id="9208" w:name="_Caption1189"/>
      <w:bookmarkStart w:id="9209" w:name="_Caption6828"/>
      <w:bookmarkStart w:id="9210" w:name="_Caption8080"/>
      <w:bookmarkStart w:id="9211" w:name="_Caption2755"/>
      <w:bookmarkStart w:id="9212" w:name="_Caption0891"/>
      <w:bookmarkStart w:id="9213" w:name="_Caption3574"/>
      <w:bookmarkStart w:id="9214" w:name="_Caption4587"/>
      <w:bookmarkStart w:id="9215" w:name="_Caption0727"/>
      <w:bookmarkStart w:id="9216" w:name="_Caption7105"/>
      <w:bookmarkStart w:id="9217" w:name="_Caption6819"/>
      <w:bookmarkStart w:id="9218" w:name="_Caption6761"/>
      <w:bookmarkStart w:id="9219" w:name="_Caption3375"/>
      <w:bookmarkStart w:id="9220" w:name="_Toc177735243"/>
      <w:bookmarkStart w:id="9221" w:name="_Toc178292685"/>
      <w:r w:rsidR="008C60A3">
        <w:rPr>
          <w:noProof/>
        </w:rPr>
        <w:t>G</w:t>
      </w:r>
      <w:r w:rsidR="008C60A3" w:rsidRPr="005E5FA8">
        <w:rPr>
          <w:noProof/>
        </w:rPr>
        <w:t>.</w:t>
      </w:r>
      <w:r w:rsidR="008C60A3">
        <w:rPr>
          <w:noProof/>
        </w:rPr>
        <w:t>5</w:t>
      </w:r>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r w:rsidRPr="005E5FA8">
        <w:fldChar w:fldCharType="end"/>
      </w:r>
      <w:r w:rsidRPr="005E5FA8">
        <w:tab/>
        <w:t>Energy savings by time of day — Stringency Level 1, large office in CZ6</w:t>
      </w:r>
      <w:bookmarkEnd w:id="9220"/>
      <w:bookmarkEnd w:id="9221"/>
    </w:p>
    <w:p w14:paraId="35D24643" w14:textId="77777777" w:rsidR="00D24C7F" w:rsidRPr="00401E3A" w:rsidRDefault="00D24C7F" w:rsidP="00D24C7F">
      <w:pPr>
        <w:pStyle w:val="Subtitlebox"/>
      </w:pPr>
      <w:r w:rsidRPr="00D6285D">
        <w:rPr>
          <w:noProof/>
        </w:rPr>
        <w:drawing>
          <wp:inline distT="0" distB="0" distL="0" distR="0" wp14:anchorId="0AD7160C" wp14:editId="317516BB">
            <wp:extent cx="4815840" cy="2454910"/>
            <wp:effectExtent l="76200" t="76200" r="80010" b="78740"/>
            <wp:docPr id="1810603876" name="Picture 1810603876" descr="Chart G.5 - Energy savings by time of day across an average week in each season — Stringency Level 1 for large office in CZ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603876" name="Picture 1810603876" descr="Chart G.5 - Energy savings by time of day across an average week in each season — Stringency Level 1 for large office in CZ6"/>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r="4375"/>
                    <a:stretch/>
                  </pic:blipFill>
                  <pic:spPr bwMode="auto">
                    <a:xfrm>
                      <a:off x="0" y="0"/>
                      <a:ext cx="4815840" cy="245491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5EDE58D9" w14:textId="77777777" w:rsidR="00D24C7F" w:rsidRDefault="00D24C7F" w:rsidP="00D24C7F">
      <w:pPr>
        <w:pStyle w:val="Source"/>
      </w:pPr>
      <w:r>
        <w:rPr>
          <w:i/>
        </w:rPr>
        <w:t>Data source</w:t>
      </w:r>
      <w:r w:rsidRPr="00A67576">
        <w:rPr>
          <w:i/>
        </w:rPr>
        <w:t>:</w:t>
      </w:r>
      <w:r>
        <w:t xml:space="preserve"> DeltaQ modelling, CIE.</w:t>
      </w:r>
    </w:p>
    <w:p w14:paraId="130354E0" w14:textId="005370FF" w:rsidR="00D24C7F" w:rsidRPr="005E5FA8" w:rsidRDefault="00D24C7F" w:rsidP="00CA0DBC">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G</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w:instrText>
      </w:r>
      <w:r w:rsidRPr="005E5FA8">
        <w:fldChar w:fldCharType="separate"/>
      </w:r>
      <w:r w:rsidRPr="005E5FA8">
        <w:instrText>Error! No text of specified style in document..</w:instrText>
      </w:r>
      <w:r w:rsidRPr="005E5FA8">
        <w:fldChar w:fldCharType="end"/>
      </w:r>
      <w:r w:rsidRPr="005E5FA8">
        <w:instrText>" "</w:instrText>
      </w:r>
      <w:fldSimple w:instr=" STYLEREF &quot;Heading 6&quot; \l \n ">
        <w:r w:rsidR="00581346">
          <w:rPr>
            <w:noProof/>
          </w:rPr>
          <w:instrText>G</w:instrText>
        </w:r>
      </w:fldSimple>
      <w:r w:rsidRPr="005E5FA8">
        <w:instrText xml:space="preserve">." </w:instrText>
      </w:r>
      <w:r w:rsidRPr="005E5FA8">
        <w:fldChar w:fldCharType="separate"/>
      </w:r>
      <w:r w:rsidR="00581346">
        <w:rPr>
          <w:noProof/>
        </w:rPr>
        <w:instrText>G</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G</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"1" </w:instrText>
      </w:r>
      <w:r w:rsidRPr="005E5FA8">
        <w:fldChar w:fldCharType="separate"/>
      </w:r>
      <w:r w:rsidRPr="005E5FA8">
        <w:instrText>1</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6</w:instrText>
      </w:r>
      <w:r w:rsidRPr="005E5FA8">
        <w:fldChar w:fldCharType="end"/>
      </w:r>
      <w:r w:rsidRPr="005E5FA8">
        <w:instrText xml:space="preserve">" "" </w:instrText>
      </w:r>
      <w:r w:rsidRPr="005E5FA8">
        <w:fldChar w:fldCharType="separate"/>
      </w:r>
      <w:bookmarkStart w:id="9222" w:name="_Caption7884"/>
      <w:bookmarkStart w:id="9223" w:name="_Caption3363"/>
      <w:bookmarkStart w:id="9224" w:name="_Caption7776"/>
      <w:bookmarkStart w:id="9225" w:name="_Caption8331"/>
      <w:bookmarkStart w:id="9226" w:name="_Caption1203"/>
      <w:bookmarkStart w:id="9227" w:name="_Caption0452"/>
      <w:bookmarkStart w:id="9228" w:name="_Caption9447"/>
      <w:bookmarkStart w:id="9229" w:name="_Caption0820"/>
      <w:bookmarkStart w:id="9230" w:name="_Caption0897"/>
      <w:bookmarkStart w:id="9231" w:name="_Caption9549"/>
      <w:bookmarkStart w:id="9232" w:name="_Caption7352"/>
      <w:bookmarkStart w:id="9233" w:name="_Caption0363"/>
      <w:bookmarkStart w:id="9234" w:name="_Caption6443"/>
      <w:bookmarkStart w:id="9235" w:name="_Caption6130"/>
      <w:bookmarkStart w:id="9236" w:name="_Caption5744"/>
      <w:bookmarkStart w:id="9237" w:name="_Caption5758"/>
      <w:bookmarkStart w:id="9238" w:name="_Caption1708"/>
      <w:bookmarkStart w:id="9239" w:name="_Caption1966"/>
      <w:bookmarkStart w:id="9240" w:name="_Caption1023"/>
      <w:bookmarkStart w:id="9241" w:name="_Caption1690"/>
      <w:bookmarkStart w:id="9242" w:name="_Caption0093"/>
      <w:bookmarkStart w:id="9243" w:name="_Caption3148"/>
      <w:bookmarkStart w:id="9244" w:name="_Caption3860"/>
      <w:bookmarkStart w:id="9245" w:name="_Caption1138"/>
      <w:bookmarkStart w:id="9246" w:name="_Caption3542"/>
      <w:bookmarkStart w:id="9247" w:name="_Caption5627"/>
      <w:bookmarkStart w:id="9248" w:name="_Caption4999"/>
      <w:bookmarkStart w:id="9249" w:name="_Caption0365"/>
      <w:bookmarkStart w:id="9250" w:name="_Caption8721"/>
      <w:bookmarkStart w:id="9251" w:name="_Caption9254"/>
      <w:bookmarkStart w:id="9252" w:name="_Caption5750"/>
      <w:bookmarkStart w:id="9253" w:name="_Caption7272"/>
      <w:bookmarkStart w:id="9254" w:name="_Caption7711"/>
      <w:bookmarkStart w:id="9255" w:name="_Caption2472"/>
      <w:bookmarkStart w:id="9256" w:name="_Caption1210"/>
      <w:bookmarkStart w:id="9257" w:name="_Caption7775"/>
      <w:bookmarkStart w:id="9258" w:name="_Caption3950"/>
      <w:bookmarkStart w:id="9259" w:name="_Caption2435"/>
      <w:bookmarkStart w:id="9260" w:name="_Caption4129"/>
      <w:bookmarkStart w:id="9261" w:name="_Caption9611"/>
      <w:bookmarkStart w:id="9262" w:name="_Caption5516"/>
      <w:bookmarkStart w:id="9263" w:name="_Caption1214"/>
      <w:bookmarkStart w:id="9264" w:name="_Caption9359"/>
      <w:bookmarkStart w:id="9265" w:name="_Caption3965"/>
      <w:bookmarkStart w:id="9266" w:name="_Caption5502"/>
      <w:bookmarkStart w:id="9267" w:name="_Caption6081"/>
      <w:bookmarkStart w:id="9268" w:name="_Caption4851"/>
      <w:bookmarkStart w:id="9269" w:name="_Caption0590"/>
      <w:bookmarkStart w:id="9270" w:name="_Caption9797"/>
      <w:bookmarkStart w:id="9271" w:name="_Caption8698"/>
      <w:bookmarkStart w:id="9272" w:name="_Caption5511"/>
      <w:bookmarkStart w:id="9273" w:name="_Caption1689"/>
      <w:bookmarkStart w:id="9274" w:name="_Caption6267"/>
      <w:bookmarkStart w:id="9275" w:name="_Caption1706"/>
      <w:bookmarkStart w:id="9276" w:name="_Toc177735244"/>
      <w:bookmarkStart w:id="9277" w:name="_Toc178292686"/>
      <w:r w:rsidR="008C60A3">
        <w:rPr>
          <w:noProof/>
        </w:rPr>
        <w:t>G</w:t>
      </w:r>
      <w:r w:rsidR="008C60A3" w:rsidRPr="005E5FA8">
        <w:rPr>
          <w:noProof/>
        </w:rPr>
        <w:t>.</w:t>
      </w:r>
      <w:r w:rsidR="008C60A3">
        <w:rPr>
          <w:noProof/>
        </w:rPr>
        <w:t>6</w:t>
      </w:r>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r w:rsidRPr="005E5FA8">
        <w:fldChar w:fldCharType="end"/>
      </w:r>
      <w:r w:rsidRPr="005E5FA8">
        <w:tab/>
        <w:t>Energy savings by time of day — Stringency Level 2, large office in CZ6</w:t>
      </w:r>
      <w:bookmarkEnd w:id="9276"/>
      <w:bookmarkEnd w:id="9277"/>
    </w:p>
    <w:p w14:paraId="01DBD944" w14:textId="77777777" w:rsidR="00D24C7F" w:rsidRPr="00401E3A" w:rsidRDefault="00D24C7F" w:rsidP="00D24C7F">
      <w:pPr>
        <w:pStyle w:val="Subtitlebox"/>
      </w:pPr>
      <w:r w:rsidRPr="00D6285D">
        <w:rPr>
          <w:noProof/>
        </w:rPr>
        <w:drawing>
          <wp:inline distT="0" distB="0" distL="0" distR="0" wp14:anchorId="4D0A9C31" wp14:editId="2BA261FA">
            <wp:extent cx="4815840" cy="2454910"/>
            <wp:effectExtent l="76200" t="76200" r="80010" b="78740"/>
            <wp:docPr id="1416181169" name="Picture 1416181169" descr="Chart G.6 - Energy savings by time of day across an average week in each season — Stringency Level 2 for large office in CZ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181169" name="Picture 1416181169" descr="Chart G.6 - Energy savings by time of day across an average week in each season — Stringency Level 2 for large office in CZ6"/>
                    <pic:cNvPicPr>
                      <a:picLocks noChangeAspect="1" noChangeArrowheads="1"/>
                    </pic:cNvPicPr>
                  </pic:nvPicPr>
                  <pic:blipFill rotWithShape="1">
                    <a:blip r:embed="rId92" cstate="print">
                      <a:extLst>
                        <a:ext uri="{28A0092B-C50C-407E-A947-70E740481C1C}">
                          <a14:useLocalDpi xmlns:a14="http://schemas.microsoft.com/office/drawing/2010/main" val="0"/>
                        </a:ext>
                      </a:extLst>
                    </a:blip>
                    <a:srcRect r="4375"/>
                    <a:stretch/>
                  </pic:blipFill>
                  <pic:spPr bwMode="auto">
                    <a:xfrm>
                      <a:off x="0" y="0"/>
                      <a:ext cx="4815840" cy="245491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6A2AA88B" w14:textId="77777777" w:rsidR="00D24C7F" w:rsidRDefault="00D24C7F" w:rsidP="00D24C7F">
      <w:pPr>
        <w:pStyle w:val="Source"/>
      </w:pPr>
      <w:r>
        <w:rPr>
          <w:i/>
        </w:rPr>
        <w:t>Data source</w:t>
      </w:r>
      <w:r w:rsidRPr="00A67576">
        <w:rPr>
          <w:i/>
        </w:rPr>
        <w:t>:</w:t>
      </w:r>
      <w:r>
        <w:t xml:space="preserve"> DeltaQ modelling, CIE.</w:t>
      </w:r>
    </w:p>
    <w:p w14:paraId="0190C819" w14:textId="77777777" w:rsidR="00D24C7F" w:rsidRDefault="00D24C7F" w:rsidP="00D24C7F">
      <w:pPr>
        <w:pStyle w:val="Heading7"/>
      </w:pPr>
      <w:r>
        <w:t>Large hospital ward</w:t>
      </w:r>
    </w:p>
    <w:p w14:paraId="2A592B45" w14:textId="77777777" w:rsidR="00D24C7F" w:rsidRDefault="00D24C7F" w:rsidP="00D24C7F">
      <w:pPr>
        <w:pStyle w:val="BodyText"/>
      </w:pPr>
      <w:r>
        <w:t xml:space="preserve">Energy savings by time of day for the large hospital ward archetype (C9A) in each climate zone for Stringency </w:t>
      </w:r>
      <w:r>
        <w:rPr>
          <w:lang w:bidi="fa-IR"/>
        </w:rPr>
        <w:t xml:space="preserve">Level </w:t>
      </w:r>
      <w:r>
        <w:t xml:space="preserve">1 and Stringency </w:t>
      </w:r>
      <w:r>
        <w:rPr>
          <w:lang w:bidi="fa-IR"/>
        </w:rPr>
        <w:t xml:space="preserve">Level </w:t>
      </w:r>
      <w:r>
        <w:t>2 are shown in the charts below.</w:t>
      </w:r>
    </w:p>
    <w:p w14:paraId="39DDB4C9" w14:textId="77777777" w:rsidR="00D24C7F" w:rsidRDefault="00D24C7F" w:rsidP="00D24C7F">
      <w:pPr>
        <w:pStyle w:val="Heading8"/>
      </w:pPr>
      <w:r>
        <w:t>Climate zone 2</w:t>
      </w:r>
    </w:p>
    <w:p w14:paraId="096D4346" w14:textId="0361663E" w:rsidR="00D24C7F" w:rsidRPr="005E5FA8" w:rsidRDefault="00D24C7F" w:rsidP="00CA0DBC">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G</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w:instrText>
      </w:r>
      <w:r w:rsidRPr="005E5FA8">
        <w:fldChar w:fldCharType="separate"/>
      </w:r>
      <w:r w:rsidRPr="005E5FA8">
        <w:instrText>Error! No text of specified style in document..</w:instrText>
      </w:r>
      <w:r w:rsidRPr="005E5FA8">
        <w:fldChar w:fldCharType="end"/>
      </w:r>
      <w:r w:rsidRPr="005E5FA8">
        <w:instrText>" "</w:instrText>
      </w:r>
      <w:fldSimple w:instr=" STYLEREF &quot;Heading 6&quot; \l \n ">
        <w:r w:rsidR="00581346">
          <w:rPr>
            <w:noProof/>
          </w:rPr>
          <w:instrText>G</w:instrText>
        </w:r>
      </w:fldSimple>
      <w:r w:rsidRPr="005E5FA8">
        <w:instrText xml:space="preserve">." </w:instrText>
      </w:r>
      <w:r w:rsidRPr="005E5FA8">
        <w:fldChar w:fldCharType="separate"/>
      </w:r>
      <w:r w:rsidR="00581346">
        <w:rPr>
          <w:noProof/>
        </w:rPr>
        <w:instrText>G</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G</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"1" </w:instrText>
      </w:r>
      <w:r w:rsidRPr="005E5FA8">
        <w:fldChar w:fldCharType="separate"/>
      </w:r>
      <w:r w:rsidRPr="005E5FA8">
        <w:instrText>1</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7</w:instrText>
      </w:r>
      <w:r w:rsidRPr="005E5FA8">
        <w:fldChar w:fldCharType="end"/>
      </w:r>
      <w:r w:rsidRPr="005E5FA8">
        <w:instrText xml:space="preserve">" "" </w:instrText>
      </w:r>
      <w:r w:rsidRPr="005E5FA8">
        <w:fldChar w:fldCharType="separate"/>
      </w:r>
      <w:bookmarkStart w:id="9278" w:name="_Caption5457"/>
      <w:bookmarkStart w:id="9279" w:name="_Caption4534"/>
      <w:bookmarkStart w:id="9280" w:name="_Caption7919"/>
      <w:bookmarkStart w:id="9281" w:name="_Caption0548"/>
      <w:bookmarkStart w:id="9282" w:name="_Caption3306"/>
      <w:bookmarkStart w:id="9283" w:name="_Caption3170"/>
      <w:bookmarkStart w:id="9284" w:name="_Caption2975"/>
      <w:bookmarkStart w:id="9285" w:name="_Caption9943"/>
      <w:bookmarkStart w:id="9286" w:name="_Caption1700"/>
      <w:bookmarkStart w:id="9287" w:name="_Caption2866"/>
      <w:bookmarkStart w:id="9288" w:name="_Caption0149"/>
      <w:bookmarkStart w:id="9289" w:name="_Caption0841"/>
      <w:bookmarkStart w:id="9290" w:name="_Caption2012"/>
      <w:bookmarkStart w:id="9291" w:name="_Caption8424"/>
      <w:bookmarkStart w:id="9292" w:name="_Caption9702"/>
      <w:bookmarkStart w:id="9293" w:name="_Caption4479"/>
      <w:bookmarkStart w:id="9294" w:name="_Caption5851"/>
      <w:bookmarkStart w:id="9295" w:name="_Caption1284"/>
      <w:bookmarkStart w:id="9296" w:name="_Caption0673"/>
      <w:bookmarkStart w:id="9297" w:name="_Caption0683"/>
      <w:bookmarkStart w:id="9298" w:name="_Caption6719"/>
      <w:bookmarkStart w:id="9299" w:name="_Caption7496"/>
      <w:bookmarkStart w:id="9300" w:name="_Caption5834"/>
      <w:bookmarkStart w:id="9301" w:name="_Caption4108"/>
      <w:bookmarkStart w:id="9302" w:name="_Caption4841"/>
      <w:bookmarkStart w:id="9303" w:name="_Caption8018"/>
      <w:bookmarkStart w:id="9304" w:name="_Caption6051"/>
      <w:bookmarkStart w:id="9305" w:name="_Caption3933"/>
      <w:bookmarkStart w:id="9306" w:name="_Caption6823"/>
      <w:bookmarkStart w:id="9307" w:name="_Caption5117"/>
      <w:bookmarkStart w:id="9308" w:name="_Caption6256"/>
      <w:bookmarkStart w:id="9309" w:name="_Caption7289"/>
      <w:bookmarkStart w:id="9310" w:name="_Caption9638"/>
      <w:bookmarkStart w:id="9311" w:name="_Caption9561"/>
      <w:bookmarkStart w:id="9312" w:name="_Caption2738"/>
      <w:bookmarkStart w:id="9313" w:name="_Caption4643"/>
      <w:bookmarkStart w:id="9314" w:name="_Caption8878"/>
      <w:bookmarkStart w:id="9315" w:name="_Caption0639"/>
      <w:bookmarkStart w:id="9316" w:name="_Caption8766"/>
      <w:bookmarkStart w:id="9317" w:name="_Caption4167"/>
      <w:bookmarkStart w:id="9318" w:name="_Caption1720"/>
      <w:bookmarkStart w:id="9319" w:name="_Caption8092"/>
      <w:bookmarkStart w:id="9320" w:name="_Caption1943"/>
      <w:bookmarkStart w:id="9321" w:name="_Caption6108"/>
      <w:bookmarkStart w:id="9322" w:name="_Caption0078"/>
      <w:bookmarkStart w:id="9323" w:name="_Caption2815"/>
      <w:bookmarkStart w:id="9324" w:name="_Caption5790"/>
      <w:bookmarkStart w:id="9325" w:name="_Caption6396"/>
      <w:bookmarkStart w:id="9326" w:name="_Caption1487"/>
      <w:bookmarkStart w:id="9327" w:name="_Caption5079"/>
      <w:bookmarkStart w:id="9328" w:name="_Caption5503"/>
      <w:bookmarkStart w:id="9329" w:name="_Caption9539"/>
      <w:bookmarkStart w:id="9330" w:name="_Caption6406"/>
      <w:bookmarkStart w:id="9331" w:name="_Caption5969"/>
      <w:bookmarkStart w:id="9332" w:name="_Caption9474"/>
      <w:bookmarkStart w:id="9333" w:name="_Caption5565"/>
      <w:bookmarkStart w:id="9334" w:name="_Caption8324"/>
      <w:bookmarkStart w:id="9335" w:name="_Caption9268"/>
      <w:bookmarkStart w:id="9336" w:name="_Caption2867"/>
      <w:bookmarkStart w:id="9337" w:name="_Caption7898"/>
      <w:bookmarkStart w:id="9338" w:name="_Caption6821"/>
      <w:bookmarkStart w:id="9339" w:name="_Caption6978"/>
      <w:bookmarkStart w:id="9340" w:name="_Caption1669"/>
      <w:bookmarkStart w:id="9341" w:name="_Caption0064"/>
      <w:bookmarkStart w:id="9342" w:name="_Caption4695"/>
      <w:bookmarkStart w:id="9343" w:name="_Caption0286"/>
      <w:bookmarkStart w:id="9344" w:name="_Caption9743"/>
      <w:bookmarkStart w:id="9345" w:name="_Toc177735245"/>
      <w:bookmarkStart w:id="9346" w:name="_Toc178292687"/>
      <w:r w:rsidR="008C60A3">
        <w:rPr>
          <w:noProof/>
        </w:rPr>
        <w:t>G</w:t>
      </w:r>
      <w:r w:rsidR="008C60A3" w:rsidRPr="005E5FA8">
        <w:rPr>
          <w:noProof/>
        </w:rPr>
        <w:t>.</w:t>
      </w:r>
      <w:r w:rsidR="008C60A3">
        <w:rPr>
          <w:noProof/>
        </w:rPr>
        <w:t>7</w:t>
      </w:r>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r w:rsidRPr="005E5FA8">
        <w:fldChar w:fldCharType="end"/>
      </w:r>
      <w:r w:rsidRPr="005E5FA8">
        <w:tab/>
        <w:t>Energy savings by time of day — Stringency Level 1, large hospital ward in CZ2</w:t>
      </w:r>
      <w:bookmarkEnd w:id="9345"/>
      <w:bookmarkEnd w:id="9346"/>
    </w:p>
    <w:p w14:paraId="3FBA91B9" w14:textId="77777777" w:rsidR="00D24C7F" w:rsidRPr="00401E3A" w:rsidRDefault="00D24C7F" w:rsidP="00D24C7F">
      <w:pPr>
        <w:pStyle w:val="Subtitlebox"/>
      </w:pPr>
      <w:r w:rsidRPr="00367B01">
        <w:rPr>
          <w:noProof/>
        </w:rPr>
        <w:drawing>
          <wp:inline distT="0" distB="0" distL="0" distR="0" wp14:anchorId="27CBA80B" wp14:editId="781DAB23">
            <wp:extent cx="4846320" cy="2454910"/>
            <wp:effectExtent l="76200" t="76200" r="68580" b="78740"/>
            <wp:docPr id="71259560" name="Picture 71259560" descr="Chart G.7 - Energy savings by time of day across an average week in each season — Stringency Level 1 for large hospital ward in CZ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59560" name="Picture 71259560" descr="Chart G.7 - Energy savings by time of day across an average week in each season — Stringency Level 1 for large hospital ward in CZ2"/>
                    <pic:cNvPicPr>
                      <a:picLocks noChangeAspect="1" noChangeArrowheads="1"/>
                    </pic:cNvPicPr>
                  </pic:nvPicPr>
                  <pic:blipFill rotWithShape="1">
                    <a:blip r:embed="rId93" cstate="print">
                      <a:extLst>
                        <a:ext uri="{28A0092B-C50C-407E-A947-70E740481C1C}">
                          <a14:useLocalDpi xmlns:a14="http://schemas.microsoft.com/office/drawing/2010/main" val="0"/>
                        </a:ext>
                      </a:extLst>
                    </a:blip>
                    <a:srcRect r="3770"/>
                    <a:stretch/>
                  </pic:blipFill>
                  <pic:spPr bwMode="auto">
                    <a:xfrm>
                      <a:off x="0" y="0"/>
                      <a:ext cx="4846320" cy="245491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73753002" w14:textId="77777777" w:rsidR="00D24C7F" w:rsidRDefault="00D24C7F" w:rsidP="00D24C7F">
      <w:pPr>
        <w:pStyle w:val="Source"/>
      </w:pPr>
      <w:r>
        <w:rPr>
          <w:i/>
        </w:rPr>
        <w:t>Data source</w:t>
      </w:r>
      <w:r w:rsidRPr="00A67576">
        <w:rPr>
          <w:i/>
        </w:rPr>
        <w:t>:</w:t>
      </w:r>
      <w:r>
        <w:t xml:space="preserve"> DeltaQ modelling, CIE.</w:t>
      </w:r>
    </w:p>
    <w:p w14:paraId="71BFB9B4" w14:textId="12AC8313" w:rsidR="00D24C7F" w:rsidRPr="005E5FA8" w:rsidRDefault="00D24C7F" w:rsidP="00CA0DBC">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G</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w:instrText>
      </w:r>
      <w:r w:rsidRPr="005E5FA8">
        <w:fldChar w:fldCharType="separate"/>
      </w:r>
      <w:r w:rsidRPr="005E5FA8">
        <w:instrText>Error! No text of specified style in document..</w:instrText>
      </w:r>
      <w:r w:rsidRPr="005E5FA8">
        <w:fldChar w:fldCharType="end"/>
      </w:r>
      <w:r w:rsidRPr="005E5FA8">
        <w:instrText>" "</w:instrText>
      </w:r>
      <w:fldSimple w:instr=" STYLEREF &quot;Heading 6&quot; \l \n ">
        <w:r w:rsidR="00581346">
          <w:rPr>
            <w:noProof/>
          </w:rPr>
          <w:instrText>G</w:instrText>
        </w:r>
      </w:fldSimple>
      <w:r w:rsidRPr="005E5FA8">
        <w:instrText xml:space="preserve">." </w:instrText>
      </w:r>
      <w:r w:rsidRPr="005E5FA8">
        <w:fldChar w:fldCharType="separate"/>
      </w:r>
      <w:r w:rsidR="00581346">
        <w:rPr>
          <w:noProof/>
        </w:rPr>
        <w:instrText>G</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G</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"1" </w:instrText>
      </w:r>
      <w:r w:rsidRPr="005E5FA8">
        <w:fldChar w:fldCharType="separate"/>
      </w:r>
      <w:r w:rsidRPr="005E5FA8">
        <w:instrText>1</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8</w:instrText>
      </w:r>
      <w:r w:rsidRPr="005E5FA8">
        <w:fldChar w:fldCharType="end"/>
      </w:r>
      <w:r w:rsidRPr="005E5FA8">
        <w:instrText xml:space="preserve">" "" </w:instrText>
      </w:r>
      <w:r w:rsidRPr="005E5FA8">
        <w:fldChar w:fldCharType="separate"/>
      </w:r>
      <w:bookmarkStart w:id="9347" w:name="_Caption7082"/>
      <w:bookmarkStart w:id="9348" w:name="_Caption7311"/>
      <w:bookmarkStart w:id="9349" w:name="_Caption0828"/>
      <w:bookmarkStart w:id="9350" w:name="_Caption7685"/>
      <w:bookmarkStart w:id="9351" w:name="_Caption8083"/>
      <w:bookmarkStart w:id="9352" w:name="_Caption4600"/>
      <w:bookmarkStart w:id="9353" w:name="_Caption0558"/>
      <w:bookmarkStart w:id="9354" w:name="_Caption7249"/>
      <w:bookmarkStart w:id="9355" w:name="_Caption6822"/>
      <w:bookmarkStart w:id="9356" w:name="_Caption4742"/>
      <w:bookmarkStart w:id="9357" w:name="_Caption2799"/>
      <w:bookmarkStart w:id="9358" w:name="_Caption0817"/>
      <w:bookmarkStart w:id="9359" w:name="_Caption8430"/>
      <w:bookmarkStart w:id="9360" w:name="_Caption9062"/>
      <w:bookmarkStart w:id="9361" w:name="_Caption5703"/>
      <w:bookmarkStart w:id="9362" w:name="_Caption1391"/>
      <w:bookmarkStart w:id="9363" w:name="_Caption9671"/>
      <w:bookmarkStart w:id="9364" w:name="_Caption7545"/>
      <w:bookmarkStart w:id="9365" w:name="_Caption7945"/>
      <w:bookmarkStart w:id="9366" w:name="_Caption0223"/>
      <w:bookmarkStart w:id="9367" w:name="_Caption7680"/>
      <w:bookmarkStart w:id="9368" w:name="_Caption2221"/>
      <w:bookmarkStart w:id="9369" w:name="_Caption5587"/>
      <w:bookmarkStart w:id="9370" w:name="_Caption4548"/>
      <w:bookmarkStart w:id="9371" w:name="_Caption9475"/>
      <w:bookmarkStart w:id="9372" w:name="_Caption8211"/>
      <w:bookmarkStart w:id="9373" w:name="_Caption6953"/>
      <w:bookmarkStart w:id="9374" w:name="_Caption3539"/>
      <w:bookmarkStart w:id="9375" w:name="_Caption5477"/>
      <w:bookmarkStart w:id="9376" w:name="_Caption4914"/>
      <w:bookmarkStart w:id="9377" w:name="_Caption3911"/>
      <w:bookmarkStart w:id="9378" w:name="_Caption7369"/>
      <w:bookmarkStart w:id="9379" w:name="_Caption7104"/>
      <w:bookmarkStart w:id="9380" w:name="_Caption5425"/>
      <w:bookmarkStart w:id="9381" w:name="_Caption1136"/>
      <w:bookmarkStart w:id="9382" w:name="_Caption7273"/>
      <w:bookmarkStart w:id="9383" w:name="_Caption6929"/>
      <w:bookmarkStart w:id="9384" w:name="_Caption4959"/>
      <w:bookmarkStart w:id="9385" w:name="_Caption9192"/>
      <w:bookmarkStart w:id="9386" w:name="_Caption6303"/>
      <w:bookmarkStart w:id="9387" w:name="_Caption9300"/>
      <w:bookmarkStart w:id="9388" w:name="_Caption1400"/>
      <w:bookmarkStart w:id="9389" w:name="_Caption1165"/>
      <w:bookmarkStart w:id="9390" w:name="_Caption4715"/>
      <w:bookmarkStart w:id="9391" w:name="_Caption1535"/>
      <w:bookmarkStart w:id="9392" w:name="_Caption7568"/>
      <w:bookmarkStart w:id="9393" w:name="_Caption5974"/>
      <w:bookmarkStart w:id="9394" w:name="_Caption4519"/>
      <w:bookmarkStart w:id="9395" w:name="_Caption4269"/>
      <w:bookmarkStart w:id="9396" w:name="_Caption3339"/>
      <w:bookmarkStart w:id="9397" w:name="_Caption5476"/>
      <w:bookmarkStart w:id="9398" w:name="_Caption9244"/>
      <w:bookmarkStart w:id="9399" w:name="_Caption1771"/>
      <w:bookmarkStart w:id="9400" w:name="_Caption2717"/>
      <w:bookmarkStart w:id="9401" w:name="_Caption9821"/>
      <w:bookmarkStart w:id="9402" w:name="_Caption3996"/>
      <w:bookmarkStart w:id="9403" w:name="_Caption4360"/>
      <w:bookmarkStart w:id="9404" w:name="_Caption2800"/>
      <w:bookmarkStart w:id="9405" w:name="_Caption9502"/>
      <w:bookmarkStart w:id="9406" w:name="_Caption9724"/>
      <w:bookmarkStart w:id="9407" w:name="_Caption8202"/>
      <w:bookmarkStart w:id="9408" w:name="_Caption1974"/>
      <w:bookmarkStart w:id="9409" w:name="_Caption3751"/>
      <w:bookmarkStart w:id="9410" w:name="_Caption6350"/>
      <w:bookmarkStart w:id="9411" w:name="_Caption1594"/>
      <w:bookmarkStart w:id="9412" w:name="_Caption3487"/>
      <w:bookmarkStart w:id="9413" w:name="_Caption4156"/>
      <w:bookmarkStart w:id="9414" w:name="_Caption7880"/>
      <w:bookmarkStart w:id="9415" w:name="_Caption2172"/>
      <w:bookmarkStart w:id="9416" w:name="_Caption9555"/>
      <w:bookmarkStart w:id="9417" w:name="_Caption7872"/>
      <w:bookmarkStart w:id="9418" w:name="_Caption3550"/>
      <w:bookmarkStart w:id="9419" w:name="_Caption1322"/>
      <w:bookmarkStart w:id="9420" w:name="_Caption2212"/>
      <w:bookmarkStart w:id="9421" w:name="_Caption5347"/>
      <w:bookmarkStart w:id="9422" w:name="_Caption4035"/>
      <w:bookmarkStart w:id="9423" w:name="_Caption7139"/>
      <w:bookmarkStart w:id="9424" w:name="_Toc177735246"/>
      <w:bookmarkStart w:id="9425" w:name="_Toc178292688"/>
      <w:r w:rsidR="008C60A3">
        <w:rPr>
          <w:noProof/>
        </w:rPr>
        <w:t>G</w:t>
      </w:r>
      <w:r w:rsidR="008C60A3" w:rsidRPr="005E5FA8">
        <w:rPr>
          <w:noProof/>
        </w:rPr>
        <w:t>.</w:t>
      </w:r>
      <w:r w:rsidR="008C60A3">
        <w:rPr>
          <w:noProof/>
        </w:rPr>
        <w:t>8</w:t>
      </w:r>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r w:rsidRPr="005E5FA8">
        <w:fldChar w:fldCharType="end"/>
      </w:r>
      <w:r w:rsidRPr="005E5FA8">
        <w:tab/>
        <w:t>Energy savings by time of day — Stringency Level 2, large hospital ward in CZ2</w:t>
      </w:r>
      <w:bookmarkEnd w:id="9424"/>
      <w:bookmarkEnd w:id="9425"/>
    </w:p>
    <w:p w14:paraId="63442DB1" w14:textId="77777777" w:rsidR="00D24C7F" w:rsidRPr="00401E3A" w:rsidRDefault="00D24C7F" w:rsidP="00D24C7F">
      <w:pPr>
        <w:pStyle w:val="Subtitlebox"/>
      </w:pPr>
      <w:r w:rsidRPr="00367B01">
        <w:rPr>
          <w:noProof/>
        </w:rPr>
        <w:drawing>
          <wp:inline distT="0" distB="0" distL="0" distR="0" wp14:anchorId="0742B98A" wp14:editId="0C95E09F">
            <wp:extent cx="4815840" cy="2454910"/>
            <wp:effectExtent l="76200" t="76200" r="80010" b="78740"/>
            <wp:docPr id="627199575" name="Picture 627199575" descr="Chart G.8 - Energy savings by time of day across an average week in each season — Stringency Level 2 for large hospital ward in CZ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199575" name="Picture 627199575" descr="Chart G.8 - Energy savings by time of day across an average week in each season — Stringency Level 2 for large hospital ward in CZ2"/>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r="4375"/>
                    <a:stretch/>
                  </pic:blipFill>
                  <pic:spPr bwMode="auto">
                    <a:xfrm>
                      <a:off x="0" y="0"/>
                      <a:ext cx="4815840" cy="245491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4999D084" w14:textId="77777777" w:rsidR="00D24C7F" w:rsidRDefault="00D24C7F" w:rsidP="00D24C7F">
      <w:pPr>
        <w:pStyle w:val="Source"/>
      </w:pPr>
      <w:r>
        <w:rPr>
          <w:i/>
        </w:rPr>
        <w:t>Data source</w:t>
      </w:r>
      <w:r w:rsidRPr="00A67576">
        <w:rPr>
          <w:i/>
        </w:rPr>
        <w:t>:</w:t>
      </w:r>
      <w:r>
        <w:t xml:space="preserve"> DeltaQ modelling, CIE.</w:t>
      </w:r>
    </w:p>
    <w:p w14:paraId="2CE14367" w14:textId="77777777" w:rsidR="00D24C7F" w:rsidRDefault="00D24C7F" w:rsidP="00D24C7F">
      <w:pPr>
        <w:pStyle w:val="Heading8"/>
      </w:pPr>
      <w:r>
        <w:t>Climate zone 5</w:t>
      </w:r>
    </w:p>
    <w:p w14:paraId="58E38C06" w14:textId="4D2B6C54" w:rsidR="00D24C7F" w:rsidRPr="005E5FA8" w:rsidRDefault="00D24C7F" w:rsidP="00CA0DBC">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G</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w:instrText>
      </w:r>
      <w:r w:rsidRPr="005E5FA8">
        <w:fldChar w:fldCharType="separate"/>
      </w:r>
      <w:r w:rsidRPr="005E5FA8">
        <w:instrText>Error! No text of specified style in document..</w:instrText>
      </w:r>
      <w:r w:rsidRPr="005E5FA8">
        <w:fldChar w:fldCharType="end"/>
      </w:r>
      <w:r w:rsidRPr="005E5FA8">
        <w:instrText>" "</w:instrText>
      </w:r>
      <w:fldSimple w:instr=" STYLEREF &quot;Heading 6&quot; \l \n ">
        <w:r w:rsidR="00581346">
          <w:rPr>
            <w:noProof/>
          </w:rPr>
          <w:instrText>G</w:instrText>
        </w:r>
      </w:fldSimple>
      <w:r w:rsidRPr="005E5FA8">
        <w:instrText xml:space="preserve">." </w:instrText>
      </w:r>
      <w:r w:rsidRPr="005E5FA8">
        <w:fldChar w:fldCharType="separate"/>
      </w:r>
      <w:r w:rsidR="00581346">
        <w:rPr>
          <w:noProof/>
        </w:rPr>
        <w:instrText>G</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G</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"1" </w:instrText>
      </w:r>
      <w:r w:rsidRPr="005E5FA8">
        <w:fldChar w:fldCharType="separate"/>
      </w:r>
      <w:r w:rsidRPr="005E5FA8">
        <w:instrText>1</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9</w:instrText>
      </w:r>
      <w:r w:rsidRPr="005E5FA8">
        <w:fldChar w:fldCharType="end"/>
      </w:r>
      <w:r w:rsidRPr="005E5FA8">
        <w:instrText xml:space="preserve">" "" </w:instrText>
      </w:r>
      <w:r w:rsidRPr="005E5FA8">
        <w:fldChar w:fldCharType="separate"/>
      </w:r>
      <w:bookmarkStart w:id="9426" w:name="_Caption8496"/>
      <w:bookmarkStart w:id="9427" w:name="_Caption5362"/>
      <w:bookmarkStart w:id="9428" w:name="_Caption2470"/>
      <w:bookmarkStart w:id="9429" w:name="_Caption3478"/>
      <w:bookmarkStart w:id="9430" w:name="_Caption7377"/>
      <w:bookmarkStart w:id="9431" w:name="_Caption3801"/>
      <w:bookmarkStart w:id="9432" w:name="_Caption7947"/>
      <w:bookmarkStart w:id="9433" w:name="_Caption1161"/>
      <w:bookmarkStart w:id="9434" w:name="_Caption1264"/>
      <w:bookmarkStart w:id="9435" w:name="_Caption3124"/>
      <w:bookmarkStart w:id="9436" w:name="_Caption5688"/>
      <w:bookmarkStart w:id="9437" w:name="_Caption9376"/>
      <w:bookmarkStart w:id="9438" w:name="_Caption2459"/>
      <w:bookmarkStart w:id="9439" w:name="_Caption7201"/>
      <w:bookmarkStart w:id="9440" w:name="_Caption7868"/>
      <w:bookmarkStart w:id="9441" w:name="_Caption7867"/>
      <w:bookmarkStart w:id="9442" w:name="_Caption0041"/>
      <w:bookmarkStart w:id="9443" w:name="_Caption1204"/>
      <w:bookmarkStart w:id="9444" w:name="_Caption1655"/>
      <w:bookmarkStart w:id="9445" w:name="_Caption8793"/>
      <w:bookmarkStart w:id="9446" w:name="_Caption9790"/>
      <w:bookmarkStart w:id="9447" w:name="_Caption8254"/>
      <w:bookmarkStart w:id="9448" w:name="_Caption0047"/>
      <w:bookmarkStart w:id="9449" w:name="_Caption5645"/>
      <w:bookmarkStart w:id="9450" w:name="_Caption7487"/>
      <w:bookmarkStart w:id="9451" w:name="_Caption7625"/>
      <w:bookmarkStart w:id="9452" w:name="_Caption7783"/>
      <w:bookmarkStart w:id="9453" w:name="_Caption4062"/>
      <w:bookmarkStart w:id="9454" w:name="_Caption5940"/>
      <w:bookmarkStart w:id="9455" w:name="_Caption2434"/>
      <w:bookmarkStart w:id="9456" w:name="_Caption2217"/>
      <w:bookmarkStart w:id="9457" w:name="_Caption3379"/>
      <w:bookmarkStart w:id="9458" w:name="_Caption2766"/>
      <w:bookmarkStart w:id="9459" w:name="_Caption3000"/>
      <w:bookmarkStart w:id="9460" w:name="_Caption3160"/>
      <w:bookmarkStart w:id="9461" w:name="_Caption4987"/>
      <w:bookmarkStart w:id="9462" w:name="_Caption9901"/>
      <w:bookmarkStart w:id="9463" w:name="_Caption6467"/>
      <w:bookmarkStart w:id="9464" w:name="_Caption4476"/>
      <w:bookmarkStart w:id="9465" w:name="_Caption3126"/>
      <w:bookmarkStart w:id="9466" w:name="_Caption8224"/>
      <w:bookmarkStart w:id="9467" w:name="_Caption3199"/>
      <w:bookmarkStart w:id="9468" w:name="_Caption4009"/>
      <w:bookmarkStart w:id="9469" w:name="_Caption0402"/>
      <w:bookmarkStart w:id="9470" w:name="_Caption7504"/>
      <w:bookmarkStart w:id="9471" w:name="_Caption7033"/>
      <w:bookmarkStart w:id="9472" w:name="_Caption2782"/>
      <w:bookmarkStart w:id="9473" w:name="_Caption0977"/>
      <w:bookmarkStart w:id="9474" w:name="_Caption2023"/>
      <w:bookmarkStart w:id="9475" w:name="_Caption2518"/>
      <w:bookmarkStart w:id="9476" w:name="_Caption8127"/>
      <w:bookmarkStart w:id="9477" w:name="_Caption8385"/>
      <w:bookmarkStart w:id="9478" w:name="_Caption5138"/>
      <w:bookmarkStart w:id="9479" w:name="_Caption7866"/>
      <w:bookmarkStart w:id="9480" w:name="_Caption4358"/>
      <w:bookmarkStart w:id="9481" w:name="_Caption7058"/>
      <w:bookmarkStart w:id="9482" w:name="_Caption8117"/>
      <w:bookmarkStart w:id="9483" w:name="_Caption1627"/>
      <w:bookmarkStart w:id="9484" w:name="_Caption5015"/>
      <w:bookmarkStart w:id="9485" w:name="_Caption1792"/>
      <w:bookmarkStart w:id="9486" w:name="_Caption6230"/>
      <w:bookmarkStart w:id="9487" w:name="_Toc177735247"/>
      <w:bookmarkStart w:id="9488" w:name="_Toc178292689"/>
      <w:r w:rsidR="008C60A3">
        <w:rPr>
          <w:noProof/>
        </w:rPr>
        <w:t>G</w:t>
      </w:r>
      <w:r w:rsidR="008C60A3" w:rsidRPr="005E5FA8">
        <w:rPr>
          <w:noProof/>
        </w:rPr>
        <w:t>.</w:t>
      </w:r>
      <w:r w:rsidR="008C60A3">
        <w:rPr>
          <w:noProof/>
        </w:rPr>
        <w:t>9</w:t>
      </w:r>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r w:rsidRPr="005E5FA8">
        <w:fldChar w:fldCharType="end"/>
      </w:r>
      <w:r w:rsidRPr="005E5FA8">
        <w:tab/>
        <w:t>Energy savings by time of day — Stringency Level 1, large hospital ward in CZ5</w:t>
      </w:r>
      <w:bookmarkEnd w:id="9487"/>
      <w:bookmarkEnd w:id="9488"/>
    </w:p>
    <w:p w14:paraId="2C7FB891" w14:textId="77777777" w:rsidR="00D24C7F" w:rsidRPr="00401E3A" w:rsidRDefault="00D24C7F" w:rsidP="00D24C7F">
      <w:pPr>
        <w:pStyle w:val="Subtitlebox"/>
      </w:pPr>
      <w:r w:rsidRPr="00B70A34">
        <w:rPr>
          <w:noProof/>
        </w:rPr>
        <w:drawing>
          <wp:inline distT="0" distB="0" distL="0" distR="0" wp14:anchorId="68F02157" wp14:editId="65D91614">
            <wp:extent cx="4823460" cy="2460625"/>
            <wp:effectExtent l="76200" t="76200" r="72390" b="73025"/>
            <wp:docPr id="1192201187" name="Picture 1192201187" descr="Chart G.9 - Energy savings by time of day across an average week in each season — Stringency Level 1 for large hospital ward in CZ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201187" name="Picture 1192201187" descr="Chart G.9 - Energy savings by time of day across an average week in each season — Stringency Level 1 for large hospital ward in CZ5"/>
                    <pic:cNvPicPr>
                      <a:picLocks noChangeAspect="1" noChangeArrowheads="1"/>
                    </pic:cNvPicPr>
                  </pic:nvPicPr>
                  <pic:blipFill rotWithShape="1">
                    <a:blip r:embed="rId95" cstate="print">
                      <a:extLst>
                        <a:ext uri="{28A0092B-C50C-407E-A947-70E740481C1C}">
                          <a14:useLocalDpi xmlns:a14="http://schemas.microsoft.com/office/drawing/2010/main" val="0"/>
                        </a:ext>
                      </a:extLst>
                    </a:blip>
                    <a:srcRect r="4308"/>
                    <a:stretch/>
                  </pic:blipFill>
                  <pic:spPr bwMode="auto">
                    <a:xfrm>
                      <a:off x="0" y="0"/>
                      <a:ext cx="4823460" cy="2460625"/>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3AD86C37" w14:textId="77777777" w:rsidR="00D24C7F" w:rsidRDefault="00D24C7F" w:rsidP="00D24C7F">
      <w:pPr>
        <w:pStyle w:val="Source"/>
      </w:pPr>
      <w:r>
        <w:rPr>
          <w:i/>
        </w:rPr>
        <w:t>Data source</w:t>
      </w:r>
      <w:r w:rsidRPr="00A67576">
        <w:rPr>
          <w:i/>
        </w:rPr>
        <w:t>:</w:t>
      </w:r>
      <w:r>
        <w:t xml:space="preserve"> DeltaQ modelling, CIE.</w:t>
      </w:r>
    </w:p>
    <w:p w14:paraId="1BBC5625" w14:textId="14A3160E" w:rsidR="00D24C7F" w:rsidRPr="005E5FA8" w:rsidRDefault="00D24C7F" w:rsidP="00CA0DBC">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G</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w:instrText>
      </w:r>
      <w:r w:rsidRPr="005E5FA8">
        <w:fldChar w:fldCharType="separate"/>
      </w:r>
      <w:r w:rsidRPr="005E5FA8">
        <w:instrText>Error! No text of specified style in document..</w:instrText>
      </w:r>
      <w:r w:rsidRPr="005E5FA8">
        <w:fldChar w:fldCharType="end"/>
      </w:r>
      <w:r w:rsidRPr="005E5FA8">
        <w:instrText>" "</w:instrText>
      </w:r>
      <w:fldSimple w:instr=" STYLEREF &quot;Heading 6&quot; \l \n ">
        <w:r w:rsidR="00581346">
          <w:rPr>
            <w:noProof/>
          </w:rPr>
          <w:instrText>G</w:instrText>
        </w:r>
      </w:fldSimple>
      <w:r w:rsidRPr="005E5FA8">
        <w:instrText xml:space="preserve">." </w:instrText>
      </w:r>
      <w:r w:rsidRPr="005E5FA8">
        <w:fldChar w:fldCharType="separate"/>
      </w:r>
      <w:r w:rsidR="00581346">
        <w:rPr>
          <w:noProof/>
        </w:rPr>
        <w:instrText>G</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G</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"1" </w:instrText>
      </w:r>
      <w:r w:rsidRPr="005E5FA8">
        <w:fldChar w:fldCharType="separate"/>
      </w:r>
      <w:r w:rsidRPr="005E5FA8">
        <w:instrText>1</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10</w:instrText>
      </w:r>
      <w:r w:rsidRPr="005E5FA8">
        <w:fldChar w:fldCharType="end"/>
      </w:r>
      <w:r w:rsidRPr="005E5FA8">
        <w:instrText xml:space="preserve">" "" </w:instrText>
      </w:r>
      <w:r w:rsidRPr="005E5FA8">
        <w:fldChar w:fldCharType="separate"/>
      </w:r>
      <w:bookmarkStart w:id="9489" w:name="_Caption1276"/>
      <w:bookmarkStart w:id="9490" w:name="_Caption3878"/>
      <w:bookmarkStart w:id="9491" w:name="_Caption8132"/>
      <w:bookmarkStart w:id="9492" w:name="_Caption7547"/>
      <w:bookmarkStart w:id="9493" w:name="_Caption6550"/>
      <w:bookmarkStart w:id="9494" w:name="_Caption4028"/>
      <w:bookmarkStart w:id="9495" w:name="_Caption5497"/>
      <w:bookmarkStart w:id="9496" w:name="_Caption6731"/>
      <w:bookmarkStart w:id="9497" w:name="_Caption4748"/>
      <w:bookmarkStart w:id="9498" w:name="_Caption6335"/>
      <w:bookmarkStart w:id="9499" w:name="_Caption6772"/>
      <w:bookmarkStart w:id="9500" w:name="_Caption8295"/>
      <w:bookmarkStart w:id="9501" w:name="_Caption2499"/>
      <w:bookmarkStart w:id="9502" w:name="_Caption1442"/>
      <w:bookmarkStart w:id="9503" w:name="_Caption9757"/>
      <w:bookmarkStart w:id="9504" w:name="_Caption1480"/>
      <w:bookmarkStart w:id="9505" w:name="_Caption8944"/>
      <w:bookmarkStart w:id="9506" w:name="_Caption1143"/>
      <w:bookmarkStart w:id="9507" w:name="_Caption9083"/>
      <w:bookmarkStart w:id="9508" w:name="_Caption1208"/>
      <w:bookmarkStart w:id="9509" w:name="_Caption0562"/>
      <w:bookmarkStart w:id="9510" w:name="_Caption4172"/>
      <w:bookmarkStart w:id="9511" w:name="_Caption0200"/>
      <w:bookmarkStart w:id="9512" w:name="_Caption5610"/>
      <w:bookmarkStart w:id="9513" w:name="_Caption0387"/>
      <w:bookmarkStart w:id="9514" w:name="_Caption3167"/>
      <w:bookmarkStart w:id="9515" w:name="_Caption9708"/>
      <w:bookmarkStart w:id="9516" w:name="_Caption5742"/>
      <w:bookmarkStart w:id="9517" w:name="_Caption1641"/>
      <w:bookmarkStart w:id="9518" w:name="_Caption6609"/>
      <w:bookmarkStart w:id="9519" w:name="_Caption4493"/>
      <w:bookmarkStart w:id="9520" w:name="_Caption4616"/>
      <w:bookmarkStart w:id="9521" w:name="_Caption3555"/>
      <w:bookmarkStart w:id="9522" w:name="_Caption3223"/>
      <w:bookmarkStart w:id="9523" w:name="_Caption7313"/>
      <w:bookmarkStart w:id="9524" w:name="_Caption6111"/>
      <w:bookmarkStart w:id="9525" w:name="_Caption6147"/>
      <w:bookmarkStart w:id="9526" w:name="_Caption4835"/>
      <w:bookmarkStart w:id="9527" w:name="_Caption8492"/>
      <w:bookmarkStart w:id="9528" w:name="_Caption8360"/>
      <w:bookmarkStart w:id="9529" w:name="_Caption6629"/>
      <w:bookmarkStart w:id="9530" w:name="_Caption2254"/>
      <w:bookmarkStart w:id="9531" w:name="_Caption0509"/>
      <w:bookmarkStart w:id="9532" w:name="_Caption4852"/>
      <w:bookmarkStart w:id="9533" w:name="_Caption4563"/>
      <w:bookmarkStart w:id="9534" w:name="_Caption7083"/>
      <w:bookmarkStart w:id="9535" w:name="_Caption5431"/>
      <w:bookmarkStart w:id="9536" w:name="_Caption5383"/>
      <w:bookmarkStart w:id="9537" w:name="_Caption8551"/>
      <w:bookmarkStart w:id="9538" w:name="_Caption5671"/>
      <w:bookmarkStart w:id="9539" w:name="_Caption1730"/>
      <w:bookmarkStart w:id="9540" w:name="_Caption1869"/>
      <w:bookmarkStart w:id="9541" w:name="_Caption1399"/>
      <w:bookmarkStart w:id="9542" w:name="_Caption0944"/>
      <w:bookmarkStart w:id="9543" w:name="_Caption8563"/>
      <w:bookmarkStart w:id="9544" w:name="_Caption2359"/>
      <w:bookmarkStart w:id="9545" w:name="_Caption9742"/>
      <w:bookmarkStart w:id="9546" w:name="_Caption2104"/>
      <w:bookmarkStart w:id="9547" w:name="_Caption3565"/>
      <w:bookmarkStart w:id="9548" w:name="_Caption7704"/>
      <w:bookmarkStart w:id="9549" w:name="_Caption7208"/>
      <w:bookmarkStart w:id="9550" w:name="_Caption4521"/>
      <w:bookmarkStart w:id="9551" w:name="_Caption8655"/>
      <w:bookmarkStart w:id="9552" w:name="_Caption3586"/>
      <w:bookmarkStart w:id="9553" w:name="_Caption0314"/>
      <w:bookmarkStart w:id="9554" w:name="_Caption1957"/>
      <w:bookmarkStart w:id="9555" w:name="_Toc177735248"/>
      <w:bookmarkStart w:id="9556" w:name="_Toc178292690"/>
      <w:r w:rsidR="008C60A3">
        <w:rPr>
          <w:noProof/>
        </w:rPr>
        <w:t>G</w:t>
      </w:r>
      <w:r w:rsidR="008C60A3" w:rsidRPr="005E5FA8">
        <w:rPr>
          <w:noProof/>
        </w:rPr>
        <w:t>.</w:t>
      </w:r>
      <w:r w:rsidR="008C60A3">
        <w:rPr>
          <w:noProof/>
        </w:rPr>
        <w:t>10</w:t>
      </w:r>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r w:rsidRPr="005E5FA8">
        <w:fldChar w:fldCharType="end"/>
      </w:r>
      <w:r w:rsidRPr="005E5FA8">
        <w:tab/>
        <w:t>Energy savings by time of day — Stringency Level 2, large hospital ward in CZ5</w:t>
      </w:r>
      <w:bookmarkEnd w:id="9555"/>
      <w:bookmarkEnd w:id="9556"/>
    </w:p>
    <w:p w14:paraId="23418CF4" w14:textId="77777777" w:rsidR="00D24C7F" w:rsidRPr="00401E3A" w:rsidRDefault="00D24C7F" w:rsidP="00D24C7F">
      <w:pPr>
        <w:pStyle w:val="Subtitlebox"/>
      </w:pPr>
      <w:r w:rsidRPr="000D7507">
        <w:rPr>
          <w:noProof/>
        </w:rPr>
        <w:drawing>
          <wp:inline distT="0" distB="0" distL="0" distR="0" wp14:anchorId="1A26642C" wp14:editId="13CD35C8">
            <wp:extent cx="4823460" cy="2454910"/>
            <wp:effectExtent l="76200" t="76200" r="72390" b="78740"/>
            <wp:docPr id="189396739" name="Picture 189396739" descr="Chart G.10 - Energy savings by time of day across an average week in each season — Stringency Level 2 for large hospital ward in CZ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96739" name="Picture 189396739" descr="Chart G.10 - Energy savings by time of day across an average week in each season — Stringency Level 2 for large hospital ward in CZ5"/>
                    <pic:cNvPicPr>
                      <a:picLocks noChangeAspect="1" noChangeArrowheads="1"/>
                    </pic:cNvPicPr>
                  </pic:nvPicPr>
                  <pic:blipFill rotWithShape="1">
                    <a:blip r:embed="rId96" cstate="print">
                      <a:extLst>
                        <a:ext uri="{28A0092B-C50C-407E-A947-70E740481C1C}">
                          <a14:useLocalDpi xmlns:a14="http://schemas.microsoft.com/office/drawing/2010/main" val="0"/>
                        </a:ext>
                      </a:extLst>
                    </a:blip>
                    <a:srcRect r="4224"/>
                    <a:stretch/>
                  </pic:blipFill>
                  <pic:spPr bwMode="auto">
                    <a:xfrm>
                      <a:off x="0" y="0"/>
                      <a:ext cx="4823460" cy="245491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24C9395F" w14:textId="77777777" w:rsidR="00D24C7F" w:rsidRDefault="00D24C7F" w:rsidP="00D24C7F">
      <w:pPr>
        <w:pStyle w:val="Source"/>
      </w:pPr>
      <w:r>
        <w:rPr>
          <w:i/>
        </w:rPr>
        <w:t>Data source</w:t>
      </w:r>
      <w:r w:rsidRPr="00A67576">
        <w:rPr>
          <w:i/>
        </w:rPr>
        <w:t>:</w:t>
      </w:r>
      <w:r>
        <w:t xml:space="preserve"> DeltaQ modelling, CIE.</w:t>
      </w:r>
    </w:p>
    <w:p w14:paraId="56AAA4FD" w14:textId="77777777" w:rsidR="00D24C7F" w:rsidRDefault="00D24C7F" w:rsidP="00D24C7F">
      <w:pPr>
        <w:pStyle w:val="Heading8"/>
      </w:pPr>
      <w:r>
        <w:t>Climate zone 6</w:t>
      </w:r>
    </w:p>
    <w:p w14:paraId="6B884F94" w14:textId="14DFC22A" w:rsidR="00D24C7F" w:rsidRPr="005E5FA8" w:rsidRDefault="00D24C7F" w:rsidP="00CA0DBC">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G</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w:instrText>
      </w:r>
      <w:r w:rsidRPr="005E5FA8">
        <w:fldChar w:fldCharType="separate"/>
      </w:r>
      <w:r w:rsidRPr="005E5FA8">
        <w:instrText>Error! No text of specified style in document..</w:instrText>
      </w:r>
      <w:r w:rsidRPr="005E5FA8">
        <w:fldChar w:fldCharType="end"/>
      </w:r>
      <w:r w:rsidRPr="005E5FA8">
        <w:instrText>" "</w:instrText>
      </w:r>
      <w:fldSimple w:instr=" STYLEREF &quot;Heading 6&quot; \l \n ">
        <w:r w:rsidR="00581346">
          <w:rPr>
            <w:noProof/>
          </w:rPr>
          <w:instrText>G</w:instrText>
        </w:r>
      </w:fldSimple>
      <w:r w:rsidRPr="005E5FA8">
        <w:instrText xml:space="preserve">." </w:instrText>
      </w:r>
      <w:r w:rsidRPr="005E5FA8">
        <w:fldChar w:fldCharType="separate"/>
      </w:r>
      <w:r w:rsidR="00581346">
        <w:rPr>
          <w:noProof/>
        </w:rPr>
        <w:instrText>G</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G</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"1" </w:instrText>
      </w:r>
      <w:r w:rsidRPr="005E5FA8">
        <w:fldChar w:fldCharType="separate"/>
      </w:r>
      <w:r w:rsidRPr="005E5FA8">
        <w:instrText>1</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11</w:instrText>
      </w:r>
      <w:r w:rsidRPr="005E5FA8">
        <w:fldChar w:fldCharType="end"/>
      </w:r>
      <w:r w:rsidRPr="005E5FA8">
        <w:instrText xml:space="preserve">" "" </w:instrText>
      </w:r>
      <w:r w:rsidRPr="005E5FA8">
        <w:fldChar w:fldCharType="separate"/>
      </w:r>
      <w:bookmarkStart w:id="9557" w:name="_Caption9979"/>
      <w:bookmarkStart w:id="9558" w:name="_Caption2422"/>
      <w:bookmarkStart w:id="9559" w:name="_Caption3649"/>
      <w:bookmarkStart w:id="9560" w:name="_Caption7756"/>
      <w:bookmarkStart w:id="9561" w:name="_Caption2316"/>
      <w:bookmarkStart w:id="9562" w:name="_Caption4243"/>
      <w:bookmarkStart w:id="9563" w:name="_Caption4374"/>
      <w:bookmarkStart w:id="9564" w:name="_Caption9479"/>
      <w:bookmarkStart w:id="9565" w:name="_Caption5991"/>
      <w:bookmarkStart w:id="9566" w:name="_Caption0451"/>
      <w:bookmarkStart w:id="9567" w:name="_Caption5012"/>
      <w:bookmarkStart w:id="9568" w:name="_Caption5049"/>
      <w:bookmarkStart w:id="9569" w:name="_Caption8638"/>
      <w:bookmarkStart w:id="9570" w:name="_Caption1456"/>
      <w:bookmarkStart w:id="9571" w:name="_Caption8521"/>
      <w:bookmarkStart w:id="9572" w:name="_Caption1742"/>
      <w:bookmarkStart w:id="9573" w:name="_Caption2056"/>
      <w:bookmarkStart w:id="9574" w:name="_Caption0539"/>
      <w:bookmarkStart w:id="9575" w:name="_Caption1578"/>
      <w:bookmarkStart w:id="9576" w:name="_Caption0227"/>
      <w:bookmarkStart w:id="9577" w:name="_Caption4859"/>
      <w:bookmarkStart w:id="9578" w:name="_Caption6726"/>
      <w:bookmarkStart w:id="9579" w:name="_Caption9847"/>
      <w:bookmarkStart w:id="9580" w:name="_Caption0211"/>
      <w:bookmarkStart w:id="9581" w:name="_Caption3729"/>
      <w:bookmarkStart w:id="9582" w:name="_Caption3313"/>
      <w:bookmarkStart w:id="9583" w:name="_Caption6485"/>
      <w:bookmarkStart w:id="9584" w:name="_Caption8249"/>
      <w:bookmarkStart w:id="9585" w:name="_Caption0734"/>
      <w:bookmarkStart w:id="9586" w:name="_Caption6875"/>
      <w:bookmarkStart w:id="9587" w:name="_Caption5849"/>
      <w:bookmarkStart w:id="9588" w:name="_Caption3780"/>
      <w:bookmarkStart w:id="9589" w:name="_Caption7741"/>
      <w:bookmarkStart w:id="9590" w:name="_Caption8263"/>
      <w:bookmarkStart w:id="9591" w:name="_Caption2697"/>
      <w:bookmarkStart w:id="9592" w:name="_Caption0754"/>
      <w:bookmarkStart w:id="9593" w:name="_Caption8534"/>
      <w:bookmarkStart w:id="9594" w:name="_Caption7593"/>
      <w:bookmarkStart w:id="9595" w:name="_Caption6818"/>
      <w:bookmarkStart w:id="9596" w:name="_Caption5067"/>
      <w:bookmarkStart w:id="9597" w:name="_Caption8939"/>
      <w:bookmarkStart w:id="9598" w:name="_Caption8776"/>
      <w:bookmarkStart w:id="9599" w:name="_Caption7611"/>
      <w:bookmarkStart w:id="9600" w:name="_Caption2658"/>
      <w:bookmarkStart w:id="9601" w:name="_Caption1530"/>
      <w:bookmarkStart w:id="9602" w:name="_Caption1680"/>
      <w:bookmarkStart w:id="9603" w:name="_Caption1512"/>
      <w:bookmarkStart w:id="9604" w:name="_Caption3922"/>
      <w:bookmarkStart w:id="9605" w:name="_Caption0188"/>
      <w:bookmarkStart w:id="9606" w:name="_Caption8502"/>
      <w:bookmarkStart w:id="9607" w:name="_Caption3331"/>
      <w:bookmarkStart w:id="9608" w:name="_Caption9246"/>
      <w:bookmarkStart w:id="9609" w:name="_Caption0237"/>
      <w:bookmarkStart w:id="9610" w:name="_Caption9722"/>
      <w:bookmarkStart w:id="9611" w:name="_Caption5721"/>
      <w:bookmarkStart w:id="9612" w:name="_Caption5539"/>
      <w:bookmarkStart w:id="9613" w:name="_Caption5001"/>
      <w:bookmarkStart w:id="9614" w:name="_Caption3155"/>
      <w:bookmarkStart w:id="9615" w:name="_Caption9130"/>
      <w:bookmarkStart w:id="9616" w:name="_Caption3960"/>
      <w:bookmarkStart w:id="9617" w:name="_Caption8151"/>
      <w:bookmarkStart w:id="9618" w:name="_Caption0691"/>
      <w:bookmarkStart w:id="9619" w:name="_Caption5537"/>
      <w:bookmarkStart w:id="9620" w:name="_Caption8986"/>
      <w:bookmarkStart w:id="9621" w:name="_Caption5886"/>
      <w:bookmarkStart w:id="9622" w:name="_Caption0718"/>
      <w:bookmarkStart w:id="9623" w:name="_Caption0529"/>
      <w:bookmarkStart w:id="9624" w:name="_Caption0006"/>
      <w:bookmarkStart w:id="9625" w:name="_Caption3692"/>
      <w:bookmarkStart w:id="9626" w:name="_Caption5930"/>
      <w:bookmarkStart w:id="9627" w:name="_Toc177735249"/>
      <w:bookmarkStart w:id="9628" w:name="_Toc178292691"/>
      <w:r w:rsidR="008C60A3">
        <w:rPr>
          <w:noProof/>
        </w:rPr>
        <w:t>G</w:t>
      </w:r>
      <w:r w:rsidR="008C60A3" w:rsidRPr="005E5FA8">
        <w:rPr>
          <w:noProof/>
        </w:rPr>
        <w:t>.</w:t>
      </w:r>
      <w:r w:rsidR="008C60A3">
        <w:rPr>
          <w:noProof/>
        </w:rPr>
        <w:t>11</w:t>
      </w:r>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r w:rsidRPr="005E5FA8">
        <w:fldChar w:fldCharType="end"/>
      </w:r>
      <w:r w:rsidRPr="005E5FA8">
        <w:tab/>
        <w:t>Energy savings by time of day — Stringency Level 1, large hospital ward in CZ6</w:t>
      </w:r>
      <w:bookmarkEnd w:id="9627"/>
      <w:bookmarkEnd w:id="9628"/>
    </w:p>
    <w:p w14:paraId="6761E084" w14:textId="77777777" w:rsidR="00D24C7F" w:rsidRPr="00401E3A" w:rsidRDefault="00D24C7F" w:rsidP="00D24C7F">
      <w:pPr>
        <w:pStyle w:val="Subtitlebox"/>
      </w:pPr>
      <w:r w:rsidRPr="00163885">
        <w:rPr>
          <w:noProof/>
        </w:rPr>
        <w:drawing>
          <wp:inline distT="0" distB="0" distL="0" distR="0" wp14:anchorId="4A244493" wp14:editId="67D1D0BB">
            <wp:extent cx="4846320" cy="2460625"/>
            <wp:effectExtent l="76200" t="76200" r="68580" b="73025"/>
            <wp:docPr id="59826810" name="Picture 59826810" descr="Chart G.11 - Energy savings by time of day across an average week in each season — Stringency Level 1, large hospital ward in CZ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26810" name="Picture 59826810" descr="Chart G.11 - Energy savings by time of day across an average week in each season — Stringency Level 1, large hospital ward in CZ6"/>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r="3855"/>
                    <a:stretch/>
                  </pic:blipFill>
                  <pic:spPr bwMode="auto">
                    <a:xfrm>
                      <a:off x="0" y="0"/>
                      <a:ext cx="4846320" cy="2460625"/>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30EF1C9E" w14:textId="77777777" w:rsidR="00D24C7F" w:rsidRDefault="00D24C7F" w:rsidP="00D24C7F">
      <w:pPr>
        <w:pStyle w:val="Source"/>
      </w:pPr>
      <w:r>
        <w:rPr>
          <w:i/>
        </w:rPr>
        <w:t>Data source</w:t>
      </w:r>
      <w:r w:rsidRPr="00A67576">
        <w:rPr>
          <w:i/>
        </w:rPr>
        <w:t>:</w:t>
      </w:r>
      <w:r>
        <w:t xml:space="preserve"> DeltaQ modelling, CIE.</w:t>
      </w:r>
    </w:p>
    <w:p w14:paraId="6029AC1E" w14:textId="508F1B02" w:rsidR="00D24C7F" w:rsidRPr="005E5FA8" w:rsidRDefault="00D24C7F" w:rsidP="00CA0DBC">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G</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w:instrText>
      </w:r>
      <w:r w:rsidRPr="005E5FA8">
        <w:fldChar w:fldCharType="separate"/>
      </w:r>
      <w:r w:rsidRPr="005E5FA8">
        <w:instrText>Error! No text of specified style in document..</w:instrText>
      </w:r>
      <w:r w:rsidRPr="005E5FA8">
        <w:fldChar w:fldCharType="end"/>
      </w:r>
      <w:r w:rsidRPr="005E5FA8">
        <w:instrText>" "</w:instrText>
      </w:r>
      <w:fldSimple w:instr=" STYLEREF &quot;Heading 6&quot; \l \n ">
        <w:r w:rsidR="00581346">
          <w:rPr>
            <w:noProof/>
          </w:rPr>
          <w:instrText>G</w:instrText>
        </w:r>
      </w:fldSimple>
      <w:r w:rsidRPr="005E5FA8">
        <w:instrText xml:space="preserve">." </w:instrText>
      </w:r>
      <w:r w:rsidRPr="005E5FA8">
        <w:fldChar w:fldCharType="separate"/>
      </w:r>
      <w:r w:rsidR="00581346">
        <w:rPr>
          <w:noProof/>
        </w:rPr>
        <w:instrText>G</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G</w:instrText>
        </w:r>
      </w:fldSimple>
      <w:r w:rsidRPr="005E5FA8">
        <w:instrText xml:space="preserve"> = 0 "</w:instrText>
      </w:r>
      <w:r w:rsidRPr="005E5FA8">
        <w:fldChar w:fldCharType="begin"/>
      </w:r>
      <w:r w:rsidRPr="005E5FA8">
        <w:instrText xml:space="preserve"> IF </w:instrText>
      </w:r>
      <w:r w:rsidRPr="005E5FA8">
        <w:fldChar w:fldCharType="begin"/>
      </w:r>
      <w:r w:rsidRPr="005E5FA8">
        <w:instrText xml:space="preserve"> STYLEREF "Heading 1" \l \n </w:instrText>
      </w:r>
      <w:r w:rsidRPr="005E5FA8">
        <w:fldChar w:fldCharType="separate"/>
      </w:r>
      <w:r w:rsidRPr="005E5FA8">
        <w:instrText>Error! No text of specified style in document.</w:instrText>
      </w:r>
      <w:r w:rsidRPr="005E5FA8">
        <w:fldChar w:fldCharType="end"/>
      </w:r>
      <w:r w:rsidRPr="005E5FA8">
        <w:instrText xml:space="preserve"> = 0 "" "1" </w:instrText>
      </w:r>
      <w:r w:rsidRPr="005E5FA8">
        <w:fldChar w:fldCharType="separate"/>
      </w:r>
      <w:r w:rsidRPr="005E5FA8">
        <w:instrText>1</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12</w:instrText>
      </w:r>
      <w:r w:rsidRPr="005E5FA8">
        <w:fldChar w:fldCharType="end"/>
      </w:r>
      <w:r w:rsidRPr="005E5FA8">
        <w:instrText xml:space="preserve">" "" </w:instrText>
      </w:r>
      <w:r w:rsidRPr="005E5FA8">
        <w:fldChar w:fldCharType="separate"/>
      </w:r>
      <w:bookmarkStart w:id="9629" w:name="_Caption0141"/>
      <w:bookmarkStart w:id="9630" w:name="_Caption9299"/>
      <w:bookmarkStart w:id="9631" w:name="_Caption5167"/>
      <w:bookmarkStart w:id="9632" w:name="_Caption4666"/>
      <w:bookmarkStart w:id="9633" w:name="_Caption8187"/>
      <w:bookmarkStart w:id="9634" w:name="_Caption1716"/>
      <w:bookmarkStart w:id="9635" w:name="_Caption7317"/>
      <w:bookmarkStart w:id="9636" w:name="_Caption2491"/>
      <w:bookmarkStart w:id="9637" w:name="_Caption0143"/>
      <w:bookmarkStart w:id="9638" w:name="_Caption0953"/>
      <w:bookmarkStart w:id="9639" w:name="_Caption0510"/>
      <w:bookmarkStart w:id="9640" w:name="_Caption9212"/>
      <w:bookmarkStart w:id="9641" w:name="_Caption9270"/>
      <w:bookmarkStart w:id="9642" w:name="_Caption0708"/>
      <w:bookmarkStart w:id="9643" w:name="_Caption2764"/>
      <w:bookmarkStart w:id="9644" w:name="_Caption5408"/>
      <w:bookmarkStart w:id="9645" w:name="_Caption9725"/>
      <w:bookmarkStart w:id="9646" w:name="_Caption1685"/>
      <w:bookmarkStart w:id="9647" w:name="_Caption2058"/>
      <w:bookmarkStart w:id="9648" w:name="_Caption3563"/>
      <w:bookmarkStart w:id="9649" w:name="_Caption0239"/>
      <w:bookmarkStart w:id="9650" w:name="_Caption9380"/>
      <w:bookmarkStart w:id="9651" w:name="_Caption5482"/>
      <w:bookmarkStart w:id="9652" w:name="_Caption8289"/>
      <w:bookmarkStart w:id="9653" w:name="_Caption0685"/>
      <w:bookmarkStart w:id="9654" w:name="_Caption7092"/>
      <w:bookmarkStart w:id="9655" w:name="_Caption3818"/>
      <w:bookmarkStart w:id="9656" w:name="_Caption6185"/>
      <w:bookmarkStart w:id="9657" w:name="_Caption9039"/>
      <w:bookmarkStart w:id="9658" w:name="_Caption6180"/>
      <w:bookmarkStart w:id="9659" w:name="_Caption3462"/>
      <w:bookmarkStart w:id="9660" w:name="_Caption8243"/>
      <w:bookmarkStart w:id="9661" w:name="_Caption5806"/>
      <w:bookmarkStart w:id="9662" w:name="_Caption2524"/>
      <w:bookmarkStart w:id="9663" w:name="_Caption4171"/>
      <w:bookmarkStart w:id="9664" w:name="_Caption6251"/>
      <w:bookmarkStart w:id="9665" w:name="_Caption0928"/>
      <w:bookmarkStart w:id="9666" w:name="_Caption1390"/>
      <w:bookmarkStart w:id="9667" w:name="_Caption2419"/>
      <w:bookmarkStart w:id="9668" w:name="_Caption2399"/>
      <w:bookmarkStart w:id="9669" w:name="_Caption6059"/>
      <w:bookmarkStart w:id="9670" w:name="_Caption0804"/>
      <w:bookmarkStart w:id="9671" w:name="_Caption6846"/>
      <w:bookmarkStart w:id="9672" w:name="_Caption3300"/>
      <w:bookmarkStart w:id="9673" w:name="_Caption4540"/>
      <w:bookmarkStart w:id="9674" w:name="_Caption3868"/>
      <w:bookmarkStart w:id="9675" w:name="_Caption1260"/>
      <w:bookmarkStart w:id="9676" w:name="_Caption8071"/>
      <w:bookmarkStart w:id="9677" w:name="_Caption7049"/>
      <w:bookmarkStart w:id="9678" w:name="_Caption2401"/>
      <w:bookmarkStart w:id="9679" w:name="_Caption1547"/>
      <w:bookmarkStart w:id="9680" w:name="_Caption5962"/>
      <w:bookmarkStart w:id="9681" w:name="_Caption6599"/>
      <w:bookmarkStart w:id="9682" w:name="_Caption2037"/>
      <w:bookmarkStart w:id="9683" w:name="_Caption6313"/>
      <w:bookmarkStart w:id="9684" w:name="_Caption2660"/>
      <w:bookmarkStart w:id="9685" w:name="_Caption7938"/>
      <w:bookmarkStart w:id="9686" w:name="_Caption3641"/>
      <w:bookmarkStart w:id="9687" w:name="_Caption1761"/>
      <w:bookmarkStart w:id="9688" w:name="_Caption6977"/>
      <w:bookmarkStart w:id="9689" w:name="_Caption7818"/>
      <w:bookmarkStart w:id="9690" w:name="_Caption1916"/>
      <w:bookmarkStart w:id="9691" w:name="_Caption9481"/>
      <w:bookmarkStart w:id="9692" w:name="_Toc177735250"/>
      <w:bookmarkStart w:id="9693" w:name="_Toc178292692"/>
      <w:r w:rsidR="008C60A3">
        <w:rPr>
          <w:noProof/>
        </w:rPr>
        <w:t>G</w:t>
      </w:r>
      <w:r w:rsidR="008C60A3" w:rsidRPr="005E5FA8">
        <w:rPr>
          <w:noProof/>
        </w:rPr>
        <w:t>.</w:t>
      </w:r>
      <w:r w:rsidR="008C60A3">
        <w:rPr>
          <w:noProof/>
        </w:rPr>
        <w:t>12</w:t>
      </w:r>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r w:rsidRPr="005E5FA8">
        <w:fldChar w:fldCharType="end"/>
      </w:r>
      <w:r w:rsidRPr="005E5FA8">
        <w:tab/>
        <w:t>Energy savings by time of day — Stringency Level 2, large hospital ward in CZ6</w:t>
      </w:r>
      <w:bookmarkEnd w:id="9692"/>
      <w:bookmarkEnd w:id="9693"/>
    </w:p>
    <w:p w14:paraId="39BCE91E" w14:textId="77777777" w:rsidR="00D24C7F" w:rsidRPr="00401E3A" w:rsidRDefault="00D24C7F" w:rsidP="00D24C7F">
      <w:pPr>
        <w:pStyle w:val="Subtitlebox"/>
      </w:pPr>
      <w:r w:rsidRPr="00B03CD8">
        <w:rPr>
          <w:noProof/>
        </w:rPr>
        <w:drawing>
          <wp:inline distT="0" distB="0" distL="0" distR="0" wp14:anchorId="5BF50748" wp14:editId="226C9097">
            <wp:extent cx="4800600" cy="2454910"/>
            <wp:effectExtent l="76200" t="76200" r="76200" b="78740"/>
            <wp:docPr id="880375549" name="Picture 880375549" descr="Chart G.12 - Energy savings by time of day across an average week in each season — Stringency Level 2, large hospital ward in CZ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375549" name="Picture 880375549" descr="Chart G.12 - Energy savings by time of day across an average week in each season — Stringency Level 2, large hospital ward in CZ6"/>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r="4678"/>
                    <a:stretch/>
                  </pic:blipFill>
                  <pic:spPr bwMode="auto">
                    <a:xfrm>
                      <a:off x="0" y="0"/>
                      <a:ext cx="4800600" cy="2454910"/>
                    </a:xfrm>
                    <a:prstGeom prst="rect">
                      <a:avLst/>
                    </a:prstGeom>
                    <a:noFill/>
                    <a:ln w="76200">
                      <a:solidFill>
                        <a:schemeClr val="bg2"/>
                      </a:solidFill>
                    </a:ln>
                    <a:extLst>
                      <a:ext uri="{53640926-AAD7-44D8-BBD7-CCE9431645EC}">
                        <a14:shadowObscured xmlns:a14="http://schemas.microsoft.com/office/drawing/2010/main"/>
                      </a:ext>
                    </a:extLst>
                  </pic:spPr>
                </pic:pic>
              </a:graphicData>
            </a:graphic>
          </wp:inline>
        </w:drawing>
      </w:r>
    </w:p>
    <w:p w14:paraId="1F480528" w14:textId="77777777" w:rsidR="00D24C7F" w:rsidRDefault="00D24C7F" w:rsidP="00D24C7F">
      <w:pPr>
        <w:pStyle w:val="Source"/>
      </w:pPr>
      <w:r>
        <w:rPr>
          <w:i/>
        </w:rPr>
        <w:t>Data source</w:t>
      </w:r>
      <w:r w:rsidRPr="00A67576">
        <w:rPr>
          <w:i/>
        </w:rPr>
        <w:t>:</w:t>
      </w:r>
      <w:r>
        <w:t xml:space="preserve"> DeltaQ modelling, CIE.</w:t>
      </w:r>
    </w:p>
    <w:p w14:paraId="28FAA088" w14:textId="77777777" w:rsidR="00D24C7F" w:rsidRDefault="00D24C7F" w:rsidP="00D24C7F">
      <w:pPr>
        <w:pStyle w:val="Heading6"/>
      </w:pPr>
      <w:bookmarkStart w:id="9694" w:name="_Toc177735128"/>
      <w:bookmarkStart w:id="9695" w:name="_Toc178292563"/>
      <w:r>
        <w:t>Building-level costs and benefits</w:t>
      </w:r>
      <w:bookmarkEnd w:id="9694"/>
      <w:bookmarkEnd w:id="9695"/>
    </w:p>
    <w:p w14:paraId="31ED4272" w14:textId="77777777" w:rsidR="00D24C7F" w:rsidRDefault="00D24C7F" w:rsidP="00D24C7F">
      <w:pPr>
        <w:pStyle w:val="Heading7"/>
      </w:pPr>
      <w:r>
        <w:t>Stringency Level 1</w:t>
      </w:r>
    </w:p>
    <w:p w14:paraId="761ADC5D" w14:textId="0BBEC898" w:rsidR="00D24C7F" w:rsidRDefault="00D24C7F" w:rsidP="00D24C7F">
      <w:pPr>
        <w:pStyle w:val="BodyText"/>
      </w:pPr>
      <w:r>
        <w:t>The Stringency Level 1 building</w:t>
      </w:r>
      <w:r>
        <w:noBreakHyphen/>
        <w:t>level CBA results for each building archetype (except C5OL which is reported in the main body of the report) are reported in tables </w:t>
      </w:r>
      <w:r w:rsidR="00CE6D73">
        <w:t>H.1</w:t>
      </w:r>
      <w:r>
        <w:t xml:space="preserve"> to</w:t>
      </w:r>
      <w:r w:rsidR="00CA0DBC">
        <w:t xml:space="preserve"> </w:t>
      </w:r>
      <w:r w:rsidR="00CE6D73">
        <w:t>H.9</w:t>
      </w:r>
      <w:r>
        <w:t>.</w:t>
      </w:r>
    </w:p>
    <w:p w14:paraId="7F84CA87" w14:textId="733288A7" w:rsidR="00D24C7F" w:rsidRPr="005E5FA8" w:rsidRDefault="00D24C7F" w:rsidP="00D24C7F">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w:instrText>
      </w:r>
      <w:fldSimple w:instr=" STYLEREF &quot;Heading 1&quot; \l \n ">
        <w:r w:rsidRPr="005E5FA8">
          <w:instrText>2</w:instrText>
        </w:r>
      </w:fldSimple>
      <w:r w:rsidRPr="005E5FA8">
        <w:instrText xml:space="preserve">." </w:instrText>
      </w:r>
      <w:r w:rsidRPr="005E5FA8">
        <w:fldChar w:fldCharType="end"/>
      </w:r>
      <w:r w:rsidRPr="005E5FA8">
        <w:instrText>" "</w:instrText>
      </w:r>
      <w:fldSimple w:instr=" STYLEREF &quot;Heading 6&quot; \l \n ">
        <w:r w:rsidR="00581346">
          <w:rPr>
            <w:noProof/>
          </w:rPr>
          <w:instrText>H</w:instrText>
        </w:r>
      </w:fldSimple>
      <w:r w:rsidRPr="005E5FA8">
        <w:instrText xml:space="preserve">." </w:instrText>
      </w:r>
      <w:r w:rsidRPr="005E5FA8">
        <w:fldChar w:fldCharType="separate"/>
      </w:r>
      <w:r w:rsidR="00581346">
        <w:rPr>
          <w:noProof/>
        </w:rPr>
        <w:instrText>H</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"1" </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1</w:instrText>
      </w:r>
      <w:r w:rsidRPr="005E5FA8">
        <w:fldChar w:fldCharType="end"/>
      </w:r>
      <w:r w:rsidRPr="005E5FA8">
        <w:instrText xml:space="preserve">" "" </w:instrText>
      </w:r>
      <w:r w:rsidRPr="005E5FA8">
        <w:fldChar w:fldCharType="separate"/>
      </w:r>
      <w:bookmarkStart w:id="9696" w:name="_Caption7791"/>
      <w:bookmarkStart w:id="9697" w:name="_Caption0193"/>
      <w:bookmarkStart w:id="9698" w:name="_Caption3833"/>
      <w:bookmarkStart w:id="9699" w:name="_Caption8660"/>
      <w:bookmarkStart w:id="9700" w:name="_Caption1811"/>
      <w:bookmarkStart w:id="9701" w:name="_Caption2981"/>
      <w:bookmarkStart w:id="9702" w:name="_Caption7453"/>
      <w:bookmarkStart w:id="9703" w:name="_Caption0967"/>
      <w:bookmarkStart w:id="9704" w:name="_Caption6611"/>
      <w:bookmarkStart w:id="9705" w:name="_Caption9565"/>
      <w:bookmarkStart w:id="9706" w:name="_Caption2964"/>
      <w:bookmarkStart w:id="9707" w:name="_Caption4047"/>
      <w:bookmarkStart w:id="9708" w:name="_Caption0889"/>
      <w:bookmarkStart w:id="9709" w:name="_Caption8345"/>
      <w:bookmarkStart w:id="9710" w:name="_Caption2623"/>
      <w:bookmarkStart w:id="9711" w:name="_Caption2532"/>
      <w:bookmarkStart w:id="9712" w:name="_Caption1224"/>
      <w:bookmarkStart w:id="9713" w:name="_Caption0679"/>
      <w:bookmarkStart w:id="9714" w:name="_Caption1878"/>
      <w:bookmarkStart w:id="9715" w:name="_Caption2763"/>
      <w:bookmarkStart w:id="9716" w:name="_Caption0455"/>
      <w:bookmarkStart w:id="9717" w:name="_Caption3697"/>
      <w:bookmarkStart w:id="9718" w:name="_Caption0322"/>
      <w:bookmarkStart w:id="9719" w:name="_Caption6914"/>
      <w:bookmarkStart w:id="9720" w:name="_Caption9615"/>
      <w:bookmarkStart w:id="9721" w:name="_Caption0932"/>
      <w:bookmarkStart w:id="9722" w:name="_Caption2113"/>
      <w:bookmarkStart w:id="9723" w:name="_Caption4613"/>
      <w:bookmarkStart w:id="9724" w:name="_Caption4660"/>
      <w:bookmarkStart w:id="9725" w:name="_Toc177735251"/>
      <w:bookmarkStart w:id="9726" w:name="_Toc178292693"/>
      <w:r w:rsidR="008C60A3">
        <w:rPr>
          <w:noProof/>
        </w:rPr>
        <w:t>H</w:t>
      </w:r>
      <w:r w:rsidR="008C60A3" w:rsidRPr="005E5FA8">
        <w:rPr>
          <w:noProof/>
        </w:rPr>
        <w:t>.</w:t>
      </w:r>
      <w:r w:rsidR="008C60A3">
        <w:rPr>
          <w:noProof/>
        </w:rPr>
        <w:t>1</w:t>
      </w:r>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r w:rsidRPr="005E5FA8">
        <w:fldChar w:fldCharType="end"/>
      </w:r>
      <w:r w:rsidRPr="005E5FA8">
        <w:tab/>
        <w:t>Stringency Level 1 estimated costs and benefits — C3HS</w:t>
      </w:r>
      <w:bookmarkEnd w:id="9725"/>
      <w:bookmarkEnd w:id="9726"/>
    </w:p>
    <w:tbl>
      <w:tblPr>
        <w:tblW w:w="7936" w:type="dxa"/>
        <w:tblLayout w:type="fixed"/>
        <w:tblLook w:val="0000" w:firstRow="0" w:lastRow="0" w:firstColumn="0" w:lastColumn="0" w:noHBand="0" w:noVBand="0"/>
        <w:tblCaption w:val="Table G.1"/>
        <w:tblDescription w:val="Stringency Level 1 estimated costs and benefits — C3HS"/>
      </w:tblPr>
      <w:tblGrid>
        <w:gridCol w:w="2627"/>
        <w:gridCol w:w="664"/>
        <w:gridCol w:w="663"/>
        <w:gridCol w:w="664"/>
        <w:gridCol w:w="663"/>
        <w:gridCol w:w="664"/>
        <w:gridCol w:w="664"/>
        <w:gridCol w:w="663"/>
        <w:gridCol w:w="664"/>
      </w:tblGrid>
      <w:tr w:rsidR="00D24C7F" w14:paraId="4C5C038F" w14:textId="77777777">
        <w:trPr>
          <w:trHeight w:val="245"/>
          <w:tblHeader/>
        </w:trPr>
        <w:tc>
          <w:tcPr>
            <w:tcW w:w="2627" w:type="dxa"/>
            <w:shd w:val="clear" w:color="auto" w:fill="6F6652"/>
            <w:tcMar>
              <w:left w:w="57" w:type="dxa"/>
              <w:right w:w="57" w:type="dxa"/>
            </w:tcMar>
          </w:tcPr>
          <w:p w14:paraId="245A88DE" w14:textId="77777777" w:rsidR="00D24C7F" w:rsidRDefault="00D24C7F">
            <w:pPr>
              <w:pStyle w:val="TableDataColumnHeading"/>
              <w:jc w:val="left"/>
            </w:pPr>
            <w:r>
              <w:t>Impact</w:t>
            </w:r>
          </w:p>
        </w:tc>
        <w:tc>
          <w:tcPr>
            <w:tcW w:w="664" w:type="dxa"/>
            <w:shd w:val="clear" w:color="auto" w:fill="6F6652"/>
            <w:tcMar>
              <w:left w:w="57" w:type="dxa"/>
              <w:right w:w="57" w:type="dxa"/>
            </w:tcMar>
          </w:tcPr>
          <w:p w14:paraId="40416ECF" w14:textId="77777777" w:rsidR="00D24C7F" w:rsidRDefault="00D24C7F">
            <w:pPr>
              <w:pStyle w:val="TableDataColumnHeading"/>
            </w:pPr>
            <w:r>
              <w:t>NSW (CZ5)</w:t>
            </w:r>
          </w:p>
          <w:p w14:paraId="2944E3F3" w14:textId="77777777" w:rsidR="00D24C7F" w:rsidRDefault="00D24C7F">
            <w:pPr>
              <w:pStyle w:val="TableDataColumnHeading"/>
            </w:pPr>
            <w:r>
              <w:t>$ per m2</w:t>
            </w:r>
          </w:p>
        </w:tc>
        <w:tc>
          <w:tcPr>
            <w:tcW w:w="663" w:type="dxa"/>
            <w:shd w:val="clear" w:color="auto" w:fill="6F6652"/>
            <w:tcMar>
              <w:left w:w="57" w:type="dxa"/>
              <w:right w:w="57" w:type="dxa"/>
            </w:tcMar>
          </w:tcPr>
          <w:p w14:paraId="52E9B891" w14:textId="77777777" w:rsidR="00D24C7F" w:rsidRDefault="00D24C7F">
            <w:pPr>
              <w:pStyle w:val="TableDataColumnHeading"/>
            </w:pPr>
            <w:r>
              <w:t>VIC (CZ6)</w:t>
            </w:r>
          </w:p>
          <w:p w14:paraId="6B5A83F7" w14:textId="77777777" w:rsidR="00D24C7F" w:rsidRDefault="00D24C7F">
            <w:pPr>
              <w:pStyle w:val="TableDataColumnHeading"/>
            </w:pPr>
            <w:r>
              <w:t>$ per m2</w:t>
            </w:r>
          </w:p>
        </w:tc>
        <w:tc>
          <w:tcPr>
            <w:tcW w:w="664" w:type="dxa"/>
            <w:shd w:val="clear" w:color="auto" w:fill="6F6652"/>
            <w:tcMar>
              <w:left w:w="57" w:type="dxa"/>
              <w:right w:w="57" w:type="dxa"/>
            </w:tcMar>
          </w:tcPr>
          <w:p w14:paraId="0A858D26" w14:textId="77777777" w:rsidR="00D24C7F" w:rsidRDefault="00D24C7F">
            <w:pPr>
              <w:pStyle w:val="TableDataColumnHeading"/>
            </w:pPr>
            <w:r>
              <w:t>QLD (CZ2)</w:t>
            </w:r>
          </w:p>
          <w:p w14:paraId="4084AC5E" w14:textId="77777777" w:rsidR="00D24C7F" w:rsidRDefault="00D24C7F">
            <w:pPr>
              <w:pStyle w:val="TableDataColumnHeading"/>
            </w:pPr>
            <w:r>
              <w:t>$ per m2</w:t>
            </w:r>
          </w:p>
        </w:tc>
        <w:tc>
          <w:tcPr>
            <w:tcW w:w="663" w:type="dxa"/>
            <w:shd w:val="clear" w:color="auto" w:fill="6F6652"/>
            <w:tcMar>
              <w:left w:w="57" w:type="dxa"/>
              <w:right w:w="57" w:type="dxa"/>
            </w:tcMar>
          </w:tcPr>
          <w:p w14:paraId="3CD56984" w14:textId="77777777" w:rsidR="00D24C7F" w:rsidRDefault="00D24C7F">
            <w:pPr>
              <w:pStyle w:val="TableDataColumnHeading"/>
            </w:pPr>
            <w:r>
              <w:t>WA (CZ5)</w:t>
            </w:r>
          </w:p>
          <w:p w14:paraId="623DBED9" w14:textId="77777777" w:rsidR="00D24C7F" w:rsidRDefault="00D24C7F">
            <w:pPr>
              <w:pStyle w:val="TableDataColumnHeading"/>
            </w:pPr>
            <w:r>
              <w:t>$ per m2</w:t>
            </w:r>
          </w:p>
        </w:tc>
        <w:tc>
          <w:tcPr>
            <w:tcW w:w="664" w:type="dxa"/>
            <w:shd w:val="clear" w:color="auto" w:fill="6F6652"/>
            <w:tcMar>
              <w:left w:w="57" w:type="dxa"/>
              <w:right w:w="57" w:type="dxa"/>
            </w:tcMar>
          </w:tcPr>
          <w:p w14:paraId="75CF7920" w14:textId="77777777" w:rsidR="00D24C7F" w:rsidRDefault="00D24C7F">
            <w:pPr>
              <w:pStyle w:val="TableDataColumnHeading"/>
            </w:pPr>
            <w:r>
              <w:t>SA (CZ5)</w:t>
            </w:r>
          </w:p>
          <w:p w14:paraId="3366A8DA" w14:textId="77777777" w:rsidR="00D24C7F" w:rsidRDefault="00D24C7F">
            <w:pPr>
              <w:pStyle w:val="TableDataColumnHeading"/>
            </w:pPr>
            <w:r>
              <w:t>$ per m2</w:t>
            </w:r>
          </w:p>
        </w:tc>
        <w:tc>
          <w:tcPr>
            <w:tcW w:w="664" w:type="dxa"/>
            <w:shd w:val="clear" w:color="auto" w:fill="6F6652"/>
            <w:tcMar>
              <w:left w:w="57" w:type="dxa"/>
              <w:right w:w="57" w:type="dxa"/>
            </w:tcMar>
          </w:tcPr>
          <w:p w14:paraId="04688027" w14:textId="77777777" w:rsidR="00D24C7F" w:rsidRDefault="00D24C7F">
            <w:pPr>
              <w:pStyle w:val="TableDataColumnHeading"/>
            </w:pPr>
            <w:r>
              <w:t>TAS (CZ7)</w:t>
            </w:r>
          </w:p>
          <w:p w14:paraId="3808FA30" w14:textId="77777777" w:rsidR="00D24C7F" w:rsidRDefault="00D24C7F">
            <w:pPr>
              <w:pStyle w:val="TableDataColumnHeading"/>
            </w:pPr>
            <w:r>
              <w:t>$ per m2</w:t>
            </w:r>
          </w:p>
        </w:tc>
        <w:tc>
          <w:tcPr>
            <w:tcW w:w="663" w:type="dxa"/>
            <w:shd w:val="clear" w:color="auto" w:fill="6F6652"/>
            <w:tcMar>
              <w:left w:w="57" w:type="dxa"/>
              <w:right w:w="57" w:type="dxa"/>
            </w:tcMar>
          </w:tcPr>
          <w:p w14:paraId="4B72C8BF" w14:textId="77777777" w:rsidR="00D24C7F" w:rsidRDefault="00D24C7F">
            <w:pPr>
              <w:pStyle w:val="TableDataColumnHeading"/>
            </w:pPr>
            <w:r>
              <w:t>ACT (CZ7)</w:t>
            </w:r>
          </w:p>
          <w:p w14:paraId="0D8C21E7" w14:textId="77777777" w:rsidR="00D24C7F" w:rsidRDefault="00D24C7F">
            <w:pPr>
              <w:pStyle w:val="TableDataColumnHeading"/>
            </w:pPr>
            <w:r>
              <w:t>$ per m2</w:t>
            </w:r>
          </w:p>
        </w:tc>
        <w:tc>
          <w:tcPr>
            <w:tcW w:w="664" w:type="dxa"/>
            <w:shd w:val="clear" w:color="auto" w:fill="6F6652"/>
            <w:tcMar>
              <w:left w:w="57" w:type="dxa"/>
              <w:right w:w="57" w:type="dxa"/>
            </w:tcMar>
          </w:tcPr>
          <w:p w14:paraId="53FD5E94" w14:textId="77777777" w:rsidR="00D24C7F" w:rsidRDefault="00D24C7F">
            <w:pPr>
              <w:pStyle w:val="TableDataColumnHeading"/>
            </w:pPr>
            <w:r>
              <w:t>NT (CZ1)</w:t>
            </w:r>
          </w:p>
          <w:p w14:paraId="3A222E6E" w14:textId="77777777" w:rsidR="00D24C7F" w:rsidRDefault="00D24C7F">
            <w:pPr>
              <w:pStyle w:val="TableDataColumnHeading"/>
            </w:pPr>
            <w:r>
              <w:t>$ per m2</w:t>
            </w:r>
          </w:p>
        </w:tc>
      </w:tr>
      <w:tr w:rsidR="00D24C7F" w14:paraId="0BE04645"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1015760" w14:textId="77777777" w:rsidR="00D24C7F" w:rsidRDefault="00D24C7F">
            <w:pPr>
              <w:pStyle w:val="TableDataEntries"/>
              <w:jc w:val="left"/>
            </w:pPr>
            <w:r>
              <w:t>Avoided electricity network capacity costs</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81A9DC" w14:textId="717708E7" w:rsidR="00D24C7F" w:rsidRDefault="00D24C7F">
            <w:pPr>
              <w:pStyle w:val="TableDataEntries"/>
            </w:pPr>
            <w:r>
              <w:t>6.4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5E284D" w14:textId="79608556" w:rsidR="00D24C7F" w:rsidRDefault="00D24C7F">
            <w:pPr>
              <w:pStyle w:val="TableDataEntries"/>
            </w:pPr>
            <w:r>
              <w:t>1.4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3CECF9" w14:textId="1559095A" w:rsidR="00D24C7F" w:rsidRDefault="00D24C7F">
            <w:pPr>
              <w:pStyle w:val="TableDataEntries"/>
            </w:pPr>
            <w:r>
              <w:t>26.4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F5BEA3B" w14:textId="10181E8F" w:rsidR="00D24C7F" w:rsidRDefault="00D24C7F">
            <w:pPr>
              <w:pStyle w:val="TableDataEntries"/>
            </w:pPr>
            <w:r>
              <w:t>1.7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435AC75" w14:textId="5C8CBA9A" w:rsidR="00D24C7F" w:rsidRDefault="00D24C7F">
            <w:pPr>
              <w:pStyle w:val="TableDataEntries"/>
            </w:pPr>
            <w:r>
              <w:t>4.3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A25C1DF" w14:textId="241BDDD6" w:rsidR="00D24C7F" w:rsidRDefault="00D24C7F">
            <w:pPr>
              <w:pStyle w:val="TableDataEntries"/>
            </w:pPr>
            <w:r>
              <w:t>13.6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8B58C9" w14:textId="736BB4CA" w:rsidR="00D24C7F" w:rsidRDefault="00D24C7F">
            <w:pPr>
              <w:pStyle w:val="TableDataEntries"/>
            </w:pPr>
            <w:r>
              <w:t>6.3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D9E984" w14:textId="563D0946" w:rsidR="00D24C7F" w:rsidRDefault="00D24C7F">
            <w:pPr>
              <w:pStyle w:val="TableDataEntries"/>
            </w:pPr>
            <w:r>
              <w:t>9.7</w:t>
            </w:r>
          </w:p>
        </w:tc>
      </w:tr>
      <w:tr w:rsidR="00D24C7F" w14:paraId="0495D256"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F48C53" w14:textId="77777777" w:rsidR="00D24C7F" w:rsidRDefault="00D24C7F">
            <w:pPr>
              <w:pStyle w:val="TableDataEntries"/>
              <w:jc w:val="left"/>
            </w:pPr>
            <w:r>
              <w:t>Avoided electricity wholesale costs</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1B81C08" w14:textId="688DD7E5" w:rsidR="00D24C7F" w:rsidRDefault="00D24C7F">
            <w:pPr>
              <w:pStyle w:val="TableDataEntries"/>
            </w:pPr>
            <w:r>
              <w:t>21.1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180426" w14:textId="399EEE09" w:rsidR="00D24C7F" w:rsidRDefault="00D24C7F">
            <w:pPr>
              <w:pStyle w:val="TableDataEntries"/>
            </w:pPr>
            <w:r>
              <w:t>9.8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763E3D9" w14:textId="309AE539" w:rsidR="00D24C7F" w:rsidRDefault="00D24C7F">
            <w:pPr>
              <w:pStyle w:val="TableDataEntries"/>
            </w:pPr>
            <w:r>
              <w:t>60.7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28D599" w14:textId="7E512ED2" w:rsidR="00D24C7F" w:rsidRDefault="00D24C7F">
            <w:pPr>
              <w:pStyle w:val="TableDataEntries"/>
            </w:pPr>
            <w:r>
              <w:t>14.5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971949" w14:textId="03266563" w:rsidR="00D24C7F" w:rsidRDefault="00D24C7F">
            <w:pPr>
              <w:pStyle w:val="TableDataEntries"/>
            </w:pPr>
            <w:r>
              <w:t>19.9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2B1E308" w14:textId="35A10472" w:rsidR="00D24C7F" w:rsidRDefault="00D24C7F">
            <w:pPr>
              <w:pStyle w:val="TableDataEntries"/>
            </w:pPr>
            <w:r>
              <w:t>14.7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D5F77C2" w14:textId="59D13453" w:rsidR="00D24C7F" w:rsidRDefault="00D24C7F">
            <w:pPr>
              <w:pStyle w:val="TableDataEntries"/>
            </w:pPr>
            <w:r>
              <w:t>17.2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821CBF" w14:textId="7A372B6C" w:rsidR="00D24C7F" w:rsidRDefault="00D24C7F">
            <w:pPr>
              <w:pStyle w:val="TableDataEntries"/>
            </w:pPr>
            <w:r>
              <w:t>55.5</w:t>
            </w:r>
          </w:p>
        </w:tc>
      </w:tr>
      <w:tr w:rsidR="00D24C7F" w14:paraId="0F2DEA20"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B2E5F8" w14:textId="77777777" w:rsidR="00D24C7F" w:rsidRDefault="00D24C7F">
            <w:pPr>
              <w:pStyle w:val="TableDataEntries"/>
              <w:jc w:val="left"/>
            </w:pPr>
            <w:r>
              <w:t>Avoided electricity network usage costs</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42CFB77" w14:textId="0F5129F9" w:rsidR="00D24C7F" w:rsidRDefault="00D24C7F">
            <w:pPr>
              <w:pStyle w:val="TableDataEntries"/>
            </w:pPr>
            <w:r>
              <w:t>11.3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CB7C9B0" w14:textId="70A3D7D0" w:rsidR="00D24C7F" w:rsidRDefault="00D24C7F">
            <w:pPr>
              <w:pStyle w:val="TableDataEntries"/>
            </w:pPr>
            <w:r>
              <w:t>8.0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C16464" w14:textId="58443B88" w:rsidR="00D24C7F" w:rsidRDefault="00D24C7F">
            <w:pPr>
              <w:pStyle w:val="TableDataEntries"/>
            </w:pPr>
            <w:r>
              <w:t>28.6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335291E" w14:textId="19A406B0" w:rsidR="00D24C7F" w:rsidRDefault="00D24C7F">
            <w:pPr>
              <w:pStyle w:val="TableDataEntries"/>
            </w:pPr>
            <w:r>
              <w:t>25.5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977471B" w14:textId="7A5725AB" w:rsidR="00D24C7F" w:rsidRDefault="00D24C7F">
            <w:pPr>
              <w:pStyle w:val="TableDataEntries"/>
            </w:pPr>
            <w:r>
              <w:t>28.5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EF9D2B" w14:textId="305434DE" w:rsidR="00D24C7F" w:rsidRDefault="00D24C7F">
            <w:pPr>
              <w:pStyle w:val="TableDataEntries"/>
            </w:pPr>
            <w:r>
              <w:t>17.7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6D439B" w14:textId="3AD85277" w:rsidR="00D24C7F" w:rsidRDefault="00D24C7F">
            <w:pPr>
              <w:pStyle w:val="TableDataEntries"/>
            </w:pPr>
            <w:r>
              <w:t>10.6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8C741A2" w14:textId="165B5E33" w:rsidR="00D24C7F" w:rsidRDefault="00D24C7F">
            <w:pPr>
              <w:pStyle w:val="TableDataEntries"/>
            </w:pPr>
            <w:r>
              <w:t>34.0</w:t>
            </w:r>
          </w:p>
        </w:tc>
      </w:tr>
      <w:tr w:rsidR="00D24C7F" w14:paraId="0786CAE9"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F7B9448" w14:textId="77777777" w:rsidR="00D24C7F" w:rsidRDefault="00D24C7F">
            <w:pPr>
              <w:pStyle w:val="TableDataEntries"/>
              <w:jc w:val="left"/>
            </w:pPr>
            <w:r>
              <w:t>Avoided electricity retail costs</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F47302" w14:textId="1EBA0EF6" w:rsidR="00D24C7F" w:rsidRDefault="00D24C7F">
            <w:pPr>
              <w:pStyle w:val="TableDataEntries"/>
            </w:pPr>
            <w:r>
              <w:t>5.8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ED0073" w14:textId="4B12836D" w:rsidR="00D24C7F" w:rsidRDefault="00D24C7F">
            <w:pPr>
              <w:pStyle w:val="TableDataEntries"/>
            </w:pPr>
            <w:r>
              <w:t>2.9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D3704D4" w14:textId="243379E0" w:rsidR="00D24C7F" w:rsidRDefault="00D24C7F">
            <w:pPr>
              <w:pStyle w:val="TableDataEntries"/>
            </w:pPr>
            <w:r>
              <w:t>17.3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C13D09" w14:textId="1253B280" w:rsidR="00D24C7F" w:rsidRDefault="00D24C7F">
            <w:pPr>
              <w:pStyle w:val="TableDataEntries"/>
            </w:pPr>
            <w:r>
              <w:t>6.3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4F8491" w14:textId="2F533037" w:rsidR="00D24C7F" w:rsidRDefault="00D24C7F">
            <w:pPr>
              <w:pStyle w:val="TableDataEntries"/>
            </w:pPr>
            <w:r>
              <w:t>7.9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9DAA15" w14:textId="7400ABFA" w:rsidR="00D24C7F" w:rsidRDefault="00D24C7F">
            <w:pPr>
              <w:pStyle w:val="TableDataEntries"/>
            </w:pPr>
            <w:r>
              <w:t>6.9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692C7C3" w14:textId="22732EB0" w:rsidR="00D24C7F" w:rsidRDefault="00D24C7F">
            <w:pPr>
              <w:pStyle w:val="TableDataEntries"/>
            </w:pPr>
            <w:r>
              <w:t>5.1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8065F67" w14:textId="2D68CEF7" w:rsidR="00D24C7F" w:rsidRDefault="00D24C7F">
            <w:pPr>
              <w:pStyle w:val="TableDataEntries"/>
            </w:pPr>
            <w:r>
              <w:t>14.9</w:t>
            </w:r>
          </w:p>
        </w:tc>
      </w:tr>
      <w:tr w:rsidR="00D24C7F" w14:paraId="7B8C345A"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92313FA" w14:textId="77777777" w:rsidR="00D24C7F" w:rsidRDefault="00D24C7F">
            <w:pPr>
              <w:pStyle w:val="TableDataEntries"/>
              <w:jc w:val="left"/>
            </w:pPr>
            <w:r>
              <w:t>Electricity exported to grid</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1C234AA" w14:textId="1990BAB1" w:rsidR="00D24C7F" w:rsidRDefault="00D24C7F">
            <w:pPr>
              <w:pStyle w:val="TableDataEntries"/>
            </w:pPr>
            <w:r>
              <w:t>0.7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6B253E" w14:textId="7F04E9BE" w:rsidR="00D24C7F" w:rsidRDefault="00D24C7F">
            <w:pPr>
              <w:pStyle w:val="TableDataEntries"/>
            </w:pPr>
            <w:r>
              <w:t>0.5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38079F0" w14:textId="5338C607" w:rsidR="00D24C7F" w:rsidRDefault="00D24C7F">
            <w:pPr>
              <w:pStyle w:val="TableDataEntries"/>
            </w:pPr>
            <w:r>
              <w:t>2.1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D2D1CB" w14:textId="798696DC" w:rsidR="00D24C7F" w:rsidRDefault="00D24C7F">
            <w:pPr>
              <w:pStyle w:val="TableDataEntries"/>
            </w:pPr>
            <w:r>
              <w:t>0.6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CC72EE9" w14:textId="7CAE5602" w:rsidR="00D24C7F" w:rsidRDefault="00D24C7F">
            <w:pPr>
              <w:pStyle w:val="TableDataEntries"/>
            </w:pPr>
            <w:r>
              <w:t>0.5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05F9C81" w14:textId="2E646A59" w:rsidR="00D24C7F" w:rsidRDefault="00D24C7F">
            <w:pPr>
              <w:pStyle w:val="TableDataEntries"/>
            </w:pPr>
            <w:r>
              <w:t>1.2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F03BE14" w14:textId="793DD145" w:rsidR="00D24C7F" w:rsidRDefault="00D24C7F">
            <w:pPr>
              <w:pStyle w:val="TableDataEntries"/>
            </w:pPr>
            <w:r>
              <w:t>0.7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D9FEE77" w14:textId="2AF35807" w:rsidR="00D24C7F" w:rsidRDefault="00D24C7F">
            <w:pPr>
              <w:pStyle w:val="TableDataEntries"/>
            </w:pPr>
            <w:r>
              <w:t>3.2</w:t>
            </w:r>
          </w:p>
        </w:tc>
      </w:tr>
      <w:tr w:rsidR="00D24C7F" w14:paraId="6A2234BE"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C15AE7" w14:textId="77777777" w:rsidR="00D24C7F" w:rsidRDefault="00D24C7F">
            <w:pPr>
              <w:pStyle w:val="TableDataEntries"/>
              <w:jc w:val="left"/>
            </w:pPr>
            <w:r>
              <w:t>Electricity exports — network costs</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0C933A6" w14:textId="06575E2B" w:rsidR="00D24C7F" w:rsidRDefault="00D24C7F">
            <w:pPr>
              <w:pStyle w:val="TableDataEntries"/>
            </w:pPr>
            <w:r>
              <w:t>-0.1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1CF3814" w14:textId="6584AF9F"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5A729C2" w14:textId="29958B4B" w:rsidR="00D24C7F" w:rsidRDefault="00D24C7F">
            <w:pPr>
              <w:pStyle w:val="TableDataEntries"/>
            </w:pPr>
            <w:r>
              <w:t>-0.4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F9F728" w14:textId="46A01A0E" w:rsidR="00D24C7F" w:rsidRDefault="00D24C7F">
            <w:pPr>
              <w:pStyle w:val="TableDataEntries"/>
            </w:pPr>
            <w:r>
              <w:t>-0.1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88B80CA" w14:textId="35C6BA61" w:rsidR="00D24C7F" w:rsidRDefault="00D24C7F">
            <w:pPr>
              <w:pStyle w:val="TableDataEntries"/>
            </w:pPr>
            <w:r>
              <w:t>-0.1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AD89542" w14:textId="3C3CA45C"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E2D095" w14:textId="52FA8A48"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68A22C" w14:textId="098DD992" w:rsidR="00D24C7F" w:rsidRDefault="00D24C7F">
            <w:pPr>
              <w:pStyle w:val="TableDataEntries"/>
            </w:pPr>
            <w:r>
              <w:t>-0.3</w:t>
            </w:r>
          </w:p>
        </w:tc>
      </w:tr>
      <w:tr w:rsidR="00D24C7F" w14:paraId="092F49F2"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4E5728" w14:textId="77777777" w:rsidR="00D24C7F" w:rsidRDefault="00D24C7F">
            <w:pPr>
              <w:pStyle w:val="TableDataEntries"/>
              <w:jc w:val="left"/>
            </w:pPr>
            <w:r>
              <w:t>Avoided gas costs</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1727639" w14:textId="3A67B12D"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F2E1046" w14:textId="50CB0044"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532FD4F" w14:textId="2CDDC27B"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02CA7A9" w14:textId="4646D13D"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28EC63" w14:textId="184F4B93"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0184AF" w14:textId="35F1A86D"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A4BE492" w14:textId="63E42777"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C8C9B52" w14:textId="7B44F466" w:rsidR="00D24C7F" w:rsidRDefault="00D24C7F">
            <w:pPr>
              <w:pStyle w:val="TableDataEntries"/>
            </w:pPr>
            <w:r>
              <w:t>0.0</w:t>
            </w:r>
          </w:p>
        </w:tc>
      </w:tr>
      <w:tr w:rsidR="00D24C7F" w14:paraId="2FFC1B6D"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6348262" w14:textId="77777777" w:rsidR="00D24C7F" w:rsidRDefault="00D24C7F">
            <w:pPr>
              <w:pStyle w:val="TableDataEntries"/>
              <w:jc w:val="left"/>
            </w:pPr>
            <w:r>
              <w:t>Avoided GHG emissions – electricity</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7ACFA7" w14:textId="6183F0DD" w:rsidR="00D24C7F" w:rsidRDefault="00D24C7F">
            <w:pPr>
              <w:pStyle w:val="TableDataEntries"/>
            </w:pPr>
            <w:r>
              <w:t>10.7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D7D22CB" w14:textId="59672240" w:rsidR="00D24C7F" w:rsidRDefault="00D24C7F">
            <w:pPr>
              <w:pStyle w:val="TableDataEntries"/>
            </w:pPr>
            <w:r>
              <w:t>9.6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4AC9984" w14:textId="7A5BEB2C" w:rsidR="00D24C7F" w:rsidRDefault="00D24C7F">
            <w:pPr>
              <w:pStyle w:val="TableDataEntries"/>
            </w:pPr>
            <w:r>
              <w:t>68.1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8A39A4" w14:textId="1C056E6D" w:rsidR="00D24C7F" w:rsidRDefault="00D24C7F">
            <w:pPr>
              <w:pStyle w:val="TableDataEntries"/>
            </w:pPr>
            <w:r>
              <w:t>15.9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DD21680" w14:textId="5CE639F9" w:rsidR="00D24C7F" w:rsidRDefault="00D24C7F">
            <w:pPr>
              <w:pStyle w:val="TableDataEntries"/>
            </w:pPr>
            <w:r>
              <w:t>11.5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B6291B" w14:textId="5F200FE0" w:rsidR="00D24C7F" w:rsidRDefault="00D24C7F">
            <w:pPr>
              <w:pStyle w:val="TableDataEntries"/>
            </w:pPr>
            <w:r>
              <w:t>1.2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53CD58" w14:textId="6B1B5543" w:rsidR="00D24C7F" w:rsidRDefault="00D24C7F">
            <w:pPr>
              <w:pStyle w:val="TableDataEntries"/>
            </w:pPr>
            <w:r>
              <w:t>7.8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BF98F51" w14:textId="0D4A5B3B" w:rsidR="00D24C7F" w:rsidRDefault="00D24C7F">
            <w:pPr>
              <w:pStyle w:val="TableDataEntries"/>
            </w:pPr>
            <w:r>
              <w:t>56.1</w:t>
            </w:r>
          </w:p>
        </w:tc>
      </w:tr>
      <w:tr w:rsidR="00D24C7F" w14:paraId="61F28C53"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5B4E7F5" w14:textId="77777777" w:rsidR="00D24C7F" w:rsidRDefault="00D24C7F">
            <w:pPr>
              <w:pStyle w:val="TableDataEntries"/>
              <w:jc w:val="left"/>
            </w:pPr>
            <w:r>
              <w:t>Avoided GHG emissions – exported electricity</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8338728" w14:textId="608A94BC" w:rsidR="00D24C7F" w:rsidRDefault="00D24C7F">
            <w:pPr>
              <w:pStyle w:val="TableDataEntries"/>
            </w:pPr>
            <w:r>
              <w:t>0.9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D4EBC4" w14:textId="195F61D6" w:rsidR="00D24C7F" w:rsidRDefault="00D24C7F">
            <w:pPr>
              <w:pStyle w:val="TableDataEntries"/>
            </w:pPr>
            <w:r>
              <w:t>1.1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26576B4" w14:textId="5675A03D" w:rsidR="00D24C7F" w:rsidRDefault="00D24C7F">
            <w:pPr>
              <w:pStyle w:val="TableDataEntries"/>
            </w:pPr>
            <w:r>
              <w:t>5.9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878938" w14:textId="4E8C3F6E" w:rsidR="00D24C7F" w:rsidRDefault="00D24C7F">
            <w:pPr>
              <w:pStyle w:val="TableDataEntries"/>
            </w:pPr>
            <w:r>
              <w:t>1.4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A7FB2A" w14:textId="0995C52E" w:rsidR="00D24C7F" w:rsidRDefault="00D24C7F">
            <w:pPr>
              <w:pStyle w:val="TableDataEntries"/>
            </w:pPr>
            <w:r>
              <w:t>1.0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5B6195" w14:textId="6D636CC3" w:rsidR="00D24C7F" w:rsidRDefault="00D24C7F">
            <w:pPr>
              <w:pStyle w:val="TableDataEntries"/>
            </w:pPr>
            <w:r>
              <w:t>0.1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EBB7D7A" w14:textId="1AD24251" w:rsidR="00D24C7F" w:rsidRDefault="00D24C7F">
            <w:pPr>
              <w:pStyle w:val="TableDataEntries"/>
            </w:pPr>
            <w:r>
              <w:t>0.7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9C97DFA" w14:textId="2B7857B4" w:rsidR="00D24C7F" w:rsidRDefault="00D24C7F">
            <w:pPr>
              <w:pStyle w:val="TableDataEntries"/>
            </w:pPr>
            <w:r>
              <w:t>3.6</w:t>
            </w:r>
          </w:p>
        </w:tc>
      </w:tr>
      <w:tr w:rsidR="00D24C7F" w14:paraId="5D0C5ACE"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0FE484F" w14:textId="77777777" w:rsidR="00D24C7F" w:rsidRDefault="00D24C7F">
            <w:pPr>
              <w:pStyle w:val="TableDataEntries"/>
              <w:jc w:val="left"/>
            </w:pPr>
            <w:r>
              <w:t>Avoided GHG emissions – gas</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28D7B7" w14:textId="4157E47B"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7E8593B" w14:textId="67B4F027"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7B3E66D" w14:textId="4A72CDAA"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B9BD411" w14:textId="51483678"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235C61" w14:textId="74935A17"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B9BC4A9" w14:textId="53C76630"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1D475EA" w14:textId="02D02B1E"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BC68C6" w14:textId="753CA0F9" w:rsidR="00D24C7F" w:rsidRDefault="00D24C7F">
            <w:pPr>
              <w:pStyle w:val="TableDataEntries"/>
            </w:pPr>
            <w:r>
              <w:t>0.0</w:t>
            </w:r>
          </w:p>
        </w:tc>
      </w:tr>
      <w:tr w:rsidR="00D24C7F" w14:paraId="595FAEB4"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0479BC" w14:textId="77777777" w:rsidR="00D24C7F" w:rsidRDefault="00D24C7F">
            <w:pPr>
              <w:pStyle w:val="TableDataEntries"/>
              <w:jc w:val="left"/>
            </w:pPr>
            <w:r>
              <w:t>Capital costs</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BF0686" w14:textId="21404D91" w:rsidR="00D24C7F" w:rsidRDefault="00D24C7F">
            <w:pPr>
              <w:pStyle w:val="TableDataEntries"/>
            </w:pPr>
            <w:r>
              <w:t>48.1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6A2BBA" w14:textId="1ABF6F06" w:rsidR="00D24C7F" w:rsidRDefault="00D24C7F">
            <w:pPr>
              <w:pStyle w:val="TableDataEntries"/>
            </w:pPr>
            <w:r>
              <w:t>29.6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F1C71BD" w14:textId="1AF0D07D" w:rsidR="00D24C7F" w:rsidRDefault="00D24C7F">
            <w:pPr>
              <w:pStyle w:val="TableDataEntries"/>
            </w:pPr>
            <w:r>
              <w:t>36.3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441A1B" w14:textId="4373DAE6" w:rsidR="00D24C7F" w:rsidRDefault="00D24C7F">
            <w:pPr>
              <w:pStyle w:val="TableDataEntries"/>
            </w:pPr>
            <w:r>
              <w:t>48.1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AA4B5C" w14:textId="276B1226" w:rsidR="00D24C7F" w:rsidRDefault="00D24C7F">
            <w:pPr>
              <w:pStyle w:val="TableDataEntries"/>
            </w:pPr>
            <w:r>
              <w:t>48.1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C19E230" w14:textId="195BCC1D" w:rsidR="00D24C7F" w:rsidRDefault="00D24C7F">
            <w:pPr>
              <w:pStyle w:val="TableDataEntries"/>
            </w:pPr>
            <w:r>
              <w:t>24.0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071624" w14:textId="5EEBBC43" w:rsidR="00D24C7F" w:rsidRDefault="00D24C7F">
            <w:pPr>
              <w:pStyle w:val="TableDataEntries"/>
            </w:pPr>
            <w:r>
              <w:t>24.0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E94096" w14:textId="312FB791" w:rsidR="00D24C7F" w:rsidRDefault="00D24C7F">
            <w:pPr>
              <w:pStyle w:val="TableDataEntries"/>
            </w:pPr>
            <w:r>
              <w:t>72.2</w:t>
            </w:r>
          </w:p>
        </w:tc>
      </w:tr>
      <w:tr w:rsidR="00D24C7F" w:rsidRPr="00C76EF9" w14:paraId="7AB632DC" w14:textId="77777777">
        <w:trPr>
          <w:trHeight w:val="245"/>
        </w:trPr>
        <w:tc>
          <w:tcPr>
            <w:tcW w:w="2627"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46BE2507" w14:textId="77777777" w:rsidR="00D24C7F" w:rsidRPr="00C76EF9" w:rsidRDefault="00D24C7F">
            <w:pPr>
              <w:pStyle w:val="TableDataEntries"/>
              <w:jc w:val="left"/>
              <w:rPr>
                <w:rFonts w:ascii="Franklin Gothic Demi" w:hAnsi="Franklin Gothic Demi"/>
              </w:rPr>
            </w:pPr>
            <w:r w:rsidRPr="00C76EF9">
              <w:rPr>
                <w:rFonts w:ascii="Franklin Gothic Demi" w:hAnsi="Franklin Gothic Demi"/>
              </w:rPr>
              <w:t>Total</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79F5E21" w14:textId="7ACF85E6" w:rsidR="00D24C7F" w:rsidRPr="00C76EF9" w:rsidRDefault="00D24C7F">
            <w:pPr>
              <w:pStyle w:val="TableDataEntries"/>
              <w:rPr>
                <w:rFonts w:ascii="Franklin Gothic Demi" w:hAnsi="Franklin Gothic Demi"/>
              </w:rPr>
            </w:pPr>
            <w:r w:rsidRPr="00C76EF9">
              <w:rPr>
                <w:rFonts w:ascii="Franklin Gothic Demi" w:hAnsi="Franklin Gothic Demi"/>
              </w:rPr>
              <w:t>105.0</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7EAD0A3" w14:textId="60C2F3CC" w:rsidR="00D24C7F" w:rsidRPr="00C76EF9" w:rsidRDefault="00D24C7F">
            <w:pPr>
              <w:pStyle w:val="TableDataEntries"/>
              <w:rPr>
                <w:rFonts w:ascii="Franklin Gothic Demi" w:hAnsi="Franklin Gothic Demi"/>
              </w:rPr>
            </w:pPr>
            <w:r w:rsidRPr="00C76EF9">
              <w:rPr>
                <w:rFonts w:ascii="Franklin Gothic Demi" w:hAnsi="Franklin Gothic Demi"/>
              </w:rPr>
              <w:t>62.9</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652BCFA" w14:textId="1F8D433C" w:rsidR="00D24C7F" w:rsidRPr="00C76EF9" w:rsidRDefault="00D24C7F">
            <w:pPr>
              <w:pStyle w:val="TableDataEntries"/>
              <w:rPr>
                <w:rFonts w:ascii="Franklin Gothic Demi" w:hAnsi="Franklin Gothic Demi"/>
              </w:rPr>
            </w:pPr>
            <w:r w:rsidRPr="00C76EF9">
              <w:rPr>
                <w:rFonts w:ascii="Franklin Gothic Demi" w:hAnsi="Franklin Gothic Demi"/>
              </w:rPr>
              <w:t>245.0</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F28B2C3" w14:textId="3BD5269B" w:rsidR="00D24C7F" w:rsidRPr="00C76EF9" w:rsidRDefault="00D24C7F">
            <w:pPr>
              <w:pStyle w:val="TableDataEntries"/>
              <w:rPr>
                <w:rFonts w:ascii="Franklin Gothic Demi" w:hAnsi="Franklin Gothic Demi"/>
              </w:rPr>
            </w:pPr>
            <w:r w:rsidRPr="00C76EF9">
              <w:rPr>
                <w:rFonts w:ascii="Franklin Gothic Demi" w:hAnsi="Franklin Gothic Demi"/>
              </w:rPr>
              <w:t>113.9</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75ECAEB" w14:textId="01DC9102" w:rsidR="00D24C7F" w:rsidRPr="00C76EF9" w:rsidRDefault="00D24C7F">
            <w:pPr>
              <w:pStyle w:val="TableDataEntries"/>
              <w:rPr>
                <w:rFonts w:ascii="Franklin Gothic Demi" w:hAnsi="Franklin Gothic Demi"/>
              </w:rPr>
            </w:pPr>
            <w:r w:rsidRPr="00C76EF9">
              <w:rPr>
                <w:rFonts w:ascii="Franklin Gothic Demi" w:hAnsi="Franklin Gothic Demi"/>
              </w:rPr>
              <w:t>121.7</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A9B5850" w14:textId="5A3EE799" w:rsidR="00D24C7F" w:rsidRPr="00C76EF9" w:rsidRDefault="00D24C7F">
            <w:pPr>
              <w:pStyle w:val="TableDataEntries"/>
              <w:rPr>
                <w:rFonts w:ascii="Franklin Gothic Demi" w:hAnsi="Franklin Gothic Demi"/>
              </w:rPr>
            </w:pPr>
            <w:r w:rsidRPr="00C76EF9">
              <w:rPr>
                <w:rFonts w:ascii="Franklin Gothic Demi" w:hAnsi="Franklin Gothic Demi"/>
              </w:rPr>
              <w:t>79.3</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497BEB8" w14:textId="6B802FCC" w:rsidR="00D24C7F" w:rsidRPr="00C76EF9" w:rsidRDefault="00D24C7F">
            <w:pPr>
              <w:pStyle w:val="TableDataEntries"/>
              <w:rPr>
                <w:rFonts w:ascii="Franklin Gothic Demi" w:hAnsi="Franklin Gothic Demi"/>
              </w:rPr>
            </w:pPr>
            <w:r w:rsidRPr="00C76EF9">
              <w:rPr>
                <w:rFonts w:ascii="Franklin Gothic Demi" w:hAnsi="Franklin Gothic Demi"/>
              </w:rPr>
              <w:t>72.4</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C7C6186" w14:textId="0B21F4B6" w:rsidR="00D24C7F" w:rsidRPr="00C76EF9" w:rsidRDefault="00D24C7F">
            <w:pPr>
              <w:pStyle w:val="TableDataEntries"/>
              <w:rPr>
                <w:rFonts w:ascii="Franklin Gothic Demi" w:hAnsi="Franklin Gothic Demi"/>
              </w:rPr>
            </w:pPr>
            <w:r w:rsidRPr="00C76EF9">
              <w:rPr>
                <w:rFonts w:ascii="Franklin Gothic Demi" w:hAnsi="Franklin Gothic Demi"/>
              </w:rPr>
              <w:t>248.9</w:t>
            </w:r>
          </w:p>
        </w:tc>
      </w:tr>
    </w:tbl>
    <w:p w14:paraId="3ACA1264" w14:textId="77777777" w:rsidR="00D24C7F" w:rsidRDefault="00D24C7F" w:rsidP="00D24C7F">
      <w:pPr>
        <w:pStyle w:val="Note"/>
      </w:pPr>
      <w:r w:rsidRPr="007D1B4F">
        <w:rPr>
          <w:i/>
        </w:rPr>
        <w:t>Note:</w:t>
      </w:r>
      <w:r w:rsidRPr="00E879B8">
        <w:t xml:space="preserve"> </w:t>
      </w:r>
      <w:r>
        <w:t>Costs and benefits estimated in present value terms over the 50</w:t>
      </w:r>
      <w:r>
        <w:noBreakHyphen/>
        <w:t xml:space="preserve">year life of a building constructed in 2025, using a discount rate of 5 per cent. </w:t>
      </w:r>
    </w:p>
    <w:p w14:paraId="75305287" w14:textId="77777777" w:rsidR="00D24C7F" w:rsidRDefault="00D24C7F" w:rsidP="00D24C7F">
      <w:pPr>
        <w:pStyle w:val="Source"/>
      </w:pPr>
      <w:r>
        <w:rPr>
          <w:i/>
        </w:rPr>
        <w:t>Source</w:t>
      </w:r>
      <w:r w:rsidRPr="00E4232C">
        <w:rPr>
          <w:i/>
        </w:rPr>
        <w:t>:</w:t>
      </w:r>
      <w:r>
        <w:t xml:space="preserve"> CIE based on DeltaQ modelling.</w:t>
      </w:r>
    </w:p>
    <w:p w14:paraId="59DAFAD4" w14:textId="254A2A21" w:rsidR="00D24C7F" w:rsidRPr="005E5FA8" w:rsidRDefault="00D24C7F" w:rsidP="00D24C7F">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w:instrText>
      </w:r>
      <w:fldSimple w:instr=" STYLEREF &quot;Heading 1&quot; \l \n ">
        <w:r w:rsidRPr="005E5FA8">
          <w:instrText>2</w:instrText>
        </w:r>
      </w:fldSimple>
      <w:r w:rsidRPr="005E5FA8">
        <w:instrText xml:space="preserve">." </w:instrText>
      </w:r>
      <w:r w:rsidRPr="005E5FA8">
        <w:fldChar w:fldCharType="end"/>
      </w:r>
      <w:r w:rsidRPr="005E5FA8">
        <w:instrText>" "</w:instrText>
      </w:r>
      <w:fldSimple w:instr=" STYLEREF &quot;Heading 6&quot; \l \n ">
        <w:r w:rsidR="00581346">
          <w:rPr>
            <w:noProof/>
          </w:rPr>
          <w:instrText>H</w:instrText>
        </w:r>
      </w:fldSimple>
      <w:r w:rsidRPr="005E5FA8">
        <w:instrText xml:space="preserve">." </w:instrText>
      </w:r>
      <w:r w:rsidRPr="005E5FA8">
        <w:fldChar w:fldCharType="separate"/>
      </w:r>
      <w:r w:rsidR="00581346">
        <w:rPr>
          <w:noProof/>
        </w:rPr>
        <w:instrText>H</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"1" </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2</w:instrText>
      </w:r>
      <w:r w:rsidRPr="005E5FA8">
        <w:fldChar w:fldCharType="end"/>
      </w:r>
      <w:r w:rsidRPr="005E5FA8">
        <w:instrText xml:space="preserve">" "" </w:instrText>
      </w:r>
      <w:r w:rsidRPr="005E5FA8">
        <w:fldChar w:fldCharType="separate"/>
      </w:r>
      <w:bookmarkStart w:id="9727" w:name="_Caption0732"/>
      <w:bookmarkStart w:id="9728" w:name="_Caption0341"/>
      <w:bookmarkStart w:id="9729" w:name="_Caption6223"/>
      <w:bookmarkStart w:id="9730" w:name="_Caption3271"/>
      <w:bookmarkStart w:id="9731" w:name="_Caption4013"/>
      <w:bookmarkStart w:id="9732" w:name="_Caption8980"/>
      <w:bookmarkStart w:id="9733" w:name="_Caption9567"/>
      <w:bookmarkStart w:id="9734" w:name="_Caption0268"/>
      <w:bookmarkStart w:id="9735" w:name="_Caption3103"/>
      <w:bookmarkStart w:id="9736" w:name="_Caption2171"/>
      <w:bookmarkStart w:id="9737" w:name="_Caption7631"/>
      <w:bookmarkStart w:id="9738" w:name="_Caption5227"/>
      <w:bookmarkStart w:id="9739" w:name="_Caption7808"/>
      <w:bookmarkStart w:id="9740" w:name="_Caption1381"/>
      <w:bookmarkStart w:id="9741" w:name="_Caption4312"/>
      <w:bookmarkStart w:id="9742" w:name="_Caption3913"/>
      <w:bookmarkStart w:id="9743" w:name="_Caption7718"/>
      <w:bookmarkStart w:id="9744" w:name="_Caption8400"/>
      <w:bookmarkStart w:id="9745" w:name="_Caption5053"/>
      <w:bookmarkStart w:id="9746" w:name="_Caption2694"/>
      <w:bookmarkStart w:id="9747" w:name="_Caption3001"/>
      <w:bookmarkStart w:id="9748" w:name="_Caption5283"/>
      <w:bookmarkStart w:id="9749" w:name="_Caption5089"/>
      <w:bookmarkStart w:id="9750" w:name="_Caption0618"/>
      <w:bookmarkStart w:id="9751" w:name="_Caption2216"/>
      <w:bookmarkStart w:id="9752" w:name="_Caption4053"/>
      <w:bookmarkStart w:id="9753" w:name="_Caption8694"/>
      <w:bookmarkStart w:id="9754" w:name="_Caption6288"/>
      <w:bookmarkStart w:id="9755" w:name="_Toc177735252"/>
      <w:bookmarkStart w:id="9756" w:name="_Toc178292694"/>
      <w:r w:rsidR="008C60A3">
        <w:rPr>
          <w:noProof/>
        </w:rPr>
        <w:t>H</w:t>
      </w:r>
      <w:r w:rsidR="008C60A3" w:rsidRPr="005E5FA8">
        <w:rPr>
          <w:noProof/>
        </w:rPr>
        <w:t>.</w:t>
      </w:r>
      <w:r w:rsidR="008C60A3">
        <w:rPr>
          <w:noProof/>
        </w:rPr>
        <w:t>2</w:t>
      </w:r>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r w:rsidRPr="005E5FA8">
        <w:fldChar w:fldCharType="end"/>
      </w:r>
      <w:r w:rsidRPr="005E5FA8">
        <w:tab/>
        <w:t>Stringency Level 1 estimated costs and benefits — C3HL</w:t>
      </w:r>
      <w:bookmarkEnd w:id="9755"/>
      <w:bookmarkEnd w:id="9756"/>
    </w:p>
    <w:tbl>
      <w:tblPr>
        <w:tblW w:w="7906" w:type="dxa"/>
        <w:tblLayout w:type="fixed"/>
        <w:tblLook w:val="0000" w:firstRow="0" w:lastRow="0" w:firstColumn="0" w:lastColumn="0" w:noHBand="0" w:noVBand="0"/>
        <w:tblCaption w:val="Table G.2"/>
        <w:tblDescription w:val="Stringency Level 1 estimated costs and benefits — C3HL"/>
      </w:tblPr>
      <w:tblGrid>
        <w:gridCol w:w="2627"/>
        <w:gridCol w:w="634"/>
        <w:gridCol w:w="663"/>
        <w:gridCol w:w="664"/>
        <w:gridCol w:w="663"/>
        <w:gridCol w:w="664"/>
        <w:gridCol w:w="664"/>
        <w:gridCol w:w="663"/>
        <w:gridCol w:w="664"/>
      </w:tblGrid>
      <w:tr w:rsidR="00D24C7F" w14:paraId="36360248" w14:textId="77777777">
        <w:trPr>
          <w:trHeight w:val="245"/>
          <w:tblHeader/>
        </w:trPr>
        <w:tc>
          <w:tcPr>
            <w:tcW w:w="2627" w:type="dxa"/>
            <w:shd w:val="clear" w:color="auto" w:fill="6F6652"/>
            <w:tcMar>
              <w:left w:w="57" w:type="dxa"/>
              <w:right w:w="57" w:type="dxa"/>
            </w:tcMar>
          </w:tcPr>
          <w:p w14:paraId="40D58589" w14:textId="77777777" w:rsidR="00D24C7F" w:rsidRDefault="00D24C7F">
            <w:pPr>
              <w:pStyle w:val="TableDataColumnHeading"/>
              <w:jc w:val="left"/>
            </w:pPr>
            <w:r>
              <w:t>Impact</w:t>
            </w:r>
          </w:p>
        </w:tc>
        <w:tc>
          <w:tcPr>
            <w:tcW w:w="634" w:type="dxa"/>
            <w:shd w:val="clear" w:color="auto" w:fill="6F6652"/>
            <w:tcMar>
              <w:left w:w="57" w:type="dxa"/>
              <w:right w:w="57" w:type="dxa"/>
            </w:tcMar>
          </w:tcPr>
          <w:p w14:paraId="5A70AF89" w14:textId="77777777" w:rsidR="00D24C7F" w:rsidRDefault="00D24C7F">
            <w:pPr>
              <w:pStyle w:val="TableDataColumnHeading"/>
            </w:pPr>
            <w:r>
              <w:t>NSW (CZ5)</w:t>
            </w:r>
          </w:p>
          <w:p w14:paraId="300B01A6" w14:textId="77777777" w:rsidR="00D24C7F" w:rsidRDefault="00D24C7F">
            <w:pPr>
              <w:pStyle w:val="TableDataColumnHeading"/>
            </w:pPr>
            <w:r>
              <w:t>$ per m2</w:t>
            </w:r>
          </w:p>
        </w:tc>
        <w:tc>
          <w:tcPr>
            <w:tcW w:w="663" w:type="dxa"/>
            <w:shd w:val="clear" w:color="auto" w:fill="6F6652"/>
            <w:tcMar>
              <w:left w:w="57" w:type="dxa"/>
              <w:right w:w="57" w:type="dxa"/>
            </w:tcMar>
          </w:tcPr>
          <w:p w14:paraId="314AFFD8" w14:textId="77777777" w:rsidR="00D24C7F" w:rsidRDefault="00D24C7F">
            <w:pPr>
              <w:pStyle w:val="TableDataColumnHeading"/>
            </w:pPr>
            <w:r>
              <w:t>VIC (CZ6)</w:t>
            </w:r>
          </w:p>
          <w:p w14:paraId="2545C056" w14:textId="77777777" w:rsidR="00D24C7F" w:rsidRDefault="00D24C7F">
            <w:pPr>
              <w:pStyle w:val="TableDataColumnHeading"/>
            </w:pPr>
            <w:r>
              <w:t>$ per m2</w:t>
            </w:r>
          </w:p>
        </w:tc>
        <w:tc>
          <w:tcPr>
            <w:tcW w:w="664" w:type="dxa"/>
            <w:shd w:val="clear" w:color="auto" w:fill="6F6652"/>
            <w:tcMar>
              <w:left w:w="57" w:type="dxa"/>
              <w:right w:w="57" w:type="dxa"/>
            </w:tcMar>
          </w:tcPr>
          <w:p w14:paraId="7FF065ED" w14:textId="77777777" w:rsidR="00D24C7F" w:rsidRDefault="00D24C7F">
            <w:pPr>
              <w:pStyle w:val="TableDataColumnHeading"/>
            </w:pPr>
            <w:r>
              <w:t>QLD (CZ2)</w:t>
            </w:r>
          </w:p>
          <w:p w14:paraId="44832843" w14:textId="77777777" w:rsidR="00D24C7F" w:rsidRDefault="00D24C7F">
            <w:pPr>
              <w:pStyle w:val="TableDataColumnHeading"/>
            </w:pPr>
            <w:r>
              <w:t>$ per m2</w:t>
            </w:r>
          </w:p>
        </w:tc>
        <w:tc>
          <w:tcPr>
            <w:tcW w:w="663" w:type="dxa"/>
            <w:shd w:val="clear" w:color="auto" w:fill="6F6652"/>
            <w:tcMar>
              <w:left w:w="57" w:type="dxa"/>
              <w:right w:w="57" w:type="dxa"/>
            </w:tcMar>
          </w:tcPr>
          <w:p w14:paraId="76AC7338" w14:textId="77777777" w:rsidR="00D24C7F" w:rsidRDefault="00D24C7F">
            <w:pPr>
              <w:pStyle w:val="TableDataColumnHeading"/>
            </w:pPr>
            <w:r>
              <w:t>WA (CZ5)</w:t>
            </w:r>
          </w:p>
          <w:p w14:paraId="50CD263A" w14:textId="77777777" w:rsidR="00D24C7F" w:rsidRDefault="00D24C7F">
            <w:pPr>
              <w:pStyle w:val="TableDataColumnHeading"/>
            </w:pPr>
            <w:r>
              <w:t>$ per m2</w:t>
            </w:r>
          </w:p>
        </w:tc>
        <w:tc>
          <w:tcPr>
            <w:tcW w:w="664" w:type="dxa"/>
            <w:shd w:val="clear" w:color="auto" w:fill="6F6652"/>
            <w:tcMar>
              <w:left w:w="57" w:type="dxa"/>
              <w:right w:w="57" w:type="dxa"/>
            </w:tcMar>
          </w:tcPr>
          <w:p w14:paraId="694054B6" w14:textId="77777777" w:rsidR="00D24C7F" w:rsidRDefault="00D24C7F">
            <w:pPr>
              <w:pStyle w:val="TableDataColumnHeading"/>
            </w:pPr>
            <w:r>
              <w:t>SA (CZ5)</w:t>
            </w:r>
          </w:p>
          <w:p w14:paraId="63FEBB8F" w14:textId="77777777" w:rsidR="00D24C7F" w:rsidRDefault="00D24C7F">
            <w:pPr>
              <w:pStyle w:val="TableDataColumnHeading"/>
            </w:pPr>
            <w:r>
              <w:t>$ per m2</w:t>
            </w:r>
          </w:p>
        </w:tc>
        <w:tc>
          <w:tcPr>
            <w:tcW w:w="664" w:type="dxa"/>
            <w:shd w:val="clear" w:color="auto" w:fill="6F6652"/>
            <w:tcMar>
              <w:left w:w="57" w:type="dxa"/>
              <w:right w:w="57" w:type="dxa"/>
            </w:tcMar>
          </w:tcPr>
          <w:p w14:paraId="3E6E36F0" w14:textId="77777777" w:rsidR="00D24C7F" w:rsidRDefault="00D24C7F">
            <w:pPr>
              <w:pStyle w:val="TableDataColumnHeading"/>
            </w:pPr>
            <w:r>
              <w:t>TAS (CZ7)</w:t>
            </w:r>
          </w:p>
          <w:p w14:paraId="253E74CC" w14:textId="77777777" w:rsidR="00D24C7F" w:rsidRDefault="00D24C7F">
            <w:pPr>
              <w:pStyle w:val="TableDataColumnHeading"/>
            </w:pPr>
            <w:r>
              <w:t>$ per m2</w:t>
            </w:r>
          </w:p>
        </w:tc>
        <w:tc>
          <w:tcPr>
            <w:tcW w:w="663" w:type="dxa"/>
            <w:shd w:val="clear" w:color="auto" w:fill="6F6652"/>
            <w:tcMar>
              <w:left w:w="57" w:type="dxa"/>
              <w:right w:w="57" w:type="dxa"/>
            </w:tcMar>
          </w:tcPr>
          <w:p w14:paraId="68138741" w14:textId="77777777" w:rsidR="00D24C7F" w:rsidRDefault="00D24C7F">
            <w:pPr>
              <w:pStyle w:val="TableDataColumnHeading"/>
            </w:pPr>
            <w:r>
              <w:t>ACT (CZ7)</w:t>
            </w:r>
          </w:p>
          <w:p w14:paraId="5038BDF3" w14:textId="77777777" w:rsidR="00D24C7F" w:rsidRDefault="00D24C7F">
            <w:pPr>
              <w:pStyle w:val="TableDataColumnHeading"/>
            </w:pPr>
            <w:r>
              <w:t>$ per m2</w:t>
            </w:r>
          </w:p>
        </w:tc>
        <w:tc>
          <w:tcPr>
            <w:tcW w:w="664" w:type="dxa"/>
            <w:shd w:val="clear" w:color="auto" w:fill="6F6652"/>
            <w:tcMar>
              <w:left w:w="57" w:type="dxa"/>
              <w:right w:w="57" w:type="dxa"/>
            </w:tcMar>
          </w:tcPr>
          <w:p w14:paraId="2BDBFE5A" w14:textId="77777777" w:rsidR="00D24C7F" w:rsidRDefault="00D24C7F">
            <w:pPr>
              <w:pStyle w:val="TableDataColumnHeading"/>
            </w:pPr>
            <w:r>
              <w:t>NT (CZ1)</w:t>
            </w:r>
          </w:p>
          <w:p w14:paraId="31B98BD4" w14:textId="77777777" w:rsidR="00D24C7F" w:rsidRDefault="00D24C7F">
            <w:pPr>
              <w:pStyle w:val="TableDataColumnHeading"/>
            </w:pPr>
            <w:r>
              <w:t>$ per m2</w:t>
            </w:r>
          </w:p>
        </w:tc>
      </w:tr>
      <w:tr w:rsidR="00D24C7F" w14:paraId="64647866"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025BD2" w14:textId="070F24B0" w:rsidR="00D24C7F" w:rsidRDefault="00D24C7F">
            <w:pPr>
              <w:pStyle w:val="TableDataEntries"/>
              <w:jc w:val="left"/>
            </w:pPr>
            <w:r>
              <w:t xml:space="preserve">Avoided </w:t>
            </w:r>
            <w:r w:rsidR="005914FD">
              <w:t xml:space="preserve">electricity </w:t>
            </w:r>
            <w:r>
              <w:t>network capacity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289750F" w14:textId="31B04F65" w:rsidR="00D24C7F" w:rsidRDefault="00D24C7F">
            <w:pPr>
              <w:pStyle w:val="TableDataEntries"/>
            </w:pPr>
            <w:r>
              <w:t>6.9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5C9E42" w14:textId="3AED80A6" w:rsidR="00D24C7F" w:rsidRDefault="00D24C7F">
            <w:pPr>
              <w:pStyle w:val="TableDataEntries"/>
            </w:pPr>
            <w:r>
              <w:t>0.7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3033B3" w14:textId="2A5A11C6" w:rsidR="00D24C7F" w:rsidRDefault="00D24C7F">
            <w:pPr>
              <w:pStyle w:val="TableDataEntries"/>
            </w:pPr>
            <w:r>
              <w:t>7.8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E3C3F2F" w14:textId="36574FFB" w:rsidR="00D24C7F" w:rsidRDefault="00D24C7F">
            <w:pPr>
              <w:pStyle w:val="TableDataEntries"/>
            </w:pPr>
            <w:r>
              <w:t>1.7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50A9CC" w14:textId="0C45EA56" w:rsidR="00D24C7F" w:rsidRDefault="00D24C7F">
            <w:pPr>
              <w:pStyle w:val="TableDataEntries"/>
            </w:pPr>
            <w:r>
              <w:t>4.7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98EA1AC" w14:textId="16EE560D" w:rsidR="00D24C7F" w:rsidRDefault="00D24C7F">
            <w:pPr>
              <w:pStyle w:val="TableDataEntries"/>
            </w:pPr>
            <w:r>
              <w:t>9.6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DCFD8F" w14:textId="4036A155" w:rsidR="00D24C7F" w:rsidRDefault="00D24C7F">
            <w:pPr>
              <w:pStyle w:val="TableDataEntries"/>
            </w:pPr>
            <w:r>
              <w:t>4.6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F801A9" w14:textId="1EB888AC" w:rsidR="00D24C7F" w:rsidRDefault="00D24C7F">
            <w:pPr>
              <w:pStyle w:val="TableDataEntries"/>
            </w:pPr>
            <w:r>
              <w:t>6.4</w:t>
            </w:r>
          </w:p>
        </w:tc>
      </w:tr>
      <w:tr w:rsidR="00D24C7F" w14:paraId="4A09DEE8"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D6BD03F" w14:textId="58E88711" w:rsidR="00D24C7F" w:rsidRDefault="00D24C7F">
            <w:pPr>
              <w:pStyle w:val="TableDataEntries"/>
              <w:jc w:val="left"/>
            </w:pPr>
            <w:r>
              <w:t xml:space="preserve">Avoided </w:t>
            </w:r>
            <w:r w:rsidR="005914FD">
              <w:t xml:space="preserve">electricity </w:t>
            </w:r>
            <w:r>
              <w:t>wholesale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C20F002" w14:textId="6DBB164A" w:rsidR="00D24C7F" w:rsidRDefault="00D24C7F">
            <w:pPr>
              <w:pStyle w:val="TableDataEntries"/>
            </w:pPr>
            <w:r>
              <w:t>14.0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A43E98" w14:textId="33186FE2" w:rsidR="00D24C7F" w:rsidRDefault="00D24C7F">
            <w:pPr>
              <w:pStyle w:val="TableDataEntries"/>
            </w:pPr>
            <w:r>
              <w:t>8.1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01F3BB" w14:textId="636731DE" w:rsidR="00D24C7F" w:rsidRDefault="00D24C7F">
            <w:pPr>
              <w:pStyle w:val="TableDataEntries"/>
            </w:pPr>
            <w:r>
              <w:t>18.4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F034B5" w14:textId="208C294C" w:rsidR="00D24C7F" w:rsidRDefault="00D24C7F">
            <w:pPr>
              <w:pStyle w:val="TableDataEntries"/>
            </w:pPr>
            <w:r>
              <w:t>9.3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22F38C" w14:textId="2612C396" w:rsidR="00D24C7F" w:rsidRDefault="00D24C7F">
            <w:pPr>
              <w:pStyle w:val="TableDataEntries"/>
            </w:pPr>
            <w:r>
              <w:t>13.0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4E61C00" w14:textId="70C0118F" w:rsidR="00D24C7F" w:rsidRDefault="00D24C7F">
            <w:pPr>
              <w:pStyle w:val="TableDataEntries"/>
            </w:pPr>
            <w:r>
              <w:t>8.6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CCF32E" w14:textId="1157C621" w:rsidR="00D24C7F" w:rsidRDefault="00D24C7F">
            <w:pPr>
              <w:pStyle w:val="TableDataEntries"/>
            </w:pPr>
            <w:r>
              <w:t>10.1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9A1AFC" w14:textId="33353861" w:rsidR="00D24C7F" w:rsidRDefault="00D24C7F">
            <w:pPr>
              <w:pStyle w:val="TableDataEntries"/>
            </w:pPr>
            <w:r>
              <w:t>26.3</w:t>
            </w:r>
          </w:p>
        </w:tc>
      </w:tr>
      <w:tr w:rsidR="00D24C7F" w14:paraId="20C94414"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7B94E4F" w14:textId="6F25942B" w:rsidR="00D24C7F" w:rsidRDefault="00D24C7F">
            <w:pPr>
              <w:pStyle w:val="TableDataEntries"/>
              <w:jc w:val="left"/>
            </w:pPr>
            <w:r>
              <w:t xml:space="preserve">Avoided </w:t>
            </w:r>
            <w:r w:rsidR="005914FD">
              <w:t xml:space="preserve">electricity </w:t>
            </w:r>
            <w:r>
              <w:t>network usage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FE1959" w14:textId="0B7B02F5" w:rsidR="00D24C7F" w:rsidRDefault="00D24C7F">
            <w:pPr>
              <w:pStyle w:val="TableDataEntries"/>
            </w:pPr>
            <w:r>
              <w:t>7.3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1F2D7F" w14:textId="24A68B4E" w:rsidR="00D24C7F" w:rsidRDefault="00D24C7F">
            <w:pPr>
              <w:pStyle w:val="TableDataEntries"/>
            </w:pPr>
            <w:r>
              <w:t>6.6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4212386" w14:textId="04CDF833" w:rsidR="00D24C7F" w:rsidRDefault="00D24C7F">
            <w:pPr>
              <w:pStyle w:val="TableDataEntries"/>
            </w:pPr>
            <w:r>
              <w:t>9.4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65CA2F9" w14:textId="55815A53" w:rsidR="00D24C7F" w:rsidRDefault="00D24C7F">
            <w:pPr>
              <w:pStyle w:val="TableDataEntries"/>
            </w:pPr>
            <w:r>
              <w:t>16.6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E4F562" w14:textId="7FAF691C" w:rsidR="00D24C7F" w:rsidRDefault="00D24C7F">
            <w:pPr>
              <w:pStyle w:val="TableDataEntries"/>
            </w:pPr>
            <w:r>
              <w:t>18.7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CA6A304" w14:textId="15751617" w:rsidR="00D24C7F" w:rsidRDefault="00D24C7F">
            <w:pPr>
              <w:pStyle w:val="TableDataEntries"/>
            </w:pPr>
            <w:r>
              <w:t>11.7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C8B861" w14:textId="0CD0B03B" w:rsidR="00D24C7F" w:rsidRDefault="00D24C7F">
            <w:pPr>
              <w:pStyle w:val="TableDataEntries"/>
            </w:pPr>
            <w:r>
              <w:t>6.9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25638AE" w14:textId="179F1EEE" w:rsidR="00D24C7F" w:rsidRDefault="00D24C7F">
            <w:pPr>
              <w:pStyle w:val="TableDataEntries"/>
            </w:pPr>
            <w:r>
              <w:t>16.6</w:t>
            </w:r>
          </w:p>
        </w:tc>
      </w:tr>
      <w:tr w:rsidR="00D24C7F" w14:paraId="28DE2ED5"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4457713" w14:textId="437FA91F" w:rsidR="00D24C7F" w:rsidRDefault="00D24C7F">
            <w:pPr>
              <w:pStyle w:val="TableDataEntries"/>
              <w:jc w:val="left"/>
            </w:pPr>
            <w:r>
              <w:t xml:space="preserve">Avoided </w:t>
            </w:r>
            <w:r w:rsidR="005914FD">
              <w:t xml:space="preserve">electricity </w:t>
            </w:r>
            <w:r>
              <w:t>retail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F5FC80" w14:textId="3C98F494" w:rsidR="00D24C7F" w:rsidRDefault="00D24C7F">
            <w:pPr>
              <w:pStyle w:val="TableDataEntries"/>
            </w:pPr>
            <w:r>
              <w:t>4.2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2E4AA39" w14:textId="361A8B5F" w:rsidR="00D24C7F" w:rsidRDefault="00D24C7F">
            <w:pPr>
              <w:pStyle w:val="TableDataEntries"/>
            </w:pPr>
            <w:r>
              <w:t>2.3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962F983" w14:textId="3DB4BD05" w:rsidR="00D24C7F" w:rsidRDefault="00D24C7F">
            <w:pPr>
              <w:pStyle w:val="TableDataEntries"/>
            </w:pPr>
            <w:r>
              <w:t>5.3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0B0842" w14:textId="58B6DEC8" w:rsidR="00D24C7F" w:rsidRDefault="00D24C7F">
            <w:pPr>
              <w:pStyle w:val="TableDataEntries"/>
            </w:pPr>
            <w:r>
              <w:t>4.1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3489481" w14:textId="208B0F5B" w:rsidR="00D24C7F" w:rsidRDefault="00D24C7F">
            <w:pPr>
              <w:pStyle w:val="TableDataEntries"/>
            </w:pPr>
            <w:r>
              <w:t>5.5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761278" w14:textId="446DA1CE" w:rsidR="00D24C7F" w:rsidRDefault="00D24C7F">
            <w:pPr>
              <w:pStyle w:val="TableDataEntries"/>
            </w:pPr>
            <w:r>
              <w:t>4.5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AF7E3B" w14:textId="3F070E01" w:rsidR="00D24C7F" w:rsidRDefault="00D24C7F">
            <w:pPr>
              <w:pStyle w:val="TableDataEntries"/>
            </w:pPr>
            <w:r>
              <w:t>3.2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58A61FF" w14:textId="00CA5946" w:rsidR="00D24C7F" w:rsidRDefault="00D24C7F">
            <w:pPr>
              <w:pStyle w:val="TableDataEntries"/>
            </w:pPr>
            <w:r>
              <w:t>7.4</w:t>
            </w:r>
          </w:p>
        </w:tc>
      </w:tr>
      <w:tr w:rsidR="00D24C7F" w14:paraId="38C2AC70"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EB767E2" w14:textId="60F89796" w:rsidR="00D24C7F" w:rsidRDefault="00D24C7F">
            <w:pPr>
              <w:pStyle w:val="TableDataEntries"/>
              <w:jc w:val="left"/>
            </w:pPr>
            <w:r>
              <w:t>Electricity exported to grid</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194663" w14:textId="4AACFC4B"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DADEC0E" w14:textId="62D60C20"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458F62" w14:textId="291B486A"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B9A6237" w14:textId="58935832"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CB6B9FD" w14:textId="747EED22"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09E8DE" w14:textId="1DDABDDF"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C374AD6" w14:textId="48C0885C"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3EEACD" w14:textId="258E43BC" w:rsidR="00D24C7F" w:rsidRDefault="00D24C7F">
            <w:pPr>
              <w:pStyle w:val="TableDataEntries"/>
            </w:pPr>
            <w:r>
              <w:t>0.0</w:t>
            </w:r>
          </w:p>
        </w:tc>
      </w:tr>
      <w:tr w:rsidR="00D24C7F" w14:paraId="04437022"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F5E292B" w14:textId="0D7A4EBB" w:rsidR="00D24C7F" w:rsidRDefault="006413D8">
            <w:pPr>
              <w:pStyle w:val="TableDataEntries"/>
              <w:jc w:val="left"/>
            </w:pPr>
            <w:r w:rsidRPr="009443FF">
              <w:t xml:space="preserve">Electricity exports </w:t>
            </w:r>
            <w:r w:rsidR="005914FD">
              <w:t>—</w:t>
            </w:r>
            <w:r w:rsidRPr="009443FF">
              <w:t xml:space="preserve"> network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5E2059" w14:textId="18A8A132"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0BEC59" w14:textId="6ADC5D0F"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76C91B" w14:textId="2ACC620B"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40DE22F" w14:textId="2DF0D409"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3AAE298" w14:textId="12975F2E"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DC39990" w14:textId="13D8DC75"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E719EF" w14:textId="48F93351"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3DA9999" w14:textId="7BE68363" w:rsidR="00D24C7F" w:rsidRDefault="00D24C7F">
            <w:pPr>
              <w:pStyle w:val="TableDataEntries"/>
            </w:pPr>
            <w:r>
              <w:t>0.0</w:t>
            </w:r>
          </w:p>
        </w:tc>
      </w:tr>
      <w:tr w:rsidR="00D24C7F" w14:paraId="66DF27BF"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316AE5" w14:textId="15AAAFF3" w:rsidR="00D24C7F" w:rsidRDefault="006413D8">
            <w:pPr>
              <w:pStyle w:val="TableDataEntries"/>
              <w:jc w:val="left"/>
            </w:pPr>
            <w:r w:rsidRPr="009443FF">
              <w:t>Avoided gas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4DEA2EA" w14:textId="3C5CC052" w:rsidR="00D24C7F" w:rsidRDefault="00D24C7F">
            <w:pPr>
              <w:pStyle w:val="TableDataEntries"/>
            </w:pPr>
            <w:r>
              <w:t>-2.2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C1CCF0A" w14:textId="49D26E47" w:rsidR="00D24C7F" w:rsidRDefault="00D24C7F">
            <w:pPr>
              <w:pStyle w:val="TableDataEntries"/>
            </w:pPr>
            <w:r>
              <w:t>-5.1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83F78EA" w14:textId="519E8B8D" w:rsidR="00D24C7F" w:rsidRDefault="00D24C7F">
            <w:pPr>
              <w:pStyle w:val="TableDataEntries"/>
            </w:pPr>
            <w:r>
              <w:t>-0.9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0E9162" w14:textId="58A3EAE8" w:rsidR="00D24C7F" w:rsidRDefault="00D24C7F">
            <w:pPr>
              <w:pStyle w:val="TableDataEntries"/>
            </w:pPr>
            <w:r>
              <w:t>-2.3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EC376A" w14:textId="4040ABAF" w:rsidR="00D24C7F" w:rsidRDefault="00D24C7F">
            <w:pPr>
              <w:pStyle w:val="TableDataEntries"/>
            </w:pPr>
            <w:r>
              <w:t>-2.4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C16BD0B" w14:textId="0917D5DA" w:rsidR="00D24C7F" w:rsidRDefault="00D24C7F">
            <w:pPr>
              <w:pStyle w:val="TableDataEntries"/>
            </w:pPr>
            <w:r>
              <w:t>-7.4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5F192D" w14:textId="5B84B290" w:rsidR="00D24C7F" w:rsidRDefault="00D24C7F">
            <w:pPr>
              <w:pStyle w:val="TableDataEntries"/>
            </w:pPr>
            <w:r>
              <w:t>-5.2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E55A671" w14:textId="36008521" w:rsidR="00D24C7F" w:rsidRDefault="00D24C7F">
            <w:pPr>
              <w:pStyle w:val="TableDataEntries"/>
            </w:pPr>
            <w:r>
              <w:t>0.0</w:t>
            </w:r>
          </w:p>
        </w:tc>
      </w:tr>
      <w:tr w:rsidR="00D24C7F" w14:paraId="585F54BC"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04BD67" w14:textId="60B8E8ED" w:rsidR="00D24C7F" w:rsidRDefault="00D24C7F">
            <w:pPr>
              <w:pStyle w:val="TableDataEntries"/>
              <w:jc w:val="left"/>
            </w:pPr>
            <w:r>
              <w:t xml:space="preserve">Avoided GHG emissions </w:t>
            </w:r>
            <w:r w:rsidR="005914FD">
              <w:t>–</w:t>
            </w:r>
            <w:r>
              <w:t xml:space="preserve">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2E2EB4A" w14:textId="0DE5FA58" w:rsidR="00D24C7F" w:rsidRDefault="00D24C7F">
            <w:pPr>
              <w:pStyle w:val="TableDataEntries"/>
            </w:pPr>
            <w:r>
              <w:t>7.0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694BAE" w14:textId="047D268A" w:rsidR="00D24C7F" w:rsidRDefault="00D24C7F">
            <w:pPr>
              <w:pStyle w:val="TableDataEntries"/>
            </w:pPr>
            <w:r>
              <w:t>7.6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08904DC" w14:textId="2E409943" w:rsidR="00D24C7F" w:rsidRDefault="00D24C7F">
            <w:pPr>
              <w:pStyle w:val="TableDataEntries"/>
            </w:pPr>
            <w:r>
              <w:t>22.4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8C6409" w14:textId="7E37CA6B" w:rsidR="00D24C7F" w:rsidRDefault="00D24C7F">
            <w:pPr>
              <w:pStyle w:val="TableDataEntries"/>
            </w:pPr>
            <w:r>
              <w:t>10.3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E66744" w14:textId="429418A7" w:rsidR="00D24C7F" w:rsidRDefault="00D24C7F">
            <w:pPr>
              <w:pStyle w:val="TableDataEntries"/>
            </w:pPr>
            <w:r>
              <w:t>7.5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11465CF" w14:textId="19023D58" w:rsidR="00D24C7F" w:rsidRDefault="00D24C7F">
            <w:pPr>
              <w:pStyle w:val="TableDataEntries"/>
            </w:pPr>
            <w:r>
              <w:t>0.7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6928253" w14:textId="19AE8FD2" w:rsidR="00D24C7F" w:rsidRDefault="00D24C7F">
            <w:pPr>
              <w:pStyle w:val="TableDataEntries"/>
            </w:pPr>
            <w:r>
              <w:t>4.8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9E98F9" w14:textId="431F380A" w:rsidR="00D24C7F" w:rsidRDefault="00D24C7F">
            <w:pPr>
              <w:pStyle w:val="TableDataEntries"/>
            </w:pPr>
            <w:r>
              <w:t>25.2</w:t>
            </w:r>
          </w:p>
        </w:tc>
      </w:tr>
      <w:tr w:rsidR="00D24C7F" w14:paraId="1AF7920E"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4286B0" w14:textId="382BC129" w:rsidR="00D24C7F" w:rsidRDefault="00D24C7F">
            <w:pPr>
              <w:pStyle w:val="TableDataEntries"/>
              <w:jc w:val="left"/>
            </w:pPr>
            <w:r>
              <w:t xml:space="preserve">Avoided GHG emissions </w:t>
            </w:r>
            <w:r w:rsidR="005914FD">
              <w:t>–</w:t>
            </w:r>
            <w:r>
              <w:t xml:space="preserve"> exported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F35F855" w14:textId="0E40064E"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484D262" w14:textId="7EF41B2C"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87DD09" w14:textId="64B38A40"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537572C" w14:textId="5AF92979"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17EF9A" w14:textId="0A99D57C"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4FBEC3" w14:textId="6D45282C"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56142F" w14:textId="0A437273"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5124A4" w14:textId="4DABCE80" w:rsidR="00D24C7F" w:rsidRDefault="00D24C7F">
            <w:pPr>
              <w:pStyle w:val="TableDataEntries"/>
            </w:pPr>
            <w:r>
              <w:t>0.0</w:t>
            </w:r>
          </w:p>
        </w:tc>
      </w:tr>
      <w:tr w:rsidR="00D24C7F" w14:paraId="6D801C85"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AADAD6" w14:textId="268FD005" w:rsidR="00D24C7F" w:rsidRDefault="00D24C7F">
            <w:pPr>
              <w:pStyle w:val="TableDataEntries"/>
              <w:jc w:val="left"/>
            </w:pPr>
            <w:r>
              <w:t xml:space="preserve">Avoided GHG emissions </w:t>
            </w:r>
            <w:r w:rsidR="005914FD">
              <w:t>–</w:t>
            </w:r>
            <w:r>
              <w:t xml:space="preserve"> gas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99FC9E" w14:textId="429BAC92" w:rsidR="00D24C7F" w:rsidRDefault="00D24C7F">
            <w:pPr>
              <w:pStyle w:val="TableDataEntries"/>
            </w:pPr>
            <w:r>
              <w:t>-4.6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57CE7B4" w14:textId="2E7E31D0" w:rsidR="00D24C7F" w:rsidRDefault="00D24C7F">
            <w:pPr>
              <w:pStyle w:val="TableDataEntries"/>
            </w:pPr>
            <w:r>
              <w:t>-8.7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3D1C7F8" w14:textId="3D6167DB" w:rsidR="00D24C7F" w:rsidRDefault="00D24C7F">
            <w:pPr>
              <w:pStyle w:val="TableDataEntries"/>
            </w:pPr>
            <w:r>
              <w:t>-2.2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1F15E4C" w14:textId="3757A4AF" w:rsidR="00D24C7F" w:rsidRDefault="00D24C7F">
            <w:pPr>
              <w:pStyle w:val="TableDataEntries"/>
            </w:pPr>
            <w:r>
              <w:t>-4.0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3BB3DFC" w14:textId="4535EB05" w:rsidR="00D24C7F" w:rsidRDefault="00D24C7F">
            <w:pPr>
              <w:pStyle w:val="TableDataEntries"/>
            </w:pPr>
            <w:r>
              <w:t>-4.4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45C51D" w14:textId="70F41BEE" w:rsidR="00D24C7F" w:rsidRDefault="00D24C7F">
            <w:pPr>
              <w:pStyle w:val="TableDataEntries"/>
            </w:pPr>
            <w:r>
              <w:t>-9.3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A7CED6" w14:textId="403B30DB" w:rsidR="00D24C7F" w:rsidRDefault="00D24C7F">
            <w:pPr>
              <w:pStyle w:val="TableDataEntries"/>
            </w:pPr>
            <w:r>
              <w:t>-10.9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B6D7C2" w14:textId="30DEA22C" w:rsidR="00D24C7F" w:rsidRDefault="00D24C7F">
            <w:pPr>
              <w:pStyle w:val="TableDataEntries"/>
            </w:pPr>
            <w:r>
              <w:t>0.0</w:t>
            </w:r>
          </w:p>
        </w:tc>
      </w:tr>
      <w:tr w:rsidR="00D24C7F" w14:paraId="495792DF"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D2FB7F" w14:textId="1219CAD4" w:rsidR="00D24C7F" w:rsidRDefault="00D24C7F">
            <w:pPr>
              <w:pStyle w:val="TableDataEntries"/>
              <w:jc w:val="left"/>
            </w:pPr>
            <w:r>
              <w:t>Capital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707279B" w14:textId="4F1ED51E" w:rsidR="00D24C7F" w:rsidRDefault="00D24C7F">
            <w:pPr>
              <w:pStyle w:val="TableDataEntries"/>
            </w:pPr>
            <w:r>
              <w:t>28.4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887316F" w14:textId="50BA3C4E" w:rsidR="00D24C7F" w:rsidRDefault="00D24C7F">
            <w:pPr>
              <w:pStyle w:val="TableDataEntries"/>
            </w:pPr>
            <w:r>
              <w:t>20.9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5805E24" w14:textId="3EA52F80" w:rsidR="00D24C7F" w:rsidRDefault="00D24C7F">
            <w:pPr>
              <w:pStyle w:val="TableDataEntries"/>
            </w:pPr>
            <w:r>
              <w:t>38.0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8A87DCB" w14:textId="693B0254" w:rsidR="00D24C7F" w:rsidRDefault="00D24C7F">
            <w:pPr>
              <w:pStyle w:val="TableDataEntries"/>
            </w:pPr>
            <w:r>
              <w:t>28.4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EEB22E" w14:textId="6D587695" w:rsidR="00D24C7F" w:rsidRDefault="00D24C7F">
            <w:pPr>
              <w:pStyle w:val="TableDataEntries"/>
            </w:pPr>
            <w:r>
              <w:t>28.4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367BF5" w14:textId="674A8C06" w:rsidR="00D24C7F" w:rsidRDefault="00D24C7F">
            <w:pPr>
              <w:pStyle w:val="TableDataEntries"/>
            </w:pPr>
            <w:r>
              <w:t>27.2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73E3967" w14:textId="1213EA9C" w:rsidR="00D24C7F" w:rsidRDefault="00D24C7F">
            <w:pPr>
              <w:pStyle w:val="TableDataEntries"/>
            </w:pPr>
            <w:r>
              <w:t>27.2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92CDE42" w14:textId="4F4AED4D" w:rsidR="00D24C7F" w:rsidRDefault="00D24C7F">
            <w:pPr>
              <w:pStyle w:val="TableDataEntries"/>
            </w:pPr>
            <w:r>
              <w:t>43.9</w:t>
            </w:r>
          </w:p>
        </w:tc>
      </w:tr>
      <w:tr w:rsidR="00D24C7F" w:rsidRPr="00CE61BC" w14:paraId="2259B944" w14:textId="77777777">
        <w:trPr>
          <w:trHeight w:val="245"/>
        </w:trPr>
        <w:tc>
          <w:tcPr>
            <w:tcW w:w="2627"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FAA4975" w14:textId="09DDAC6F" w:rsidR="00D24C7F" w:rsidRPr="00CE61BC" w:rsidRDefault="00D24C7F">
            <w:pPr>
              <w:pStyle w:val="TableDataEntries"/>
              <w:jc w:val="left"/>
              <w:rPr>
                <w:rFonts w:ascii="Franklin Gothic Demi" w:hAnsi="Franklin Gothic Demi"/>
              </w:rPr>
            </w:pPr>
            <w:r w:rsidRPr="00C76EF9">
              <w:rPr>
                <w:rFonts w:ascii="Franklin Gothic Demi" w:hAnsi="Franklin Gothic Demi"/>
              </w:rPr>
              <w:t>Total</w:t>
            </w:r>
          </w:p>
        </w:tc>
        <w:tc>
          <w:tcPr>
            <w:tcW w:w="63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2D0DC2F" w14:textId="76C523A9" w:rsidR="00D24C7F" w:rsidRPr="00CE61BC" w:rsidRDefault="00D24C7F">
            <w:pPr>
              <w:pStyle w:val="TableDataEntries"/>
              <w:rPr>
                <w:rFonts w:ascii="Franklin Gothic Demi" w:hAnsi="Franklin Gothic Demi"/>
              </w:rPr>
            </w:pPr>
            <w:r w:rsidRPr="00C929E1">
              <w:rPr>
                <w:rFonts w:ascii="Franklin Gothic Demi" w:hAnsi="Franklin Gothic Demi"/>
              </w:rPr>
              <w:t>60.9</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19B9FEA" w14:textId="10E78292" w:rsidR="00D24C7F" w:rsidRPr="00CE61BC" w:rsidRDefault="00D24C7F">
            <w:pPr>
              <w:pStyle w:val="TableDataEntries"/>
              <w:rPr>
                <w:rFonts w:ascii="Franklin Gothic Demi" w:hAnsi="Franklin Gothic Demi"/>
              </w:rPr>
            </w:pPr>
            <w:r w:rsidRPr="00C929E1">
              <w:rPr>
                <w:rFonts w:ascii="Franklin Gothic Demi" w:hAnsi="Franklin Gothic Demi"/>
              </w:rPr>
              <w:t>32.3</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A528742" w14:textId="493BFA8B" w:rsidR="00D24C7F" w:rsidRPr="00CE61BC" w:rsidRDefault="00D24C7F">
            <w:pPr>
              <w:pStyle w:val="TableDataEntries"/>
              <w:rPr>
                <w:rFonts w:ascii="Franklin Gothic Demi" w:hAnsi="Franklin Gothic Demi"/>
              </w:rPr>
            </w:pPr>
            <w:r w:rsidRPr="00C929E1">
              <w:rPr>
                <w:rFonts w:ascii="Franklin Gothic Demi" w:hAnsi="Franklin Gothic Demi"/>
              </w:rPr>
              <w:t>98.1</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7B1BE91B" w14:textId="4693753B" w:rsidR="00D24C7F" w:rsidRPr="00CE61BC" w:rsidRDefault="00D24C7F">
            <w:pPr>
              <w:pStyle w:val="TableDataEntries"/>
              <w:rPr>
                <w:rFonts w:ascii="Franklin Gothic Demi" w:hAnsi="Franklin Gothic Demi"/>
              </w:rPr>
            </w:pPr>
            <w:r w:rsidRPr="00C929E1">
              <w:rPr>
                <w:rFonts w:ascii="Franklin Gothic Demi" w:hAnsi="Franklin Gothic Demi"/>
              </w:rPr>
              <w:t>64.1</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78CAB3DB" w14:textId="3A80AEF5" w:rsidR="00D24C7F" w:rsidRPr="00CE61BC" w:rsidRDefault="00D24C7F">
            <w:pPr>
              <w:pStyle w:val="TableDataEntries"/>
              <w:rPr>
                <w:rFonts w:ascii="Franklin Gothic Demi" w:hAnsi="Franklin Gothic Demi"/>
              </w:rPr>
            </w:pPr>
            <w:r w:rsidRPr="00C929E1">
              <w:rPr>
                <w:rFonts w:ascii="Franklin Gothic Demi" w:hAnsi="Franklin Gothic Demi"/>
              </w:rPr>
              <w:t>70.9</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362CCED" w14:textId="19DEF4B4" w:rsidR="00D24C7F" w:rsidRPr="00CE61BC" w:rsidRDefault="00D24C7F">
            <w:pPr>
              <w:pStyle w:val="TableDataEntries"/>
              <w:rPr>
                <w:rFonts w:ascii="Franklin Gothic Demi" w:hAnsi="Franklin Gothic Demi"/>
              </w:rPr>
            </w:pPr>
            <w:r w:rsidRPr="00C929E1">
              <w:rPr>
                <w:rFonts w:ascii="Franklin Gothic Demi" w:hAnsi="Franklin Gothic Demi"/>
              </w:rPr>
              <w:t>45.6</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05C5705" w14:textId="532B9C7E" w:rsidR="00D24C7F" w:rsidRPr="00CE61BC" w:rsidRDefault="00D24C7F">
            <w:pPr>
              <w:pStyle w:val="TableDataEntries"/>
              <w:rPr>
                <w:rFonts w:ascii="Franklin Gothic Demi" w:hAnsi="Franklin Gothic Demi"/>
              </w:rPr>
            </w:pPr>
            <w:r w:rsidRPr="00C929E1">
              <w:rPr>
                <w:rFonts w:ascii="Franklin Gothic Demi" w:hAnsi="Franklin Gothic Demi"/>
              </w:rPr>
              <w:t>40.8</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1833A21" w14:textId="0DD40F5A" w:rsidR="00D24C7F" w:rsidRPr="00CE61BC" w:rsidRDefault="00D24C7F">
            <w:pPr>
              <w:pStyle w:val="TableDataEntries"/>
              <w:rPr>
                <w:rFonts w:ascii="Franklin Gothic Demi" w:hAnsi="Franklin Gothic Demi"/>
              </w:rPr>
            </w:pPr>
            <w:r w:rsidRPr="00C929E1">
              <w:rPr>
                <w:rFonts w:ascii="Franklin Gothic Demi" w:hAnsi="Franklin Gothic Demi"/>
              </w:rPr>
              <w:t>125.8</w:t>
            </w:r>
          </w:p>
        </w:tc>
      </w:tr>
    </w:tbl>
    <w:p w14:paraId="67251ECC" w14:textId="77777777" w:rsidR="00D24C7F" w:rsidRDefault="00D24C7F" w:rsidP="00D24C7F">
      <w:pPr>
        <w:pStyle w:val="Note"/>
      </w:pPr>
      <w:r w:rsidRPr="007D1B4F">
        <w:rPr>
          <w:i/>
        </w:rPr>
        <w:t>Note:</w:t>
      </w:r>
      <w:r w:rsidRPr="00E879B8">
        <w:t xml:space="preserve"> </w:t>
      </w:r>
      <w:r>
        <w:t>Costs and benefits estimated in present value terms over the 50</w:t>
      </w:r>
      <w:r>
        <w:noBreakHyphen/>
        <w:t xml:space="preserve">year life of a building constructed in 2025, using a discount rate of 5 per cent. </w:t>
      </w:r>
    </w:p>
    <w:p w14:paraId="161B6D30" w14:textId="77777777" w:rsidR="00D24C7F" w:rsidRDefault="00D24C7F" w:rsidP="00D24C7F">
      <w:pPr>
        <w:pStyle w:val="Source"/>
      </w:pPr>
      <w:r>
        <w:rPr>
          <w:i/>
        </w:rPr>
        <w:t>Source</w:t>
      </w:r>
      <w:r w:rsidRPr="00E4232C">
        <w:rPr>
          <w:i/>
        </w:rPr>
        <w:t>:</w:t>
      </w:r>
      <w:r>
        <w:t xml:space="preserve"> CIE based on DeltaQ modelling.</w:t>
      </w:r>
    </w:p>
    <w:p w14:paraId="353889FA" w14:textId="3C352A01" w:rsidR="00D24C7F" w:rsidRPr="005E5FA8" w:rsidRDefault="00D24C7F" w:rsidP="00D24C7F">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w:instrText>
      </w:r>
      <w:fldSimple w:instr=" STYLEREF &quot;Heading 1&quot; \l \n ">
        <w:r w:rsidRPr="005E5FA8">
          <w:instrText>2</w:instrText>
        </w:r>
      </w:fldSimple>
      <w:r w:rsidRPr="005E5FA8">
        <w:instrText xml:space="preserve">." </w:instrText>
      </w:r>
      <w:r w:rsidRPr="005E5FA8">
        <w:fldChar w:fldCharType="end"/>
      </w:r>
      <w:r w:rsidRPr="005E5FA8">
        <w:instrText>" "</w:instrText>
      </w:r>
      <w:fldSimple w:instr=" STYLEREF &quot;Heading 6&quot; \l \n ">
        <w:r w:rsidR="00581346">
          <w:rPr>
            <w:noProof/>
          </w:rPr>
          <w:instrText>H</w:instrText>
        </w:r>
      </w:fldSimple>
      <w:r w:rsidRPr="005E5FA8">
        <w:instrText xml:space="preserve">." </w:instrText>
      </w:r>
      <w:r w:rsidRPr="005E5FA8">
        <w:fldChar w:fldCharType="separate"/>
      </w:r>
      <w:r w:rsidR="00581346">
        <w:rPr>
          <w:noProof/>
        </w:rPr>
        <w:instrText>H</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"1" </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3</w:instrText>
      </w:r>
      <w:r w:rsidRPr="005E5FA8">
        <w:fldChar w:fldCharType="end"/>
      </w:r>
      <w:r w:rsidRPr="005E5FA8">
        <w:instrText xml:space="preserve">" "" </w:instrText>
      </w:r>
      <w:r w:rsidRPr="005E5FA8">
        <w:fldChar w:fldCharType="separate"/>
      </w:r>
      <w:bookmarkStart w:id="9757" w:name="_Caption2069"/>
      <w:bookmarkStart w:id="9758" w:name="_Caption0661"/>
      <w:bookmarkStart w:id="9759" w:name="_Caption6374"/>
      <w:bookmarkStart w:id="9760" w:name="_Caption9038"/>
      <w:bookmarkStart w:id="9761" w:name="_Caption3529"/>
      <w:bookmarkStart w:id="9762" w:name="_Caption1249"/>
      <w:bookmarkStart w:id="9763" w:name="_Caption9954"/>
      <w:bookmarkStart w:id="9764" w:name="_Caption1435"/>
      <w:bookmarkStart w:id="9765" w:name="_Caption0934"/>
      <w:bookmarkStart w:id="9766" w:name="_Caption8297"/>
      <w:bookmarkStart w:id="9767" w:name="_Caption9102"/>
      <w:bookmarkStart w:id="9768" w:name="_Caption5495"/>
      <w:bookmarkStart w:id="9769" w:name="_Caption3821"/>
      <w:bookmarkStart w:id="9770" w:name="_Caption5764"/>
      <w:bookmarkStart w:id="9771" w:name="_Caption8361"/>
      <w:bookmarkStart w:id="9772" w:name="_Caption8622"/>
      <w:bookmarkStart w:id="9773" w:name="_Caption4271"/>
      <w:bookmarkStart w:id="9774" w:name="_Caption7025"/>
      <w:bookmarkStart w:id="9775" w:name="_Caption9168"/>
      <w:bookmarkStart w:id="9776" w:name="_Caption3680"/>
      <w:bookmarkStart w:id="9777" w:name="_Caption5753"/>
      <w:bookmarkStart w:id="9778" w:name="_Caption2574"/>
      <w:bookmarkStart w:id="9779" w:name="_Caption3584"/>
      <w:bookmarkStart w:id="9780" w:name="_Caption6896"/>
      <w:bookmarkStart w:id="9781" w:name="_Caption5160"/>
      <w:bookmarkStart w:id="9782" w:name="_Caption4610"/>
      <w:bookmarkStart w:id="9783" w:name="_Caption1313"/>
      <w:bookmarkStart w:id="9784" w:name="_Caption1673"/>
      <w:bookmarkStart w:id="9785" w:name="_Caption6354"/>
      <w:bookmarkStart w:id="9786" w:name="_Caption2590"/>
      <w:bookmarkStart w:id="9787" w:name="_Caption7103"/>
      <w:bookmarkStart w:id="9788" w:name="_Caption1934"/>
      <w:bookmarkStart w:id="9789" w:name="_Caption1604"/>
      <w:bookmarkStart w:id="9790" w:name="_Caption1752"/>
      <w:bookmarkStart w:id="9791" w:name="_Toc177735253"/>
      <w:bookmarkStart w:id="9792" w:name="_Toc178292695"/>
      <w:r w:rsidR="008C60A3">
        <w:rPr>
          <w:noProof/>
        </w:rPr>
        <w:t>H</w:t>
      </w:r>
      <w:r w:rsidR="008C60A3" w:rsidRPr="005E5FA8">
        <w:rPr>
          <w:noProof/>
        </w:rPr>
        <w:t>.</w:t>
      </w:r>
      <w:r w:rsidR="008C60A3">
        <w:rPr>
          <w:noProof/>
        </w:rPr>
        <w:t>3</w:t>
      </w:r>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r w:rsidRPr="005E5FA8">
        <w:fldChar w:fldCharType="end"/>
      </w:r>
      <w:r w:rsidRPr="005E5FA8">
        <w:tab/>
        <w:t>Stringency Level 1 estimated costs and benefits — C5OS</w:t>
      </w:r>
      <w:bookmarkEnd w:id="9791"/>
      <w:bookmarkEnd w:id="9792"/>
    </w:p>
    <w:tbl>
      <w:tblPr>
        <w:tblW w:w="7906" w:type="dxa"/>
        <w:tblLayout w:type="fixed"/>
        <w:tblLook w:val="0000" w:firstRow="0" w:lastRow="0" w:firstColumn="0" w:lastColumn="0" w:noHBand="0" w:noVBand="0"/>
        <w:tblCaption w:val="Table G.3 "/>
        <w:tblDescription w:val="Stringency Level 1 estimated costs and benefits — C5OS"/>
      </w:tblPr>
      <w:tblGrid>
        <w:gridCol w:w="2552"/>
        <w:gridCol w:w="709"/>
        <w:gridCol w:w="663"/>
        <w:gridCol w:w="664"/>
        <w:gridCol w:w="663"/>
        <w:gridCol w:w="664"/>
        <w:gridCol w:w="664"/>
        <w:gridCol w:w="663"/>
        <w:gridCol w:w="664"/>
      </w:tblGrid>
      <w:tr w:rsidR="00D24C7F" w14:paraId="0B165FFC" w14:textId="77777777">
        <w:trPr>
          <w:trHeight w:val="245"/>
          <w:tblHeader/>
        </w:trPr>
        <w:tc>
          <w:tcPr>
            <w:tcW w:w="2552" w:type="dxa"/>
            <w:shd w:val="clear" w:color="auto" w:fill="6F6652"/>
            <w:tcMar>
              <w:left w:w="57" w:type="dxa"/>
              <w:right w:w="57" w:type="dxa"/>
            </w:tcMar>
          </w:tcPr>
          <w:p w14:paraId="551216DB" w14:textId="77777777" w:rsidR="00D24C7F" w:rsidRDefault="00D24C7F">
            <w:pPr>
              <w:pStyle w:val="TableDataColumnHeading"/>
              <w:jc w:val="left"/>
            </w:pPr>
            <w:r>
              <w:t>Impact</w:t>
            </w:r>
          </w:p>
        </w:tc>
        <w:tc>
          <w:tcPr>
            <w:tcW w:w="709" w:type="dxa"/>
            <w:shd w:val="clear" w:color="auto" w:fill="6F6652"/>
            <w:tcMar>
              <w:left w:w="57" w:type="dxa"/>
              <w:right w:w="57" w:type="dxa"/>
            </w:tcMar>
          </w:tcPr>
          <w:p w14:paraId="3203C400" w14:textId="77777777" w:rsidR="00D24C7F" w:rsidRDefault="00D24C7F">
            <w:pPr>
              <w:pStyle w:val="TableDataColumnHeading"/>
            </w:pPr>
            <w:r>
              <w:t>NSW (CZ5)</w:t>
            </w:r>
          </w:p>
          <w:p w14:paraId="5582F1D1" w14:textId="77777777" w:rsidR="00D24C7F" w:rsidRDefault="00D24C7F">
            <w:pPr>
              <w:pStyle w:val="TableDataColumnHeading"/>
            </w:pPr>
            <w:r>
              <w:t>$ per m2</w:t>
            </w:r>
          </w:p>
        </w:tc>
        <w:tc>
          <w:tcPr>
            <w:tcW w:w="663" w:type="dxa"/>
            <w:shd w:val="clear" w:color="auto" w:fill="6F6652"/>
            <w:tcMar>
              <w:left w:w="57" w:type="dxa"/>
              <w:right w:w="57" w:type="dxa"/>
            </w:tcMar>
          </w:tcPr>
          <w:p w14:paraId="1B83B326" w14:textId="77777777" w:rsidR="00D24C7F" w:rsidRDefault="00D24C7F">
            <w:pPr>
              <w:pStyle w:val="TableDataColumnHeading"/>
            </w:pPr>
            <w:r>
              <w:t>VIC (CZ6)</w:t>
            </w:r>
          </w:p>
          <w:p w14:paraId="267C7294" w14:textId="77777777" w:rsidR="00D24C7F" w:rsidRDefault="00D24C7F">
            <w:pPr>
              <w:pStyle w:val="TableDataColumnHeading"/>
            </w:pPr>
            <w:r>
              <w:t>$ per m2</w:t>
            </w:r>
          </w:p>
        </w:tc>
        <w:tc>
          <w:tcPr>
            <w:tcW w:w="664" w:type="dxa"/>
            <w:shd w:val="clear" w:color="auto" w:fill="6F6652"/>
            <w:tcMar>
              <w:left w:w="57" w:type="dxa"/>
              <w:right w:w="57" w:type="dxa"/>
            </w:tcMar>
          </w:tcPr>
          <w:p w14:paraId="0F444CF8" w14:textId="77777777" w:rsidR="00D24C7F" w:rsidRDefault="00D24C7F">
            <w:pPr>
              <w:pStyle w:val="TableDataColumnHeading"/>
            </w:pPr>
            <w:r>
              <w:t>QLD (CZ2)</w:t>
            </w:r>
          </w:p>
          <w:p w14:paraId="4A497838" w14:textId="77777777" w:rsidR="00D24C7F" w:rsidRDefault="00D24C7F">
            <w:pPr>
              <w:pStyle w:val="TableDataColumnHeading"/>
            </w:pPr>
            <w:r>
              <w:t>$ per m2</w:t>
            </w:r>
          </w:p>
        </w:tc>
        <w:tc>
          <w:tcPr>
            <w:tcW w:w="663" w:type="dxa"/>
            <w:shd w:val="clear" w:color="auto" w:fill="6F6652"/>
            <w:tcMar>
              <w:left w:w="57" w:type="dxa"/>
              <w:right w:w="57" w:type="dxa"/>
            </w:tcMar>
          </w:tcPr>
          <w:p w14:paraId="7F95EA09" w14:textId="77777777" w:rsidR="00D24C7F" w:rsidRDefault="00D24C7F">
            <w:pPr>
              <w:pStyle w:val="TableDataColumnHeading"/>
            </w:pPr>
            <w:r>
              <w:t>WA (CZ5)</w:t>
            </w:r>
          </w:p>
          <w:p w14:paraId="3540587A" w14:textId="77777777" w:rsidR="00D24C7F" w:rsidRDefault="00D24C7F">
            <w:pPr>
              <w:pStyle w:val="TableDataColumnHeading"/>
            </w:pPr>
            <w:r>
              <w:t>$ per m2</w:t>
            </w:r>
          </w:p>
        </w:tc>
        <w:tc>
          <w:tcPr>
            <w:tcW w:w="664" w:type="dxa"/>
            <w:shd w:val="clear" w:color="auto" w:fill="6F6652"/>
            <w:tcMar>
              <w:left w:w="57" w:type="dxa"/>
              <w:right w:w="57" w:type="dxa"/>
            </w:tcMar>
          </w:tcPr>
          <w:p w14:paraId="008F07E2" w14:textId="77777777" w:rsidR="00D24C7F" w:rsidRDefault="00D24C7F">
            <w:pPr>
              <w:pStyle w:val="TableDataColumnHeading"/>
            </w:pPr>
            <w:r>
              <w:t>SA (CZ5)</w:t>
            </w:r>
          </w:p>
          <w:p w14:paraId="0A2E0820" w14:textId="77777777" w:rsidR="00D24C7F" w:rsidRDefault="00D24C7F">
            <w:pPr>
              <w:pStyle w:val="TableDataColumnHeading"/>
            </w:pPr>
            <w:r>
              <w:t>$ per m2</w:t>
            </w:r>
          </w:p>
        </w:tc>
        <w:tc>
          <w:tcPr>
            <w:tcW w:w="664" w:type="dxa"/>
            <w:shd w:val="clear" w:color="auto" w:fill="6F6652"/>
            <w:tcMar>
              <w:left w:w="57" w:type="dxa"/>
              <w:right w:w="57" w:type="dxa"/>
            </w:tcMar>
          </w:tcPr>
          <w:p w14:paraId="22FA6EBF" w14:textId="77777777" w:rsidR="00D24C7F" w:rsidRDefault="00D24C7F">
            <w:pPr>
              <w:pStyle w:val="TableDataColumnHeading"/>
            </w:pPr>
            <w:r>
              <w:t>TAS (CZ7)</w:t>
            </w:r>
          </w:p>
          <w:p w14:paraId="7C77606D" w14:textId="77777777" w:rsidR="00D24C7F" w:rsidRDefault="00D24C7F">
            <w:pPr>
              <w:pStyle w:val="TableDataColumnHeading"/>
            </w:pPr>
            <w:r>
              <w:t>$ per m2</w:t>
            </w:r>
          </w:p>
        </w:tc>
        <w:tc>
          <w:tcPr>
            <w:tcW w:w="663" w:type="dxa"/>
            <w:shd w:val="clear" w:color="auto" w:fill="6F6652"/>
            <w:tcMar>
              <w:left w:w="57" w:type="dxa"/>
              <w:right w:w="57" w:type="dxa"/>
            </w:tcMar>
          </w:tcPr>
          <w:p w14:paraId="0ABB1F4A" w14:textId="77777777" w:rsidR="00D24C7F" w:rsidRDefault="00D24C7F">
            <w:pPr>
              <w:pStyle w:val="TableDataColumnHeading"/>
            </w:pPr>
            <w:r>
              <w:t>ACT (CZ7)</w:t>
            </w:r>
          </w:p>
          <w:p w14:paraId="47AC021F" w14:textId="77777777" w:rsidR="00D24C7F" w:rsidRDefault="00D24C7F">
            <w:pPr>
              <w:pStyle w:val="TableDataColumnHeading"/>
            </w:pPr>
            <w:r>
              <w:t>$ per m2</w:t>
            </w:r>
          </w:p>
        </w:tc>
        <w:tc>
          <w:tcPr>
            <w:tcW w:w="664" w:type="dxa"/>
            <w:shd w:val="clear" w:color="auto" w:fill="6F6652"/>
            <w:tcMar>
              <w:left w:w="57" w:type="dxa"/>
              <w:right w:w="57" w:type="dxa"/>
            </w:tcMar>
          </w:tcPr>
          <w:p w14:paraId="2CDA277E" w14:textId="77777777" w:rsidR="00D24C7F" w:rsidRDefault="00D24C7F">
            <w:pPr>
              <w:pStyle w:val="TableDataColumnHeading"/>
            </w:pPr>
            <w:r>
              <w:t>NT (CZ1)</w:t>
            </w:r>
          </w:p>
          <w:p w14:paraId="4829EA82" w14:textId="77777777" w:rsidR="00D24C7F" w:rsidRDefault="00D24C7F">
            <w:pPr>
              <w:pStyle w:val="TableDataColumnHeading"/>
            </w:pPr>
            <w:r>
              <w:t>$ per m2</w:t>
            </w:r>
          </w:p>
        </w:tc>
      </w:tr>
      <w:tr w:rsidR="00D24C7F" w14:paraId="2F68838B" w14:textId="77777777">
        <w:trPr>
          <w:trHeight w:val="245"/>
        </w:trPr>
        <w:tc>
          <w:tcPr>
            <w:tcW w:w="25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46D0974" w14:textId="12DE40FB" w:rsidR="00D24C7F" w:rsidRDefault="00D24C7F">
            <w:pPr>
              <w:pStyle w:val="TableDataEntries"/>
              <w:jc w:val="left"/>
            </w:pPr>
            <w:r>
              <w:t>Avoided electricity network capacity costs</w:t>
            </w:r>
          </w:p>
        </w:tc>
        <w:tc>
          <w:tcPr>
            <w:tcW w:w="7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10AF37" w14:textId="508EE8E9" w:rsidR="00D24C7F" w:rsidRDefault="00D24C7F">
            <w:pPr>
              <w:pStyle w:val="TableDataEntries"/>
            </w:pPr>
            <w:r>
              <w:t>11.5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91E7F10" w14:textId="6F499D78" w:rsidR="00D24C7F" w:rsidRDefault="00D24C7F">
            <w:pPr>
              <w:pStyle w:val="TableDataEntries"/>
            </w:pPr>
            <w:r>
              <w:t>4.1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1FD577D" w14:textId="6BAE947E" w:rsidR="00D24C7F" w:rsidRDefault="00D24C7F">
            <w:pPr>
              <w:pStyle w:val="TableDataEntries"/>
            </w:pPr>
            <w:r>
              <w:t>1.2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12259C" w14:textId="08F122B2" w:rsidR="00D24C7F" w:rsidRDefault="00D24C7F">
            <w:pPr>
              <w:pStyle w:val="TableDataEntries"/>
            </w:pPr>
            <w:r>
              <w:t>2.6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39AB49" w14:textId="3BF392E5" w:rsidR="00D24C7F" w:rsidRDefault="00D24C7F">
            <w:pPr>
              <w:pStyle w:val="TableDataEntries"/>
            </w:pPr>
            <w:r>
              <w:t>6.3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6CF2A6" w14:textId="4DA5F092" w:rsidR="00D24C7F" w:rsidRDefault="00D24C7F">
            <w:pPr>
              <w:pStyle w:val="TableDataEntries"/>
            </w:pPr>
            <w:r>
              <w:t>26.5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7A5B00E" w14:textId="2890E386" w:rsidR="00D24C7F" w:rsidRDefault="00D24C7F">
            <w:pPr>
              <w:pStyle w:val="TableDataEntries"/>
            </w:pPr>
            <w:r>
              <w:t>10.4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5FFC8D" w14:textId="0488963D" w:rsidR="00D24C7F" w:rsidRDefault="00D24C7F">
            <w:pPr>
              <w:pStyle w:val="TableDataEntries"/>
            </w:pPr>
            <w:r>
              <w:t>15.4</w:t>
            </w:r>
          </w:p>
        </w:tc>
      </w:tr>
      <w:tr w:rsidR="00D24C7F" w14:paraId="75C9891C" w14:textId="77777777">
        <w:trPr>
          <w:trHeight w:val="245"/>
        </w:trPr>
        <w:tc>
          <w:tcPr>
            <w:tcW w:w="25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8B2890" w14:textId="1B43E71A" w:rsidR="00D24C7F" w:rsidRDefault="00D24C7F">
            <w:pPr>
              <w:pStyle w:val="TableDataEntries"/>
              <w:jc w:val="left"/>
            </w:pPr>
            <w:r>
              <w:t>Avoided electricity wholesale costs</w:t>
            </w:r>
          </w:p>
        </w:tc>
        <w:tc>
          <w:tcPr>
            <w:tcW w:w="7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09FF794" w14:textId="7F8CE4CC" w:rsidR="00D24C7F" w:rsidRDefault="00D24C7F">
            <w:pPr>
              <w:pStyle w:val="TableDataEntries"/>
            </w:pPr>
            <w:r>
              <w:t>13.8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3E9A561" w14:textId="37F35828" w:rsidR="00D24C7F" w:rsidRDefault="00D24C7F">
            <w:pPr>
              <w:pStyle w:val="TableDataEntries"/>
            </w:pPr>
            <w:r>
              <w:t>10.8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7A786C" w14:textId="77096C5A" w:rsidR="00D24C7F" w:rsidRDefault="00D24C7F">
            <w:pPr>
              <w:pStyle w:val="TableDataEntries"/>
            </w:pPr>
            <w:r>
              <w:t>6.1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6A7638" w14:textId="5D89AD11" w:rsidR="00D24C7F" w:rsidRDefault="00D24C7F">
            <w:pPr>
              <w:pStyle w:val="TableDataEntries"/>
            </w:pPr>
            <w:r>
              <w:t>8.4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45F18D" w14:textId="63EE535A" w:rsidR="00D24C7F" w:rsidRDefault="00D24C7F">
            <w:pPr>
              <w:pStyle w:val="TableDataEntries"/>
            </w:pPr>
            <w:r>
              <w:t>10.4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507255" w14:textId="372F70A7" w:rsidR="00D24C7F" w:rsidRDefault="00D24C7F">
            <w:pPr>
              <w:pStyle w:val="TableDataEntries"/>
            </w:pPr>
            <w:r>
              <w:t>10.7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3F04FD" w14:textId="7EF25556" w:rsidR="00D24C7F" w:rsidRDefault="00D24C7F">
            <w:pPr>
              <w:pStyle w:val="TableDataEntries"/>
            </w:pPr>
            <w:r>
              <w:t>12.2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8AF3D24" w14:textId="4CE967D1" w:rsidR="00D24C7F" w:rsidRDefault="00D24C7F">
            <w:pPr>
              <w:pStyle w:val="TableDataEntries"/>
            </w:pPr>
            <w:r>
              <w:t>32.9</w:t>
            </w:r>
          </w:p>
        </w:tc>
      </w:tr>
      <w:tr w:rsidR="00D24C7F" w14:paraId="3D45A85F" w14:textId="77777777">
        <w:trPr>
          <w:trHeight w:val="245"/>
        </w:trPr>
        <w:tc>
          <w:tcPr>
            <w:tcW w:w="25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9DDAE7" w14:textId="4BE1AC8A" w:rsidR="00D24C7F" w:rsidRDefault="00D24C7F">
            <w:pPr>
              <w:pStyle w:val="TableDataEntries"/>
              <w:jc w:val="left"/>
            </w:pPr>
            <w:r>
              <w:t>Avoided electricity network usage costs</w:t>
            </w:r>
          </w:p>
        </w:tc>
        <w:tc>
          <w:tcPr>
            <w:tcW w:w="7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5E3A0C3" w14:textId="15CAD00B" w:rsidR="00D24C7F" w:rsidRDefault="00D24C7F">
            <w:pPr>
              <w:pStyle w:val="TableDataEntries"/>
            </w:pPr>
            <w:r>
              <w:t>7.6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89B58AB" w14:textId="18167B9B" w:rsidR="00D24C7F" w:rsidRDefault="00D24C7F">
            <w:pPr>
              <w:pStyle w:val="TableDataEntries"/>
            </w:pPr>
            <w:r>
              <w:t>11.1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AA56D77" w14:textId="167F1E4D" w:rsidR="00D24C7F" w:rsidRDefault="00D24C7F">
            <w:pPr>
              <w:pStyle w:val="TableDataEntries"/>
            </w:pPr>
            <w:r>
              <w:t>3.4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76543CC" w14:textId="7535F32C" w:rsidR="00D24C7F" w:rsidRDefault="00D24C7F">
            <w:pPr>
              <w:pStyle w:val="TableDataEntries"/>
            </w:pPr>
            <w:r>
              <w:t>18.5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E6D396" w14:textId="02DE2241" w:rsidR="00D24C7F" w:rsidRDefault="00D24C7F">
            <w:pPr>
              <w:pStyle w:val="TableDataEntries"/>
            </w:pPr>
            <w:r>
              <w:t>21.0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C4FD950" w14:textId="649FA19B" w:rsidR="00D24C7F" w:rsidRDefault="00D24C7F">
            <w:pPr>
              <w:pStyle w:val="TableDataEntries"/>
            </w:pPr>
            <w:r>
              <w:t>15.3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50B844" w14:textId="4EAE1594" w:rsidR="00D24C7F" w:rsidRDefault="00D24C7F">
            <w:pPr>
              <w:pStyle w:val="TableDataEntries"/>
            </w:pPr>
            <w:r>
              <w:t>9.4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9B9F055" w14:textId="1F0BEB85" w:rsidR="00D24C7F" w:rsidRDefault="00D24C7F">
            <w:pPr>
              <w:pStyle w:val="TableDataEntries"/>
            </w:pPr>
            <w:r>
              <w:t>17.3</w:t>
            </w:r>
          </w:p>
        </w:tc>
      </w:tr>
      <w:tr w:rsidR="00D24C7F" w14:paraId="292FEE95" w14:textId="77777777">
        <w:trPr>
          <w:trHeight w:val="245"/>
        </w:trPr>
        <w:tc>
          <w:tcPr>
            <w:tcW w:w="25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5926E5" w14:textId="777BD7C2" w:rsidR="00D24C7F" w:rsidRDefault="00D24C7F">
            <w:pPr>
              <w:pStyle w:val="TableDataEntries"/>
              <w:jc w:val="left"/>
            </w:pPr>
            <w:r>
              <w:t>Avoided electricity retail costs</w:t>
            </w:r>
          </w:p>
        </w:tc>
        <w:tc>
          <w:tcPr>
            <w:tcW w:w="7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B35E59F" w14:textId="52DF99B9" w:rsidR="00D24C7F" w:rsidRDefault="00D24C7F">
            <w:pPr>
              <w:pStyle w:val="TableDataEntries"/>
            </w:pPr>
            <w:r>
              <w:t>4.9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B6FB13" w14:textId="4D164F87" w:rsidR="00D24C7F" w:rsidRDefault="00D24C7F">
            <w:pPr>
              <w:pStyle w:val="TableDataEntries"/>
            </w:pPr>
            <w:r>
              <w:t>3.9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CADA7A" w14:textId="50B6E71D" w:rsidR="00D24C7F" w:rsidRDefault="00D24C7F">
            <w:pPr>
              <w:pStyle w:val="TableDataEntries"/>
            </w:pPr>
            <w:r>
              <w:t>1.6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42C343E" w14:textId="42BE1194" w:rsidR="00D24C7F" w:rsidRDefault="00D24C7F">
            <w:pPr>
              <w:pStyle w:val="TableDataEntries"/>
            </w:pPr>
            <w:r>
              <w:t>4.4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EDCF1A8" w14:textId="0F9C536B" w:rsidR="00D24C7F" w:rsidRDefault="00D24C7F">
            <w:pPr>
              <w:pStyle w:val="TableDataEntries"/>
            </w:pPr>
            <w:r>
              <w:t>5.6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D2FB0A4" w14:textId="52E38312" w:rsidR="00D24C7F" w:rsidRDefault="00D24C7F">
            <w:pPr>
              <w:pStyle w:val="TableDataEntries"/>
            </w:pPr>
            <w:r>
              <w:t>7.9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987219" w14:textId="06AB9FE2" w:rsidR="00D24C7F" w:rsidRDefault="00D24C7F">
            <w:pPr>
              <w:pStyle w:val="TableDataEntries"/>
            </w:pPr>
            <w:r>
              <w:t>4.8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85DFFEC" w14:textId="74609E56" w:rsidR="00D24C7F" w:rsidRDefault="00D24C7F">
            <w:pPr>
              <w:pStyle w:val="TableDataEntries"/>
            </w:pPr>
            <w:r>
              <w:t>9.8</w:t>
            </w:r>
          </w:p>
        </w:tc>
      </w:tr>
      <w:tr w:rsidR="00D24C7F" w14:paraId="5A8A5534" w14:textId="77777777">
        <w:trPr>
          <w:trHeight w:val="245"/>
        </w:trPr>
        <w:tc>
          <w:tcPr>
            <w:tcW w:w="25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E0888C" w14:textId="60A4ABDA" w:rsidR="00D24C7F" w:rsidRDefault="00D24C7F">
            <w:pPr>
              <w:pStyle w:val="TableDataEntries"/>
              <w:jc w:val="left"/>
            </w:pPr>
            <w:r>
              <w:t>Electricity exported to grid</w:t>
            </w:r>
          </w:p>
        </w:tc>
        <w:tc>
          <w:tcPr>
            <w:tcW w:w="7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6E32219" w14:textId="5DE263ED" w:rsidR="00D24C7F" w:rsidRDefault="00D24C7F">
            <w:pPr>
              <w:pStyle w:val="TableDataEntries"/>
            </w:pPr>
            <w:r>
              <w:t>0.4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9FFE9D" w14:textId="6577B288" w:rsidR="00D24C7F" w:rsidRDefault="00D24C7F">
            <w:pPr>
              <w:pStyle w:val="TableDataEntries"/>
            </w:pPr>
            <w:r>
              <w:t>0.4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F7854E" w14:textId="3F6BAFBC" w:rsidR="00D24C7F" w:rsidRDefault="00D24C7F">
            <w:pPr>
              <w:pStyle w:val="TableDataEntries"/>
            </w:pPr>
            <w:r>
              <w:t>0.2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C1EAFE" w14:textId="6DF2B5FF" w:rsidR="00D24C7F" w:rsidRDefault="00D24C7F">
            <w:pPr>
              <w:pStyle w:val="TableDataEntries"/>
            </w:pPr>
            <w:r>
              <w:t>0.4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260BABD" w14:textId="206AD96A" w:rsidR="00D24C7F" w:rsidRDefault="00D24C7F">
            <w:pPr>
              <w:pStyle w:val="TableDataEntries"/>
            </w:pPr>
            <w:r>
              <w:t>0.3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3E89B6F" w14:textId="73DF8845" w:rsidR="00D24C7F" w:rsidRDefault="00D24C7F">
            <w:pPr>
              <w:pStyle w:val="TableDataEntries"/>
            </w:pPr>
            <w:r>
              <w:t>1.1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D9FC2B3" w14:textId="635CEC20" w:rsidR="00D24C7F" w:rsidRDefault="00D24C7F">
            <w:pPr>
              <w:pStyle w:val="TableDataEntries"/>
            </w:pPr>
            <w:r>
              <w:t>0.6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4FD0A8B" w14:textId="42FFEF57" w:rsidR="00D24C7F" w:rsidRDefault="00D24C7F">
            <w:pPr>
              <w:pStyle w:val="TableDataEntries"/>
            </w:pPr>
            <w:r>
              <w:t>0.6</w:t>
            </w:r>
          </w:p>
        </w:tc>
      </w:tr>
      <w:tr w:rsidR="00D24C7F" w14:paraId="6AB97982" w14:textId="77777777">
        <w:trPr>
          <w:trHeight w:val="245"/>
        </w:trPr>
        <w:tc>
          <w:tcPr>
            <w:tcW w:w="25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7F39C83" w14:textId="459F5647" w:rsidR="00D24C7F" w:rsidRDefault="00D24C7F">
            <w:pPr>
              <w:pStyle w:val="TableDataEntries"/>
              <w:jc w:val="left"/>
            </w:pPr>
            <w:r>
              <w:t>Electricity exports — network costs</w:t>
            </w:r>
          </w:p>
        </w:tc>
        <w:tc>
          <w:tcPr>
            <w:tcW w:w="7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7C8014B" w14:textId="2A18CB09" w:rsidR="00D24C7F" w:rsidRDefault="00D24C7F">
            <w:pPr>
              <w:pStyle w:val="TableDataEntries"/>
            </w:pPr>
            <w:r>
              <w:t>-0.1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E65A76" w14:textId="5ABA7280" w:rsidR="00D24C7F" w:rsidRDefault="00D24C7F">
            <w:pPr>
              <w:pStyle w:val="TableDataEntries"/>
            </w:pPr>
            <w:r>
              <w:t>-0.1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292DE5" w14:textId="26A58ED9"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4D2798B" w14:textId="3A0C404C" w:rsidR="00D24C7F" w:rsidRDefault="00D24C7F">
            <w:pPr>
              <w:pStyle w:val="TableDataEntries"/>
            </w:pPr>
            <w:r>
              <w:t>-0.1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98D8AAE" w14:textId="678B5C78" w:rsidR="00D24C7F" w:rsidRDefault="00D24C7F">
            <w:pPr>
              <w:pStyle w:val="TableDataEntries"/>
            </w:pPr>
            <w:r>
              <w:t>-0.1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60E3676" w14:textId="5F8D823C" w:rsidR="00D24C7F" w:rsidRDefault="00D24C7F">
            <w:pPr>
              <w:pStyle w:val="TableDataEntries"/>
            </w:pPr>
            <w:r>
              <w:t>-0.1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4C335F" w14:textId="2F49B269" w:rsidR="00D24C7F" w:rsidRDefault="00D24C7F">
            <w:pPr>
              <w:pStyle w:val="TableDataEntries"/>
            </w:pPr>
            <w:r>
              <w:t>-0.1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85B8991" w14:textId="08F9A3BB" w:rsidR="00D24C7F" w:rsidRDefault="00D24C7F">
            <w:pPr>
              <w:pStyle w:val="TableDataEntries"/>
            </w:pPr>
            <w:r>
              <w:t>0.0</w:t>
            </w:r>
          </w:p>
        </w:tc>
      </w:tr>
      <w:tr w:rsidR="00D24C7F" w14:paraId="45F6FCF5" w14:textId="77777777">
        <w:trPr>
          <w:trHeight w:val="245"/>
        </w:trPr>
        <w:tc>
          <w:tcPr>
            <w:tcW w:w="25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877578D" w14:textId="64A0755C" w:rsidR="00D24C7F" w:rsidRDefault="00D24C7F">
            <w:pPr>
              <w:pStyle w:val="TableDataEntries"/>
              <w:jc w:val="left"/>
            </w:pPr>
            <w:r>
              <w:t>Avoided gas costs</w:t>
            </w:r>
          </w:p>
        </w:tc>
        <w:tc>
          <w:tcPr>
            <w:tcW w:w="7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566A892" w14:textId="7DDD7979"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5DB58B" w14:textId="2F87DE93"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C0A5A6E" w14:textId="6639CD03"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43C0BFE" w14:textId="4FC236B0"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A50DE7" w14:textId="14DEEE9E"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132FDB" w14:textId="685001F3"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41FD5B3" w14:textId="06DE3C8F"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4561882" w14:textId="43C78E09" w:rsidR="00D24C7F" w:rsidRDefault="00D24C7F">
            <w:pPr>
              <w:pStyle w:val="TableDataEntries"/>
            </w:pPr>
            <w:r>
              <w:t>0.0</w:t>
            </w:r>
          </w:p>
        </w:tc>
      </w:tr>
      <w:tr w:rsidR="00D24C7F" w14:paraId="03859FFA" w14:textId="77777777">
        <w:trPr>
          <w:trHeight w:val="245"/>
        </w:trPr>
        <w:tc>
          <w:tcPr>
            <w:tcW w:w="25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5312A7" w14:textId="2E18F012" w:rsidR="00D24C7F" w:rsidRDefault="00D24C7F">
            <w:pPr>
              <w:pStyle w:val="TableDataEntries"/>
              <w:jc w:val="left"/>
            </w:pPr>
            <w:r>
              <w:t>Avoided GHG emissions – electricity</w:t>
            </w:r>
          </w:p>
        </w:tc>
        <w:tc>
          <w:tcPr>
            <w:tcW w:w="7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0FF6DBB" w14:textId="07673353" w:rsidR="00D24C7F" w:rsidRDefault="00D24C7F">
            <w:pPr>
              <w:pStyle w:val="TableDataEntries"/>
            </w:pPr>
            <w:r>
              <w:t>7.4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216957" w14:textId="3A5DA8B9" w:rsidR="00D24C7F" w:rsidRDefault="00D24C7F">
            <w:pPr>
              <w:pStyle w:val="TableDataEntries"/>
            </w:pPr>
            <w:r>
              <w:t>11.5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6D2F03E" w14:textId="4F938881" w:rsidR="00D24C7F" w:rsidRDefault="00D24C7F">
            <w:pPr>
              <w:pStyle w:val="TableDataEntries"/>
            </w:pPr>
            <w:r>
              <w:t>8.3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55758DC" w14:textId="1C3A99EF" w:rsidR="00D24C7F" w:rsidRDefault="00D24C7F">
            <w:pPr>
              <w:pStyle w:val="TableDataEntries"/>
            </w:pPr>
            <w:r>
              <w:t>11.0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F8D4B4" w14:textId="45B174D7" w:rsidR="00D24C7F" w:rsidRDefault="00D24C7F">
            <w:pPr>
              <w:pStyle w:val="TableDataEntries"/>
            </w:pPr>
            <w:r>
              <w:t>8.0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04BCB5" w14:textId="71703DB2" w:rsidR="00D24C7F" w:rsidRDefault="00D24C7F">
            <w:pPr>
              <w:pStyle w:val="TableDataEntries"/>
            </w:pPr>
            <w:r>
              <w:t>0.8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C831E3" w14:textId="4CB01E53" w:rsidR="00D24C7F" w:rsidRDefault="00D24C7F">
            <w:pPr>
              <w:pStyle w:val="TableDataEntries"/>
            </w:pPr>
            <w:r>
              <w:t>5.8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2EABE7" w14:textId="52EAF1D7" w:rsidR="00D24C7F" w:rsidRDefault="00D24C7F">
            <w:pPr>
              <w:pStyle w:val="TableDataEntries"/>
            </w:pPr>
            <w:r>
              <w:t>31.7</w:t>
            </w:r>
          </w:p>
        </w:tc>
      </w:tr>
      <w:tr w:rsidR="00D24C7F" w14:paraId="66306344" w14:textId="77777777">
        <w:trPr>
          <w:trHeight w:val="245"/>
        </w:trPr>
        <w:tc>
          <w:tcPr>
            <w:tcW w:w="25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856F264" w14:textId="662E8ADC" w:rsidR="00D24C7F" w:rsidRDefault="00D24C7F">
            <w:pPr>
              <w:pStyle w:val="TableDataEntries"/>
              <w:jc w:val="left"/>
            </w:pPr>
            <w:r>
              <w:t>Avoided GHG emissions – exported electricity</w:t>
            </w:r>
          </w:p>
        </w:tc>
        <w:tc>
          <w:tcPr>
            <w:tcW w:w="7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9DC57C" w14:textId="0AD6206E" w:rsidR="00D24C7F" w:rsidRDefault="00D24C7F">
            <w:pPr>
              <w:pStyle w:val="TableDataEntries"/>
            </w:pPr>
            <w:r>
              <w:t>0.6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1AE1A1D" w14:textId="43E930E8" w:rsidR="00D24C7F" w:rsidRDefault="00D24C7F">
            <w:pPr>
              <w:pStyle w:val="TableDataEntries"/>
            </w:pPr>
            <w:r>
              <w:t>1.4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F2C8BF2" w14:textId="5963B565" w:rsidR="00D24C7F" w:rsidRDefault="00D24C7F">
            <w:pPr>
              <w:pStyle w:val="TableDataEntries"/>
            </w:pPr>
            <w:r>
              <w:t>0.9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B01B2B5" w14:textId="7521BF1B" w:rsidR="00D24C7F" w:rsidRDefault="00D24C7F">
            <w:pPr>
              <w:pStyle w:val="TableDataEntries"/>
            </w:pPr>
            <w:r>
              <w:t>0.9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B31A3E5" w14:textId="5A1B5CC0" w:rsidR="00D24C7F" w:rsidRDefault="00D24C7F">
            <w:pPr>
              <w:pStyle w:val="TableDataEntries"/>
            </w:pPr>
            <w:r>
              <w:t>0.7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694F5F" w14:textId="3EB640D8" w:rsidR="00D24C7F" w:rsidRDefault="00D24C7F">
            <w:pPr>
              <w:pStyle w:val="TableDataEntries"/>
            </w:pPr>
            <w:r>
              <w:t>0.1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16DEC8" w14:textId="3BEED7B5" w:rsidR="00D24C7F" w:rsidRDefault="00D24C7F">
            <w:pPr>
              <w:pStyle w:val="TableDataEntries"/>
            </w:pPr>
            <w:r>
              <w:t>0.7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6D6E62" w14:textId="32B02A9A" w:rsidR="00D24C7F" w:rsidRDefault="00D24C7F">
            <w:pPr>
              <w:pStyle w:val="TableDataEntries"/>
            </w:pPr>
            <w:r>
              <w:t>0.6</w:t>
            </w:r>
          </w:p>
        </w:tc>
      </w:tr>
      <w:tr w:rsidR="00D24C7F" w14:paraId="2E2D18E0" w14:textId="77777777">
        <w:trPr>
          <w:trHeight w:val="245"/>
        </w:trPr>
        <w:tc>
          <w:tcPr>
            <w:tcW w:w="25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95D1459" w14:textId="59269920" w:rsidR="00D24C7F" w:rsidRDefault="00D24C7F">
            <w:pPr>
              <w:pStyle w:val="TableDataEntries"/>
              <w:jc w:val="left"/>
            </w:pPr>
            <w:r>
              <w:t>Avoided GHG emissions – gas</w:t>
            </w:r>
          </w:p>
        </w:tc>
        <w:tc>
          <w:tcPr>
            <w:tcW w:w="7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E282B5" w14:textId="7A212D13"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BD3491" w14:textId="3BA4F1B7"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3967E36" w14:textId="5DA395EA"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74A7CD" w14:textId="1106CFE0"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9561035" w14:textId="2DB029D8"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5B88597" w14:textId="34F556AD"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E9BE82" w14:textId="1541ADD5"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C3E5418" w14:textId="5C6863FA" w:rsidR="00D24C7F" w:rsidRDefault="00D24C7F">
            <w:pPr>
              <w:pStyle w:val="TableDataEntries"/>
            </w:pPr>
            <w:r>
              <w:t>0.0</w:t>
            </w:r>
          </w:p>
        </w:tc>
      </w:tr>
      <w:tr w:rsidR="00D24C7F" w14:paraId="5EC4F184" w14:textId="77777777">
        <w:trPr>
          <w:trHeight w:val="245"/>
        </w:trPr>
        <w:tc>
          <w:tcPr>
            <w:tcW w:w="25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3202278" w14:textId="3528EED1" w:rsidR="00D24C7F" w:rsidRDefault="00D24C7F">
            <w:pPr>
              <w:pStyle w:val="TableDataEntries"/>
              <w:jc w:val="left"/>
            </w:pPr>
            <w:r>
              <w:t>Capital costs</w:t>
            </w:r>
          </w:p>
        </w:tc>
        <w:tc>
          <w:tcPr>
            <w:tcW w:w="709"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D707F2" w14:textId="71654409" w:rsidR="00D24C7F" w:rsidRDefault="00D24C7F">
            <w:pPr>
              <w:pStyle w:val="TableDataEntries"/>
            </w:pPr>
            <w:r>
              <w:t>9.5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E58AB27" w14:textId="183ECCE9" w:rsidR="00D24C7F" w:rsidRDefault="00D24C7F">
            <w:pPr>
              <w:pStyle w:val="TableDataEntries"/>
            </w:pPr>
            <w:r>
              <w:t>21.0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AAAC1A5" w14:textId="295F8A8B" w:rsidR="00D24C7F" w:rsidRDefault="00D24C7F">
            <w:pPr>
              <w:pStyle w:val="TableDataEntries"/>
            </w:pPr>
            <w:r>
              <w:t>15.7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3D3C5EA" w14:textId="6F96B5DA" w:rsidR="00D24C7F" w:rsidRDefault="00D24C7F">
            <w:pPr>
              <w:pStyle w:val="TableDataEntries"/>
            </w:pPr>
            <w:r>
              <w:t>9.5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5C55DC" w14:textId="2E6372DE" w:rsidR="00D24C7F" w:rsidRDefault="00D24C7F">
            <w:pPr>
              <w:pStyle w:val="TableDataEntries"/>
            </w:pPr>
            <w:r>
              <w:t>9.5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756A712" w14:textId="38B293A9" w:rsidR="00D24C7F" w:rsidRDefault="00D24C7F">
            <w:pPr>
              <w:pStyle w:val="TableDataEntries"/>
            </w:pPr>
            <w:r>
              <w:t>-0.3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5448B0" w14:textId="29420046" w:rsidR="00D24C7F" w:rsidRDefault="00D24C7F">
            <w:pPr>
              <w:pStyle w:val="TableDataEntries"/>
            </w:pPr>
            <w:r>
              <w:t>-0.3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755831" w14:textId="0622FCB4" w:rsidR="00D24C7F" w:rsidRDefault="00D24C7F">
            <w:pPr>
              <w:pStyle w:val="TableDataEntries"/>
            </w:pPr>
            <w:r>
              <w:t>5.2</w:t>
            </w:r>
          </w:p>
        </w:tc>
      </w:tr>
      <w:tr w:rsidR="00D24C7F" w:rsidRPr="00C35D3E" w14:paraId="5FB81DE8" w14:textId="77777777">
        <w:trPr>
          <w:trHeight w:val="245"/>
        </w:trPr>
        <w:tc>
          <w:tcPr>
            <w:tcW w:w="2552"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44724B1D" w14:textId="0D31C7BE" w:rsidR="00D24C7F" w:rsidRPr="00C35D3E" w:rsidRDefault="00D24C7F">
            <w:pPr>
              <w:pStyle w:val="TableDataEntries"/>
              <w:jc w:val="left"/>
              <w:rPr>
                <w:rFonts w:ascii="Franklin Gothic Demi" w:hAnsi="Franklin Gothic Demi"/>
              </w:rPr>
            </w:pPr>
            <w:r w:rsidRPr="00C35D3E">
              <w:rPr>
                <w:rFonts w:ascii="Franklin Gothic Demi" w:hAnsi="Franklin Gothic Demi"/>
              </w:rPr>
              <w:t>Total</w:t>
            </w:r>
          </w:p>
        </w:tc>
        <w:tc>
          <w:tcPr>
            <w:tcW w:w="709"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FB88288" w14:textId="040860D1" w:rsidR="00D24C7F" w:rsidRPr="00C35D3E" w:rsidRDefault="00D24C7F">
            <w:pPr>
              <w:pStyle w:val="TableDataEntries"/>
              <w:rPr>
                <w:rFonts w:ascii="Franklin Gothic Demi" w:hAnsi="Franklin Gothic Demi"/>
              </w:rPr>
            </w:pPr>
            <w:r w:rsidRPr="00DE23BD">
              <w:rPr>
                <w:rFonts w:ascii="Franklin Gothic Demi" w:hAnsi="Franklin Gothic Demi"/>
              </w:rPr>
              <w:t>55.7</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47483EF" w14:textId="7E4DFAF0" w:rsidR="00D24C7F" w:rsidRPr="00C35D3E" w:rsidRDefault="00D24C7F">
            <w:pPr>
              <w:pStyle w:val="TableDataEntries"/>
              <w:rPr>
                <w:rFonts w:ascii="Franklin Gothic Demi" w:hAnsi="Franklin Gothic Demi"/>
              </w:rPr>
            </w:pPr>
            <w:r w:rsidRPr="00DE23BD">
              <w:rPr>
                <w:rFonts w:ascii="Franklin Gothic Demi" w:hAnsi="Franklin Gothic Demi"/>
              </w:rPr>
              <w:t>64.1</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4F62A49" w14:textId="01F942E9" w:rsidR="00D24C7F" w:rsidRPr="00C35D3E" w:rsidRDefault="00D24C7F">
            <w:pPr>
              <w:pStyle w:val="TableDataEntries"/>
              <w:rPr>
                <w:rFonts w:ascii="Franklin Gothic Demi" w:hAnsi="Franklin Gothic Demi"/>
              </w:rPr>
            </w:pPr>
            <w:r w:rsidRPr="00DE23BD">
              <w:rPr>
                <w:rFonts w:ascii="Franklin Gothic Demi" w:hAnsi="Franklin Gothic Demi"/>
              </w:rPr>
              <w:t>37.4</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2C110C9" w14:textId="5E68C19D" w:rsidR="00D24C7F" w:rsidRPr="00C35D3E" w:rsidRDefault="00D24C7F">
            <w:pPr>
              <w:pStyle w:val="TableDataEntries"/>
              <w:rPr>
                <w:rFonts w:ascii="Franklin Gothic Demi" w:hAnsi="Franklin Gothic Demi"/>
              </w:rPr>
            </w:pPr>
            <w:r w:rsidRPr="00DE23BD">
              <w:rPr>
                <w:rFonts w:ascii="Franklin Gothic Demi" w:hAnsi="Franklin Gothic Demi"/>
              </w:rPr>
              <w:t>55.6</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43AD8F77" w14:textId="56642963" w:rsidR="00D24C7F" w:rsidRPr="00C35D3E" w:rsidRDefault="00D24C7F">
            <w:pPr>
              <w:pStyle w:val="TableDataEntries"/>
              <w:rPr>
                <w:rFonts w:ascii="Franklin Gothic Demi" w:hAnsi="Franklin Gothic Demi"/>
              </w:rPr>
            </w:pPr>
            <w:r w:rsidRPr="00DE23BD">
              <w:rPr>
                <w:rFonts w:ascii="Franklin Gothic Demi" w:hAnsi="Franklin Gothic Demi"/>
              </w:rPr>
              <w:t>61.6</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746594A8" w14:textId="6F48670E" w:rsidR="00D24C7F" w:rsidRPr="00C35D3E" w:rsidRDefault="00D24C7F">
            <w:pPr>
              <w:pStyle w:val="TableDataEntries"/>
              <w:rPr>
                <w:rFonts w:ascii="Franklin Gothic Demi" w:hAnsi="Franklin Gothic Demi"/>
              </w:rPr>
            </w:pPr>
            <w:r w:rsidRPr="00DE23BD">
              <w:rPr>
                <w:rFonts w:ascii="Franklin Gothic Demi" w:hAnsi="Franklin Gothic Demi"/>
              </w:rPr>
              <w:t>62.1</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7804EC5C" w14:textId="591FA8C9" w:rsidR="00D24C7F" w:rsidRPr="00C35D3E" w:rsidRDefault="00D24C7F">
            <w:pPr>
              <w:pStyle w:val="TableDataEntries"/>
              <w:rPr>
                <w:rFonts w:ascii="Franklin Gothic Demi" w:hAnsi="Franklin Gothic Demi"/>
              </w:rPr>
            </w:pPr>
            <w:r w:rsidRPr="00DE23BD">
              <w:rPr>
                <w:rFonts w:ascii="Franklin Gothic Demi" w:hAnsi="Franklin Gothic Demi"/>
              </w:rPr>
              <w:t>43.4</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FEC8506" w14:textId="0D0697E1" w:rsidR="00D24C7F" w:rsidRPr="00C35D3E" w:rsidRDefault="00D24C7F">
            <w:pPr>
              <w:pStyle w:val="TableDataEntries"/>
              <w:rPr>
                <w:rFonts w:ascii="Franklin Gothic Demi" w:hAnsi="Franklin Gothic Demi"/>
              </w:rPr>
            </w:pPr>
            <w:r w:rsidRPr="00DE23BD">
              <w:rPr>
                <w:rFonts w:ascii="Franklin Gothic Demi" w:hAnsi="Franklin Gothic Demi"/>
              </w:rPr>
              <w:t>113.5</w:t>
            </w:r>
          </w:p>
        </w:tc>
      </w:tr>
    </w:tbl>
    <w:p w14:paraId="35602852" w14:textId="77777777" w:rsidR="00D24C7F" w:rsidRDefault="00D24C7F" w:rsidP="00D24C7F">
      <w:pPr>
        <w:pStyle w:val="Note"/>
      </w:pPr>
      <w:r w:rsidRPr="007D1B4F">
        <w:rPr>
          <w:i/>
        </w:rPr>
        <w:t>Note:</w:t>
      </w:r>
      <w:r w:rsidRPr="00E879B8">
        <w:t xml:space="preserve"> </w:t>
      </w:r>
      <w:r>
        <w:t>Costs and benefits estimated in present value terms over the 50</w:t>
      </w:r>
      <w:r>
        <w:noBreakHyphen/>
        <w:t xml:space="preserve">year life of a building constructed in 2025, using a discount rate of 5 per cent. </w:t>
      </w:r>
    </w:p>
    <w:p w14:paraId="44F79FDD" w14:textId="77777777" w:rsidR="00D24C7F" w:rsidRDefault="00D24C7F" w:rsidP="00D24C7F">
      <w:pPr>
        <w:pStyle w:val="Source"/>
      </w:pPr>
      <w:r>
        <w:rPr>
          <w:i/>
        </w:rPr>
        <w:t>Source</w:t>
      </w:r>
      <w:r w:rsidRPr="00E4232C">
        <w:rPr>
          <w:i/>
        </w:rPr>
        <w:t>:</w:t>
      </w:r>
      <w:r>
        <w:t xml:space="preserve"> CIE based on DeltaQ modelling.</w:t>
      </w:r>
    </w:p>
    <w:p w14:paraId="6ABCC576" w14:textId="45F1722A" w:rsidR="00D24C7F" w:rsidRPr="005E5FA8" w:rsidRDefault="00D24C7F" w:rsidP="00D24C7F">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w:instrText>
      </w:r>
      <w:fldSimple w:instr=" STYLEREF &quot;Heading 1&quot; \l \n ">
        <w:r w:rsidRPr="005E5FA8">
          <w:instrText>2</w:instrText>
        </w:r>
      </w:fldSimple>
      <w:r w:rsidRPr="005E5FA8">
        <w:instrText xml:space="preserve">." </w:instrText>
      </w:r>
      <w:r w:rsidRPr="005E5FA8">
        <w:fldChar w:fldCharType="end"/>
      </w:r>
      <w:r w:rsidRPr="005E5FA8">
        <w:instrText>" "</w:instrText>
      </w:r>
      <w:fldSimple w:instr=" STYLEREF &quot;Heading 6&quot; \l \n ">
        <w:r w:rsidR="00581346">
          <w:rPr>
            <w:noProof/>
          </w:rPr>
          <w:instrText>H</w:instrText>
        </w:r>
      </w:fldSimple>
      <w:r w:rsidRPr="005E5FA8">
        <w:instrText xml:space="preserve">." </w:instrText>
      </w:r>
      <w:r w:rsidRPr="005E5FA8">
        <w:fldChar w:fldCharType="separate"/>
      </w:r>
      <w:r w:rsidR="00581346">
        <w:rPr>
          <w:noProof/>
        </w:rPr>
        <w:instrText>H</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"1" </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4</w:instrText>
      </w:r>
      <w:r w:rsidRPr="005E5FA8">
        <w:fldChar w:fldCharType="end"/>
      </w:r>
      <w:r w:rsidRPr="005E5FA8">
        <w:instrText xml:space="preserve">" "" </w:instrText>
      </w:r>
      <w:r w:rsidRPr="005E5FA8">
        <w:fldChar w:fldCharType="separate"/>
      </w:r>
      <w:bookmarkStart w:id="9793" w:name="_Caption3867"/>
      <w:bookmarkStart w:id="9794" w:name="_Caption4230"/>
      <w:bookmarkStart w:id="9795" w:name="_Caption2208"/>
      <w:bookmarkStart w:id="9796" w:name="_Caption5598"/>
      <w:bookmarkStart w:id="9797" w:name="_Caption9017"/>
      <w:bookmarkStart w:id="9798" w:name="_Caption1035"/>
      <w:bookmarkStart w:id="9799" w:name="_Caption7110"/>
      <w:bookmarkStart w:id="9800" w:name="_Caption3319"/>
      <w:bookmarkStart w:id="9801" w:name="_Caption7832"/>
      <w:bookmarkStart w:id="9802" w:name="_Caption9534"/>
      <w:bookmarkStart w:id="9803" w:name="_Caption0551"/>
      <w:bookmarkStart w:id="9804" w:name="_Caption4635"/>
      <w:bookmarkStart w:id="9805" w:name="_Caption4504"/>
      <w:bookmarkStart w:id="9806" w:name="_Caption9907"/>
      <w:bookmarkStart w:id="9807" w:name="_Caption8461"/>
      <w:bookmarkStart w:id="9808" w:name="_Caption6231"/>
      <w:bookmarkStart w:id="9809" w:name="_Caption0634"/>
      <w:bookmarkStart w:id="9810" w:name="_Caption6041"/>
      <w:bookmarkStart w:id="9811" w:name="_Caption7421"/>
      <w:bookmarkStart w:id="9812" w:name="_Caption8645"/>
      <w:bookmarkStart w:id="9813" w:name="_Caption5415"/>
      <w:bookmarkStart w:id="9814" w:name="_Caption4138"/>
      <w:bookmarkStart w:id="9815" w:name="_Caption4581"/>
      <w:bookmarkStart w:id="9816" w:name="_Caption0568"/>
      <w:bookmarkStart w:id="9817" w:name="_Caption4325"/>
      <w:bookmarkStart w:id="9818" w:name="_Caption6538"/>
      <w:bookmarkStart w:id="9819" w:name="_Caption7129"/>
      <w:bookmarkStart w:id="9820" w:name="_Caption8085"/>
      <w:bookmarkStart w:id="9821" w:name="_Caption0625"/>
      <w:bookmarkStart w:id="9822" w:name="_Caption6212"/>
      <w:bookmarkStart w:id="9823" w:name="_Toc177735254"/>
      <w:bookmarkStart w:id="9824" w:name="_Toc178292696"/>
      <w:r w:rsidR="008C60A3">
        <w:rPr>
          <w:noProof/>
        </w:rPr>
        <w:t>H</w:t>
      </w:r>
      <w:r w:rsidR="008C60A3" w:rsidRPr="005E5FA8">
        <w:rPr>
          <w:noProof/>
        </w:rPr>
        <w:t>.</w:t>
      </w:r>
      <w:r w:rsidR="008C60A3">
        <w:rPr>
          <w:noProof/>
        </w:rPr>
        <w:t>4</w:t>
      </w:r>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r w:rsidRPr="005E5FA8">
        <w:fldChar w:fldCharType="end"/>
      </w:r>
      <w:r w:rsidRPr="005E5FA8">
        <w:tab/>
        <w:t>Stringency Level 1 estimated costs and benefits — C5OM</w:t>
      </w:r>
      <w:bookmarkEnd w:id="9823"/>
      <w:bookmarkEnd w:id="9824"/>
    </w:p>
    <w:tbl>
      <w:tblPr>
        <w:tblW w:w="7936" w:type="dxa"/>
        <w:tblLayout w:type="fixed"/>
        <w:tblLook w:val="0000" w:firstRow="0" w:lastRow="0" w:firstColumn="0" w:lastColumn="0" w:noHBand="0" w:noVBand="0"/>
        <w:tblCaption w:val="Table G.4"/>
        <w:tblDescription w:val="Stringency Level 1 estimated costs and benefits — C5OM"/>
      </w:tblPr>
      <w:tblGrid>
        <w:gridCol w:w="2627"/>
        <w:gridCol w:w="634"/>
        <w:gridCol w:w="693"/>
        <w:gridCol w:w="664"/>
        <w:gridCol w:w="663"/>
        <w:gridCol w:w="664"/>
        <w:gridCol w:w="664"/>
        <w:gridCol w:w="663"/>
        <w:gridCol w:w="664"/>
      </w:tblGrid>
      <w:tr w:rsidR="00D24C7F" w14:paraId="54BE7E75" w14:textId="77777777">
        <w:trPr>
          <w:trHeight w:val="245"/>
          <w:tblHeader/>
        </w:trPr>
        <w:tc>
          <w:tcPr>
            <w:tcW w:w="2627" w:type="dxa"/>
            <w:shd w:val="clear" w:color="auto" w:fill="6F6652"/>
            <w:tcMar>
              <w:left w:w="57" w:type="dxa"/>
              <w:right w:w="57" w:type="dxa"/>
            </w:tcMar>
          </w:tcPr>
          <w:p w14:paraId="66F03A73" w14:textId="77777777" w:rsidR="00D24C7F" w:rsidRDefault="00D24C7F">
            <w:pPr>
              <w:pStyle w:val="TableDataColumnHeading"/>
              <w:jc w:val="left"/>
            </w:pPr>
            <w:r>
              <w:t>Impact</w:t>
            </w:r>
          </w:p>
        </w:tc>
        <w:tc>
          <w:tcPr>
            <w:tcW w:w="634" w:type="dxa"/>
            <w:shd w:val="clear" w:color="auto" w:fill="6F6652"/>
            <w:tcMar>
              <w:left w:w="57" w:type="dxa"/>
              <w:right w:w="57" w:type="dxa"/>
            </w:tcMar>
          </w:tcPr>
          <w:p w14:paraId="28FF2DE9" w14:textId="77777777" w:rsidR="00D24C7F" w:rsidRDefault="00D24C7F">
            <w:pPr>
              <w:pStyle w:val="TableDataColumnHeading"/>
            </w:pPr>
            <w:r>
              <w:t>NSW (CZ5)</w:t>
            </w:r>
          </w:p>
          <w:p w14:paraId="60911F35" w14:textId="77777777" w:rsidR="00D24C7F" w:rsidRDefault="00D24C7F">
            <w:pPr>
              <w:pStyle w:val="TableDataColumnHeading"/>
            </w:pPr>
            <w:r>
              <w:t>$ per m2</w:t>
            </w:r>
          </w:p>
        </w:tc>
        <w:tc>
          <w:tcPr>
            <w:tcW w:w="693" w:type="dxa"/>
            <w:shd w:val="clear" w:color="auto" w:fill="6F6652"/>
            <w:tcMar>
              <w:left w:w="57" w:type="dxa"/>
              <w:right w:w="57" w:type="dxa"/>
            </w:tcMar>
          </w:tcPr>
          <w:p w14:paraId="3A670CBF" w14:textId="77777777" w:rsidR="00D24C7F" w:rsidRDefault="00D24C7F">
            <w:pPr>
              <w:pStyle w:val="TableDataColumnHeading"/>
            </w:pPr>
            <w:r>
              <w:t>VIC (CZ6)</w:t>
            </w:r>
          </w:p>
          <w:p w14:paraId="1E60C2B9" w14:textId="77777777" w:rsidR="00D24C7F" w:rsidRDefault="00D24C7F">
            <w:pPr>
              <w:pStyle w:val="TableDataColumnHeading"/>
            </w:pPr>
            <w:r>
              <w:t>$ per m2</w:t>
            </w:r>
          </w:p>
        </w:tc>
        <w:tc>
          <w:tcPr>
            <w:tcW w:w="664" w:type="dxa"/>
            <w:shd w:val="clear" w:color="auto" w:fill="6F6652"/>
            <w:tcMar>
              <w:left w:w="57" w:type="dxa"/>
              <w:right w:w="57" w:type="dxa"/>
            </w:tcMar>
          </w:tcPr>
          <w:p w14:paraId="011AE3B1" w14:textId="77777777" w:rsidR="00D24C7F" w:rsidRDefault="00D24C7F">
            <w:pPr>
              <w:pStyle w:val="TableDataColumnHeading"/>
            </w:pPr>
            <w:r>
              <w:t>QLD (CZ2)</w:t>
            </w:r>
          </w:p>
          <w:p w14:paraId="7F9D9E6A" w14:textId="77777777" w:rsidR="00D24C7F" w:rsidRDefault="00D24C7F">
            <w:pPr>
              <w:pStyle w:val="TableDataColumnHeading"/>
            </w:pPr>
            <w:r>
              <w:t>$ per m2</w:t>
            </w:r>
          </w:p>
        </w:tc>
        <w:tc>
          <w:tcPr>
            <w:tcW w:w="663" w:type="dxa"/>
            <w:shd w:val="clear" w:color="auto" w:fill="6F6652"/>
            <w:tcMar>
              <w:left w:w="57" w:type="dxa"/>
              <w:right w:w="57" w:type="dxa"/>
            </w:tcMar>
          </w:tcPr>
          <w:p w14:paraId="5CD353A6" w14:textId="77777777" w:rsidR="00D24C7F" w:rsidRDefault="00D24C7F">
            <w:pPr>
              <w:pStyle w:val="TableDataColumnHeading"/>
            </w:pPr>
            <w:r>
              <w:t>WA (CZ5)</w:t>
            </w:r>
          </w:p>
          <w:p w14:paraId="323CF886" w14:textId="77777777" w:rsidR="00D24C7F" w:rsidRDefault="00D24C7F">
            <w:pPr>
              <w:pStyle w:val="TableDataColumnHeading"/>
            </w:pPr>
            <w:r>
              <w:t>$ per m2</w:t>
            </w:r>
          </w:p>
        </w:tc>
        <w:tc>
          <w:tcPr>
            <w:tcW w:w="664" w:type="dxa"/>
            <w:shd w:val="clear" w:color="auto" w:fill="6F6652"/>
            <w:tcMar>
              <w:left w:w="57" w:type="dxa"/>
              <w:right w:w="57" w:type="dxa"/>
            </w:tcMar>
          </w:tcPr>
          <w:p w14:paraId="6816F1C3" w14:textId="77777777" w:rsidR="00D24C7F" w:rsidRDefault="00D24C7F">
            <w:pPr>
              <w:pStyle w:val="TableDataColumnHeading"/>
            </w:pPr>
            <w:r>
              <w:t>SA (CZ5)</w:t>
            </w:r>
          </w:p>
          <w:p w14:paraId="5345B1D0" w14:textId="77777777" w:rsidR="00D24C7F" w:rsidRDefault="00D24C7F">
            <w:pPr>
              <w:pStyle w:val="TableDataColumnHeading"/>
            </w:pPr>
            <w:r>
              <w:t>$ per m2</w:t>
            </w:r>
          </w:p>
        </w:tc>
        <w:tc>
          <w:tcPr>
            <w:tcW w:w="664" w:type="dxa"/>
            <w:shd w:val="clear" w:color="auto" w:fill="6F6652"/>
            <w:tcMar>
              <w:left w:w="57" w:type="dxa"/>
              <w:right w:w="57" w:type="dxa"/>
            </w:tcMar>
          </w:tcPr>
          <w:p w14:paraId="33C34896" w14:textId="77777777" w:rsidR="00D24C7F" w:rsidRDefault="00D24C7F">
            <w:pPr>
              <w:pStyle w:val="TableDataColumnHeading"/>
            </w:pPr>
            <w:r>
              <w:t>TAS (CZ7)</w:t>
            </w:r>
          </w:p>
          <w:p w14:paraId="65C47C08" w14:textId="77777777" w:rsidR="00D24C7F" w:rsidRDefault="00D24C7F">
            <w:pPr>
              <w:pStyle w:val="TableDataColumnHeading"/>
            </w:pPr>
            <w:r>
              <w:t>$ per m2</w:t>
            </w:r>
          </w:p>
        </w:tc>
        <w:tc>
          <w:tcPr>
            <w:tcW w:w="663" w:type="dxa"/>
            <w:shd w:val="clear" w:color="auto" w:fill="6F6652"/>
            <w:tcMar>
              <w:left w:w="57" w:type="dxa"/>
              <w:right w:w="57" w:type="dxa"/>
            </w:tcMar>
          </w:tcPr>
          <w:p w14:paraId="3DD71B12" w14:textId="77777777" w:rsidR="00D24C7F" w:rsidRDefault="00D24C7F">
            <w:pPr>
              <w:pStyle w:val="TableDataColumnHeading"/>
            </w:pPr>
            <w:r>
              <w:t>ACT (CZ7)</w:t>
            </w:r>
          </w:p>
          <w:p w14:paraId="0036450E" w14:textId="77777777" w:rsidR="00D24C7F" w:rsidRDefault="00D24C7F">
            <w:pPr>
              <w:pStyle w:val="TableDataColumnHeading"/>
            </w:pPr>
            <w:r>
              <w:t>$ per m2</w:t>
            </w:r>
          </w:p>
        </w:tc>
        <w:tc>
          <w:tcPr>
            <w:tcW w:w="664" w:type="dxa"/>
            <w:shd w:val="clear" w:color="auto" w:fill="6F6652"/>
            <w:tcMar>
              <w:left w:w="57" w:type="dxa"/>
              <w:right w:w="57" w:type="dxa"/>
            </w:tcMar>
          </w:tcPr>
          <w:p w14:paraId="3D03D073" w14:textId="77777777" w:rsidR="00D24C7F" w:rsidRDefault="00D24C7F">
            <w:pPr>
              <w:pStyle w:val="TableDataColumnHeading"/>
            </w:pPr>
            <w:r>
              <w:t>NT (CZ1)</w:t>
            </w:r>
          </w:p>
          <w:p w14:paraId="5660A59E" w14:textId="77777777" w:rsidR="00D24C7F" w:rsidRDefault="00D24C7F">
            <w:pPr>
              <w:pStyle w:val="TableDataColumnHeading"/>
            </w:pPr>
            <w:r>
              <w:t>$ per m2</w:t>
            </w:r>
          </w:p>
        </w:tc>
      </w:tr>
      <w:tr w:rsidR="00D24C7F" w14:paraId="266335E3"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062319" w14:textId="0F172148" w:rsidR="00D24C7F" w:rsidRDefault="00D24C7F">
            <w:pPr>
              <w:pStyle w:val="TableDataEntries"/>
              <w:jc w:val="left"/>
            </w:pPr>
            <w:r>
              <w:t>Avoided electricity network capacity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57D52B2" w14:textId="54D3352F" w:rsidR="00D24C7F" w:rsidRDefault="00D24C7F">
            <w:pPr>
              <w:pStyle w:val="TableDataEntries"/>
            </w:pPr>
            <w:r w:rsidRPr="00A6754C">
              <w:t>12.2</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3DA3D9F" w14:textId="77571DC4" w:rsidR="00D24C7F" w:rsidRDefault="00D24C7F">
            <w:pPr>
              <w:pStyle w:val="TableDataEntries"/>
            </w:pPr>
            <w:r w:rsidRPr="00A6754C">
              <w:t>6.3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67AD71F" w14:textId="66C6596D" w:rsidR="00D24C7F" w:rsidRDefault="00D24C7F">
            <w:pPr>
              <w:pStyle w:val="TableDataEntries"/>
            </w:pPr>
            <w:r w:rsidRPr="00A6754C">
              <w:t>13.9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9BC2B6" w14:textId="57BCEDD3" w:rsidR="00D24C7F" w:rsidRDefault="00D24C7F">
            <w:pPr>
              <w:pStyle w:val="TableDataEntries"/>
            </w:pPr>
            <w:r w:rsidRPr="00A6754C">
              <w:t>3.1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89A319" w14:textId="479CA6F8" w:rsidR="00D24C7F" w:rsidRDefault="00D24C7F">
            <w:pPr>
              <w:pStyle w:val="TableDataEntries"/>
            </w:pPr>
            <w:r w:rsidRPr="00A6754C">
              <w:t>6.2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42CDE6" w14:textId="225A3B02" w:rsidR="00D24C7F" w:rsidRDefault="00D24C7F">
            <w:pPr>
              <w:pStyle w:val="TableDataEntries"/>
            </w:pPr>
            <w:r w:rsidRPr="00A6754C">
              <w:t>25.9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E1C5E5" w14:textId="7B5CAB38" w:rsidR="00D24C7F" w:rsidRDefault="00D24C7F">
            <w:pPr>
              <w:pStyle w:val="TableDataEntries"/>
            </w:pPr>
            <w:r w:rsidRPr="00A6754C">
              <w:t>11.6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771DE20" w14:textId="78A0F089" w:rsidR="00D24C7F" w:rsidRDefault="00D24C7F">
            <w:pPr>
              <w:pStyle w:val="TableDataEntries"/>
            </w:pPr>
            <w:r w:rsidRPr="00A6754C">
              <w:t>15.5</w:t>
            </w:r>
          </w:p>
        </w:tc>
      </w:tr>
      <w:tr w:rsidR="00D24C7F" w14:paraId="21E5F1C0"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7170B26" w14:textId="7D67CC00" w:rsidR="00D24C7F" w:rsidRDefault="00D24C7F">
            <w:pPr>
              <w:pStyle w:val="TableDataEntries"/>
              <w:jc w:val="left"/>
            </w:pPr>
            <w:r>
              <w:t>Avoided electricity wholesale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1387CC" w14:textId="0775431A" w:rsidR="00D24C7F" w:rsidRDefault="00D24C7F">
            <w:pPr>
              <w:pStyle w:val="TableDataEntries"/>
            </w:pPr>
            <w:r w:rsidRPr="00A6754C">
              <w:t>22.7</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A4D7287" w14:textId="5261161F" w:rsidR="00D24C7F" w:rsidRDefault="00D24C7F">
            <w:pPr>
              <w:pStyle w:val="TableDataEntries"/>
            </w:pPr>
            <w:r w:rsidRPr="00A6754C">
              <w:t>15.0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2F8194" w14:textId="4D7F0E79" w:rsidR="00D24C7F" w:rsidRDefault="00D24C7F">
            <w:pPr>
              <w:pStyle w:val="TableDataEntries"/>
            </w:pPr>
            <w:r w:rsidRPr="00A6754C">
              <w:t>24.2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8AF11E" w14:textId="26481679" w:rsidR="00D24C7F" w:rsidRDefault="00D24C7F">
            <w:pPr>
              <w:pStyle w:val="TableDataEntries"/>
            </w:pPr>
            <w:r w:rsidRPr="00A6754C">
              <w:t>13.4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50EA62" w14:textId="3DE22BAA" w:rsidR="00D24C7F" w:rsidRDefault="00D24C7F">
            <w:pPr>
              <w:pStyle w:val="TableDataEntries"/>
            </w:pPr>
            <w:r w:rsidRPr="00A6754C">
              <w:t>16.8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D3C8D4F" w14:textId="4BD1BEFB" w:rsidR="00D24C7F" w:rsidRDefault="00D24C7F">
            <w:pPr>
              <w:pStyle w:val="TableDataEntries"/>
            </w:pPr>
            <w:r w:rsidRPr="00A6754C">
              <w:t>14.5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7061C7E" w14:textId="1D34DE87" w:rsidR="00D24C7F" w:rsidRDefault="00D24C7F">
            <w:pPr>
              <w:pStyle w:val="TableDataEntries"/>
            </w:pPr>
            <w:r w:rsidRPr="00A6754C">
              <w:t>16.3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07FCCF0" w14:textId="7224005D" w:rsidR="00D24C7F" w:rsidRDefault="00D24C7F">
            <w:pPr>
              <w:pStyle w:val="TableDataEntries"/>
            </w:pPr>
            <w:r w:rsidRPr="00A6754C">
              <w:t>52.9</w:t>
            </w:r>
          </w:p>
        </w:tc>
      </w:tr>
      <w:tr w:rsidR="00D24C7F" w14:paraId="66BA0F2B"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780F12" w14:textId="26D220B2" w:rsidR="00D24C7F" w:rsidRDefault="00D24C7F">
            <w:pPr>
              <w:pStyle w:val="TableDataEntries"/>
              <w:jc w:val="left"/>
            </w:pPr>
            <w:r>
              <w:t>Avoided electricity network usage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E6E17B" w14:textId="259CCFF4" w:rsidR="00D24C7F" w:rsidRDefault="00D24C7F">
            <w:pPr>
              <w:pStyle w:val="TableDataEntries"/>
            </w:pPr>
            <w:r w:rsidRPr="00A6754C">
              <w:t>12.9</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651183" w14:textId="0B67DB68" w:rsidR="00D24C7F" w:rsidRDefault="00D24C7F">
            <w:pPr>
              <w:pStyle w:val="TableDataEntries"/>
            </w:pPr>
            <w:r w:rsidRPr="00A6754C">
              <w:t>16.6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5DA2A9" w14:textId="30A62888" w:rsidR="00D24C7F" w:rsidRDefault="00D24C7F">
            <w:pPr>
              <w:pStyle w:val="TableDataEntries"/>
            </w:pPr>
            <w:r w:rsidRPr="00A6754C">
              <w:t>14.1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35FF97" w14:textId="1BD0EF16" w:rsidR="00D24C7F" w:rsidRDefault="00D24C7F">
            <w:pPr>
              <w:pStyle w:val="TableDataEntries"/>
            </w:pPr>
            <w:r w:rsidRPr="00A6754C">
              <w:t>31.8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9B27A9" w14:textId="39F08420" w:rsidR="00D24C7F" w:rsidRDefault="00D24C7F">
            <w:pPr>
              <w:pStyle w:val="TableDataEntries"/>
            </w:pPr>
            <w:r w:rsidRPr="00A6754C">
              <w:t>35.5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14D5623" w14:textId="1AD575F5" w:rsidR="00D24C7F" w:rsidRDefault="00D24C7F">
            <w:pPr>
              <w:pStyle w:val="TableDataEntries"/>
            </w:pPr>
            <w:r w:rsidRPr="00A6754C">
              <w:t>23.5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EEE4B16" w14:textId="460D9C40" w:rsidR="00D24C7F" w:rsidRDefault="00D24C7F">
            <w:pPr>
              <w:pStyle w:val="TableDataEntries"/>
            </w:pPr>
            <w:r w:rsidRPr="00A6754C">
              <w:t>14.3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C38B0C" w14:textId="3A3471DF" w:rsidR="00D24C7F" w:rsidRDefault="00D24C7F">
            <w:pPr>
              <w:pStyle w:val="TableDataEntries"/>
            </w:pPr>
            <w:r w:rsidRPr="00A6754C">
              <w:t>26.8</w:t>
            </w:r>
          </w:p>
        </w:tc>
      </w:tr>
      <w:tr w:rsidR="00D24C7F" w14:paraId="369BBDF3"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AE4CD39" w14:textId="4E188CCB" w:rsidR="00D24C7F" w:rsidRDefault="00D24C7F">
            <w:pPr>
              <w:pStyle w:val="TableDataEntries"/>
              <w:jc w:val="left"/>
            </w:pPr>
            <w:r>
              <w:t xml:space="preserve">Avoided </w:t>
            </w:r>
            <w:r w:rsidR="00DE23BD">
              <w:t xml:space="preserve">electricity </w:t>
            </w:r>
            <w:r>
              <w:t>retail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A1CD11" w14:textId="0F668FA2" w:rsidR="00D24C7F" w:rsidRDefault="00D24C7F">
            <w:pPr>
              <w:pStyle w:val="TableDataEntries"/>
            </w:pPr>
            <w:r w:rsidRPr="00A6754C">
              <w:t>7.2</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44B1FD" w14:textId="76C8A9A6" w:rsidR="00D24C7F" w:rsidRDefault="00D24C7F">
            <w:pPr>
              <w:pStyle w:val="TableDataEntries"/>
            </w:pPr>
            <w:r w:rsidRPr="00A6754C">
              <w:t>5.7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6CDBD9" w14:textId="13388339" w:rsidR="00D24C7F" w:rsidRDefault="00D24C7F">
            <w:pPr>
              <w:pStyle w:val="TableDataEntries"/>
            </w:pPr>
            <w:r w:rsidRPr="00A6754C">
              <w:t>7.8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13B02BA" w14:textId="26B356A3" w:rsidR="00D24C7F" w:rsidRDefault="00D24C7F">
            <w:pPr>
              <w:pStyle w:val="TableDataEntries"/>
            </w:pPr>
            <w:r w:rsidRPr="00A6754C">
              <w:t>7.2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E46CD2" w14:textId="6E29388A" w:rsidR="00D24C7F" w:rsidRDefault="00D24C7F">
            <w:pPr>
              <w:pStyle w:val="TableDataEntries"/>
            </w:pPr>
            <w:r w:rsidRPr="00A6754C">
              <w:t>8.8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92F6032" w14:textId="27DC85A6" w:rsidR="00D24C7F" w:rsidRDefault="00D24C7F">
            <w:pPr>
              <w:pStyle w:val="TableDataEntries"/>
            </w:pPr>
            <w:r w:rsidRPr="00A6754C">
              <w:t>9.6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98A48F0" w14:textId="667BFED4" w:rsidR="00D24C7F" w:rsidRDefault="00D24C7F">
            <w:pPr>
              <w:pStyle w:val="TableDataEntries"/>
            </w:pPr>
            <w:r w:rsidRPr="00A6754C">
              <w:t>6.3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91CF2D0" w14:textId="1F1EC711" w:rsidR="00D24C7F" w:rsidRDefault="00D24C7F">
            <w:pPr>
              <w:pStyle w:val="TableDataEntries"/>
            </w:pPr>
            <w:r w:rsidRPr="00A6754C">
              <w:t>14.3</w:t>
            </w:r>
          </w:p>
        </w:tc>
      </w:tr>
      <w:tr w:rsidR="00D24C7F" w14:paraId="7C9DC907"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D2E973" w14:textId="491A7BEB" w:rsidR="00D24C7F" w:rsidRDefault="00D24C7F">
            <w:pPr>
              <w:pStyle w:val="TableDataEntries"/>
              <w:jc w:val="left"/>
            </w:pPr>
            <w:r>
              <w:t>Electricity exported to grid</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528FE9" w14:textId="5757F539" w:rsidR="00D24C7F" w:rsidRDefault="00D24C7F">
            <w:pPr>
              <w:pStyle w:val="TableDataEntries"/>
            </w:pPr>
            <w:r w:rsidRPr="00A6754C">
              <w:t>0.5</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F679AC9" w14:textId="6E9B32ED" w:rsidR="00D24C7F" w:rsidRDefault="00D24C7F">
            <w:pPr>
              <w:pStyle w:val="TableDataEntries"/>
            </w:pPr>
            <w:r w:rsidRPr="00A6754C">
              <w:t>0.4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4A9F341" w14:textId="645D4809" w:rsidR="00D24C7F" w:rsidRDefault="00D24C7F">
            <w:pPr>
              <w:pStyle w:val="TableDataEntries"/>
            </w:pPr>
            <w:r w:rsidRPr="00A6754C">
              <w:t>0.4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E5BD1C" w14:textId="6FD79FD5" w:rsidR="00D24C7F" w:rsidRDefault="00D24C7F">
            <w:pPr>
              <w:pStyle w:val="TableDataEntries"/>
            </w:pPr>
            <w:r w:rsidRPr="00A6754C">
              <w:t>0.4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694B35D" w14:textId="4267F0F4" w:rsidR="00D24C7F" w:rsidRDefault="00D24C7F">
            <w:pPr>
              <w:pStyle w:val="TableDataEntries"/>
            </w:pPr>
            <w:r w:rsidRPr="00A6754C">
              <w:t>0.3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B1C89C" w14:textId="4266492C" w:rsidR="00D24C7F" w:rsidRDefault="00D24C7F">
            <w:pPr>
              <w:pStyle w:val="TableDataEntries"/>
            </w:pPr>
            <w:r w:rsidRPr="00A6754C">
              <w:t>1.4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C69C9A3" w14:textId="734A9665" w:rsidR="00D24C7F" w:rsidRDefault="00D24C7F">
            <w:pPr>
              <w:pStyle w:val="TableDataEntries"/>
            </w:pPr>
            <w:r w:rsidRPr="00A6754C">
              <w:t>0.7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1693833" w14:textId="226ADB63" w:rsidR="00D24C7F" w:rsidRDefault="00D24C7F">
            <w:pPr>
              <w:pStyle w:val="TableDataEntries"/>
            </w:pPr>
            <w:r w:rsidRPr="00A6754C">
              <w:t>0.5</w:t>
            </w:r>
          </w:p>
        </w:tc>
      </w:tr>
      <w:tr w:rsidR="00D24C7F" w14:paraId="03F78E4D"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35FCD7" w14:textId="5329A621" w:rsidR="00D24C7F" w:rsidRDefault="00D24C7F">
            <w:pPr>
              <w:pStyle w:val="TableDataEntries"/>
              <w:jc w:val="left"/>
            </w:pPr>
            <w:r>
              <w:t xml:space="preserve">Electricity exports — network </w:t>
            </w:r>
            <w:r w:rsidR="00DE23BD">
              <w:t>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31A224" w14:textId="591D97D1" w:rsidR="00D24C7F" w:rsidRDefault="00D24C7F">
            <w:pPr>
              <w:pStyle w:val="TableDataEntries"/>
            </w:pPr>
            <w:r w:rsidRPr="00A6754C">
              <w:t>-0.1</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261758" w14:textId="03AD0F1A" w:rsidR="00D24C7F" w:rsidRDefault="00D24C7F">
            <w:pPr>
              <w:pStyle w:val="TableDataEntries"/>
            </w:pPr>
            <w:r w:rsidRPr="00A6754C">
              <w:t>-0.2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5A63C3" w14:textId="3E0EB62B" w:rsidR="00D24C7F" w:rsidRDefault="00D24C7F">
            <w:pPr>
              <w:pStyle w:val="TableDataEntries"/>
            </w:pPr>
            <w:r w:rsidRPr="00A6754C">
              <w:t>-0.1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FB1ECAE" w14:textId="2AEC0B0C" w:rsidR="00D24C7F" w:rsidRDefault="00D24C7F">
            <w:pPr>
              <w:pStyle w:val="TableDataEntries"/>
            </w:pPr>
            <w:r w:rsidRPr="00A6754C">
              <w:t>-0.1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7D1BBEF" w14:textId="438DA01A" w:rsidR="00D24C7F" w:rsidRDefault="00D24C7F">
            <w:pPr>
              <w:pStyle w:val="TableDataEntries"/>
            </w:pPr>
            <w:r w:rsidRPr="00A6754C">
              <w:t>-0.1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42388CE" w14:textId="674F7460" w:rsidR="00D24C7F" w:rsidRDefault="00D24C7F">
            <w:pPr>
              <w:pStyle w:val="TableDataEntries"/>
            </w:pPr>
            <w:r w:rsidRPr="00A6754C">
              <w:t>-0.2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441D86" w14:textId="56DD5A62" w:rsidR="00D24C7F" w:rsidRDefault="00D24C7F">
            <w:pPr>
              <w:pStyle w:val="TableDataEntries"/>
            </w:pPr>
            <w:r w:rsidRPr="00A6754C">
              <w:t>-0.2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A2DA3F4" w14:textId="53BD012A" w:rsidR="00D24C7F" w:rsidRDefault="00D24C7F">
            <w:pPr>
              <w:pStyle w:val="TableDataEntries"/>
            </w:pPr>
            <w:r w:rsidRPr="00A6754C">
              <w:t>0.0</w:t>
            </w:r>
          </w:p>
        </w:tc>
      </w:tr>
      <w:tr w:rsidR="00D24C7F" w14:paraId="752A2906"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B1ADE76" w14:textId="79B34F6F" w:rsidR="00D24C7F" w:rsidRDefault="00D24C7F">
            <w:pPr>
              <w:pStyle w:val="TableDataEntries"/>
              <w:jc w:val="left"/>
            </w:pPr>
            <w:r>
              <w:t>Avoided gas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0D54170" w14:textId="527775CD" w:rsidR="00D24C7F" w:rsidRDefault="00D24C7F">
            <w:pPr>
              <w:pStyle w:val="TableDataEntries"/>
            </w:pPr>
            <w:r w:rsidRPr="00A6754C">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3C4717" w14:textId="31230EF0" w:rsidR="00D24C7F" w:rsidRDefault="00D24C7F">
            <w:pPr>
              <w:pStyle w:val="TableDataEntries"/>
            </w:pPr>
            <w:r w:rsidRPr="00A6754C">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38042A7" w14:textId="214D18FF" w:rsidR="00D24C7F" w:rsidRDefault="00D24C7F">
            <w:pPr>
              <w:pStyle w:val="TableDataEntries"/>
            </w:pPr>
            <w:r w:rsidRPr="00A6754C">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89DFE6" w14:textId="0415FE01" w:rsidR="00D24C7F" w:rsidRDefault="00D24C7F">
            <w:pPr>
              <w:pStyle w:val="TableDataEntries"/>
            </w:pPr>
            <w:r w:rsidRPr="00A6754C">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5F7597" w14:textId="49E117E6" w:rsidR="00D24C7F" w:rsidRDefault="00D24C7F">
            <w:pPr>
              <w:pStyle w:val="TableDataEntries"/>
            </w:pPr>
            <w:r w:rsidRPr="00A6754C">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72EDF38" w14:textId="5B55E15C" w:rsidR="00D24C7F" w:rsidRDefault="00D24C7F">
            <w:pPr>
              <w:pStyle w:val="TableDataEntries"/>
            </w:pPr>
            <w:r w:rsidRPr="00A6754C">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C365E7C" w14:textId="6788D917" w:rsidR="00D24C7F" w:rsidRDefault="00D24C7F">
            <w:pPr>
              <w:pStyle w:val="TableDataEntries"/>
            </w:pPr>
            <w:r w:rsidRPr="00A6754C">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CD3672F" w14:textId="1A980BA9" w:rsidR="00D24C7F" w:rsidRDefault="00D24C7F">
            <w:pPr>
              <w:pStyle w:val="TableDataEntries"/>
            </w:pPr>
            <w:r w:rsidRPr="00A6754C">
              <w:t>0.0</w:t>
            </w:r>
          </w:p>
        </w:tc>
      </w:tr>
      <w:tr w:rsidR="00D24C7F" w14:paraId="2662BA3D"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D74B8CC" w14:textId="3BA826CF" w:rsidR="00D24C7F" w:rsidRDefault="00D24C7F">
            <w:pPr>
              <w:pStyle w:val="TableDataEntries"/>
              <w:jc w:val="left"/>
            </w:pPr>
            <w:r>
              <w:t>Avoided GHG emissions –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1E2606C" w14:textId="7281D7C5" w:rsidR="00D24C7F" w:rsidRDefault="00D24C7F">
            <w:pPr>
              <w:pStyle w:val="TableDataEntries"/>
            </w:pPr>
            <w:r w:rsidRPr="00A6754C">
              <w:t>12.1</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499E1E1" w14:textId="72642136" w:rsidR="00D24C7F" w:rsidRDefault="00D24C7F">
            <w:pPr>
              <w:pStyle w:val="TableDataEntries"/>
            </w:pPr>
            <w:r w:rsidRPr="00A6754C">
              <w:t>15.7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7B5BFE" w14:textId="6F180F96" w:rsidR="00D24C7F" w:rsidRDefault="00D24C7F">
            <w:pPr>
              <w:pStyle w:val="TableDataEntries"/>
            </w:pPr>
            <w:r w:rsidRPr="00A6754C">
              <w:t>36.1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84DE4A" w14:textId="66015B4F" w:rsidR="00D24C7F" w:rsidRDefault="00D24C7F">
            <w:pPr>
              <w:pStyle w:val="TableDataEntries"/>
            </w:pPr>
            <w:r w:rsidRPr="00A6754C">
              <w:t>17.8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D508D81" w14:textId="1A16FBB2" w:rsidR="00D24C7F" w:rsidRDefault="00D24C7F">
            <w:pPr>
              <w:pStyle w:val="TableDataEntries"/>
            </w:pPr>
            <w:r w:rsidRPr="00A6754C">
              <w:t>13.0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5178CA" w14:textId="09700474" w:rsidR="00D24C7F" w:rsidRDefault="00D24C7F">
            <w:pPr>
              <w:pStyle w:val="TableDataEntries"/>
            </w:pPr>
            <w:r w:rsidRPr="00A6754C">
              <w:t>1.2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9398A7" w14:textId="01B5DF7E" w:rsidR="00D24C7F" w:rsidRDefault="00D24C7F">
            <w:pPr>
              <w:pStyle w:val="TableDataEntries"/>
            </w:pPr>
            <w:r w:rsidRPr="00A6754C">
              <w:t>8.0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540C26" w14:textId="22BDF0B4" w:rsidR="00D24C7F" w:rsidRDefault="00D24C7F">
            <w:pPr>
              <w:pStyle w:val="TableDataEntries"/>
            </w:pPr>
            <w:r w:rsidRPr="00A6754C">
              <w:t>50.8</w:t>
            </w:r>
          </w:p>
        </w:tc>
      </w:tr>
      <w:tr w:rsidR="00D24C7F" w14:paraId="73A4F737"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8F84FC" w14:textId="4E8E93F2" w:rsidR="00D24C7F" w:rsidRDefault="00D24C7F">
            <w:pPr>
              <w:pStyle w:val="TableDataEntries"/>
              <w:jc w:val="left"/>
            </w:pPr>
            <w:r>
              <w:t>Avoided GHG emissions – exported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0ED94B0" w14:textId="716D7468" w:rsidR="00D24C7F" w:rsidRDefault="00D24C7F">
            <w:pPr>
              <w:pStyle w:val="TableDataEntries"/>
            </w:pPr>
            <w:r w:rsidRPr="00A6754C">
              <w:t>0.7</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6DCEF3" w14:textId="1B7213DE" w:rsidR="00D24C7F" w:rsidRDefault="00D24C7F">
            <w:pPr>
              <w:pStyle w:val="TableDataEntries"/>
            </w:pPr>
            <w:r w:rsidRPr="00A6754C">
              <w:t>1.7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0A8FDCB" w14:textId="3FDBF869" w:rsidR="00D24C7F" w:rsidRDefault="00D24C7F">
            <w:pPr>
              <w:pStyle w:val="TableDataEntries"/>
            </w:pPr>
            <w:r w:rsidRPr="00A6754C">
              <w:t>1.6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E1D3EEB" w14:textId="4141CA99" w:rsidR="00D24C7F" w:rsidRDefault="00D24C7F">
            <w:pPr>
              <w:pStyle w:val="TableDataEntries"/>
            </w:pPr>
            <w:r w:rsidRPr="00A6754C">
              <w:t>1.1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03A5F9" w14:textId="4A44F35B" w:rsidR="00D24C7F" w:rsidRDefault="00D24C7F">
            <w:pPr>
              <w:pStyle w:val="TableDataEntries"/>
            </w:pPr>
            <w:r w:rsidRPr="00A6754C">
              <w:t>0.8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E030ACF" w14:textId="67ABD59F" w:rsidR="00D24C7F" w:rsidRDefault="00D24C7F">
            <w:pPr>
              <w:pStyle w:val="TableDataEntries"/>
            </w:pPr>
            <w:r w:rsidRPr="00A6754C">
              <w:t>0.1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C2A0BB" w14:textId="17586FB9" w:rsidR="00D24C7F" w:rsidRDefault="00D24C7F">
            <w:pPr>
              <w:pStyle w:val="TableDataEntries"/>
            </w:pPr>
            <w:r w:rsidRPr="00A6754C">
              <w:t>1.0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9D17C0" w14:textId="68DBA743" w:rsidR="00D24C7F" w:rsidRDefault="00D24C7F">
            <w:pPr>
              <w:pStyle w:val="TableDataEntries"/>
            </w:pPr>
            <w:r w:rsidRPr="00A6754C">
              <w:t>0.5</w:t>
            </w:r>
          </w:p>
        </w:tc>
      </w:tr>
      <w:tr w:rsidR="00D24C7F" w14:paraId="3DF82AD0"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ACEA59" w14:textId="671A8B81" w:rsidR="00D24C7F" w:rsidRDefault="00D24C7F">
            <w:pPr>
              <w:pStyle w:val="TableDataEntries"/>
              <w:jc w:val="left"/>
            </w:pPr>
            <w:r>
              <w:t>Avoided GHG emissions – gas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6A72B6D" w14:textId="71119CF7" w:rsidR="00D24C7F" w:rsidRDefault="00D24C7F">
            <w:pPr>
              <w:pStyle w:val="TableDataEntries"/>
            </w:pPr>
            <w:r w:rsidRPr="00A6754C">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39DF4D" w14:textId="11F00B0B" w:rsidR="00D24C7F" w:rsidRDefault="00D24C7F">
            <w:pPr>
              <w:pStyle w:val="TableDataEntries"/>
            </w:pPr>
            <w:r w:rsidRPr="00A6754C">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5383342" w14:textId="1325CB81" w:rsidR="00D24C7F" w:rsidRDefault="00D24C7F">
            <w:pPr>
              <w:pStyle w:val="TableDataEntries"/>
            </w:pPr>
            <w:r w:rsidRPr="00A6754C">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136437" w14:textId="1AC8CE2B" w:rsidR="00D24C7F" w:rsidRDefault="00D24C7F">
            <w:pPr>
              <w:pStyle w:val="TableDataEntries"/>
            </w:pPr>
            <w:r w:rsidRPr="00A6754C">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F8418F" w14:textId="455EFBEE" w:rsidR="00D24C7F" w:rsidRDefault="00D24C7F">
            <w:pPr>
              <w:pStyle w:val="TableDataEntries"/>
            </w:pPr>
            <w:r w:rsidRPr="00A6754C">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0F7F1E6" w14:textId="0C887342" w:rsidR="00D24C7F" w:rsidRDefault="00D24C7F">
            <w:pPr>
              <w:pStyle w:val="TableDataEntries"/>
            </w:pPr>
            <w:r w:rsidRPr="00A6754C">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307F492" w14:textId="2EF42C3C" w:rsidR="00D24C7F" w:rsidRDefault="00D24C7F">
            <w:pPr>
              <w:pStyle w:val="TableDataEntries"/>
            </w:pPr>
            <w:r w:rsidRPr="00A6754C">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3E7414" w14:textId="24849929" w:rsidR="00D24C7F" w:rsidRDefault="00D24C7F">
            <w:pPr>
              <w:pStyle w:val="TableDataEntries"/>
            </w:pPr>
            <w:r w:rsidRPr="00A6754C">
              <w:t>0.0</w:t>
            </w:r>
          </w:p>
        </w:tc>
      </w:tr>
      <w:tr w:rsidR="00D24C7F" w14:paraId="5EA523F2"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48F37AA" w14:textId="7F3C5763" w:rsidR="00D24C7F" w:rsidRDefault="00D24C7F">
            <w:pPr>
              <w:pStyle w:val="TableDataEntries"/>
              <w:jc w:val="left"/>
            </w:pPr>
            <w:r>
              <w:t>Capital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576740" w14:textId="750C0792" w:rsidR="00D24C7F" w:rsidRDefault="00D24C7F">
            <w:pPr>
              <w:pStyle w:val="TableDataEntries"/>
            </w:pPr>
            <w:r w:rsidRPr="00A6754C">
              <w:t>-10.8</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520CAB4" w14:textId="20CDA600" w:rsidR="00D24C7F" w:rsidRDefault="00D24C7F">
            <w:pPr>
              <w:pStyle w:val="TableDataEntries"/>
            </w:pPr>
            <w:r w:rsidRPr="00A6754C">
              <w:t>-22.2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0D4E09" w14:textId="41E30504" w:rsidR="00D24C7F" w:rsidRDefault="00D24C7F">
            <w:pPr>
              <w:pStyle w:val="TableDataEntries"/>
            </w:pPr>
            <w:r w:rsidRPr="00A6754C">
              <w:t>-23.8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7775F73" w14:textId="7F501F2A" w:rsidR="00D24C7F" w:rsidRDefault="00D24C7F">
            <w:pPr>
              <w:pStyle w:val="TableDataEntries"/>
            </w:pPr>
            <w:r w:rsidRPr="00A6754C">
              <w:t>-10.8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99590C0" w14:textId="0B533F19" w:rsidR="00D24C7F" w:rsidRDefault="00D24C7F">
            <w:pPr>
              <w:pStyle w:val="TableDataEntries"/>
            </w:pPr>
            <w:r w:rsidRPr="00A6754C">
              <w:t>-10.8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9DEE4A7" w14:textId="3DD2AA82" w:rsidR="00D24C7F" w:rsidRDefault="00D24C7F">
            <w:pPr>
              <w:pStyle w:val="TableDataEntries"/>
            </w:pPr>
            <w:r w:rsidRPr="00A6754C">
              <w:t>-14.8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6F69869" w14:textId="28253211" w:rsidR="00D24C7F" w:rsidRDefault="00D24C7F">
            <w:pPr>
              <w:pStyle w:val="TableDataEntries"/>
            </w:pPr>
            <w:r w:rsidRPr="00A6754C">
              <w:t>-14.8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D41C164" w14:textId="0188DF66" w:rsidR="00D24C7F" w:rsidRDefault="00D24C7F">
            <w:pPr>
              <w:pStyle w:val="TableDataEntries"/>
            </w:pPr>
            <w:r w:rsidRPr="00A6754C">
              <w:t>-34.3</w:t>
            </w:r>
          </w:p>
        </w:tc>
      </w:tr>
      <w:tr w:rsidR="00D24C7F" w:rsidRPr="0046085C" w14:paraId="2D18867C" w14:textId="77777777">
        <w:trPr>
          <w:trHeight w:val="245"/>
        </w:trPr>
        <w:tc>
          <w:tcPr>
            <w:tcW w:w="2627"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060D641" w14:textId="6E760272" w:rsidR="00D24C7F" w:rsidRPr="0046085C" w:rsidRDefault="00D24C7F">
            <w:pPr>
              <w:pStyle w:val="TableDataEntries"/>
              <w:jc w:val="left"/>
              <w:rPr>
                <w:rFonts w:ascii="Franklin Gothic Demi" w:hAnsi="Franklin Gothic Demi"/>
              </w:rPr>
            </w:pPr>
            <w:r w:rsidRPr="0046085C">
              <w:rPr>
                <w:rFonts w:ascii="Franklin Gothic Demi" w:hAnsi="Franklin Gothic Demi"/>
              </w:rPr>
              <w:t>Total</w:t>
            </w:r>
          </w:p>
        </w:tc>
        <w:tc>
          <w:tcPr>
            <w:tcW w:w="63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E083F33" w14:textId="3B1ED4FD" w:rsidR="00D24C7F" w:rsidRPr="0046085C" w:rsidRDefault="00D24C7F">
            <w:pPr>
              <w:pStyle w:val="TableDataEntries"/>
              <w:rPr>
                <w:rFonts w:ascii="Franklin Gothic Demi" w:hAnsi="Franklin Gothic Demi"/>
              </w:rPr>
            </w:pPr>
            <w:r w:rsidRPr="0046085C">
              <w:rPr>
                <w:rFonts w:ascii="Franklin Gothic Demi" w:hAnsi="Franklin Gothic Demi"/>
              </w:rPr>
              <w:t>57.2</w:t>
            </w:r>
          </w:p>
        </w:tc>
        <w:tc>
          <w:tcPr>
            <w:tcW w:w="69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D6D5B39" w14:textId="5F1124C0" w:rsidR="00D24C7F" w:rsidRPr="0046085C" w:rsidRDefault="00D24C7F">
            <w:pPr>
              <w:pStyle w:val="TableDataEntries"/>
              <w:rPr>
                <w:rFonts w:ascii="Franklin Gothic Demi" w:hAnsi="Franklin Gothic Demi"/>
              </w:rPr>
            </w:pPr>
            <w:r w:rsidRPr="0046085C">
              <w:rPr>
                <w:rFonts w:ascii="Franklin Gothic Demi" w:hAnsi="Franklin Gothic Demi"/>
              </w:rPr>
              <w:t>39.0</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7517DD0" w14:textId="4E727EB3" w:rsidR="00D24C7F" w:rsidRPr="0046085C" w:rsidRDefault="00D24C7F">
            <w:pPr>
              <w:pStyle w:val="TableDataEntries"/>
              <w:rPr>
                <w:rFonts w:ascii="Franklin Gothic Demi" w:hAnsi="Franklin Gothic Demi"/>
              </w:rPr>
            </w:pPr>
            <w:r w:rsidRPr="0046085C">
              <w:rPr>
                <w:rFonts w:ascii="Franklin Gothic Demi" w:hAnsi="Franklin Gothic Demi"/>
              </w:rPr>
              <w:t>74.2</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7C5461CF" w14:textId="7EAE2D6F" w:rsidR="00D24C7F" w:rsidRPr="0046085C" w:rsidRDefault="00D24C7F">
            <w:pPr>
              <w:pStyle w:val="TableDataEntries"/>
              <w:rPr>
                <w:rFonts w:ascii="Franklin Gothic Demi" w:hAnsi="Franklin Gothic Demi"/>
              </w:rPr>
            </w:pPr>
            <w:r w:rsidRPr="0046085C">
              <w:rPr>
                <w:rFonts w:ascii="Franklin Gothic Demi" w:hAnsi="Franklin Gothic Demi"/>
              </w:rPr>
              <w:t>63.9</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4C394CD1" w14:textId="7DABA79D" w:rsidR="00D24C7F" w:rsidRPr="0046085C" w:rsidRDefault="00D24C7F">
            <w:pPr>
              <w:pStyle w:val="TableDataEntries"/>
              <w:rPr>
                <w:rFonts w:ascii="Franklin Gothic Demi" w:hAnsi="Franklin Gothic Demi"/>
              </w:rPr>
            </w:pPr>
            <w:r w:rsidRPr="0046085C">
              <w:rPr>
                <w:rFonts w:ascii="Franklin Gothic Demi" w:hAnsi="Franklin Gothic Demi"/>
              </w:rPr>
              <w:t>70.3</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4D44C943" w14:textId="5F17C6B4" w:rsidR="00D24C7F" w:rsidRPr="0046085C" w:rsidRDefault="00D24C7F">
            <w:pPr>
              <w:pStyle w:val="TableDataEntries"/>
              <w:rPr>
                <w:rFonts w:ascii="Franklin Gothic Demi" w:hAnsi="Franklin Gothic Demi"/>
              </w:rPr>
            </w:pPr>
            <w:r w:rsidRPr="0046085C">
              <w:rPr>
                <w:rFonts w:ascii="Franklin Gothic Demi" w:hAnsi="Franklin Gothic Demi"/>
              </w:rPr>
              <w:t>61.2</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2E9F949" w14:textId="54FF4BDA" w:rsidR="00D24C7F" w:rsidRPr="0046085C" w:rsidRDefault="00D24C7F">
            <w:pPr>
              <w:pStyle w:val="TableDataEntries"/>
              <w:rPr>
                <w:rFonts w:ascii="Franklin Gothic Demi" w:hAnsi="Franklin Gothic Demi"/>
              </w:rPr>
            </w:pPr>
            <w:r w:rsidRPr="0046085C">
              <w:rPr>
                <w:rFonts w:ascii="Franklin Gothic Demi" w:hAnsi="Franklin Gothic Demi"/>
              </w:rPr>
              <w:t>43.3</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450D5F94" w14:textId="6931B2E9" w:rsidR="00D24C7F" w:rsidRPr="0046085C" w:rsidRDefault="00D24C7F">
            <w:pPr>
              <w:pStyle w:val="TableDataEntries"/>
              <w:rPr>
                <w:rFonts w:ascii="Franklin Gothic Demi" w:hAnsi="Franklin Gothic Demi"/>
              </w:rPr>
            </w:pPr>
            <w:r w:rsidRPr="0046085C">
              <w:rPr>
                <w:rFonts w:ascii="Franklin Gothic Demi" w:hAnsi="Franklin Gothic Demi"/>
              </w:rPr>
              <w:t>126.9</w:t>
            </w:r>
          </w:p>
        </w:tc>
      </w:tr>
    </w:tbl>
    <w:p w14:paraId="20EC1518" w14:textId="77777777" w:rsidR="00D24C7F" w:rsidRDefault="00D24C7F" w:rsidP="00D24C7F">
      <w:pPr>
        <w:pStyle w:val="Note"/>
      </w:pPr>
      <w:r w:rsidRPr="007D1B4F">
        <w:rPr>
          <w:i/>
        </w:rPr>
        <w:t>Note:</w:t>
      </w:r>
      <w:r w:rsidRPr="00E879B8">
        <w:t xml:space="preserve"> </w:t>
      </w:r>
      <w:r>
        <w:t>Costs and benefits estimated in present value terms over the 50</w:t>
      </w:r>
      <w:r>
        <w:noBreakHyphen/>
        <w:t xml:space="preserve">year life of a building constructed in 2025, using a discount rate of 5 per cent. </w:t>
      </w:r>
    </w:p>
    <w:p w14:paraId="1BF20F97" w14:textId="77777777" w:rsidR="00D24C7F" w:rsidRDefault="00D24C7F" w:rsidP="00D24C7F">
      <w:pPr>
        <w:pStyle w:val="Source"/>
      </w:pPr>
      <w:r>
        <w:rPr>
          <w:i/>
        </w:rPr>
        <w:t>Source</w:t>
      </w:r>
      <w:r w:rsidRPr="00E4232C">
        <w:rPr>
          <w:i/>
        </w:rPr>
        <w:t>:</w:t>
      </w:r>
      <w:r>
        <w:t xml:space="preserve"> CIE based on DeltaQ modelling.</w:t>
      </w:r>
    </w:p>
    <w:p w14:paraId="304CCD7A" w14:textId="21D2D693" w:rsidR="00D24C7F" w:rsidRPr="005E5FA8" w:rsidRDefault="00D24C7F" w:rsidP="00D24C7F">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w:instrText>
      </w:r>
      <w:fldSimple w:instr=" STYLEREF &quot;Heading 1&quot; \l \n ">
        <w:r w:rsidRPr="005E5FA8">
          <w:instrText>2</w:instrText>
        </w:r>
      </w:fldSimple>
      <w:r w:rsidRPr="005E5FA8">
        <w:instrText xml:space="preserve">." </w:instrText>
      </w:r>
      <w:r w:rsidRPr="005E5FA8">
        <w:fldChar w:fldCharType="end"/>
      </w:r>
      <w:r w:rsidRPr="005E5FA8">
        <w:instrText>" "</w:instrText>
      </w:r>
      <w:fldSimple w:instr=" STYLEREF &quot;Heading 6&quot; \l \n ">
        <w:r w:rsidR="00581346">
          <w:rPr>
            <w:noProof/>
          </w:rPr>
          <w:instrText>H</w:instrText>
        </w:r>
      </w:fldSimple>
      <w:r w:rsidRPr="005E5FA8">
        <w:instrText xml:space="preserve">." </w:instrText>
      </w:r>
      <w:r w:rsidRPr="005E5FA8">
        <w:fldChar w:fldCharType="separate"/>
      </w:r>
      <w:r w:rsidR="00581346">
        <w:rPr>
          <w:noProof/>
        </w:rPr>
        <w:instrText>H</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"1" </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5</w:instrText>
      </w:r>
      <w:r w:rsidRPr="005E5FA8">
        <w:fldChar w:fldCharType="end"/>
      </w:r>
      <w:r w:rsidRPr="005E5FA8">
        <w:instrText xml:space="preserve">" "" </w:instrText>
      </w:r>
      <w:r w:rsidRPr="005E5FA8">
        <w:fldChar w:fldCharType="separate"/>
      </w:r>
      <w:bookmarkStart w:id="9825" w:name="_Caption1814"/>
      <w:bookmarkStart w:id="9826" w:name="_Caption8675"/>
      <w:bookmarkStart w:id="9827" w:name="_Caption6706"/>
      <w:bookmarkStart w:id="9828" w:name="_Caption0577"/>
      <w:bookmarkStart w:id="9829" w:name="_Caption4869"/>
      <w:bookmarkStart w:id="9830" w:name="_Caption9243"/>
      <w:bookmarkStart w:id="9831" w:name="_Caption5526"/>
      <w:bookmarkStart w:id="9832" w:name="_Caption6071"/>
      <w:bookmarkStart w:id="9833" w:name="_Caption7073"/>
      <w:bookmarkStart w:id="9834" w:name="_Caption7990"/>
      <w:bookmarkStart w:id="9835" w:name="_Caption7450"/>
      <w:bookmarkStart w:id="9836" w:name="_Caption7652"/>
      <w:bookmarkStart w:id="9837" w:name="_Caption0111"/>
      <w:bookmarkStart w:id="9838" w:name="_Caption2319"/>
      <w:bookmarkStart w:id="9839" w:name="_Caption8504"/>
      <w:bookmarkStart w:id="9840" w:name="_Caption6722"/>
      <w:bookmarkStart w:id="9841" w:name="_Caption5381"/>
      <w:bookmarkStart w:id="9842" w:name="_Caption8271"/>
      <w:bookmarkStart w:id="9843" w:name="_Caption8981"/>
      <w:bookmarkStart w:id="9844" w:name="_Caption3238"/>
      <w:bookmarkStart w:id="9845" w:name="_Caption3150"/>
      <w:bookmarkStart w:id="9846" w:name="_Caption1396"/>
      <w:bookmarkStart w:id="9847" w:name="_Caption3910"/>
      <w:bookmarkStart w:id="9848" w:name="_Caption2822"/>
      <w:bookmarkStart w:id="9849" w:name="_Toc177735255"/>
      <w:bookmarkStart w:id="9850" w:name="_Toc178292697"/>
      <w:r w:rsidR="008C60A3">
        <w:rPr>
          <w:noProof/>
        </w:rPr>
        <w:t>H</w:t>
      </w:r>
      <w:r w:rsidR="008C60A3" w:rsidRPr="005E5FA8">
        <w:rPr>
          <w:noProof/>
        </w:rPr>
        <w:t>.</w:t>
      </w:r>
      <w:r w:rsidR="008C60A3">
        <w:rPr>
          <w:noProof/>
        </w:rPr>
        <w:t>5</w:t>
      </w:r>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r w:rsidRPr="005E5FA8">
        <w:fldChar w:fldCharType="end"/>
      </w:r>
      <w:r w:rsidRPr="005E5FA8">
        <w:tab/>
        <w:t>Stringency Level 1 estimated costs and benefits — C6RS</w:t>
      </w:r>
      <w:bookmarkEnd w:id="9849"/>
      <w:bookmarkEnd w:id="9850"/>
    </w:p>
    <w:tbl>
      <w:tblPr>
        <w:tblW w:w="8047" w:type="dxa"/>
        <w:tblLayout w:type="fixed"/>
        <w:tblLook w:val="0000" w:firstRow="0" w:lastRow="0" w:firstColumn="0" w:lastColumn="0" w:noHBand="0" w:noVBand="0"/>
        <w:tblCaption w:val="Table G.5"/>
        <w:tblDescription w:val="Stringency Level 1 estimated costs and benefits — C6RS"/>
      </w:tblPr>
      <w:tblGrid>
        <w:gridCol w:w="2694"/>
        <w:gridCol w:w="708"/>
        <w:gridCol w:w="663"/>
        <w:gridCol w:w="664"/>
        <w:gridCol w:w="663"/>
        <w:gridCol w:w="664"/>
        <w:gridCol w:w="664"/>
        <w:gridCol w:w="663"/>
        <w:gridCol w:w="664"/>
      </w:tblGrid>
      <w:tr w:rsidR="00D24C7F" w14:paraId="501F898F" w14:textId="77777777">
        <w:trPr>
          <w:trHeight w:val="245"/>
          <w:tblHeader/>
        </w:trPr>
        <w:tc>
          <w:tcPr>
            <w:tcW w:w="2694" w:type="dxa"/>
            <w:shd w:val="clear" w:color="auto" w:fill="6F6652"/>
            <w:tcMar>
              <w:left w:w="57" w:type="dxa"/>
              <w:right w:w="57" w:type="dxa"/>
            </w:tcMar>
          </w:tcPr>
          <w:p w14:paraId="0D738EF3" w14:textId="77777777" w:rsidR="00D24C7F" w:rsidRDefault="00D24C7F">
            <w:pPr>
              <w:pStyle w:val="TableDataColumnHeading"/>
              <w:jc w:val="left"/>
            </w:pPr>
            <w:r>
              <w:t>Impact</w:t>
            </w:r>
          </w:p>
        </w:tc>
        <w:tc>
          <w:tcPr>
            <w:tcW w:w="708" w:type="dxa"/>
            <w:shd w:val="clear" w:color="auto" w:fill="6F6652"/>
            <w:tcMar>
              <w:left w:w="57" w:type="dxa"/>
              <w:right w:w="57" w:type="dxa"/>
            </w:tcMar>
          </w:tcPr>
          <w:p w14:paraId="253FBAA6" w14:textId="77777777" w:rsidR="00D24C7F" w:rsidRDefault="00D24C7F">
            <w:pPr>
              <w:pStyle w:val="TableDataColumnHeading"/>
            </w:pPr>
            <w:r>
              <w:t>NSW (CZ5)</w:t>
            </w:r>
          </w:p>
          <w:p w14:paraId="18E838E4" w14:textId="77777777" w:rsidR="00D24C7F" w:rsidRDefault="00D24C7F">
            <w:pPr>
              <w:pStyle w:val="TableDataColumnHeading"/>
            </w:pPr>
            <w:r>
              <w:t>$ per m2</w:t>
            </w:r>
          </w:p>
        </w:tc>
        <w:tc>
          <w:tcPr>
            <w:tcW w:w="663" w:type="dxa"/>
            <w:shd w:val="clear" w:color="auto" w:fill="6F6652"/>
            <w:tcMar>
              <w:left w:w="57" w:type="dxa"/>
              <w:right w:w="57" w:type="dxa"/>
            </w:tcMar>
          </w:tcPr>
          <w:p w14:paraId="1FDB3A5A" w14:textId="77777777" w:rsidR="00D24C7F" w:rsidRDefault="00D24C7F">
            <w:pPr>
              <w:pStyle w:val="TableDataColumnHeading"/>
            </w:pPr>
            <w:r>
              <w:t>VIC (CZ6)</w:t>
            </w:r>
          </w:p>
          <w:p w14:paraId="385A5906" w14:textId="77777777" w:rsidR="00D24C7F" w:rsidRDefault="00D24C7F">
            <w:pPr>
              <w:pStyle w:val="TableDataColumnHeading"/>
            </w:pPr>
            <w:r>
              <w:t>$ per m2</w:t>
            </w:r>
          </w:p>
        </w:tc>
        <w:tc>
          <w:tcPr>
            <w:tcW w:w="664" w:type="dxa"/>
            <w:shd w:val="clear" w:color="auto" w:fill="6F6652"/>
            <w:tcMar>
              <w:left w:w="57" w:type="dxa"/>
              <w:right w:w="57" w:type="dxa"/>
            </w:tcMar>
          </w:tcPr>
          <w:p w14:paraId="7D161C35" w14:textId="77777777" w:rsidR="00D24C7F" w:rsidRDefault="00D24C7F">
            <w:pPr>
              <w:pStyle w:val="TableDataColumnHeading"/>
            </w:pPr>
            <w:r>
              <w:t>QLD (CZ2)</w:t>
            </w:r>
          </w:p>
          <w:p w14:paraId="54452612" w14:textId="77777777" w:rsidR="00D24C7F" w:rsidRDefault="00D24C7F">
            <w:pPr>
              <w:pStyle w:val="TableDataColumnHeading"/>
            </w:pPr>
            <w:r>
              <w:t>$ per m2</w:t>
            </w:r>
          </w:p>
        </w:tc>
        <w:tc>
          <w:tcPr>
            <w:tcW w:w="663" w:type="dxa"/>
            <w:shd w:val="clear" w:color="auto" w:fill="6F6652"/>
            <w:tcMar>
              <w:left w:w="57" w:type="dxa"/>
              <w:right w:w="57" w:type="dxa"/>
            </w:tcMar>
          </w:tcPr>
          <w:p w14:paraId="7BD27473" w14:textId="77777777" w:rsidR="00D24C7F" w:rsidRDefault="00D24C7F">
            <w:pPr>
              <w:pStyle w:val="TableDataColumnHeading"/>
            </w:pPr>
            <w:r>
              <w:t>WA (CZ5)</w:t>
            </w:r>
          </w:p>
          <w:p w14:paraId="53CA5FE7" w14:textId="77777777" w:rsidR="00D24C7F" w:rsidRDefault="00D24C7F">
            <w:pPr>
              <w:pStyle w:val="TableDataColumnHeading"/>
            </w:pPr>
            <w:r>
              <w:t>$ per m2</w:t>
            </w:r>
          </w:p>
        </w:tc>
        <w:tc>
          <w:tcPr>
            <w:tcW w:w="664" w:type="dxa"/>
            <w:shd w:val="clear" w:color="auto" w:fill="6F6652"/>
            <w:tcMar>
              <w:left w:w="57" w:type="dxa"/>
              <w:right w:w="57" w:type="dxa"/>
            </w:tcMar>
          </w:tcPr>
          <w:p w14:paraId="15CE1223" w14:textId="77777777" w:rsidR="00D24C7F" w:rsidRDefault="00D24C7F">
            <w:pPr>
              <w:pStyle w:val="TableDataColumnHeading"/>
            </w:pPr>
            <w:r>
              <w:t>SA (CZ5)</w:t>
            </w:r>
          </w:p>
          <w:p w14:paraId="1D9A8DCD" w14:textId="77777777" w:rsidR="00D24C7F" w:rsidRDefault="00D24C7F">
            <w:pPr>
              <w:pStyle w:val="TableDataColumnHeading"/>
            </w:pPr>
            <w:r>
              <w:t>$ per m2</w:t>
            </w:r>
          </w:p>
        </w:tc>
        <w:tc>
          <w:tcPr>
            <w:tcW w:w="664" w:type="dxa"/>
            <w:shd w:val="clear" w:color="auto" w:fill="6F6652"/>
            <w:tcMar>
              <w:left w:w="57" w:type="dxa"/>
              <w:right w:w="57" w:type="dxa"/>
            </w:tcMar>
          </w:tcPr>
          <w:p w14:paraId="4D3EB715" w14:textId="77777777" w:rsidR="00D24C7F" w:rsidRDefault="00D24C7F">
            <w:pPr>
              <w:pStyle w:val="TableDataColumnHeading"/>
            </w:pPr>
            <w:r>
              <w:t>TAS (CZ7)</w:t>
            </w:r>
          </w:p>
          <w:p w14:paraId="7A0270A6" w14:textId="77777777" w:rsidR="00D24C7F" w:rsidRDefault="00D24C7F">
            <w:pPr>
              <w:pStyle w:val="TableDataColumnHeading"/>
            </w:pPr>
            <w:r>
              <w:t>$ per m2</w:t>
            </w:r>
          </w:p>
        </w:tc>
        <w:tc>
          <w:tcPr>
            <w:tcW w:w="663" w:type="dxa"/>
            <w:shd w:val="clear" w:color="auto" w:fill="6F6652"/>
            <w:tcMar>
              <w:left w:w="57" w:type="dxa"/>
              <w:right w:w="57" w:type="dxa"/>
            </w:tcMar>
          </w:tcPr>
          <w:p w14:paraId="4AA89035" w14:textId="77777777" w:rsidR="00D24C7F" w:rsidRDefault="00D24C7F">
            <w:pPr>
              <w:pStyle w:val="TableDataColumnHeading"/>
            </w:pPr>
            <w:r>
              <w:t>ACT (CZ7)</w:t>
            </w:r>
          </w:p>
          <w:p w14:paraId="3FB11D7E" w14:textId="77777777" w:rsidR="00D24C7F" w:rsidRDefault="00D24C7F">
            <w:pPr>
              <w:pStyle w:val="TableDataColumnHeading"/>
            </w:pPr>
            <w:r>
              <w:t>$ per m2</w:t>
            </w:r>
          </w:p>
        </w:tc>
        <w:tc>
          <w:tcPr>
            <w:tcW w:w="664" w:type="dxa"/>
            <w:shd w:val="clear" w:color="auto" w:fill="6F6652"/>
            <w:tcMar>
              <w:left w:w="57" w:type="dxa"/>
              <w:right w:w="57" w:type="dxa"/>
            </w:tcMar>
          </w:tcPr>
          <w:p w14:paraId="08C53541" w14:textId="77777777" w:rsidR="00D24C7F" w:rsidRDefault="00D24C7F">
            <w:pPr>
              <w:pStyle w:val="TableDataColumnHeading"/>
            </w:pPr>
            <w:r>
              <w:t>NT (CZ1)</w:t>
            </w:r>
          </w:p>
          <w:p w14:paraId="1098C739" w14:textId="77777777" w:rsidR="00D24C7F" w:rsidRDefault="00D24C7F">
            <w:pPr>
              <w:pStyle w:val="TableDataColumnHeading"/>
            </w:pPr>
            <w:r>
              <w:t>$ per m2</w:t>
            </w:r>
          </w:p>
        </w:tc>
      </w:tr>
      <w:tr w:rsidR="00D24C7F" w14:paraId="6D639852" w14:textId="77777777">
        <w:trPr>
          <w:trHeight w:val="245"/>
        </w:trPr>
        <w:tc>
          <w:tcPr>
            <w:tcW w:w="269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4ED0119" w14:textId="6A6E8339" w:rsidR="00D24C7F" w:rsidRDefault="00D24C7F">
            <w:pPr>
              <w:pStyle w:val="TableDataEntries"/>
              <w:jc w:val="left"/>
            </w:pPr>
            <w:r>
              <w:t>Avoided electricity network capacity costs</w:t>
            </w:r>
          </w:p>
        </w:tc>
        <w:tc>
          <w:tcPr>
            <w:tcW w:w="7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50073A" w14:textId="625E5395" w:rsidR="00D24C7F" w:rsidRDefault="00D24C7F">
            <w:pPr>
              <w:pStyle w:val="TableDataEntries"/>
            </w:pPr>
            <w:r>
              <w:t>45.2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0323288" w14:textId="7CFA7462" w:rsidR="00D24C7F" w:rsidRDefault="00D24C7F">
            <w:pPr>
              <w:pStyle w:val="TableDataEntries"/>
            </w:pPr>
            <w:r>
              <w:t>20.6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0C96BFE" w14:textId="21D1365D" w:rsidR="00D24C7F" w:rsidRDefault="00D24C7F">
            <w:pPr>
              <w:pStyle w:val="TableDataEntries"/>
            </w:pPr>
            <w:r>
              <w:t>45.9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A40A7EB" w14:textId="38532842" w:rsidR="00D24C7F" w:rsidRDefault="00D24C7F">
            <w:pPr>
              <w:pStyle w:val="TableDataEntries"/>
            </w:pPr>
            <w:r>
              <w:t>11.0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D76C880" w14:textId="4563D639" w:rsidR="00D24C7F" w:rsidRDefault="00D24C7F">
            <w:pPr>
              <w:pStyle w:val="TableDataEntries"/>
            </w:pPr>
            <w:r>
              <w:t>24.4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0F6AB8B" w14:textId="78A76BF6" w:rsidR="00D24C7F" w:rsidRDefault="00D24C7F">
            <w:pPr>
              <w:pStyle w:val="TableDataEntries"/>
            </w:pPr>
            <w:r>
              <w:t>82.3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1FD38E" w14:textId="0AA01FE6" w:rsidR="00D24C7F" w:rsidRDefault="00D24C7F">
            <w:pPr>
              <w:pStyle w:val="TableDataEntries"/>
            </w:pPr>
            <w:r>
              <w:t>36.2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03C32F" w14:textId="29483070" w:rsidR="00D24C7F" w:rsidRDefault="00D24C7F">
            <w:pPr>
              <w:pStyle w:val="TableDataEntries"/>
            </w:pPr>
            <w:r>
              <w:t>46.4</w:t>
            </w:r>
          </w:p>
        </w:tc>
      </w:tr>
      <w:tr w:rsidR="00D24C7F" w14:paraId="1AF13BB2" w14:textId="77777777">
        <w:trPr>
          <w:trHeight w:val="245"/>
        </w:trPr>
        <w:tc>
          <w:tcPr>
            <w:tcW w:w="269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0D76F1D" w14:textId="03B0D63C" w:rsidR="00D24C7F" w:rsidRDefault="00D24C7F">
            <w:pPr>
              <w:pStyle w:val="TableDataEntries"/>
              <w:jc w:val="left"/>
            </w:pPr>
            <w:r>
              <w:t>Avoided electricity wholesale costs</w:t>
            </w:r>
          </w:p>
        </w:tc>
        <w:tc>
          <w:tcPr>
            <w:tcW w:w="7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CE5F9D" w14:textId="5B20AF7D" w:rsidR="00D24C7F" w:rsidRDefault="00D24C7F">
            <w:pPr>
              <w:pStyle w:val="TableDataEntries"/>
            </w:pPr>
            <w:r>
              <w:t>91.8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F36C6BB" w14:textId="65618738" w:rsidR="00D24C7F" w:rsidRDefault="00D24C7F">
            <w:pPr>
              <w:pStyle w:val="TableDataEntries"/>
            </w:pPr>
            <w:r>
              <w:t>56.2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372AC5C" w14:textId="7198840E" w:rsidR="00D24C7F" w:rsidRDefault="00D24C7F">
            <w:pPr>
              <w:pStyle w:val="TableDataEntries"/>
            </w:pPr>
            <w:r>
              <w:t>103.6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14AF048" w14:textId="720AD263" w:rsidR="00D24C7F" w:rsidRDefault="00D24C7F">
            <w:pPr>
              <w:pStyle w:val="TableDataEntries"/>
            </w:pPr>
            <w:r>
              <w:t>55.7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2F0D01A" w14:textId="46F0CEBF" w:rsidR="00D24C7F" w:rsidRDefault="00D24C7F">
            <w:pPr>
              <w:pStyle w:val="TableDataEntries"/>
            </w:pPr>
            <w:r>
              <w:t>65.1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B6C3609" w14:textId="50CAF8A5" w:rsidR="00D24C7F" w:rsidRDefault="00D24C7F">
            <w:pPr>
              <w:pStyle w:val="TableDataEntries"/>
            </w:pPr>
            <w:r>
              <w:t>58.2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61C0C6" w14:textId="5B0C955B" w:rsidR="00D24C7F" w:rsidRDefault="00D24C7F">
            <w:pPr>
              <w:pStyle w:val="TableDataEntries"/>
            </w:pPr>
            <w:r>
              <w:t>66.1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2D4D0A" w14:textId="53F8B3A6" w:rsidR="00D24C7F" w:rsidRDefault="00D24C7F">
            <w:pPr>
              <w:pStyle w:val="TableDataEntries"/>
            </w:pPr>
            <w:r>
              <w:t>223.8</w:t>
            </w:r>
          </w:p>
        </w:tc>
      </w:tr>
      <w:tr w:rsidR="00D24C7F" w14:paraId="64C55E99" w14:textId="77777777">
        <w:trPr>
          <w:trHeight w:val="245"/>
        </w:trPr>
        <w:tc>
          <w:tcPr>
            <w:tcW w:w="269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38BE4F2" w14:textId="45B05DA6" w:rsidR="00D24C7F" w:rsidRDefault="00D24C7F">
            <w:pPr>
              <w:pStyle w:val="TableDataEntries"/>
              <w:jc w:val="left"/>
            </w:pPr>
            <w:r>
              <w:t>Avoided electricity network usage costs</w:t>
            </w:r>
          </w:p>
        </w:tc>
        <w:tc>
          <w:tcPr>
            <w:tcW w:w="7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8DAE41E" w14:textId="29C88EDD" w:rsidR="00D24C7F" w:rsidRDefault="00D24C7F">
            <w:pPr>
              <w:pStyle w:val="TableDataEntries"/>
            </w:pPr>
            <w:r>
              <w:t>49.7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06E2253" w14:textId="1CD42AF7" w:rsidR="00D24C7F" w:rsidRDefault="00D24C7F">
            <w:pPr>
              <w:pStyle w:val="TableDataEntries"/>
            </w:pPr>
            <w:r>
              <w:t>56.9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C27924F" w14:textId="7C9CAD1E" w:rsidR="00D24C7F" w:rsidRDefault="00D24C7F">
            <w:pPr>
              <w:pStyle w:val="TableDataEntries"/>
            </w:pPr>
            <w:r>
              <w:t>63.9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24B777" w14:textId="1BBE34C1" w:rsidR="00D24C7F" w:rsidRDefault="00D24C7F">
            <w:pPr>
              <w:pStyle w:val="TableDataEntries"/>
            </w:pPr>
            <w:r>
              <w:t>120.1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C9F371B" w14:textId="2904191B" w:rsidR="00D24C7F" w:rsidRDefault="00D24C7F">
            <w:pPr>
              <w:pStyle w:val="TableDataEntries"/>
            </w:pPr>
            <w:r>
              <w:t>139.2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11EFB6" w14:textId="50336F2C" w:rsidR="00D24C7F" w:rsidRDefault="00D24C7F">
            <w:pPr>
              <w:pStyle w:val="TableDataEntries"/>
            </w:pPr>
            <w:r>
              <w:t>85.7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225D7FB" w14:textId="15942D1F" w:rsidR="00D24C7F" w:rsidRDefault="00D24C7F">
            <w:pPr>
              <w:pStyle w:val="TableDataEntries"/>
            </w:pPr>
            <w:r>
              <w:t>50.7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0DBA13C" w14:textId="6EC59DEE" w:rsidR="00D24C7F" w:rsidRDefault="00D24C7F">
            <w:pPr>
              <w:pStyle w:val="TableDataEntries"/>
            </w:pPr>
            <w:r>
              <w:t>108.7</w:t>
            </w:r>
          </w:p>
        </w:tc>
      </w:tr>
      <w:tr w:rsidR="00D24C7F" w14:paraId="3E4167ED" w14:textId="77777777">
        <w:trPr>
          <w:trHeight w:val="245"/>
        </w:trPr>
        <w:tc>
          <w:tcPr>
            <w:tcW w:w="269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CB11B1" w14:textId="5FC45CC7" w:rsidR="00D24C7F" w:rsidRDefault="00D24C7F">
            <w:pPr>
              <w:pStyle w:val="TableDataEntries"/>
              <w:jc w:val="left"/>
            </w:pPr>
            <w:r>
              <w:t>Avoided electricity retail costs</w:t>
            </w:r>
          </w:p>
        </w:tc>
        <w:tc>
          <w:tcPr>
            <w:tcW w:w="7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725B50" w14:textId="35695AC8" w:rsidR="00D24C7F" w:rsidRDefault="00D24C7F">
            <w:pPr>
              <w:pStyle w:val="TableDataEntries"/>
            </w:pPr>
            <w:r>
              <w:t>28.0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25E5C2" w14:textId="3245EAD6" w:rsidR="00D24C7F" w:rsidRDefault="00D24C7F">
            <w:pPr>
              <w:pStyle w:val="TableDataEntries"/>
            </w:pPr>
            <w:r>
              <w:t>20.0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9EBF7D9" w14:textId="4F373EBE" w:rsidR="00D24C7F" w:rsidRDefault="00D24C7F">
            <w:pPr>
              <w:pStyle w:val="TableDataEntries"/>
            </w:pPr>
            <w:r>
              <w:t>32.0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C903EC3" w14:textId="5B81E56D" w:rsidR="00D24C7F" w:rsidRDefault="00D24C7F">
            <w:pPr>
              <w:pStyle w:val="TableDataEntries"/>
            </w:pPr>
            <w:r>
              <w:t>28.0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4C48D23" w14:textId="6582C60E" w:rsidR="00D24C7F" w:rsidRDefault="00D24C7F">
            <w:pPr>
              <w:pStyle w:val="TableDataEntries"/>
            </w:pPr>
            <w:r>
              <w:t>34.3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36770CC" w14:textId="221ACDA0" w:rsidR="00D24C7F" w:rsidRDefault="00D24C7F">
            <w:pPr>
              <w:pStyle w:val="TableDataEntries"/>
            </w:pPr>
            <w:r>
              <w:t>33.9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25F3055" w14:textId="6DCD8500" w:rsidR="00D24C7F" w:rsidRDefault="00D24C7F">
            <w:pPr>
              <w:pStyle w:val="TableDataEntries"/>
            </w:pPr>
            <w:r>
              <w:t>22.9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8CDE7C5" w14:textId="08819378" w:rsidR="00D24C7F" w:rsidRDefault="00D24C7F">
            <w:pPr>
              <w:pStyle w:val="TableDataEntries"/>
            </w:pPr>
            <w:r>
              <w:t>56.8</w:t>
            </w:r>
          </w:p>
        </w:tc>
      </w:tr>
      <w:tr w:rsidR="00D24C7F" w14:paraId="04E230D7" w14:textId="77777777">
        <w:trPr>
          <w:trHeight w:val="245"/>
        </w:trPr>
        <w:tc>
          <w:tcPr>
            <w:tcW w:w="269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E3CD67F" w14:textId="1D43B5BD" w:rsidR="00D24C7F" w:rsidRDefault="00D24C7F">
            <w:pPr>
              <w:pStyle w:val="TableDataEntries"/>
              <w:jc w:val="left"/>
            </w:pPr>
            <w:r>
              <w:t>Electricity exported to grid</w:t>
            </w:r>
          </w:p>
        </w:tc>
        <w:tc>
          <w:tcPr>
            <w:tcW w:w="7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FDB974" w14:textId="095E179A" w:rsidR="00D24C7F" w:rsidRDefault="00D24C7F">
            <w:pPr>
              <w:pStyle w:val="TableDataEntries"/>
            </w:pPr>
            <w:r>
              <w:t>1.0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6C05F98" w14:textId="41871AA6" w:rsidR="00D24C7F" w:rsidRDefault="00D24C7F">
            <w:pPr>
              <w:pStyle w:val="TableDataEntries"/>
            </w:pPr>
            <w:r>
              <w:t>1.0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D203CDC" w14:textId="275AE81E" w:rsidR="00D24C7F" w:rsidRDefault="00D24C7F">
            <w:pPr>
              <w:pStyle w:val="TableDataEntries"/>
            </w:pPr>
            <w:r>
              <w:t>0.7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CB9A50" w14:textId="1C09688C" w:rsidR="00D24C7F" w:rsidRDefault="00D24C7F">
            <w:pPr>
              <w:pStyle w:val="TableDataEntries"/>
            </w:pPr>
            <w:r>
              <w:t>0.9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5EBD976" w14:textId="03B64E85" w:rsidR="00D24C7F" w:rsidRDefault="00D24C7F">
            <w:pPr>
              <w:pStyle w:val="TableDataEntries"/>
            </w:pPr>
            <w:r>
              <w:t>0.6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4025B03" w14:textId="0393622E" w:rsidR="00D24C7F" w:rsidRDefault="00D24C7F">
            <w:pPr>
              <w:pStyle w:val="TableDataEntries"/>
            </w:pPr>
            <w:r>
              <w:t>3.1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96A3F14" w14:textId="13058D72" w:rsidR="00D24C7F" w:rsidRDefault="00D24C7F">
            <w:pPr>
              <w:pStyle w:val="TableDataEntries"/>
            </w:pPr>
            <w:r>
              <w:t>1.5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C02DCED" w14:textId="1B3F63D9" w:rsidR="00D24C7F" w:rsidRDefault="00D24C7F">
            <w:pPr>
              <w:pStyle w:val="TableDataEntries"/>
            </w:pPr>
            <w:r>
              <w:t>0.3</w:t>
            </w:r>
          </w:p>
        </w:tc>
      </w:tr>
      <w:tr w:rsidR="00D24C7F" w14:paraId="6A104F0F" w14:textId="77777777">
        <w:trPr>
          <w:trHeight w:val="245"/>
        </w:trPr>
        <w:tc>
          <w:tcPr>
            <w:tcW w:w="269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478592E" w14:textId="16280788" w:rsidR="00D24C7F" w:rsidRDefault="00D24C7F">
            <w:pPr>
              <w:pStyle w:val="TableDataEntries"/>
              <w:jc w:val="left"/>
            </w:pPr>
            <w:r>
              <w:t>Electricity exports — network costs</w:t>
            </w:r>
          </w:p>
        </w:tc>
        <w:tc>
          <w:tcPr>
            <w:tcW w:w="7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0238F0" w14:textId="420A54D5" w:rsidR="00D24C7F" w:rsidRDefault="00D24C7F">
            <w:pPr>
              <w:pStyle w:val="TableDataEntries"/>
            </w:pPr>
            <w:r>
              <w:t>-0.3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84F3983" w14:textId="45943C91" w:rsidR="00D24C7F" w:rsidRDefault="00D24C7F">
            <w:pPr>
              <w:pStyle w:val="TableDataEntries"/>
            </w:pPr>
            <w:r>
              <w:t>-0.3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5E26C4" w14:textId="6FEFA742" w:rsidR="00D24C7F" w:rsidRDefault="00D24C7F">
            <w:pPr>
              <w:pStyle w:val="TableDataEntries"/>
            </w:pPr>
            <w:r>
              <w:t>-0.3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01EE50" w14:textId="412ABB0C" w:rsidR="00D24C7F" w:rsidRDefault="00D24C7F">
            <w:pPr>
              <w:pStyle w:val="TableDataEntries"/>
            </w:pPr>
            <w:r>
              <w:t>-0.4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2206D59" w14:textId="5661C5D0" w:rsidR="00D24C7F" w:rsidRDefault="00D24C7F">
            <w:pPr>
              <w:pStyle w:val="TableDataEntries"/>
            </w:pPr>
            <w:r>
              <w:t>-0.4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0FB397" w14:textId="7FC796AE" w:rsidR="00D24C7F" w:rsidRDefault="00D24C7F">
            <w:pPr>
              <w:pStyle w:val="TableDataEntries"/>
            </w:pPr>
            <w:r>
              <w:t>-0.5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26993E6" w14:textId="5C9EE0BC" w:rsidR="00D24C7F" w:rsidRDefault="00D24C7F">
            <w:pPr>
              <w:pStyle w:val="TableDataEntries"/>
            </w:pPr>
            <w:r>
              <w:t>-0.4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75BDBEA" w14:textId="383C8D5F" w:rsidR="00D24C7F" w:rsidRDefault="00D24C7F">
            <w:pPr>
              <w:pStyle w:val="TableDataEntries"/>
            </w:pPr>
            <w:r>
              <w:t>0.0</w:t>
            </w:r>
          </w:p>
        </w:tc>
      </w:tr>
      <w:tr w:rsidR="00D24C7F" w14:paraId="0473797E" w14:textId="77777777">
        <w:trPr>
          <w:trHeight w:val="245"/>
        </w:trPr>
        <w:tc>
          <w:tcPr>
            <w:tcW w:w="269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B5F55A" w14:textId="0A421899" w:rsidR="00D24C7F" w:rsidRDefault="00D24C7F">
            <w:pPr>
              <w:pStyle w:val="TableDataEntries"/>
              <w:jc w:val="left"/>
            </w:pPr>
            <w:r>
              <w:t>Avoided gas costs</w:t>
            </w:r>
          </w:p>
        </w:tc>
        <w:tc>
          <w:tcPr>
            <w:tcW w:w="7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5923DAE" w14:textId="096E4F23"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554110" w14:textId="628B44F2"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ADB83D" w14:textId="36D25D22"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81C332" w14:textId="57BDB3F2"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B2A1023" w14:textId="45B822A7"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7B9C051" w14:textId="26396318"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13C6B4" w14:textId="1E8F4BBD"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DBADB14" w14:textId="4D25DF3E" w:rsidR="00D24C7F" w:rsidRDefault="00D24C7F">
            <w:pPr>
              <w:pStyle w:val="TableDataEntries"/>
            </w:pPr>
            <w:r>
              <w:t>0.0</w:t>
            </w:r>
          </w:p>
        </w:tc>
      </w:tr>
      <w:tr w:rsidR="00D24C7F" w14:paraId="09CFB54C" w14:textId="77777777">
        <w:trPr>
          <w:trHeight w:val="245"/>
        </w:trPr>
        <w:tc>
          <w:tcPr>
            <w:tcW w:w="269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08878D" w14:textId="017DD1E5" w:rsidR="00D24C7F" w:rsidRDefault="00D24C7F">
            <w:pPr>
              <w:pStyle w:val="TableDataEntries"/>
              <w:jc w:val="left"/>
            </w:pPr>
            <w:r>
              <w:t>Avoided GHG emissions – electricity</w:t>
            </w:r>
          </w:p>
        </w:tc>
        <w:tc>
          <w:tcPr>
            <w:tcW w:w="7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450F94" w14:textId="276C4EF9" w:rsidR="00D24C7F" w:rsidRDefault="00D24C7F">
            <w:pPr>
              <w:pStyle w:val="TableDataEntries"/>
            </w:pPr>
            <w:r>
              <w:t>50.2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3737510" w14:textId="074716A7" w:rsidR="00D24C7F" w:rsidRDefault="00D24C7F">
            <w:pPr>
              <w:pStyle w:val="TableDataEntries"/>
            </w:pPr>
            <w:r>
              <w:t>60.7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5EA78D" w14:textId="2BBC5446" w:rsidR="00D24C7F" w:rsidRDefault="00D24C7F">
            <w:pPr>
              <w:pStyle w:val="TableDataEntries"/>
            </w:pPr>
            <w:r>
              <w:t>164.8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D4EA3A9" w14:textId="74A02BC8" w:rsidR="00D24C7F" w:rsidRDefault="00D24C7F">
            <w:pPr>
              <w:pStyle w:val="TableDataEntries"/>
            </w:pPr>
            <w:r>
              <w:t>74.4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E9899F" w14:textId="3F09BC77" w:rsidR="00D24C7F" w:rsidRDefault="00D24C7F">
            <w:pPr>
              <w:pStyle w:val="TableDataEntries"/>
            </w:pPr>
            <w:r>
              <w:t>54.0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518316" w14:textId="7540D77A" w:rsidR="00D24C7F" w:rsidRDefault="00D24C7F">
            <w:pPr>
              <w:pStyle w:val="TableDataEntries"/>
            </w:pPr>
            <w:r>
              <w:t>4.8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1EB32A" w14:textId="6F25BC34" w:rsidR="00D24C7F" w:rsidRDefault="00D24C7F">
            <w:pPr>
              <w:pStyle w:val="TableDataEntries"/>
            </w:pPr>
            <w:r>
              <w:t>32.6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4CC39BB" w14:textId="6AA8B6D9" w:rsidR="00D24C7F" w:rsidRDefault="00D24C7F">
            <w:pPr>
              <w:pStyle w:val="TableDataEntries"/>
            </w:pPr>
            <w:r>
              <w:t>218.2</w:t>
            </w:r>
          </w:p>
        </w:tc>
      </w:tr>
      <w:tr w:rsidR="00D24C7F" w14:paraId="11DDCA42" w14:textId="77777777">
        <w:trPr>
          <w:trHeight w:val="245"/>
        </w:trPr>
        <w:tc>
          <w:tcPr>
            <w:tcW w:w="269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06AC97A" w14:textId="728D2E71" w:rsidR="00D24C7F" w:rsidRDefault="00D24C7F">
            <w:pPr>
              <w:pStyle w:val="TableDataEntries"/>
              <w:jc w:val="left"/>
            </w:pPr>
            <w:r>
              <w:t>Avoided GHG emissions – exported electricity</w:t>
            </w:r>
          </w:p>
        </w:tc>
        <w:tc>
          <w:tcPr>
            <w:tcW w:w="7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BC00EE3" w14:textId="503C23B2" w:rsidR="00D24C7F" w:rsidRDefault="00D24C7F">
            <w:pPr>
              <w:pStyle w:val="TableDataEntries"/>
            </w:pPr>
            <w:r>
              <w:t>1.8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07CB78" w14:textId="5893ADDA" w:rsidR="00D24C7F" w:rsidRDefault="00D24C7F">
            <w:pPr>
              <w:pStyle w:val="TableDataEntries"/>
            </w:pPr>
            <w:r>
              <w:t>4.4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1597FD" w14:textId="656849C1" w:rsidR="00D24C7F" w:rsidRDefault="00D24C7F">
            <w:pPr>
              <w:pStyle w:val="TableDataEntries"/>
            </w:pPr>
            <w:r>
              <w:t>3.8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774C1DB" w14:textId="42E90737" w:rsidR="00D24C7F" w:rsidRDefault="00D24C7F">
            <w:pPr>
              <w:pStyle w:val="TableDataEntries"/>
            </w:pPr>
            <w:r>
              <w:t>2.7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53DB0DF" w14:textId="5E58AFDB" w:rsidR="00D24C7F" w:rsidRDefault="00D24C7F">
            <w:pPr>
              <w:pStyle w:val="TableDataEntries"/>
            </w:pPr>
            <w:r>
              <w:t>2.0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AB72B56" w14:textId="64EBB282" w:rsidR="00D24C7F" w:rsidRDefault="00D24C7F">
            <w:pPr>
              <w:pStyle w:val="TableDataEntries"/>
            </w:pPr>
            <w:r>
              <w:t>0.3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06514A" w14:textId="54E4274C" w:rsidR="00D24C7F" w:rsidRDefault="00D24C7F">
            <w:pPr>
              <w:pStyle w:val="TableDataEntries"/>
            </w:pPr>
            <w:r>
              <w:t>2.2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6975ED" w14:textId="3DF8E92A" w:rsidR="00D24C7F" w:rsidRDefault="00D24C7F">
            <w:pPr>
              <w:pStyle w:val="TableDataEntries"/>
            </w:pPr>
            <w:r>
              <w:t>0.3</w:t>
            </w:r>
          </w:p>
        </w:tc>
      </w:tr>
      <w:tr w:rsidR="00D24C7F" w14:paraId="3ECBD87C" w14:textId="77777777">
        <w:trPr>
          <w:trHeight w:val="245"/>
        </w:trPr>
        <w:tc>
          <w:tcPr>
            <w:tcW w:w="269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4A5128F" w14:textId="60236FB1" w:rsidR="00D24C7F" w:rsidRDefault="00D24C7F">
            <w:pPr>
              <w:pStyle w:val="TableDataEntries"/>
              <w:jc w:val="left"/>
            </w:pPr>
            <w:r>
              <w:t>Avoided GHG emissions – gas</w:t>
            </w:r>
          </w:p>
        </w:tc>
        <w:tc>
          <w:tcPr>
            <w:tcW w:w="7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BC59D7D" w14:textId="0AB7E11D"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7379E52" w14:textId="0201EF96"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C1AECB" w14:textId="0099678A"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05B7717" w14:textId="7F3DF649"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F482ED" w14:textId="32839CA0"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4F8235" w14:textId="229D43FD"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43095D" w14:textId="45D6FEF6"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9CB1405" w14:textId="71480D67" w:rsidR="00D24C7F" w:rsidRDefault="00D24C7F">
            <w:pPr>
              <w:pStyle w:val="TableDataEntries"/>
            </w:pPr>
            <w:r>
              <w:t>0.0</w:t>
            </w:r>
          </w:p>
        </w:tc>
      </w:tr>
      <w:tr w:rsidR="00D24C7F" w14:paraId="3775D579" w14:textId="77777777">
        <w:trPr>
          <w:trHeight w:val="245"/>
        </w:trPr>
        <w:tc>
          <w:tcPr>
            <w:tcW w:w="269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D3CF0A1" w14:textId="4930FD8C" w:rsidR="00D24C7F" w:rsidRDefault="00D24C7F">
            <w:pPr>
              <w:pStyle w:val="TableDataEntries"/>
              <w:jc w:val="left"/>
            </w:pPr>
            <w:r>
              <w:t>Capital costs</w:t>
            </w:r>
          </w:p>
        </w:tc>
        <w:tc>
          <w:tcPr>
            <w:tcW w:w="7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E81354" w14:textId="01078591" w:rsidR="00D24C7F" w:rsidRDefault="00D24C7F">
            <w:pPr>
              <w:pStyle w:val="TableDataEntries"/>
            </w:pPr>
            <w:r>
              <w:t>9.4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3A31E5" w14:textId="2AE142C1" w:rsidR="00D24C7F" w:rsidRDefault="00D24C7F">
            <w:pPr>
              <w:pStyle w:val="TableDataEntries"/>
            </w:pPr>
            <w:r>
              <w:t>-16.2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98D064" w14:textId="62AD1B53" w:rsidR="00D24C7F" w:rsidRDefault="00D24C7F">
            <w:pPr>
              <w:pStyle w:val="TableDataEntries"/>
            </w:pPr>
            <w:r>
              <w:t>4.2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7F80FF" w14:textId="22D909FA" w:rsidR="00D24C7F" w:rsidRDefault="00D24C7F">
            <w:pPr>
              <w:pStyle w:val="TableDataEntries"/>
            </w:pPr>
            <w:r>
              <w:t>9.4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8479FF" w14:textId="406EE7B1" w:rsidR="00D24C7F" w:rsidRDefault="00D24C7F">
            <w:pPr>
              <w:pStyle w:val="TableDataEntries"/>
            </w:pPr>
            <w:r>
              <w:t>9.4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E4910CA" w14:textId="20CB7AED" w:rsidR="00D24C7F" w:rsidRDefault="00D24C7F">
            <w:pPr>
              <w:pStyle w:val="TableDataEntries"/>
            </w:pPr>
            <w:r>
              <w:t>-21.2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415F778" w14:textId="244F0AF0" w:rsidR="00D24C7F" w:rsidRDefault="00D24C7F">
            <w:pPr>
              <w:pStyle w:val="TableDataEntries"/>
            </w:pPr>
            <w:r>
              <w:t>-21.2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9C3613A" w14:textId="0805217C" w:rsidR="00D24C7F" w:rsidRDefault="00D24C7F">
            <w:pPr>
              <w:pStyle w:val="TableDataEntries"/>
            </w:pPr>
            <w:r>
              <w:t>18.9</w:t>
            </w:r>
          </w:p>
        </w:tc>
      </w:tr>
      <w:tr w:rsidR="00D24C7F" w:rsidRPr="001930DE" w14:paraId="6EE461D8" w14:textId="77777777">
        <w:trPr>
          <w:trHeight w:val="245"/>
        </w:trPr>
        <w:tc>
          <w:tcPr>
            <w:tcW w:w="269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E8B4FE9" w14:textId="628ADDCA" w:rsidR="00D24C7F" w:rsidRPr="001930DE" w:rsidRDefault="00D24C7F">
            <w:pPr>
              <w:pStyle w:val="TableDataEntries"/>
              <w:jc w:val="left"/>
              <w:rPr>
                <w:rFonts w:ascii="Franklin Gothic Demi" w:hAnsi="Franklin Gothic Demi"/>
              </w:rPr>
            </w:pPr>
            <w:r w:rsidRPr="001930DE">
              <w:rPr>
                <w:rFonts w:ascii="Franklin Gothic Demi" w:hAnsi="Franklin Gothic Demi"/>
              </w:rPr>
              <w:t>Total</w:t>
            </w:r>
          </w:p>
        </w:tc>
        <w:tc>
          <w:tcPr>
            <w:tcW w:w="708"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1856608" w14:textId="4ED6F43F" w:rsidR="00D24C7F" w:rsidRPr="001930DE" w:rsidRDefault="00D24C7F">
            <w:pPr>
              <w:pStyle w:val="TableDataEntries"/>
              <w:rPr>
                <w:rFonts w:ascii="Franklin Gothic Demi" w:hAnsi="Franklin Gothic Demi"/>
              </w:rPr>
            </w:pPr>
            <w:r w:rsidRPr="001930DE">
              <w:rPr>
                <w:rFonts w:ascii="Franklin Gothic Demi" w:hAnsi="Franklin Gothic Demi"/>
              </w:rPr>
              <w:t>276.9</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75A7DFD9" w14:textId="6882CC15" w:rsidR="00D24C7F" w:rsidRPr="001930DE" w:rsidRDefault="00D24C7F">
            <w:pPr>
              <w:pStyle w:val="TableDataEntries"/>
              <w:rPr>
                <w:rFonts w:ascii="Franklin Gothic Demi" w:hAnsi="Franklin Gothic Demi"/>
              </w:rPr>
            </w:pPr>
            <w:r w:rsidRPr="001930DE">
              <w:rPr>
                <w:rFonts w:ascii="Franklin Gothic Demi" w:hAnsi="Franklin Gothic Demi"/>
              </w:rPr>
              <w:t>203.3</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444388B6" w14:textId="258EFFD1" w:rsidR="00D24C7F" w:rsidRPr="001930DE" w:rsidRDefault="00D24C7F">
            <w:pPr>
              <w:pStyle w:val="TableDataEntries"/>
              <w:rPr>
                <w:rFonts w:ascii="Franklin Gothic Demi" w:hAnsi="Franklin Gothic Demi"/>
              </w:rPr>
            </w:pPr>
            <w:r w:rsidRPr="001930DE">
              <w:rPr>
                <w:rFonts w:ascii="Franklin Gothic Demi" w:hAnsi="Franklin Gothic Demi"/>
              </w:rPr>
              <w:t>418.6</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DE07D50" w14:textId="5572314B" w:rsidR="00D24C7F" w:rsidRPr="001930DE" w:rsidRDefault="00D24C7F">
            <w:pPr>
              <w:pStyle w:val="TableDataEntries"/>
              <w:rPr>
                <w:rFonts w:ascii="Franklin Gothic Demi" w:hAnsi="Franklin Gothic Demi"/>
              </w:rPr>
            </w:pPr>
            <w:r w:rsidRPr="001930DE">
              <w:rPr>
                <w:rFonts w:ascii="Franklin Gothic Demi" w:hAnsi="Franklin Gothic Demi"/>
              </w:rPr>
              <w:t>301.9</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834660A" w14:textId="7B5D62A9" w:rsidR="00D24C7F" w:rsidRPr="001930DE" w:rsidRDefault="00D24C7F">
            <w:pPr>
              <w:pStyle w:val="TableDataEntries"/>
              <w:rPr>
                <w:rFonts w:ascii="Franklin Gothic Demi" w:hAnsi="Franklin Gothic Demi"/>
              </w:rPr>
            </w:pPr>
            <w:r w:rsidRPr="001930DE">
              <w:rPr>
                <w:rFonts w:ascii="Franklin Gothic Demi" w:hAnsi="Franklin Gothic Demi"/>
              </w:rPr>
              <w:t>328.6</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D3B70C3" w14:textId="115637A1" w:rsidR="00D24C7F" w:rsidRPr="001930DE" w:rsidRDefault="00D24C7F">
            <w:pPr>
              <w:pStyle w:val="TableDataEntries"/>
              <w:rPr>
                <w:rFonts w:ascii="Franklin Gothic Demi" w:hAnsi="Franklin Gothic Demi"/>
              </w:rPr>
            </w:pPr>
            <w:r w:rsidRPr="001930DE">
              <w:rPr>
                <w:rFonts w:ascii="Franklin Gothic Demi" w:hAnsi="Franklin Gothic Demi"/>
              </w:rPr>
              <w:t>246.7</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C61CE98" w14:textId="3C250069" w:rsidR="00D24C7F" w:rsidRPr="001930DE" w:rsidRDefault="00D24C7F">
            <w:pPr>
              <w:pStyle w:val="TableDataEntries"/>
              <w:rPr>
                <w:rFonts w:ascii="Franklin Gothic Demi" w:hAnsi="Franklin Gothic Demi"/>
              </w:rPr>
            </w:pPr>
            <w:r w:rsidRPr="001930DE">
              <w:rPr>
                <w:rFonts w:ascii="Franklin Gothic Demi" w:hAnsi="Franklin Gothic Demi"/>
              </w:rPr>
              <w:t>190.7</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F3F6A78" w14:textId="3BEDDFA9" w:rsidR="00D24C7F" w:rsidRPr="001930DE" w:rsidRDefault="00D24C7F">
            <w:pPr>
              <w:pStyle w:val="TableDataEntries"/>
              <w:rPr>
                <w:rFonts w:ascii="Franklin Gothic Demi" w:hAnsi="Franklin Gothic Demi"/>
              </w:rPr>
            </w:pPr>
            <w:r w:rsidRPr="001930DE">
              <w:rPr>
                <w:rFonts w:ascii="Franklin Gothic Demi" w:hAnsi="Franklin Gothic Demi"/>
              </w:rPr>
              <w:t>673.5</w:t>
            </w:r>
          </w:p>
        </w:tc>
      </w:tr>
    </w:tbl>
    <w:p w14:paraId="4A8A9D2B" w14:textId="77777777" w:rsidR="00D24C7F" w:rsidRDefault="00D24C7F" w:rsidP="00D24C7F">
      <w:pPr>
        <w:pStyle w:val="Note"/>
      </w:pPr>
      <w:r w:rsidRPr="007D1B4F">
        <w:rPr>
          <w:i/>
        </w:rPr>
        <w:t>Note:</w:t>
      </w:r>
      <w:r w:rsidRPr="00E879B8">
        <w:t xml:space="preserve"> </w:t>
      </w:r>
      <w:r>
        <w:t>Costs and benefits estimated in present value terms over the 50</w:t>
      </w:r>
      <w:r>
        <w:noBreakHyphen/>
        <w:t xml:space="preserve">year life of a building constructed in 2025, using a discount rate of 5 per cent. </w:t>
      </w:r>
    </w:p>
    <w:p w14:paraId="42BC64A5" w14:textId="77777777" w:rsidR="00D24C7F" w:rsidRDefault="00D24C7F" w:rsidP="00D24C7F">
      <w:pPr>
        <w:pStyle w:val="Source"/>
      </w:pPr>
      <w:r>
        <w:rPr>
          <w:i/>
        </w:rPr>
        <w:t>Source</w:t>
      </w:r>
      <w:r w:rsidRPr="00E4232C">
        <w:rPr>
          <w:i/>
        </w:rPr>
        <w:t>:</w:t>
      </w:r>
      <w:r>
        <w:t xml:space="preserve"> CIE based on DeltaQ modelling.</w:t>
      </w:r>
    </w:p>
    <w:p w14:paraId="506DE89B" w14:textId="256E2437" w:rsidR="00D24C7F" w:rsidRPr="005E5FA8" w:rsidRDefault="00D24C7F" w:rsidP="00D24C7F">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w:instrText>
      </w:r>
      <w:fldSimple w:instr=" STYLEREF &quot;Heading 1&quot; \l \n ">
        <w:r w:rsidRPr="005E5FA8">
          <w:instrText>2</w:instrText>
        </w:r>
      </w:fldSimple>
      <w:r w:rsidRPr="005E5FA8">
        <w:instrText xml:space="preserve">." </w:instrText>
      </w:r>
      <w:r w:rsidRPr="005E5FA8">
        <w:fldChar w:fldCharType="end"/>
      </w:r>
      <w:r w:rsidRPr="005E5FA8">
        <w:instrText>" "</w:instrText>
      </w:r>
      <w:fldSimple w:instr=" STYLEREF &quot;Heading 6&quot; \l \n ">
        <w:r w:rsidR="00581346">
          <w:rPr>
            <w:noProof/>
          </w:rPr>
          <w:instrText>H</w:instrText>
        </w:r>
      </w:fldSimple>
      <w:r w:rsidRPr="005E5FA8">
        <w:instrText xml:space="preserve">." </w:instrText>
      </w:r>
      <w:r w:rsidRPr="005E5FA8">
        <w:fldChar w:fldCharType="separate"/>
      </w:r>
      <w:r w:rsidR="00581346">
        <w:rPr>
          <w:noProof/>
        </w:rPr>
        <w:instrText>H</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"1" </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6</w:instrText>
      </w:r>
      <w:r w:rsidRPr="005E5FA8">
        <w:fldChar w:fldCharType="end"/>
      </w:r>
      <w:r w:rsidRPr="005E5FA8">
        <w:instrText xml:space="preserve">" "" </w:instrText>
      </w:r>
      <w:r w:rsidRPr="005E5FA8">
        <w:fldChar w:fldCharType="separate"/>
      </w:r>
      <w:bookmarkStart w:id="9851" w:name="_Caption9126"/>
      <w:bookmarkStart w:id="9852" w:name="_Caption3260"/>
      <w:bookmarkStart w:id="9853" w:name="_Caption5638"/>
      <w:bookmarkStart w:id="9854" w:name="_Caption0453"/>
      <w:bookmarkStart w:id="9855" w:name="_Caption5509"/>
      <w:bookmarkStart w:id="9856" w:name="_Caption1140"/>
      <w:bookmarkStart w:id="9857" w:name="_Caption8730"/>
      <w:bookmarkStart w:id="9858" w:name="_Caption2340"/>
      <w:bookmarkStart w:id="9859" w:name="_Caption7190"/>
      <w:bookmarkStart w:id="9860" w:name="_Caption1702"/>
      <w:bookmarkStart w:id="9861" w:name="_Caption1034"/>
      <w:bookmarkStart w:id="9862" w:name="_Caption2807"/>
      <w:bookmarkStart w:id="9863" w:name="_Caption8497"/>
      <w:bookmarkStart w:id="9864" w:name="_Caption9134"/>
      <w:bookmarkStart w:id="9865" w:name="_Caption3244"/>
      <w:bookmarkStart w:id="9866" w:name="_Caption4558"/>
      <w:bookmarkStart w:id="9867" w:name="_Caption0645"/>
      <w:bookmarkStart w:id="9868" w:name="_Caption2580"/>
      <w:bookmarkStart w:id="9869" w:name="_Caption7370"/>
      <w:bookmarkStart w:id="9870" w:name="_Caption7401"/>
      <w:bookmarkStart w:id="9871" w:name="_Caption4127"/>
      <w:bookmarkStart w:id="9872" w:name="_Caption7641"/>
      <w:bookmarkStart w:id="9873" w:name="_Caption6657"/>
      <w:bookmarkStart w:id="9874" w:name="_Caption0888"/>
      <w:bookmarkStart w:id="9875" w:name="_Caption7064"/>
      <w:bookmarkStart w:id="9876" w:name="_Caption0152"/>
      <w:bookmarkStart w:id="9877" w:name="_Caption6982"/>
      <w:bookmarkStart w:id="9878" w:name="_Caption1373"/>
      <w:bookmarkStart w:id="9879" w:name="_Caption8846"/>
      <w:bookmarkStart w:id="9880" w:name="_Caption5705"/>
      <w:bookmarkStart w:id="9881" w:name="_Caption1344"/>
      <w:bookmarkStart w:id="9882" w:name="_Caption2201"/>
      <w:bookmarkStart w:id="9883" w:name="_Caption7212"/>
      <w:bookmarkStart w:id="9884" w:name="_Toc177735256"/>
      <w:bookmarkStart w:id="9885" w:name="_Toc178292698"/>
      <w:r w:rsidR="008C60A3">
        <w:rPr>
          <w:noProof/>
        </w:rPr>
        <w:t>H</w:t>
      </w:r>
      <w:r w:rsidR="008C60A3" w:rsidRPr="005E5FA8">
        <w:rPr>
          <w:noProof/>
        </w:rPr>
        <w:t>.</w:t>
      </w:r>
      <w:r w:rsidR="008C60A3">
        <w:rPr>
          <w:noProof/>
        </w:rPr>
        <w:t>6</w:t>
      </w:r>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r w:rsidRPr="005E5FA8">
        <w:fldChar w:fldCharType="end"/>
      </w:r>
      <w:r w:rsidRPr="005E5FA8">
        <w:tab/>
        <w:t>Stringency Level 1 estimated costs and benefits — C6RL</w:t>
      </w:r>
      <w:bookmarkEnd w:id="9884"/>
      <w:bookmarkEnd w:id="9885"/>
    </w:p>
    <w:tbl>
      <w:tblPr>
        <w:tblW w:w="7906" w:type="dxa"/>
        <w:tblLayout w:type="fixed"/>
        <w:tblLook w:val="0000" w:firstRow="0" w:lastRow="0" w:firstColumn="0" w:lastColumn="0" w:noHBand="0" w:noVBand="0"/>
        <w:tblCaption w:val="Table G.6"/>
        <w:tblDescription w:val="Stringency Level 1 estimated costs and benefits — C6RL"/>
      </w:tblPr>
      <w:tblGrid>
        <w:gridCol w:w="2627"/>
        <w:gridCol w:w="634"/>
        <w:gridCol w:w="663"/>
        <w:gridCol w:w="664"/>
        <w:gridCol w:w="663"/>
        <w:gridCol w:w="664"/>
        <w:gridCol w:w="664"/>
        <w:gridCol w:w="663"/>
        <w:gridCol w:w="664"/>
      </w:tblGrid>
      <w:tr w:rsidR="00D24C7F" w14:paraId="13428010" w14:textId="77777777">
        <w:trPr>
          <w:trHeight w:val="245"/>
          <w:tblHeader/>
        </w:trPr>
        <w:tc>
          <w:tcPr>
            <w:tcW w:w="2627" w:type="dxa"/>
            <w:shd w:val="clear" w:color="auto" w:fill="6F6652"/>
            <w:tcMar>
              <w:left w:w="57" w:type="dxa"/>
              <w:right w:w="57" w:type="dxa"/>
            </w:tcMar>
          </w:tcPr>
          <w:p w14:paraId="238153E8" w14:textId="77777777" w:rsidR="00D24C7F" w:rsidRDefault="00D24C7F">
            <w:pPr>
              <w:pStyle w:val="TableDataColumnHeading"/>
              <w:jc w:val="left"/>
            </w:pPr>
            <w:r>
              <w:t>Impact</w:t>
            </w:r>
          </w:p>
        </w:tc>
        <w:tc>
          <w:tcPr>
            <w:tcW w:w="634" w:type="dxa"/>
            <w:shd w:val="clear" w:color="auto" w:fill="6F6652"/>
            <w:tcMar>
              <w:left w:w="57" w:type="dxa"/>
              <w:right w:w="57" w:type="dxa"/>
            </w:tcMar>
          </w:tcPr>
          <w:p w14:paraId="337CBDB4" w14:textId="77777777" w:rsidR="00D24C7F" w:rsidRDefault="00D24C7F">
            <w:pPr>
              <w:pStyle w:val="TableDataColumnHeading"/>
            </w:pPr>
            <w:r>
              <w:t>NSW (CZ5)</w:t>
            </w:r>
          </w:p>
          <w:p w14:paraId="538674BC" w14:textId="77777777" w:rsidR="00D24C7F" w:rsidRDefault="00D24C7F">
            <w:pPr>
              <w:pStyle w:val="TableDataColumnHeading"/>
            </w:pPr>
            <w:r>
              <w:t>$ per m2</w:t>
            </w:r>
          </w:p>
        </w:tc>
        <w:tc>
          <w:tcPr>
            <w:tcW w:w="663" w:type="dxa"/>
            <w:shd w:val="clear" w:color="auto" w:fill="6F6652"/>
            <w:tcMar>
              <w:left w:w="57" w:type="dxa"/>
              <w:right w:w="57" w:type="dxa"/>
            </w:tcMar>
          </w:tcPr>
          <w:p w14:paraId="68394209" w14:textId="77777777" w:rsidR="00D24C7F" w:rsidRDefault="00D24C7F">
            <w:pPr>
              <w:pStyle w:val="TableDataColumnHeading"/>
            </w:pPr>
            <w:r>
              <w:t>VIC (CZ6)</w:t>
            </w:r>
          </w:p>
          <w:p w14:paraId="77A74921" w14:textId="77777777" w:rsidR="00D24C7F" w:rsidRDefault="00D24C7F">
            <w:pPr>
              <w:pStyle w:val="TableDataColumnHeading"/>
            </w:pPr>
            <w:r>
              <w:t>$ per m2</w:t>
            </w:r>
          </w:p>
        </w:tc>
        <w:tc>
          <w:tcPr>
            <w:tcW w:w="664" w:type="dxa"/>
            <w:shd w:val="clear" w:color="auto" w:fill="6F6652"/>
            <w:tcMar>
              <w:left w:w="57" w:type="dxa"/>
              <w:right w:w="57" w:type="dxa"/>
            </w:tcMar>
          </w:tcPr>
          <w:p w14:paraId="67AD6C79" w14:textId="77777777" w:rsidR="00D24C7F" w:rsidRDefault="00D24C7F">
            <w:pPr>
              <w:pStyle w:val="TableDataColumnHeading"/>
            </w:pPr>
            <w:r>
              <w:t>QLD (CZ2)</w:t>
            </w:r>
          </w:p>
          <w:p w14:paraId="032756F8" w14:textId="77777777" w:rsidR="00D24C7F" w:rsidRDefault="00D24C7F">
            <w:pPr>
              <w:pStyle w:val="TableDataColumnHeading"/>
            </w:pPr>
            <w:r>
              <w:t>$ per m2</w:t>
            </w:r>
          </w:p>
        </w:tc>
        <w:tc>
          <w:tcPr>
            <w:tcW w:w="663" w:type="dxa"/>
            <w:shd w:val="clear" w:color="auto" w:fill="6F6652"/>
            <w:tcMar>
              <w:left w:w="57" w:type="dxa"/>
              <w:right w:w="57" w:type="dxa"/>
            </w:tcMar>
          </w:tcPr>
          <w:p w14:paraId="174028FC" w14:textId="77777777" w:rsidR="00D24C7F" w:rsidRDefault="00D24C7F">
            <w:pPr>
              <w:pStyle w:val="TableDataColumnHeading"/>
            </w:pPr>
            <w:r>
              <w:t>WA (CZ5)</w:t>
            </w:r>
          </w:p>
          <w:p w14:paraId="13710A91" w14:textId="77777777" w:rsidR="00D24C7F" w:rsidRDefault="00D24C7F">
            <w:pPr>
              <w:pStyle w:val="TableDataColumnHeading"/>
            </w:pPr>
            <w:r>
              <w:t>$ per m2</w:t>
            </w:r>
          </w:p>
        </w:tc>
        <w:tc>
          <w:tcPr>
            <w:tcW w:w="664" w:type="dxa"/>
            <w:shd w:val="clear" w:color="auto" w:fill="6F6652"/>
            <w:tcMar>
              <w:left w:w="57" w:type="dxa"/>
              <w:right w:w="57" w:type="dxa"/>
            </w:tcMar>
          </w:tcPr>
          <w:p w14:paraId="72AF1DF0" w14:textId="77777777" w:rsidR="00D24C7F" w:rsidRDefault="00D24C7F">
            <w:pPr>
              <w:pStyle w:val="TableDataColumnHeading"/>
            </w:pPr>
            <w:r>
              <w:t>SA (CZ5)</w:t>
            </w:r>
          </w:p>
          <w:p w14:paraId="431C620B" w14:textId="77777777" w:rsidR="00D24C7F" w:rsidRDefault="00D24C7F">
            <w:pPr>
              <w:pStyle w:val="TableDataColumnHeading"/>
            </w:pPr>
            <w:r>
              <w:t>$ per m2</w:t>
            </w:r>
          </w:p>
        </w:tc>
        <w:tc>
          <w:tcPr>
            <w:tcW w:w="664" w:type="dxa"/>
            <w:shd w:val="clear" w:color="auto" w:fill="6F6652"/>
            <w:tcMar>
              <w:left w:w="57" w:type="dxa"/>
              <w:right w:w="57" w:type="dxa"/>
            </w:tcMar>
          </w:tcPr>
          <w:p w14:paraId="32EA2287" w14:textId="77777777" w:rsidR="00D24C7F" w:rsidRDefault="00D24C7F">
            <w:pPr>
              <w:pStyle w:val="TableDataColumnHeading"/>
            </w:pPr>
            <w:r>
              <w:t>TAS (CZ7)</w:t>
            </w:r>
          </w:p>
          <w:p w14:paraId="5B3B6969" w14:textId="77777777" w:rsidR="00D24C7F" w:rsidRDefault="00D24C7F">
            <w:pPr>
              <w:pStyle w:val="TableDataColumnHeading"/>
            </w:pPr>
            <w:r>
              <w:t>$ per m2</w:t>
            </w:r>
          </w:p>
        </w:tc>
        <w:tc>
          <w:tcPr>
            <w:tcW w:w="663" w:type="dxa"/>
            <w:shd w:val="clear" w:color="auto" w:fill="6F6652"/>
            <w:tcMar>
              <w:left w:w="57" w:type="dxa"/>
              <w:right w:w="57" w:type="dxa"/>
            </w:tcMar>
          </w:tcPr>
          <w:p w14:paraId="1147CF38" w14:textId="77777777" w:rsidR="00D24C7F" w:rsidRDefault="00D24C7F">
            <w:pPr>
              <w:pStyle w:val="TableDataColumnHeading"/>
            </w:pPr>
            <w:r>
              <w:t>ACT (CZ7)</w:t>
            </w:r>
          </w:p>
          <w:p w14:paraId="0AE5444E" w14:textId="77777777" w:rsidR="00D24C7F" w:rsidRDefault="00D24C7F">
            <w:pPr>
              <w:pStyle w:val="TableDataColumnHeading"/>
            </w:pPr>
            <w:r>
              <w:t>$ per m2</w:t>
            </w:r>
          </w:p>
        </w:tc>
        <w:tc>
          <w:tcPr>
            <w:tcW w:w="664" w:type="dxa"/>
            <w:shd w:val="clear" w:color="auto" w:fill="6F6652"/>
            <w:tcMar>
              <w:left w:w="57" w:type="dxa"/>
              <w:right w:w="57" w:type="dxa"/>
            </w:tcMar>
          </w:tcPr>
          <w:p w14:paraId="187A1737" w14:textId="77777777" w:rsidR="00D24C7F" w:rsidRDefault="00D24C7F">
            <w:pPr>
              <w:pStyle w:val="TableDataColumnHeading"/>
            </w:pPr>
            <w:r>
              <w:t>NT (CZ1)</w:t>
            </w:r>
          </w:p>
          <w:p w14:paraId="1ED95945" w14:textId="77777777" w:rsidR="00D24C7F" w:rsidRDefault="00D24C7F">
            <w:pPr>
              <w:pStyle w:val="TableDataColumnHeading"/>
            </w:pPr>
            <w:r>
              <w:t>$ per m2</w:t>
            </w:r>
          </w:p>
        </w:tc>
      </w:tr>
      <w:tr w:rsidR="00D24C7F" w14:paraId="2BFE8340"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937B10A" w14:textId="6D46CA84" w:rsidR="00D24C7F" w:rsidRDefault="00D24C7F">
            <w:pPr>
              <w:pStyle w:val="TableDataEntries"/>
              <w:jc w:val="left"/>
            </w:pPr>
            <w:r>
              <w:t>Avoided electricity network capacity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88FB48E" w14:textId="51E6AC08" w:rsidR="00D24C7F" w:rsidRDefault="00D24C7F">
            <w:pPr>
              <w:pStyle w:val="TableDataEntries"/>
            </w:pPr>
            <w:r>
              <w:t>30.6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C0EA963" w14:textId="7704B7F3" w:rsidR="00D24C7F" w:rsidRDefault="00D24C7F">
            <w:pPr>
              <w:pStyle w:val="TableDataEntries"/>
            </w:pPr>
            <w:r>
              <w:t>7.5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9853A32" w14:textId="45AC5350" w:rsidR="00D24C7F" w:rsidRDefault="00D24C7F">
            <w:pPr>
              <w:pStyle w:val="TableDataEntries"/>
            </w:pPr>
            <w:r>
              <w:t>32.2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16541F" w14:textId="7F5C23C4" w:rsidR="00D24C7F" w:rsidRDefault="00D24C7F">
            <w:pPr>
              <w:pStyle w:val="TableDataEntries"/>
            </w:pPr>
            <w:r>
              <w:t>7.8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A61FCD" w14:textId="6408F9B3" w:rsidR="00D24C7F" w:rsidRDefault="00D24C7F">
            <w:pPr>
              <w:pStyle w:val="TableDataEntries"/>
            </w:pPr>
            <w:r>
              <w:t>19.7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1EBC97" w14:textId="535575E4" w:rsidR="00D24C7F" w:rsidRDefault="00D24C7F">
            <w:pPr>
              <w:pStyle w:val="TableDataEntries"/>
            </w:pPr>
            <w:r>
              <w:t>92.0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359A6A" w14:textId="46162540" w:rsidR="00D24C7F" w:rsidRDefault="00D24C7F">
            <w:pPr>
              <w:pStyle w:val="TableDataEntries"/>
            </w:pPr>
            <w:r>
              <w:t>41.6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77198C5" w14:textId="42DC7C16" w:rsidR="00D24C7F" w:rsidRDefault="00D24C7F">
            <w:pPr>
              <w:pStyle w:val="TableDataEntries"/>
            </w:pPr>
            <w:r>
              <w:t>25.5</w:t>
            </w:r>
          </w:p>
        </w:tc>
      </w:tr>
      <w:tr w:rsidR="00D24C7F" w14:paraId="19A755FF"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FE053E" w14:textId="15E41A6D" w:rsidR="00D24C7F" w:rsidRDefault="00D24C7F">
            <w:pPr>
              <w:pStyle w:val="TableDataEntries"/>
              <w:jc w:val="left"/>
            </w:pPr>
            <w:r>
              <w:t>Avoided electricity wholesale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51BF0F0" w14:textId="225C5118" w:rsidR="00D24C7F" w:rsidRDefault="00D24C7F">
            <w:pPr>
              <w:pStyle w:val="TableDataEntries"/>
            </w:pPr>
            <w:r>
              <w:t>68.0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BF72A16" w14:textId="6E0913E4" w:rsidR="00D24C7F" w:rsidRDefault="00D24C7F">
            <w:pPr>
              <w:pStyle w:val="TableDataEntries"/>
            </w:pPr>
            <w:r>
              <w:t>31.4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416746B" w14:textId="403DF424" w:rsidR="00D24C7F" w:rsidRDefault="00D24C7F">
            <w:pPr>
              <w:pStyle w:val="TableDataEntries"/>
            </w:pPr>
            <w:r>
              <w:t>82.8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7D1253" w14:textId="5D8E3CE8" w:rsidR="00D24C7F" w:rsidRDefault="00D24C7F">
            <w:pPr>
              <w:pStyle w:val="TableDataEntries"/>
            </w:pPr>
            <w:r>
              <w:t>41.6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534D1BE" w14:textId="4A8299A3" w:rsidR="00D24C7F" w:rsidRDefault="00D24C7F">
            <w:pPr>
              <w:pStyle w:val="TableDataEntries"/>
            </w:pPr>
            <w:r>
              <w:t>50.8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5F4CD4" w14:textId="12975747" w:rsidR="00D24C7F" w:rsidRDefault="00D24C7F">
            <w:pPr>
              <w:pStyle w:val="TableDataEntries"/>
            </w:pPr>
            <w:r>
              <w:t>64.6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1131C96" w14:textId="28F13710" w:rsidR="00D24C7F" w:rsidRDefault="00D24C7F">
            <w:pPr>
              <w:pStyle w:val="TableDataEntries"/>
            </w:pPr>
            <w:r>
              <w:t>71.6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53C697B" w14:textId="7708EA56" w:rsidR="00D24C7F" w:rsidRDefault="00D24C7F">
            <w:pPr>
              <w:pStyle w:val="TableDataEntries"/>
            </w:pPr>
            <w:r>
              <w:t>158.6</w:t>
            </w:r>
          </w:p>
        </w:tc>
      </w:tr>
      <w:tr w:rsidR="00D24C7F" w14:paraId="686710A6"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9AE7F6" w14:textId="4383DF52" w:rsidR="00D24C7F" w:rsidRDefault="00D24C7F">
            <w:pPr>
              <w:pStyle w:val="TableDataEntries"/>
              <w:jc w:val="left"/>
            </w:pPr>
            <w:r>
              <w:t>Avoided electricity network usage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C1976B" w14:textId="6BE7D8EF" w:rsidR="00D24C7F" w:rsidRDefault="00D24C7F">
            <w:pPr>
              <w:pStyle w:val="TableDataEntries"/>
            </w:pPr>
            <w:r>
              <w:t>35.7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5DAAF8D" w14:textId="453F4F80" w:rsidR="00D24C7F" w:rsidRDefault="00D24C7F">
            <w:pPr>
              <w:pStyle w:val="TableDataEntries"/>
            </w:pPr>
            <w:r>
              <w:t>27.2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8D793B" w14:textId="45115D79" w:rsidR="00D24C7F" w:rsidRDefault="00D24C7F">
            <w:pPr>
              <w:pStyle w:val="TableDataEntries"/>
            </w:pPr>
            <w:r>
              <w:t>50.3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70B170" w14:textId="0001E061" w:rsidR="00D24C7F" w:rsidRDefault="00D24C7F">
            <w:pPr>
              <w:pStyle w:val="TableDataEntries"/>
            </w:pPr>
            <w:r>
              <w:t>85.8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D53E9D4" w14:textId="0030284A" w:rsidR="00D24C7F" w:rsidRDefault="00D24C7F">
            <w:pPr>
              <w:pStyle w:val="TableDataEntries"/>
            </w:pPr>
            <w:r>
              <w:t>100.4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73E698B" w14:textId="08400C02" w:rsidR="00D24C7F" w:rsidRDefault="00D24C7F">
            <w:pPr>
              <w:pStyle w:val="TableDataEntries"/>
            </w:pPr>
            <w:r>
              <w:t>91.6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063D954" w14:textId="16F565E8" w:rsidR="00D24C7F" w:rsidRDefault="00D24C7F">
            <w:pPr>
              <w:pStyle w:val="TableDataEntries"/>
            </w:pPr>
            <w:r>
              <w:t>54.3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955191" w14:textId="15749EF6" w:rsidR="00D24C7F" w:rsidRDefault="00D24C7F">
            <w:pPr>
              <w:pStyle w:val="TableDataEntries"/>
            </w:pPr>
            <w:r>
              <w:t>78.5</w:t>
            </w:r>
          </w:p>
        </w:tc>
      </w:tr>
      <w:tr w:rsidR="00D24C7F" w14:paraId="26377138"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4F69C80" w14:textId="6EB3F400" w:rsidR="00D24C7F" w:rsidRDefault="00D24C7F">
            <w:pPr>
              <w:pStyle w:val="TableDataEntries"/>
              <w:jc w:val="left"/>
            </w:pPr>
            <w:r>
              <w:t>Avoided electricity retail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3DEBF6E" w14:textId="2AF28C13" w:rsidR="00D24C7F" w:rsidRDefault="00D24C7F">
            <w:pPr>
              <w:pStyle w:val="TableDataEntries"/>
            </w:pPr>
            <w:r>
              <w:t>20.1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362AC23" w14:textId="7DE1D10F" w:rsidR="00D24C7F" w:rsidRDefault="00D24C7F">
            <w:pPr>
              <w:pStyle w:val="TableDataEntries"/>
            </w:pPr>
            <w:r>
              <w:t>9.9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B729800" w14:textId="3095498D" w:rsidR="00D24C7F" w:rsidRDefault="00D24C7F">
            <w:pPr>
              <w:pStyle w:val="TableDataEntries"/>
            </w:pPr>
            <w:r>
              <w:t>24.8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63E174F" w14:textId="559C4DC9" w:rsidR="00D24C7F" w:rsidRDefault="00D24C7F">
            <w:pPr>
              <w:pStyle w:val="TableDataEntries"/>
            </w:pPr>
            <w:r>
              <w:t>20.3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7110D57" w14:textId="69C6BB1E" w:rsidR="00D24C7F" w:rsidRDefault="00D24C7F">
            <w:pPr>
              <w:pStyle w:val="TableDataEntries"/>
            </w:pPr>
            <w:r>
              <w:t>25.6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4397BB3" w14:textId="51EADDCD" w:rsidR="00D24C7F" w:rsidRDefault="00D24C7F">
            <w:pPr>
              <w:pStyle w:val="TableDataEntries"/>
            </w:pPr>
            <w:r>
              <w:t>37.2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C4B6B9A" w14:textId="0A4647F4" w:rsidR="00D24C7F" w:rsidRDefault="00D24C7F">
            <w:pPr>
              <w:pStyle w:val="TableDataEntries"/>
            </w:pPr>
            <w:r>
              <w:t>25.1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6BCA2A" w14:textId="3B624425" w:rsidR="00D24C7F" w:rsidRDefault="00D24C7F">
            <w:pPr>
              <w:pStyle w:val="TableDataEntries"/>
            </w:pPr>
            <w:r>
              <w:t>39.4</w:t>
            </w:r>
          </w:p>
        </w:tc>
      </w:tr>
      <w:tr w:rsidR="00D24C7F" w14:paraId="1DECE94D"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7FF4185" w14:textId="2E9B37E2" w:rsidR="00D24C7F" w:rsidRDefault="00D24C7F">
            <w:pPr>
              <w:pStyle w:val="TableDataEntries"/>
              <w:jc w:val="left"/>
            </w:pPr>
            <w:r>
              <w:t>Electricity exported to grid</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6814C6E" w14:textId="13761876" w:rsidR="00D24C7F" w:rsidRDefault="00D24C7F">
            <w:pPr>
              <w:pStyle w:val="TableDataEntries"/>
            </w:pPr>
            <w:r>
              <w:t>0.4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95DEBE2" w14:textId="59007E0B" w:rsidR="00D24C7F" w:rsidRDefault="00D24C7F">
            <w:pPr>
              <w:pStyle w:val="TableDataEntries"/>
            </w:pPr>
            <w:r>
              <w:t>0.3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32F015C" w14:textId="56FBD12E" w:rsidR="00D24C7F" w:rsidRDefault="00D24C7F">
            <w:pPr>
              <w:pStyle w:val="TableDataEntries"/>
            </w:pPr>
            <w:r>
              <w:t>0.3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D541279" w14:textId="0543B4DB" w:rsidR="00D24C7F" w:rsidRDefault="00D24C7F">
            <w:pPr>
              <w:pStyle w:val="TableDataEntries"/>
            </w:pPr>
            <w:r>
              <w:t>0.4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555C96" w14:textId="26F74938" w:rsidR="00D24C7F" w:rsidRDefault="00D24C7F">
            <w:pPr>
              <w:pStyle w:val="TableDataEntries"/>
            </w:pPr>
            <w:r>
              <w:t>0.3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CDBBEA" w14:textId="359D1B52" w:rsidR="00D24C7F" w:rsidRDefault="00D24C7F">
            <w:pPr>
              <w:pStyle w:val="TableDataEntries"/>
            </w:pPr>
            <w:r>
              <w:t>1.3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5AEB62F" w14:textId="67F2E578" w:rsidR="00D24C7F" w:rsidRDefault="00D24C7F">
            <w:pPr>
              <w:pStyle w:val="TableDataEntries"/>
            </w:pPr>
            <w:r>
              <w:t>0.6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8FE911" w14:textId="58DD3225" w:rsidR="00D24C7F" w:rsidRDefault="00D24C7F">
            <w:pPr>
              <w:pStyle w:val="TableDataEntries"/>
            </w:pPr>
            <w:r>
              <w:t>0.1</w:t>
            </w:r>
          </w:p>
        </w:tc>
      </w:tr>
      <w:tr w:rsidR="00D24C7F" w14:paraId="226F26B7"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4BEE453" w14:textId="1E1DEF27" w:rsidR="00D24C7F" w:rsidRDefault="00D24C7F">
            <w:pPr>
              <w:pStyle w:val="TableDataEntries"/>
              <w:jc w:val="left"/>
            </w:pPr>
            <w:r>
              <w:t>Electricity exports — network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A4A0437" w14:textId="0EBEFECC" w:rsidR="00D24C7F" w:rsidRDefault="00D24C7F">
            <w:pPr>
              <w:pStyle w:val="TableDataEntries"/>
            </w:pPr>
            <w:r>
              <w:t>-0.1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4909770" w14:textId="7BAC2125"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A0E54EB" w14:textId="0076E323" w:rsidR="00D24C7F" w:rsidRDefault="00D24C7F">
            <w:pPr>
              <w:pStyle w:val="TableDataEntries"/>
            </w:pPr>
            <w:r>
              <w:t>-0.1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2DC7BCF" w14:textId="1CDE52AC" w:rsidR="00D24C7F" w:rsidRDefault="00D24C7F">
            <w:pPr>
              <w:pStyle w:val="TableDataEntries"/>
            </w:pPr>
            <w:r>
              <w:t>-0.1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869621" w14:textId="2A59791C" w:rsidR="00D24C7F" w:rsidRDefault="00D24C7F">
            <w:pPr>
              <w:pStyle w:val="TableDataEntries"/>
            </w:pPr>
            <w:r>
              <w:t>-0.1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3A5957" w14:textId="094613AF" w:rsidR="00D24C7F" w:rsidRDefault="00D24C7F">
            <w:pPr>
              <w:pStyle w:val="TableDataEntries"/>
            </w:pPr>
            <w:r>
              <w:t>-0.2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8220EB" w14:textId="7307AA63" w:rsidR="00D24C7F" w:rsidRDefault="00D24C7F">
            <w:pPr>
              <w:pStyle w:val="TableDataEntries"/>
            </w:pPr>
            <w:r>
              <w:t>-0.2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35A7B2" w14:textId="65DC36F8" w:rsidR="00D24C7F" w:rsidRDefault="00D24C7F">
            <w:pPr>
              <w:pStyle w:val="TableDataEntries"/>
            </w:pPr>
            <w:r>
              <w:t>0.0</w:t>
            </w:r>
          </w:p>
        </w:tc>
      </w:tr>
      <w:tr w:rsidR="00D24C7F" w14:paraId="16F1FADD"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D2D0629" w14:textId="45F85DC1" w:rsidR="00D24C7F" w:rsidRDefault="00D24C7F">
            <w:pPr>
              <w:pStyle w:val="TableDataEntries"/>
              <w:jc w:val="left"/>
            </w:pPr>
            <w:r>
              <w:t>Avoided gas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35217E7" w14:textId="438BDD3A"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F6BDDEB" w14:textId="4FB82300"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2D7AE1" w14:textId="7F3BA578"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3CFE2E8" w14:textId="190937C9"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40979A" w14:textId="570CCC24"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04C710" w14:textId="24EC23B6"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557BAB" w14:textId="58EE9C9A"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761434" w14:textId="316B31D5" w:rsidR="00D24C7F" w:rsidRDefault="00D24C7F">
            <w:pPr>
              <w:pStyle w:val="TableDataEntries"/>
            </w:pPr>
            <w:r>
              <w:t>0.0</w:t>
            </w:r>
          </w:p>
        </w:tc>
      </w:tr>
      <w:tr w:rsidR="00D24C7F" w14:paraId="1587FE9C"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31C04F" w14:textId="5BC77E00" w:rsidR="00D24C7F" w:rsidRDefault="00D24C7F">
            <w:pPr>
              <w:pStyle w:val="TableDataEntries"/>
              <w:jc w:val="left"/>
            </w:pPr>
            <w:r>
              <w:t>Avoided GHG emissions –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BAB703C" w14:textId="1E6BE5D6" w:rsidR="00D24C7F" w:rsidRDefault="00D24C7F">
            <w:pPr>
              <w:pStyle w:val="TableDataEntries"/>
            </w:pPr>
            <w:r>
              <w:t>36.9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FDB052" w14:textId="0A1B9D72" w:rsidR="00D24C7F" w:rsidRDefault="00D24C7F">
            <w:pPr>
              <w:pStyle w:val="TableDataEntries"/>
            </w:pPr>
            <w:r>
              <w:t>32.2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16223CF" w14:textId="544E0043" w:rsidR="00D24C7F" w:rsidRDefault="00D24C7F">
            <w:pPr>
              <w:pStyle w:val="TableDataEntries"/>
            </w:pPr>
            <w:r>
              <w:t>128.8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04BD4D" w14:textId="1EDF515E" w:rsidR="00D24C7F" w:rsidRDefault="00D24C7F">
            <w:pPr>
              <w:pStyle w:val="TableDataEntries"/>
            </w:pPr>
            <w:r>
              <w:t>54.6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9DF0B9E" w14:textId="7D62B58C" w:rsidR="00D24C7F" w:rsidRDefault="00D24C7F">
            <w:pPr>
              <w:pStyle w:val="TableDataEntries"/>
            </w:pPr>
            <w:r>
              <w:t>39.6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CCD5B4E" w14:textId="5C749E75" w:rsidR="00D24C7F" w:rsidRDefault="00D24C7F">
            <w:pPr>
              <w:pStyle w:val="TableDataEntries"/>
            </w:pPr>
            <w:r>
              <w:t>5.1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348DF0" w14:textId="0CD9A7A2" w:rsidR="00D24C7F" w:rsidRDefault="00D24C7F">
            <w:pPr>
              <w:pStyle w:val="TableDataEntries"/>
            </w:pPr>
            <w:r>
              <w:t>34.8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35F86B" w14:textId="534F5626" w:rsidR="00D24C7F" w:rsidRDefault="00D24C7F">
            <w:pPr>
              <w:pStyle w:val="TableDataEntries"/>
            </w:pPr>
            <w:r>
              <w:t>156.7</w:t>
            </w:r>
          </w:p>
        </w:tc>
      </w:tr>
      <w:tr w:rsidR="00D24C7F" w14:paraId="342E4602"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D3F6311" w14:textId="34D1DD72" w:rsidR="00D24C7F" w:rsidRDefault="00D24C7F">
            <w:pPr>
              <w:pStyle w:val="TableDataEntries"/>
              <w:jc w:val="left"/>
            </w:pPr>
            <w:r>
              <w:t>Avoided GHG emissions – exported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3C84617" w14:textId="5690490C" w:rsidR="00D24C7F" w:rsidRDefault="00D24C7F">
            <w:pPr>
              <w:pStyle w:val="TableDataEntries"/>
            </w:pPr>
            <w:r>
              <w:t>0.7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359BB3" w14:textId="0FD75999" w:rsidR="00D24C7F" w:rsidRDefault="00D24C7F">
            <w:pPr>
              <w:pStyle w:val="TableDataEntries"/>
            </w:pPr>
            <w:r>
              <w:t>0.9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4A2F67A" w14:textId="185F44B4" w:rsidR="00D24C7F" w:rsidRDefault="00D24C7F">
            <w:pPr>
              <w:pStyle w:val="TableDataEntries"/>
            </w:pPr>
            <w:r>
              <w:t>1.7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D64EA1" w14:textId="14758467" w:rsidR="00D24C7F" w:rsidRDefault="00D24C7F">
            <w:pPr>
              <w:pStyle w:val="TableDataEntries"/>
            </w:pPr>
            <w:r>
              <w:t>1.1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A936C0E" w14:textId="732E7E33" w:rsidR="00D24C7F" w:rsidRDefault="00D24C7F">
            <w:pPr>
              <w:pStyle w:val="TableDataEntries"/>
            </w:pPr>
            <w:r>
              <w:t>0.8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4A50869" w14:textId="47B24C3B" w:rsidR="00D24C7F" w:rsidRDefault="00D24C7F">
            <w:pPr>
              <w:pStyle w:val="TableDataEntries"/>
            </w:pPr>
            <w:r>
              <w:t>0.1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408E3E" w14:textId="4B55683B" w:rsidR="00D24C7F" w:rsidRDefault="00D24C7F">
            <w:pPr>
              <w:pStyle w:val="TableDataEntries"/>
            </w:pPr>
            <w:r>
              <w:t>0.9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99DC227" w14:textId="76A21DC3" w:rsidR="00D24C7F" w:rsidRDefault="00D24C7F">
            <w:pPr>
              <w:pStyle w:val="TableDataEntries"/>
            </w:pPr>
            <w:r>
              <w:t>0.0</w:t>
            </w:r>
          </w:p>
        </w:tc>
      </w:tr>
      <w:tr w:rsidR="00D24C7F" w14:paraId="613D5CB8"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E408DAB" w14:textId="307CFD03" w:rsidR="00D24C7F" w:rsidRDefault="00D24C7F">
            <w:pPr>
              <w:pStyle w:val="TableDataEntries"/>
              <w:jc w:val="left"/>
            </w:pPr>
            <w:r>
              <w:t>Avoided GHG emissions – gas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87DC3F" w14:textId="33F7A40E"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01931EF" w14:textId="222B4502"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19D5786" w14:textId="2124821F"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C335DEA" w14:textId="7C779F54"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A69042" w14:textId="684F18E3"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5F9066F" w14:textId="23D95504"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D78B955" w14:textId="719FBC5B"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B6AF4C7" w14:textId="4F329A43" w:rsidR="00D24C7F" w:rsidRDefault="00D24C7F">
            <w:pPr>
              <w:pStyle w:val="TableDataEntries"/>
            </w:pPr>
            <w:r>
              <w:t>0.0</w:t>
            </w:r>
          </w:p>
        </w:tc>
      </w:tr>
      <w:tr w:rsidR="00D24C7F" w14:paraId="446B647B"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A1AE44D" w14:textId="04723A8D" w:rsidR="00D24C7F" w:rsidRDefault="00D24C7F">
            <w:pPr>
              <w:pStyle w:val="TableDataEntries"/>
              <w:jc w:val="left"/>
            </w:pPr>
            <w:r>
              <w:t>Capital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4B50F33" w14:textId="4A94FE45" w:rsidR="00D24C7F" w:rsidRDefault="00D24C7F">
            <w:pPr>
              <w:pStyle w:val="TableDataEntries"/>
            </w:pPr>
            <w:r>
              <w:t>-3.1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114FE54" w14:textId="720CED2B" w:rsidR="00D24C7F" w:rsidRDefault="00D24C7F">
            <w:pPr>
              <w:pStyle w:val="TableDataEntries"/>
            </w:pPr>
            <w:r>
              <w:t>-52.8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6DBE72" w14:textId="3DC2B6BE" w:rsidR="00D24C7F" w:rsidRDefault="00D24C7F">
            <w:pPr>
              <w:pStyle w:val="TableDataEntries"/>
            </w:pPr>
            <w:r>
              <w:t>8.0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3004D8" w14:textId="230626AF" w:rsidR="00D24C7F" w:rsidRDefault="00D24C7F">
            <w:pPr>
              <w:pStyle w:val="TableDataEntries"/>
            </w:pPr>
            <w:r>
              <w:t>-3.1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B367562" w14:textId="26958D1E" w:rsidR="00D24C7F" w:rsidRDefault="00D24C7F">
            <w:pPr>
              <w:pStyle w:val="TableDataEntries"/>
            </w:pPr>
            <w:r>
              <w:t>-3.1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42232A" w14:textId="6664C6DF" w:rsidR="00D24C7F" w:rsidRDefault="00D24C7F">
            <w:pPr>
              <w:pStyle w:val="TableDataEntries"/>
            </w:pPr>
            <w:r>
              <w:t>-46.6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B4BF81F" w14:textId="61080858" w:rsidR="00D24C7F" w:rsidRDefault="00D24C7F">
            <w:pPr>
              <w:pStyle w:val="TableDataEntries"/>
            </w:pPr>
            <w:r>
              <w:t>-46.6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C7A8C76" w14:textId="69D679B5" w:rsidR="00D24C7F" w:rsidRDefault="00D24C7F">
            <w:pPr>
              <w:pStyle w:val="TableDataEntries"/>
            </w:pPr>
            <w:r>
              <w:t>-54.3</w:t>
            </w:r>
          </w:p>
        </w:tc>
      </w:tr>
      <w:tr w:rsidR="00D24C7F" w:rsidRPr="00480046" w14:paraId="16255D0F" w14:textId="77777777">
        <w:trPr>
          <w:trHeight w:val="245"/>
        </w:trPr>
        <w:tc>
          <w:tcPr>
            <w:tcW w:w="2627"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6FAA5D0" w14:textId="137F7D4F" w:rsidR="00D24C7F" w:rsidRPr="00480046" w:rsidRDefault="00D24C7F">
            <w:pPr>
              <w:pStyle w:val="TableDataEntries"/>
              <w:jc w:val="left"/>
              <w:rPr>
                <w:rFonts w:ascii="Franklin Gothic Demi" w:hAnsi="Franklin Gothic Demi"/>
              </w:rPr>
            </w:pPr>
            <w:r w:rsidRPr="00480046">
              <w:rPr>
                <w:rFonts w:ascii="Franklin Gothic Demi" w:hAnsi="Franklin Gothic Demi"/>
              </w:rPr>
              <w:t>Total</w:t>
            </w:r>
          </w:p>
        </w:tc>
        <w:tc>
          <w:tcPr>
            <w:tcW w:w="63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8B80251" w14:textId="24EACEBF" w:rsidR="00D24C7F" w:rsidRPr="00480046" w:rsidRDefault="00D24C7F">
            <w:pPr>
              <w:pStyle w:val="TableDataEntries"/>
              <w:rPr>
                <w:rFonts w:ascii="Franklin Gothic Demi" w:hAnsi="Franklin Gothic Demi"/>
              </w:rPr>
            </w:pPr>
            <w:r w:rsidRPr="00480046">
              <w:rPr>
                <w:rFonts w:ascii="Franklin Gothic Demi" w:hAnsi="Franklin Gothic Demi"/>
              </w:rPr>
              <w:t>189.2</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63DAA88" w14:textId="27DF0925" w:rsidR="00D24C7F" w:rsidRPr="00480046" w:rsidRDefault="00D24C7F">
            <w:pPr>
              <w:pStyle w:val="TableDataEntries"/>
              <w:rPr>
                <w:rFonts w:ascii="Franklin Gothic Demi" w:hAnsi="Franklin Gothic Demi"/>
              </w:rPr>
            </w:pPr>
            <w:r w:rsidRPr="00480046">
              <w:rPr>
                <w:rFonts w:ascii="Franklin Gothic Demi" w:hAnsi="Franklin Gothic Demi"/>
              </w:rPr>
              <w:t>56.7</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6C3D35D" w14:textId="555D1951" w:rsidR="00D24C7F" w:rsidRPr="00480046" w:rsidRDefault="00D24C7F">
            <w:pPr>
              <w:pStyle w:val="TableDataEntries"/>
              <w:rPr>
                <w:rFonts w:ascii="Franklin Gothic Demi" w:hAnsi="Franklin Gothic Demi"/>
              </w:rPr>
            </w:pPr>
            <w:r w:rsidRPr="00480046">
              <w:rPr>
                <w:rFonts w:ascii="Franklin Gothic Demi" w:hAnsi="Franklin Gothic Demi"/>
              </w:rPr>
              <w:t>328.7</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19053DB" w14:textId="1396B1BD" w:rsidR="00D24C7F" w:rsidRPr="00480046" w:rsidRDefault="00D24C7F">
            <w:pPr>
              <w:pStyle w:val="TableDataEntries"/>
              <w:rPr>
                <w:rFonts w:ascii="Franklin Gothic Demi" w:hAnsi="Franklin Gothic Demi"/>
              </w:rPr>
            </w:pPr>
            <w:r w:rsidRPr="00480046">
              <w:rPr>
                <w:rFonts w:ascii="Franklin Gothic Demi" w:hAnsi="Franklin Gothic Demi"/>
              </w:rPr>
              <w:t>208.4</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8EDAD75" w14:textId="400C40B3" w:rsidR="00D24C7F" w:rsidRPr="00480046" w:rsidRDefault="00D24C7F">
            <w:pPr>
              <w:pStyle w:val="TableDataEntries"/>
              <w:rPr>
                <w:rFonts w:ascii="Franklin Gothic Demi" w:hAnsi="Franklin Gothic Demi"/>
              </w:rPr>
            </w:pPr>
            <w:r w:rsidRPr="00480046">
              <w:rPr>
                <w:rFonts w:ascii="Franklin Gothic Demi" w:hAnsi="Franklin Gothic Demi"/>
              </w:rPr>
              <w:t>234.1</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124447D" w14:textId="6F65A4AF" w:rsidR="00D24C7F" w:rsidRPr="00480046" w:rsidRDefault="00D24C7F">
            <w:pPr>
              <w:pStyle w:val="TableDataEntries"/>
              <w:rPr>
                <w:rFonts w:ascii="Franklin Gothic Demi" w:hAnsi="Franklin Gothic Demi"/>
              </w:rPr>
            </w:pPr>
            <w:r w:rsidRPr="00480046">
              <w:rPr>
                <w:rFonts w:ascii="Franklin Gothic Demi" w:hAnsi="Franklin Gothic Demi"/>
              </w:rPr>
              <w:t>245.3</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76420DD" w14:textId="2366CF38" w:rsidR="00D24C7F" w:rsidRPr="00480046" w:rsidRDefault="00D24C7F">
            <w:pPr>
              <w:pStyle w:val="TableDataEntries"/>
              <w:rPr>
                <w:rFonts w:ascii="Franklin Gothic Demi" w:hAnsi="Franklin Gothic Demi"/>
              </w:rPr>
            </w:pPr>
            <w:r w:rsidRPr="00480046">
              <w:rPr>
                <w:rFonts w:ascii="Franklin Gothic Demi" w:hAnsi="Franklin Gothic Demi"/>
              </w:rPr>
              <w:t>182.1</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74D93A2" w14:textId="3BAD93B4" w:rsidR="00D24C7F" w:rsidRPr="00480046" w:rsidRDefault="00D24C7F">
            <w:pPr>
              <w:pStyle w:val="TableDataEntries"/>
              <w:rPr>
                <w:rFonts w:ascii="Franklin Gothic Demi" w:hAnsi="Franklin Gothic Demi"/>
              </w:rPr>
            </w:pPr>
            <w:r w:rsidRPr="00480046">
              <w:rPr>
                <w:rFonts w:ascii="Franklin Gothic Demi" w:hAnsi="Franklin Gothic Demi"/>
              </w:rPr>
              <w:t>404.5</w:t>
            </w:r>
          </w:p>
        </w:tc>
      </w:tr>
    </w:tbl>
    <w:p w14:paraId="326FCC8F" w14:textId="77777777" w:rsidR="00D24C7F" w:rsidRDefault="00D24C7F" w:rsidP="00D24C7F">
      <w:pPr>
        <w:pStyle w:val="Note"/>
      </w:pPr>
      <w:r w:rsidRPr="007D1B4F">
        <w:rPr>
          <w:i/>
        </w:rPr>
        <w:t>Note:</w:t>
      </w:r>
      <w:r w:rsidRPr="00E879B8">
        <w:t xml:space="preserve"> </w:t>
      </w:r>
      <w:r>
        <w:t>Costs and benefits estimated in present value terms over the 50</w:t>
      </w:r>
      <w:r>
        <w:noBreakHyphen/>
        <w:t xml:space="preserve">year life of a building constructed in 2025, using a discount rate of 5 per cent. </w:t>
      </w:r>
    </w:p>
    <w:p w14:paraId="06076810" w14:textId="77777777" w:rsidR="00D24C7F" w:rsidRDefault="00D24C7F" w:rsidP="00D24C7F">
      <w:pPr>
        <w:pStyle w:val="Source"/>
      </w:pPr>
      <w:r>
        <w:rPr>
          <w:i/>
        </w:rPr>
        <w:t>Source</w:t>
      </w:r>
      <w:r w:rsidRPr="00E4232C">
        <w:rPr>
          <w:i/>
        </w:rPr>
        <w:t>:</w:t>
      </w:r>
      <w:r>
        <w:t xml:space="preserve"> CIE based on DeltaQ modelling.</w:t>
      </w:r>
    </w:p>
    <w:p w14:paraId="652FE6AE" w14:textId="18A95D0A" w:rsidR="00D24C7F" w:rsidRPr="005E5FA8" w:rsidRDefault="00D24C7F" w:rsidP="00D24C7F">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w:instrText>
      </w:r>
      <w:fldSimple w:instr=" STYLEREF &quot;Heading 1&quot; \l \n ">
        <w:r w:rsidRPr="005E5FA8">
          <w:instrText>2</w:instrText>
        </w:r>
      </w:fldSimple>
      <w:r w:rsidRPr="005E5FA8">
        <w:instrText xml:space="preserve">." </w:instrText>
      </w:r>
      <w:r w:rsidRPr="005E5FA8">
        <w:fldChar w:fldCharType="end"/>
      </w:r>
      <w:r w:rsidRPr="005E5FA8">
        <w:instrText>" "</w:instrText>
      </w:r>
      <w:fldSimple w:instr=" STYLEREF &quot;Heading 6&quot; \l \n ">
        <w:r w:rsidR="00581346">
          <w:rPr>
            <w:noProof/>
          </w:rPr>
          <w:instrText>H</w:instrText>
        </w:r>
      </w:fldSimple>
      <w:r w:rsidRPr="005E5FA8">
        <w:instrText xml:space="preserve">." </w:instrText>
      </w:r>
      <w:r w:rsidRPr="005E5FA8">
        <w:fldChar w:fldCharType="separate"/>
      </w:r>
      <w:r w:rsidR="00581346">
        <w:rPr>
          <w:noProof/>
        </w:rPr>
        <w:instrText>H</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"1" </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7</w:instrText>
      </w:r>
      <w:r w:rsidRPr="005E5FA8">
        <w:fldChar w:fldCharType="end"/>
      </w:r>
      <w:r w:rsidRPr="005E5FA8">
        <w:instrText xml:space="preserve">" "" </w:instrText>
      </w:r>
      <w:r w:rsidRPr="005E5FA8">
        <w:fldChar w:fldCharType="separate"/>
      </w:r>
      <w:bookmarkStart w:id="9886" w:name="_Caption8089"/>
      <w:bookmarkStart w:id="9887" w:name="_Caption5315"/>
      <w:bookmarkStart w:id="9888" w:name="_Caption0872"/>
      <w:bookmarkStart w:id="9889" w:name="_Caption0641"/>
      <w:bookmarkStart w:id="9890" w:name="_Caption0703"/>
      <w:bookmarkStart w:id="9891" w:name="_Caption8086"/>
      <w:bookmarkStart w:id="9892" w:name="_Caption3407"/>
      <w:bookmarkStart w:id="9893" w:name="_Caption9314"/>
      <w:bookmarkStart w:id="9894" w:name="_Caption4222"/>
      <w:bookmarkStart w:id="9895" w:name="_Caption5926"/>
      <w:bookmarkStart w:id="9896" w:name="_Caption1336"/>
      <w:bookmarkStart w:id="9897" w:name="_Caption7916"/>
      <w:bookmarkStart w:id="9898" w:name="_Caption5071"/>
      <w:bookmarkStart w:id="9899" w:name="_Caption0538"/>
      <w:bookmarkStart w:id="9900" w:name="_Caption7306"/>
      <w:bookmarkStart w:id="9901" w:name="_Caption2699"/>
      <w:bookmarkStart w:id="9902" w:name="_Caption7246"/>
      <w:bookmarkStart w:id="9903" w:name="_Caption3119"/>
      <w:bookmarkStart w:id="9904" w:name="_Caption5248"/>
      <w:bookmarkStart w:id="9905" w:name="_Caption8819"/>
      <w:bookmarkStart w:id="9906" w:name="_Caption9210"/>
      <w:bookmarkStart w:id="9907" w:name="_Caption2751"/>
      <w:bookmarkStart w:id="9908" w:name="_Caption9014"/>
      <w:bookmarkStart w:id="9909" w:name="_Caption0429"/>
      <w:bookmarkStart w:id="9910" w:name="_Caption5650"/>
      <w:bookmarkStart w:id="9911" w:name="_Caption7360"/>
      <w:bookmarkStart w:id="9912" w:name="_Caption0941"/>
      <w:bookmarkStart w:id="9913" w:name="_Caption2394"/>
      <w:bookmarkStart w:id="9914" w:name="_Caption8298"/>
      <w:bookmarkStart w:id="9915" w:name="_Caption0501"/>
      <w:bookmarkStart w:id="9916" w:name="_Toc177735257"/>
      <w:bookmarkStart w:id="9917" w:name="_Toc178292699"/>
      <w:r w:rsidR="008C60A3">
        <w:rPr>
          <w:noProof/>
        </w:rPr>
        <w:t>H</w:t>
      </w:r>
      <w:r w:rsidR="008C60A3" w:rsidRPr="005E5FA8">
        <w:rPr>
          <w:noProof/>
        </w:rPr>
        <w:t>.</w:t>
      </w:r>
      <w:r w:rsidR="008C60A3">
        <w:rPr>
          <w:noProof/>
        </w:rPr>
        <w:t>7</w:t>
      </w:r>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r w:rsidRPr="005E5FA8">
        <w:fldChar w:fldCharType="end"/>
      </w:r>
      <w:r w:rsidRPr="005E5FA8">
        <w:tab/>
        <w:t>Stringency Level 1 estimated costs and benefits — C9A</w:t>
      </w:r>
      <w:bookmarkEnd w:id="9916"/>
      <w:bookmarkEnd w:id="9917"/>
    </w:p>
    <w:tbl>
      <w:tblPr>
        <w:tblW w:w="7936" w:type="dxa"/>
        <w:tblLayout w:type="fixed"/>
        <w:tblLook w:val="0000" w:firstRow="0" w:lastRow="0" w:firstColumn="0" w:lastColumn="0" w:noHBand="0" w:noVBand="0"/>
        <w:tblCaption w:val="Table G.7 "/>
        <w:tblDescription w:val="Stringency Level 1 estimated costs and benefits — C9A"/>
      </w:tblPr>
      <w:tblGrid>
        <w:gridCol w:w="2694"/>
        <w:gridCol w:w="708"/>
        <w:gridCol w:w="552"/>
        <w:gridCol w:w="664"/>
        <w:gridCol w:w="663"/>
        <w:gridCol w:w="664"/>
        <w:gridCol w:w="664"/>
        <w:gridCol w:w="663"/>
        <w:gridCol w:w="664"/>
      </w:tblGrid>
      <w:tr w:rsidR="00D24C7F" w14:paraId="5D547E7E" w14:textId="77777777">
        <w:trPr>
          <w:trHeight w:val="245"/>
          <w:tblHeader/>
        </w:trPr>
        <w:tc>
          <w:tcPr>
            <w:tcW w:w="2694" w:type="dxa"/>
            <w:shd w:val="clear" w:color="auto" w:fill="6F6652"/>
            <w:tcMar>
              <w:left w:w="57" w:type="dxa"/>
              <w:right w:w="57" w:type="dxa"/>
            </w:tcMar>
          </w:tcPr>
          <w:p w14:paraId="79B19C3D" w14:textId="77777777" w:rsidR="00D24C7F" w:rsidRDefault="00D24C7F">
            <w:pPr>
              <w:pStyle w:val="TableDataColumnHeading"/>
              <w:jc w:val="left"/>
            </w:pPr>
            <w:r>
              <w:t>Impact</w:t>
            </w:r>
          </w:p>
        </w:tc>
        <w:tc>
          <w:tcPr>
            <w:tcW w:w="708" w:type="dxa"/>
            <w:shd w:val="clear" w:color="auto" w:fill="6F6652"/>
            <w:tcMar>
              <w:left w:w="57" w:type="dxa"/>
              <w:right w:w="57" w:type="dxa"/>
            </w:tcMar>
          </w:tcPr>
          <w:p w14:paraId="2DC3DA1B" w14:textId="77777777" w:rsidR="00D24C7F" w:rsidRDefault="00D24C7F">
            <w:pPr>
              <w:pStyle w:val="TableDataColumnHeading"/>
            </w:pPr>
            <w:r>
              <w:t>NSW (CZ5)</w:t>
            </w:r>
          </w:p>
          <w:p w14:paraId="4D9300B8" w14:textId="77777777" w:rsidR="00D24C7F" w:rsidRDefault="00D24C7F">
            <w:pPr>
              <w:pStyle w:val="TableDataColumnHeading"/>
            </w:pPr>
            <w:r>
              <w:t>$ per m2</w:t>
            </w:r>
          </w:p>
        </w:tc>
        <w:tc>
          <w:tcPr>
            <w:tcW w:w="552" w:type="dxa"/>
            <w:shd w:val="clear" w:color="auto" w:fill="6F6652"/>
            <w:tcMar>
              <w:left w:w="57" w:type="dxa"/>
              <w:right w:w="57" w:type="dxa"/>
            </w:tcMar>
          </w:tcPr>
          <w:p w14:paraId="1B8F748E" w14:textId="77777777" w:rsidR="00D24C7F" w:rsidRDefault="00D24C7F">
            <w:pPr>
              <w:pStyle w:val="TableDataColumnHeading"/>
            </w:pPr>
            <w:r>
              <w:t>VIC (CZ6)</w:t>
            </w:r>
          </w:p>
          <w:p w14:paraId="697719AA" w14:textId="77777777" w:rsidR="00D24C7F" w:rsidRDefault="00D24C7F">
            <w:pPr>
              <w:pStyle w:val="TableDataColumnHeading"/>
            </w:pPr>
            <w:r>
              <w:t>$ per m2</w:t>
            </w:r>
          </w:p>
        </w:tc>
        <w:tc>
          <w:tcPr>
            <w:tcW w:w="664" w:type="dxa"/>
            <w:shd w:val="clear" w:color="auto" w:fill="6F6652"/>
            <w:tcMar>
              <w:left w:w="57" w:type="dxa"/>
              <w:right w:w="57" w:type="dxa"/>
            </w:tcMar>
          </w:tcPr>
          <w:p w14:paraId="192083CC" w14:textId="77777777" w:rsidR="00D24C7F" w:rsidRDefault="00D24C7F">
            <w:pPr>
              <w:pStyle w:val="TableDataColumnHeading"/>
            </w:pPr>
            <w:r>
              <w:t>QLD (CZ2)</w:t>
            </w:r>
          </w:p>
          <w:p w14:paraId="0F6CF850" w14:textId="77777777" w:rsidR="00D24C7F" w:rsidRDefault="00D24C7F">
            <w:pPr>
              <w:pStyle w:val="TableDataColumnHeading"/>
            </w:pPr>
            <w:r>
              <w:t>$ per m2</w:t>
            </w:r>
          </w:p>
        </w:tc>
        <w:tc>
          <w:tcPr>
            <w:tcW w:w="663" w:type="dxa"/>
            <w:shd w:val="clear" w:color="auto" w:fill="6F6652"/>
            <w:tcMar>
              <w:left w:w="57" w:type="dxa"/>
              <w:right w:w="57" w:type="dxa"/>
            </w:tcMar>
          </w:tcPr>
          <w:p w14:paraId="627EC850" w14:textId="77777777" w:rsidR="00D24C7F" w:rsidRDefault="00D24C7F">
            <w:pPr>
              <w:pStyle w:val="TableDataColumnHeading"/>
            </w:pPr>
            <w:r>
              <w:t>WA (CZ5)</w:t>
            </w:r>
          </w:p>
          <w:p w14:paraId="34D78832" w14:textId="77777777" w:rsidR="00D24C7F" w:rsidRDefault="00D24C7F">
            <w:pPr>
              <w:pStyle w:val="TableDataColumnHeading"/>
            </w:pPr>
            <w:r>
              <w:t>$ per m2</w:t>
            </w:r>
          </w:p>
        </w:tc>
        <w:tc>
          <w:tcPr>
            <w:tcW w:w="664" w:type="dxa"/>
            <w:shd w:val="clear" w:color="auto" w:fill="6F6652"/>
            <w:tcMar>
              <w:left w:w="57" w:type="dxa"/>
              <w:right w:w="57" w:type="dxa"/>
            </w:tcMar>
          </w:tcPr>
          <w:p w14:paraId="4B90A58E" w14:textId="77777777" w:rsidR="00D24C7F" w:rsidRDefault="00D24C7F">
            <w:pPr>
              <w:pStyle w:val="TableDataColumnHeading"/>
            </w:pPr>
            <w:r>
              <w:t>SA (CZ5)</w:t>
            </w:r>
          </w:p>
          <w:p w14:paraId="072C05B1" w14:textId="77777777" w:rsidR="00D24C7F" w:rsidRDefault="00D24C7F">
            <w:pPr>
              <w:pStyle w:val="TableDataColumnHeading"/>
            </w:pPr>
            <w:r>
              <w:t>$ per m2</w:t>
            </w:r>
          </w:p>
        </w:tc>
        <w:tc>
          <w:tcPr>
            <w:tcW w:w="664" w:type="dxa"/>
            <w:shd w:val="clear" w:color="auto" w:fill="6F6652"/>
            <w:tcMar>
              <w:left w:w="57" w:type="dxa"/>
              <w:right w:w="57" w:type="dxa"/>
            </w:tcMar>
          </w:tcPr>
          <w:p w14:paraId="3EE30741" w14:textId="77777777" w:rsidR="00D24C7F" w:rsidRDefault="00D24C7F">
            <w:pPr>
              <w:pStyle w:val="TableDataColumnHeading"/>
            </w:pPr>
            <w:r>
              <w:t>TAS (CZ7)</w:t>
            </w:r>
          </w:p>
          <w:p w14:paraId="269A2C0C" w14:textId="77777777" w:rsidR="00D24C7F" w:rsidRDefault="00D24C7F">
            <w:pPr>
              <w:pStyle w:val="TableDataColumnHeading"/>
            </w:pPr>
            <w:r>
              <w:t>$ per m2</w:t>
            </w:r>
          </w:p>
        </w:tc>
        <w:tc>
          <w:tcPr>
            <w:tcW w:w="663" w:type="dxa"/>
            <w:shd w:val="clear" w:color="auto" w:fill="6F6652"/>
            <w:tcMar>
              <w:left w:w="57" w:type="dxa"/>
              <w:right w:w="57" w:type="dxa"/>
            </w:tcMar>
          </w:tcPr>
          <w:p w14:paraId="03987D43" w14:textId="77777777" w:rsidR="00D24C7F" w:rsidRDefault="00D24C7F">
            <w:pPr>
              <w:pStyle w:val="TableDataColumnHeading"/>
            </w:pPr>
            <w:r>
              <w:t>ACT (CZ7)</w:t>
            </w:r>
          </w:p>
          <w:p w14:paraId="0C0A2FF6" w14:textId="77777777" w:rsidR="00D24C7F" w:rsidRDefault="00D24C7F">
            <w:pPr>
              <w:pStyle w:val="TableDataColumnHeading"/>
            </w:pPr>
            <w:r>
              <w:t>$ per m2</w:t>
            </w:r>
          </w:p>
        </w:tc>
        <w:tc>
          <w:tcPr>
            <w:tcW w:w="664" w:type="dxa"/>
            <w:shd w:val="clear" w:color="auto" w:fill="6F6652"/>
            <w:tcMar>
              <w:left w:w="57" w:type="dxa"/>
              <w:right w:w="57" w:type="dxa"/>
            </w:tcMar>
          </w:tcPr>
          <w:p w14:paraId="7DDEA1D1" w14:textId="77777777" w:rsidR="00D24C7F" w:rsidRDefault="00D24C7F">
            <w:pPr>
              <w:pStyle w:val="TableDataColumnHeading"/>
            </w:pPr>
            <w:r>
              <w:t>NT (CZ1)</w:t>
            </w:r>
          </w:p>
          <w:p w14:paraId="60F2CAA1" w14:textId="77777777" w:rsidR="00D24C7F" w:rsidRDefault="00D24C7F">
            <w:pPr>
              <w:pStyle w:val="TableDataColumnHeading"/>
            </w:pPr>
            <w:r>
              <w:t>$ per m2</w:t>
            </w:r>
          </w:p>
        </w:tc>
      </w:tr>
      <w:tr w:rsidR="00D24C7F" w14:paraId="1FE41CE4" w14:textId="77777777">
        <w:trPr>
          <w:trHeight w:val="245"/>
        </w:trPr>
        <w:tc>
          <w:tcPr>
            <w:tcW w:w="269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859938" w14:textId="77777777" w:rsidR="00D24C7F" w:rsidRDefault="00D24C7F">
            <w:pPr>
              <w:pStyle w:val="TableDataEntries"/>
              <w:jc w:val="left"/>
            </w:pPr>
            <w:r>
              <w:t>Avoided electricity network capacity costs</w:t>
            </w:r>
          </w:p>
        </w:tc>
        <w:tc>
          <w:tcPr>
            <w:tcW w:w="7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953ACF8" w14:textId="28AFE4F1" w:rsidR="00D24C7F" w:rsidRDefault="00D24C7F">
            <w:pPr>
              <w:pStyle w:val="TableDataEntries"/>
            </w:pPr>
            <w:r>
              <w:t>3.8</w:t>
            </w:r>
          </w:p>
        </w:tc>
        <w:tc>
          <w:tcPr>
            <w:tcW w:w="5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1F85B3" w14:textId="267B456B" w:rsidR="00D24C7F" w:rsidRDefault="00D24C7F">
            <w:pPr>
              <w:pStyle w:val="TableDataEntries"/>
            </w:pPr>
            <w:r>
              <w:t>1.3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591B8A" w14:textId="6C82DD1F" w:rsidR="00D24C7F" w:rsidRDefault="00D24C7F">
            <w:pPr>
              <w:pStyle w:val="TableDataEntries"/>
            </w:pPr>
            <w:r>
              <w:t>2.4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824C2F" w14:textId="40952C7F" w:rsidR="00D24C7F" w:rsidRDefault="00D24C7F">
            <w:pPr>
              <w:pStyle w:val="TableDataEntries"/>
            </w:pPr>
            <w:r>
              <w:t>0.9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8B172C0" w14:textId="5C248D5A" w:rsidR="00D24C7F" w:rsidRDefault="00D24C7F">
            <w:pPr>
              <w:pStyle w:val="TableDataEntries"/>
            </w:pPr>
            <w:r>
              <w:t>2.4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A8C1B1F" w14:textId="676CE7F8" w:rsidR="00D24C7F" w:rsidRDefault="00D24C7F">
            <w:pPr>
              <w:pStyle w:val="TableDataEntries"/>
            </w:pPr>
            <w:r>
              <w:t>4.3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BF95956" w14:textId="60D975EB" w:rsidR="00D24C7F" w:rsidRDefault="00D24C7F">
            <w:pPr>
              <w:pStyle w:val="TableDataEntries"/>
            </w:pPr>
            <w:r>
              <w:t>1.8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7E539B8" w14:textId="02456FBA" w:rsidR="00D24C7F" w:rsidRDefault="00D24C7F">
            <w:pPr>
              <w:pStyle w:val="TableDataEntries"/>
            </w:pPr>
            <w:r>
              <w:t>6.1</w:t>
            </w:r>
          </w:p>
        </w:tc>
      </w:tr>
      <w:tr w:rsidR="00D24C7F" w14:paraId="4942D817" w14:textId="77777777">
        <w:trPr>
          <w:trHeight w:val="245"/>
        </w:trPr>
        <w:tc>
          <w:tcPr>
            <w:tcW w:w="269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351087" w14:textId="77777777" w:rsidR="00D24C7F" w:rsidRDefault="00D24C7F">
            <w:pPr>
              <w:pStyle w:val="TableDataEntries"/>
              <w:jc w:val="left"/>
            </w:pPr>
            <w:r>
              <w:t>Avoided electricity wholesale costs</w:t>
            </w:r>
          </w:p>
        </w:tc>
        <w:tc>
          <w:tcPr>
            <w:tcW w:w="7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7C7B946" w14:textId="5DA76E6B" w:rsidR="00D24C7F" w:rsidRDefault="00D24C7F">
            <w:pPr>
              <w:pStyle w:val="TableDataEntries"/>
            </w:pPr>
            <w:r>
              <w:t>7.8</w:t>
            </w:r>
          </w:p>
        </w:tc>
        <w:tc>
          <w:tcPr>
            <w:tcW w:w="5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41B8F0A" w14:textId="74CC5090" w:rsidR="00D24C7F" w:rsidRDefault="00D24C7F">
            <w:pPr>
              <w:pStyle w:val="TableDataEntries"/>
            </w:pPr>
            <w:r>
              <w:t>2.2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04B5FF4" w14:textId="5206C603" w:rsidR="00D24C7F" w:rsidRDefault="00D24C7F">
            <w:pPr>
              <w:pStyle w:val="TableDataEntries"/>
            </w:pPr>
            <w:r>
              <w:t>6.1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ACEE02" w14:textId="0BE615F4" w:rsidR="00D24C7F" w:rsidRDefault="00D24C7F">
            <w:pPr>
              <w:pStyle w:val="TableDataEntries"/>
            </w:pPr>
            <w:r>
              <w:t>5.3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3337873" w14:textId="2BA3E82B" w:rsidR="00D24C7F" w:rsidRDefault="00D24C7F">
            <w:pPr>
              <w:pStyle w:val="TableDataEntries"/>
            </w:pPr>
            <w:r>
              <w:t>6.5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8A0B6AE" w14:textId="292B2AD9" w:rsidR="00D24C7F" w:rsidRDefault="00D24C7F">
            <w:pPr>
              <w:pStyle w:val="TableDataEntries"/>
            </w:pPr>
            <w:r>
              <w:t>2.4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8D286C" w14:textId="398AC58D" w:rsidR="00D24C7F" w:rsidRDefault="00D24C7F">
            <w:pPr>
              <w:pStyle w:val="TableDataEntries"/>
            </w:pPr>
            <w:r>
              <w:t>2.8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5490C5" w14:textId="1C4EA7A9" w:rsidR="00D24C7F" w:rsidRDefault="00D24C7F">
            <w:pPr>
              <w:pStyle w:val="TableDataEntries"/>
            </w:pPr>
            <w:r>
              <w:t>29.4</w:t>
            </w:r>
          </w:p>
        </w:tc>
      </w:tr>
      <w:tr w:rsidR="00D24C7F" w14:paraId="5926D5D2" w14:textId="77777777">
        <w:trPr>
          <w:trHeight w:val="245"/>
        </w:trPr>
        <w:tc>
          <w:tcPr>
            <w:tcW w:w="269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468D43B" w14:textId="77777777" w:rsidR="00D24C7F" w:rsidRDefault="00D24C7F">
            <w:pPr>
              <w:pStyle w:val="TableDataEntries"/>
              <w:jc w:val="left"/>
            </w:pPr>
            <w:r>
              <w:t>Avoided electricity network usage costs</w:t>
            </w:r>
          </w:p>
        </w:tc>
        <w:tc>
          <w:tcPr>
            <w:tcW w:w="7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4A2A829" w14:textId="05389849" w:rsidR="00D24C7F" w:rsidRDefault="00D24C7F">
            <w:pPr>
              <w:pStyle w:val="TableDataEntries"/>
            </w:pPr>
            <w:r>
              <w:t>4.5</w:t>
            </w:r>
          </w:p>
        </w:tc>
        <w:tc>
          <w:tcPr>
            <w:tcW w:w="5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1A06BC" w14:textId="3E5D9A6A" w:rsidR="00D24C7F" w:rsidRDefault="00D24C7F">
            <w:pPr>
              <w:pStyle w:val="TableDataEntries"/>
            </w:pPr>
            <w:r>
              <w:t>2.2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812BF8" w14:textId="2E243AB7" w:rsidR="00D24C7F" w:rsidRDefault="00D24C7F">
            <w:pPr>
              <w:pStyle w:val="TableDataEntries"/>
            </w:pPr>
            <w:r>
              <w:t>3.4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80A27B" w14:textId="31709E53" w:rsidR="00D24C7F" w:rsidRDefault="00D24C7F">
            <w:pPr>
              <w:pStyle w:val="TableDataEntries"/>
            </w:pPr>
            <w:r>
              <w:t>10.7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3E63D46" w14:textId="0C5BB42C" w:rsidR="00D24C7F" w:rsidRDefault="00D24C7F">
            <w:pPr>
              <w:pStyle w:val="TableDataEntries"/>
            </w:pPr>
            <w:r>
              <w:t>11.9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C97230" w14:textId="0420FCC8" w:rsidR="00D24C7F" w:rsidRDefault="00D24C7F">
            <w:pPr>
              <w:pStyle w:val="TableDataEntries"/>
            </w:pPr>
            <w:r>
              <w:t>4.0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52E410E" w14:textId="6B84FC97" w:rsidR="00D24C7F" w:rsidRDefault="00D24C7F">
            <w:pPr>
              <w:pStyle w:val="TableDataEntries"/>
            </w:pPr>
            <w:r>
              <w:t>2.2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82709B" w14:textId="5B5A1865" w:rsidR="00D24C7F" w:rsidRDefault="00D24C7F">
            <w:pPr>
              <w:pStyle w:val="TableDataEntries"/>
            </w:pPr>
            <w:r>
              <w:t>16.4</w:t>
            </w:r>
          </w:p>
        </w:tc>
      </w:tr>
      <w:tr w:rsidR="00D24C7F" w14:paraId="0888B4CF" w14:textId="77777777">
        <w:trPr>
          <w:trHeight w:val="245"/>
        </w:trPr>
        <w:tc>
          <w:tcPr>
            <w:tcW w:w="269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1E5BCF2" w14:textId="77777777" w:rsidR="00D24C7F" w:rsidRDefault="00D24C7F">
            <w:pPr>
              <w:pStyle w:val="TableDataEntries"/>
              <w:jc w:val="left"/>
            </w:pPr>
            <w:r>
              <w:t>Avoided electricity retail costs</w:t>
            </w:r>
          </w:p>
        </w:tc>
        <w:tc>
          <w:tcPr>
            <w:tcW w:w="7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58E59B8" w14:textId="40C3FB9B" w:rsidR="00D24C7F" w:rsidRDefault="00D24C7F">
            <w:pPr>
              <w:pStyle w:val="TableDataEntries"/>
            </w:pPr>
            <w:r>
              <w:t>2.4</w:t>
            </w:r>
          </w:p>
        </w:tc>
        <w:tc>
          <w:tcPr>
            <w:tcW w:w="5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14BE76" w14:textId="1FE20B29" w:rsidR="00D24C7F" w:rsidRDefault="00D24C7F">
            <w:pPr>
              <w:pStyle w:val="TableDataEntries"/>
            </w:pPr>
            <w:r>
              <w:t>0.9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DB8DCE" w14:textId="6179D12F" w:rsidR="00D24C7F" w:rsidRDefault="00D24C7F">
            <w:pPr>
              <w:pStyle w:val="TableDataEntries"/>
            </w:pPr>
            <w:r>
              <w:t>1.8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DC08FA" w14:textId="4EEE5041" w:rsidR="00D24C7F" w:rsidRDefault="00D24C7F">
            <w:pPr>
              <w:pStyle w:val="TableDataEntries"/>
            </w:pPr>
            <w:r>
              <w:t>2.5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C514373" w14:textId="66404671" w:rsidR="00D24C7F" w:rsidRDefault="00D24C7F">
            <w:pPr>
              <w:pStyle w:val="TableDataEntries"/>
            </w:pPr>
            <w:r>
              <w:t>3.1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4956A72" w14:textId="58B5A4E7" w:rsidR="00D24C7F" w:rsidRDefault="00D24C7F">
            <w:pPr>
              <w:pStyle w:val="TableDataEntries"/>
            </w:pPr>
            <w:r>
              <w:t>1.6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215ED2" w14:textId="240BBFEB" w:rsidR="00D24C7F" w:rsidRDefault="00D24C7F">
            <w:pPr>
              <w:pStyle w:val="TableDataEntries"/>
            </w:pPr>
            <w:r>
              <w:t>1.0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3F7C19" w14:textId="144ADB76" w:rsidR="00D24C7F" w:rsidRDefault="00D24C7F">
            <w:pPr>
              <w:pStyle w:val="TableDataEntries"/>
            </w:pPr>
            <w:r>
              <w:t>7.8</w:t>
            </w:r>
          </w:p>
        </w:tc>
      </w:tr>
      <w:tr w:rsidR="00D24C7F" w14:paraId="654E478D" w14:textId="77777777">
        <w:trPr>
          <w:trHeight w:val="245"/>
        </w:trPr>
        <w:tc>
          <w:tcPr>
            <w:tcW w:w="269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F8D280F" w14:textId="77777777" w:rsidR="00D24C7F" w:rsidRDefault="00D24C7F">
            <w:pPr>
              <w:pStyle w:val="TableDataEntries"/>
              <w:jc w:val="left"/>
            </w:pPr>
            <w:r>
              <w:t>Electricity exported to grid</w:t>
            </w:r>
          </w:p>
        </w:tc>
        <w:tc>
          <w:tcPr>
            <w:tcW w:w="7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546D6DC" w14:textId="1118B824" w:rsidR="00D24C7F" w:rsidRDefault="00D24C7F">
            <w:pPr>
              <w:pStyle w:val="TableDataEntries"/>
            </w:pPr>
            <w:r>
              <w:t>0.0</w:t>
            </w:r>
          </w:p>
        </w:tc>
        <w:tc>
          <w:tcPr>
            <w:tcW w:w="5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9ADA93C" w14:textId="163A359A"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642518A" w14:textId="424C3CF0"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93F06CD" w14:textId="51E34AA6"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1F4E75A" w14:textId="62E7042E"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5C2B5B" w14:textId="13FFD88F"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9F81CBA" w14:textId="449F6955"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72CDCF" w14:textId="2777BE40" w:rsidR="00D24C7F" w:rsidRDefault="00D24C7F">
            <w:pPr>
              <w:pStyle w:val="TableDataEntries"/>
            </w:pPr>
            <w:r>
              <w:t>0.0</w:t>
            </w:r>
          </w:p>
        </w:tc>
      </w:tr>
      <w:tr w:rsidR="00D24C7F" w14:paraId="03294776" w14:textId="77777777">
        <w:trPr>
          <w:trHeight w:val="245"/>
        </w:trPr>
        <w:tc>
          <w:tcPr>
            <w:tcW w:w="269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71BE5C3" w14:textId="77777777" w:rsidR="00D24C7F" w:rsidRDefault="00D24C7F">
            <w:pPr>
              <w:pStyle w:val="TableDataEntries"/>
              <w:jc w:val="left"/>
            </w:pPr>
            <w:r>
              <w:t>Electricity exports — network costs</w:t>
            </w:r>
          </w:p>
        </w:tc>
        <w:tc>
          <w:tcPr>
            <w:tcW w:w="7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44A0EC7" w14:textId="6CBAA55D" w:rsidR="00D24C7F" w:rsidRDefault="00D24C7F">
            <w:pPr>
              <w:pStyle w:val="TableDataEntries"/>
            </w:pPr>
            <w:r>
              <w:t>0.0</w:t>
            </w:r>
          </w:p>
        </w:tc>
        <w:tc>
          <w:tcPr>
            <w:tcW w:w="5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825D730" w14:textId="34852D1D"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EBD1FAF" w14:textId="20504AE2"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8754ED8" w14:textId="44CED1EE"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75E9F3E" w14:textId="57274FD0"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40FE124" w14:textId="691EC108"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03D1731" w14:textId="47799354"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2AF890B" w14:textId="4469ECF5" w:rsidR="00D24C7F" w:rsidRDefault="00D24C7F">
            <w:pPr>
              <w:pStyle w:val="TableDataEntries"/>
            </w:pPr>
            <w:r>
              <w:t>0.0</w:t>
            </w:r>
          </w:p>
        </w:tc>
      </w:tr>
      <w:tr w:rsidR="00D24C7F" w14:paraId="0DC93339" w14:textId="77777777">
        <w:trPr>
          <w:trHeight w:val="245"/>
        </w:trPr>
        <w:tc>
          <w:tcPr>
            <w:tcW w:w="269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A732E3" w14:textId="77777777" w:rsidR="00D24C7F" w:rsidRDefault="00D24C7F">
            <w:pPr>
              <w:pStyle w:val="TableDataEntries"/>
              <w:jc w:val="left"/>
            </w:pPr>
            <w:r>
              <w:t>Avoided gas costs</w:t>
            </w:r>
          </w:p>
        </w:tc>
        <w:tc>
          <w:tcPr>
            <w:tcW w:w="7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581112" w14:textId="577BBA8D" w:rsidR="00D24C7F" w:rsidRDefault="00D24C7F">
            <w:pPr>
              <w:pStyle w:val="TableDataEntries"/>
            </w:pPr>
            <w:r>
              <w:t>-0.6</w:t>
            </w:r>
          </w:p>
        </w:tc>
        <w:tc>
          <w:tcPr>
            <w:tcW w:w="5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B93D1E1" w14:textId="524E1765" w:rsidR="00D24C7F" w:rsidRDefault="00D24C7F">
            <w:pPr>
              <w:pStyle w:val="TableDataEntries"/>
            </w:pPr>
            <w:r>
              <w:t>-1.9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0E7859F" w14:textId="0BD94441" w:rsidR="00D24C7F" w:rsidRDefault="00D24C7F">
            <w:pPr>
              <w:pStyle w:val="TableDataEntries"/>
            </w:pPr>
            <w:r>
              <w:t>-0.1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FDF948" w14:textId="36C500AB" w:rsidR="00D24C7F" w:rsidRDefault="00D24C7F">
            <w:pPr>
              <w:pStyle w:val="TableDataEntries"/>
            </w:pPr>
            <w:r>
              <w:t>-0.6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5114CD" w14:textId="1DD4BACE" w:rsidR="00D24C7F" w:rsidRDefault="00D24C7F">
            <w:pPr>
              <w:pStyle w:val="TableDataEntries"/>
            </w:pPr>
            <w:r>
              <w:t>-0.6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97C78D" w14:textId="3055A9B8" w:rsidR="00D24C7F" w:rsidRDefault="00D24C7F">
            <w:pPr>
              <w:pStyle w:val="TableDataEntries"/>
            </w:pPr>
            <w:r>
              <w:t>-2.2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CCF4636" w14:textId="3FAE8637" w:rsidR="00D24C7F" w:rsidRDefault="00D24C7F">
            <w:pPr>
              <w:pStyle w:val="TableDataEntries"/>
            </w:pPr>
            <w:r>
              <w:t>-1.5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6C56539" w14:textId="63D9361E" w:rsidR="00D24C7F" w:rsidRDefault="00D24C7F">
            <w:pPr>
              <w:pStyle w:val="TableDataEntries"/>
            </w:pPr>
            <w:r>
              <w:t>0.0</w:t>
            </w:r>
          </w:p>
        </w:tc>
      </w:tr>
      <w:tr w:rsidR="00D24C7F" w14:paraId="72BC1649" w14:textId="77777777">
        <w:trPr>
          <w:trHeight w:val="245"/>
        </w:trPr>
        <w:tc>
          <w:tcPr>
            <w:tcW w:w="269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BEBA64" w14:textId="77777777" w:rsidR="00D24C7F" w:rsidRDefault="00D24C7F">
            <w:pPr>
              <w:pStyle w:val="TableDataEntries"/>
              <w:jc w:val="left"/>
            </w:pPr>
            <w:r>
              <w:t>Avoided GHG emissions – electricity</w:t>
            </w:r>
          </w:p>
        </w:tc>
        <w:tc>
          <w:tcPr>
            <w:tcW w:w="7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018060" w14:textId="13145E20" w:rsidR="00D24C7F" w:rsidRDefault="00D24C7F">
            <w:pPr>
              <w:pStyle w:val="TableDataEntries"/>
            </w:pPr>
            <w:r>
              <w:t>4.3</w:t>
            </w:r>
          </w:p>
        </w:tc>
        <w:tc>
          <w:tcPr>
            <w:tcW w:w="5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A681AD" w14:textId="2F256E11" w:rsidR="00D24C7F" w:rsidRDefault="00D24C7F">
            <w:pPr>
              <w:pStyle w:val="TableDataEntries"/>
            </w:pPr>
            <w:r>
              <w:t>2.3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4C97011" w14:textId="70FB5BC7" w:rsidR="00D24C7F" w:rsidRDefault="00D24C7F">
            <w:pPr>
              <w:pStyle w:val="TableDataEntries"/>
            </w:pPr>
            <w:r>
              <w:t>8.5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EDCF8B7" w14:textId="008EE075" w:rsidR="00D24C7F" w:rsidRDefault="00D24C7F">
            <w:pPr>
              <w:pStyle w:val="TableDataEntries"/>
            </w:pPr>
            <w:r>
              <w:t>6.3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E3E7BB1" w14:textId="7E2FF5D6" w:rsidR="00D24C7F" w:rsidRDefault="00D24C7F">
            <w:pPr>
              <w:pStyle w:val="TableDataEntries"/>
            </w:pPr>
            <w:r>
              <w:t>4.6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E1C0EC4" w14:textId="6F7ADA54" w:rsidR="00D24C7F" w:rsidRDefault="00D24C7F">
            <w:pPr>
              <w:pStyle w:val="TableDataEntries"/>
            </w:pPr>
            <w:r>
              <w:t>0.2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6F4A66" w14:textId="1B81A1AC" w:rsidR="00D24C7F" w:rsidRDefault="00D24C7F">
            <w:pPr>
              <w:pStyle w:val="TableDataEntries"/>
            </w:pPr>
            <w:r>
              <w:t>1.4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985F2B1" w14:textId="1A9223DC" w:rsidR="00D24C7F" w:rsidRDefault="00D24C7F">
            <w:pPr>
              <w:pStyle w:val="TableDataEntries"/>
            </w:pPr>
            <w:r>
              <w:t>27.6</w:t>
            </w:r>
          </w:p>
        </w:tc>
      </w:tr>
      <w:tr w:rsidR="00D24C7F" w14:paraId="218B12F3" w14:textId="77777777">
        <w:trPr>
          <w:trHeight w:val="245"/>
        </w:trPr>
        <w:tc>
          <w:tcPr>
            <w:tcW w:w="269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AFF23F" w14:textId="77777777" w:rsidR="00D24C7F" w:rsidRDefault="00D24C7F">
            <w:pPr>
              <w:pStyle w:val="TableDataEntries"/>
              <w:jc w:val="left"/>
            </w:pPr>
            <w:r>
              <w:t>Avoided GHG emissions – exported electricity</w:t>
            </w:r>
          </w:p>
        </w:tc>
        <w:tc>
          <w:tcPr>
            <w:tcW w:w="7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ED1AF3" w14:textId="21BD7CCE" w:rsidR="00D24C7F" w:rsidRDefault="00D24C7F">
            <w:pPr>
              <w:pStyle w:val="TableDataEntries"/>
            </w:pPr>
            <w:r>
              <w:t>0.0</w:t>
            </w:r>
          </w:p>
        </w:tc>
        <w:tc>
          <w:tcPr>
            <w:tcW w:w="5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2FC1BC" w14:textId="5897ACF9"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27FA87" w14:textId="4EC45F12"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C2CD7B" w14:textId="715693DB"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51C99D" w14:textId="5BEDE73E"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EB07562" w14:textId="6609D1FF"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941947" w14:textId="62802444"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69A891D" w14:textId="30487153" w:rsidR="00D24C7F" w:rsidRDefault="00D24C7F">
            <w:pPr>
              <w:pStyle w:val="TableDataEntries"/>
            </w:pPr>
            <w:r>
              <w:t>0.0</w:t>
            </w:r>
          </w:p>
        </w:tc>
      </w:tr>
      <w:tr w:rsidR="00D24C7F" w14:paraId="1C43B98A" w14:textId="77777777">
        <w:trPr>
          <w:trHeight w:val="245"/>
        </w:trPr>
        <w:tc>
          <w:tcPr>
            <w:tcW w:w="269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F62C007" w14:textId="77777777" w:rsidR="00D24C7F" w:rsidRDefault="00D24C7F">
            <w:pPr>
              <w:pStyle w:val="TableDataEntries"/>
              <w:jc w:val="left"/>
            </w:pPr>
            <w:r>
              <w:t>Avoided GHG emissions – gas</w:t>
            </w:r>
          </w:p>
        </w:tc>
        <w:tc>
          <w:tcPr>
            <w:tcW w:w="7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A6DBEE2" w14:textId="6829F892" w:rsidR="00D24C7F" w:rsidRDefault="00D24C7F">
            <w:pPr>
              <w:pStyle w:val="TableDataEntries"/>
            </w:pPr>
            <w:r>
              <w:t>-1.2</w:t>
            </w:r>
          </w:p>
        </w:tc>
        <w:tc>
          <w:tcPr>
            <w:tcW w:w="5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F40C523" w14:textId="706D3A1E" w:rsidR="00D24C7F" w:rsidRDefault="00D24C7F">
            <w:pPr>
              <w:pStyle w:val="TableDataEntries"/>
            </w:pPr>
            <w:r>
              <w:t>-3.2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2D78BCF" w14:textId="3567EBD2" w:rsidR="00D24C7F" w:rsidRDefault="00D24C7F">
            <w:pPr>
              <w:pStyle w:val="TableDataEntries"/>
            </w:pPr>
            <w:r>
              <w:t>-0.1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1B5199" w14:textId="0A3D32DD" w:rsidR="00D24C7F" w:rsidRDefault="00D24C7F">
            <w:pPr>
              <w:pStyle w:val="TableDataEntries"/>
            </w:pPr>
            <w:r>
              <w:t>-1.0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D164CC6" w14:textId="4CBD05AB" w:rsidR="00D24C7F" w:rsidRDefault="00D24C7F">
            <w:pPr>
              <w:pStyle w:val="TableDataEntries"/>
            </w:pPr>
            <w:r>
              <w:t>-1.2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B8C1ADF" w14:textId="36BA0B59" w:rsidR="00D24C7F" w:rsidRDefault="00D24C7F">
            <w:pPr>
              <w:pStyle w:val="TableDataEntries"/>
            </w:pPr>
            <w:r>
              <w:t>-2.7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EFE023" w14:textId="5F69AB53" w:rsidR="00D24C7F" w:rsidRDefault="00D24C7F">
            <w:pPr>
              <w:pStyle w:val="TableDataEntries"/>
            </w:pPr>
            <w:r>
              <w:t>-3.2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7673C2" w14:textId="39D882A2" w:rsidR="00D24C7F" w:rsidRDefault="00D24C7F">
            <w:pPr>
              <w:pStyle w:val="TableDataEntries"/>
            </w:pPr>
            <w:r>
              <w:t>0.0</w:t>
            </w:r>
          </w:p>
        </w:tc>
      </w:tr>
      <w:tr w:rsidR="00D24C7F" w14:paraId="5D281B61" w14:textId="77777777">
        <w:trPr>
          <w:trHeight w:val="245"/>
        </w:trPr>
        <w:tc>
          <w:tcPr>
            <w:tcW w:w="269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D31915C" w14:textId="77777777" w:rsidR="00D24C7F" w:rsidRDefault="00D24C7F">
            <w:pPr>
              <w:pStyle w:val="TableDataEntries"/>
              <w:jc w:val="left"/>
            </w:pPr>
            <w:r>
              <w:t>Capital costs</w:t>
            </w:r>
          </w:p>
        </w:tc>
        <w:tc>
          <w:tcPr>
            <w:tcW w:w="708"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A27966" w14:textId="378AB5F2" w:rsidR="00D24C7F" w:rsidRDefault="00D24C7F">
            <w:pPr>
              <w:pStyle w:val="TableDataEntries"/>
            </w:pPr>
            <w:r>
              <w:t>-1.5</w:t>
            </w:r>
          </w:p>
        </w:tc>
        <w:tc>
          <w:tcPr>
            <w:tcW w:w="552"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1180502" w14:textId="5209C41E" w:rsidR="00D24C7F" w:rsidRDefault="00D24C7F">
            <w:pPr>
              <w:pStyle w:val="TableDataEntries"/>
            </w:pPr>
            <w:r>
              <w:t>-1.8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1851E74" w14:textId="5DFF0AAD" w:rsidR="00D24C7F" w:rsidRDefault="00D24C7F">
            <w:pPr>
              <w:pStyle w:val="TableDataEntries"/>
            </w:pPr>
            <w:r>
              <w:t>-4.9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EE2461" w14:textId="4A9A9312" w:rsidR="00D24C7F" w:rsidRDefault="00D24C7F">
            <w:pPr>
              <w:pStyle w:val="TableDataEntries"/>
            </w:pPr>
            <w:r>
              <w:t>-1.5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CF667B8" w14:textId="1D4B2377" w:rsidR="00D24C7F" w:rsidRDefault="00D24C7F">
            <w:pPr>
              <w:pStyle w:val="TableDataEntries"/>
            </w:pPr>
            <w:r>
              <w:t>-1.5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3F5C673" w14:textId="14DD0210" w:rsidR="00D24C7F" w:rsidRDefault="00D24C7F">
            <w:pPr>
              <w:pStyle w:val="TableDataEntries"/>
            </w:pPr>
            <w:r>
              <w:t>-2.0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CB03FD" w14:textId="3B835EEE" w:rsidR="00D24C7F" w:rsidRDefault="00D24C7F">
            <w:pPr>
              <w:pStyle w:val="TableDataEntries"/>
            </w:pPr>
            <w:r>
              <w:t>-2.0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64F56D" w14:textId="0590B808" w:rsidR="00D24C7F" w:rsidRDefault="00D24C7F">
            <w:pPr>
              <w:pStyle w:val="TableDataEntries"/>
            </w:pPr>
            <w:r>
              <w:t>-4.8</w:t>
            </w:r>
          </w:p>
        </w:tc>
      </w:tr>
      <w:tr w:rsidR="00D24C7F" w:rsidRPr="00E3152A" w14:paraId="3CC282A3" w14:textId="77777777">
        <w:trPr>
          <w:trHeight w:val="245"/>
        </w:trPr>
        <w:tc>
          <w:tcPr>
            <w:tcW w:w="269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6AF4EB3" w14:textId="77777777" w:rsidR="00D24C7F" w:rsidRPr="00E3152A" w:rsidRDefault="00D24C7F">
            <w:pPr>
              <w:pStyle w:val="TableDataEntries"/>
              <w:jc w:val="left"/>
              <w:rPr>
                <w:rFonts w:ascii="Franklin Gothic Demi" w:hAnsi="Franklin Gothic Demi"/>
              </w:rPr>
            </w:pPr>
            <w:r w:rsidRPr="00E3152A">
              <w:rPr>
                <w:rFonts w:ascii="Franklin Gothic Demi" w:hAnsi="Franklin Gothic Demi"/>
              </w:rPr>
              <w:t>Total</w:t>
            </w:r>
          </w:p>
        </w:tc>
        <w:tc>
          <w:tcPr>
            <w:tcW w:w="708"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E6B0988" w14:textId="7D34CDBC" w:rsidR="00D24C7F" w:rsidRPr="00E3152A" w:rsidRDefault="00D24C7F">
            <w:pPr>
              <w:pStyle w:val="TableDataEntries"/>
              <w:rPr>
                <w:rFonts w:ascii="Franklin Gothic Demi" w:hAnsi="Franklin Gothic Demi"/>
              </w:rPr>
            </w:pPr>
            <w:r w:rsidRPr="00E3152A">
              <w:rPr>
                <w:rFonts w:ascii="Franklin Gothic Demi" w:hAnsi="Franklin Gothic Demi"/>
              </w:rPr>
              <w:t>19.6</w:t>
            </w:r>
          </w:p>
        </w:tc>
        <w:tc>
          <w:tcPr>
            <w:tcW w:w="552"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B59A4D0" w14:textId="547BD973" w:rsidR="00D24C7F" w:rsidRPr="00E3152A" w:rsidRDefault="00D24C7F">
            <w:pPr>
              <w:pStyle w:val="TableDataEntries"/>
              <w:rPr>
                <w:rFonts w:ascii="Franklin Gothic Demi" w:hAnsi="Franklin Gothic Demi"/>
              </w:rPr>
            </w:pPr>
            <w:r w:rsidRPr="00E3152A">
              <w:rPr>
                <w:rFonts w:ascii="Franklin Gothic Demi" w:hAnsi="Franklin Gothic Demi"/>
              </w:rPr>
              <w:t>1.9</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9148385" w14:textId="19F8662C" w:rsidR="00D24C7F" w:rsidRPr="00E3152A" w:rsidRDefault="00D24C7F">
            <w:pPr>
              <w:pStyle w:val="TableDataEntries"/>
              <w:rPr>
                <w:rFonts w:ascii="Franklin Gothic Demi" w:hAnsi="Franklin Gothic Demi"/>
              </w:rPr>
            </w:pPr>
            <w:r w:rsidRPr="00E3152A">
              <w:rPr>
                <w:rFonts w:ascii="Franklin Gothic Demi" w:hAnsi="Franklin Gothic Demi"/>
              </w:rPr>
              <w:t>17.0</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3067BDB" w14:textId="334D6ADD" w:rsidR="00D24C7F" w:rsidRPr="00E3152A" w:rsidRDefault="00D24C7F">
            <w:pPr>
              <w:pStyle w:val="TableDataEntries"/>
              <w:rPr>
                <w:rFonts w:ascii="Franklin Gothic Demi" w:hAnsi="Franklin Gothic Demi"/>
              </w:rPr>
            </w:pPr>
            <w:r w:rsidRPr="00E3152A">
              <w:rPr>
                <w:rFonts w:ascii="Franklin Gothic Demi" w:hAnsi="Franklin Gothic Demi"/>
              </w:rPr>
              <w:t>22.6</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ACA41AC" w14:textId="4FF88DD1" w:rsidR="00D24C7F" w:rsidRPr="00E3152A" w:rsidRDefault="00D24C7F">
            <w:pPr>
              <w:pStyle w:val="TableDataEntries"/>
              <w:rPr>
                <w:rFonts w:ascii="Franklin Gothic Demi" w:hAnsi="Franklin Gothic Demi"/>
              </w:rPr>
            </w:pPr>
            <w:r w:rsidRPr="00E3152A">
              <w:rPr>
                <w:rFonts w:ascii="Franklin Gothic Demi" w:hAnsi="Franklin Gothic Demi"/>
              </w:rPr>
              <w:t>25.1</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C463768" w14:textId="07CBAE60" w:rsidR="00D24C7F" w:rsidRPr="00E3152A" w:rsidRDefault="00D24C7F">
            <w:pPr>
              <w:pStyle w:val="TableDataEntries"/>
              <w:rPr>
                <w:rFonts w:ascii="Franklin Gothic Demi" w:hAnsi="Franklin Gothic Demi"/>
              </w:rPr>
            </w:pPr>
            <w:r w:rsidRPr="00E3152A">
              <w:rPr>
                <w:rFonts w:ascii="Franklin Gothic Demi" w:hAnsi="Franklin Gothic Demi"/>
              </w:rPr>
              <w:t>5.6</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CC86C0C" w14:textId="4B4BD6B6" w:rsidR="00D24C7F" w:rsidRPr="00E3152A" w:rsidRDefault="00D24C7F">
            <w:pPr>
              <w:pStyle w:val="TableDataEntries"/>
              <w:rPr>
                <w:rFonts w:ascii="Franklin Gothic Demi" w:hAnsi="Franklin Gothic Demi"/>
              </w:rPr>
            </w:pPr>
            <w:r w:rsidRPr="00E3152A">
              <w:rPr>
                <w:rFonts w:ascii="Franklin Gothic Demi" w:hAnsi="Franklin Gothic Demi"/>
              </w:rPr>
              <w:t>2.6</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4FE5C4FA" w14:textId="30F3A82E" w:rsidR="00D24C7F" w:rsidRPr="00E3152A" w:rsidRDefault="00D24C7F">
            <w:pPr>
              <w:pStyle w:val="TableDataEntries"/>
              <w:rPr>
                <w:rFonts w:ascii="Franklin Gothic Demi" w:hAnsi="Franklin Gothic Demi"/>
              </w:rPr>
            </w:pPr>
            <w:r w:rsidRPr="00E3152A">
              <w:rPr>
                <w:rFonts w:ascii="Franklin Gothic Demi" w:hAnsi="Franklin Gothic Demi"/>
              </w:rPr>
              <w:t>82.5</w:t>
            </w:r>
          </w:p>
        </w:tc>
      </w:tr>
    </w:tbl>
    <w:p w14:paraId="0D1A7C90" w14:textId="77777777" w:rsidR="00D24C7F" w:rsidRDefault="00D24C7F" w:rsidP="00D24C7F">
      <w:pPr>
        <w:pStyle w:val="Note"/>
      </w:pPr>
      <w:r w:rsidRPr="007D1B4F">
        <w:rPr>
          <w:i/>
        </w:rPr>
        <w:t>Note:</w:t>
      </w:r>
      <w:r w:rsidRPr="00E879B8">
        <w:t xml:space="preserve"> </w:t>
      </w:r>
      <w:r>
        <w:t>Costs and benefits estimated in present value terms over the 50</w:t>
      </w:r>
      <w:r>
        <w:noBreakHyphen/>
        <w:t xml:space="preserve">year life of a building constructed in 2025, using a discount rate of 5 per cent. </w:t>
      </w:r>
    </w:p>
    <w:p w14:paraId="4C294F84" w14:textId="77777777" w:rsidR="00D24C7F" w:rsidRDefault="00D24C7F" w:rsidP="00D24C7F">
      <w:pPr>
        <w:pStyle w:val="Source"/>
      </w:pPr>
      <w:r>
        <w:rPr>
          <w:i/>
        </w:rPr>
        <w:t>Source</w:t>
      </w:r>
      <w:r w:rsidRPr="00E4232C">
        <w:rPr>
          <w:i/>
        </w:rPr>
        <w:t>:</w:t>
      </w:r>
      <w:r>
        <w:t xml:space="preserve"> CIE based on DeltaQ modelling.</w:t>
      </w:r>
    </w:p>
    <w:p w14:paraId="67DC656D" w14:textId="548EE4E5" w:rsidR="00D24C7F" w:rsidRPr="005E5FA8" w:rsidRDefault="00D24C7F" w:rsidP="00D24C7F">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w:instrText>
      </w:r>
      <w:fldSimple w:instr=" STYLEREF &quot;Heading 1&quot; \l \n ">
        <w:r w:rsidRPr="005E5FA8">
          <w:instrText>2</w:instrText>
        </w:r>
      </w:fldSimple>
      <w:r w:rsidRPr="005E5FA8">
        <w:instrText xml:space="preserve">." </w:instrText>
      </w:r>
      <w:r w:rsidRPr="005E5FA8">
        <w:fldChar w:fldCharType="end"/>
      </w:r>
      <w:r w:rsidRPr="005E5FA8">
        <w:instrText>" "</w:instrText>
      </w:r>
      <w:fldSimple w:instr=" STYLEREF &quot;Heading 6&quot; \l \n ">
        <w:r w:rsidR="00581346">
          <w:rPr>
            <w:noProof/>
          </w:rPr>
          <w:instrText>H</w:instrText>
        </w:r>
      </w:fldSimple>
      <w:r w:rsidRPr="005E5FA8">
        <w:instrText xml:space="preserve">." </w:instrText>
      </w:r>
      <w:r w:rsidRPr="005E5FA8">
        <w:fldChar w:fldCharType="separate"/>
      </w:r>
      <w:r w:rsidR="00581346">
        <w:rPr>
          <w:noProof/>
        </w:rPr>
        <w:instrText>H</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"1" </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8</w:instrText>
      </w:r>
      <w:r w:rsidRPr="005E5FA8">
        <w:fldChar w:fldCharType="end"/>
      </w:r>
      <w:r w:rsidRPr="005E5FA8">
        <w:instrText xml:space="preserve">" "" </w:instrText>
      </w:r>
      <w:r w:rsidRPr="005E5FA8">
        <w:fldChar w:fldCharType="separate"/>
      </w:r>
      <w:bookmarkStart w:id="9918" w:name="_Caption6314"/>
      <w:bookmarkStart w:id="9919" w:name="_Caption3278"/>
      <w:bookmarkStart w:id="9920" w:name="_Caption8326"/>
      <w:bookmarkStart w:id="9921" w:name="_Caption2795"/>
      <w:bookmarkStart w:id="9922" w:name="_Caption8651"/>
      <w:bookmarkStart w:id="9923" w:name="_Caption8458"/>
      <w:bookmarkStart w:id="9924" w:name="_Caption9322"/>
      <w:bookmarkStart w:id="9925" w:name="_Caption1252"/>
      <w:bookmarkStart w:id="9926" w:name="_Caption0457"/>
      <w:bookmarkStart w:id="9927" w:name="_Caption8647"/>
      <w:bookmarkStart w:id="9928" w:name="_Caption1659"/>
      <w:bookmarkStart w:id="9929" w:name="_Caption0652"/>
      <w:bookmarkStart w:id="9930" w:name="_Caption9784"/>
      <w:bookmarkStart w:id="9931" w:name="_Caption6527"/>
      <w:bookmarkStart w:id="9932" w:name="_Caption5820"/>
      <w:bookmarkStart w:id="9933" w:name="_Caption3798"/>
      <w:bookmarkStart w:id="9934" w:name="_Caption6382"/>
      <w:bookmarkStart w:id="9935" w:name="_Caption8256"/>
      <w:bookmarkStart w:id="9936" w:name="_Caption3129"/>
      <w:bookmarkStart w:id="9937" w:name="_Caption3065"/>
      <w:bookmarkStart w:id="9938" w:name="_Caption4467"/>
      <w:bookmarkStart w:id="9939" w:name="_Caption8669"/>
      <w:bookmarkStart w:id="9940" w:name="_Caption4069"/>
      <w:bookmarkStart w:id="9941" w:name="_Caption8788"/>
      <w:bookmarkStart w:id="9942" w:name="_Caption8662"/>
      <w:bookmarkStart w:id="9943" w:name="_Caption0379"/>
      <w:bookmarkStart w:id="9944" w:name="_Caption4214"/>
      <w:bookmarkStart w:id="9945" w:name="_Caption1970"/>
      <w:bookmarkStart w:id="9946" w:name="_Caption4773"/>
      <w:bookmarkStart w:id="9947" w:name="_Caption6442"/>
      <w:bookmarkStart w:id="9948" w:name="_Toc177735258"/>
      <w:bookmarkStart w:id="9949" w:name="_Toc178292700"/>
      <w:r w:rsidR="008C60A3">
        <w:rPr>
          <w:noProof/>
        </w:rPr>
        <w:t>H</w:t>
      </w:r>
      <w:r w:rsidR="008C60A3" w:rsidRPr="005E5FA8">
        <w:rPr>
          <w:noProof/>
        </w:rPr>
        <w:t>.</w:t>
      </w:r>
      <w:r w:rsidR="008C60A3">
        <w:rPr>
          <w:noProof/>
        </w:rPr>
        <w:t>8</w:t>
      </w:r>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r w:rsidRPr="005E5FA8">
        <w:fldChar w:fldCharType="end"/>
      </w:r>
      <w:r w:rsidRPr="005E5FA8">
        <w:tab/>
        <w:t>Stringency Level 1 estimated costs and benefits — C9B</w:t>
      </w:r>
      <w:bookmarkEnd w:id="9948"/>
      <w:bookmarkEnd w:id="9949"/>
    </w:p>
    <w:tbl>
      <w:tblPr>
        <w:tblW w:w="7906" w:type="dxa"/>
        <w:tblLayout w:type="fixed"/>
        <w:tblLook w:val="0000" w:firstRow="0" w:lastRow="0" w:firstColumn="0" w:lastColumn="0" w:noHBand="0" w:noVBand="0"/>
        <w:tblCaption w:val="Table G.8"/>
        <w:tblDescription w:val="Stringency Level 1 estimated costs and benefits — C9B"/>
      </w:tblPr>
      <w:tblGrid>
        <w:gridCol w:w="2627"/>
        <w:gridCol w:w="634"/>
        <w:gridCol w:w="663"/>
        <w:gridCol w:w="664"/>
        <w:gridCol w:w="663"/>
        <w:gridCol w:w="664"/>
        <w:gridCol w:w="664"/>
        <w:gridCol w:w="663"/>
        <w:gridCol w:w="664"/>
      </w:tblGrid>
      <w:tr w:rsidR="00D24C7F" w14:paraId="340C938C" w14:textId="77777777">
        <w:trPr>
          <w:trHeight w:val="245"/>
          <w:tblHeader/>
        </w:trPr>
        <w:tc>
          <w:tcPr>
            <w:tcW w:w="2627" w:type="dxa"/>
            <w:shd w:val="clear" w:color="auto" w:fill="6F6652"/>
            <w:tcMar>
              <w:left w:w="57" w:type="dxa"/>
              <w:right w:w="57" w:type="dxa"/>
            </w:tcMar>
          </w:tcPr>
          <w:p w14:paraId="0D2BE4B6" w14:textId="77777777" w:rsidR="00D24C7F" w:rsidRDefault="00D24C7F">
            <w:pPr>
              <w:pStyle w:val="TableDataColumnHeading"/>
              <w:jc w:val="left"/>
            </w:pPr>
            <w:r>
              <w:t>Impact</w:t>
            </w:r>
          </w:p>
        </w:tc>
        <w:tc>
          <w:tcPr>
            <w:tcW w:w="634" w:type="dxa"/>
            <w:shd w:val="clear" w:color="auto" w:fill="6F6652"/>
            <w:tcMar>
              <w:left w:w="57" w:type="dxa"/>
              <w:right w:w="57" w:type="dxa"/>
            </w:tcMar>
          </w:tcPr>
          <w:p w14:paraId="67F1D2FC" w14:textId="77777777" w:rsidR="00D24C7F" w:rsidRDefault="00D24C7F">
            <w:pPr>
              <w:pStyle w:val="TableDataColumnHeading"/>
            </w:pPr>
            <w:r>
              <w:t>NSW (CZ5)</w:t>
            </w:r>
          </w:p>
          <w:p w14:paraId="43380894" w14:textId="77777777" w:rsidR="00D24C7F" w:rsidRDefault="00D24C7F">
            <w:pPr>
              <w:pStyle w:val="TableDataColumnHeading"/>
            </w:pPr>
            <w:r>
              <w:t>$ per m2</w:t>
            </w:r>
          </w:p>
        </w:tc>
        <w:tc>
          <w:tcPr>
            <w:tcW w:w="663" w:type="dxa"/>
            <w:shd w:val="clear" w:color="auto" w:fill="6F6652"/>
            <w:tcMar>
              <w:left w:w="57" w:type="dxa"/>
              <w:right w:w="57" w:type="dxa"/>
            </w:tcMar>
          </w:tcPr>
          <w:p w14:paraId="57ADF958" w14:textId="77777777" w:rsidR="00D24C7F" w:rsidRDefault="00D24C7F">
            <w:pPr>
              <w:pStyle w:val="TableDataColumnHeading"/>
            </w:pPr>
            <w:r>
              <w:t>VIC (CZ6)</w:t>
            </w:r>
          </w:p>
          <w:p w14:paraId="48438E2B" w14:textId="77777777" w:rsidR="00D24C7F" w:rsidRDefault="00D24C7F">
            <w:pPr>
              <w:pStyle w:val="TableDataColumnHeading"/>
            </w:pPr>
            <w:r>
              <w:t>$ per m2</w:t>
            </w:r>
          </w:p>
        </w:tc>
        <w:tc>
          <w:tcPr>
            <w:tcW w:w="664" w:type="dxa"/>
            <w:shd w:val="clear" w:color="auto" w:fill="6F6652"/>
            <w:tcMar>
              <w:left w:w="57" w:type="dxa"/>
              <w:right w:w="57" w:type="dxa"/>
            </w:tcMar>
          </w:tcPr>
          <w:p w14:paraId="62B1E25C" w14:textId="77777777" w:rsidR="00D24C7F" w:rsidRDefault="00D24C7F">
            <w:pPr>
              <w:pStyle w:val="TableDataColumnHeading"/>
            </w:pPr>
            <w:r>
              <w:t>QLD (CZ2)</w:t>
            </w:r>
          </w:p>
          <w:p w14:paraId="5D45BBFC" w14:textId="77777777" w:rsidR="00D24C7F" w:rsidRDefault="00D24C7F">
            <w:pPr>
              <w:pStyle w:val="TableDataColumnHeading"/>
            </w:pPr>
            <w:r>
              <w:t>$ per m2</w:t>
            </w:r>
          </w:p>
        </w:tc>
        <w:tc>
          <w:tcPr>
            <w:tcW w:w="663" w:type="dxa"/>
            <w:shd w:val="clear" w:color="auto" w:fill="6F6652"/>
            <w:tcMar>
              <w:left w:w="57" w:type="dxa"/>
              <w:right w:w="57" w:type="dxa"/>
            </w:tcMar>
          </w:tcPr>
          <w:p w14:paraId="5749A736" w14:textId="77777777" w:rsidR="00D24C7F" w:rsidRDefault="00D24C7F">
            <w:pPr>
              <w:pStyle w:val="TableDataColumnHeading"/>
            </w:pPr>
            <w:r>
              <w:t>WA (CZ5)</w:t>
            </w:r>
          </w:p>
          <w:p w14:paraId="3FA09557" w14:textId="77777777" w:rsidR="00D24C7F" w:rsidRDefault="00D24C7F">
            <w:pPr>
              <w:pStyle w:val="TableDataColumnHeading"/>
            </w:pPr>
            <w:r>
              <w:t>$ per m2</w:t>
            </w:r>
          </w:p>
        </w:tc>
        <w:tc>
          <w:tcPr>
            <w:tcW w:w="664" w:type="dxa"/>
            <w:shd w:val="clear" w:color="auto" w:fill="6F6652"/>
            <w:tcMar>
              <w:left w:w="57" w:type="dxa"/>
              <w:right w:w="57" w:type="dxa"/>
            </w:tcMar>
          </w:tcPr>
          <w:p w14:paraId="0E8DF277" w14:textId="77777777" w:rsidR="00D24C7F" w:rsidRDefault="00D24C7F">
            <w:pPr>
              <w:pStyle w:val="TableDataColumnHeading"/>
            </w:pPr>
            <w:r>
              <w:t>SA (CZ5)</w:t>
            </w:r>
          </w:p>
          <w:p w14:paraId="769B7A1F" w14:textId="77777777" w:rsidR="00D24C7F" w:rsidRDefault="00D24C7F">
            <w:pPr>
              <w:pStyle w:val="TableDataColumnHeading"/>
            </w:pPr>
            <w:r>
              <w:t>$ per m2</w:t>
            </w:r>
          </w:p>
        </w:tc>
        <w:tc>
          <w:tcPr>
            <w:tcW w:w="664" w:type="dxa"/>
            <w:shd w:val="clear" w:color="auto" w:fill="6F6652"/>
            <w:tcMar>
              <w:left w:w="57" w:type="dxa"/>
              <w:right w:w="57" w:type="dxa"/>
            </w:tcMar>
          </w:tcPr>
          <w:p w14:paraId="45A8EE9F" w14:textId="77777777" w:rsidR="00D24C7F" w:rsidRDefault="00D24C7F">
            <w:pPr>
              <w:pStyle w:val="TableDataColumnHeading"/>
            </w:pPr>
            <w:r>
              <w:t>TAS (CZ7)</w:t>
            </w:r>
          </w:p>
          <w:p w14:paraId="7CD7313C" w14:textId="77777777" w:rsidR="00D24C7F" w:rsidRDefault="00D24C7F">
            <w:pPr>
              <w:pStyle w:val="TableDataColumnHeading"/>
            </w:pPr>
            <w:r>
              <w:t>$ per m2</w:t>
            </w:r>
          </w:p>
        </w:tc>
        <w:tc>
          <w:tcPr>
            <w:tcW w:w="663" w:type="dxa"/>
            <w:shd w:val="clear" w:color="auto" w:fill="6F6652"/>
            <w:tcMar>
              <w:left w:w="57" w:type="dxa"/>
              <w:right w:w="57" w:type="dxa"/>
            </w:tcMar>
          </w:tcPr>
          <w:p w14:paraId="6688C514" w14:textId="77777777" w:rsidR="00D24C7F" w:rsidRDefault="00D24C7F">
            <w:pPr>
              <w:pStyle w:val="TableDataColumnHeading"/>
            </w:pPr>
            <w:r>
              <w:t>ACT (CZ7)</w:t>
            </w:r>
          </w:p>
          <w:p w14:paraId="27FD7AE4" w14:textId="77777777" w:rsidR="00D24C7F" w:rsidRDefault="00D24C7F">
            <w:pPr>
              <w:pStyle w:val="TableDataColumnHeading"/>
            </w:pPr>
            <w:r>
              <w:t>$ per m2</w:t>
            </w:r>
          </w:p>
        </w:tc>
        <w:tc>
          <w:tcPr>
            <w:tcW w:w="664" w:type="dxa"/>
            <w:shd w:val="clear" w:color="auto" w:fill="6F6652"/>
            <w:tcMar>
              <w:left w:w="57" w:type="dxa"/>
              <w:right w:w="57" w:type="dxa"/>
            </w:tcMar>
          </w:tcPr>
          <w:p w14:paraId="42604283" w14:textId="77777777" w:rsidR="00D24C7F" w:rsidRDefault="00D24C7F">
            <w:pPr>
              <w:pStyle w:val="TableDataColumnHeading"/>
            </w:pPr>
            <w:r>
              <w:t>NT (CZ1)</w:t>
            </w:r>
          </w:p>
          <w:p w14:paraId="01E47296" w14:textId="77777777" w:rsidR="00D24C7F" w:rsidRDefault="00D24C7F">
            <w:pPr>
              <w:pStyle w:val="TableDataColumnHeading"/>
            </w:pPr>
            <w:r>
              <w:t>$ per m2</w:t>
            </w:r>
          </w:p>
        </w:tc>
      </w:tr>
      <w:tr w:rsidR="00D24C7F" w14:paraId="5BE01820"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853E65" w14:textId="77777777" w:rsidR="00D24C7F" w:rsidRDefault="00D24C7F">
            <w:pPr>
              <w:pStyle w:val="TableDataEntries"/>
              <w:jc w:val="left"/>
            </w:pPr>
            <w:r>
              <w:t>Avoided electricity network capacity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B7A60C" w14:textId="1AF10D09" w:rsidR="00D24C7F" w:rsidRDefault="00D24C7F">
            <w:pPr>
              <w:pStyle w:val="TableDataEntries"/>
            </w:pPr>
            <w:r>
              <w:t>13.3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369EFC7" w14:textId="578BAF2D" w:rsidR="00D24C7F" w:rsidRDefault="00D24C7F">
            <w:pPr>
              <w:pStyle w:val="TableDataEntries"/>
            </w:pPr>
            <w:r>
              <w:t>6.8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22081D5" w14:textId="49620DEF" w:rsidR="00D24C7F" w:rsidRDefault="00D24C7F">
            <w:pPr>
              <w:pStyle w:val="TableDataEntries"/>
            </w:pPr>
            <w:r>
              <w:t>14.3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421885E" w14:textId="6AF8732B" w:rsidR="00D24C7F" w:rsidRDefault="00D24C7F">
            <w:pPr>
              <w:pStyle w:val="TableDataEntries"/>
            </w:pPr>
            <w:r>
              <w:t>2.8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5795CA3" w14:textId="0707F5ED" w:rsidR="00D24C7F" w:rsidRDefault="00D24C7F">
            <w:pPr>
              <w:pStyle w:val="TableDataEntries"/>
            </w:pPr>
            <w:r>
              <w:t>4.5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E38E90" w14:textId="53D7523D" w:rsidR="00D24C7F" w:rsidRDefault="00D24C7F">
            <w:pPr>
              <w:pStyle w:val="TableDataEntries"/>
            </w:pPr>
            <w:r>
              <w:t>23.3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3E110BE" w14:textId="2F155CA6" w:rsidR="00D24C7F" w:rsidRDefault="00D24C7F">
            <w:pPr>
              <w:pStyle w:val="TableDataEntries"/>
            </w:pPr>
            <w:r>
              <w:t>11.3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C4C081E" w14:textId="6EF7EEEF" w:rsidR="00D24C7F" w:rsidRDefault="00D24C7F">
            <w:pPr>
              <w:pStyle w:val="TableDataEntries"/>
            </w:pPr>
            <w:r>
              <w:t>12.3</w:t>
            </w:r>
          </w:p>
        </w:tc>
      </w:tr>
      <w:tr w:rsidR="00D24C7F" w14:paraId="6BCEC87D"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0A6A6D" w14:textId="77777777" w:rsidR="00D24C7F" w:rsidRDefault="00D24C7F">
            <w:pPr>
              <w:pStyle w:val="TableDataEntries"/>
              <w:jc w:val="left"/>
            </w:pPr>
            <w:r>
              <w:t>Avoided electricity wholesale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A1B988" w14:textId="76B71A27" w:rsidR="00D24C7F" w:rsidRDefault="00D24C7F">
            <w:pPr>
              <w:pStyle w:val="TableDataEntries"/>
            </w:pPr>
            <w:r>
              <w:t>12.4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0575965" w14:textId="07520C54" w:rsidR="00D24C7F" w:rsidRDefault="00D24C7F">
            <w:pPr>
              <w:pStyle w:val="TableDataEntries"/>
            </w:pPr>
            <w:r>
              <w:t>7.5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0D3A02" w14:textId="7A9F7185" w:rsidR="00D24C7F" w:rsidRDefault="00D24C7F">
            <w:pPr>
              <w:pStyle w:val="TableDataEntries"/>
            </w:pPr>
            <w:r>
              <w:t>15.0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07708B0" w14:textId="24EE3BBD" w:rsidR="00D24C7F" w:rsidRDefault="00D24C7F">
            <w:pPr>
              <w:pStyle w:val="TableDataEntries"/>
            </w:pPr>
            <w:r>
              <w:t>7.4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19516FE" w14:textId="797AC337" w:rsidR="00D24C7F" w:rsidRDefault="00D24C7F">
            <w:pPr>
              <w:pStyle w:val="TableDataEntries"/>
            </w:pPr>
            <w:r>
              <w:t>8.5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9FCA97" w14:textId="1745B5D3" w:rsidR="00D24C7F" w:rsidRDefault="00D24C7F">
            <w:pPr>
              <w:pStyle w:val="TableDataEntries"/>
            </w:pPr>
            <w:r>
              <w:t>10.1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02BE52A" w14:textId="57011BA8" w:rsidR="00D24C7F" w:rsidRDefault="00D24C7F">
            <w:pPr>
              <w:pStyle w:val="TableDataEntries"/>
            </w:pPr>
            <w:r>
              <w:t>10.3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F03472F" w14:textId="65B7BAC3" w:rsidR="00D24C7F" w:rsidRDefault="00D24C7F">
            <w:pPr>
              <w:pStyle w:val="TableDataEntries"/>
            </w:pPr>
            <w:r>
              <w:t>28.7</w:t>
            </w:r>
          </w:p>
        </w:tc>
      </w:tr>
      <w:tr w:rsidR="00D24C7F" w14:paraId="3F66F906"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6EE4B55" w14:textId="77777777" w:rsidR="00D24C7F" w:rsidRDefault="00D24C7F">
            <w:pPr>
              <w:pStyle w:val="TableDataEntries"/>
              <w:jc w:val="left"/>
            </w:pPr>
            <w:r>
              <w:t>Avoided electricity network usage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CCF9AF" w14:textId="055737B5" w:rsidR="00D24C7F" w:rsidRDefault="00D24C7F">
            <w:pPr>
              <w:pStyle w:val="TableDataEntries"/>
            </w:pPr>
            <w:r>
              <w:t>7.7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938785" w14:textId="7F144930" w:rsidR="00D24C7F" w:rsidRDefault="00D24C7F">
            <w:pPr>
              <w:pStyle w:val="TableDataEntries"/>
            </w:pPr>
            <w:r>
              <w:t>10.0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EC29DBC" w14:textId="2AAFEB03" w:rsidR="00D24C7F" w:rsidRDefault="00D24C7F">
            <w:pPr>
              <w:pStyle w:val="TableDataEntries"/>
            </w:pPr>
            <w:r>
              <w:t>10.5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29F36A" w14:textId="21C63CD1" w:rsidR="00D24C7F" w:rsidRDefault="00D24C7F">
            <w:pPr>
              <w:pStyle w:val="TableDataEntries"/>
            </w:pPr>
            <w:r>
              <w:t>19.8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6BF33E" w14:textId="27FF749D" w:rsidR="00D24C7F" w:rsidRDefault="00D24C7F">
            <w:pPr>
              <w:pStyle w:val="TableDataEntries"/>
            </w:pPr>
            <w:r>
              <w:t>22.3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F5F3ACF" w14:textId="68DB828E" w:rsidR="00D24C7F" w:rsidRDefault="00D24C7F">
            <w:pPr>
              <w:pStyle w:val="TableDataEntries"/>
            </w:pPr>
            <w:r>
              <w:t>16.3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35FF442" w14:textId="6BE3F1ED" w:rsidR="00D24C7F" w:rsidRDefault="00D24C7F">
            <w:pPr>
              <w:pStyle w:val="TableDataEntries"/>
            </w:pPr>
            <w:r>
              <w:t>10.1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2A78BE" w14:textId="7C1335DA" w:rsidR="00D24C7F" w:rsidRDefault="00D24C7F">
            <w:pPr>
              <w:pStyle w:val="TableDataEntries"/>
            </w:pPr>
            <w:r>
              <w:t>13.3</w:t>
            </w:r>
          </w:p>
        </w:tc>
      </w:tr>
      <w:tr w:rsidR="00D24C7F" w14:paraId="05C2B2A4"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C6C3983" w14:textId="77777777" w:rsidR="00D24C7F" w:rsidRDefault="00D24C7F">
            <w:pPr>
              <w:pStyle w:val="TableDataEntries"/>
              <w:jc w:val="left"/>
            </w:pPr>
            <w:r>
              <w:t>Avoided electricity retail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E74ABB" w14:textId="6772E98E" w:rsidR="00D24C7F" w:rsidRDefault="00D24C7F">
            <w:pPr>
              <w:pStyle w:val="TableDataEntries"/>
            </w:pPr>
            <w:r>
              <w:t>5.0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2AB063" w14:textId="6F4DA242" w:rsidR="00D24C7F" w:rsidRDefault="00D24C7F">
            <w:pPr>
              <w:pStyle w:val="TableDataEntries"/>
            </w:pPr>
            <w:r>
              <w:t>3.6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BDB89B" w14:textId="662D5189" w:rsidR="00D24C7F" w:rsidRDefault="00D24C7F">
            <w:pPr>
              <w:pStyle w:val="TableDataEntries"/>
            </w:pPr>
            <w:r>
              <w:t>6.0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35FE8B4" w14:textId="08D81F2A" w:rsidR="00D24C7F" w:rsidRDefault="00D24C7F">
            <w:pPr>
              <w:pStyle w:val="TableDataEntries"/>
            </w:pPr>
            <w:r>
              <w:t>4.5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16F056E" w14:textId="666D42E9" w:rsidR="00D24C7F" w:rsidRDefault="00D24C7F">
            <w:pPr>
              <w:pStyle w:val="TableDataEntries"/>
            </w:pPr>
            <w:r>
              <w:t>5.3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B2FFDBE" w14:textId="6BDFA9FC" w:rsidR="00D24C7F" w:rsidRDefault="00D24C7F">
            <w:pPr>
              <w:pStyle w:val="TableDataEntries"/>
            </w:pPr>
            <w:r>
              <w:t>7.5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B261F05" w14:textId="6C637CB9" w:rsidR="00D24C7F" w:rsidRDefault="00D24C7F">
            <w:pPr>
              <w:pStyle w:val="TableDataEntries"/>
            </w:pPr>
            <w:r>
              <w:t>4.8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080BC40" w14:textId="11DB835D" w:rsidR="00D24C7F" w:rsidRDefault="00D24C7F">
            <w:pPr>
              <w:pStyle w:val="TableDataEntries"/>
            </w:pPr>
            <w:r>
              <w:t>8.2</w:t>
            </w:r>
          </w:p>
        </w:tc>
      </w:tr>
      <w:tr w:rsidR="00D24C7F" w14:paraId="7FA63941"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94BEF12" w14:textId="77777777" w:rsidR="00D24C7F" w:rsidRDefault="00D24C7F">
            <w:pPr>
              <w:pStyle w:val="TableDataEntries"/>
              <w:jc w:val="left"/>
            </w:pPr>
            <w:r>
              <w:t>Electricity exported to grid</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11F4B30" w14:textId="3CB02F5D" w:rsidR="00D24C7F" w:rsidRDefault="00D24C7F">
            <w:pPr>
              <w:pStyle w:val="TableDataEntries"/>
            </w:pPr>
            <w:r>
              <w:t>0.7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89430C3" w14:textId="3508F6F7" w:rsidR="00D24C7F" w:rsidRDefault="00D24C7F">
            <w:pPr>
              <w:pStyle w:val="TableDataEntries"/>
            </w:pPr>
            <w:r>
              <w:t>0.6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81F9380" w14:textId="2E0009DC" w:rsidR="00D24C7F" w:rsidRDefault="00D24C7F">
            <w:pPr>
              <w:pStyle w:val="TableDataEntries"/>
            </w:pPr>
            <w:r>
              <w:t>0.6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E6A71E4" w14:textId="2219B8AE" w:rsidR="00D24C7F" w:rsidRDefault="00D24C7F">
            <w:pPr>
              <w:pStyle w:val="TableDataEntries"/>
            </w:pPr>
            <w:r>
              <w:t>0.6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49FE9E1" w14:textId="470EDC10" w:rsidR="00D24C7F" w:rsidRDefault="00D24C7F">
            <w:pPr>
              <w:pStyle w:val="TableDataEntries"/>
            </w:pPr>
            <w:r>
              <w:t>0.5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DC4377" w14:textId="1ABE903B" w:rsidR="00D24C7F" w:rsidRDefault="00D24C7F">
            <w:pPr>
              <w:pStyle w:val="TableDataEntries"/>
            </w:pPr>
            <w:r>
              <w:t>1.8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E150744" w14:textId="44E3C904" w:rsidR="00D24C7F" w:rsidRDefault="00D24C7F">
            <w:pPr>
              <w:pStyle w:val="TableDataEntries"/>
            </w:pPr>
            <w:r>
              <w:t>0.9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7C4B024" w14:textId="24E66277" w:rsidR="00D24C7F" w:rsidRDefault="00D24C7F">
            <w:pPr>
              <w:pStyle w:val="TableDataEntries"/>
            </w:pPr>
            <w:r>
              <w:t>0.4</w:t>
            </w:r>
          </w:p>
        </w:tc>
      </w:tr>
      <w:tr w:rsidR="00D24C7F" w14:paraId="708B9511"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EF6D33" w14:textId="77777777" w:rsidR="00D24C7F" w:rsidRDefault="00D24C7F">
            <w:pPr>
              <w:pStyle w:val="TableDataEntries"/>
              <w:jc w:val="left"/>
            </w:pPr>
            <w:r>
              <w:t>Electricity exports — network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A3CF74C" w14:textId="2FAE51BF" w:rsidR="00D24C7F" w:rsidRDefault="00D24C7F">
            <w:pPr>
              <w:pStyle w:val="TableDataEntries"/>
            </w:pPr>
            <w:r>
              <w:t>-0.2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FE7FA2D" w14:textId="323A0B92" w:rsidR="00D24C7F" w:rsidRDefault="00D24C7F">
            <w:pPr>
              <w:pStyle w:val="TableDataEntries"/>
            </w:pPr>
            <w:r>
              <w:t>-0.2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75427A" w14:textId="1B5392D9" w:rsidR="00D24C7F" w:rsidRDefault="00D24C7F">
            <w:pPr>
              <w:pStyle w:val="TableDataEntries"/>
            </w:pPr>
            <w:r>
              <w:t>-0.1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8409A7" w14:textId="460424F5" w:rsidR="00D24C7F" w:rsidRDefault="00D24C7F">
            <w:pPr>
              <w:pStyle w:val="TableDataEntries"/>
            </w:pPr>
            <w:r>
              <w:t>-0.2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732283" w14:textId="3C31BAD4" w:rsidR="00D24C7F" w:rsidRDefault="00D24C7F">
            <w:pPr>
              <w:pStyle w:val="TableDataEntries"/>
            </w:pPr>
            <w:r>
              <w:t>-0.2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FFC313" w14:textId="5AA9C26B" w:rsidR="00D24C7F" w:rsidRDefault="00D24C7F">
            <w:pPr>
              <w:pStyle w:val="TableDataEntries"/>
            </w:pPr>
            <w:r>
              <w:t>-0.2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3EB6E51" w14:textId="7FD8023C" w:rsidR="00D24C7F" w:rsidRDefault="00D24C7F">
            <w:pPr>
              <w:pStyle w:val="TableDataEntries"/>
            </w:pPr>
            <w:r>
              <w:t>-0.2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9F3FF08" w14:textId="0C16FDAB" w:rsidR="00D24C7F" w:rsidRDefault="00D24C7F">
            <w:pPr>
              <w:pStyle w:val="TableDataEntries"/>
            </w:pPr>
            <w:r>
              <w:t>0.0</w:t>
            </w:r>
          </w:p>
        </w:tc>
      </w:tr>
      <w:tr w:rsidR="00D24C7F" w14:paraId="30C702CA"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E2B219" w14:textId="77777777" w:rsidR="00D24C7F" w:rsidRDefault="00D24C7F">
            <w:pPr>
              <w:pStyle w:val="TableDataEntries"/>
              <w:jc w:val="left"/>
            </w:pPr>
            <w:r>
              <w:t>Avoided gas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4D74BE9" w14:textId="6090FE43"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28819E3" w14:textId="3C14E4C8"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55F70E" w14:textId="0A4FFF68"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EF3828A" w14:textId="104E1143"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E3D9A7" w14:textId="7529597F"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6219656" w14:textId="1E66EEFA"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9143B2" w14:textId="6110C75E"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CDEF76E" w14:textId="0A77D4F1" w:rsidR="00D24C7F" w:rsidRDefault="00D24C7F">
            <w:pPr>
              <w:pStyle w:val="TableDataEntries"/>
            </w:pPr>
            <w:r>
              <w:t>0.0</w:t>
            </w:r>
          </w:p>
        </w:tc>
      </w:tr>
      <w:tr w:rsidR="00D24C7F" w14:paraId="3C129924"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C2D254" w14:textId="77777777" w:rsidR="00D24C7F" w:rsidRDefault="00D24C7F">
            <w:pPr>
              <w:pStyle w:val="TableDataEntries"/>
              <w:jc w:val="left"/>
            </w:pPr>
            <w:r>
              <w:t>Avoided GHG emissions –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0BBD48" w14:textId="160D435B" w:rsidR="00D24C7F" w:rsidRDefault="00D24C7F">
            <w:pPr>
              <w:pStyle w:val="TableDataEntries"/>
            </w:pPr>
            <w:r>
              <w:t>7.5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B6921AF" w14:textId="76C9D63F" w:rsidR="00D24C7F" w:rsidRDefault="00D24C7F">
            <w:pPr>
              <w:pStyle w:val="TableDataEntries"/>
            </w:pPr>
            <w:r>
              <w:t>9.4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B3E2F0E" w14:textId="35FBF38E" w:rsidR="00D24C7F" w:rsidRDefault="00D24C7F">
            <w:pPr>
              <w:pStyle w:val="TableDataEntries"/>
            </w:pPr>
            <w:r>
              <w:t>27.7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BA02F49" w14:textId="387F9C55" w:rsidR="00D24C7F" w:rsidRDefault="00D24C7F">
            <w:pPr>
              <w:pStyle w:val="TableDataEntries"/>
            </w:pPr>
            <w:r>
              <w:t>11.1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B42DF75" w14:textId="3526C940" w:rsidR="00D24C7F" w:rsidRDefault="00D24C7F">
            <w:pPr>
              <w:pStyle w:val="TableDataEntries"/>
            </w:pPr>
            <w:r>
              <w:t>8.1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836079" w14:textId="1B49485E" w:rsidR="00D24C7F" w:rsidRDefault="00D24C7F">
            <w:pPr>
              <w:pStyle w:val="TableDataEntries"/>
            </w:pPr>
            <w:r>
              <w:t>0.8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E18DB0C" w14:textId="2DDA281E" w:rsidR="00D24C7F" w:rsidRDefault="00D24C7F">
            <w:pPr>
              <w:pStyle w:val="TableDataEntries"/>
            </w:pPr>
            <w:r>
              <w:t>5.3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983412" w14:textId="66585DE1" w:rsidR="00D24C7F" w:rsidRDefault="00D24C7F">
            <w:pPr>
              <w:pStyle w:val="TableDataEntries"/>
            </w:pPr>
            <w:r>
              <w:t>28.5</w:t>
            </w:r>
          </w:p>
        </w:tc>
      </w:tr>
      <w:tr w:rsidR="00D24C7F" w14:paraId="02706571"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089C4A2" w14:textId="77777777" w:rsidR="00D24C7F" w:rsidRDefault="00D24C7F">
            <w:pPr>
              <w:pStyle w:val="TableDataEntries"/>
              <w:jc w:val="left"/>
            </w:pPr>
            <w:r>
              <w:t>Avoided GHG emissions – exported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0494A6D" w14:textId="6429DD0F" w:rsidR="00D24C7F" w:rsidRDefault="00D24C7F">
            <w:pPr>
              <w:pStyle w:val="TableDataEntries"/>
            </w:pPr>
            <w:r>
              <w:t>1.0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B90DB2" w14:textId="2017829D" w:rsidR="00D24C7F" w:rsidRDefault="00D24C7F">
            <w:pPr>
              <w:pStyle w:val="TableDataEntries"/>
            </w:pPr>
            <w:r>
              <w:t>2.1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44F0DD4" w14:textId="65F25920" w:rsidR="00D24C7F" w:rsidRDefault="00D24C7F">
            <w:pPr>
              <w:pStyle w:val="TableDataEntries"/>
            </w:pPr>
            <w:r>
              <w:t>2.0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7D23F47" w14:textId="7285D967" w:rsidR="00D24C7F" w:rsidRDefault="00D24C7F">
            <w:pPr>
              <w:pStyle w:val="TableDataEntries"/>
            </w:pPr>
            <w:r>
              <w:t>1.5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7D268A7" w14:textId="4BE6EB7B" w:rsidR="00D24C7F" w:rsidRDefault="00D24C7F">
            <w:pPr>
              <w:pStyle w:val="TableDataEntries"/>
            </w:pPr>
            <w:r>
              <w:t>1.1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058AB0" w14:textId="06348C3D" w:rsidR="00D24C7F" w:rsidRDefault="00D24C7F">
            <w:pPr>
              <w:pStyle w:val="TableDataEntries"/>
            </w:pPr>
            <w:r>
              <w:t>0.2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5A6485F" w14:textId="4F87FB48" w:rsidR="00D24C7F" w:rsidRDefault="00D24C7F">
            <w:pPr>
              <w:pStyle w:val="TableDataEntries"/>
            </w:pPr>
            <w:r>
              <w:t>1.2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7333475" w14:textId="1116C66A" w:rsidR="00D24C7F" w:rsidRDefault="00D24C7F">
            <w:pPr>
              <w:pStyle w:val="TableDataEntries"/>
            </w:pPr>
            <w:r>
              <w:t>0.4</w:t>
            </w:r>
          </w:p>
        </w:tc>
      </w:tr>
      <w:tr w:rsidR="00D24C7F" w14:paraId="7376EED2"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CF05A1F" w14:textId="77777777" w:rsidR="00D24C7F" w:rsidRDefault="00D24C7F">
            <w:pPr>
              <w:pStyle w:val="TableDataEntries"/>
              <w:jc w:val="left"/>
            </w:pPr>
            <w:r>
              <w:t>Avoided GHG emissions – gas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BBE2857" w14:textId="285D653D"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91E4A40" w14:textId="30F79A79"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A135F61" w14:textId="31EB5240"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43ED5D1" w14:textId="61423EEC"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99D9B00" w14:textId="2F9B8865"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50344E" w14:textId="48AC81E8"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F35DFE" w14:textId="34BFBA1C"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469A1F4" w14:textId="336BFB93" w:rsidR="00D24C7F" w:rsidRDefault="00D24C7F">
            <w:pPr>
              <w:pStyle w:val="TableDataEntries"/>
            </w:pPr>
            <w:r>
              <w:t>0.0</w:t>
            </w:r>
          </w:p>
        </w:tc>
      </w:tr>
      <w:tr w:rsidR="00D24C7F" w14:paraId="525EE3AB"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B4DEAF" w14:textId="77777777" w:rsidR="00D24C7F" w:rsidRDefault="00D24C7F">
            <w:pPr>
              <w:pStyle w:val="TableDataEntries"/>
              <w:jc w:val="left"/>
            </w:pPr>
            <w:r>
              <w:t>Capital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9CFA4BC" w14:textId="00F9EF4E" w:rsidR="00D24C7F" w:rsidRDefault="00D24C7F">
            <w:pPr>
              <w:pStyle w:val="TableDataEntries"/>
            </w:pPr>
            <w:r>
              <w:t>14.7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EF8CE0" w14:textId="29EB77F3" w:rsidR="00D24C7F" w:rsidRDefault="00D24C7F">
            <w:pPr>
              <w:pStyle w:val="TableDataEntries"/>
            </w:pPr>
            <w:r>
              <w:t>8.1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9FC3946" w14:textId="50D27CCC" w:rsidR="00D24C7F" w:rsidRDefault="00D24C7F">
            <w:pPr>
              <w:pStyle w:val="TableDataEntries"/>
            </w:pPr>
            <w:r>
              <w:t>31.8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2E32B5" w14:textId="4AC81587" w:rsidR="00D24C7F" w:rsidRDefault="00D24C7F">
            <w:pPr>
              <w:pStyle w:val="TableDataEntries"/>
            </w:pPr>
            <w:r>
              <w:t>14.7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5C2264" w14:textId="77A7DD93" w:rsidR="00D24C7F" w:rsidRDefault="00D24C7F">
            <w:pPr>
              <w:pStyle w:val="TableDataEntries"/>
            </w:pPr>
            <w:r>
              <w:t>14.7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0A051F6" w14:textId="6BB534E2" w:rsidR="00D24C7F" w:rsidRDefault="00D24C7F">
            <w:pPr>
              <w:pStyle w:val="TableDataEntries"/>
            </w:pPr>
            <w:r>
              <w:t>6.7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175191F" w14:textId="13920989" w:rsidR="00D24C7F" w:rsidRDefault="00D24C7F">
            <w:pPr>
              <w:pStyle w:val="TableDataEntries"/>
            </w:pPr>
            <w:r>
              <w:t>6.7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4516A11" w14:textId="4C2FCBED" w:rsidR="00D24C7F" w:rsidRDefault="00D24C7F">
            <w:pPr>
              <w:pStyle w:val="TableDataEntries"/>
            </w:pPr>
            <w:r>
              <w:t>13.1</w:t>
            </w:r>
          </w:p>
        </w:tc>
      </w:tr>
      <w:tr w:rsidR="00D24C7F" w:rsidRPr="00815B3E" w14:paraId="788A161E" w14:textId="77777777">
        <w:trPr>
          <w:trHeight w:val="245"/>
        </w:trPr>
        <w:tc>
          <w:tcPr>
            <w:tcW w:w="2627"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D50FAA1" w14:textId="77777777" w:rsidR="00D24C7F" w:rsidRPr="00815B3E" w:rsidRDefault="00D24C7F">
            <w:pPr>
              <w:pStyle w:val="TableDataEntries"/>
              <w:jc w:val="left"/>
              <w:rPr>
                <w:rFonts w:ascii="Franklin Gothic Demi" w:hAnsi="Franklin Gothic Demi"/>
              </w:rPr>
            </w:pPr>
            <w:r w:rsidRPr="00815B3E">
              <w:rPr>
                <w:rFonts w:ascii="Franklin Gothic Demi" w:hAnsi="Franklin Gothic Demi"/>
              </w:rPr>
              <w:t>Total</w:t>
            </w:r>
          </w:p>
        </w:tc>
        <w:tc>
          <w:tcPr>
            <w:tcW w:w="63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46ABAE5B" w14:textId="3A0CC851" w:rsidR="00D24C7F" w:rsidRPr="00815B3E" w:rsidRDefault="00D24C7F">
            <w:pPr>
              <w:pStyle w:val="TableDataEntries"/>
              <w:rPr>
                <w:rFonts w:ascii="Franklin Gothic Demi" w:hAnsi="Franklin Gothic Demi"/>
              </w:rPr>
            </w:pPr>
            <w:r w:rsidRPr="00815B3E">
              <w:rPr>
                <w:rFonts w:ascii="Franklin Gothic Demi" w:hAnsi="Franklin Gothic Demi"/>
              </w:rPr>
              <w:t>62.2</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434CB7EB" w14:textId="61EEAFF4" w:rsidR="00D24C7F" w:rsidRPr="00815B3E" w:rsidRDefault="00D24C7F">
            <w:pPr>
              <w:pStyle w:val="TableDataEntries"/>
              <w:rPr>
                <w:rFonts w:ascii="Franklin Gothic Demi" w:hAnsi="Franklin Gothic Demi"/>
              </w:rPr>
            </w:pPr>
            <w:r w:rsidRPr="00815B3E">
              <w:rPr>
                <w:rFonts w:ascii="Franklin Gothic Demi" w:hAnsi="Franklin Gothic Demi"/>
              </w:rPr>
              <w:t>47.9</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71388A8F" w14:textId="0299591F" w:rsidR="00D24C7F" w:rsidRPr="00815B3E" w:rsidRDefault="00D24C7F">
            <w:pPr>
              <w:pStyle w:val="TableDataEntries"/>
              <w:rPr>
                <w:rFonts w:ascii="Franklin Gothic Demi" w:hAnsi="Franklin Gothic Demi"/>
              </w:rPr>
            </w:pPr>
            <w:r w:rsidRPr="00815B3E">
              <w:rPr>
                <w:rFonts w:ascii="Franklin Gothic Demi" w:hAnsi="Franklin Gothic Demi"/>
              </w:rPr>
              <w:t>107.9</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1288823" w14:textId="2B2C22A3" w:rsidR="00D24C7F" w:rsidRPr="00815B3E" w:rsidRDefault="00D24C7F">
            <w:pPr>
              <w:pStyle w:val="TableDataEntries"/>
              <w:rPr>
                <w:rFonts w:ascii="Franklin Gothic Demi" w:hAnsi="Franklin Gothic Demi"/>
              </w:rPr>
            </w:pPr>
            <w:r w:rsidRPr="00815B3E">
              <w:rPr>
                <w:rFonts w:ascii="Franklin Gothic Demi" w:hAnsi="Franklin Gothic Demi"/>
              </w:rPr>
              <w:t>62.2</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AFB67AE" w14:textId="58D8E846" w:rsidR="00D24C7F" w:rsidRPr="00815B3E" w:rsidRDefault="00D24C7F">
            <w:pPr>
              <w:pStyle w:val="TableDataEntries"/>
              <w:rPr>
                <w:rFonts w:ascii="Franklin Gothic Demi" w:hAnsi="Franklin Gothic Demi"/>
              </w:rPr>
            </w:pPr>
            <w:r w:rsidRPr="00815B3E">
              <w:rPr>
                <w:rFonts w:ascii="Franklin Gothic Demi" w:hAnsi="Franklin Gothic Demi"/>
              </w:rPr>
              <w:t>64.9</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9C54433" w14:textId="6979100F" w:rsidR="00D24C7F" w:rsidRPr="00815B3E" w:rsidRDefault="00D24C7F">
            <w:pPr>
              <w:pStyle w:val="TableDataEntries"/>
              <w:rPr>
                <w:rFonts w:ascii="Franklin Gothic Demi" w:hAnsi="Franklin Gothic Demi"/>
              </w:rPr>
            </w:pPr>
            <w:r w:rsidRPr="00815B3E">
              <w:rPr>
                <w:rFonts w:ascii="Franklin Gothic Demi" w:hAnsi="Franklin Gothic Demi"/>
              </w:rPr>
              <w:t>66.4</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FD5FEAA" w14:textId="53E74B57" w:rsidR="00D24C7F" w:rsidRPr="00815B3E" w:rsidRDefault="00D24C7F">
            <w:pPr>
              <w:pStyle w:val="TableDataEntries"/>
              <w:rPr>
                <w:rFonts w:ascii="Franklin Gothic Demi" w:hAnsi="Franklin Gothic Demi"/>
              </w:rPr>
            </w:pPr>
            <w:r w:rsidRPr="00815B3E">
              <w:rPr>
                <w:rFonts w:ascii="Franklin Gothic Demi" w:hAnsi="Franklin Gothic Demi"/>
              </w:rPr>
              <w:t>50.4</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7F97AB0D" w14:textId="631F01DC" w:rsidR="00D24C7F" w:rsidRPr="00815B3E" w:rsidRDefault="00D24C7F">
            <w:pPr>
              <w:pStyle w:val="TableDataEntries"/>
              <w:rPr>
                <w:rFonts w:ascii="Franklin Gothic Demi" w:hAnsi="Franklin Gothic Demi"/>
              </w:rPr>
            </w:pPr>
            <w:r w:rsidRPr="00815B3E">
              <w:rPr>
                <w:rFonts w:ascii="Franklin Gothic Demi" w:hAnsi="Franklin Gothic Demi"/>
              </w:rPr>
              <w:t>104.8</w:t>
            </w:r>
          </w:p>
        </w:tc>
      </w:tr>
    </w:tbl>
    <w:p w14:paraId="647F7B9A" w14:textId="77777777" w:rsidR="00D24C7F" w:rsidRDefault="00D24C7F" w:rsidP="00D24C7F">
      <w:pPr>
        <w:pStyle w:val="Note"/>
      </w:pPr>
      <w:r w:rsidRPr="007D1B4F">
        <w:rPr>
          <w:i/>
        </w:rPr>
        <w:t>Note:</w:t>
      </w:r>
      <w:r w:rsidRPr="00E879B8">
        <w:t xml:space="preserve"> </w:t>
      </w:r>
      <w:r>
        <w:t>Costs and benefits estimated in present value terms over the 50</w:t>
      </w:r>
      <w:r>
        <w:noBreakHyphen/>
        <w:t xml:space="preserve">year life of a building constructed in 2025, using a discount rate of 5 per cent. </w:t>
      </w:r>
    </w:p>
    <w:p w14:paraId="09B5A2C8" w14:textId="77777777" w:rsidR="00D24C7F" w:rsidRDefault="00D24C7F" w:rsidP="00D24C7F">
      <w:pPr>
        <w:pStyle w:val="Source"/>
      </w:pPr>
      <w:r>
        <w:rPr>
          <w:i/>
        </w:rPr>
        <w:t>Source</w:t>
      </w:r>
      <w:r w:rsidRPr="00E4232C">
        <w:rPr>
          <w:i/>
        </w:rPr>
        <w:t>:</w:t>
      </w:r>
      <w:r>
        <w:t xml:space="preserve"> CIE based on DeltaQ modelling.</w:t>
      </w:r>
    </w:p>
    <w:p w14:paraId="18329259" w14:textId="008BD329" w:rsidR="00D24C7F" w:rsidRPr="005E5FA8" w:rsidRDefault="00D24C7F" w:rsidP="00D24C7F">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w:instrText>
      </w:r>
      <w:fldSimple w:instr=" STYLEREF &quot;Heading 1&quot; \l \n ">
        <w:r w:rsidRPr="005E5FA8">
          <w:instrText>2</w:instrText>
        </w:r>
      </w:fldSimple>
      <w:r w:rsidRPr="005E5FA8">
        <w:instrText xml:space="preserve">." </w:instrText>
      </w:r>
      <w:r w:rsidRPr="005E5FA8">
        <w:fldChar w:fldCharType="end"/>
      </w:r>
      <w:r w:rsidRPr="005E5FA8">
        <w:instrText>" "</w:instrText>
      </w:r>
      <w:fldSimple w:instr=" STYLEREF &quot;Heading 6&quot; \l \n ">
        <w:r w:rsidR="00581346">
          <w:rPr>
            <w:noProof/>
          </w:rPr>
          <w:instrText>H</w:instrText>
        </w:r>
      </w:fldSimple>
      <w:r w:rsidRPr="005E5FA8">
        <w:instrText xml:space="preserve">." </w:instrText>
      </w:r>
      <w:r w:rsidRPr="005E5FA8">
        <w:fldChar w:fldCharType="separate"/>
      </w:r>
      <w:r w:rsidR="00581346">
        <w:rPr>
          <w:noProof/>
        </w:rPr>
        <w:instrText>H</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"1" </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9</w:instrText>
      </w:r>
      <w:r w:rsidRPr="005E5FA8">
        <w:fldChar w:fldCharType="end"/>
      </w:r>
      <w:r w:rsidRPr="005E5FA8">
        <w:instrText xml:space="preserve">" "" </w:instrText>
      </w:r>
      <w:r w:rsidRPr="005E5FA8">
        <w:fldChar w:fldCharType="separate"/>
      </w:r>
      <w:bookmarkStart w:id="9950" w:name="_Caption3135"/>
      <w:bookmarkStart w:id="9951" w:name="_Caption8003"/>
      <w:bookmarkStart w:id="9952" w:name="_Caption7258"/>
      <w:bookmarkStart w:id="9953" w:name="_Caption1052"/>
      <w:bookmarkStart w:id="9954" w:name="_Caption6786"/>
      <w:bookmarkStart w:id="9955" w:name="_Caption3544"/>
      <w:bookmarkStart w:id="9956" w:name="_Caption9562"/>
      <w:bookmarkStart w:id="9957" w:name="_Caption4879"/>
      <w:bookmarkStart w:id="9958" w:name="_Caption6860"/>
      <w:bookmarkStart w:id="9959" w:name="_Caption3030"/>
      <w:bookmarkStart w:id="9960" w:name="_Caption1079"/>
      <w:bookmarkStart w:id="9961" w:name="_Caption8609"/>
      <w:bookmarkStart w:id="9962" w:name="_Caption3189"/>
      <w:bookmarkStart w:id="9963" w:name="_Caption1518"/>
      <w:bookmarkStart w:id="9964" w:name="_Caption3951"/>
      <w:bookmarkStart w:id="9965" w:name="_Caption6123"/>
      <w:bookmarkStart w:id="9966" w:name="_Caption8481"/>
      <w:bookmarkStart w:id="9967" w:name="_Caption0424"/>
      <w:bookmarkStart w:id="9968" w:name="_Caption8593"/>
      <w:bookmarkStart w:id="9969" w:name="_Caption4049"/>
      <w:bookmarkStart w:id="9970" w:name="_Caption2265"/>
      <w:bookmarkStart w:id="9971" w:name="_Caption0031"/>
      <w:bookmarkStart w:id="9972" w:name="_Caption2169"/>
      <w:bookmarkStart w:id="9973" w:name="_Caption9824"/>
      <w:bookmarkStart w:id="9974" w:name="_Caption1574"/>
      <w:bookmarkStart w:id="9975" w:name="_Caption8365"/>
      <w:bookmarkStart w:id="9976" w:name="_Caption6055"/>
      <w:bookmarkStart w:id="9977" w:name="_Caption6549"/>
      <w:bookmarkStart w:id="9978" w:name="_Toc177735259"/>
      <w:bookmarkStart w:id="9979" w:name="_Toc178292701"/>
      <w:r w:rsidR="008C60A3">
        <w:rPr>
          <w:noProof/>
        </w:rPr>
        <w:t>H</w:t>
      </w:r>
      <w:r w:rsidR="008C60A3" w:rsidRPr="005E5FA8">
        <w:rPr>
          <w:noProof/>
        </w:rPr>
        <w:t>.</w:t>
      </w:r>
      <w:r w:rsidR="008C60A3">
        <w:rPr>
          <w:noProof/>
        </w:rPr>
        <w:t>9</w:t>
      </w:r>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r w:rsidRPr="005E5FA8">
        <w:fldChar w:fldCharType="end"/>
      </w:r>
      <w:r w:rsidRPr="005E5FA8">
        <w:tab/>
        <w:t>Stringency Level 1 estimated costs and benefits — C9C</w:t>
      </w:r>
      <w:bookmarkEnd w:id="9978"/>
      <w:bookmarkEnd w:id="9979"/>
    </w:p>
    <w:tbl>
      <w:tblPr>
        <w:tblW w:w="7936" w:type="dxa"/>
        <w:tblLayout w:type="fixed"/>
        <w:tblLook w:val="0000" w:firstRow="0" w:lastRow="0" w:firstColumn="0" w:lastColumn="0" w:noHBand="0" w:noVBand="0"/>
        <w:tblCaption w:val="Table G.9"/>
        <w:tblDescription w:val="Stringency Level 1 estimated costs and benefits — C9C"/>
      </w:tblPr>
      <w:tblGrid>
        <w:gridCol w:w="2627"/>
        <w:gridCol w:w="634"/>
        <w:gridCol w:w="693"/>
        <w:gridCol w:w="664"/>
        <w:gridCol w:w="663"/>
        <w:gridCol w:w="664"/>
        <w:gridCol w:w="664"/>
        <w:gridCol w:w="663"/>
        <w:gridCol w:w="664"/>
      </w:tblGrid>
      <w:tr w:rsidR="00D24C7F" w14:paraId="6AE32264" w14:textId="77777777">
        <w:trPr>
          <w:trHeight w:val="245"/>
          <w:tblHeader/>
        </w:trPr>
        <w:tc>
          <w:tcPr>
            <w:tcW w:w="2627" w:type="dxa"/>
            <w:shd w:val="clear" w:color="auto" w:fill="6F6652"/>
            <w:tcMar>
              <w:left w:w="57" w:type="dxa"/>
              <w:right w:w="57" w:type="dxa"/>
            </w:tcMar>
          </w:tcPr>
          <w:p w14:paraId="672522F1" w14:textId="77777777" w:rsidR="00D24C7F" w:rsidRDefault="00D24C7F">
            <w:pPr>
              <w:pStyle w:val="TableDataColumnHeading"/>
              <w:jc w:val="left"/>
            </w:pPr>
            <w:r>
              <w:t>Impact</w:t>
            </w:r>
          </w:p>
        </w:tc>
        <w:tc>
          <w:tcPr>
            <w:tcW w:w="634" w:type="dxa"/>
            <w:shd w:val="clear" w:color="auto" w:fill="6F6652"/>
            <w:tcMar>
              <w:left w:w="57" w:type="dxa"/>
              <w:right w:w="57" w:type="dxa"/>
            </w:tcMar>
          </w:tcPr>
          <w:p w14:paraId="16BA63C0" w14:textId="77777777" w:rsidR="00D24C7F" w:rsidRDefault="00D24C7F">
            <w:pPr>
              <w:pStyle w:val="TableDataColumnHeading"/>
            </w:pPr>
            <w:r>
              <w:t>NSW (CZ5)</w:t>
            </w:r>
          </w:p>
          <w:p w14:paraId="07917B52" w14:textId="77777777" w:rsidR="00D24C7F" w:rsidRDefault="00D24C7F">
            <w:pPr>
              <w:pStyle w:val="TableDataColumnHeading"/>
            </w:pPr>
            <w:r>
              <w:t>$ per m2</w:t>
            </w:r>
          </w:p>
        </w:tc>
        <w:tc>
          <w:tcPr>
            <w:tcW w:w="693" w:type="dxa"/>
            <w:shd w:val="clear" w:color="auto" w:fill="6F6652"/>
            <w:tcMar>
              <w:left w:w="57" w:type="dxa"/>
              <w:right w:w="57" w:type="dxa"/>
            </w:tcMar>
          </w:tcPr>
          <w:p w14:paraId="73349F99" w14:textId="77777777" w:rsidR="00D24C7F" w:rsidRDefault="00D24C7F">
            <w:pPr>
              <w:pStyle w:val="TableDataColumnHeading"/>
            </w:pPr>
            <w:r>
              <w:t>VIC (CZ6)</w:t>
            </w:r>
          </w:p>
          <w:p w14:paraId="44DBB43B" w14:textId="77777777" w:rsidR="00D24C7F" w:rsidRDefault="00D24C7F">
            <w:pPr>
              <w:pStyle w:val="TableDataColumnHeading"/>
            </w:pPr>
            <w:r>
              <w:t>$ per m2</w:t>
            </w:r>
          </w:p>
        </w:tc>
        <w:tc>
          <w:tcPr>
            <w:tcW w:w="664" w:type="dxa"/>
            <w:shd w:val="clear" w:color="auto" w:fill="6F6652"/>
            <w:tcMar>
              <w:left w:w="57" w:type="dxa"/>
              <w:right w:w="57" w:type="dxa"/>
            </w:tcMar>
          </w:tcPr>
          <w:p w14:paraId="3B9E1AD1" w14:textId="77777777" w:rsidR="00D24C7F" w:rsidRDefault="00D24C7F">
            <w:pPr>
              <w:pStyle w:val="TableDataColumnHeading"/>
            </w:pPr>
            <w:r>
              <w:t>QLD (CZ2)</w:t>
            </w:r>
          </w:p>
          <w:p w14:paraId="3B77A688" w14:textId="77777777" w:rsidR="00D24C7F" w:rsidRDefault="00D24C7F">
            <w:pPr>
              <w:pStyle w:val="TableDataColumnHeading"/>
            </w:pPr>
            <w:r>
              <w:t>$ per m2</w:t>
            </w:r>
          </w:p>
        </w:tc>
        <w:tc>
          <w:tcPr>
            <w:tcW w:w="663" w:type="dxa"/>
            <w:shd w:val="clear" w:color="auto" w:fill="6F6652"/>
            <w:tcMar>
              <w:left w:w="57" w:type="dxa"/>
              <w:right w:w="57" w:type="dxa"/>
            </w:tcMar>
          </w:tcPr>
          <w:p w14:paraId="783C8ABE" w14:textId="77777777" w:rsidR="00D24C7F" w:rsidRDefault="00D24C7F">
            <w:pPr>
              <w:pStyle w:val="TableDataColumnHeading"/>
            </w:pPr>
            <w:r>
              <w:t>WA (CZ5)</w:t>
            </w:r>
          </w:p>
          <w:p w14:paraId="45A384F9" w14:textId="77777777" w:rsidR="00D24C7F" w:rsidRDefault="00D24C7F">
            <w:pPr>
              <w:pStyle w:val="TableDataColumnHeading"/>
            </w:pPr>
            <w:r>
              <w:t>$ per m2</w:t>
            </w:r>
          </w:p>
        </w:tc>
        <w:tc>
          <w:tcPr>
            <w:tcW w:w="664" w:type="dxa"/>
            <w:shd w:val="clear" w:color="auto" w:fill="6F6652"/>
            <w:tcMar>
              <w:left w:w="57" w:type="dxa"/>
              <w:right w:w="57" w:type="dxa"/>
            </w:tcMar>
          </w:tcPr>
          <w:p w14:paraId="2D31184E" w14:textId="77777777" w:rsidR="00D24C7F" w:rsidRDefault="00D24C7F">
            <w:pPr>
              <w:pStyle w:val="TableDataColumnHeading"/>
            </w:pPr>
            <w:r>
              <w:t>SA (CZ5)</w:t>
            </w:r>
          </w:p>
          <w:p w14:paraId="4F7E25A0" w14:textId="77777777" w:rsidR="00D24C7F" w:rsidRDefault="00D24C7F">
            <w:pPr>
              <w:pStyle w:val="TableDataColumnHeading"/>
            </w:pPr>
            <w:r>
              <w:t>$ per m2</w:t>
            </w:r>
          </w:p>
        </w:tc>
        <w:tc>
          <w:tcPr>
            <w:tcW w:w="664" w:type="dxa"/>
            <w:shd w:val="clear" w:color="auto" w:fill="6F6652"/>
            <w:tcMar>
              <w:left w:w="57" w:type="dxa"/>
              <w:right w:w="57" w:type="dxa"/>
            </w:tcMar>
          </w:tcPr>
          <w:p w14:paraId="35765B4B" w14:textId="77777777" w:rsidR="00D24C7F" w:rsidRDefault="00D24C7F">
            <w:pPr>
              <w:pStyle w:val="TableDataColumnHeading"/>
            </w:pPr>
            <w:r>
              <w:t>TAS (CZ7)</w:t>
            </w:r>
          </w:p>
          <w:p w14:paraId="189922DE" w14:textId="77777777" w:rsidR="00D24C7F" w:rsidRDefault="00D24C7F">
            <w:pPr>
              <w:pStyle w:val="TableDataColumnHeading"/>
            </w:pPr>
            <w:r>
              <w:t>$ per m2</w:t>
            </w:r>
          </w:p>
        </w:tc>
        <w:tc>
          <w:tcPr>
            <w:tcW w:w="663" w:type="dxa"/>
            <w:shd w:val="clear" w:color="auto" w:fill="6F6652"/>
            <w:tcMar>
              <w:left w:w="57" w:type="dxa"/>
              <w:right w:w="57" w:type="dxa"/>
            </w:tcMar>
          </w:tcPr>
          <w:p w14:paraId="45DB513A" w14:textId="77777777" w:rsidR="00D24C7F" w:rsidRDefault="00D24C7F">
            <w:pPr>
              <w:pStyle w:val="TableDataColumnHeading"/>
            </w:pPr>
            <w:r>
              <w:t>ACT (CZ7)</w:t>
            </w:r>
          </w:p>
          <w:p w14:paraId="09C7E8DA" w14:textId="77777777" w:rsidR="00D24C7F" w:rsidRDefault="00D24C7F">
            <w:pPr>
              <w:pStyle w:val="TableDataColumnHeading"/>
            </w:pPr>
            <w:r>
              <w:t>$ per m2</w:t>
            </w:r>
          </w:p>
        </w:tc>
        <w:tc>
          <w:tcPr>
            <w:tcW w:w="664" w:type="dxa"/>
            <w:shd w:val="clear" w:color="auto" w:fill="6F6652"/>
            <w:tcMar>
              <w:left w:w="57" w:type="dxa"/>
              <w:right w:w="57" w:type="dxa"/>
            </w:tcMar>
          </w:tcPr>
          <w:p w14:paraId="553CB14F" w14:textId="77777777" w:rsidR="00D24C7F" w:rsidRDefault="00D24C7F">
            <w:pPr>
              <w:pStyle w:val="TableDataColumnHeading"/>
            </w:pPr>
            <w:r>
              <w:t>NT (CZ1)</w:t>
            </w:r>
          </w:p>
          <w:p w14:paraId="146B13CC" w14:textId="77777777" w:rsidR="00D24C7F" w:rsidRDefault="00D24C7F">
            <w:pPr>
              <w:pStyle w:val="TableDataColumnHeading"/>
            </w:pPr>
            <w:r>
              <w:t>$ per m2</w:t>
            </w:r>
          </w:p>
        </w:tc>
      </w:tr>
      <w:tr w:rsidR="00D24C7F" w14:paraId="300BBC07"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AB59C1" w14:textId="77777777" w:rsidR="00D24C7F" w:rsidRDefault="00D24C7F">
            <w:pPr>
              <w:pStyle w:val="TableDataEntries"/>
              <w:jc w:val="left"/>
            </w:pPr>
            <w:r>
              <w:t>Avoided electricity network capacity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9F0BAB" w14:textId="10F9954A" w:rsidR="00D24C7F" w:rsidRDefault="00D24C7F">
            <w:pPr>
              <w:pStyle w:val="TableDataEntries"/>
            </w:pPr>
            <w:r>
              <w:t>5.8</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E8F6EB1" w14:textId="3DB4AE74" w:rsidR="00D24C7F" w:rsidRDefault="00D24C7F">
            <w:pPr>
              <w:pStyle w:val="TableDataEntries"/>
            </w:pPr>
            <w:r>
              <w:t>7.4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9678C3" w14:textId="1D19E6A6" w:rsidR="00D24C7F" w:rsidRDefault="00D24C7F">
            <w:pPr>
              <w:pStyle w:val="TableDataEntries"/>
            </w:pPr>
            <w:r>
              <w:t>7.8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A37914" w14:textId="1FE8EEC2" w:rsidR="00D24C7F" w:rsidRDefault="00D24C7F">
            <w:pPr>
              <w:pStyle w:val="TableDataEntries"/>
            </w:pPr>
            <w:r>
              <w:t>1.3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C68BC80" w14:textId="4787AB08" w:rsidR="00D24C7F" w:rsidRDefault="00D24C7F">
            <w:pPr>
              <w:pStyle w:val="TableDataEntries"/>
            </w:pPr>
            <w:r>
              <w:t>3.2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1431E0" w14:textId="6DE9C362" w:rsidR="00D24C7F" w:rsidRDefault="00D24C7F">
            <w:pPr>
              <w:pStyle w:val="TableDataEntries"/>
            </w:pPr>
            <w:r>
              <w:t>11.3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CA1AC5" w14:textId="6B9C0246" w:rsidR="00D24C7F" w:rsidRDefault="00D24C7F">
            <w:pPr>
              <w:pStyle w:val="TableDataEntries"/>
            </w:pPr>
            <w:r>
              <w:t>4.5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271BA7B" w14:textId="1727BFB4" w:rsidR="00D24C7F" w:rsidRDefault="00D24C7F">
            <w:pPr>
              <w:pStyle w:val="TableDataEntries"/>
            </w:pPr>
            <w:r>
              <w:t>3.5</w:t>
            </w:r>
          </w:p>
        </w:tc>
      </w:tr>
      <w:tr w:rsidR="00D24C7F" w14:paraId="0F733CB5"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392CFD" w14:textId="77777777" w:rsidR="00D24C7F" w:rsidRDefault="00D24C7F">
            <w:pPr>
              <w:pStyle w:val="TableDataEntries"/>
              <w:jc w:val="left"/>
            </w:pPr>
            <w:r>
              <w:t>Avoided electricity wholesale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57FB496" w14:textId="654E92B0" w:rsidR="00D24C7F" w:rsidRDefault="00D24C7F">
            <w:pPr>
              <w:pStyle w:val="TableDataEntries"/>
            </w:pPr>
            <w:r>
              <w:t>13.3</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3FADB1" w14:textId="4674AE4A" w:rsidR="00D24C7F" w:rsidRDefault="00D24C7F">
            <w:pPr>
              <w:pStyle w:val="TableDataEntries"/>
            </w:pPr>
            <w:r>
              <w:t>18.2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8F738EA" w14:textId="4B33BA5C" w:rsidR="00D24C7F" w:rsidRDefault="00D24C7F">
            <w:pPr>
              <w:pStyle w:val="TableDataEntries"/>
            </w:pPr>
            <w:r>
              <w:t>22.7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F4F4C22" w14:textId="67CE7510" w:rsidR="00D24C7F" w:rsidRDefault="00D24C7F">
            <w:pPr>
              <w:pStyle w:val="TableDataEntries"/>
            </w:pPr>
            <w:r>
              <w:t>9.1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028C078" w14:textId="71165831" w:rsidR="00D24C7F" w:rsidRDefault="00D24C7F">
            <w:pPr>
              <w:pStyle w:val="TableDataEntries"/>
            </w:pPr>
            <w:r>
              <w:t>11.5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66C88D8" w14:textId="665A9B40" w:rsidR="00D24C7F" w:rsidRDefault="00D24C7F">
            <w:pPr>
              <w:pStyle w:val="TableDataEntries"/>
            </w:pPr>
            <w:r>
              <w:t>10.9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CCAAABA" w14:textId="2DF4AAF7" w:rsidR="00D24C7F" w:rsidRDefault="00D24C7F">
            <w:pPr>
              <w:pStyle w:val="TableDataEntries"/>
            </w:pPr>
            <w:r>
              <w:t>12.6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045666" w14:textId="6FC6346A" w:rsidR="00D24C7F" w:rsidRDefault="00D24C7F">
            <w:pPr>
              <w:pStyle w:val="TableDataEntries"/>
            </w:pPr>
            <w:r>
              <w:t>20.0</w:t>
            </w:r>
          </w:p>
        </w:tc>
      </w:tr>
      <w:tr w:rsidR="00D24C7F" w14:paraId="7D0679DE"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ECA154" w14:textId="77777777" w:rsidR="00D24C7F" w:rsidRDefault="00D24C7F">
            <w:pPr>
              <w:pStyle w:val="TableDataEntries"/>
              <w:jc w:val="left"/>
            </w:pPr>
            <w:r>
              <w:t>Avoided electricity network usage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F5E87C" w14:textId="20B68B8E" w:rsidR="00D24C7F" w:rsidRDefault="00D24C7F">
            <w:pPr>
              <w:pStyle w:val="TableDataEntries"/>
            </w:pPr>
            <w:r>
              <w:t>7.5</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E4B623" w14:textId="2FC2EE20" w:rsidR="00D24C7F" w:rsidRDefault="00D24C7F">
            <w:pPr>
              <w:pStyle w:val="TableDataEntries"/>
            </w:pPr>
            <w:r>
              <w:t>13.8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2C356E" w14:textId="08F3EAFC" w:rsidR="00D24C7F" w:rsidRDefault="00D24C7F">
            <w:pPr>
              <w:pStyle w:val="TableDataEntries"/>
            </w:pPr>
            <w:r>
              <w:t>11.0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0A9932" w14:textId="2E2EABE0" w:rsidR="00D24C7F" w:rsidRDefault="00D24C7F">
            <w:pPr>
              <w:pStyle w:val="TableDataEntries"/>
            </w:pPr>
            <w:r>
              <w:t>17.1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7A40403" w14:textId="28642C6D" w:rsidR="00D24C7F" w:rsidRDefault="00D24C7F">
            <w:pPr>
              <w:pStyle w:val="TableDataEntries"/>
            </w:pPr>
            <w:r>
              <w:t>19.0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A3A8955" w14:textId="445F0CB4" w:rsidR="00D24C7F" w:rsidRDefault="00D24C7F">
            <w:pPr>
              <w:pStyle w:val="TableDataEntries"/>
            </w:pPr>
            <w:r>
              <w:t>14.0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B35C17" w14:textId="2E42344A" w:rsidR="00D24C7F" w:rsidRDefault="00D24C7F">
            <w:pPr>
              <w:pStyle w:val="TableDataEntries"/>
            </w:pPr>
            <w:r>
              <w:t>8.1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5E0D2DE" w14:textId="7F49A9D5" w:rsidR="00D24C7F" w:rsidRDefault="00D24C7F">
            <w:pPr>
              <w:pStyle w:val="TableDataEntries"/>
            </w:pPr>
            <w:r>
              <w:t>12.2</w:t>
            </w:r>
          </w:p>
        </w:tc>
      </w:tr>
      <w:tr w:rsidR="00D24C7F" w14:paraId="2102AECB"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C7E3713" w14:textId="77777777" w:rsidR="00D24C7F" w:rsidRDefault="00D24C7F">
            <w:pPr>
              <w:pStyle w:val="TableDataEntries"/>
              <w:jc w:val="left"/>
            </w:pPr>
            <w:r>
              <w:t>Avoided electricity retail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113D6CE" w14:textId="0DC92320" w:rsidR="00D24C7F" w:rsidRDefault="00D24C7F">
            <w:pPr>
              <w:pStyle w:val="TableDataEntries"/>
            </w:pPr>
            <w:r>
              <w:t>4.0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1245CE6" w14:textId="7856F19F" w:rsidR="00D24C7F" w:rsidRDefault="00D24C7F">
            <w:pPr>
              <w:pStyle w:val="TableDataEntries"/>
            </w:pPr>
            <w:r>
              <w:t>5.9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0CC902" w14:textId="6A98EF87" w:rsidR="00D24C7F" w:rsidRDefault="00D24C7F">
            <w:pPr>
              <w:pStyle w:val="TableDataEntries"/>
            </w:pPr>
            <w:r>
              <w:t>6.2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4882952" w14:textId="4C01EBA4" w:rsidR="00D24C7F" w:rsidRDefault="00D24C7F">
            <w:pPr>
              <w:pStyle w:val="TableDataEntries"/>
            </w:pPr>
            <w:r>
              <w:t>4.1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A5EF3B" w14:textId="754DFABC" w:rsidR="00D24C7F" w:rsidRDefault="00D24C7F">
            <w:pPr>
              <w:pStyle w:val="TableDataEntries"/>
            </w:pPr>
            <w:r>
              <w:t>5.1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6D76600" w14:textId="46CA38D3" w:rsidR="00D24C7F" w:rsidRDefault="00D24C7F">
            <w:pPr>
              <w:pStyle w:val="TableDataEntries"/>
            </w:pPr>
            <w:r>
              <w:t>5.4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070F759" w14:textId="3B74AC1C" w:rsidR="00D24C7F" w:rsidRDefault="00D24C7F">
            <w:pPr>
              <w:pStyle w:val="TableDataEntries"/>
            </w:pPr>
            <w:r>
              <w:t>3.8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CDFA28" w14:textId="1EAEC07A" w:rsidR="00D24C7F" w:rsidRDefault="00D24C7F">
            <w:pPr>
              <w:pStyle w:val="TableDataEntries"/>
            </w:pPr>
            <w:r>
              <w:t>5.3</w:t>
            </w:r>
          </w:p>
        </w:tc>
      </w:tr>
      <w:tr w:rsidR="00D24C7F" w14:paraId="08B0DC2B"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EF8688D" w14:textId="77777777" w:rsidR="00D24C7F" w:rsidRDefault="00D24C7F">
            <w:pPr>
              <w:pStyle w:val="TableDataEntries"/>
              <w:jc w:val="left"/>
            </w:pPr>
            <w:r>
              <w:t>Electricity exported to grid</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CFDC04" w14:textId="6E23FEEB" w:rsidR="00D24C7F" w:rsidRDefault="00D24C7F">
            <w:pPr>
              <w:pStyle w:val="TableDataEntries"/>
            </w:pPr>
            <w:r>
              <w:t>1.4</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338436C" w14:textId="3217E80B" w:rsidR="00D24C7F" w:rsidRDefault="00D24C7F">
            <w:pPr>
              <w:pStyle w:val="TableDataEntries"/>
            </w:pPr>
            <w:r>
              <w:t>1.5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07F4208" w14:textId="2A6C2200" w:rsidR="00D24C7F" w:rsidRDefault="00D24C7F">
            <w:pPr>
              <w:pStyle w:val="TableDataEntries"/>
            </w:pPr>
            <w:r>
              <w:t>2.5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D14DE6E" w14:textId="5731663F" w:rsidR="00D24C7F" w:rsidRDefault="00D24C7F">
            <w:pPr>
              <w:pStyle w:val="TableDataEntries"/>
            </w:pPr>
            <w:r>
              <w:t>1.3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4A624A3" w14:textId="484C3524" w:rsidR="00D24C7F" w:rsidRDefault="00D24C7F">
            <w:pPr>
              <w:pStyle w:val="TableDataEntries"/>
            </w:pPr>
            <w:r>
              <w:t>0.9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4D852AA" w14:textId="373D7494" w:rsidR="00D24C7F" w:rsidRDefault="00D24C7F">
            <w:pPr>
              <w:pStyle w:val="TableDataEntries"/>
            </w:pPr>
            <w:r>
              <w:t>1.8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9E8083E" w14:textId="743EA5CE" w:rsidR="00D24C7F" w:rsidRDefault="00D24C7F">
            <w:pPr>
              <w:pStyle w:val="TableDataEntries"/>
            </w:pPr>
            <w:r>
              <w:t>1.0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5910D1C" w14:textId="1B52B5D1" w:rsidR="00D24C7F" w:rsidRDefault="00D24C7F">
            <w:pPr>
              <w:pStyle w:val="TableDataEntries"/>
            </w:pPr>
            <w:r>
              <w:t>5.2</w:t>
            </w:r>
          </w:p>
        </w:tc>
      </w:tr>
      <w:tr w:rsidR="00D24C7F" w14:paraId="162ECADC"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FB0DCE" w14:textId="77777777" w:rsidR="00D24C7F" w:rsidRDefault="00D24C7F">
            <w:pPr>
              <w:pStyle w:val="TableDataEntries"/>
              <w:jc w:val="left"/>
            </w:pPr>
            <w:r>
              <w:t>Electricity exports — network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4D4372" w14:textId="123B05A7" w:rsidR="00D24C7F" w:rsidRDefault="00D24C7F">
            <w:pPr>
              <w:pStyle w:val="TableDataEntries"/>
            </w:pPr>
            <w:r>
              <w:t>-0.3</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C213B51" w14:textId="3042726A"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1ED502B" w14:textId="38663A67" w:rsidR="00D24C7F" w:rsidRDefault="00D24C7F">
            <w:pPr>
              <w:pStyle w:val="TableDataEntries"/>
            </w:pPr>
            <w:r>
              <w:t>-0.6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294EDF" w14:textId="2C37EAD5" w:rsidR="00D24C7F" w:rsidRDefault="00D24C7F">
            <w:pPr>
              <w:pStyle w:val="TableDataEntries"/>
            </w:pPr>
            <w:r>
              <w:t>-0.3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C3A543" w14:textId="331D5997" w:rsidR="00D24C7F" w:rsidRDefault="00D24C7F">
            <w:pPr>
              <w:pStyle w:val="TableDataEntries"/>
            </w:pPr>
            <w:r>
              <w:t>-0.3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3A7FCE4" w14:textId="6B71592A" w:rsidR="00D24C7F" w:rsidRDefault="00D24C7F">
            <w:pPr>
              <w:pStyle w:val="TableDataEntries"/>
            </w:pPr>
            <w:r>
              <w:t>-0.1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9D92EA" w14:textId="4063DBB3" w:rsidR="00D24C7F" w:rsidRDefault="00D24C7F">
            <w:pPr>
              <w:pStyle w:val="TableDataEntries"/>
            </w:pPr>
            <w:r>
              <w:t>-0.1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19FDEB" w14:textId="08B9BF60" w:rsidR="00D24C7F" w:rsidRDefault="00D24C7F">
            <w:pPr>
              <w:pStyle w:val="TableDataEntries"/>
            </w:pPr>
            <w:r>
              <w:t>-0.3</w:t>
            </w:r>
          </w:p>
        </w:tc>
      </w:tr>
      <w:tr w:rsidR="00D24C7F" w14:paraId="7401C14E"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C290D07" w14:textId="77777777" w:rsidR="00D24C7F" w:rsidRDefault="00D24C7F">
            <w:pPr>
              <w:pStyle w:val="TableDataEntries"/>
              <w:jc w:val="left"/>
            </w:pPr>
            <w:r>
              <w:t>Avoided gas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DE5745F" w14:textId="76544043" w:rsidR="00D24C7F" w:rsidRDefault="00D24C7F">
            <w:pPr>
              <w:pStyle w:val="TableDataEntries"/>
            </w:pPr>
            <w:r>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AE4E82" w14:textId="35FE6F4D"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8069D94" w14:textId="1D3614F9"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D81420" w14:textId="3323D52F"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C88F5E7" w14:textId="6A744163"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D4E7683" w14:textId="7AA03F23"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254007" w14:textId="3E3C1BFA"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162E7A" w14:textId="55A9F0DC" w:rsidR="00D24C7F" w:rsidRDefault="00D24C7F">
            <w:pPr>
              <w:pStyle w:val="TableDataEntries"/>
            </w:pPr>
            <w:r>
              <w:t>0.0</w:t>
            </w:r>
          </w:p>
        </w:tc>
      </w:tr>
      <w:tr w:rsidR="00D24C7F" w14:paraId="5212E94D"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61B604" w14:textId="77777777" w:rsidR="00D24C7F" w:rsidRDefault="00D24C7F">
            <w:pPr>
              <w:pStyle w:val="TableDataEntries"/>
              <w:jc w:val="left"/>
            </w:pPr>
            <w:r>
              <w:t>Avoided GHG emissions –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990617C" w14:textId="1221941E" w:rsidR="00D24C7F" w:rsidRDefault="00D24C7F">
            <w:pPr>
              <w:pStyle w:val="TableDataEntries"/>
            </w:pPr>
            <w:r>
              <w:t>6.9</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F8CE6E" w14:textId="6FAF9AD2" w:rsidR="00D24C7F" w:rsidRDefault="00D24C7F">
            <w:pPr>
              <w:pStyle w:val="TableDataEntries"/>
            </w:pPr>
            <w:r>
              <w:t>15.8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143099" w14:textId="4EDFFE93" w:rsidR="00D24C7F" w:rsidRDefault="00D24C7F">
            <w:pPr>
              <w:pStyle w:val="TableDataEntries"/>
            </w:pPr>
            <w:r>
              <w:t>26.7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79920DE" w14:textId="70C33BC1" w:rsidR="00D24C7F" w:rsidRDefault="00D24C7F">
            <w:pPr>
              <w:pStyle w:val="TableDataEntries"/>
            </w:pPr>
            <w:r>
              <w:t>10.3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8EC2D6" w14:textId="6398B6A6" w:rsidR="00D24C7F" w:rsidRDefault="00D24C7F">
            <w:pPr>
              <w:pStyle w:val="TableDataEntries"/>
            </w:pPr>
            <w:r>
              <w:t>7.5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7D54B94" w14:textId="4DA7A99A" w:rsidR="00D24C7F" w:rsidRDefault="00D24C7F">
            <w:pPr>
              <w:pStyle w:val="TableDataEntries"/>
            </w:pPr>
            <w:r>
              <w:t>0.8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CC163AC" w14:textId="26471E3E" w:rsidR="00D24C7F" w:rsidRDefault="00D24C7F">
            <w:pPr>
              <w:pStyle w:val="TableDataEntries"/>
            </w:pPr>
            <w:r>
              <w:t>5.8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219C7CE" w14:textId="28C5CE23" w:rsidR="00D24C7F" w:rsidRDefault="00D24C7F">
            <w:pPr>
              <w:pStyle w:val="TableDataEntries"/>
            </w:pPr>
            <w:r>
              <w:t>19.5</w:t>
            </w:r>
          </w:p>
        </w:tc>
      </w:tr>
      <w:tr w:rsidR="00D24C7F" w14:paraId="060AA1A3"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A8D030B" w14:textId="77777777" w:rsidR="00D24C7F" w:rsidRDefault="00D24C7F">
            <w:pPr>
              <w:pStyle w:val="TableDataEntries"/>
              <w:jc w:val="left"/>
            </w:pPr>
            <w:r>
              <w:t>Avoided GHG emissions – exported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BA8F31" w14:textId="5B6DB481" w:rsidR="00D24C7F" w:rsidRDefault="00D24C7F">
            <w:pPr>
              <w:pStyle w:val="TableDataEntries"/>
            </w:pPr>
            <w:r>
              <w:t>2.1</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142E9A" w14:textId="4F4599FA" w:rsidR="00D24C7F" w:rsidRDefault="00D24C7F">
            <w:pPr>
              <w:pStyle w:val="TableDataEntries"/>
            </w:pPr>
            <w:r>
              <w:t>3.8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4CC80D" w14:textId="3B4ED169" w:rsidR="00D24C7F" w:rsidRDefault="00D24C7F">
            <w:pPr>
              <w:pStyle w:val="TableDataEntries"/>
            </w:pPr>
            <w:r>
              <w:t>8.3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A36919" w14:textId="63940733" w:rsidR="00D24C7F" w:rsidRDefault="00D24C7F">
            <w:pPr>
              <w:pStyle w:val="TableDataEntries"/>
            </w:pPr>
            <w:r>
              <w:t>3.1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03BDC6" w14:textId="2F881718" w:rsidR="00D24C7F" w:rsidRDefault="00D24C7F">
            <w:pPr>
              <w:pStyle w:val="TableDataEntries"/>
            </w:pPr>
            <w:r>
              <w:t>2.3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99418AA" w14:textId="54867C80" w:rsidR="00D24C7F" w:rsidRDefault="00D24C7F">
            <w:pPr>
              <w:pStyle w:val="TableDataEntries"/>
            </w:pPr>
            <w:r>
              <w:t>0.2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831363" w14:textId="6346914F" w:rsidR="00D24C7F" w:rsidRDefault="00D24C7F">
            <w:pPr>
              <w:pStyle w:val="TableDataEntries"/>
            </w:pPr>
            <w:r>
              <w:t>1.1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C8BB0CE" w14:textId="59E76F32" w:rsidR="00D24C7F" w:rsidRDefault="00D24C7F">
            <w:pPr>
              <w:pStyle w:val="TableDataEntries"/>
            </w:pPr>
            <w:r>
              <w:t>5.6</w:t>
            </w:r>
          </w:p>
        </w:tc>
      </w:tr>
      <w:tr w:rsidR="00D24C7F" w14:paraId="61FC0237"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0E792AD" w14:textId="77777777" w:rsidR="00D24C7F" w:rsidRDefault="00D24C7F">
            <w:pPr>
              <w:pStyle w:val="TableDataEntries"/>
              <w:jc w:val="left"/>
            </w:pPr>
            <w:r>
              <w:t>Avoided GHG emissions – gas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F2D3FC" w14:textId="3F4BE772" w:rsidR="00D24C7F" w:rsidRDefault="00D24C7F">
            <w:pPr>
              <w:pStyle w:val="TableDataEntries"/>
            </w:pPr>
            <w:r>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BB3BEC" w14:textId="7874A53C"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F68A41" w14:textId="014A2E94"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62297F6" w14:textId="3F478115"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82C829F" w14:textId="07B26E99"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E9BE7D4" w14:textId="1B401496"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E19703A" w14:textId="523EEBCC"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0F35477" w14:textId="475162DD" w:rsidR="00D24C7F" w:rsidRDefault="00D24C7F">
            <w:pPr>
              <w:pStyle w:val="TableDataEntries"/>
            </w:pPr>
            <w:r>
              <w:t>0.0</w:t>
            </w:r>
          </w:p>
        </w:tc>
      </w:tr>
      <w:tr w:rsidR="00D24C7F" w14:paraId="4B7A8316"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BEDDF89" w14:textId="77777777" w:rsidR="00D24C7F" w:rsidRDefault="00D24C7F">
            <w:pPr>
              <w:pStyle w:val="TableDataEntries"/>
              <w:jc w:val="left"/>
            </w:pPr>
            <w:r>
              <w:t>Capital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A53F4C" w14:textId="003C22A5" w:rsidR="00D24C7F" w:rsidRDefault="00D24C7F">
            <w:pPr>
              <w:pStyle w:val="TableDataEntries"/>
            </w:pPr>
            <w:r>
              <w:t>10.6</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7A06BF" w14:textId="78E65D86" w:rsidR="00D24C7F" w:rsidRDefault="00D24C7F">
            <w:pPr>
              <w:pStyle w:val="TableDataEntries"/>
            </w:pPr>
            <w:r>
              <w:t>77.3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61B9CF" w14:textId="3FFE0C82" w:rsidR="00D24C7F" w:rsidRDefault="00D24C7F">
            <w:pPr>
              <w:pStyle w:val="TableDataEntries"/>
            </w:pPr>
            <w:r>
              <w:t>26.6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D220DAC" w14:textId="00DCEC17" w:rsidR="00D24C7F" w:rsidRDefault="00D24C7F">
            <w:pPr>
              <w:pStyle w:val="TableDataEntries"/>
            </w:pPr>
            <w:r>
              <w:t>10.6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73404D" w14:textId="2EE674D3" w:rsidR="00D24C7F" w:rsidRDefault="00D24C7F">
            <w:pPr>
              <w:pStyle w:val="TableDataEntries"/>
            </w:pPr>
            <w:r>
              <w:t>10.6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6768204" w14:textId="13EEFF01" w:rsidR="00D24C7F" w:rsidRDefault="00D24C7F">
            <w:pPr>
              <w:pStyle w:val="TableDataEntries"/>
            </w:pPr>
            <w:r>
              <w:t>7.4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66CE90" w14:textId="321C4896" w:rsidR="00D24C7F" w:rsidRDefault="00D24C7F">
            <w:pPr>
              <w:pStyle w:val="TableDataEntries"/>
            </w:pPr>
            <w:r>
              <w:t>7.4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0F2E92" w14:textId="26F1987C" w:rsidR="00D24C7F" w:rsidRDefault="00D24C7F">
            <w:pPr>
              <w:pStyle w:val="TableDataEntries"/>
            </w:pPr>
            <w:r>
              <w:t>-26.3</w:t>
            </w:r>
          </w:p>
        </w:tc>
      </w:tr>
      <w:tr w:rsidR="00D24C7F" w:rsidRPr="00A000E0" w14:paraId="6BAF16EE" w14:textId="77777777">
        <w:trPr>
          <w:trHeight w:val="245"/>
        </w:trPr>
        <w:tc>
          <w:tcPr>
            <w:tcW w:w="2627"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603BA22" w14:textId="77777777" w:rsidR="00D24C7F" w:rsidRPr="00A000E0" w:rsidRDefault="00D24C7F">
            <w:pPr>
              <w:pStyle w:val="TableDataEntries"/>
              <w:jc w:val="left"/>
              <w:rPr>
                <w:rFonts w:ascii="Franklin Gothic Demi" w:hAnsi="Franklin Gothic Demi"/>
              </w:rPr>
            </w:pPr>
            <w:r w:rsidRPr="00A000E0">
              <w:rPr>
                <w:rFonts w:ascii="Franklin Gothic Demi" w:hAnsi="Franklin Gothic Demi"/>
              </w:rPr>
              <w:t>Total</w:t>
            </w:r>
          </w:p>
        </w:tc>
        <w:tc>
          <w:tcPr>
            <w:tcW w:w="63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48088DB5" w14:textId="74A32B81" w:rsidR="00D24C7F" w:rsidRPr="00A000E0" w:rsidRDefault="00D24C7F">
            <w:pPr>
              <w:pStyle w:val="TableDataEntries"/>
              <w:rPr>
                <w:rFonts w:ascii="Franklin Gothic Demi" w:hAnsi="Franklin Gothic Demi"/>
              </w:rPr>
            </w:pPr>
            <w:r w:rsidRPr="00A000E0">
              <w:rPr>
                <w:rFonts w:ascii="Franklin Gothic Demi" w:hAnsi="Franklin Gothic Demi"/>
              </w:rPr>
              <w:t>51.3</w:t>
            </w:r>
          </w:p>
        </w:tc>
        <w:tc>
          <w:tcPr>
            <w:tcW w:w="69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B312D0D" w14:textId="61DDA6C8" w:rsidR="00D24C7F" w:rsidRPr="00A000E0" w:rsidRDefault="00D24C7F">
            <w:pPr>
              <w:pStyle w:val="TableDataEntries"/>
              <w:rPr>
                <w:rFonts w:ascii="Franklin Gothic Demi" w:hAnsi="Franklin Gothic Demi"/>
              </w:rPr>
            </w:pPr>
            <w:r w:rsidRPr="00A000E0">
              <w:rPr>
                <w:rFonts w:ascii="Franklin Gothic Demi" w:hAnsi="Franklin Gothic Demi"/>
              </w:rPr>
              <w:t>143.7</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789A0C75" w14:textId="2B4F8436" w:rsidR="00D24C7F" w:rsidRPr="00A000E0" w:rsidRDefault="00D24C7F">
            <w:pPr>
              <w:pStyle w:val="TableDataEntries"/>
              <w:rPr>
                <w:rFonts w:ascii="Franklin Gothic Demi" w:hAnsi="Franklin Gothic Demi"/>
              </w:rPr>
            </w:pPr>
            <w:r w:rsidRPr="00A000E0">
              <w:rPr>
                <w:rFonts w:ascii="Franklin Gothic Demi" w:hAnsi="Franklin Gothic Demi"/>
              </w:rPr>
              <w:t>111.4</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48DCE24F" w14:textId="3FAA67F1" w:rsidR="00D24C7F" w:rsidRPr="00A000E0" w:rsidRDefault="00D24C7F">
            <w:pPr>
              <w:pStyle w:val="TableDataEntries"/>
              <w:rPr>
                <w:rFonts w:ascii="Franklin Gothic Demi" w:hAnsi="Franklin Gothic Demi"/>
              </w:rPr>
            </w:pPr>
            <w:r w:rsidRPr="00A000E0">
              <w:rPr>
                <w:rFonts w:ascii="Franklin Gothic Demi" w:hAnsi="Franklin Gothic Demi"/>
              </w:rPr>
              <w:t>56.6</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CE2C9A3" w14:textId="6622F3F4" w:rsidR="00D24C7F" w:rsidRPr="00A000E0" w:rsidRDefault="00D24C7F">
            <w:pPr>
              <w:pStyle w:val="TableDataEntries"/>
              <w:rPr>
                <w:rFonts w:ascii="Franklin Gothic Demi" w:hAnsi="Franklin Gothic Demi"/>
              </w:rPr>
            </w:pPr>
            <w:r w:rsidRPr="00A000E0">
              <w:rPr>
                <w:rFonts w:ascii="Franklin Gothic Demi" w:hAnsi="Franklin Gothic Demi"/>
              </w:rPr>
              <w:t>59.8</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35E635C" w14:textId="1F97D6FC" w:rsidR="00D24C7F" w:rsidRPr="00A000E0" w:rsidRDefault="00D24C7F">
            <w:pPr>
              <w:pStyle w:val="TableDataEntries"/>
              <w:rPr>
                <w:rFonts w:ascii="Franklin Gothic Demi" w:hAnsi="Franklin Gothic Demi"/>
              </w:rPr>
            </w:pPr>
            <w:r w:rsidRPr="00A000E0">
              <w:rPr>
                <w:rFonts w:ascii="Franklin Gothic Demi" w:hAnsi="Franklin Gothic Demi"/>
              </w:rPr>
              <w:t>51.7</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7167E89" w14:textId="0D94FE16" w:rsidR="00D24C7F" w:rsidRPr="00A000E0" w:rsidRDefault="00D24C7F">
            <w:pPr>
              <w:pStyle w:val="TableDataEntries"/>
              <w:rPr>
                <w:rFonts w:ascii="Franklin Gothic Demi" w:hAnsi="Franklin Gothic Demi"/>
              </w:rPr>
            </w:pPr>
            <w:r w:rsidRPr="00A000E0">
              <w:rPr>
                <w:rFonts w:ascii="Franklin Gothic Demi" w:hAnsi="Franklin Gothic Demi"/>
              </w:rPr>
              <w:t>44.3</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5013DDD" w14:textId="79DCCEB0" w:rsidR="00D24C7F" w:rsidRPr="00A000E0" w:rsidRDefault="00D24C7F">
            <w:pPr>
              <w:pStyle w:val="TableDataEntries"/>
              <w:rPr>
                <w:rFonts w:ascii="Franklin Gothic Demi" w:hAnsi="Franklin Gothic Demi"/>
              </w:rPr>
            </w:pPr>
            <w:r w:rsidRPr="00A000E0">
              <w:rPr>
                <w:rFonts w:ascii="Franklin Gothic Demi" w:hAnsi="Franklin Gothic Demi"/>
              </w:rPr>
              <w:t>44.7</w:t>
            </w:r>
          </w:p>
        </w:tc>
      </w:tr>
    </w:tbl>
    <w:p w14:paraId="370FABE3" w14:textId="77777777" w:rsidR="00D24C7F" w:rsidRDefault="00D24C7F" w:rsidP="00D24C7F">
      <w:pPr>
        <w:pStyle w:val="Note"/>
      </w:pPr>
      <w:r w:rsidRPr="007D1B4F">
        <w:rPr>
          <w:i/>
        </w:rPr>
        <w:t>Note:</w:t>
      </w:r>
      <w:r w:rsidRPr="00E879B8">
        <w:t xml:space="preserve"> </w:t>
      </w:r>
      <w:r>
        <w:t>Costs and benefits estimated in present value terms over the 50</w:t>
      </w:r>
      <w:r>
        <w:noBreakHyphen/>
        <w:t xml:space="preserve">year life of a building constructed in 2025, using a discount rate of 5 per cent. </w:t>
      </w:r>
    </w:p>
    <w:p w14:paraId="6F41EE04" w14:textId="77777777" w:rsidR="00D24C7F" w:rsidRDefault="00D24C7F" w:rsidP="00D24C7F">
      <w:pPr>
        <w:pStyle w:val="Source"/>
      </w:pPr>
      <w:r>
        <w:rPr>
          <w:i/>
        </w:rPr>
        <w:t>Source</w:t>
      </w:r>
      <w:r w:rsidRPr="00E4232C">
        <w:rPr>
          <w:i/>
        </w:rPr>
        <w:t>:</w:t>
      </w:r>
      <w:r>
        <w:t xml:space="preserve"> CIE based on DeltaQ modelling.</w:t>
      </w:r>
    </w:p>
    <w:p w14:paraId="4F550564" w14:textId="77777777" w:rsidR="00D24C7F" w:rsidRDefault="00D24C7F" w:rsidP="00D24C7F">
      <w:pPr>
        <w:pStyle w:val="Heading7"/>
      </w:pPr>
      <w:r>
        <w:t>Stringency Level 2</w:t>
      </w:r>
    </w:p>
    <w:p w14:paraId="0BBCA393" w14:textId="266430C3" w:rsidR="00D24C7F" w:rsidRPr="009253DD" w:rsidRDefault="00D24C7F" w:rsidP="00D24C7F">
      <w:pPr>
        <w:pStyle w:val="BodyText"/>
      </w:pPr>
      <w:r>
        <w:t>The Stringency Level 2 building</w:t>
      </w:r>
      <w:r>
        <w:noBreakHyphen/>
        <w:t>level CBA results for each building archetype (except C5OL which is reported in the main body of the report) are reported in tables </w:t>
      </w:r>
      <w:r w:rsidR="00CE6D73">
        <w:t>H.10</w:t>
      </w:r>
      <w:r>
        <w:t xml:space="preserve"> to</w:t>
      </w:r>
      <w:r w:rsidR="00CA0DBC">
        <w:t xml:space="preserve"> </w:t>
      </w:r>
      <w:r w:rsidR="00CE6D73">
        <w:t>H.18</w:t>
      </w:r>
      <w:r>
        <w:t>.</w:t>
      </w:r>
    </w:p>
    <w:p w14:paraId="5EDBF480" w14:textId="3AFBA6B0" w:rsidR="00D24C7F" w:rsidRPr="005E5FA8" w:rsidRDefault="00D24C7F" w:rsidP="00D24C7F">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w:instrText>
      </w:r>
      <w:fldSimple w:instr=" STYLEREF &quot;Heading 1&quot; \l \n ">
        <w:r w:rsidRPr="005E5FA8">
          <w:instrText>2</w:instrText>
        </w:r>
      </w:fldSimple>
      <w:r w:rsidRPr="005E5FA8">
        <w:instrText xml:space="preserve">." </w:instrText>
      </w:r>
      <w:r w:rsidRPr="005E5FA8">
        <w:fldChar w:fldCharType="end"/>
      </w:r>
      <w:r w:rsidRPr="005E5FA8">
        <w:instrText>" "</w:instrText>
      </w:r>
      <w:fldSimple w:instr=" STYLEREF &quot;Heading 6&quot; \l \n ">
        <w:r w:rsidR="00581346">
          <w:rPr>
            <w:noProof/>
          </w:rPr>
          <w:instrText>H</w:instrText>
        </w:r>
      </w:fldSimple>
      <w:r w:rsidRPr="005E5FA8">
        <w:instrText xml:space="preserve">." </w:instrText>
      </w:r>
      <w:r w:rsidRPr="005E5FA8">
        <w:fldChar w:fldCharType="separate"/>
      </w:r>
      <w:r w:rsidR="00581346">
        <w:rPr>
          <w:noProof/>
        </w:rPr>
        <w:instrText>H</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"1" </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10</w:instrText>
      </w:r>
      <w:r w:rsidRPr="005E5FA8">
        <w:fldChar w:fldCharType="end"/>
      </w:r>
      <w:r w:rsidRPr="005E5FA8">
        <w:instrText xml:space="preserve">" "" </w:instrText>
      </w:r>
      <w:r w:rsidRPr="005E5FA8">
        <w:fldChar w:fldCharType="separate"/>
      </w:r>
      <w:bookmarkStart w:id="9980" w:name="_Caption0528"/>
      <w:bookmarkStart w:id="9981" w:name="_Caption0443"/>
      <w:bookmarkStart w:id="9982" w:name="_Caption5007"/>
      <w:bookmarkStart w:id="9983" w:name="_Caption2614"/>
      <w:bookmarkStart w:id="9984" w:name="_Caption0845"/>
      <w:bookmarkStart w:id="9985" w:name="_Caption0571"/>
      <w:bookmarkStart w:id="9986" w:name="_Caption2749"/>
      <w:bookmarkStart w:id="9987" w:name="_Caption3172"/>
      <w:bookmarkStart w:id="9988" w:name="_Caption9782"/>
      <w:bookmarkStart w:id="9989" w:name="_Caption8474"/>
      <w:bookmarkStart w:id="9990" w:name="_Caption7400"/>
      <w:bookmarkStart w:id="9991" w:name="_Caption7784"/>
      <w:bookmarkStart w:id="9992" w:name="_Caption1440"/>
      <w:bookmarkStart w:id="9993" w:name="_Caption6670"/>
      <w:bookmarkStart w:id="9994" w:name="_Caption6733"/>
      <w:bookmarkStart w:id="9995" w:name="_Caption1365"/>
      <w:bookmarkStart w:id="9996" w:name="_Caption4769"/>
      <w:bookmarkStart w:id="9997" w:name="_Caption9888"/>
      <w:bookmarkStart w:id="9998" w:name="_Caption1841"/>
      <w:bookmarkStart w:id="9999" w:name="_Caption2015"/>
      <w:bookmarkStart w:id="10000" w:name="_Caption4707"/>
      <w:bookmarkStart w:id="10001" w:name="_Caption0131"/>
      <w:bookmarkStart w:id="10002" w:name="_Caption7192"/>
      <w:bookmarkStart w:id="10003" w:name="_Caption3676"/>
      <w:bookmarkStart w:id="10004" w:name="_Caption8459"/>
      <w:bookmarkStart w:id="10005" w:name="_Toc177735260"/>
      <w:bookmarkStart w:id="10006" w:name="_Toc178292702"/>
      <w:r w:rsidR="008C60A3">
        <w:rPr>
          <w:noProof/>
        </w:rPr>
        <w:t>H</w:t>
      </w:r>
      <w:r w:rsidR="008C60A3" w:rsidRPr="005E5FA8">
        <w:rPr>
          <w:noProof/>
        </w:rPr>
        <w:t>.</w:t>
      </w:r>
      <w:r w:rsidR="008C60A3">
        <w:rPr>
          <w:noProof/>
        </w:rPr>
        <w:t>10</w:t>
      </w:r>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r w:rsidRPr="005E5FA8">
        <w:fldChar w:fldCharType="end"/>
      </w:r>
      <w:r w:rsidRPr="005E5FA8">
        <w:tab/>
        <w:t>Stringency Level 2 estimated costs and benefits — C3HS</w:t>
      </w:r>
      <w:bookmarkEnd w:id="10005"/>
      <w:bookmarkEnd w:id="10006"/>
    </w:p>
    <w:tbl>
      <w:tblPr>
        <w:tblW w:w="7936" w:type="dxa"/>
        <w:tblLayout w:type="fixed"/>
        <w:tblLook w:val="0000" w:firstRow="0" w:lastRow="0" w:firstColumn="0" w:lastColumn="0" w:noHBand="0" w:noVBand="0"/>
        <w:tblCaption w:val="Table G.10"/>
        <w:tblDescription w:val="Stringency Level 2 estimated costs and benefits — C3HS"/>
      </w:tblPr>
      <w:tblGrid>
        <w:gridCol w:w="2627"/>
        <w:gridCol w:w="634"/>
        <w:gridCol w:w="693"/>
        <w:gridCol w:w="664"/>
        <w:gridCol w:w="663"/>
        <w:gridCol w:w="664"/>
        <w:gridCol w:w="664"/>
        <w:gridCol w:w="663"/>
        <w:gridCol w:w="664"/>
      </w:tblGrid>
      <w:tr w:rsidR="00D24C7F" w14:paraId="60141F5B" w14:textId="77777777">
        <w:trPr>
          <w:trHeight w:val="245"/>
          <w:tblHeader/>
        </w:trPr>
        <w:tc>
          <w:tcPr>
            <w:tcW w:w="2627" w:type="dxa"/>
            <w:shd w:val="clear" w:color="auto" w:fill="6F6652"/>
            <w:tcMar>
              <w:left w:w="57" w:type="dxa"/>
              <w:right w:w="57" w:type="dxa"/>
            </w:tcMar>
          </w:tcPr>
          <w:p w14:paraId="373FB1E2" w14:textId="77777777" w:rsidR="00D24C7F" w:rsidRDefault="00D24C7F">
            <w:pPr>
              <w:pStyle w:val="TableDataColumnHeading"/>
              <w:jc w:val="left"/>
            </w:pPr>
            <w:r>
              <w:t>Impact</w:t>
            </w:r>
          </w:p>
        </w:tc>
        <w:tc>
          <w:tcPr>
            <w:tcW w:w="634" w:type="dxa"/>
            <w:shd w:val="clear" w:color="auto" w:fill="6F6652"/>
            <w:tcMar>
              <w:left w:w="57" w:type="dxa"/>
              <w:right w:w="57" w:type="dxa"/>
            </w:tcMar>
          </w:tcPr>
          <w:p w14:paraId="21980DB6" w14:textId="77777777" w:rsidR="00D24C7F" w:rsidRDefault="00D24C7F">
            <w:pPr>
              <w:pStyle w:val="TableDataColumnHeading"/>
            </w:pPr>
            <w:r>
              <w:t>NSW (CZ5)</w:t>
            </w:r>
          </w:p>
          <w:p w14:paraId="6152B417" w14:textId="77777777" w:rsidR="00D24C7F" w:rsidRDefault="00D24C7F">
            <w:pPr>
              <w:pStyle w:val="TableDataColumnHeading"/>
            </w:pPr>
            <w:r>
              <w:t>$ per m2</w:t>
            </w:r>
          </w:p>
        </w:tc>
        <w:tc>
          <w:tcPr>
            <w:tcW w:w="693" w:type="dxa"/>
            <w:shd w:val="clear" w:color="auto" w:fill="6F6652"/>
            <w:tcMar>
              <w:left w:w="57" w:type="dxa"/>
              <w:right w:w="57" w:type="dxa"/>
            </w:tcMar>
          </w:tcPr>
          <w:p w14:paraId="3CD3C04E" w14:textId="77777777" w:rsidR="00D24C7F" w:rsidRDefault="00D24C7F">
            <w:pPr>
              <w:pStyle w:val="TableDataColumnHeading"/>
            </w:pPr>
            <w:r>
              <w:t>VIC (CZ6)</w:t>
            </w:r>
          </w:p>
          <w:p w14:paraId="22854408" w14:textId="77777777" w:rsidR="00D24C7F" w:rsidRDefault="00D24C7F">
            <w:pPr>
              <w:pStyle w:val="TableDataColumnHeading"/>
            </w:pPr>
            <w:r>
              <w:t>$ per m2</w:t>
            </w:r>
          </w:p>
        </w:tc>
        <w:tc>
          <w:tcPr>
            <w:tcW w:w="664" w:type="dxa"/>
            <w:shd w:val="clear" w:color="auto" w:fill="6F6652"/>
            <w:tcMar>
              <w:left w:w="57" w:type="dxa"/>
              <w:right w:w="57" w:type="dxa"/>
            </w:tcMar>
          </w:tcPr>
          <w:p w14:paraId="6D8FBC9F" w14:textId="77777777" w:rsidR="00D24C7F" w:rsidRDefault="00D24C7F">
            <w:pPr>
              <w:pStyle w:val="TableDataColumnHeading"/>
            </w:pPr>
            <w:r>
              <w:t>QLD (CZ2)</w:t>
            </w:r>
          </w:p>
          <w:p w14:paraId="3E44182C" w14:textId="77777777" w:rsidR="00D24C7F" w:rsidRDefault="00D24C7F">
            <w:pPr>
              <w:pStyle w:val="TableDataColumnHeading"/>
            </w:pPr>
            <w:r>
              <w:t>$ per m2</w:t>
            </w:r>
          </w:p>
        </w:tc>
        <w:tc>
          <w:tcPr>
            <w:tcW w:w="663" w:type="dxa"/>
            <w:shd w:val="clear" w:color="auto" w:fill="6F6652"/>
            <w:tcMar>
              <w:left w:w="57" w:type="dxa"/>
              <w:right w:w="57" w:type="dxa"/>
            </w:tcMar>
          </w:tcPr>
          <w:p w14:paraId="556025ED" w14:textId="77777777" w:rsidR="00D24C7F" w:rsidRDefault="00D24C7F">
            <w:pPr>
              <w:pStyle w:val="TableDataColumnHeading"/>
            </w:pPr>
            <w:r>
              <w:t>WA (CZ5)</w:t>
            </w:r>
          </w:p>
          <w:p w14:paraId="649BDC0C" w14:textId="77777777" w:rsidR="00D24C7F" w:rsidRDefault="00D24C7F">
            <w:pPr>
              <w:pStyle w:val="TableDataColumnHeading"/>
            </w:pPr>
            <w:r>
              <w:t>$ per m2</w:t>
            </w:r>
          </w:p>
        </w:tc>
        <w:tc>
          <w:tcPr>
            <w:tcW w:w="664" w:type="dxa"/>
            <w:shd w:val="clear" w:color="auto" w:fill="6F6652"/>
            <w:tcMar>
              <w:left w:w="57" w:type="dxa"/>
              <w:right w:w="57" w:type="dxa"/>
            </w:tcMar>
          </w:tcPr>
          <w:p w14:paraId="4A55A83A" w14:textId="77777777" w:rsidR="00D24C7F" w:rsidRDefault="00D24C7F">
            <w:pPr>
              <w:pStyle w:val="TableDataColumnHeading"/>
            </w:pPr>
            <w:r>
              <w:t>SA (CZ5)</w:t>
            </w:r>
          </w:p>
          <w:p w14:paraId="53239A2D" w14:textId="77777777" w:rsidR="00D24C7F" w:rsidRDefault="00D24C7F">
            <w:pPr>
              <w:pStyle w:val="TableDataColumnHeading"/>
            </w:pPr>
            <w:r>
              <w:t>$ per m2</w:t>
            </w:r>
          </w:p>
        </w:tc>
        <w:tc>
          <w:tcPr>
            <w:tcW w:w="664" w:type="dxa"/>
            <w:shd w:val="clear" w:color="auto" w:fill="6F6652"/>
            <w:tcMar>
              <w:left w:w="57" w:type="dxa"/>
              <w:right w:w="57" w:type="dxa"/>
            </w:tcMar>
          </w:tcPr>
          <w:p w14:paraId="17DE99C6" w14:textId="77777777" w:rsidR="00D24C7F" w:rsidRDefault="00D24C7F">
            <w:pPr>
              <w:pStyle w:val="TableDataColumnHeading"/>
            </w:pPr>
            <w:r>
              <w:t>TAS (CZ7)</w:t>
            </w:r>
          </w:p>
          <w:p w14:paraId="51BE0A35" w14:textId="77777777" w:rsidR="00D24C7F" w:rsidRDefault="00D24C7F">
            <w:pPr>
              <w:pStyle w:val="TableDataColumnHeading"/>
            </w:pPr>
            <w:r>
              <w:t>$ per m2</w:t>
            </w:r>
          </w:p>
        </w:tc>
        <w:tc>
          <w:tcPr>
            <w:tcW w:w="663" w:type="dxa"/>
            <w:shd w:val="clear" w:color="auto" w:fill="6F6652"/>
            <w:tcMar>
              <w:left w:w="57" w:type="dxa"/>
              <w:right w:w="57" w:type="dxa"/>
            </w:tcMar>
          </w:tcPr>
          <w:p w14:paraId="029A85D3" w14:textId="77777777" w:rsidR="00D24C7F" w:rsidRDefault="00D24C7F">
            <w:pPr>
              <w:pStyle w:val="TableDataColumnHeading"/>
            </w:pPr>
            <w:r>
              <w:t>ACT (CZ7)</w:t>
            </w:r>
          </w:p>
          <w:p w14:paraId="7D0C98B6" w14:textId="77777777" w:rsidR="00D24C7F" w:rsidRDefault="00D24C7F">
            <w:pPr>
              <w:pStyle w:val="TableDataColumnHeading"/>
            </w:pPr>
            <w:r>
              <w:t>$ per m2</w:t>
            </w:r>
          </w:p>
        </w:tc>
        <w:tc>
          <w:tcPr>
            <w:tcW w:w="664" w:type="dxa"/>
            <w:shd w:val="clear" w:color="auto" w:fill="6F6652"/>
            <w:tcMar>
              <w:left w:w="57" w:type="dxa"/>
              <w:right w:w="57" w:type="dxa"/>
            </w:tcMar>
          </w:tcPr>
          <w:p w14:paraId="674B6CA3" w14:textId="77777777" w:rsidR="00D24C7F" w:rsidRDefault="00D24C7F">
            <w:pPr>
              <w:pStyle w:val="TableDataColumnHeading"/>
            </w:pPr>
            <w:r>
              <w:t>NT (CZ1)</w:t>
            </w:r>
          </w:p>
          <w:p w14:paraId="539396FC" w14:textId="77777777" w:rsidR="00D24C7F" w:rsidRDefault="00D24C7F">
            <w:pPr>
              <w:pStyle w:val="TableDataColumnHeading"/>
            </w:pPr>
            <w:r>
              <w:t>$ per m2</w:t>
            </w:r>
          </w:p>
        </w:tc>
      </w:tr>
      <w:tr w:rsidR="00D24C7F" w14:paraId="1D0B1DFC"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F03CFC7" w14:textId="77777777" w:rsidR="00D24C7F" w:rsidRDefault="00D24C7F">
            <w:pPr>
              <w:pStyle w:val="TableDataEntries"/>
              <w:jc w:val="left"/>
            </w:pPr>
            <w:r>
              <w:t>Avoided electricity network capacity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04710CF" w14:textId="50222FBB" w:rsidR="00D24C7F" w:rsidRDefault="00D24C7F">
            <w:pPr>
              <w:pStyle w:val="TableDataEntries"/>
            </w:pPr>
            <w:r>
              <w:t>10.4</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5CB76E" w14:textId="459B6597" w:rsidR="00D24C7F" w:rsidRDefault="00D24C7F">
            <w:pPr>
              <w:pStyle w:val="TableDataEntries"/>
            </w:pPr>
            <w:r>
              <w:t>6.7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CF5D5D1" w14:textId="75360ECB" w:rsidR="00D24C7F" w:rsidRDefault="00D24C7F">
            <w:pPr>
              <w:pStyle w:val="TableDataEntries"/>
            </w:pPr>
            <w:r>
              <w:t>28.5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18B17B" w14:textId="4AB4BAA6" w:rsidR="00D24C7F" w:rsidRDefault="00D24C7F">
            <w:pPr>
              <w:pStyle w:val="TableDataEntries"/>
            </w:pPr>
            <w:r>
              <w:t>2.4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45D8D96" w14:textId="6D2D9284" w:rsidR="00D24C7F" w:rsidRDefault="00D24C7F">
            <w:pPr>
              <w:pStyle w:val="TableDataEntries"/>
            </w:pPr>
            <w:r>
              <w:t>7.0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40D5510" w14:textId="1C6B9AAB" w:rsidR="00D24C7F" w:rsidRDefault="00D24C7F">
            <w:pPr>
              <w:pStyle w:val="TableDataEntries"/>
            </w:pPr>
            <w:r>
              <w:t>19.5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E8508AC" w14:textId="4F47F37D" w:rsidR="00D24C7F" w:rsidRDefault="00D24C7F">
            <w:pPr>
              <w:pStyle w:val="TableDataEntries"/>
            </w:pPr>
            <w:r>
              <w:t>9.5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0AAA1BA" w14:textId="4EB24A85" w:rsidR="00D24C7F" w:rsidRDefault="00D24C7F">
            <w:pPr>
              <w:pStyle w:val="TableDataEntries"/>
            </w:pPr>
            <w:r>
              <w:t>17.0</w:t>
            </w:r>
          </w:p>
        </w:tc>
      </w:tr>
      <w:tr w:rsidR="00D24C7F" w14:paraId="60233F1A"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8A15FA" w14:textId="77777777" w:rsidR="00D24C7F" w:rsidRDefault="00D24C7F">
            <w:pPr>
              <w:pStyle w:val="TableDataEntries"/>
              <w:jc w:val="left"/>
            </w:pPr>
            <w:r>
              <w:t>Avoided electricity wholesale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279F1F6" w14:textId="73DF36FC" w:rsidR="00D24C7F" w:rsidRDefault="00D24C7F">
            <w:pPr>
              <w:pStyle w:val="TableDataEntries"/>
            </w:pPr>
            <w:r>
              <w:t>35.4</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44318D" w14:textId="147536E2" w:rsidR="00D24C7F" w:rsidRDefault="00D24C7F">
            <w:pPr>
              <w:pStyle w:val="TableDataEntries"/>
            </w:pPr>
            <w:r>
              <w:t>23.5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22DB721" w14:textId="47A4307F" w:rsidR="00D24C7F" w:rsidRDefault="00D24C7F">
            <w:pPr>
              <w:pStyle w:val="TableDataEntries"/>
            </w:pPr>
            <w:r>
              <w:t>74.1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ED73CB6" w14:textId="7AB45C66" w:rsidR="00D24C7F" w:rsidRDefault="00D24C7F">
            <w:pPr>
              <w:pStyle w:val="TableDataEntries"/>
            </w:pPr>
            <w:r>
              <w:t>24.2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40F625" w14:textId="4B95F86F" w:rsidR="00D24C7F" w:rsidRDefault="00D24C7F">
            <w:pPr>
              <w:pStyle w:val="TableDataEntries"/>
            </w:pPr>
            <w:r>
              <w:t>30.6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2FD62A" w14:textId="6DEC2238" w:rsidR="00D24C7F" w:rsidRDefault="00D24C7F">
            <w:pPr>
              <w:pStyle w:val="TableDataEntries"/>
            </w:pPr>
            <w:r>
              <w:t>28.5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37D23D" w14:textId="209BCE78" w:rsidR="00D24C7F" w:rsidRDefault="00D24C7F">
            <w:pPr>
              <w:pStyle w:val="TableDataEntries"/>
            </w:pPr>
            <w:r>
              <w:t>32.1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8944DA" w14:textId="5ACFC4B6" w:rsidR="00D24C7F" w:rsidRDefault="00D24C7F">
            <w:pPr>
              <w:pStyle w:val="TableDataEntries"/>
            </w:pPr>
            <w:r>
              <w:t>88.8</w:t>
            </w:r>
          </w:p>
        </w:tc>
      </w:tr>
      <w:tr w:rsidR="00D24C7F" w14:paraId="68E5242D"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38B577" w14:textId="77777777" w:rsidR="00D24C7F" w:rsidRDefault="00D24C7F">
            <w:pPr>
              <w:pStyle w:val="TableDataEntries"/>
              <w:jc w:val="left"/>
            </w:pPr>
            <w:r>
              <w:t>Avoided electricity network usage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1967B15" w14:textId="5E4160FD" w:rsidR="00D24C7F" w:rsidRDefault="00D24C7F">
            <w:pPr>
              <w:pStyle w:val="TableDataEntries"/>
            </w:pPr>
            <w:r>
              <w:t>20.0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FCC133" w14:textId="6BF74074" w:rsidR="00D24C7F" w:rsidRDefault="00D24C7F">
            <w:pPr>
              <w:pStyle w:val="TableDataEntries"/>
            </w:pPr>
            <w:r>
              <w:t>22.1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F8CA302" w14:textId="038A4454" w:rsidR="00D24C7F" w:rsidRDefault="00D24C7F">
            <w:pPr>
              <w:pStyle w:val="TableDataEntries"/>
            </w:pPr>
            <w:r>
              <w:t>38.2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15669A1" w14:textId="4B69318A" w:rsidR="00D24C7F" w:rsidRDefault="00D24C7F">
            <w:pPr>
              <w:pStyle w:val="TableDataEntries"/>
            </w:pPr>
            <w:r>
              <w:t>46.5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B1F2086" w14:textId="60DDA738" w:rsidR="00D24C7F" w:rsidRDefault="00D24C7F">
            <w:pPr>
              <w:pStyle w:val="TableDataEntries"/>
            </w:pPr>
            <w:r>
              <w:t>52.3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42FA91E" w14:textId="66214CEC" w:rsidR="00D24C7F" w:rsidRDefault="00D24C7F">
            <w:pPr>
              <w:pStyle w:val="TableDataEntries"/>
            </w:pPr>
            <w:r>
              <w:t>42.5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77C814" w14:textId="210DF22A" w:rsidR="00D24C7F" w:rsidRDefault="00D24C7F">
            <w:pPr>
              <w:pStyle w:val="TableDataEntries"/>
            </w:pPr>
            <w:r>
              <w:t>24.6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5437B7C" w14:textId="15486D75" w:rsidR="00D24C7F" w:rsidRDefault="00D24C7F">
            <w:pPr>
              <w:pStyle w:val="TableDataEntries"/>
            </w:pPr>
            <w:r>
              <w:t>49.9</w:t>
            </w:r>
          </w:p>
        </w:tc>
      </w:tr>
      <w:tr w:rsidR="00D24C7F" w14:paraId="41E88AA9"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9A9D446" w14:textId="77777777" w:rsidR="00D24C7F" w:rsidRDefault="00D24C7F">
            <w:pPr>
              <w:pStyle w:val="TableDataEntries"/>
              <w:jc w:val="left"/>
            </w:pPr>
            <w:r>
              <w:t>Avoided electricity retail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4159EC" w14:textId="73888FE1" w:rsidR="00D24C7F" w:rsidRDefault="00D24C7F">
            <w:pPr>
              <w:pStyle w:val="TableDataEntries"/>
            </w:pPr>
            <w:r>
              <w:t>9.9</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237A11" w14:textId="2058B12B" w:rsidR="00D24C7F" w:rsidRDefault="00D24C7F">
            <w:pPr>
              <w:pStyle w:val="TableDataEntries"/>
            </w:pPr>
            <w:r>
              <w:t>7.8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0EB505" w14:textId="3AD27839" w:rsidR="00D24C7F" w:rsidRDefault="00D24C7F">
            <w:pPr>
              <w:pStyle w:val="TableDataEntries"/>
            </w:pPr>
            <w:r>
              <w:t>21.1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43484C" w14:textId="3A5AA43A" w:rsidR="00D24C7F" w:rsidRDefault="00D24C7F">
            <w:pPr>
              <w:pStyle w:val="TableDataEntries"/>
            </w:pPr>
            <w:r>
              <w:t>11.0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0397063" w14:textId="3D72BA2B" w:rsidR="00D24C7F" w:rsidRDefault="00D24C7F">
            <w:pPr>
              <w:pStyle w:val="TableDataEntries"/>
            </w:pPr>
            <w:r>
              <w:t>13.5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996BA5" w14:textId="07ED9AEE" w:rsidR="00D24C7F" w:rsidRDefault="00D24C7F">
            <w:pPr>
              <w:pStyle w:val="TableDataEntries"/>
            </w:pPr>
            <w:r>
              <w:t>13.6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C35F14" w14:textId="32F605B0" w:rsidR="00D24C7F" w:rsidRDefault="00D24C7F">
            <w:pPr>
              <w:pStyle w:val="TableDataEntries"/>
            </w:pPr>
            <w:r>
              <w:t>9.9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0233657" w14:textId="2B9B7BE1" w:rsidR="00D24C7F" w:rsidRDefault="00D24C7F">
            <w:pPr>
              <w:pStyle w:val="TableDataEntries"/>
            </w:pPr>
            <w:r>
              <w:t>23.4</w:t>
            </w:r>
          </w:p>
        </w:tc>
      </w:tr>
      <w:tr w:rsidR="00D24C7F" w14:paraId="473B5C5A"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11C542F" w14:textId="77777777" w:rsidR="00D24C7F" w:rsidRDefault="00D24C7F">
            <w:pPr>
              <w:pStyle w:val="TableDataEntries"/>
              <w:jc w:val="left"/>
            </w:pPr>
            <w:r>
              <w:t>Electricity exported to grid</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D639F0" w14:textId="2E37594E" w:rsidR="00D24C7F" w:rsidRDefault="00D24C7F">
            <w:pPr>
              <w:pStyle w:val="TableDataEntries"/>
            </w:pPr>
            <w:r>
              <w:t>9.2</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3795BC4" w14:textId="219B75F1" w:rsidR="00D24C7F" w:rsidRDefault="00D24C7F">
            <w:pPr>
              <w:pStyle w:val="TableDataEntries"/>
            </w:pPr>
            <w:r>
              <w:t>6.8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1C25528" w14:textId="2E3428BC" w:rsidR="00D24C7F" w:rsidRDefault="00D24C7F">
            <w:pPr>
              <w:pStyle w:val="TableDataEntries"/>
            </w:pPr>
            <w:r>
              <w:t>13.2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49A909" w14:textId="2D000CED" w:rsidR="00D24C7F" w:rsidRDefault="00D24C7F">
            <w:pPr>
              <w:pStyle w:val="TableDataEntries"/>
            </w:pPr>
            <w:r>
              <w:t>8.3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E69F60" w14:textId="7B75FDDB" w:rsidR="00D24C7F" w:rsidRDefault="00D24C7F">
            <w:pPr>
              <w:pStyle w:val="TableDataEntries"/>
            </w:pPr>
            <w:r>
              <w:t>6.5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7D0F4D" w14:textId="16361D1B" w:rsidR="00D24C7F" w:rsidRDefault="00D24C7F">
            <w:pPr>
              <w:pStyle w:val="TableDataEntries"/>
            </w:pPr>
            <w:r>
              <w:t>24.1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1C0C641" w14:textId="76E2425B" w:rsidR="00D24C7F" w:rsidRDefault="00D24C7F">
            <w:pPr>
              <w:pStyle w:val="TableDataEntries"/>
            </w:pPr>
            <w:r>
              <w:t>12.2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8277D1" w14:textId="07C62B8F" w:rsidR="00D24C7F" w:rsidRDefault="00D24C7F">
            <w:pPr>
              <w:pStyle w:val="TableDataEntries"/>
            </w:pPr>
            <w:r>
              <w:t>24.8</w:t>
            </w:r>
          </w:p>
        </w:tc>
      </w:tr>
      <w:tr w:rsidR="00D24C7F" w14:paraId="4E0B295F"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B52B0DA" w14:textId="77777777" w:rsidR="00D24C7F" w:rsidRDefault="00D24C7F">
            <w:pPr>
              <w:pStyle w:val="TableDataEntries"/>
              <w:jc w:val="left"/>
            </w:pPr>
            <w:r>
              <w:t>Electricity exports — network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5771F6" w14:textId="021C65AA" w:rsidR="00D24C7F" w:rsidRDefault="00D24C7F">
            <w:pPr>
              <w:pStyle w:val="TableDataEntries"/>
            </w:pPr>
            <w:r>
              <w:t>-2.6</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BBD13F" w14:textId="1DD48615" w:rsidR="00D24C7F" w:rsidRDefault="00D24C7F">
            <w:pPr>
              <w:pStyle w:val="TableDataEntries"/>
            </w:pPr>
            <w:r>
              <w:t>-2.2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57206D" w14:textId="1B743333" w:rsidR="00D24C7F" w:rsidRDefault="00D24C7F">
            <w:pPr>
              <w:pStyle w:val="TableDataEntries"/>
            </w:pPr>
            <w:r>
              <w:t>-3.4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C83B477" w14:textId="5F9CCA68" w:rsidR="00D24C7F" w:rsidRDefault="00D24C7F">
            <w:pPr>
              <w:pStyle w:val="TableDataEntries"/>
            </w:pPr>
            <w:r>
              <w:t>-2.6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3AEFBEB" w14:textId="399F2ADC" w:rsidR="00D24C7F" w:rsidRDefault="00D24C7F">
            <w:pPr>
              <w:pStyle w:val="TableDataEntries"/>
            </w:pPr>
            <w:r>
              <w:t>-2.6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B03332D" w14:textId="5E7B69C0" w:rsidR="00D24C7F" w:rsidRDefault="00D24C7F">
            <w:pPr>
              <w:pStyle w:val="TableDataEntries"/>
            </w:pPr>
            <w:r>
              <w:t>-3.1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4CEFFCB" w14:textId="4C65C293" w:rsidR="00D24C7F" w:rsidRDefault="00D24C7F">
            <w:pPr>
              <w:pStyle w:val="TableDataEntries"/>
            </w:pPr>
            <w:r>
              <w:t>-2.6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437DC4C" w14:textId="7EFF22EA" w:rsidR="00D24C7F" w:rsidRDefault="00D24C7F">
            <w:pPr>
              <w:pStyle w:val="TableDataEntries"/>
            </w:pPr>
            <w:r>
              <w:t>-2.9</w:t>
            </w:r>
          </w:p>
        </w:tc>
      </w:tr>
      <w:tr w:rsidR="00D24C7F" w14:paraId="2844F25E"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D3F1295" w14:textId="77777777" w:rsidR="00D24C7F" w:rsidRDefault="00D24C7F">
            <w:pPr>
              <w:pStyle w:val="TableDataEntries"/>
              <w:jc w:val="left"/>
            </w:pPr>
            <w:r>
              <w:t>Avoided gas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7B89547" w14:textId="0F29409C" w:rsidR="00D24C7F" w:rsidRDefault="00D24C7F">
            <w:pPr>
              <w:pStyle w:val="TableDataEntries"/>
            </w:pPr>
            <w:r>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F4392A5" w14:textId="6C33B9B6"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E5D9336" w14:textId="195663C1"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E58590" w14:textId="3316EA61"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41C466" w14:textId="1E6C905E"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C1843CA" w14:textId="6A705C32"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9ED61D8" w14:textId="2406651C"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2CF5D8E" w14:textId="52A30486" w:rsidR="00D24C7F" w:rsidRDefault="00D24C7F">
            <w:pPr>
              <w:pStyle w:val="TableDataEntries"/>
            </w:pPr>
            <w:r>
              <w:t>0.0</w:t>
            </w:r>
          </w:p>
        </w:tc>
      </w:tr>
      <w:tr w:rsidR="00D24C7F" w14:paraId="6D777031"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812DB8F" w14:textId="77777777" w:rsidR="00D24C7F" w:rsidRDefault="00D24C7F">
            <w:pPr>
              <w:pStyle w:val="TableDataEntries"/>
              <w:jc w:val="left"/>
            </w:pPr>
            <w:r>
              <w:t>Avoided GHG emissions –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7DEDDF" w14:textId="10C220FA" w:rsidR="00D24C7F" w:rsidRDefault="00D24C7F">
            <w:pPr>
              <w:pStyle w:val="TableDataEntries"/>
            </w:pPr>
            <w:r>
              <w:t>18.9</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1B2D4D" w14:textId="47622540" w:rsidR="00D24C7F" w:rsidRDefault="00D24C7F">
            <w:pPr>
              <w:pStyle w:val="TableDataEntries"/>
            </w:pPr>
            <w:r>
              <w:t>23.3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A599AC" w14:textId="6101D030" w:rsidR="00D24C7F" w:rsidRDefault="00D24C7F">
            <w:pPr>
              <w:pStyle w:val="TableDataEntries"/>
            </w:pPr>
            <w:r>
              <w:t>93.0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D0525E4" w14:textId="1DC6CFE8" w:rsidR="00D24C7F" w:rsidRDefault="00D24C7F">
            <w:pPr>
              <w:pStyle w:val="TableDataEntries"/>
            </w:pPr>
            <w:r>
              <w:t>27.9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98B5D77" w14:textId="1F768C3B" w:rsidR="00D24C7F" w:rsidRDefault="00D24C7F">
            <w:pPr>
              <w:pStyle w:val="TableDataEntries"/>
            </w:pPr>
            <w:r>
              <w:t>20.3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8D7C91" w14:textId="522847BB" w:rsidR="00D24C7F" w:rsidRDefault="00D24C7F">
            <w:pPr>
              <w:pStyle w:val="TableDataEntries"/>
            </w:pPr>
            <w:r>
              <w:t>2.3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8F09473" w14:textId="403C8A35" w:rsidR="00D24C7F" w:rsidRDefault="00D24C7F">
            <w:pPr>
              <w:pStyle w:val="TableDataEntries"/>
            </w:pPr>
            <w:r>
              <w:t>15.9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07BEE72" w14:textId="1DFF90D8" w:rsidR="00D24C7F" w:rsidRDefault="00D24C7F">
            <w:pPr>
              <w:pStyle w:val="TableDataEntries"/>
            </w:pPr>
            <w:r>
              <w:t>86.9</w:t>
            </w:r>
          </w:p>
        </w:tc>
      </w:tr>
      <w:tr w:rsidR="00D24C7F" w14:paraId="5EF4FBB4"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17ED68" w14:textId="77777777" w:rsidR="00D24C7F" w:rsidRDefault="00D24C7F">
            <w:pPr>
              <w:pStyle w:val="TableDataEntries"/>
              <w:jc w:val="left"/>
            </w:pPr>
            <w:r>
              <w:t>Avoided GHG emissions – exported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2FB6DF3" w14:textId="56FFC7B9" w:rsidR="00D24C7F" w:rsidRDefault="00D24C7F">
            <w:pPr>
              <w:pStyle w:val="TableDataEntries"/>
            </w:pPr>
            <w:r>
              <w:t>14.1</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2B5BB7A" w14:textId="1C2E461A" w:rsidR="00D24C7F" w:rsidRDefault="00D24C7F">
            <w:pPr>
              <w:pStyle w:val="TableDataEntries"/>
            </w:pPr>
            <w:r>
              <w:t>24.3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0E5F3A4" w14:textId="6EDAEE96" w:rsidR="00D24C7F" w:rsidRDefault="00D24C7F">
            <w:pPr>
              <w:pStyle w:val="TableDataEntries"/>
            </w:pPr>
            <w:r>
              <w:t>45.3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0C09686" w14:textId="795727AF" w:rsidR="00D24C7F" w:rsidRDefault="00D24C7F">
            <w:pPr>
              <w:pStyle w:val="TableDataEntries"/>
            </w:pPr>
            <w:r>
              <w:t>20.9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75B5224" w14:textId="7EB4B3A8" w:rsidR="00D24C7F" w:rsidRDefault="00D24C7F">
            <w:pPr>
              <w:pStyle w:val="TableDataEntries"/>
            </w:pPr>
            <w:r>
              <w:t>15.2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56B2984" w14:textId="14FFC43B" w:rsidR="00D24C7F" w:rsidRDefault="00D24C7F">
            <w:pPr>
              <w:pStyle w:val="TableDataEntries"/>
            </w:pPr>
            <w:r>
              <w:t>2.3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B246452" w14:textId="344B1C8E" w:rsidR="00D24C7F" w:rsidRDefault="00D24C7F">
            <w:pPr>
              <w:pStyle w:val="TableDataEntries"/>
            </w:pPr>
            <w:r>
              <w:t>15.7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29A6E9" w14:textId="6BE0795B" w:rsidR="00D24C7F" w:rsidRDefault="00D24C7F">
            <w:pPr>
              <w:pStyle w:val="TableDataEntries"/>
            </w:pPr>
            <w:r>
              <w:t>28.3</w:t>
            </w:r>
          </w:p>
        </w:tc>
      </w:tr>
      <w:tr w:rsidR="00D24C7F" w14:paraId="4B698EC0"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7691808" w14:textId="77777777" w:rsidR="00D24C7F" w:rsidRDefault="00D24C7F">
            <w:pPr>
              <w:pStyle w:val="TableDataEntries"/>
              <w:jc w:val="left"/>
            </w:pPr>
            <w:r>
              <w:t>Avoided GHG emissions – gas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CBDD79" w14:textId="1A8D1F78" w:rsidR="00D24C7F" w:rsidRDefault="00D24C7F">
            <w:pPr>
              <w:pStyle w:val="TableDataEntries"/>
            </w:pPr>
            <w:r>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FC3A75" w14:textId="307464F5"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5B69A2" w14:textId="6B29F6A2"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0F01822" w14:textId="24F986C5"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DAB79A" w14:textId="7C7ECB71"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2C27453" w14:textId="378C1D66"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8F564C7" w14:textId="4FA0873D"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927EADA" w14:textId="77A3F478" w:rsidR="00D24C7F" w:rsidRDefault="00D24C7F">
            <w:pPr>
              <w:pStyle w:val="TableDataEntries"/>
            </w:pPr>
            <w:r>
              <w:t>0.0</w:t>
            </w:r>
          </w:p>
        </w:tc>
      </w:tr>
      <w:tr w:rsidR="00D24C7F" w14:paraId="581A0829"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96489F" w14:textId="77777777" w:rsidR="00D24C7F" w:rsidRDefault="00D24C7F">
            <w:pPr>
              <w:pStyle w:val="TableDataEntries"/>
              <w:jc w:val="left"/>
            </w:pPr>
            <w:r>
              <w:t>Capital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6CD2AE" w14:textId="167BBC33" w:rsidR="00D24C7F" w:rsidRDefault="00D24C7F">
            <w:pPr>
              <w:pStyle w:val="TableDataEntries"/>
            </w:pPr>
            <w:r>
              <w:t>0.9</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DB2BA9" w14:textId="3DF48F32" w:rsidR="00D24C7F" w:rsidRDefault="00D24C7F">
            <w:pPr>
              <w:pStyle w:val="TableDataEntries"/>
            </w:pPr>
            <w:r>
              <w:t>-17.6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26D30E" w14:textId="5A4914D6" w:rsidR="00D24C7F" w:rsidRDefault="00D24C7F">
            <w:pPr>
              <w:pStyle w:val="TableDataEntries"/>
            </w:pPr>
            <w:r>
              <w:t>-10.9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F7B7FB3" w14:textId="6969CE11" w:rsidR="00D24C7F" w:rsidRDefault="00D24C7F">
            <w:pPr>
              <w:pStyle w:val="TableDataEntries"/>
            </w:pPr>
            <w:r>
              <w:t>0.9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FDED809" w14:textId="4C5C9257" w:rsidR="00D24C7F" w:rsidRDefault="00D24C7F">
            <w:pPr>
              <w:pStyle w:val="TableDataEntries"/>
            </w:pPr>
            <w:r>
              <w:t>0.9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129B39" w14:textId="05C41F2F" w:rsidR="00D24C7F" w:rsidRDefault="00D24C7F">
            <w:pPr>
              <w:pStyle w:val="TableDataEntries"/>
            </w:pPr>
            <w:r>
              <w:t>-23.2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D9BE43" w14:textId="53BD203F" w:rsidR="00D24C7F" w:rsidRDefault="00D24C7F">
            <w:pPr>
              <w:pStyle w:val="TableDataEntries"/>
            </w:pPr>
            <w:r>
              <w:t>-23.2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64E10A" w14:textId="014D53E5" w:rsidR="00D24C7F" w:rsidRDefault="00D24C7F">
            <w:pPr>
              <w:pStyle w:val="TableDataEntries"/>
            </w:pPr>
            <w:r>
              <w:t>25.0</w:t>
            </w:r>
          </w:p>
        </w:tc>
      </w:tr>
      <w:tr w:rsidR="00D24C7F" w:rsidRPr="00EA6E8E" w14:paraId="7A4076B5" w14:textId="77777777">
        <w:trPr>
          <w:trHeight w:val="245"/>
        </w:trPr>
        <w:tc>
          <w:tcPr>
            <w:tcW w:w="2627"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79B7EA54" w14:textId="77777777" w:rsidR="00D24C7F" w:rsidRPr="00EA6E8E" w:rsidRDefault="00D24C7F">
            <w:pPr>
              <w:pStyle w:val="TableDataEntries"/>
              <w:jc w:val="left"/>
              <w:rPr>
                <w:rFonts w:ascii="Franklin Gothic Demi" w:hAnsi="Franklin Gothic Demi"/>
              </w:rPr>
            </w:pPr>
            <w:r w:rsidRPr="00EA6E8E">
              <w:rPr>
                <w:rFonts w:ascii="Franklin Gothic Demi" w:hAnsi="Franklin Gothic Demi"/>
              </w:rPr>
              <w:t>Total</w:t>
            </w:r>
          </w:p>
        </w:tc>
        <w:tc>
          <w:tcPr>
            <w:tcW w:w="63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FA585C3" w14:textId="7C159038" w:rsidR="00D24C7F" w:rsidRPr="00EA6E8E" w:rsidRDefault="00D24C7F">
            <w:pPr>
              <w:pStyle w:val="TableDataEntries"/>
              <w:rPr>
                <w:rFonts w:ascii="Franklin Gothic Demi" w:hAnsi="Franklin Gothic Demi"/>
              </w:rPr>
            </w:pPr>
            <w:r w:rsidRPr="00EA6E8E">
              <w:rPr>
                <w:rFonts w:ascii="Franklin Gothic Demi" w:hAnsi="Franklin Gothic Demi"/>
              </w:rPr>
              <w:t>116.3</w:t>
            </w:r>
          </w:p>
        </w:tc>
        <w:tc>
          <w:tcPr>
            <w:tcW w:w="69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C095D63" w14:textId="637DC8DA" w:rsidR="00D24C7F" w:rsidRPr="00EA6E8E" w:rsidRDefault="00D24C7F">
            <w:pPr>
              <w:pStyle w:val="TableDataEntries"/>
              <w:rPr>
                <w:rFonts w:ascii="Franklin Gothic Demi" w:hAnsi="Franklin Gothic Demi"/>
              </w:rPr>
            </w:pPr>
            <w:r w:rsidRPr="00EA6E8E">
              <w:rPr>
                <w:rFonts w:ascii="Franklin Gothic Demi" w:hAnsi="Franklin Gothic Demi"/>
              </w:rPr>
              <w:t>94.8</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7E5066BE" w14:textId="71DBC01E" w:rsidR="00D24C7F" w:rsidRPr="00EA6E8E" w:rsidRDefault="00D24C7F">
            <w:pPr>
              <w:pStyle w:val="TableDataEntries"/>
              <w:rPr>
                <w:rFonts w:ascii="Franklin Gothic Demi" w:hAnsi="Franklin Gothic Demi"/>
              </w:rPr>
            </w:pPr>
            <w:r w:rsidRPr="00EA6E8E">
              <w:rPr>
                <w:rFonts w:ascii="Franklin Gothic Demi" w:hAnsi="Franklin Gothic Demi"/>
              </w:rPr>
              <w:t>299.2</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D8287AC" w14:textId="6728CCE3" w:rsidR="00D24C7F" w:rsidRPr="00EA6E8E" w:rsidRDefault="00D24C7F">
            <w:pPr>
              <w:pStyle w:val="TableDataEntries"/>
              <w:rPr>
                <w:rFonts w:ascii="Franklin Gothic Demi" w:hAnsi="Franklin Gothic Demi"/>
              </w:rPr>
            </w:pPr>
            <w:r w:rsidRPr="00EA6E8E">
              <w:rPr>
                <w:rFonts w:ascii="Franklin Gothic Demi" w:hAnsi="Franklin Gothic Demi"/>
              </w:rPr>
              <w:t>139.6</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439BCD0B" w14:textId="43526184" w:rsidR="00D24C7F" w:rsidRPr="00EA6E8E" w:rsidRDefault="00D24C7F">
            <w:pPr>
              <w:pStyle w:val="TableDataEntries"/>
              <w:rPr>
                <w:rFonts w:ascii="Franklin Gothic Demi" w:hAnsi="Franklin Gothic Demi"/>
              </w:rPr>
            </w:pPr>
            <w:r w:rsidRPr="00EA6E8E">
              <w:rPr>
                <w:rFonts w:ascii="Franklin Gothic Demi" w:hAnsi="Franklin Gothic Demi"/>
              </w:rPr>
              <w:t>143.6</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4B15E6B4" w14:textId="5811DC1E" w:rsidR="00D24C7F" w:rsidRPr="00EA6E8E" w:rsidRDefault="00D24C7F">
            <w:pPr>
              <w:pStyle w:val="TableDataEntries"/>
              <w:rPr>
                <w:rFonts w:ascii="Franklin Gothic Demi" w:hAnsi="Franklin Gothic Demi"/>
              </w:rPr>
            </w:pPr>
            <w:r w:rsidRPr="00EA6E8E">
              <w:rPr>
                <w:rFonts w:ascii="Franklin Gothic Demi" w:hAnsi="Franklin Gothic Demi"/>
              </w:rPr>
              <w:t>106.4</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2405AB7" w14:textId="7FE056D5" w:rsidR="00D24C7F" w:rsidRPr="00EA6E8E" w:rsidRDefault="00D24C7F">
            <w:pPr>
              <w:pStyle w:val="TableDataEntries"/>
              <w:rPr>
                <w:rFonts w:ascii="Franklin Gothic Demi" w:hAnsi="Franklin Gothic Demi"/>
              </w:rPr>
            </w:pPr>
            <w:r w:rsidRPr="00EA6E8E">
              <w:rPr>
                <w:rFonts w:ascii="Franklin Gothic Demi" w:hAnsi="Franklin Gothic Demi"/>
              </w:rPr>
              <w:t>94.1</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9E4D15C" w14:textId="56EC5FCF" w:rsidR="00D24C7F" w:rsidRPr="00EA6E8E" w:rsidRDefault="00D24C7F">
            <w:pPr>
              <w:pStyle w:val="TableDataEntries"/>
              <w:rPr>
                <w:rFonts w:ascii="Franklin Gothic Demi" w:hAnsi="Franklin Gothic Demi"/>
              </w:rPr>
            </w:pPr>
            <w:r w:rsidRPr="00EA6E8E">
              <w:rPr>
                <w:rFonts w:ascii="Franklin Gothic Demi" w:hAnsi="Franklin Gothic Demi"/>
              </w:rPr>
              <w:t>341.1</w:t>
            </w:r>
          </w:p>
        </w:tc>
      </w:tr>
    </w:tbl>
    <w:p w14:paraId="1616F81D" w14:textId="77777777" w:rsidR="00D24C7F" w:rsidRDefault="00D24C7F" w:rsidP="00D24C7F">
      <w:pPr>
        <w:pStyle w:val="Note"/>
      </w:pPr>
      <w:r w:rsidRPr="007D1B4F">
        <w:rPr>
          <w:i/>
        </w:rPr>
        <w:t>Note:</w:t>
      </w:r>
      <w:r w:rsidRPr="00E879B8">
        <w:t xml:space="preserve"> </w:t>
      </w:r>
      <w:r>
        <w:t>Costs and benefits estimated in present value terms over the 50</w:t>
      </w:r>
      <w:r>
        <w:noBreakHyphen/>
        <w:t xml:space="preserve">year life of a building constructed in 2025, using a discount rate of 5 per cent. </w:t>
      </w:r>
    </w:p>
    <w:p w14:paraId="0A393BD7" w14:textId="77777777" w:rsidR="00D24C7F" w:rsidRDefault="00D24C7F" w:rsidP="00D24C7F">
      <w:pPr>
        <w:pStyle w:val="Source"/>
      </w:pPr>
      <w:r>
        <w:rPr>
          <w:i/>
        </w:rPr>
        <w:t>Source</w:t>
      </w:r>
      <w:r w:rsidRPr="00E4232C">
        <w:rPr>
          <w:i/>
        </w:rPr>
        <w:t>:</w:t>
      </w:r>
      <w:r>
        <w:t xml:space="preserve"> CIE based on DeltaQ modelling.</w:t>
      </w:r>
    </w:p>
    <w:p w14:paraId="50B96FA3" w14:textId="14382F4F" w:rsidR="00D24C7F" w:rsidRPr="005E5FA8" w:rsidRDefault="00D24C7F" w:rsidP="00D24C7F">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w:instrText>
      </w:r>
      <w:fldSimple w:instr=" STYLEREF &quot;Heading 1&quot; \l \n ">
        <w:r w:rsidRPr="005E5FA8">
          <w:instrText>2</w:instrText>
        </w:r>
      </w:fldSimple>
      <w:r w:rsidRPr="005E5FA8">
        <w:instrText xml:space="preserve">." </w:instrText>
      </w:r>
      <w:r w:rsidRPr="005E5FA8">
        <w:fldChar w:fldCharType="end"/>
      </w:r>
      <w:r w:rsidRPr="005E5FA8">
        <w:instrText>" "</w:instrText>
      </w:r>
      <w:fldSimple w:instr=" STYLEREF &quot;Heading 6&quot; \l \n ">
        <w:r w:rsidR="00581346">
          <w:rPr>
            <w:noProof/>
          </w:rPr>
          <w:instrText>H</w:instrText>
        </w:r>
      </w:fldSimple>
      <w:r w:rsidRPr="005E5FA8">
        <w:instrText xml:space="preserve">." </w:instrText>
      </w:r>
      <w:r w:rsidRPr="005E5FA8">
        <w:fldChar w:fldCharType="separate"/>
      </w:r>
      <w:r w:rsidR="00581346">
        <w:rPr>
          <w:noProof/>
        </w:rPr>
        <w:instrText>H</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"1" </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11</w:instrText>
      </w:r>
      <w:r w:rsidRPr="005E5FA8">
        <w:fldChar w:fldCharType="end"/>
      </w:r>
      <w:r w:rsidRPr="005E5FA8">
        <w:instrText xml:space="preserve">" "" </w:instrText>
      </w:r>
      <w:r w:rsidRPr="005E5FA8">
        <w:fldChar w:fldCharType="separate"/>
      </w:r>
      <w:bookmarkStart w:id="10007" w:name="_Caption2525"/>
      <w:bookmarkStart w:id="10008" w:name="_Caption3393"/>
      <w:bookmarkStart w:id="10009" w:name="_Caption2337"/>
      <w:bookmarkStart w:id="10010" w:name="_Caption6263"/>
      <w:bookmarkStart w:id="10011" w:name="_Caption8054"/>
      <w:bookmarkStart w:id="10012" w:name="_Caption3629"/>
      <w:bookmarkStart w:id="10013" w:name="_Caption6274"/>
      <w:bookmarkStart w:id="10014" w:name="_Caption6429"/>
      <w:bookmarkStart w:id="10015" w:name="_Caption2641"/>
      <w:bookmarkStart w:id="10016" w:name="_Caption3400"/>
      <w:bookmarkStart w:id="10017" w:name="_Caption5338"/>
      <w:bookmarkStart w:id="10018" w:name="_Caption6391"/>
      <w:bookmarkStart w:id="10019" w:name="_Caption1904"/>
      <w:bookmarkStart w:id="10020" w:name="_Caption8757"/>
      <w:bookmarkStart w:id="10021" w:name="_Caption1475"/>
      <w:bookmarkStart w:id="10022" w:name="_Caption0277"/>
      <w:bookmarkStart w:id="10023" w:name="_Caption0367"/>
      <w:bookmarkStart w:id="10024" w:name="_Caption1349"/>
      <w:bookmarkStart w:id="10025" w:name="_Caption9938"/>
      <w:bookmarkStart w:id="10026" w:name="_Caption7089"/>
      <w:bookmarkStart w:id="10027" w:name="_Caption2442"/>
      <w:bookmarkStart w:id="10028" w:name="_Caption9959"/>
      <w:bookmarkStart w:id="10029" w:name="_Caption2739"/>
      <w:bookmarkStart w:id="10030" w:name="_Caption3334"/>
      <w:bookmarkStart w:id="10031" w:name="_Caption9684"/>
      <w:bookmarkStart w:id="10032" w:name="_Caption7398"/>
      <w:bookmarkStart w:id="10033" w:name="_Caption4197"/>
      <w:bookmarkStart w:id="10034" w:name="_Caption0884"/>
      <w:bookmarkStart w:id="10035" w:name="_Caption0073"/>
      <w:bookmarkStart w:id="10036" w:name="_Caption5795"/>
      <w:bookmarkStart w:id="10037" w:name="_Toc177735261"/>
      <w:bookmarkStart w:id="10038" w:name="_Toc178292703"/>
      <w:r w:rsidR="008C60A3">
        <w:rPr>
          <w:noProof/>
        </w:rPr>
        <w:t>H</w:t>
      </w:r>
      <w:r w:rsidR="008C60A3" w:rsidRPr="005E5FA8">
        <w:rPr>
          <w:noProof/>
        </w:rPr>
        <w:t>.</w:t>
      </w:r>
      <w:r w:rsidR="008C60A3">
        <w:rPr>
          <w:noProof/>
        </w:rPr>
        <w:t>11</w:t>
      </w:r>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r w:rsidRPr="005E5FA8">
        <w:fldChar w:fldCharType="end"/>
      </w:r>
      <w:r w:rsidRPr="005E5FA8">
        <w:tab/>
        <w:t>Stringency Level 2 estimated costs and benefits — C3HL</w:t>
      </w:r>
      <w:bookmarkEnd w:id="10037"/>
      <w:bookmarkEnd w:id="10038"/>
    </w:p>
    <w:tbl>
      <w:tblPr>
        <w:tblW w:w="7936" w:type="dxa"/>
        <w:tblLayout w:type="fixed"/>
        <w:tblLook w:val="0000" w:firstRow="0" w:lastRow="0" w:firstColumn="0" w:lastColumn="0" w:noHBand="0" w:noVBand="0"/>
        <w:tblCaption w:val="Table G.11"/>
        <w:tblDescription w:val="Stringency Level 2 estimated costs and benefits — C3HL"/>
      </w:tblPr>
      <w:tblGrid>
        <w:gridCol w:w="2627"/>
        <w:gridCol w:w="634"/>
        <w:gridCol w:w="693"/>
        <w:gridCol w:w="664"/>
        <w:gridCol w:w="663"/>
        <w:gridCol w:w="664"/>
        <w:gridCol w:w="664"/>
        <w:gridCol w:w="663"/>
        <w:gridCol w:w="664"/>
      </w:tblGrid>
      <w:tr w:rsidR="00D24C7F" w14:paraId="7AD51AD1" w14:textId="77777777">
        <w:trPr>
          <w:trHeight w:val="245"/>
          <w:tblHeader/>
        </w:trPr>
        <w:tc>
          <w:tcPr>
            <w:tcW w:w="2627" w:type="dxa"/>
            <w:shd w:val="clear" w:color="auto" w:fill="6F6652"/>
            <w:tcMar>
              <w:left w:w="57" w:type="dxa"/>
              <w:right w:w="57" w:type="dxa"/>
            </w:tcMar>
          </w:tcPr>
          <w:p w14:paraId="74FC9375" w14:textId="77777777" w:rsidR="00D24C7F" w:rsidRDefault="00D24C7F">
            <w:pPr>
              <w:pStyle w:val="TableDataColumnHeading"/>
              <w:jc w:val="left"/>
            </w:pPr>
            <w:r>
              <w:t>Impact</w:t>
            </w:r>
          </w:p>
        </w:tc>
        <w:tc>
          <w:tcPr>
            <w:tcW w:w="634" w:type="dxa"/>
            <w:shd w:val="clear" w:color="auto" w:fill="6F6652"/>
            <w:tcMar>
              <w:left w:w="57" w:type="dxa"/>
              <w:right w:w="57" w:type="dxa"/>
            </w:tcMar>
          </w:tcPr>
          <w:p w14:paraId="18B1E824" w14:textId="77777777" w:rsidR="00D24C7F" w:rsidRDefault="00D24C7F">
            <w:pPr>
              <w:pStyle w:val="TableDataColumnHeading"/>
            </w:pPr>
            <w:r>
              <w:t>NSW (CZ5)</w:t>
            </w:r>
          </w:p>
          <w:p w14:paraId="7C2371A2" w14:textId="77777777" w:rsidR="00D24C7F" w:rsidRDefault="00D24C7F">
            <w:pPr>
              <w:pStyle w:val="TableDataColumnHeading"/>
            </w:pPr>
            <w:r>
              <w:t>$ per m2</w:t>
            </w:r>
          </w:p>
        </w:tc>
        <w:tc>
          <w:tcPr>
            <w:tcW w:w="693" w:type="dxa"/>
            <w:shd w:val="clear" w:color="auto" w:fill="6F6652"/>
            <w:tcMar>
              <w:left w:w="57" w:type="dxa"/>
              <w:right w:w="57" w:type="dxa"/>
            </w:tcMar>
          </w:tcPr>
          <w:p w14:paraId="76CB5BC5" w14:textId="77777777" w:rsidR="00D24C7F" w:rsidRDefault="00D24C7F">
            <w:pPr>
              <w:pStyle w:val="TableDataColumnHeading"/>
            </w:pPr>
            <w:r>
              <w:t>VIC (CZ6)</w:t>
            </w:r>
          </w:p>
          <w:p w14:paraId="728C8196" w14:textId="77777777" w:rsidR="00D24C7F" w:rsidRDefault="00D24C7F">
            <w:pPr>
              <w:pStyle w:val="TableDataColumnHeading"/>
            </w:pPr>
            <w:r>
              <w:t>$ per m2</w:t>
            </w:r>
          </w:p>
        </w:tc>
        <w:tc>
          <w:tcPr>
            <w:tcW w:w="664" w:type="dxa"/>
            <w:shd w:val="clear" w:color="auto" w:fill="6F6652"/>
            <w:tcMar>
              <w:left w:w="57" w:type="dxa"/>
              <w:right w:w="57" w:type="dxa"/>
            </w:tcMar>
          </w:tcPr>
          <w:p w14:paraId="13543C6C" w14:textId="77777777" w:rsidR="00D24C7F" w:rsidRDefault="00D24C7F">
            <w:pPr>
              <w:pStyle w:val="TableDataColumnHeading"/>
            </w:pPr>
            <w:r>
              <w:t>QLD (CZ2)</w:t>
            </w:r>
          </w:p>
          <w:p w14:paraId="219EC87D" w14:textId="77777777" w:rsidR="00D24C7F" w:rsidRDefault="00D24C7F">
            <w:pPr>
              <w:pStyle w:val="TableDataColumnHeading"/>
            </w:pPr>
            <w:r>
              <w:t>$ per m2</w:t>
            </w:r>
          </w:p>
        </w:tc>
        <w:tc>
          <w:tcPr>
            <w:tcW w:w="663" w:type="dxa"/>
            <w:shd w:val="clear" w:color="auto" w:fill="6F6652"/>
            <w:tcMar>
              <w:left w:w="57" w:type="dxa"/>
              <w:right w:w="57" w:type="dxa"/>
            </w:tcMar>
          </w:tcPr>
          <w:p w14:paraId="637E214D" w14:textId="77777777" w:rsidR="00D24C7F" w:rsidRDefault="00D24C7F">
            <w:pPr>
              <w:pStyle w:val="TableDataColumnHeading"/>
            </w:pPr>
            <w:r>
              <w:t>WA (CZ5)</w:t>
            </w:r>
          </w:p>
          <w:p w14:paraId="78D06228" w14:textId="77777777" w:rsidR="00D24C7F" w:rsidRDefault="00D24C7F">
            <w:pPr>
              <w:pStyle w:val="TableDataColumnHeading"/>
            </w:pPr>
            <w:r>
              <w:t>$ per m2</w:t>
            </w:r>
          </w:p>
        </w:tc>
        <w:tc>
          <w:tcPr>
            <w:tcW w:w="664" w:type="dxa"/>
            <w:shd w:val="clear" w:color="auto" w:fill="6F6652"/>
            <w:tcMar>
              <w:left w:w="57" w:type="dxa"/>
              <w:right w:w="57" w:type="dxa"/>
            </w:tcMar>
          </w:tcPr>
          <w:p w14:paraId="6D529AE7" w14:textId="77777777" w:rsidR="00D24C7F" w:rsidRDefault="00D24C7F">
            <w:pPr>
              <w:pStyle w:val="TableDataColumnHeading"/>
            </w:pPr>
            <w:r>
              <w:t>SA (CZ5)</w:t>
            </w:r>
          </w:p>
          <w:p w14:paraId="150D9239" w14:textId="77777777" w:rsidR="00D24C7F" w:rsidRDefault="00D24C7F">
            <w:pPr>
              <w:pStyle w:val="TableDataColumnHeading"/>
            </w:pPr>
            <w:r>
              <w:t>$ per m2</w:t>
            </w:r>
          </w:p>
        </w:tc>
        <w:tc>
          <w:tcPr>
            <w:tcW w:w="664" w:type="dxa"/>
            <w:shd w:val="clear" w:color="auto" w:fill="6F6652"/>
            <w:tcMar>
              <w:left w:w="57" w:type="dxa"/>
              <w:right w:w="57" w:type="dxa"/>
            </w:tcMar>
          </w:tcPr>
          <w:p w14:paraId="44AF4363" w14:textId="77777777" w:rsidR="00D24C7F" w:rsidRDefault="00D24C7F">
            <w:pPr>
              <w:pStyle w:val="TableDataColumnHeading"/>
            </w:pPr>
            <w:r>
              <w:t>TAS (CZ7)</w:t>
            </w:r>
          </w:p>
          <w:p w14:paraId="12B90D07" w14:textId="77777777" w:rsidR="00D24C7F" w:rsidRDefault="00D24C7F">
            <w:pPr>
              <w:pStyle w:val="TableDataColumnHeading"/>
            </w:pPr>
            <w:r>
              <w:t>$ per m2</w:t>
            </w:r>
          </w:p>
        </w:tc>
        <w:tc>
          <w:tcPr>
            <w:tcW w:w="663" w:type="dxa"/>
            <w:shd w:val="clear" w:color="auto" w:fill="6F6652"/>
            <w:tcMar>
              <w:left w:w="57" w:type="dxa"/>
              <w:right w:w="57" w:type="dxa"/>
            </w:tcMar>
          </w:tcPr>
          <w:p w14:paraId="603573C6" w14:textId="77777777" w:rsidR="00D24C7F" w:rsidRDefault="00D24C7F">
            <w:pPr>
              <w:pStyle w:val="TableDataColumnHeading"/>
            </w:pPr>
            <w:r>
              <w:t>ACT (CZ7)</w:t>
            </w:r>
          </w:p>
          <w:p w14:paraId="7DA74F8A" w14:textId="77777777" w:rsidR="00D24C7F" w:rsidRDefault="00D24C7F">
            <w:pPr>
              <w:pStyle w:val="TableDataColumnHeading"/>
            </w:pPr>
            <w:r>
              <w:t>$ per m2</w:t>
            </w:r>
          </w:p>
        </w:tc>
        <w:tc>
          <w:tcPr>
            <w:tcW w:w="664" w:type="dxa"/>
            <w:shd w:val="clear" w:color="auto" w:fill="6F6652"/>
            <w:tcMar>
              <w:left w:w="57" w:type="dxa"/>
              <w:right w:w="57" w:type="dxa"/>
            </w:tcMar>
          </w:tcPr>
          <w:p w14:paraId="16A34E75" w14:textId="77777777" w:rsidR="00D24C7F" w:rsidRDefault="00D24C7F">
            <w:pPr>
              <w:pStyle w:val="TableDataColumnHeading"/>
            </w:pPr>
            <w:r>
              <w:t>NT (CZ1)</w:t>
            </w:r>
          </w:p>
          <w:p w14:paraId="12059295" w14:textId="77777777" w:rsidR="00D24C7F" w:rsidRDefault="00D24C7F">
            <w:pPr>
              <w:pStyle w:val="TableDataColumnHeading"/>
            </w:pPr>
            <w:r>
              <w:t>$ per m2</w:t>
            </w:r>
          </w:p>
        </w:tc>
      </w:tr>
      <w:tr w:rsidR="00D24C7F" w14:paraId="2CCE4DF7"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72C912" w14:textId="77777777" w:rsidR="00D24C7F" w:rsidRDefault="00D24C7F">
            <w:pPr>
              <w:pStyle w:val="TableDataEntries"/>
              <w:jc w:val="left"/>
            </w:pPr>
            <w:r>
              <w:t>Avoided electricity network capacity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A98AF33" w14:textId="06F9496F" w:rsidR="00D24C7F" w:rsidRDefault="00D24C7F">
            <w:pPr>
              <w:pStyle w:val="TableDataEntries"/>
            </w:pPr>
            <w:r>
              <w:t>7.5</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861471" w14:textId="4C38CED3" w:rsidR="00D24C7F" w:rsidRDefault="00D24C7F">
            <w:pPr>
              <w:pStyle w:val="TableDataEntries"/>
            </w:pPr>
            <w:r>
              <w:t>1.3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CAEF85" w14:textId="0E56EE7E" w:rsidR="00D24C7F" w:rsidRDefault="00D24C7F">
            <w:pPr>
              <w:pStyle w:val="TableDataEntries"/>
            </w:pPr>
            <w:r>
              <w:t>8.3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C538B32" w14:textId="28A9FC28" w:rsidR="00D24C7F" w:rsidRDefault="00D24C7F">
            <w:pPr>
              <w:pStyle w:val="TableDataEntries"/>
            </w:pPr>
            <w:r>
              <w:t>1.8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C0FDAC1" w14:textId="28FFF64E" w:rsidR="00D24C7F" w:rsidRDefault="00D24C7F">
            <w:pPr>
              <w:pStyle w:val="TableDataEntries"/>
            </w:pPr>
            <w:r>
              <w:t>5.2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747CC92" w14:textId="46EB27BE" w:rsidR="00D24C7F" w:rsidRDefault="00D24C7F">
            <w:pPr>
              <w:pStyle w:val="TableDataEntries"/>
            </w:pPr>
            <w:r>
              <w:t>10.7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7FC832" w14:textId="7CA73187" w:rsidR="00D24C7F" w:rsidRDefault="00D24C7F">
            <w:pPr>
              <w:pStyle w:val="TableDataEntries"/>
            </w:pPr>
            <w:r>
              <w:t>5.3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2FE0C2" w14:textId="3EE7D277" w:rsidR="00D24C7F" w:rsidRDefault="00D24C7F">
            <w:pPr>
              <w:pStyle w:val="TableDataEntries"/>
            </w:pPr>
            <w:r>
              <w:t>7.4</w:t>
            </w:r>
          </w:p>
        </w:tc>
      </w:tr>
      <w:tr w:rsidR="00D24C7F" w14:paraId="730AF542"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191CE42" w14:textId="77777777" w:rsidR="00D24C7F" w:rsidRDefault="00D24C7F">
            <w:pPr>
              <w:pStyle w:val="TableDataEntries"/>
              <w:jc w:val="left"/>
            </w:pPr>
            <w:r>
              <w:t>Avoided electricity wholesale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A25F11" w14:textId="3CB58845" w:rsidR="00D24C7F" w:rsidRDefault="00D24C7F">
            <w:pPr>
              <w:pStyle w:val="TableDataEntries"/>
            </w:pPr>
            <w:r>
              <w:t>16.5</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25E5A5" w14:textId="0B303385" w:rsidR="00D24C7F" w:rsidRDefault="00D24C7F">
            <w:pPr>
              <w:pStyle w:val="TableDataEntries"/>
            </w:pPr>
            <w:r>
              <w:t>10.0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1E7C169" w14:textId="3728FF6A" w:rsidR="00D24C7F" w:rsidRDefault="00D24C7F">
            <w:pPr>
              <w:pStyle w:val="TableDataEntries"/>
            </w:pPr>
            <w:r>
              <w:t>20.2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F3A427" w14:textId="0A7BA6D0" w:rsidR="00D24C7F" w:rsidRDefault="00D24C7F">
            <w:pPr>
              <w:pStyle w:val="TableDataEntries"/>
            </w:pPr>
            <w:r>
              <w:t>10.8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ED18D3" w14:textId="5C3744BE" w:rsidR="00D24C7F" w:rsidRDefault="00D24C7F">
            <w:pPr>
              <w:pStyle w:val="TableDataEntries"/>
            </w:pPr>
            <w:r>
              <w:t>14.4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DE3A62" w14:textId="0E146585" w:rsidR="00D24C7F" w:rsidRDefault="00D24C7F">
            <w:pPr>
              <w:pStyle w:val="TableDataEntries"/>
            </w:pPr>
            <w:r>
              <w:t>10.6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172A961" w14:textId="43B13C3D" w:rsidR="00D24C7F" w:rsidRDefault="00D24C7F">
            <w:pPr>
              <w:pStyle w:val="TableDataEntries"/>
            </w:pPr>
            <w:r>
              <w:t>12.2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6D8B7AA" w14:textId="7AD300EB" w:rsidR="00D24C7F" w:rsidRDefault="00D24C7F">
            <w:pPr>
              <w:pStyle w:val="TableDataEntries"/>
            </w:pPr>
            <w:r>
              <w:t>30.6</w:t>
            </w:r>
          </w:p>
        </w:tc>
      </w:tr>
      <w:tr w:rsidR="00D24C7F" w14:paraId="17C03BE8"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6FD29A" w14:textId="77777777" w:rsidR="00D24C7F" w:rsidRDefault="00D24C7F">
            <w:pPr>
              <w:pStyle w:val="TableDataEntries"/>
              <w:jc w:val="left"/>
            </w:pPr>
            <w:r>
              <w:t>Avoided electricity network usage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AEF0789" w14:textId="571AA68A" w:rsidR="00D24C7F" w:rsidRDefault="00D24C7F">
            <w:pPr>
              <w:pStyle w:val="TableDataEntries"/>
            </w:pPr>
            <w:r>
              <w:t>8.9</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00BEFB" w14:textId="5C968F99" w:rsidR="00D24C7F" w:rsidRDefault="00D24C7F">
            <w:pPr>
              <w:pStyle w:val="TableDataEntries"/>
            </w:pPr>
            <w:r>
              <w:t>9.3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AB5D1B" w14:textId="55D94015" w:rsidR="00D24C7F" w:rsidRDefault="00D24C7F">
            <w:pPr>
              <w:pStyle w:val="TableDataEntries"/>
            </w:pPr>
            <w:r>
              <w:t>10.9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B1F97F3" w14:textId="5A4B5F65" w:rsidR="00D24C7F" w:rsidRDefault="00D24C7F">
            <w:pPr>
              <w:pStyle w:val="TableDataEntries"/>
            </w:pPr>
            <w:r>
              <w:t>20.7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614EF29" w14:textId="0A379139" w:rsidR="00D24C7F" w:rsidRDefault="00D24C7F">
            <w:pPr>
              <w:pStyle w:val="TableDataEntries"/>
            </w:pPr>
            <w:r>
              <w:t>23.5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C27E656" w14:textId="55D2430B" w:rsidR="00D24C7F" w:rsidRDefault="00D24C7F">
            <w:pPr>
              <w:pStyle w:val="TableDataEntries"/>
            </w:pPr>
            <w:r>
              <w:t>15.8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BC6768" w14:textId="338D623F" w:rsidR="00D24C7F" w:rsidRDefault="00D24C7F">
            <w:pPr>
              <w:pStyle w:val="TableDataEntries"/>
            </w:pPr>
            <w:r>
              <w:t>9.2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3D7C57D" w14:textId="3B2EFE85" w:rsidR="00D24C7F" w:rsidRDefault="00D24C7F">
            <w:pPr>
              <w:pStyle w:val="TableDataEntries"/>
            </w:pPr>
            <w:r>
              <w:t>18.3</w:t>
            </w:r>
          </w:p>
        </w:tc>
      </w:tr>
      <w:tr w:rsidR="00D24C7F" w14:paraId="2A984029"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4C6F18C" w14:textId="77777777" w:rsidR="00D24C7F" w:rsidRDefault="00D24C7F">
            <w:pPr>
              <w:pStyle w:val="TableDataEntries"/>
              <w:jc w:val="left"/>
            </w:pPr>
            <w:r>
              <w:t>Avoided electricity retail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F2D5F87" w14:textId="7BA74DC6" w:rsidR="00D24C7F" w:rsidRDefault="00D24C7F">
            <w:pPr>
              <w:pStyle w:val="TableDataEntries"/>
            </w:pPr>
            <w:r>
              <w:t>4.9</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B68574" w14:textId="5B7FE469" w:rsidR="00D24C7F" w:rsidRDefault="00D24C7F">
            <w:pPr>
              <w:pStyle w:val="TableDataEntries"/>
            </w:pPr>
            <w:r>
              <w:t>3.1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72A6A97" w14:textId="10E3E08F" w:rsidR="00D24C7F" w:rsidRDefault="00D24C7F">
            <w:pPr>
              <w:pStyle w:val="TableDataEntries"/>
            </w:pPr>
            <w:r>
              <w:t>5.9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147E637" w14:textId="2826D397" w:rsidR="00D24C7F" w:rsidRDefault="00D24C7F">
            <w:pPr>
              <w:pStyle w:val="TableDataEntries"/>
            </w:pPr>
            <w:r>
              <w:t>5.0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E57B122" w14:textId="536A54E3" w:rsidR="00D24C7F" w:rsidRDefault="00D24C7F">
            <w:pPr>
              <w:pStyle w:val="TableDataEntries"/>
            </w:pPr>
            <w:r>
              <w:t>6.4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334795" w14:textId="196269B8" w:rsidR="00D24C7F" w:rsidRDefault="00D24C7F">
            <w:pPr>
              <w:pStyle w:val="TableDataEntries"/>
            </w:pPr>
            <w:r>
              <w:t>5.6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B4DFE11" w14:textId="620FE1A1" w:rsidR="00D24C7F" w:rsidRDefault="00D24C7F">
            <w:pPr>
              <w:pStyle w:val="TableDataEntries"/>
            </w:pPr>
            <w:r>
              <w:t>4.0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A188AF9" w14:textId="0D554AE1" w:rsidR="00D24C7F" w:rsidRDefault="00D24C7F">
            <w:pPr>
              <w:pStyle w:val="TableDataEntries"/>
            </w:pPr>
            <w:r>
              <w:t>8.4</w:t>
            </w:r>
          </w:p>
        </w:tc>
      </w:tr>
      <w:tr w:rsidR="00D24C7F" w14:paraId="31A34DB4"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DE2263C" w14:textId="77777777" w:rsidR="00D24C7F" w:rsidRDefault="00D24C7F">
            <w:pPr>
              <w:pStyle w:val="TableDataEntries"/>
              <w:jc w:val="left"/>
            </w:pPr>
            <w:r>
              <w:t>Electricity exported to grid</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E18E42" w14:textId="033C565D" w:rsidR="00D24C7F" w:rsidRDefault="00D24C7F">
            <w:pPr>
              <w:pStyle w:val="TableDataEntries"/>
            </w:pPr>
            <w:r>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1B583E" w14:textId="29FB802F"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B14E2F8" w14:textId="09029924"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B541085" w14:textId="456F1051"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30AB9A6" w14:textId="1DE7426B"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D80EE8C" w14:textId="2E37D510"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64C3126" w14:textId="1FA55DE7"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40652CC" w14:textId="564F5E24" w:rsidR="00D24C7F" w:rsidRDefault="00D24C7F">
            <w:pPr>
              <w:pStyle w:val="TableDataEntries"/>
            </w:pPr>
            <w:r>
              <w:t>0.0</w:t>
            </w:r>
          </w:p>
        </w:tc>
      </w:tr>
      <w:tr w:rsidR="00D24C7F" w14:paraId="6CA74B73"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0E8B3F4" w14:textId="77777777" w:rsidR="00D24C7F" w:rsidRDefault="00D24C7F">
            <w:pPr>
              <w:pStyle w:val="TableDataEntries"/>
              <w:jc w:val="left"/>
            </w:pPr>
            <w:r>
              <w:t>Electricity exports — network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4C6F01" w14:textId="281116A3" w:rsidR="00D24C7F" w:rsidRDefault="00D24C7F">
            <w:pPr>
              <w:pStyle w:val="TableDataEntries"/>
            </w:pPr>
            <w:r>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14B71A0" w14:textId="7787D869"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52CF0F" w14:textId="00F295C8"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1DE3450" w14:textId="4EC397D8"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89ADF1" w14:textId="1B40E893"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0E2B7F7" w14:textId="0C0750FA"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B84829" w14:textId="76E54112"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CB52709" w14:textId="5D4EC8E4" w:rsidR="00D24C7F" w:rsidRDefault="00D24C7F">
            <w:pPr>
              <w:pStyle w:val="TableDataEntries"/>
            </w:pPr>
            <w:r>
              <w:t>0.0</w:t>
            </w:r>
          </w:p>
        </w:tc>
      </w:tr>
      <w:tr w:rsidR="00D24C7F" w14:paraId="27A8CB97"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9066A0B" w14:textId="77777777" w:rsidR="00D24C7F" w:rsidRDefault="00D24C7F">
            <w:pPr>
              <w:pStyle w:val="TableDataEntries"/>
              <w:jc w:val="left"/>
            </w:pPr>
            <w:r>
              <w:t>Avoided gas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1F1E29" w14:textId="1CAEB2C4" w:rsidR="00D24C7F" w:rsidRDefault="00D24C7F">
            <w:pPr>
              <w:pStyle w:val="TableDataEntries"/>
            </w:pPr>
            <w:r>
              <w:t>-2.2</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2D4CF87" w14:textId="07C5AD52" w:rsidR="00D24C7F" w:rsidRDefault="00D24C7F">
            <w:pPr>
              <w:pStyle w:val="TableDataEntries"/>
            </w:pPr>
            <w:r>
              <w:t>-5.1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92A5692" w14:textId="493BE2A1" w:rsidR="00D24C7F" w:rsidRDefault="00D24C7F">
            <w:pPr>
              <w:pStyle w:val="TableDataEntries"/>
            </w:pPr>
            <w:r>
              <w:t>-0.9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47E16E" w14:textId="4A209990" w:rsidR="00D24C7F" w:rsidRDefault="00D24C7F">
            <w:pPr>
              <w:pStyle w:val="TableDataEntries"/>
            </w:pPr>
            <w:r>
              <w:t>-2.3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9FE9E4" w14:textId="01725E71" w:rsidR="00D24C7F" w:rsidRDefault="00D24C7F">
            <w:pPr>
              <w:pStyle w:val="TableDataEntries"/>
            </w:pPr>
            <w:r>
              <w:t>-2.4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9DC9AC2" w14:textId="1184194D" w:rsidR="00D24C7F" w:rsidRDefault="00D24C7F">
            <w:pPr>
              <w:pStyle w:val="TableDataEntries"/>
            </w:pPr>
            <w:r>
              <w:t>-7.4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F29D087" w14:textId="7D1C455E" w:rsidR="00D24C7F" w:rsidRDefault="00D24C7F">
            <w:pPr>
              <w:pStyle w:val="TableDataEntries"/>
            </w:pPr>
            <w:r>
              <w:t>-5.2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231B2E4" w14:textId="0F653D64" w:rsidR="00D24C7F" w:rsidRDefault="00D24C7F">
            <w:pPr>
              <w:pStyle w:val="TableDataEntries"/>
            </w:pPr>
            <w:r>
              <w:t>0.0</w:t>
            </w:r>
          </w:p>
        </w:tc>
      </w:tr>
      <w:tr w:rsidR="00D24C7F" w14:paraId="42BCF4A7"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19735E0" w14:textId="77777777" w:rsidR="00D24C7F" w:rsidRDefault="00D24C7F">
            <w:pPr>
              <w:pStyle w:val="TableDataEntries"/>
              <w:jc w:val="left"/>
            </w:pPr>
            <w:r>
              <w:t>Avoided GHG emissions –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FA99EE" w14:textId="68F93A27" w:rsidR="00D24C7F" w:rsidRDefault="00D24C7F">
            <w:pPr>
              <w:pStyle w:val="TableDataEntries"/>
            </w:pPr>
            <w:r>
              <w:t>8.6</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8F02B35" w14:textId="69232E21" w:rsidR="00D24C7F" w:rsidRDefault="00D24C7F">
            <w:pPr>
              <w:pStyle w:val="TableDataEntries"/>
            </w:pPr>
            <w:r>
              <w:t>10.2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0B671E4" w14:textId="6EE6F654" w:rsidR="00D24C7F" w:rsidRDefault="00D24C7F">
            <w:pPr>
              <w:pStyle w:val="TableDataEntries"/>
            </w:pPr>
            <w:r>
              <w:t>26.7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23BDEF1" w14:textId="5E6582C4" w:rsidR="00D24C7F" w:rsidRDefault="00D24C7F">
            <w:pPr>
              <w:pStyle w:val="TableDataEntries"/>
            </w:pPr>
            <w:r>
              <w:t>12.8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E4965A" w14:textId="4F1A2A08" w:rsidR="00D24C7F" w:rsidRDefault="00D24C7F">
            <w:pPr>
              <w:pStyle w:val="TableDataEntries"/>
            </w:pPr>
            <w:r>
              <w:t>9.3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68A329" w14:textId="49257536" w:rsidR="00D24C7F" w:rsidRDefault="00D24C7F">
            <w:pPr>
              <w:pStyle w:val="TableDataEntries"/>
            </w:pPr>
            <w:r>
              <w:t>0.9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4812AA" w14:textId="6F3B394F" w:rsidR="00D24C7F" w:rsidRDefault="00D24C7F">
            <w:pPr>
              <w:pStyle w:val="TableDataEntries"/>
            </w:pPr>
            <w:r>
              <w:t>6.1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00FB7E" w14:textId="385A30FE" w:rsidR="00D24C7F" w:rsidRDefault="00D24C7F">
            <w:pPr>
              <w:pStyle w:val="TableDataEntries"/>
            </w:pPr>
            <w:r>
              <w:t>29.4</w:t>
            </w:r>
          </w:p>
        </w:tc>
      </w:tr>
      <w:tr w:rsidR="00D24C7F" w14:paraId="1BEB230E"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028960" w14:textId="77777777" w:rsidR="00D24C7F" w:rsidRDefault="00D24C7F">
            <w:pPr>
              <w:pStyle w:val="TableDataEntries"/>
              <w:jc w:val="left"/>
            </w:pPr>
            <w:r>
              <w:t>Avoided GHG emissions – exported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A5D187F" w14:textId="3024355B" w:rsidR="00D24C7F" w:rsidRDefault="00D24C7F">
            <w:pPr>
              <w:pStyle w:val="TableDataEntries"/>
            </w:pPr>
            <w:r>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08173D7" w14:textId="70BA20C8"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145BF51" w14:textId="246E97EA"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BC979D1" w14:textId="7F989EE9"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B531647" w14:textId="5286EC23"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8A62FB" w14:textId="1DDD2CD6"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041213" w14:textId="31B71C20"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36230B" w14:textId="2B513596" w:rsidR="00D24C7F" w:rsidRDefault="00D24C7F">
            <w:pPr>
              <w:pStyle w:val="TableDataEntries"/>
            </w:pPr>
            <w:r>
              <w:t>0.0</w:t>
            </w:r>
          </w:p>
        </w:tc>
      </w:tr>
      <w:tr w:rsidR="00D24C7F" w14:paraId="79AC63E4"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ACA38F" w14:textId="77777777" w:rsidR="00D24C7F" w:rsidRDefault="00D24C7F">
            <w:pPr>
              <w:pStyle w:val="TableDataEntries"/>
              <w:jc w:val="left"/>
            </w:pPr>
            <w:r>
              <w:t>Avoided GHG emissions – gas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0B65C3" w14:textId="33C1384A" w:rsidR="00D24C7F" w:rsidRDefault="00D24C7F">
            <w:pPr>
              <w:pStyle w:val="TableDataEntries"/>
            </w:pPr>
            <w:r>
              <w:t>-4.6</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84BC83F" w14:textId="1087DE64" w:rsidR="00D24C7F" w:rsidRDefault="00D24C7F">
            <w:pPr>
              <w:pStyle w:val="TableDataEntries"/>
            </w:pPr>
            <w:r>
              <w:t>-8.7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4E13FF" w14:textId="7EEF4D2A" w:rsidR="00D24C7F" w:rsidRDefault="00D24C7F">
            <w:pPr>
              <w:pStyle w:val="TableDataEntries"/>
            </w:pPr>
            <w:r>
              <w:t>-2.2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461E1E5" w14:textId="15DCE1C1" w:rsidR="00D24C7F" w:rsidRDefault="00D24C7F">
            <w:pPr>
              <w:pStyle w:val="TableDataEntries"/>
            </w:pPr>
            <w:r>
              <w:t>-4.0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23FA3E" w14:textId="438DF135" w:rsidR="00D24C7F" w:rsidRDefault="00D24C7F">
            <w:pPr>
              <w:pStyle w:val="TableDataEntries"/>
            </w:pPr>
            <w:r>
              <w:t>-4.4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143CD26" w14:textId="2BAF4770" w:rsidR="00D24C7F" w:rsidRDefault="00D24C7F">
            <w:pPr>
              <w:pStyle w:val="TableDataEntries"/>
            </w:pPr>
            <w:r>
              <w:t>-9.3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222696" w14:textId="03407C2A" w:rsidR="00D24C7F" w:rsidRDefault="00D24C7F">
            <w:pPr>
              <w:pStyle w:val="TableDataEntries"/>
            </w:pPr>
            <w:r>
              <w:t>-10.9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2F2508" w14:textId="712CD1BE" w:rsidR="00D24C7F" w:rsidRDefault="00D24C7F">
            <w:pPr>
              <w:pStyle w:val="TableDataEntries"/>
            </w:pPr>
            <w:r>
              <w:t>0.0</w:t>
            </w:r>
          </w:p>
        </w:tc>
      </w:tr>
      <w:tr w:rsidR="00D24C7F" w14:paraId="76511E01"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58126AD" w14:textId="77777777" w:rsidR="00D24C7F" w:rsidRDefault="00D24C7F">
            <w:pPr>
              <w:pStyle w:val="TableDataEntries"/>
              <w:jc w:val="left"/>
            </w:pPr>
            <w:r>
              <w:t>Capital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B596A3" w14:textId="01494007" w:rsidR="00D24C7F" w:rsidRDefault="00D24C7F">
            <w:pPr>
              <w:pStyle w:val="TableDataEntries"/>
            </w:pPr>
            <w:r>
              <w:t>24.6</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F60B240" w14:textId="4FD9B6CB" w:rsidR="00D24C7F" w:rsidRDefault="00D24C7F">
            <w:pPr>
              <w:pStyle w:val="TableDataEntries"/>
            </w:pPr>
            <w:r>
              <w:t>17.6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BA2FC38" w14:textId="1BA6D757" w:rsidR="00D24C7F" w:rsidRDefault="00D24C7F">
            <w:pPr>
              <w:pStyle w:val="TableDataEntries"/>
            </w:pPr>
            <w:r>
              <w:t>34.8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B2C850" w14:textId="15813DA4" w:rsidR="00D24C7F" w:rsidRDefault="00D24C7F">
            <w:pPr>
              <w:pStyle w:val="TableDataEntries"/>
            </w:pPr>
            <w:r>
              <w:t>24.6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3BB61FA" w14:textId="53E429DF" w:rsidR="00D24C7F" w:rsidRDefault="00D24C7F">
            <w:pPr>
              <w:pStyle w:val="TableDataEntries"/>
            </w:pPr>
            <w:r>
              <w:t>24.6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AAA783" w14:textId="42B0C885" w:rsidR="00D24C7F" w:rsidRDefault="00D24C7F">
            <w:pPr>
              <w:pStyle w:val="TableDataEntries"/>
            </w:pPr>
            <w:r>
              <w:t>24.5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BE91172" w14:textId="6BC48457" w:rsidR="00D24C7F" w:rsidRDefault="00D24C7F">
            <w:pPr>
              <w:pStyle w:val="TableDataEntries"/>
            </w:pPr>
            <w:r>
              <w:t>24.5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74F3FD8" w14:textId="7C69A5F7" w:rsidR="00D24C7F" w:rsidRDefault="00D24C7F">
            <w:pPr>
              <w:pStyle w:val="TableDataEntries"/>
            </w:pPr>
            <w:r>
              <w:t>40.3</w:t>
            </w:r>
          </w:p>
        </w:tc>
      </w:tr>
      <w:tr w:rsidR="00D24C7F" w:rsidRPr="00680E13" w14:paraId="44ADCB0E" w14:textId="77777777">
        <w:trPr>
          <w:trHeight w:val="245"/>
        </w:trPr>
        <w:tc>
          <w:tcPr>
            <w:tcW w:w="2627"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0F8F2B8" w14:textId="77777777" w:rsidR="00D24C7F" w:rsidRPr="00680E13" w:rsidRDefault="00D24C7F">
            <w:pPr>
              <w:pStyle w:val="TableDataEntries"/>
              <w:jc w:val="left"/>
              <w:rPr>
                <w:rFonts w:ascii="Franklin Gothic Demi" w:hAnsi="Franklin Gothic Demi"/>
              </w:rPr>
            </w:pPr>
            <w:r w:rsidRPr="00680E13">
              <w:rPr>
                <w:rFonts w:ascii="Franklin Gothic Demi" w:hAnsi="Franklin Gothic Demi"/>
              </w:rPr>
              <w:t>Total</w:t>
            </w:r>
          </w:p>
        </w:tc>
        <w:tc>
          <w:tcPr>
            <w:tcW w:w="63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984351E" w14:textId="302716DE" w:rsidR="00D24C7F" w:rsidRPr="00680E13" w:rsidRDefault="00D24C7F">
            <w:pPr>
              <w:pStyle w:val="TableDataEntries"/>
              <w:rPr>
                <w:rFonts w:ascii="Franklin Gothic Demi" w:hAnsi="Franklin Gothic Demi"/>
              </w:rPr>
            </w:pPr>
            <w:r w:rsidRPr="00680E13">
              <w:rPr>
                <w:rFonts w:ascii="Franklin Gothic Demi" w:hAnsi="Franklin Gothic Demi"/>
              </w:rPr>
              <w:t>64.2</w:t>
            </w:r>
          </w:p>
        </w:tc>
        <w:tc>
          <w:tcPr>
            <w:tcW w:w="69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FF6832F" w14:textId="65938C7B" w:rsidR="00D24C7F" w:rsidRPr="00680E13" w:rsidRDefault="00D24C7F">
            <w:pPr>
              <w:pStyle w:val="TableDataEntries"/>
              <w:rPr>
                <w:rFonts w:ascii="Franklin Gothic Demi" w:hAnsi="Franklin Gothic Demi"/>
              </w:rPr>
            </w:pPr>
            <w:r w:rsidRPr="00680E13">
              <w:rPr>
                <w:rFonts w:ascii="Franklin Gothic Demi" w:hAnsi="Franklin Gothic Demi"/>
              </w:rPr>
              <w:t>37.6</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F138043" w14:textId="3DF873A1" w:rsidR="00D24C7F" w:rsidRPr="00680E13" w:rsidRDefault="00D24C7F">
            <w:pPr>
              <w:pStyle w:val="TableDataEntries"/>
              <w:rPr>
                <w:rFonts w:ascii="Franklin Gothic Demi" w:hAnsi="Franklin Gothic Demi"/>
              </w:rPr>
            </w:pPr>
            <w:r w:rsidRPr="00680E13">
              <w:rPr>
                <w:rFonts w:ascii="Franklin Gothic Demi" w:hAnsi="Franklin Gothic Demi"/>
              </w:rPr>
              <w:t>103.7</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4A2C4A2E" w14:textId="532DECC3" w:rsidR="00D24C7F" w:rsidRPr="00680E13" w:rsidRDefault="00D24C7F">
            <w:pPr>
              <w:pStyle w:val="TableDataEntries"/>
              <w:rPr>
                <w:rFonts w:ascii="Franklin Gothic Demi" w:hAnsi="Franklin Gothic Demi"/>
              </w:rPr>
            </w:pPr>
            <w:r w:rsidRPr="00680E13">
              <w:rPr>
                <w:rFonts w:ascii="Franklin Gothic Demi" w:hAnsi="Franklin Gothic Demi"/>
              </w:rPr>
              <w:t>69.6</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0269743" w14:textId="0196C433" w:rsidR="00D24C7F" w:rsidRPr="00680E13" w:rsidRDefault="00D24C7F">
            <w:pPr>
              <w:pStyle w:val="TableDataEntries"/>
              <w:rPr>
                <w:rFonts w:ascii="Franklin Gothic Demi" w:hAnsi="Franklin Gothic Demi"/>
              </w:rPr>
            </w:pPr>
            <w:r w:rsidRPr="00680E13">
              <w:rPr>
                <w:rFonts w:ascii="Franklin Gothic Demi" w:hAnsi="Franklin Gothic Demi"/>
              </w:rPr>
              <w:t>76.5</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385A2EF" w14:textId="3EFCA667" w:rsidR="00D24C7F" w:rsidRPr="00680E13" w:rsidRDefault="00D24C7F">
            <w:pPr>
              <w:pStyle w:val="TableDataEntries"/>
              <w:rPr>
                <w:rFonts w:ascii="Franklin Gothic Demi" w:hAnsi="Franklin Gothic Demi"/>
              </w:rPr>
            </w:pPr>
            <w:r w:rsidRPr="00680E13">
              <w:rPr>
                <w:rFonts w:ascii="Franklin Gothic Demi" w:hAnsi="Franklin Gothic Demi"/>
              </w:rPr>
              <w:t>51.2</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8C86A24" w14:textId="797D7F02" w:rsidR="00D24C7F" w:rsidRPr="00680E13" w:rsidRDefault="00D24C7F">
            <w:pPr>
              <w:pStyle w:val="TableDataEntries"/>
              <w:rPr>
                <w:rFonts w:ascii="Franklin Gothic Demi" w:hAnsi="Franklin Gothic Demi"/>
              </w:rPr>
            </w:pPr>
            <w:r w:rsidRPr="00680E13">
              <w:rPr>
                <w:rFonts w:ascii="Franklin Gothic Demi" w:hAnsi="Franklin Gothic Demi"/>
              </w:rPr>
              <w:t>45.2</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7B9CAD35" w14:textId="352B3D1A" w:rsidR="00D24C7F" w:rsidRPr="00680E13" w:rsidRDefault="00D24C7F">
            <w:pPr>
              <w:pStyle w:val="TableDataEntries"/>
              <w:rPr>
                <w:rFonts w:ascii="Franklin Gothic Demi" w:hAnsi="Franklin Gothic Demi"/>
              </w:rPr>
            </w:pPr>
            <w:r w:rsidRPr="00680E13">
              <w:rPr>
                <w:rFonts w:ascii="Franklin Gothic Demi" w:hAnsi="Franklin Gothic Demi"/>
              </w:rPr>
              <w:t>134.4</w:t>
            </w:r>
          </w:p>
        </w:tc>
      </w:tr>
    </w:tbl>
    <w:p w14:paraId="5A53BB37" w14:textId="77777777" w:rsidR="00D24C7F" w:rsidRDefault="00D24C7F" w:rsidP="00D24C7F">
      <w:pPr>
        <w:pStyle w:val="Note"/>
      </w:pPr>
      <w:r w:rsidRPr="007D1B4F">
        <w:rPr>
          <w:i/>
        </w:rPr>
        <w:t>Note:</w:t>
      </w:r>
      <w:r w:rsidRPr="00E879B8">
        <w:t xml:space="preserve"> </w:t>
      </w:r>
      <w:r>
        <w:t>Costs and benefits estimated in present value terms over the 50</w:t>
      </w:r>
      <w:r>
        <w:noBreakHyphen/>
        <w:t xml:space="preserve">year life of a building constructed in 2025, using a discount rate of 5 per cent. </w:t>
      </w:r>
    </w:p>
    <w:p w14:paraId="594212BB" w14:textId="77777777" w:rsidR="00D24C7F" w:rsidRDefault="00D24C7F" w:rsidP="00D24C7F">
      <w:pPr>
        <w:pStyle w:val="Source"/>
      </w:pPr>
      <w:r>
        <w:rPr>
          <w:i/>
        </w:rPr>
        <w:t>Source</w:t>
      </w:r>
      <w:r w:rsidRPr="00E4232C">
        <w:rPr>
          <w:i/>
        </w:rPr>
        <w:t>:</w:t>
      </w:r>
      <w:r>
        <w:t xml:space="preserve"> CIE based on DeltaQ modelling.</w:t>
      </w:r>
    </w:p>
    <w:p w14:paraId="56D58366" w14:textId="59D21148" w:rsidR="00D24C7F" w:rsidRPr="005E5FA8" w:rsidRDefault="00D24C7F" w:rsidP="00D24C7F">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w:instrText>
      </w:r>
      <w:fldSimple w:instr=" STYLEREF &quot;Heading 1&quot; \l \n ">
        <w:r w:rsidRPr="005E5FA8">
          <w:instrText>2</w:instrText>
        </w:r>
      </w:fldSimple>
      <w:r w:rsidRPr="005E5FA8">
        <w:instrText xml:space="preserve">." </w:instrText>
      </w:r>
      <w:r w:rsidRPr="005E5FA8">
        <w:fldChar w:fldCharType="end"/>
      </w:r>
      <w:r w:rsidRPr="005E5FA8">
        <w:instrText>" "</w:instrText>
      </w:r>
      <w:fldSimple w:instr=" STYLEREF &quot;Heading 6&quot; \l \n ">
        <w:r w:rsidR="00581346">
          <w:rPr>
            <w:noProof/>
          </w:rPr>
          <w:instrText>H</w:instrText>
        </w:r>
      </w:fldSimple>
      <w:r w:rsidRPr="005E5FA8">
        <w:instrText xml:space="preserve">." </w:instrText>
      </w:r>
      <w:r w:rsidRPr="005E5FA8">
        <w:fldChar w:fldCharType="separate"/>
      </w:r>
      <w:r w:rsidR="00581346">
        <w:rPr>
          <w:noProof/>
        </w:rPr>
        <w:instrText>H</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"1" </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12</w:instrText>
      </w:r>
      <w:r w:rsidRPr="005E5FA8">
        <w:fldChar w:fldCharType="end"/>
      </w:r>
      <w:r w:rsidRPr="005E5FA8">
        <w:instrText xml:space="preserve">" "" </w:instrText>
      </w:r>
      <w:r w:rsidRPr="005E5FA8">
        <w:fldChar w:fldCharType="separate"/>
      </w:r>
      <w:bookmarkStart w:id="10039" w:name="_Caption5305"/>
      <w:bookmarkStart w:id="10040" w:name="_Caption9179"/>
      <w:bookmarkStart w:id="10041" w:name="_Caption6734"/>
      <w:bookmarkStart w:id="10042" w:name="_Caption5836"/>
      <w:bookmarkStart w:id="10043" w:name="_Caption6169"/>
      <w:bookmarkStart w:id="10044" w:name="_Caption7278"/>
      <w:bookmarkStart w:id="10045" w:name="_Caption2255"/>
      <w:bookmarkStart w:id="10046" w:name="_Caption9136"/>
      <w:bookmarkStart w:id="10047" w:name="_Caption3132"/>
      <w:bookmarkStart w:id="10048" w:name="_Caption5984"/>
      <w:bookmarkStart w:id="10049" w:name="_Caption6064"/>
      <w:bookmarkStart w:id="10050" w:name="_Caption7404"/>
      <w:bookmarkStart w:id="10051" w:name="_Caption7820"/>
      <w:bookmarkStart w:id="10052" w:name="_Caption1978"/>
      <w:bookmarkStart w:id="10053" w:name="_Caption2176"/>
      <w:bookmarkStart w:id="10054" w:name="_Caption7069"/>
      <w:bookmarkStart w:id="10055" w:name="_Caption6334"/>
      <w:bookmarkStart w:id="10056" w:name="_Caption1385"/>
      <w:bookmarkStart w:id="10057" w:name="_Caption5672"/>
      <w:bookmarkStart w:id="10058" w:name="_Caption5958"/>
      <w:bookmarkStart w:id="10059" w:name="_Caption2619"/>
      <w:bookmarkStart w:id="10060" w:name="_Caption9432"/>
      <w:bookmarkStart w:id="10061" w:name="_Caption4520"/>
      <w:bookmarkStart w:id="10062" w:name="_Caption6968"/>
      <w:bookmarkStart w:id="10063" w:name="_Caption7009"/>
      <w:bookmarkStart w:id="10064" w:name="_Caption9589"/>
      <w:bookmarkStart w:id="10065" w:name="_Caption2721"/>
      <w:bookmarkStart w:id="10066" w:name="_Caption9343"/>
      <w:bookmarkStart w:id="10067" w:name="_Caption5506"/>
      <w:bookmarkStart w:id="10068" w:name="_Caption6807"/>
      <w:bookmarkStart w:id="10069" w:name="_Toc177735262"/>
      <w:bookmarkStart w:id="10070" w:name="_Toc178292704"/>
      <w:r w:rsidR="008C60A3">
        <w:rPr>
          <w:noProof/>
        </w:rPr>
        <w:t>H</w:t>
      </w:r>
      <w:r w:rsidR="008C60A3" w:rsidRPr="005E5FA8">
        <w:rPr>
          <w:noProof/>
        </w:rPr>
        <w:t>.</w:t>
      </w:r>
      <w:r w:rsidR="008C60A3">
        <w:rPr>
          <w:noProof/>
        </w:rPr>
        <w:t>12</w:t>
      </w:r>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r w:rsidRPr="005E5FA8">
        <w:fldChar w:fldCharType="end"/>
      </w:r>
      <w:r w:rsidRPr="005E5FA8">
        <w:tab/>
        <w:t>Stringency Level 2 estimated costs and benefits — C5OS</w:t>
      </w:r>
      <w:bookmarkEnd w:id="10069"/>
      <w:bookmarkEnd w:id="10070"/>
    </w:p>
    <w:tbl>
      <w:tblPr>
        <w:tblW w:w="7936" w:type="dxa"/>
        <w:tblLayout w:type="fixed"/>
        <w:tblLook w:val="0000" w:firstRow="0" w:lastRow="0" w:firstColumn="0" w:lastColumn="0" w:noHBand="0" w:noVBand="0"/>
        <w:tblCaption w:val="Table G.12"/>
        <w:tblDescription w:val="Stringency Level 2 estimated costs and benefits — C5OS"/>
      </w:tblPr>
      <w:tblGrid>
        <w:gridCol w:w="2627"/>
        <w:gridCol w:w="634"/>
        <w:gridCol w:w="693"/>
        <w:gridCol w:w="664"/>
        <w:gridCol w:w="663"/>
        <w:gridCol w:w="664"/>
        <w:gridCol w:w="664"/>
        <w:gridCol w:w="663"/>
        <w:gridCol w:w="664"/>
      </w:tblGrid>
      <w:tr w:rsidR="00D24C7F" w14:paraId="6E38AC2D" w14:textId="77777777">
        <w:trPr>
          <w:trHeight w:val="245"/>
          <w:tblHeader/>
        </w:trPr>
        <w:tc>
          <w:tcPr>
            <w:tcW w:w="2627" w:type="dxa"/>
            <w:shd w:val="clear" w:color="auto" w:fill="6F6652"/>
            <w:tcMar>
              <w:left w:w="57" w:type="dxa"/>
              <w:right w:w="57" w:type="dxa"/>
            </w:tcMar>
          </w:tcPr>
          <w:p w14:paraId="581EB65F" w14:textId="77777777" w:rsidR="00D24C7F" w:rsidRDefault="00D24C7F">
            <w:pPr>
              <w:pStyle w:val="TableDataColumnHeading"/>
              <w:jc w:val="left"/>
            </w:pPr>
            <w:r>
              <w:t>Impact</w:t>
            </w:r>
          </w:p>
        </w:tc>
        <w:tc>
          <w:tcPr>
            <w:tcW w:w="634" w:type="dxa"/>
            <w:shd w:val="clear" w:color="auto" w:fill="6F6652"/>
            <w:tcMar>
              <w:left w:w="57" w:type="dxa"/>
              <w:right w:w="57" w:type="dxa"/>
            </w:tcMar>
          </w:tcPr>
          <w:p w14:paraId="2D473DF1" w14:textId="77777777" w:rsidR="00D24C7F" w:rsidRDefault="00D24C7F">
            <w:pPr>
              <w:pStyle w:val="TableDataColumnHeading"/>
            </w:pPr>
            <w:r>
              <w:t>NSW (CZ5)</w:t>
            </w:r>
          </w:p>
          <w:p w14:paraId="212021D1" w14:textId="77777777" w:rsidR="00D24C7F" w:rsidRDefault="00D24C7F">
            <w:pPr>
              <w:pStyle w:val="TableDataColumnHeading"/>
            </w:pPr>
            <w:r>
              <w:t>$ per m2</w:t>
            </w:r>
          </w:p>
        </w:tc>
        <w:tc>
          <w:tcPr>
            <w:tcW w:w="693" w:type="dxa"/>
            <w:shd w:val="clear" w:color="auto" w:fill="6F6652"/>
            <w:tcMar>
              <w:left w:w="57" w:type="dxa"/>
              <w:right w:w="57" w:type="dxa"/>
            </w:tcMar>
          </w:tcPr>
          <w:p w14:paraId="68BE0B8A" w14:textId="77777777" w:rsidR="00D24C7F" w:rsidRDefault="00D24C7F">
            <w:pPr>
              <w:pStyle w:val="TableDataColumnHeading"/>
            </w:pPr>
            <w:r>
              <w:t>VIC (CZ6)</w:t>
            </w:r>
          </w:p>
          <w:p w14:paraId="5DCDAB50" w14:textId="77777777" w:rsidR="00D24C7F" w:rsidRDefault="00D24C7F">
            <w:pPr>
              <w:pStyle w:val="TableDataColumnHeading"/>
            </w:pPr>
            <w:r>
              <w:t>$ per m2</w:t>
            </w:r>
          </w:p>
        </w:tc>
        <w:tc>
          <w:tcPr>
            <w:tcW w:w="664" w:type="dxa"/>
            <w:shd w:val="clear" w:color="auto" w:fill="6F6652"/>
            <w:tcMar>
              <w:left w:w="57" w:type="dxa"/>
              <w:right w:w="57" w:type="dxa"/>
            </w:tcMar>
          </w:tcPr>
          <w:p w14:paraId="3631F168" w14:textId="77777777" w:rsidR="00D24C7F" w:rsidRDefault="00D24C7F">
            <w:pPr>
              <w:pStyle w:val="TableDataColumnHeading"/>
            </w:pPr>
            <w:r>
              <w:t>QLD (CZ2)</w:t>
            </w:r>
          </w:p>
          <w:p w14:paraId="3506F85A" w14:textId="77777777" w:rsidR="00D24C7F" w:rsidRDefault="00D24C7F">
            <w:pPr>
              <w:pStyle w:val="TableDataColumnHeading"/>
            </w:pPr>
            <w:r>
              <w:t>$ per m2</w:t>
            </w:r>
          </w:p>
        </w:tc>
        <w:tc>
          <w:tcPr>
            <w:tcW w:w="663" w:type="dxa"/>
            <w:shd w:val="clear" w:color="auto" w:fill="6F6652"/>
            <w:tcMar>
              <w:left w:w="57" w:type="dxa"/>
              <w:right w:w="57" w:type="dxa"/>
            </w:tcMar>
          </w:tcPr>
          <w:p w14:paraId="677258CE" w14:textId="77777777" w:rsidR="00D24C7F" w:rsidRDefault="00D24C7F">
            <w:pPr>
              <w:pStyle w:val="TableDataColumnHeading"/>
            </w:pPr>
            <w:r>
              <w:t>WA (CZ5)</w:t>
            </w:r>
          </w:p>
          <w:p w14:paraId="28C5B4F3" w14:textId="77777777" w:rsidR="00D24C7F" w:rsidRDefault="00D24C7F">
            <w:pPr>
              <w:pStyle w:val="TableDataColumnHeading"/>
            </w:pPr>
            <w:r>
              <w:t>$ per m2</w:t>
            </w:r>
          </w:p>
        </w:tc>
        <w:tc>
          <w:tcPr>
            <w:tcW w:w="664" w:type="dxa"/>
            <w:shd w:val="clear" w:color="auto" w:fill="6F6652"/>
            <w:tcMar>
              <w:left w:w="57" w:type="dxa"/>
              <w:right w:w="57" w:type="dxa"/>
            </w:tcMar>
          </w:tcPr>
          <w:p w14:paraId="43BB8726" w14:textId="77777777" w:rsidR="00D24C7F" w:rsidRDefault="00D24C7F">
            <w:pPr>
              <w:pStyle w:val="TableDataColumnHeading"/>
            </w:pPr>
            <w:r>
              <w:t>SA (CZ5)</w:t>
            </w:r>
          </w:p>
          <w:p w14:paraId="0C3C917A" w14:textId="77777777" w:rsidR="00D24C7F" w:rsidRDefault="00D24C7F">
            <w:pPr>
              <w:pStyle w:val="TableDataColumnHeading"/>
            </w:pPr>
            <w:r>
              <w:t>$ per m2</w:t>
            </w:r>
          </w:p>
        </w:tc>
        <w:tc>
          <w:tcPr>
            <w:tcW w:w="664" w:type="dxa"/>
            <w:shd w:val="clear" w:color="auto" w:fill="6F6652"/>
            <w:tcMar>
              <w:left w:w="57" w:type="dxa"/>
              <w:right w:w="57" w:type="dxa"/>
            </w:tcMar>
          </w:tcPr>
          <w:p w14:paraId="0AA5B28A" w14:textId="77777777" w:rsidR="00D24C7F" w:rsidRDefault="00D24C7F">
            <w:pPr>
              <w:pStyle w:val="TableDataColumnHeading"/>
            </w:pPr>
            <w:r>
              <w:t>TAS (CZ7)</w:t>
            </w:r>
          </w:p>
          <w:p w14:paraId="11BF1AF9" w14:textId="77777777" w:rsidR="00D24C7F" w:rsidRDefault="00D24C7F">
            <w:pPr>
              <w:pStyle w:val="TableDataColumnHeading"/>
            </w:pPr>
            <w:r>
              <w:t>$ per m2</w:t>
            </w:r>
          </w:p>
        </w:tc>
        <w:tc>
          <w:tcPr>
            <w:tcW w:w="663" w:type="dxa"/>
            <w:shd w:val="clear" w:color="auto" w:fill="6F6652"/>
            <w:tcMar>
              <w:left w:w="57" w:type="dxa"/>
              <w:right w:w="57" w:type="dxa"/>
            </w:tcMar>
          </w:tcPr>
          <w:p w14:paraId="6B7A76D4" w14:textId="77777777" w:rsidR="00D24C7F" w:rsidRDefault="00D24C7F">
            <w:pPr>
              <w:pStyle w:val="TableDataColumnHeading"/>
            </w:pPr>
            <w:r>
              <w:t>ACT (CZ7)</w:t>
            </w:r>
          </w:p>
          <w:p w14:paraId="542DA1F1" w14:textId="77777777" w:rsidR="00D24C7F" w:rsidRDefault="00D24C7F">
            <w:pPr>
              <w:pStyle w:val="TableDataColumnHeading"/>
            </w:pPr>
            <w:r>
              <w:t>$ per m2</w:t>
            </w:r>
          </w:p>
        </w:tc>
        <w:tc>
          <w:tcPr>
            <w:tcW w:w="664" w:type="dxa"/>
            <w:shd w:val="clear" w:color="auto" w:fill="6F6652"/>
            <w:tcMar>
              <w:left w:w="57" w:type="dxa"/>
              <w:right w:w="57" w:type="dxa"/>
            </w:tcMar>
          </w:tcPr>
          <w:p w14:paraId="75AA8F5C" w14:textId="77777777" w:rsidR="00D24C7F" w:rsidRDefault="00D24C7F">
            <w:pPr>
              <w:pStyle w:val="TableDataColumnHeading"/>
            </w:pPr>
            <w:r>
              <w:t>NT (CZ1)</w:t>
            </w:r>
          </w:p>
          <w:p w14:paraId="2B4AC372" w14:textId="77777777" w:rsidR="00D24C7F" w:rsidRDefault="00D24C7F">
            <w:pPr>
              <w:pStyle w:val="TableDataColumnHeading"/>
            </w:pPr>
            <w:r>
              <w:t>$ per m2</w:t>
            </w:r>
          </w:p>
        </w:tc>
      </w:tr>
      <w:tr w:rsidR="00D24C7F" w14:paraId="0DF32BE7"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322A4B" w14:textId="77777777" w:rsidR="00D24C7F" w:rsidRDefault="00D24C7F">
            <w:pPr>
              <w:pStyle w:val="TableDataEntries"/>
              <w:jc w:val="left"/>
            </w:pPr>
            <w:r>
              <w:t>Avoided electricity network capacity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28D411C" w14:textId="78A48FB0" w:rsidR="00D24C7F" w:rsidRDefault="00D24C7F">
            <w:pPr>
              <w:pStyle w:val="TableDataEntries"/>
            </w:pPr>
            <w:r>
              <w:t>19.7</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0079C0C" w14:textId="364AF624" w:rsidR="00D24C7F" w:rsidRDefault="00D24C7F">
            <w:pPr>
              <w:pStyle w:val="TableDataEntries"/>
            </w:pPr>
            <w:r>
              <w:t>11.4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FA6022" w14:textId="24D77F13" w:rsidR="00D24C7F" w:rsidRDefault="00D24C7F">
            <w:pPr>
              <w:pStyle w:val="TableDataEntries"/>
            </w:pPr>
            <w:r>
              <w:t>7.5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646E824" w14:textId="0AAEF22A" w:rsidR="00D24C7F" w:rsidRDefault="00D24C7F">
            <w:pPr>
              <w:pStyle w:val="TableDataEntries"/>
            </w:pPr>
            <w:r>
              <w:t>4.0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944AD95" w14:textId="5EDA2E2C" w:rsidR="00D24C7F" w:rsidRDefault="00D24C7F">
            <w:pPr>
              <w:pStyle w:val="TableDataEntries"/>
            </w:pPr>
            <w:r>
              <w:t>10.5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C3F462" w14:textId="34940C53" w:rsidR="00D24C7F" w:rsidRDefault="00D24C7F">
            <w:pPr>
              <w:pStyle w:val="TableDataEntries"/>
            </w:pPr>
            <w:r>
              <w:t>42.9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A8349D7" w14:textId="3A9FF1FC" w:rsidR="00D24C7F" w:rsidRDefault="00D24C7F">
            <w:pPr>
              <w:pStyle w:val="TableDataEntries"/>
            </w:pPr>
            <w:r>
              <w:t>18.4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B488DC" w14:textId="69FAB8E5" w:rsidR="00D24C7F" w:rsidRDefault="00D24C7F">
            <w:pPr>
              <w:pStyle w:val="TableDataEntries"/>
            </w:pPr>
            <w:r>
              <w:t>22.1</w:t>
            </w:r>
          </w:p>
        </w:tc>
      </w:tr>
      <w:tr w:rsidR="00D24C7F" w14:paraId="69541FDC"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4E7F770" w14:textId="77777777" w:rsidR="00D24C7F" w:rsidRDefault="00D24C7F">
            <w:pPr>
              <w:pStyle w:val="TableDataEntries"/>
              <w:jc w:val="left"/>
            </w:pPr>
            <w:r>
              <w:t>Avoided electricity wholesale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20C5836" w14:textId="17166F9C" w:rsidR="00D24C7F" w:rsidRDefault="00D24C7F">
            <w:pPr>
              <w:pStyle w:val="TableDataEntries"/>
            </w:pPr>
            <w:r>
              <w:t>32.9</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EA0BEE5" w14:textId="56620FB2" w:rsidR="00D24C7F" w:rsidRDefault="00D24C7F">
            <w:pPr>
              <w:pStyle w:val="TableDataEntries"/>
            </w:pPr>
            <w:r>
              <w:t>28.2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7C848A1" w14:textId="41DD7F9A" w:rsidR="00D24C7F" w:rsidRDefault="00D24C7F">
            <w:pPr>
              <w:pStyle w:val="TableDataEntries"/>
            </w:pPr>
            <w:r>
              <w:t>23.5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99748FD" w14:textId="49D58EEB" w:rsidR="00D24C7F" w:rsidRDefault="00D24C7F">
            <w:pPr>
              <w:pStyle w:val="TableDataEntries"/>
            </w:pPr>
            <w:r>
              <w:t>20.3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BD7FF88" w14:textId="31742139" w:rsidR="00D24C7F" w:rsidRDefault="00D24C7F">
            <w:pPr>
              <w:pStyle w:val="TableDataEntries"/>
            </w:pPr>
            <w:r>
              <w:t>22.1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72D448" w14:textId="4CBD5B61" w:rsidR="00D24C7F" w:rsidRDefault="00D24C7F">
            <w:pPr>
              <w:pStyle w:val="TableDataEntries"/>
            </w:pPr>
            <w:r>
              <w:t>31.1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84699C1" w14:textId="757C475A" w:rsidR="00D24C7F" w:rsidRDefault="00D24C7F">
            <w:pPr>
              <w:pStyle w:val="TableDataEntries"/>
            </w:pPr>
            <w:r>
              <w:t>33.1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7858BE1" w14:textId="56300299" w:rsidR="00D24C7F" w:rsidRDefault="00D24C7F">
            <w:pPr>
              <w:pStyle w:val="TableDataEntries"/>
            </w:pPr>
            <w:r>
              <w:t>67.3</w:t>
            </w:r>
          </w:p>
        </w:tc>
      </w:tr>
      <w:tr w:rsidR="00D24C7F" w14:paraId="49E72F88"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B57350E" w14:textId="77777777" w:rsidR="00D24C7F" w:rsidRDefault="00D24C7F">
            <w:pPr>
              <w:pStyle w:val="TableDataEntries"/>
              <w:jc w:val="left"/>
            </w:pPr>
            <w:r>
              <w:t>Avoided electricity network usage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9B36C6" w14:textId="656C9464" w:rsidR="00D24C7F" w:rsidRDefault="00D24C7F">
            <w:pPr>
              <w:pStyle w:val="TableDataEntries"/>
            </w:pPr>
            <w:r>
              <w:t>20.0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9117DB" w14:textId="5060B3CC" w:rsidR="00D24C7F" w:rsidRDefault="00D24C7F">
            <w:pPr>
              <w:pStyle w:val="TableDataEntries"/>
            </w:pPr>
            <w:r>
              <w:t>35.2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54D02CC" w14:textId="79E0FAF4" w:rsidR="00D24C7F" w:rsidRDefault="00D24C7F">
            <w:pPr>
              <w:pStyle w:val="TableDataEntries"/>
            </w:pPr>
            <w:r>
              <w:t>17.1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714EF0" w14:textId="26F2F3BC" w:rsidR="00D24C7F" w:rsidRDefault="00D24C7F">
            <w:pPr>
              <w:pStyle w:val="TableDataEntries"/>
            </w:pPr>
            <w:r>
              <w:t>51.7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3EE065B" w14:textId="4A61DECC" w:rsidR="00D24C7F" w:rsidRDefault="00D24C7F">
            <w:pPr>
              <w:pStyle w:val="TableDataEntries"/>
            </w:pPr>
            <w:r>
              <w:t>58.0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76C19A" w14:textId="379EB18B" w:rsidR="00D24C7F" w:rsidRDefault="00D24C7F">
            <w:pPr>
              <w:pStyle w:val="TableDataEntries"/>
            </w:pPr>
            <w:r>
              <w:t>56.8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EE040B" w14:textId="56D2220C" w:rsidR="00D24C7F" w:rsidRDefault="00D24C7F">
            <w:pPr>
              <w:pStyle w:val="TableDataEntries"/>
            </w:pPr>
            <w:r>
              <w:t>34.3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91DDE55" w14:textId="483B5509" w:rsidR="00D24C7F" w:rsidRDefault="00D24C7F">
            <w:pPr>
              <w:pStyle w:val="TableDataEntries"/>
            </w:pPr>
            <w:r>
              <w:t>32.1</w:t>
            </w:r>
          </w:p>
        </w:tc>
      </w:tr>
      <w:tr w:rsidR="00D24C7F" w14:paraId="4D138918"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5174747" w14:textId="77777777" w:rsidR="00D24C7F" w:rsidRDefault="00D24C7F">
            <w:pPr>
              <w:pStyle w:val="TableDataEntries"/>
              <w:jc w:val="left"/>
            </w:pPr>
            <w:r>
              <w:t>Avoided electricity retail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164496" w14:textId="7A41E66B" w:rsidR="00D24C7F" w:rsidRDefault="00D24C7F">
            <w:pPr>
              <w:pStyle w:val="TableDataEntries"/>
            </w:pPr>
            <w:r>
              <w:t>10.9</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6520782" w14:textId="0160F262" w:rsidR="00D24C7F" w:rsidRDefault="00D24C7F">
            <w:pPr>
              <w:pStyle w:val="TableDataEntries"/>
            </w:pPr>
            <w:r>
              <w:t>11.2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3F6D7FA" w14:textId="385202E6" w:rsidR="00D24C7F" w:rsidRDefault="00D24C7F">
            <w:pPr>
              <w:pStyle w:val="TableDataEntries"/>
            </w:pPr>
            <w:r>
              <w:t>7.2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C84BD0" w14:textId="435271D0" w:rsidR="00D24C7F" w:rsidRDefault="00D24C7F">
            <w:pPr>
              <w:pStyle w:val="TableDataEntries"/>
            </w:pPr>
            <w:r>
              <w:t>11.4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115B07" w14:textId="09451F02" w:rsidR="00D24C7F" w:rsidRDefault="00D24C7F">
            <w:pPr>
              <w:pStyle w:val="TableDataEntries"/>
            </w:pPr>
            <w:r>
              <w:t>13.6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EDE0E08" w14:textId="5003D063" w:rsidR="00D24C7F" w:rsidRDefault="00D24C7F">
            <w:pPr>
              <w:pStyle w:val="TableDataEntries"/>
            </w:pPr>
            <w:r>
              <w:t>19.6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7CD37BA" w14:textId="626F62C4" w:rsidR="00D24C7F" w:rsidRDefault="00D24C7F">
            <w:pPr>
              <w:pStyle w:val="TableDataEntries"/>
            </w:pPr>
            <w:r>
              <w:t>12.9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DFA6ED" w14:textId="647A72B2" w:rsidR="00D24C7F" w:rsidRDefault="00D24C7F">
            <w:pPr>
              <w:pStyle w:val="TableDataEntries"/>
            </w:pPr>
            <w:r>
              <w:t>18.2</w:t>
            </w:r>
          </w:p>
        </w:tc>
      </w:tr>
      <w:tr w:rsidR="00D24C7F" w14:paraId="6EFF3837"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17F4400" w14:textId="77777777" w:rsidR="00D24C7F" w:rsidRDefault="00D24C7F">
            <w:pPr>
              <w:pStyle w:val="TableDataEntries"/>
              <w:jc w:val="left"/>
            </w:pPr>
            <w:r>
              <w:t>Electricity exported to grid</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A606528" w14:textId="315977C2" w:rsidR="00D24C7F" w:rsidRDefault="00D24C7F">
            <w:pPr>
              <w:pStyle w:val="TableDataEntries"/>
            </w:pPr>
            <w:r>
              <w:t>3.2</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156901" w14:textId="44224661" w:rsidR="00D24C7F" w:rsidRDefault="00D24C7F">
            <w:pPr>
              <w:pStyle w:val="TableDataEntries"/>
            </w:pPr>
            <w:r>
              <w:t>2.0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36A168D" w14:textId="0A0F8C2B" w:rsidR="00D24C7F" w:rsidRDefault="00D24C7F">
            <w:pPr>
              <w:pStyle w:val="TableDataEntries"/>
            </w:pPr>
            <w:r>
              <w:t>3.4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7F016D8" w14:textId="1BF47AB0" w:rsidR="00D24C7F" w:rsidRDefault="00D24C7F">
            <w:pPr>
              <w:pStyle w:val="TableDataEntries"/>
            </w:pPr>
            <w:r>
              <w:t>3.0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0A9491D" w14:textId="405974D0" w:rsidR="00D24C7F" w:rsidRDefault="00D24C7F">
            <w:pPr>
              <w:pStyle w:val="TableDataEntries"/>
            </w:pPr>
            <w:r>
              <w:t>2.0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966C610" w14:textId="1EA43282" w:rsidR="00D24C7F" w:rsidRDefault="00D24C7F">
            <w:pPr>
              <w:pStyle w:val="TableDataEntries"/>
            </w:pPr>
            <w:r>
              <w:t>8.3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6C91633" w14:textId="543C6F25" w:rsidR="00D24C7F" w:rsidRDefault="00D24C7F">
            <w:pPr>
              <w:pStyle w:val="TableDataEntries"/>
            </w:pPr>
            <w:r>
              <w:t>4.3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6579D2" w14:textId="40B9D658" w:rsidR="00D24C7F" w:rsidRDefault="00D24C7F">
            <w:pPr>
              <w:pStyle w:val="TableDataEntries"/>
            </w:pPr>
            <w:r>
              <w:t>9.4</w:t>
            </w:r>
          </w:p>
        </w:tc>
      </w:tr>
      <w:tr w:rsidR="00D24C7F" w14:paraId="1C100069"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01C8865" w14:textId="77777777" w:rsidR="00D24C7F" w:rsidRDefault="00D24C7F">
            <w:pPr>
              <w:pStyle w:val="TableDataEntries"/>
              <w:jc w:val="left"/>
            </w:pPr>
            <w:r>
              <w:t>Electricity exports — network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1A9729D" w14:textId="7CF8833C" w:rsidR="00D24C7F" w:rsidRDefault="00D24C7F">
            <w:pPr>
              <w:pStyle w:val="TableDataEntries"/>
            </w:pPr>
            <w:r>
              <w:t>-0.7</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C9EEEC5" w14:textId="08DF0668" w:rsidR="00D24C7F" w:rsidRDefault="00D24C7F">
            <w:pPr>
              <w:pStyle w:val="TableDataEntries"/>
            </w:pPr>
            <w:r>
              <w:t>-0.6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3AA740" w14:textId="4299EFAC" w:rsidR="00D24C7F" w:rsidRDefault="00D24C7F">
            <w:pPr>
              <w:pStyle w:val="TableDataEntries"/>
            </w:pPr>
            <w:r>
              <w:t>-0.7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2F181F" w14:textId="72E0E376" w:rsidR="00D24C7F" w:rsidRDefault="00D24C7F">
            <w:pPr>
              <w:pStyle w:val="TableDataEntries"/>
            </w:pPr>
            <w:r>
              <w:t>-0.7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2BD16E1" w14:textId="1B04CA87" w:rsidR="00D24C7F" w:rsidRDefault="00D24C7F">
            <w:pPr>
              <w:pStyle w:val="TableDataEntries"/>
            </w:pPr>
            <w:r>
              <w:t>-0.7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B23A9BB" w14:textId="537A4002" w:rsidR="00D24C7F" w:rsidRDefault="00D24C7F">
            <w:pPr>
              <w:pStyle w:val="TableDataEntries"/>
            </w:pPr>
            <w:r>
              <w:t>-1.0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33254D" w14:textId="6F8FF16C" w:rsidR="00D24C7F" w:rsidRDefault="00D24C7F">
            <w:pPr>
              <w:pStyle w:val="TableDataEntries"/>
            </w:pPr>
            <w:r>
              <w:t>-0.8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2AE7EB" w14:textId="73332292" w:rsidR="00D24C7F" w:rsidRDefault="00D24C7F">
            <w:pPr>
              <w:pStyle w:val="TableDataEntries"/>
            </w:pPr>
            <w:r>
              <w:t>-0.6</w:t>
            </w:r>
          </w:p>
        </w:tc>
      </w:tr>
      <w:tr w:rsidR="00D24C7F" w14:paraId="3B326586"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CEC6E0C" w14:textId="77777777" w:rsidR="00D24C7F" w:rsidRDefault="00D24C7F">
            <w:pPr>
              <w:pStyle w:val="TableDataEntries"/>
              <w:jc w:val="left"/>
            </w:pPr>
            <w:r>
              <w:t>Avoided gas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5469B27" w14:textId="33764FF5" w:rsidR="00D24C7F" w:rsidRDefault="00D24C7F">
            <w:pPr>
              <w:pStyle w:val="TableDataEntries"/>
            </w:pPr>
            <w:r>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0BAE404" w14:textId="05980BBE"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CCA0D73" w14:textId="7158A56F"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72BDC3" w14:textId="641F6D73"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2E69DAB" w14:textId="11721CC3"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43B97AE" w14:textId="066EFACF"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36B53E" w14:textId="7B34C7B0"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6D3ECDA" w14:textId="79523FFB" w:rsidR="00D24C7F" w:rsidRDefault="00D24C7F">
            <w:pPr>
              <w:pStyle w:val="TableDataEntries"/>
            </w:pPr>
            <w:r>
              <w:t>0.0</w:t>
            </w:r>
          </w:p>
        </w:tc>
      </w:tr>
      <w:tr w:rsidR="00D24C7F" w14:paraId="2D02B73C"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76DA91D" w14:textId="77777777" w:rsidR="00D24C7F" w:rsidRDefault="00D24C7F">
            <w:pPr>
              <w:pStyle w:val="TableDataEntries"/>
              <w:jc w:val="left"/>
            </w:pPr>
            <w:r>
              <w:t>Avoided GHG emissions –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4FD726F" w14:textId="7BF9FB17" w:rsidR="00D24C7F" w:rsidRDefault="00D24C7F">
            <w:pPr>
              <w:pStyle w:val="TableDataEntries"/>
            </w:pPr>
            <w:r>
              <w:t>19.7</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1BEF4D" w14:textId="0921795B" w:rsidR="00D24C7F" w:rsidRDefault="00D24C7F">
            <w:pPr>
              <w:pStyle w:val="TableDataEntries"/>
            </w:pPr>
            <w:r>
              <w:t>32.3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B85B27" w14:textId="059AB25E" w:rsidR="00D24C7F" w:rsidRDefault="00D24C7F">
            <w:pPr>
              <w:pStyle w:val="TableDataEntries"/>
            </w:pPr>
            <w:r>
              <w:t>45.6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8DBC83" w14:textId="573C76CE" w:rsidR="00D24C7F" w:rsidRDefault="00D24C7F">
            <w:pPr>
              <w:pStyle w:val="TableDataEntries"/>
            </w:pPr>
            <w:r>
              <w:t>29.2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85C328" w14:textId="24C3C771" w:rsidR="00D24C7F" w:rsidRDefault="00D24C7F">
            <w:pPr>
              <w:pStyle w:val="TableDataEntries"/>
            </w:pPr>
            <w:r>
              <w:t>21.2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D9CC000" w14:textId="3E536608" w:rsidR="00D24C7F" w:rsidRDefault="00D24C7F">
            <w:pPr>
              <w:pStyle w:val="TableDataEntries"/>
            </w:pPr>
            <w:r>
              <w:t>2.7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17EC48D" w14:textId="1EEF18EB" w:rsidR="00D24C7F" w:rsidRDefault="00D24C7F">
            <w:pPr>
              <w:pStyle w:val="TableDataEntries"/>
            </w:pPr>
            <w:r>
              <w:t>18.5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7471522" w14:textId="4F950710" w:rsidR="00D24C7F" w:rsidRDefault="00D24C7F">
            <w:pPr>
              <w:pStyle w:val="TableDataEntries"/>
            </w:pPr>
            <w:r>
              <w:t>64.8</w:t>
            </w:r>
          </w:p>
        </w:tc>
      </w:tr>
      <w:tr w:rsidR="00D24C7F" w14:paraId="502EFA5A"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3C3244" w14:textId="77777777" w:rsidR="00D24C7F" w:rsidRDefault="00D24C7F">
            <w:pPr>
              <w:pStyle w:val="TableDataEntries"/>
              <w:jc w:val="left"/>
            </w:pPr>
            <w:r>
              <w:t>Avoided GHG emissions – exported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C6140C2" w14:textId="6F0ED0A3" w:rsidR="00D24C7F" w:rsidRDefault="00D24C7F">
            <w:pPr>
              <w:pStyle w:val="TableDataEntries"/>
            </w:pPr>
            <w:r>
              <w:t>4.8</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9FE1517" w14:textId="57B02811" w:rsidR="00D24C7F" w:rsidRDefault="00D24C7F">
            <w:pPr>
              <w:pStyle w:val="TableDataEntries"/>
            </w:pPr>
            <w:r>
              <w:t>9.0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7BD930" w14:textId="7BEDCF97" w:rsidR="00D24C7F" w:rsidRDefault="00D24C7F">
            <w:pPr>
              <w:pStyle w:val="TableDataEntries"/>
            </w:pPr>
            <w:r>
              <w:t>13.2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147EB5D" w14:textId="108DFF57" w:rsidR="00D24C7F" w:rsidRDefault="00D24C7F">
            <w:pPr>
              <w:pStyle w:val="TableDataEntries"/>
            </w:pPr>
            <w:r>
              <w:t>7.2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F1D4266" w14:textId="5DF537BE" w:rsidR="00D24C7F" w:rsidRDefault="00D24C7F">
            <w:pPr>
              <w:pStyle w:val="TableDataEntries"/>
            </w:pPr>
            <w:r>
              <w:t>5.2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0892762" w14:textId="77F7F57B" w:rsidR="00D24C7F" w:rsidRDefault="00D24C7F">
            <w:pPr>
              <w:pStyle w:val="TableDataEntries"/>
            </w:pPr>
            <w:r>
              <w:t>0.8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8B8BCD5" w14:textId="2DD719B2" w:rsidR="00D24C7F" w:rsidRDefault="00D24C7F">
            <w:pPr>
              <w:pStyle w:val="TableDataEntries"/>
            </w:pPr>
            <w:r>
              <w:t>5.8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231163E" w14:textId="4495A521" w:rsidR="00D24C7F" w:rsidRDefault="00D24C7F">
            <w:pPr>
              <w:pStyle w:val="TableDataEntries"/>
            </w:pPr>
            <w:r>
              <w:t>10.3</w:t>
            </w:r>
          </w:p>
        </w:tc>
      </w:tr>
      <w:tr w:rsidR="00D24C7F" w14:paraId="1AB5E093"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472085" w14:textId="77777777" w:rsidR="00D24C7F" w:rsidRDefault="00D24C7F">
            <w:pPr>
              <w:pStyle w:val="TableDataEntries"/>
              <w:jc w:val="left"/>
            </w:pPr>
            <w:r>
              <w:t>Avoided GHG emissions – gas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4B74F48" w14:textId="0151C281" w:rsidR="00D24C7F" w:rsidRDefault="00D24C7F">
            <w:pPr>
              <w:pStyle w:val="TableDataEntries"/>
            </w:pPr>
            <w:r>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7694325" w14:textId="5CB979DC"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C418894" w14:textId="4DBDF680"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218111" w14:textId="082CDABD"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56120DA" w14:textId="40D7E7ED"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35FD18" w14:textId="51C54F2D"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43B80E0" w14:textId="2D673AED"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9CBCE4A" w14:textId="483620FA" w:rsidR="00D24C7F" w:rsidRDefault="00D24C7F">
            <w:pPr>
              <w:pStyle w:val="TableDataEntries"/>
            </w:pPr>
            <w:r>
              <w:t>0.0</w:t>
            </w:r>
          </w:p>
        </w:tc>
      </w:tr>
      <w:tr w:rsidR="00D24C7F" w14:paraId="3A9088DF"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752C43" w14:textId="77777777" w:rsidR="00D24C7F" w:rsidRDefault="00D24C7F">
            <w:pPr>
              <w:pStyle w:val="TableDataEntries"/>
              <w:jc w:val="left"/>
            </w:pPr>
            <w:r>
              <w:t>Capital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02FDD69" w14:textId="7B63E0F6" w:rsidR="00D24C7F" w:rsidRDefault="00D24C7F">
            <w:pPr>
              <w:pStyle w:val="TableDataEntries"/>
            </w:pPr>
            <w:r>
              <w:t>-27.6</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74DBB2B" w14:textId="201B2453" w:rsidR="00D24C7F" w:rsidRDefault="00D24C7F">
            <w:pPr>
              <w:pStyle w:val="TableDataEntries"/>
            </w:pPr>
            <w:r>
              <w:t>-16.0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C12390B" w14:textId="4ADA3BF6" w:rsidR="00D24C7F" w:rsidRDefault="00D24C7F">
            <w:pPr>
              <w:pStyle w:val="TableDataEntries"/>
            </w:pPr>
            <w:r>
              <w:t>-21.4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230362" w14:textId="437DC4B6" w:rsidR="00D24C7F" w:rsidRDefault="00D24C7F">
            <w:pPr>
              <w:pStyle w:val="TableDataEntries"/>
            </w:pPr>
            <w:r>
              <w:t>-27.6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4459CC6" w14:textId="0341739E" w:rsidR="00D24C7F" w:rsidRDefault="00D24C7F">
            <w:pPr>
              <w:pStyle w:val="TableDataEntries"/>
            </w:pPr>
            <w:r>
              <w:t>-27.6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D9C070E" w14:textId="09154364" w:rsidR="00D24C7F" w:rsidRDefault="00D24C7F">
            <w:pPr>
              <w:pStyle w:val="TableDataEntries"/>
            </w:pPr>
            <w:r>
              <w:t>-37.3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5C7ADF4" w14:textId="63289053" w:rsidR="00D24C7F" w:rsidRDefault="00D24C7F">
            <w:pPr>
              <w:pStyle w:val="TableDataEntries"/>
            </w:pPr>
            <w:r>
              <w:t>-37.3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8694BDF" w14:textId="75549179" w:rsidR="00D24C7F" w:rsidRDefault="00D24C7F">
            <w:pPr>
              <w:pStyle w:val="TableDataEntries"/>
            </w:pPr>
            <w:r>
              <w:t>-31.9</w:t>
            </w:r>
          </w:p>
        </w:tc>
      </w:tr>
      <w:tr w:rsidR="00D24C7F" w:rsidRPr="00C21EC1" w14:paraId="1165EBC0" w14:textId="77777777">
        <w:trPr>
          <w:trHeight w:val="245"/>
        </w:trPr>
        <w:tc>
          <w:tcPr>
            <w:tcW w:w="2627"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5DFAB34" w14:textId="77777777" w:rsidR="00D24C7F" w:rsidRPr="00C21EC1" w:rsidRDefault="00D24C7F">
            <w:pPr>
              <w:pStyle w:val="TableDataEntries"/>
              <w:jc w:val="left"/>
              <w:rPr>
                <w:rFonts w:ascii="Franklin Gothic Demi" w:hAnsi="Franklin Gothic Demi"/>
              </w:rPr>
            </w:pPr>
            <w:r w:rsidRPr="00C21EC1">
              <w:rPr>
                <w:rFonts w:ascii="Franklin Gothic Demi" w:hAnsi="Franklin Gothic Demi"/>
              </w:rPr>
              <w:t>Total</w:t>
            </w:r>
          </w:p>
        </w:tc>
        <w:tc>
          <w:tcPr>
            <w:tcW w:w="63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0B7BBB7" w14:textId="4D8E7B82" w:rsidR="00D24C7F" w:rsidRPr="00C21EC1" w:rsidRDefault="00D24C7F">
            <w:pPr>
              <w:pStyle w:val="TableDataEntries"/>
              <w:rPr>
                <w:rFonts w:ascii="Franklin Gothic Demi" w:hAnsi="Franklin Gothic Demi"/>
              </w:rPr>
            </w:pPr>
            <w:r w:rsidRPr="00C21EC1">
              <w:rPr>
                <w:rFonts w:ascii="Franklin Gothic Demi" w:hAnsi="Franklin Gothic Demi"/>
              </w:rPr>
              <w:t>82.8</w:t>
            </w:r>
          </w:p>
        </w:tc>
        <w:tc>
          <w:tcPr>
            <w:tcW w:w="69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3A91C72" w14:textId="1B6D851F" w:rsidR="00D24C7F" w:rsidRPr="00C21EC1" w:rsidRDefault="00D24C7F">
            <w:pPr>
              <w:pStyle w:val="TableDataEntries"/>
              <w:rPr>
                <w:rFonts w:ascii="Franklin Gothic Demi" w:hAnsi="Franklin Gothic Demi"/>
              </w:rPr>
            </w:pPr>
            <w:r w:rsidRPr="00C21EC1">
              <w:rPr>
                <w:rFonts w:ascii="Franklin Gothic Demi" w:hAnsi="Franklin Gothic Demi"/>
              </w:rPr>
              <w:t>112.7</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9B50766" w14:textId="22AEC998" w:rsidR="00D24C7F" w:rsidRPr="00C21EC1" w:rsidRDefault="00D24C7F">
            <w:pPr>
              <w:pStyle w:val="TableDataEntries"/>
              <w:rPr>
                <w:rFonts w:ascii="Franklin Gothic Demi" w:hAnsi="Franklin Gothic Demi"/>
              </w:rPr>
            </w:pPr>
            <w:r w:rsidRPr="00C21EC1">
              <w:rPr>
                <w:rFonts w:ascii="Franklin Gothic Demi" w:hAnsi="Franklin Gothic Demi"/>
              </w:rPr>
              <w:t>95.2</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0E9AC0F" w14:textId="78F293E2" w:rsidR="00D24C7F" w:rsidRPr="00C21EC1" w:rsidRDefault="00D24C7F">
            <w:pPr>
              <w:pStyle w:val="TableDataEntries"/>
              <w:rPr>
                <w:rFonts w:ascii="Franklin Gothic Demi" w:hAnsi="Franklin Gothic Demi"/>
              </w:rPr>
            </w:pPr>
            <w:r w:rsidRPr="00C21EC1">
              <w:rPr>
                <w:rFonts w:ascii="Franklin Gothic Demi" w:hAnsi="Franklin Gothic Demi"/>
              </w:rPr>
              <w:t>98.5</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F7A8F08" w14:textId="29015F3E" w:rsidR="00D24C7F" w:rsidRPr="00C21EC1" w:rsidRDefault="00D24C7F">
            <w:pPr>
              <w:pStyle w:val="TableDataEntries"/>
              <w:rPr>
                <w:rFonts w:ascii="Franklin Gothic Demi" w:hAnsi="Franklin Gothic Demi"/>
              </w:rPr>
            </w:pPr>
            <w:r w:rsidRPr="00C21EC1">
              <w:rPr>
                <w:rFonts w:ascii="Franklin Gothic Demi" w:hAnsi="Franklin Gothic Demi"/>
              </w:rPr>
              <w:t>104.3</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BCE045A" w14:textId="4D7E7CF4" w:rsidR="00D24C7F" w:rsidRPr="00C21EC1" w:rsidRDefault="00D24C7F">
            <w:pPr>
              <w:pStyle w:val="TableDataEntries"/>
              <w:rPr>
                <w:rFonts w:ascii="Franklin Gothic Demi" w:hAnsi="Franklin Gothic Demi"/>
              </w:rPr>
            </w:pPr>
            <w:r w:rsidRPr="00C21EC1">
              <w:rPr>
                <w:rFonts w:ascii="Franklin Gothic Demi" w:hAnsi="Franklin Gothic Demi"/>
              </w:rPr>
              <w:t>124.1</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989DC25" w14:textId="1139AC62" w:rsidR="00D24C7F" w:rsidRPr="00C21EC1" w:rsidRDefault="00D24C7F">
            <w:pPr>
              <w:pStyle w:val="TableDataEntries"/>
              <w:rPr>
                <w:rFonts w:ascii="Franklin Gothic Demi" w:hAnsi="Franklin Gothic Demi"/>
              </w:rPr>
            </w:pPr>
            <w:r w:rsidRPr="00C21EC1">
              <w:rPr>
                <w:rFonts w:ascii="Franklin Gothic Demi" w:hAnsi="Franklin Gothic Demi"/>
              </w:rPr>
              <w:t>89.1</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8CF3D0E" w14:textId="734C302F" w:rsidR="00D24C7F" w:rsidRPr="00C21EC1" w:rsidRDefault="00D24C7F">
            <w:pPr>
              <w:pStyle w:val="TableDataEntries"/>
              <w:rPr>
                <w:rFonts w:ascii="Franklin Gothic Demi" w:hAnsi="Franklin Gothic Demi"/>
              </w:rPr>
            </w:pPr>
            <w:r w:rsidRPr="00C21EC1">
              <w:rPr>
                <w:rFonts w:ascii="Franklin Gothic Demi" w:hAnsi="Franklin Gothic Demi"/>
              </w:rPr>
              <w:t>191.7</w:t>
            </w:r>
          </w:p>
        </w:tc>
      </w:tr>
    </w:tbl>
    <w:p w14:paraId="0E11D7EE" w14:textId="77777777" w:rsidR="00D24C7F" w:rsidRDefault="00D24C7F" w:rsidP="00D24C7F">
      <w:pPr>
        <w:pStyle w:val="Note"/>
      </w:pPr>
      <w:r w:rsidRPr="007D1B4F">
        <w:rPr>
          <w:i/>
        </w:rPr>
        <w:t>Note:</w:t>
      </w:r>
      <w:r w:rsidRPr="00E879B8">
        <w:t xml:space="preserve"> </w:t>
      </w:r>
      <w:r>
        <w:t>Costs and benefits estimated in present value terms over the 50</w:t>
      </w:r>
      <w:r>
        <w:noBreakHyphen/>
        <w:t xml:space="preserve">year life of a building constructed in 2025, using a discount rate of 5 per cent. </w:t>
      </w:r>
    </w:p>
    <w:p w14:paraId="5D957B42" w14:textId="77777777" w:rsidR="00D24C7F" w:rsidRDefault="00D24C7F" w:rsidP="00D24C7F">
      <w:pPr>
        <w:pStyle w:val="Source"/>
      </w:pPr>
      <w:r>
        <w:rPr>
          <w:i/>
        </w:rPr>
        <w:t>Source</w:t>
      </w:r>
      <w:r w:rsidRPr="00E4232C">
        <w:rPr>
          <w:i/>
        </w:rPr>
        <w:t>:</w:t>
      </w:r>
      <w:r>
        <w:t xml:space="preserve"> CIE based on DeltaQ modelling.</w:t>
      </w:r>
    </w:p>
    <w:p w14:paraId="4AA67CDA" w14:textId="2D72612C" w:rsidR="00D24C7F" w:rsidRPr="005E5FA8" w:rsidRDefault="00D24C7F" w:rsidP="00D24C7F">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w:instrText>
      </w:r>
      <w:fldSimple w:instr=" STYLEREF &quot;Heading 1&quot; \l \n ">
        <w:r w:rsidRPr="005E5FA8">
          <w:instrText>2</w:instrText>
        </w:r>
      </w:fldSimple>
      <w:r w:rsidRPr="005E5FA8">
        <w:instrText xml:space="preserve">." </w:instrText>
      </w:r>
      <w:r w:rsidRPr="005E5FA8">
        <w:fldChar w:fldCharType="end"/>
      </w:r>
      <w:r w:rsidRPr="005E5FA8">
        <w:instrText>" "</w:instrText>
      </w:r>
      <w:fldSimple w:instr=" STYLEREF &quot;Heading 6&quot; \l \n ">
        <w:r w:rsidR="00581346">
          <w:rPr>
            <w:noProof/>
          </w:rPr>
          <w:instrText>H</w:instrText>
        </w:r>
      </w:fldSimple>
      <w:r w:rsidRPr="005E5FA8">
        <w:instrText xml:space="preserve">." </w:instrText>
      </w:r>
      <w:r w:rsidRPr="005E5FA8">
        <w:fldChar w:fldCharType="separate"/>
      </w:r>
      <w:r w:rsidR="00581346">
        <w:rPr>
          <w:noProof/>
        </w:rPr>
        <w:instrText>H</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"1" </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13</w:instrText>
      </w:r>
      <w:r w:rsidRPr="005E5FA8">
        <w:fldChar w:fldCharType="end"/>
      </w:r>
      <w:r w:rsidRPr="005E5FA8">
        <w:instrText xml:space="preserve">" "" </w:instrText>
      </w:r>
      <w:r w:rsidRPr="005E5FA8">
        <w:fldChar w:fldCharType="separate"/>
      </w:r>
      <w:bookmarkStart w:id="10071" w:name="_Caption7357"/>
      <w:bookmarkStart w:id="10072" w:name="_Caption6402"/>
      <w:bookmarkStart w:id="10073" w:name="_Caption7507"/>
      <w:bookmarkStart w:id="10074" w:name="_Caption0868"/>
      <w:bookmarkStart w:id="10075" w:name="_Caption3178"/>
      <w:bookmarkStart w:id="10076" w:name="_Caption6851"/>
      <w:bookmarkStart w:id="10077" w:name="_Caption4730"/>
      <w:bookmarkStart w:id="10078" w:name="_Caption0423"/>
      <w:bookmarkStart w:id="10079" w:name="_Caption5666"/>
      <w:bookmarkStart w:id="10080" w:name="_Caption7383"/>
      <w:bookmarkStart w:id="10081" w:name="_Caption1986"/>
      <w:bookmarkStart w:id="10082" w:name="_Caption7873"/>
      <w:bookmarkStart w:id="10083" w:name="_Caption8174"/>
      <w:bookmarkStart w:id="10084" w:name="_Caption3381"/>
      <w:bookmarkStart w:id="10085" w:name="_Caption5631"/>
      <w:bookmarkStart w:id="10086" w:name="_Caption6519"/>
      <w:bookmarkStart w:id="10087" w:name="_Caption2448"/>
      <w:bookmarkStart w:id="10088" w:name="_Caption5827"/>
      <w:bookmarkStart w:id="10089" w:name="_Caption6012"/>
      <w:bookmarkStart w:id="10090" w:name="_Caption7388"/>
      <w:bookmarkStart w:id="10091" w:name="_Caption7836"/>
      <w:bookmarkStart w:id="10092" w:name="_Caption8762"/>
      <w:bookmarkStart w:id="10093" w:name="_Caption0493"/>
      <w:bookmarkStart w:id="10094" w:name="_Caption9295"/>
      <w:bookmarkStart w:id="10095" w:name="_Caption2620"/>
      <w:bookmarkStart w:id="10096" w:name="_Caption9540"/>
      <w:bookmarkStart w:id="10097" w:name="_Caption7826"/>
      <w:bookmarkStart w:id="10098" w:name="_Caption1196"/>
      <w:bookmarkStart w:id="10099" w:name="_Caption2650"/>
      <w:bookmarkStart w:id="10100" w:name="_Caption6655"/>
      <w:bookmarkStart w:id="10101" w:name="_Caption6273"/>
      <w:bookmarkStart w:id="10102" w:name="_Toc177735263"/>
      <w:bookmarkStart w:id="10103" w:name="_Toc178292705"/>
      <w:r w:rsidR="008C60A3">
        <w:rPr>
          <w:noProof/>
        </w:rPr>
        <w:t>H</w:t>
      </w:r>
      <w:r w:rsidR="008C60A3" w:rsidRPr="005E5FA8">
        <w:rPr>
          <w:noProof/>
        </w:rPr>
        <w:t>.</w:t>
      </w:r>
      <w:r w:rsidR="008C60A3">
        <w:rPr>
          <w:noProof/>
        </w:rPr>
        <w:t>13</w:t>
      </w:r>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r w:rsidRPr="005E5FA8">
        <w:fldChar w:fldCharType="end"/>
      </w:r>
      <w:r w:rsidRPr="005E5FA8">
        <w:tab/>
        <w:t>Stringency Level 2 estimated costs and benefits — C5OM</w:t>
      </w:r>
      <w:bookmarkEnd w:id="10102"/>
      <w:bookmarkEnd w:id="10103"/>
    </w:p>
    <w:tbl>
      <w:tblPr>
        <w:tblW w:w="7936" w:type="dxa"/>
        <w:tblLayout w:type="fixed"/>
        <w:tblLook w:val="0000" w:firstRow="0" w:lastRow="0" w:firstColumn="0" w:lastColumn="0" w:noHBand="0" w:noVBand="0"/>
        <w:tblCaption w:val="Table G.13 "/>
        <w:tblDescription w:val="Stringency Level 2 estimated costs and benefits — C5OM"/>
      </w:tblPr>
      <w:tblGrid>
        <w:gridCol w:w="2627"/>
        <w:gridCol w:w="634"/>
        <w:gridCol w:w="693"/>
        <w:gridCol w:w="664"/>
        <w:gridCol w:w="663"/>
        <w:gridCol w:w="664"/>
        <w:gridCol w:w="664"/>
        <w:gridCol w:w="663"/>
        <w:gridCol w:w="664"/>
      </w:tblGrid>
      <w:tr w:rsidR="00D24C7F" w14:paraId="41F97F15" w14:textId="77777777">
        <w:trPr>
          <w:trHeight w:val="245"/>
          <w:tblHeader/>
        </w:trPr>
        <w:tc>
          <w:tcPr>
            <w:tcW w:w="2627" w:type="dxa"/>
            <w:shd w:val="clear" w:color="auto" w:fill="6F6652"/>
            <w:tcMar>
              <w:left w:w="57" w:type="dxa"/>
              <w:right w:w="57" w:type="dxa"/>
            </w:tcMar>
          </w:tcPr>
          <w:p w14:paraId="701083EB" w14:textId="77777777" w:rsidR="00D24C7F" w:rsidRDefault="00D24C7F">
            <w:pPr>
              <w:pStyle w:val="TableDataColumnHeading"/>
              <w:jc w:val="left"/>
            </w:pPr>
            <w:r>
              <w:t>Impact</w:t>
            </w:r>
          </w:p>
        </w:tc>
        <w:tc>
          <w:tcPr>
            <w:tcW w:w="634" w:type="dxa"/>
            <w:shd w:val="clear" w:color="auto" w:fill="6F6652"/>
            <w:tcMar>
              <w:left w:w="57" w:type="dxa"/>
              <w:right w:w="57" w:type="dxa"/>
            </w:tcMar>
          </w:tcPr>
          <w:p w14:paraId="44A1CE93" w14:textId="77777777" w:rsidR="00D24C7F" w:rsidRDefault="00D24C7F">
            <w:pPr>
              <w:pStyle w:val="TableDataColumnHeading"/>
            </w:pPr>
            <w:r>
              <w:t>NSW (CZ5)</w:t>
            </w:r>
          </w:p>
          <w:p w14:paraId="0E7EAF27" w14:textId="77777777" w:rsidR="00D24C7F" w:rsidRDefault="00D24C7F">
            <w:pPr>
              <w:pStyle w:val="TableDataColumnHeading"/>
            </w:pPr>
            <w:r>
              <w:t>$ per m2</w:t>
            </w:r>
          </w:p>
        </w:tc>
        <w:tc>
          <w:tcPr>
            <w:tcW w:w="693" w:type="dxa"/>
            <w:shd w:val="clear" w:color="auto" w:fill="6F6652"/>
            <w:tcMar>
              <w:left w:w="57" w:type="dxa"/>
              <w:right w:w="57" w:type="dxa"/>
            </w:tcMar>
          </w:tcPr>
          <w:p w14:paraId="2D12252A" w14:textId="77777777" w:rsidR="00D24C7F" w:rsidRDefault="00D24C7F">
            <w:pPr>
              <w:pStyle w:val="TableDataColumnHeading"/>
            </w:pPr>
            <w:r>
              <w:t>VIC (CZ6)</w:t>
            </w:r>
          </w:p>
          <w:p w14:paraId="2C28865D" w14:textId="77777777" w:rsidR="00D24C7F" w:rsidRDefault="00D24C7F">
            <w:pPr>
              <w:pStyle w:val="TableDataColumnHeading"/>
            </w:pPr>
            <w:r>
              <w:t>$ per m2</w:t>
            </w:r>
          </w:p>
        </w:tc>
        <w:tc>
          <w:tcPr>
            <w:tcW w:w="664" w:type="dxa"/>
            <w:shd w:val="clear" w:color="auto" w:fill="6F6652"/>
            <w:tcMar>
              <w:left w:w="57" w:type="dxa"/>
              <w:right w:w="57" w:type="dxa"/>
            </w:tcMar>
          </w:tcPr>
          <w:p w14:paraId="29B769EA" w14:textId="77777777" w:rsidR="00D24C7F" w:rsidRDefault="00D24C7F">
            <w:pPr>
              <w:pStyle w:val="TableDataColumnHeading"/>
            </w:pPr>
            <w:r>
              <w:t>QLD (CZ2)</w:t>
            </w:r>
          </w:p>
          <w:p w14:paraId="7C66FE76" w14:textId="77777777" w:rsidR="00D24C7F" w:rsidRDefault="00D24C7F">
            <w:pPr>
              <w:pStyle w:val="TableDataColumnHeading"/>
            </w:pPr>
            <w:r>
              <w:t>$ per m2</w:t>
            </w:r>
          </w:p>
        </w:tc>
        <w:tc>
          <w:tcPr>
            <w:tcW w:w="663" w:type="dxa"/>
            <w:shd w:val="clear" w:color="auto" w:fill="6F6652"/>
            <w:tcMar>
              <w:left w:w="57" w:type="dxa"/>
              <w:right w:w="57" w:type="dxa"/>
            </w:tcMar>
          </w:tcPr>
          <w:p w14:paraId="163CE783" w14:textId="77777777" w:rsidR="00D24C7F" w:rsidRDefault="00D24C7F">
            <w:pPr>
              <w:pStyle w:val="TableDataColumnHeading"/>
            </w:pPr>
            <w:r>
              <w:t>WA (CZ5)</w:t>
            </w:r>
          </w:p>
          <w:p w14:paraId="398A3CC5" w14:textId="77777777" w:rsidR="00D24C7F" w:rsidRDefault="00D24C7F">
            <w:pPr>
              <w:pStyle w:val="TableDataColumnHeading"/>
            </w:pPr>
            <w:r>
              <w:t>$ per m2</w:t>
            </w:r>
          </w:p>
        </w:tc>
        <w:tc>
          <w:tcPr>
            <w:tcW w:w="664" w:type="dxa"/>
            <w:shd w:val="clear" w:color="auto" w:fill="6F6652"/>
            <w:tcMar>
              <w:left w:w="57" w:type="dxa"/>
              <w:right w:w="57" w:type="dxa"/>
            </w:tcMar>
          </w:tcPr>
          <w:p w14:paraId="074A238B" w14:textId="77777777" w:rsidR="00D24C7F" w:rsidRDefault="00D24C7F">
            <w:pPr>
              <w:pStyle w:val="TableDataColumnHeading"/>
            </w:pPr>
            <w:r>
              <w:t>SA (CZ5)</w:t>
            </w:r>
          </w:p>
          <w:p w14:paraId="42423408" w14:textId="77777777" w:rsidR="00D24C7F" w:rsidRDefault="00D24C7F">
            <w:pPr>
              <w:pStyle w:val="TableDataColumnHeading"/>
            </w:pPr>
            <w:r>
              <w:t>$ per m2</w:t>
            </w:r>
          </w:p>
        </w:tc>
        <w:tc>
          <w:tcPr>
            <w:tcW w:w="664" w:type="dxa"/>
            <w:shd w:val="clear" w:color="auto" w:fill="6F6652"/>
            <w:tcMar>
              <w:left w:w="57" w:type="dxa"/>
              <w:right w:w="57" w:type="dxa"/>
            </w:tcMar>
          </w:tcPr>
          <w:p w14:paraId="00D2FB04" w14:textId="77777777" w:rsidR="00D24C7F" w:rsidRDefault="00D24C7F">
            <w:pPr>
              <w:pStyle w:val="TableDataColumnHeading"/>
            </w:pPr>
            <w:r>
              <w:t>TAS (CZ7)</w:t>
            </w:r>
          </w:p>
          <w:p w14:paraId="38F46F57" w14:textId="77777777" w:rsidR="00D24C7F" w:rsidRDefault="00D24C7F">
            <w:pPr>
              <w:pStyle w:val="TableDataColumnHeading"/>
            </w:pPr>
            <w:r>
              <w:t>$ per m2</w:t>
            </w:r>
          </w:p>
        </w:tc>
        <w:tc>
          <w:tcPr>
            <w:tcW w:w="663" w:type="dxa"/>
            <w:shd w:val="clear" w:color="auto" w:fill="6F6652"/>
            <w:tcMar>
              <w:left w:w="57" w:type="dxa"/>
              <w:right w:w="57" w:type="dxa"/>
            </w:tcMar>
          </w:tcPr>
          <w:p w14:paraId="146040DD" w14:textId="77777777" w:rsidR="00D24C7F" w:rsidRDefault="00D24C7F">
            <w:pPr>
              <w:pStyle w:val="TableDataColumnHeading"/>
            </w:pPr>
            <w:r>
              <w:t>ACT (CZ7)</w:t>
            </w:r>
          </w:p>
          <w:p w14:paraId="4BA51E93" w14:textId="77777777" w:rsidR="00D24C7F" w:rsidRDefault="00D24C7F">
            <w:pPr>
              <w:pStyle w:val="TableDataColumnHeading"/>
            </w:pPr>
            <w:r>
              <w:t>$ per m2</w:t>
            </w:r>
          </w:p>
        </w:tc>
        <w:tc>
          <w:tcPr>
            <w:tcW w:w="664" w:type="dxa"/>
            <w:shd w:val="clear" w:color="auto" w:fill="6F6652"/>
            <w:tcMar>
              <w:left w:w="57" w:type="dxa"/>
              <w:right w:w="57" w:type="dxa"/>
            </w:tcMar>
          </w:tcPr>
          <w:p w14:paraId="1892C166" w14:textId="77777777" w:rsidR="00D24C7F" w:rsidRDefault="00D24C7F">
            <w:pPr>
              <w:pStyle w:val="TableDataColumnHeading"/>
            </w:pPr>
            <w:r>
              <w:t>NT (CZ1)</w:t>
            </w:r>
          </w:p>
          <w:p w14:paraId="51123148" w14:textId="77777777" w:rsidR="00D24C7F" w:rsidRDefault="00D24C7F">
            <w:pPr>
              <w:pStyle w:val="TableDataColumnHeading"/>
            </w:pPr>
            <w:r>
              <w:t>$ per m2</w:t>
            </w:r>
          </w:p>
        </w:tc>
      </w:tr>
      <w:tr w:rsidR="00D24C7F" w14:paraId="4F3453DD"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B8D1FFF" w14:textId="77777777" w:rsidR="00D24C7F" w:rsidRDefault="00D24C7F">
            <w:pPr>
              <w:pStyle w:val="TableDataEntries"/>
              <w:jc w:val="left"/>
            </w:pPr>
            <w:r>
              <w:t>Avoided electricity network capacity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0114B89" w14:textId="509DB3DE" w:rsidR="00D24C7F" w:rsidRDefault="00D24C7F">
            <w:pPr>
              <w:pStyle w:val="TableDataEntries"/>
            </w:pPr>
            <w:r>
              <w:t>19.1</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8B8EB4" w14:textId="187B2787" w:rsidR="00D24C7F" w:rsidRDefault="00D24C7F">
            <w:pPr>
              <w:pStyle w:val="TableDataEntries"/>
            </w:pPr>
            <w:r>
              <w:t>11.9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EE5141" w14:textId="15EDC03E" w:rsidR="00D24C7F" w:rsidRDefault="00D24C7F">
            <w:pPr>
              <w:pStyle w:val="TableDataEntries"/>
            </w:pPr>
            <w:r>
              <w:t>19.8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AFF77E" w14:textId="3615618F" w:rsidR="00D24C7F" w:rsidRDefault="00D24C7F">
            <w:pPr>
              <w:pStyle w:val="TableDataEntries"/>
            </w:pPr>
            <w:r>
              <w:t>4.6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4B67531" w14:textId="295E8446" w:rsidR="00D24C7F" w:rsidRDefault="00D24C7F">
            <w:pPr>
              <w:pStyle w:val="TableDataEntries"/>
            </w:pPr>
            <w:r>
              <w:t>10.0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BA992A" w14:textId="27C96BE1" w:rsidR="00D24C7F" w:rsidRDefault="00D24C7F">
            <w:pPr>
              <w:pStyle w:val="TableDataEntries"/>
            </w:pPr>
            <w:r>
              <w:t>40.0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92BB39" w14:textId="276A9576" w:rsidR="00D24C7F" w:rsidRDefault="00D24C7F">
            <w:pPr>
              <w:pStyle w:val="TableDataEntries"/>
            </w:pPr>
            <w:r>
              <w:t>18.0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2540D1" w14:textId="48A6F2E1" w:rsidR="00D24C7F" w:rsidRDefault="00D24C7F">
            <w:pPr>
              <w:pStyle w:val="TableDataEntries"/>
            </w:pPr>
            <w:r>
              <w:t>23.6</w:t>
            </w:r>
          </w:p>
        </w:tc>
      </w:tr>
      <w:tr w:rsidR="00D24C7F" w14:paraId="616B41AC"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5821922" w14:textId="77777777" w:rsidR="00D24C7F" w:rsidRDefault="00D24C7F">
            <w:pPr>
              <w:pStyle w:val="TableDataEntries"/>
              <w:jc w:val="left"/>
            </w:pPr>
            <w:r>
              <w:t>Avoided electricity wholesale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B0AEAA5" w14:textId="3C240787" w:rsidR="00D24C7F" w:rsidRDefault="00D24C7F">
            <w:pPr>
              <w:pStyle w:val="TableDataEntries"/>
            </w:pPr>
            <w:r>
              <w:t>39.8</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CD885BF" w14:textId="68A27E27" w:rsidR="00D24C7F" w:rsidRDefault="00D24C7F">
            <w:pPr>
              <w:pStyle w:val="TableDataEntries"/>
            </w:pPr>
            <w:r>
              <w:t>30.5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98FC701" w14:textId="5A68592B" w:rsidR="00D24C7F" w:rsidRDefault="00D24C7F">
            <w:pPr>
              <w:pStyle w:val="TableDataEntries"/>
            </w:pPr>
            <w:r>
              <w:t>39.5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BD24A4D" w14:textId="3EFBF177" w:rsidR="00D24C7F" w:rsidRDefault="00D24C7F">
            <w:pPr>
              <w:pStyle w:val="TableDataEntries"/>
            </w:pPr>
            <w:r>
              <w:t>24.1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795D1D" w14:textId="464B5774" w:rsidR="00D24C7F" w:rsidRDefault="00D24C7F">
            <w:pPr>
              <w:pStyle w:val="TableDataEntries"/>
            </w:pPr>
            <w:r>
              <w:t>27.3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F6062A" w14:textId="2B57EC99" w:rsidR="00D24C7F" w:rsidRDefault="00D24C7F">
            <w:pPr>
              <w:pStyle w:val="TableDataEntries"/>
            </w:pPr>
            <w:r>
              <w:t>32.9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05750EC" w14:textId="4A9D26E8" w:rsidR="00D24C7F" w:rsidRDefault="00D24C7F">
            <w:pPr>
              <w:pStyle w:val="TableDataEntries"/>
            </w:pPr>
            <w:r>
              <w:t>35.1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0C85B81" w14:textId="03D7D531" w:rsidR="00D24C7F" w:rsidRDefault="00D24C7F">
            <w:pPr>
              <w:pStyle w:val="TableDataEntries"/>
            </w:pPr>
            <w:r>
              <w:t>83.3</w:t>
            </w:r>
          </w:p>
        </w:tc>
      </w:tr>
      <w:tr w:rsidR="00D24C7F" w14:paraId="104B8379"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C34D35" w14:textId="77777777" w:rsidR="00D24C7F" w:rsidRDefault="00D24C7F">
            <w:pPr>
              <w:pStyle w:val="TableDataEntries"/>
              <w:jc w:val="left"/>
            </w:pPr>
            <w:r>
              <w:t>Avoided electricity network usage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75CF68" w14:textId="34569ED8" w:rsidR="00D24C7F" w:rsidRDefault="00D24C7F">
            <w:pPr>
              <w:pStyle w:val="TableDataEntries"/>
            </w:pPr>
            <w:r>
              <w:t>23.9</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FA2AADC" w14:textId="1ABAEE30" w:rsidR="00D24C7F" w:rsidRDefault="00D24C7F">
            <w:pPr>
              <w:pStyle w:val="TableDataEntries"/>
            </w:pPr>
            <w:r>
              <w:t>38.1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E81B136" w14:textId="781DF942" w:rsidR="00D24C7F" w:rsidRDefault="00D24C7F">
            <w:pPr>
              <w:pStyle w:val="TableDataEntries"/>
            </w:pPr>
            <w:r>
              <w:t>26.2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781EAF" w14:textId="10D63D3C" w:rsidR="00D24C7F" w:rsidRDefault="00D24C7F">
            <w:pPr>
              <w:pStyle w:val="TableDataEntries"/>
            </w:pPr>
            <w:r>
              <w:t>61.5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B3E1702" w14:textId="1285C9B2" w:rsidR="00D24C7F" w:rsidRDefault="00D24C7F">
            <w:pPr>
              <w:pStyle w:val="TableDataEntries"/>
            </w:pPr>
            <w:r>
              <w:t>68.7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05963F" w14:textId="1B31E3AC" w:rsidR="00D24C7F" w:rsidRDefault="00D24C7F">
            <w:pPr>
              <w:pStyle w:val="TableDataEntries"/>
            </w:pPr>
            <w:r>
              <w:t>60.8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961C5A7" w14:textId="39FDBDE0" w:rsidR="00D24C7F" w:rsidRDefault="00D24C7F">
            <w:pPr>
              <w:pStyle w:val="TableDataEntries"/>
            </w:pPr>
            <w:r>
              <w:t>36.7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E87E8C" w14:textId="3EB5F23B" w:rsidR="00D24C7F" w:rsidRDefault="00D24C7F">
            <w:pPr>
              <w:pStyle w:val="TableDataEntries"/>
            </w:pPr>
            <w:r>
              <w:t>40.0</w:t>
            </w:r>
          </w:p>
        </w:tc>
      </w:tr>
      <w:tr w:rsidR="00D24C7F" w14:paraId="2697DF5A"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FF7ECA" w14:textId="77777777" w:rsidR="00D24C7F" w:rsidRDefault="00D24C7F">
            <w:pPr>
              <w:pStyle w:val="TableDataEntries"/>
              <w:jc w:val="left"/>
            </w:pPr>
            <w:r>
              <w:t>Avoided electricity retail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3AFF04F" w14:textId="47A70AE8" w:rsidR="00D24C7F" w:rsidRDefault="00D24C7F">
            <w:pPr>
              <w:pStyle w:val="TableDataEntries"/>
            </w:pPr>
            <w:r>
              <w:t>12.4</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FA2FA3E" w14:textId="152FEFE5" w:rsidR="00D24C7F" w:rsidRDefault="00D24C7F">
            <w:pPr>
              <w:pStyle w:val="TableDataEntries"/>
            </w:pPr>
            <w:r>
              <w:t>12.1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A66D372" w14:textId="51101CF1" w:rsidR="00D24C7F" w:rsidRDefault="00D24C7F">
            <w:pPr>
              <w:pStyle w:val="TableDataEntries"/>
            </w:pPr>
            <w:r>
              <w:t>12.8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5CA9BB9" w14:textId="3045F4F7" w:rsidR="00D24C7F" w:rsidRDefault="00D24C7F">
            <w:pPr>
              <w:pStyle w:val="TableDataEntries"/>
            </w:pPr>
            <w:r>
              <w:t>13.5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C4E3D9" w14:textId="793BA56F" w:rsidR="00D24C7F" w:rsidRDefault="00D24C7F">
            <w:pPr>
              <w:pStyle w:val="TableDataEntries"/>
            </w:pPr>
            <w:r>
              <w:t>15.9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465B4EE" w14:textId="2ECA3177" w:rsidR="00D24C7F" w:rsidRDefault="00D24C7F">
            <w:pPr>
              <w:pStyle w:val="TableDataEntries"/>
            </w:pPr>
            <w:r>
              <w:t>20.0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CDAD1AB" w14:textId="10B8B12B" w:rsidR="00D24C7F" w:rsidRDefault="00D24C7F">
            <w:pPr>
              <w:pStyle w:val="TableDataEntries"/>
            </w:pPr>
            <w:r>
              <w:t>13.5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AA8AB4" w14:textId="526CA3AD" w:rsidR="00D24C7F" w:rsidRDefault="00D24C7F">
            <w:pPr>
              <w:pStyle w:val="TableDataEntries"/>
            </w:pPr>
            <w:r>
              <w:t>22.0</w:t>
            </w:r>
          </w:p>
        </w:tc>
      </w:tr>
      <w:tr w:rsidR="00D24C7F" w14:paraId="36E1080A"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604FDF" w14:textId="77777777" w:rsidR="00D24C7F" w:rsidRDefault="00D24C7F">
            <w:pPr>
              <w:pStyle w:val="TableDataEntries"/>
              <w:jc w:val="left"/>
            </w:pPr>
            <w:r>
              <w:t>Electricity exported to grid</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E4DF20" w14:textId="44916019" w:rsidR="00D24C7F" w:rsidRDefault="00D24C7F">
            <w:pPr>
              <w:pStyle w:val="TableDataEntries"/>
            </w:pPr>
            <w:r>
              <w:t>2.7</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F50A28B" w14:textId="309AE99B" w:rsidR="00D24C7F" w:rsidRDefault="00D24C7F">
            <w:pPr>
              <w:pStyle w:val="TableDataEntries"/>
            </w:pPr>
            <w:r>
              <w:t>1.8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789920" w14:textId="2FBAA4C4" w:rsidR="00D24C7F" w:rsidRDefault="00D24C7F">
            <w:pPr>
              <w:pStyle w:val="TableDataEntries"/>
            </w:pPr>
            <w:r>
              <w:t>3.2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4970005" w14:textId="59D6C614" w:rsidR="00D24C7F" w:rsidRDefault="00D24C7F">
            <w:pPr>
              <w:pStyle w:val="TableDataEntries"/>
            </w:pPr>
            <w:r>
              <w:t>2.6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FE89DC6" w14:textId="1FE07113" w:rsidR="00D24C7F" w:rsidRDefault="00D24C7F">
            <w:pPr>
              <w:pStyle w:val="TableDataEntries"/>
            </w:pPr>
            <w:r>
              <w:t>1.6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9F9AC97" w14:textId="4B50EBD4" w:rsidR="00D24C7F" w:rsidRDefault="00D24C7F">
            <w:pPr>
              <w:pStyle w:val="TableDataEntries"/>
            </w:pPr>
            <w:r>
              <w:t>7.4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A5EF9D8" w14:textId="4EF87974" w:rsidR="00D24C7F" w:rsidRDefault="00D24C7F">
            <w:pPr>
              <w:pStyle w:val="TableDataEntries"/>
            </w:pPr>
            <w:r>
              <w:t>3.9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8A396E7" w14:textId="2AC66595" w:rsidR="00D24C7F" w:rsidRDefault="00D24C7F">
            <w:pPr>
              <w:pStyle w:val="TableDataEntries"/>
            </w:pPr>
            <w:r>
              <w:t>8.1</w:t>
            </w:r>
          </w:p>
        </w:tc>
      </w:tr>
      <w:tr w:rsidR="00D24C7F" w14:paraId="184B393B"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1FE45AA" w14:textId="77777777" w:rsidR="00D24C7F" w:rsidRDefault="00D24C7F">
            <w:pPr>
              <w:pStyle w:val="TableDataEntries"/>
              <w:jc w:val="left"/>
            </w:pPr>
            <w:r>
              <w:t>Electricity exports — network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2C38963" w14:textId="168AFDF6" w:rsidR="00D24C7F" w:rsidRDefault="00D24C7F">
            <w:pPr>
              <w:pStyle w:val="TableDataEntries"/>
            </w:pPr>
            <w:r>
              <w:t>-0.6</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27A73E7" w14:textId="6CCE0A3D" w:rsidR="00D24C7F" w:rsidRDefault="00D24C7F">
            <w:pPr>
              <w:pStyle w:val="TableDataEntries"/>
            </w:pPr>
            <w:r>
              <w:t>-0.6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BD5610" w14:textId="3AA046D0" w:rsidR="00D24C7F" w:rsidRDefault="00D24C7F">
            <w:pPr>
              <w:pStyle w:val="TableDataEntries"/>
            </w:pPr>
            <w:r>
              <w:t>-0.7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09B61EE" w14:textId="1585C8D0" w:rsidR="00D24C7F" w:rsidRDefault="00D24C7F">
            <w:pPr>
              <w:pStyle w:val="TableDataEntries"/>
            </w:pPr>
            <w:r>
              <w:t>-0.6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08B131" w14:textId="60BEB14F" w:rsidR="00D24C7F" w:rsidRDefault="00D24C7F">
            <w:pPr>
              <w:pStyle w:val="TableDataEntries"/>
            </w:pPr>
            <w:r>
              <w:t>-0.6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827473" w14:textId="6F8D5007" w:rsidR="00D24C7F" w:rsidRDefault="00D24C7F">
            <w:pPr>
              <w:pStyle w:val="TableDataEntries"/>
            </w:pPr>
            <w:r>
              <w:t>-0.9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BA3CD7" w14:textId="1E158850" w:rsidR="00D24C7F" w:rsidRDefault="00D24C7F">
            <w:pPr>
              <w:pStyle w:val="TableDataEntries"/>
            </w:pPr>
            <w:r>
              <w:t>-0.8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BCCE82" w14:textId="1B74C1B1" w:rsidR="00D24C7F" w:rsidRDefault="00D24C7F">
            <w:pPr>
              <w:pStyle w:val="TableDataEntries"/>
            </w:pPr>
            <w:r>
              <w:t>-0.5</w:t>
            </w:r>
          </w:p>
        </w:tc>
      </w:tr>
      <w:tr w:rsidR="00D24C7F" w14:paraId="5759CDF8"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8DF4468" w14:textId="77777777" w:rsidR="00D24C7F" w:rsidRDefault="00D24C7F">
            <w:pPr>
              <w:pStyle w:val="TableDataEntries"/>
              <w:jc w:val="left"/>
            </w:pPr>
            <w:r>
              <w:t>Avoided gas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50178E" w14:textId="0E9818F9" w:rsidR="00D24C7F" w:rsidRDefault="00D24C7F">
            <w:pPr>
              <w:pStyle w:val="TableDataEntries"/>
            </w:pPr>
            <w:r>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A49141" w14:textId="0F91B5C4"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B654F52" w14:textId="12372873"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8A0B510" w14:textId="4777258E"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84EEA19" w14:textId="38095175"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779F45" w14:textId="4449519C"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25D9E8" w14:textId="058DDAE7"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2569D5" w14:textId="3EC3FE6E" w:rsidR="00D24C7F" w:rsidRDefault="00D24C7F">
            <w:pPr>
              <w:pStyle w:val="TableDataEntries"/>
            </w:pPr>
            <w:r>
              <w:t>0.0</w:t>
            </w:r>
          </w:p>
        </w:tc>
      </w:tr>
      <w:tr w:rsidR="00D24C7F" w14:paraId="6F1A4802"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3F88C6" w14:textId="77777777" w:rsidR="00D24C7F" w:rsidRDefault="00D24C7F">
            <w:pPr>
              <w:pStyle w:val="TableDataEntries"/>
              <w:jc w:val="left"/>
            </w:pPr>
            <w:r>
              <w:t>Avoided GHG emissions –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6EDA10" w14:textId="4D4408D9" w:rsidR="00D24C7F" w:rsidRDefault="00D24C7F">
            <w:pPr>
              <w:pStyle w:val="TableDataEntries"/>
            </w:pPr>
            <w:r>
              <w:t>23.1</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B07241" w14:textId="1582F604" w:rsidR="00D24C7F" w:rsidRDefault="00D24C7F">
            <w:pPr>
              <w:pStyle w:val="TableDataEntries"/>
            </w:pPr>
            <w:r>
              <w:t>34.4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E1BE44D" w14:textId="099831C7" w:rsidR="00D24C7F" w:rsidRDefault="00D24C7F">
            <w:pPr>
              <w:pStyle w:val="TableDataEntries"/>
            </w:pPr>
            <w:r>
              <w:t>68.9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126320" w14:textId="3DD7F7CC" w:rsidR="00D24C7F" w:rsidRDefault="00D24C7F">
            <w:pPr>
              <w:pStyle w:val="TableDataEntries"/>
            </w:pPr>
            <w:r>
              <w:t>34.2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716D8F" w14:textId="359CA040" w:rsidR="00D24C7F" w:rsidRDefault="00D24C7F">
            <w:pPr>
              <w:pStyle w:val="TableDataEntries"/>
            </w:pPr>
            <w:r>
              <w:t>24.8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84E3DC" w14:textId="60B2558D" w:rsidR="00D24C7F" w:rsidRDefault="00D24C7F">
            <w:pPr>
              <w:pStyle w:val="TableDataEntries"/>
            </w:pPr>
            <w:r>
              <w:t>2.9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E2651C0" w14:textId="05BC11F5" w:rsidR="00D24C7F" w:rsidRDefault="00D24C7F">
            <w:pPr>
              <w:pStyle w:val="TableDataEntries"/>
            </w:pPr>
            <w:r>
              <w:t>19.5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F1B22FF" w14:textId="59220592" w:rsidR="00D24C7F" w:rsidRDefault="00D24C7F">
            <w:pPr>
              <w:pStyle w:val="TableDataEntries"/>
            </w:pPr>
            <w:r>
              <w:t>80.1</w:t>
            </w:r>
          </w:p>
        </w:tc>
      </w:tr>
      <w:tr w:rsidR="00D24C7F" w14:paraId="3070A1A6"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E49577B" w14:textId="77777777" w:rsidR="00D24C7F" w:rsidRDefault="00D24C7F">
            <w:pPr>
              <w:pStyle w:val="TableDataEntries"/>
              <w:jc w:val="left"/>
            </w:pPr>
            <w:r>
              <w:t>Avoided GHG emissions – exported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ADF31C" w14:textId="758988FB" w:rsidR="00D24C7F" w:rsidRDefault="00D24C7F">
            <w:pPr>
              <w:pStyle w:val="TableDataEntries"/>
            </w:pPr>
            <w:r>
              <w:t>4.2</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544274" w14:textId="4986E044" w:rsidR="00D24C7F" w:rsidRDefault="00D24C7F">
            <w:pPr>
              <w:pStyle w:val="TableDataEntries"/>
            </w:pPr>
            <w:r>
              <w:t>8.2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5862857" w14:textId="4E223292" w:rsidR="00D24C7F" w:rsidRDefault="00D24C7F">
            <w:pPr>
              <w:pStyle w:val="TableDataEntries"/>
            </w:pPr>
            <w:r>
              <w:t>12.5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C68764" w14:textId="04733A2E" w:rsidR="00D24C7F" w:rsidRDefault="00D24C7F">
            <w:pPr>
              <w:pStyle w:val="TableDataEntries"/>
            </w:pPr>
            <w:r>
              <w:t>6.3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944F5D8" w14:textId="31CA5111" w:rsidR="00D24C7F" w:rsidRDefault="00D24C7F">
            <w:pPr>
              <w:pStyle w:val="TableDataEntries"/>
            </w:pPr>
            <w:r>
              <w:t>4.5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985C9A" w14:textId="19A19DF8" w:rsidR="00D24C7F" w:rsidRDefault="00D24C7F">
            <w:pPr>
              <w:pStyle w:val="TableDataEntries"/>
            </w:pPr>
            <w:r>
              <w:t>0.8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1254076" w14:textId="792E45F0" w:rsidR="00D24C7F" w:rsidRDefault="00D24C7F">
            <w:pPr>
              <w:pStyle w:val="TableDataEntries"/>
            </w:pPr>
            <w:r>
              <w:t>5.2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26B167" w14:textId="0867A66E" w:rsidR="00D24C7F" w:rsidRDefault="00D24C7F">
            <w:pPr>
              <w:pStyle w:val="TableDataEntries"/>
            </w:pPr>
            <w:r>
              <w:t>8.9</w:t>
            </w:r>
          </w:p>
        </w:tc>
      </w:tr>
      <w:tr w:rsidR="00D24C7F" w14:paraId="4A6EBEF4"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BF61FFD" w14:textId="77777777" w:rsidR="00D24C7F" w:rsidRDefault="00D24C7F">
            <w:pPr>
              <w:pStyle w:val="TableDataEntries"/>
              <w:jc w:val="left"/>
            </w:pPr>
            <w:r>
              <w:t>Avoided GHG emissions – gas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362013" w14:textId="40849BAC" w:rsidR="00D24C7F" w:rsidRDefault="00D24C7F">
            <w:pPr>
              <w:pStyle w:val="TableDataEntries"/>
            </w:pPr>
            <w:r>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37959C9" w14:textId="687C48AA"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176488B" w14:textId="303D3348"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1C9ABC7" w14:textId="10B5210E"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0CFBC60" w14:textId="1B74E76C"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7A6E00" w14:textId="7718D32C"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FDAE441" w14:textId="19860E89"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B73897F" w14:textId="5D72A22A" w:rsidR="00D24C7F" w:rsidRDefault="00D24C7F">
            <w:pPr>
              <w:pStyle w:val="TableDataEntries"/>
            </w:pPr>
            <w:r>
              <w:t>0.0</w:t>
            </w:r>
          </w:p>
        </w:tc>
      </w:tr>
      <w:tr w:rsidR="00D24C7F" w14:paraId="425013FC"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A06D30" w14:textId="77777777" w:rsidR="00D24C7F" w:rsidRDefault="00D24C7F">
            <w:pPr>
              <w:pStyle w:val="TableDataEntries"/>
              <w:jc w:val="left"/>
            </w:pPr>
            <w:r>
              <w:t>Capital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689760C" w14:textId="28BF0101" w:rsidR="00D24C7F" w:rsidRDefault="00D24C7F">
            <w:pPr>
              <w:pStyle w:val="TableDataEntries"/>
            </w:pPr>
            <w:r>
              <w:t>-41.3</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2827943" w14:textId="1A212C7E" w:rsidR="00D24C7F" w:rsidRDefault="00D24C7F">
            <w:pPr>
              <w:pStyle w:val="TableDataEntries"/>
            </w:pPr>
            <w:r>
              <w:t>-52.6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72BD16" w14:textId="7D0F6094" w:rsidR="00D24C7F" w:rsidRDefault="00D24C7F">
            <w:pPr>
              <w:pStyle w:val="TableDataEntries"/>
            </w:pPr>
            <w:r>
              <w:t>-54.3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CC9BE2" w14:textId="5C1DC374" w:rsidR="00D24C7F" w:rsidRDefault="00D24C7F">
            <w:pPr>
              <w:pStyle w:val="TableDataEntries"/>
            </w:pPr>
            <w:r>
              <w:t>-41.3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84EAFE" w14:textId="40276099" w:rsidR="00D24C7F" w:rsidRDefault="00D24C7F">
            <w:pPr>
              <w:pStyle w:val="TableDataEntries"/>
            </w:pPr>
            <w:r>
              <w:t>-41.3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380474" w14:textId="58F1DA93" w:rsidR="00D24C7F" w:rsidRDefault="00D24C7F">
            <w:pPr>
              <w:pStyle w:val="TableDataEntries"/>
            </w:pPr>
            <w:r>
              <w:t>-45.2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00FC051" w14:textId="3167DBE2" w:rsidR="00D24C7F" w:rsidRDefault="00D24C7F">
            <w:pPr>
              <w:pStyle w:val="TableDataEntries"/>
            </w:pPr>
            <w:r>
              <w:t>-45.2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751A5BC" w14:textId="42B64974" w:rsidR="00D24C7F" w:rsidRDefault="00D24C7F">
            <w:pPr>
              <w:pStyle w:val="TableDataEntries"/>
            </w:pPr>
            <w:r>
              <w:t>-64.8</w:t>
            </w:r>
          </w:p>
        </w:tc>
      </w:tr>
      <w:tr w:rsidR="00D24C7F" w:rsidRPr="00E06520" w14:paraId="3078D8D8" w14:textId="77777777">
        <w:trPr>
          <w:trHeight w:val="245"/>
        </w:trPr>
        <w:tc>
          <w:tcPr>
            <w:tcW w:w="2627"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51B7999" w14:textId="77777777" w:rsidR="00D24C7F" w:rsidRPr="00E06520" w:rsidRDefault="00D24C7F">
            <w:pPr>
              <w:pStyle w:val="TableDataEntries"/>
              <w:jc w:val="left"/>
              <w:rPr>
                <w:rFonts w:ascii="Franklin Gothic Demi" w:hAnsi="Franklin Gothic Demi"/>
              </w:rPr>
            </w:pPr>
            <w:r w:rsidRPr="00E06520">
              <w:rPr>
                <w:rFonts w:ascii="Franklin Gothic Demi" w:hAnsi="Franklin Gothic Demi"/>
              </w:rPr>
              <w:t>Total</w:t>
            </w:r>
          </w:p>
        </w:tc>
        <w:tc>
          <w:tcPr>
            <w:tcW w:w="63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A14AE42" w14:textId="5C61C0F6" w:rsidR="00D24C7F" w:rsidRPr="00E06520" w:rsidRDefault="00D24C7F">
            <w:pPr>
              <w:pStyle w:val="TableDataEntries"/>
              <w:rPr>
                <w:rFonts w:ascii="Franklin Gothic Demi" w:hAnsi="Franklin Gothic Demi"/>
              </w:rPr>
            </w:pPr>
            <w:r w:rsidRPr="00645C8C">
              <w:rPr>
                <w:rFonts w:ascii="Franklin Gothic Demi" w:hAnsi="Franklin Gothic Demi"/>
              </w:rPr>
              <w:t>83.4</w:t>
            </w:r>
          </w:p>
        </w:tc>
        <w:tc>
          <w:tcPr>
            <w:tcW w:w="69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66E0559" w14:textId="50F63C1D" w:rsidR="00D24C7F" w:rsidRPr="00E06520" w:rsidRDefault="00D24C7F">
            <w:pPr>
              <w:pStyle w:val="TableDataEntries"/>
              <w:rPr>
                <w:rFonts w:ascii="Franklin Gothic Demi" w:hAnsi="Franklin Gothic Demi"/>
              </w:rPr>
            </w:pPr>
            <w:r w:rsidRPr="00645C8C">
              <w:rPr>
                <w:rFonts w:ascii="Franklin Gothic Demi" w:hAnsi="Franklin Gothic Demi"/>
              </w:rPr>
              <w:t>83.7</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5D00C56" w14:textId="20305A7A" w:rsidR="00D24C7F" w:rsidRPr="00E06520" w:rsidRDefault="00D24C7F">
            <w:pPr>
              <w:pStyle w:val="TableDataEntries"/>
              <w:rPr>
                <w:rFonts w:ascii="Franklin Gothic Demi" w:hAnsi="Franklin Gothic Demi"/>
              </w:rPr>
            </w:pPr>
            <w:r w:rsidRPr="00645C8C">
              <w:rPr>
                <w:rFonts w:ascii="Franklin Gothic Demi" w:hAnsi="Franklin Gothic Demi"/>
              </w:rPr>
              <w:t>128.0</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9761363" w14:textId="2F16E5C3" w:rsidR="00D24C7F" w:rsidRPr="00E06520" w:rsidRDefault="00D24C7F">
            <w:pPr>
              <w:pStyle w:val="TableDataEntries"/>
              <w:rPr>
                <w:rFonts w:ascii="Franklin Gothic Demi" w:hAnsi="Franklin Gothic Demi"/>
              </w:rPr>
            </w:pPr>
            <w:r w:rsidRPr="00645C8C">
              <w:rPr>
                <w:rFonts w:ascii="Franklin Gothic Demi" w:hAnsi="Franklin Gothic Demi"/>
              </w:rPr>
              <w:t>104.9</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1D29622" w14:textId="7262C4AD" w:rsidR="00D24C7F" w:rsidRPr="00E06520" w:rsidRDefault="00D24C7F">
            <w:pPr>
              <w:pStyle w:val="TableDataEntries"/>
              <w:rPr>
                <w:rFonts w:ascii="Franklin Gothic Demi" w:hAnsi="Franklin Gothic Demi"/>
              </w:rPr>
            </w:pPr>
            <w:r w:rsidRPr="00645C8C">
              <w:rPr>
                <w:rFonts w:ascii="Franklin Gothic Demi" w:hAnsi="Franklin Gothic Demi"/>
              </w:rPr>
              <w:t>111.0</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6D64FAD" w14:textId="31903049" w:rsidR="00D24C7F" w:rsidRPr="00E06520" w:rsidRDefault="00D24C7F">
            <w:pPr>
              <w:pStyle w:val="TableDataEntries"/>
              <w:rPr>
                <w:rFonts w:ascii="Franklin Gothic Demi" w:hAnsi="Franklin Gothic Demi"/>
              </w:rPr>
            </w:pPr>
            <w:r w:rsidRPr="00645C8C">
              <w:rPr>
                <w:rFonts w:ascii="Franklin Gothic Demi" w:hAnsi="Franklin Gothic Demi"/>
              </w:rPr>
              <w:t>118.6</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6BB519A" w14:textId="28B40958" w:rsidR="00D24C7F" w:rsidRPr="00E06520" w:rsidRDefault="00D24C7F">
            <w:pPr>
              <w:pStyle w:val="TableDataEntries"/>
              <w:rPr>
                <w:rFonts w:ascii="Franklin Gothic Demi" w:hAnsi="Franklin Gothic Demi"/>
              </w:rPr>
            </w:pPr>
            <w:r w:rsidRPr="00645C8C">
              <w:rPr>
                <w:rFonts w:ascii="Franklin Gothic Demi" w:hAnsi="Franklin Gothic Demi"/>
              </w:rPr>
              <w:t>85.8</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B3662CB" w14:textId="673C5546" w:rsidR="00D24C7F" w:rsidRPr="00E06520" w:rsidRDefault="00D24C7F">
            <w:pPr>
              <w:pStyle w:val="TableDataEntries"/>
              <w:rPr>
                <w:rFonts w:ascii="Franklin Gothic Demi" w:hAnsi="Franklin Gothic Demi"/>
              </w:rPr>
            </w:pPr>
            <w:r w:rsidRPr="00645C8C">
              <w:rPr>
                <w:rFonts w:ascii="Franklin Gothic Demi" w:hAnsi="Franklin Gothic Demi"/>
              </w:rPr>
              <w:t>200.8</w:t>
            </w:r>
          </w:p>
        </w:tc>
      </w:tr>
    </w:tbl>
    <w:p w14:paraId="27239ACE" w14:textId="77777777" w:rsidR="00D24C7F" w:rsidRDefault="00D24C7F" w:rsidP="00D24C7F">
      <w:pPr>
        <w:pStyle w:val="Note"/>
      </w:pPr>
      <w:r w:rsidRPr="007D1B4F">
        <w:rPr>
          <w:i/>
        </w:rPr>
        <w:t>Note:</w:t>
      </w:r>
      <w:r w:rsidRPr="00E879B8">
        <w:t xml:space="preserve"> </w:t>
      </w:r>
      <w:r>
        <w:t>Costs and benefits estimated in present value terms over the 50</w:t>
      </w:r>
      <w:r>
        <w:noBreakHyphen/>
        <w:t xml:space="preserve">year life of a building constructed in 2025, using a discount rate of 5 per cent. </w:t>
      </w:r>
    </w:p>
    <w:p w14:paraId="1BF69D7D" w14:textId="77777777" w:rsidR="00D24C7F" w:rsidRDefault="00D24C7F" w:rsidP="00D24C7F">
      <w:pPr>
        <w:pStyle w:val="Source"/>
      </w:pPr>
      <w:r>
        <w:rPr>
          <w:i/>
        </w:rPr>
        <w:t>Source</w:t>
      </w:r>
      <w:r w:rsidRPr="00E4232C">
        <w:rPr>
          <w:i/>
        </w:rPr>
        <w:t>:</w:t>
      </w:r>
      <w:r>
        <w:t xml:space="preserve"> CIE based on DeltaQ modelling.</w:t>
      </w:r>
    </w:p>
    <w:p w14:paraId="5F049747" w14:textId="6DBDEBF0" w:rsidR="00D24C7F" w:rsidRPr="005E5FA8" w:rsidRDefault="00D24C7F" w:rsidP="00D24C7F">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w:instrText>
      </w:r>
      <w:fldSimple w:instr=" STYLEREF &quot;Heading 1&quot; \l \n ">
        <w:r w:rsidRPr="005E5FA8">
          <w:instrText>2</w:instrText>
        </w:r>
      </w:fldSimple>
      <w:r w:rsidRPr="005E5FA8">
        <w:instrText xml:space="preserve">." </w:instrText>
      </w:r>
      <w:r w:rsidRPr="005E5FA8">
        <w:fldChar w:fldCharType="end"/>
      </w:r>
      <w:r w:rsidRPr="005E5FA8">
        <w:instrText>" "</w:instrText>
      </w:r>
      <w:fldSimple w:instr=" STYLEREF &quot;Heading 6&quot; \l \n ">
        <w:r w:rsidR="00581346">
          <w:rPr>
            <w:noProof/>
          </w:rPr>
          <w:instrText>H</w:instrText>
        </w:r>
      </w:fldSimple>
      <w:r w:rsidRPr="005E5FA8">
        <w:instrText xml:space="preserve">." </w:instrText>
      </w:r>
      <w:r w:rsidRPr="005E5FA8">
        <w:fldChar w:fldCharType="separate"/>
      </w:r>
      <w:r w:rsidR="00581346">
        <w:rPr>
          <w:noProof/>
        </w:rPr>
        <w:instrText>H</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"1" </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14</w:instrText>
      </w:r>
      <w:r w:rsidRPr="005E5FA8">
        <w:fldChar w:fldCharType="end"/>
      </w:r>
      <w:r w:rsidRPr="005E5FA8">
        <w:instrText xml:space="preserve">" "" </w:instrText>
      </w:r>
      <w:r w:rsidRPr="005E5FA8">
        <w:fldChar w:fldCharType="separate"/>
      </w:r>
      <w:bookmarkStart w:id="10104" w:name="_Caption4779"/>
      <w:bookmarkStart w:id="10105" w:name="_Caption0519"/>
      <w:bookmarkStart w:id="10106" w:name="_Caption9626"/>
      <w:bookmarkStart w:id="10107" w:name="_Caption1296"/>
      <w:bookmarkStart w:id="10108" w:name="_Caption1059"/>
      <w:bookmarkStart w:id="10109" w:name="_Caption3646"/>
      <w:bookmarkStart w:id="10110" w:name="_Caption0544"/>
      <w:bookmarkStart w:id="10111" w:name="_Caption4092"/>
      <w:bookmarkStart w:id="10112" w:name="_Caption7777"/>
      <w:bookmarkStart w:id="10113" w:name="_Caption4849"/>
      <w:bookmarkStart w:id="10114" w:name="_Caption1998"/>
      <w:bookmarkStart w:id="10115" w:name="_Caption0517"/>
      <w:bookmarkStart w:id="10116" w:name="_Caption2859"/>
      <w:bookmarkStart w:id="10117" w:name="_Caption8179"/>
      <w:bookmarkStart w:id="10118" w:name="_Caption3163"/>
      <w:bookmarkStart w:id="10119" w:name="_Caption6416"/>
      <w:bookmarkStart w:id="10120" w:name="_Caption0961"/>
      <w:bookmarkStart w:id="10121" w:name="_Caption1117"/>
      <w:bookmarkStart w:id="10122" w:name="_Caption4364"/>
      <w:bookmarkStart w:id="10123" w:name="_Caption2325"/>
      <w:bookmarkStart w:id="10124" w:name="_Caption1895"/>
      <w:bookmarkStart w:id="10125" w:name="_Caption2926"/>
      <w:bookmarkStart w:id="10126" w:name="_Caption3209"/>
      <w:bookmarkStart w:id="10127" w:name="_Caption3345"/>
      <w:bookmarkStart w:id="10128" w:name="_Caption6420"/>
      <w:bookmarkStart w:id="10129" w:name="_Caption9718"/>
      <w:bookmarkStart w:id="10130" w:name="_Caption6149"/>
      <w:bookmarkStart w:id="10131" w:name="_Caption9925"/>
      <w:bookmarkStart w:id="10132" w:name="_Caption1458"/>
      <w:bookmarkStart w:id="10133" w:name="_Toc177735264"/>
      <w:bookmarkStart w:id="10134" w:name="_Toc178292706"/>
      <w:r w:rsidR="008C60A3">
        <w:rPr>
          <w:noProof/>
        </w:rPr>
        <w:t>H</w:t>
      </w:r>
      <w:r w:rsidR="008C60A3" w:rsidRPr="005E5FA8">
        <w:rPr>
          <w:noProof/>
        </w:rPr>
        <w:t>.</w:t>
      </w:r>
      <w:r w:rsidR="008C60A3">
        <w:rPr>
          <w:noProof/>
        </w:rPr>
        <w:t>14</w:t>
      </w:r>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r w:rsidRPr="005E5FA8">
        <w:fldChar w:fldCharType="end"/>
      </w:r>
      <w:r w:rsidRPr="005E5FA8">
        <w:tab/>
        <w:t>Stringency Level 2 estimated costs and benefits — C6RS</w:t>
      </w:r>
      <w:bookmarkEnd w:id="10133"/>
      <w:bookmarkEnd w:id="10134"/>
    </w:p>
    <w:tbl>
      <w:tblPr>
        <w:tblW w:w="7936" w:type="dxa"/>
        <w:tblLayout w:type="fixed"/>
        <w:tblLook w:val="0000" w:firstRow="0" w:lastRow="0" w:firstColumn="0" w:lastColumn="0" w:noHBand="0" w:noVBand="0"/>
        <w:tblCaption w:val="Table G.14 "/>
        <w:tblDescription w:val="Stringency Level 2 estimated costs and benefits — C6RS"/>
      </w:tblPr>
      <w:tblGrid>
        <w:gridCol w:w="2627"/>
        <w:gridCol w:w="634"/>
        <w:gridCol w:w="693"/>
        <w:gridCol w:w="664"/>
        <w:gridCol w:w="663"/>
        <w:gridCol w:w="664"/>
        <w:gridCol w:w="664"/>
        <w:gridCol w:w="663"/>
        <w:gridCol w:w="664"/>
      </w:tblGrid>
      <w:tr w:rsidR="00D24C7F" w14:paraId="5888497E" w14:textId="77777777">
        <w:trPr>
          <w:trHeight w:val="245"/>
          <w:tblHeader/>
        </w:trPr>
        <w:tc>
          <w:tcPr>
            <w:tcW w:w="2627" w:type="dxa"/>
            <w:shd w:val="clear" w:color="auto" w:fill="6F6652"/>
            <w:tcMar>
              <w:left w:w="57" w:type="dxa"/>
              <w:right w:w="57" w:type="dxa"/>
            </w:tcMar>
          </w:tcPr>
          <w:p w14:paraId="4E2C7AF3" w14:textId="77777777" w:rsidR="00D24C7F" w:rsidRDefault="00D24C7F">
            <w:pPr>
              <w:pStyle w:val="TableDataColumnHeading"/>
              <w:jc w:val="left"/>
            </w:pPr>
            <w:r>
              <w:t>Impact</w:t>
            </w:r>
          </w:p>
        </w:tc>
        <w:tc>
          <w:tcPr>
            <w:tcW w:w="634" w:type="dxa"/>
            <w:shd w:val="clear" w:color="auto" w:fill="6F6652"/>
            <w:tcMar>
              <w:left w:w="57" w:type="dxa"/>
              <w:right w:w="57" w:type="dxa"/>
            </w:tcMar>
          </w:tcPr>
          <w:p w14:paraId="1B75954B" w14:textId="77777777" w:rsidR="00D24C7F" w:rsidRDefault="00D24C7F">
            <w:pPr>
              <w:pStyle w:val="TableDataColumnHeading"/>
            </w:pPr>
            <w:r>
              <w:t>NSW (CZ5)</w:t>
            </w:r>
          </w:p>
          <w:p w14:paraId="08ED2FFF" w14:textId="77777777" w:rsidR="00D24C7F" w:rsidRDefault="00D24C7F">
            <w:pPr>
              <w:pStyle w:val="TableDataColumnHeading"/>
            </w:pPr>
            <w:r>
              <w:t>$ per m2</w:t>
            </w:r>
          </w:p>
        </w:tc>
        <w:tc>
          <w:tcPr>
            <w:tcW w:w="693" w:type="dxa"/>
            <w:shd w:val="clear" w:color="auto" w:fill="6F6652"/>
            <w:tcMar>
              <w:left w:w="57" w:type="dxa"/>
              <w:right w:w="57" w:type="dxa"/>
            </w:tcMar>
          </w:tcPr>
          <w:p w14:paraId="0E5703A2" w14:textId="77777777" w:rsidR="00D24C7F" w:rsidRDefault="00D24C7F">
            <w:pPr>
              <w:pStyle w:val="TableDataColumnHeading"/>
            </w:pPr>
            <w:r>
              <w:t>VIC (CZ6)</w:t>
            </w:r>
          </w:p>
          <w:p w14:paraId="3B3327F5" w14:textId="77777777" w:rsidR="00D24C7F" w:rsidRDefault="00D24C7F">
            <w:pPr>
              <w:pStyle w:val="TableDataColumnHeading"/>
            </w:pPr>
            <w:r>
              <w:t>$ per m2</w:t>
            </w:r>
          </w:p>
        </w:tc>
        <w:tc>
          <w:tcPr>
            <w:tcW w:w="664" w:type="dxa"/>
            <w:shd w:val="clear" w:color="auto" w:fill="6F6652"/>
            <w:tcMar>
              <w:left w:w="57" w:type="dxa"/>
              <w:right w:w="57" w:type="dxa"/>
            </w:tcMar>
          </w:tcPr>
          <w:p w14:paraId="3490AE22" w14:textId="77777777" w:rsidR="00D24C7F" w:rsidRDefault="00D24C7F">
            <w:pPr>
              <w:pStyle w:val="TableDataColumnHeading"/>
            </w:pPr>
            <w:r>
              <w:t>QLD (CZ2)</w:t>
            </w:r>
          </w:p>
          <w:p w14:paraId="2D7516CF" w14:textId="77777777" w:rsidR="00D24C7F" w:rsidRDefault="00D24C7F">
            <w:pPr>
              <w:pStyle w:val="TableDataColumnHeading"/>
            </w:pPr>
            <w:r>
              <w:t>$ per m2</w:t>
            </w:r>
          </w:p>
        </w:tc>
        <w:tc>
          <w:tcPr>
            <w:tcW w:w="663" w:type="dxa"/>
            <w:shd w:val="clear" w:color="auto" w:fill="6F6652"/>
            <w:tcMar>
              <w:left w:w="57" w:type="dxa"/>
              <w:right w:w="57" w:type="dxa"/>
            </w:tcMar>
          </w:tcPr>
          <w:p w14:paraId="7FF8CF79" w14:textId="77777777" w:rsidR="00D24C7F" w:rsidRDefault="00D24C7F">
            <w:pPr>
              <w:pStyle w:val="TableDataColumnHeading"/>
            </w:pPr>
            <w:r>
              <w:t>WA (CZ5)</w:t>
            </w:r>
          </w:p>
          <w:p w14:paraId="073C51B7" w14:textId="77777777" w:rsidR="00D24C7F" w:rsidRDefault="00D24C7F">
            <w:pPr>
              <w:pStyle w:val="TableDataColumnHeading"/>
            </w:pPr>
            <w:r>
              <w:t>$ per m2</w:t>
            </w:r>
          </w:p>
        </w:tc>
        <w:tc>
          <w:tcPr>
            <w:tcW w:w="664" w:type="dxa"/>
            <w:shd w:val="clear" w:color="auto" w:fill="6F6652"/>
            <w:tcMar>
              <w:left w:w="57" w:type="dxa"/>
              <w:right w:w="57" w:type="dxa"/>
            </w:tcMar>
          </w:tcPr>
          <w:p w14:paraId="30179D97" w14:textId="77777777" w:rsidR="00D24C7F" w:rsidRDefault="00D24C7F">
            <w:pPr>
              <w:pStyle w:val="TableDataColumnHeading"/>
            </w:pPr>
            <w:r>
              <w:t>SA (CZ5)</w:t>
            </w:r>
          </w:p>
          <w:p w14:paraId="150587F8" w14:textId="77777777" w:rsidR="00D24C7F" w:rsidRDefault="00D24C7F">
            <w:pPr>
              <w:pStyle w:val="TableDataColumnHeading"/>
            </w:pPr>
            <w:r>
              <w:t>$ per m2</w:t>
            </w:r>
          </w:p>
        </w:tc>
        <w:tc>
          <w:tcPr>
            <w:tcW w:w="664" w:type="dxa"/>
            <w:shd w:val="clear" w:color="auto" w:fill="6F6652"/>
            <w:tcMar>
              <w:left w:w="57" w:type="dxa"/>
              <w:right w:w="57" w:type="dxa"/>
            </w:tcMar>
          </w:tcPr>
          <w:p w14:paraId="103DEDF8" w14:textId="77777777" w:rsidR="00D24C7F" w:rsidRDefault="00D24C7F">
            <w:pPr>
              <w:pStyle w:val="TableDataColumnHeading"/>
            </w:pPr>
            <w:r>
              <w:t>TAS (CZ7)</w:t>
            </w:r>
          </w:p>
          <w:p w14:paraId="32DEF167" w14:textId="77777777" w:rsidR="00D24C7F" w:rsidRDefault="00D24C7F">
            <w:pPr>
              <w:pStyle w:val="TableDataColumnHeading"/>
            </w:pPr>
            <w:r>
              <w:t>$ per m2</w:t>
            </w:r>
          </w:p>
        </w:tc>
        <w:tc>
          <w:tcPr>
            <w:tcW w:w="663" w:type="dxa"/>
            <w:shd w:val="clear" w:color="auto" w:fill="6F6652"/>
            <w:tcMar>
              <w:left w:w="57" w:type="dxa"/>
              <w:right w:w="57" w:type="dxa"/>
            </w:tcMar>
          </w:tcPr>
          <w:p w14:paraId="2DDFB9A3" w14:textId="77777777" w:rsidR="00D24C7F" w:rsidRDefault="00D24C7F">
            <w:pPr>
              <w:pStyle w:val="TableDataColumnHeading"/>
            </w:pPr>
            <w:r>
              <w:t>ACT (CZ7)</w:t>
            </w:r>
          </w:p>
          <w:p w14:paraId="7AE1650C" w14:textId="77777777" w:rsidR="00D24C7F" w:rsidRDefault="00D24C7F">
            <w:pPr>
              <w:pStyle w:val="TableDataColumnHeading"/>
            </w:pPr>
            <w:r>
              <w:t>$ per m2</w:t>
            </w:r>
          </w:p>
        </w:tc>
        <w:tc>
          <w:tcPr>
            <w:tcW w:w="664" w:type="dxa"/>
            <w:shd w:val="clear" w:color="auto" w:fill="6F6652"/>
            <w:tcMar>
              <w:left w:w="57" w:type="dxa"/>
              <w:right w:w="57" w:type="dxa"/>
            </w:tcMar>
          </w:tcPr>
          <w:p w14:paraId="33EE7E76" w14:textId="77777777" w:rsidR="00D24C7F" w:rsidRDefault="00D24C7F">
            <w:pPr>
              <w:pStyle w:val="TableDataColumnHeading"/>
            </w:pPr>
            <w:r>
              <w:t>NT (CZ1)</w:t>
            </w:r>
          </w:p>
          <w:p w14:paraId="5F764D81" w14:textId="77777777" w:rsidR="00D24C7F" w:rsidRDefault="00D24C7F">
            <w:pPr>
              <w:pStyle w:val="TableDataColumnHeading"/>
            </w:pPr>
            <w:r>
              <w:t>$ per m2</w:t>
            </w:r>
          </w:p>
        </w:tc>
      </w:tr>
      <w:tr w:rsidR="00D24C7F" w14:paraId="38813D70"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F785BBC" w14:textId="77777777" w:rsidR="00D24C7F" w:rsidRDefault="00D24C7F">
            <w:pPr>
              <w:pStyle w:val="TableDataEntries"/>
              <w:jc w:val="left"/>
            </w:pPr>
            <w:r>
              <w:t>Avoided electricity network capacity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76429E4" w14:textId="22C485C3" w:rsidR="00D24C7F" w:rsidRDefault="00D24C7F">
            <w:pPr>
              <w:pStyle w:val="TableDataEntries"/>
            </w:pPr>
            <w:r>
              <w:t>65.2</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8A7ED90" w14:textId="524BC1E7" w:rsidR="00D24C7F" w:rsidRDefault="00D24C7F">
            <w:pPr>
              <w:pStyle w:val="TableDataEntries"/>
            </w:pPr>
            <w:r>
              <w:t>37.6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519012" w14:textId="14510263" w:rsidR="00D24C7F" w:rsidRDefault="00D24C7F">
            <w:pPr>
              <w:pStyle w:val="TableDataEntries"/>
            </w:pPr>
            <w:r>
              <w:t>61.8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10C574" w14:textId="4E1B2E99" w:rsidR="00D24C7F" w:rsidRDefault="00D24C7F">
            <w:pPr>
              <w:pStyle w:val="TableDataEntries"/>
            </w:pPr>
            <w:r>
              <w:t>15.2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73AE7C" w14:textId="7BF68C49" w:rsidR="00D24C7F" w:rsidRDefault="00D24C7F">
            <w:pPr>
              <w:pStyle w:val="TableDataEntries"/>
            </w:pPr>
            <w:r>
              <w:t>34.1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BF99F7F" w14:textId="4F98794D" w:rsidR="00D24C7F" w:rsidRDefault="00D24C7F">
            <w:pPr>
              <w:pStyle w:val="TableDataEntries"/>
            </w:pPr>
            <w:r>
              <w:t>109.5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687374" w14:textId="6719A880" w:rsidR="00D24C7F" w:rsidRDefault="00D24C7F">
            <w:pPr>
              <w:pStyle w:val="TableDataEntries"/>
            </w:pPr>
            <w:r>
              <w:t>48.9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C21D1F9" w14:textId="78D0C973" w:rsidR="00D24C7F" w:rsidRDefault="00D24C7F">
            <w:pPr>
              <w:pStyle w:val="TableDataEntries"/>
            </w:pPr>
            <w:r>
              <w:t>70.9</w:t>
            </w:r>
          </w:p>
        </w:tc>
      </w:tr>
      <w:tr w:rsidR="00D24C7F" w14:paraId="515CF7A3"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1EC588" w14:textId="77777777" w:rsidR="00D24C7F" w:rsidRDefault="00D24C7F">
            <w:pPr>
              <w:pStyle w:val="TableDataEntries"/>
              <w:jc w:val="left"/>
            </w:pPr>
            <w:r>
              <w:t>Avoided electricity wholesale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48CD610" w14:textId="654BFCA8" w:rsidR="00D24C7F" w:rsidRDefault="00D24C7F">
            <w:pPr>
              <w:pStyle w:val="TableDataEntries"/>
            </w:pPr>
            <w:r>
              <w:t>142.5</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9FCED9E" w14:textId="4429B494" w:rsidR="00D24C7F" w:rsidRDefault="00D24C7F">
            <w:pPr>
              <w:pStyle w:val="TableDataEntries"/>
            </w:pPr>
            <w:r>
              <w:t>97.6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7349D05" w14:textId="443F2E58" w:rsidR="00D24C7F" w:rsidRDefault="00D24C7F">
            <w:pPr>
              <w:pStyle w:val="TableDataEntries"/>
            </w:pPr>
            <w:r>
              <w:t>148.4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787B66" w14:textId="5C46485B" w:rsidR="00D24C7F" w:rsidRDefault="00D24C7F">
            <w:pPr>
              <w:pStyle w:val="TableDataEntries"/>
            </w:pPr>
            <w:r>
              <w:t>87.6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1229C79" w14:textId="70A99BEE" w:rsidR="00D24C7F" w:rsidRDefault="00D24C7F">
            <w:pPr>
              <w:pStyle w:val="TableDataEntries"/>
            </w:pPr>
            <w:r>
              <w:t>93.6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7D98C12" w14:textId="062B4633" w:rsidR="00D24C7F" w:rsidRDefault="00D24C7F">
            <w:pPr>
              <w:pStyle w:val="TableDataEntries"/>
            </w:pPr>
            <w:r>
              <w:t>111.9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FDF7EA1" w14:textId="7A908CE3" w:rsidR="00D24C7F" w:rsidRDefault="00D24C7F">
            <w:pPr>
              <w:pStyle w:val="TableDataEntries"/>
            </w:pPr>
            <w:r>
              <w:t>121.3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C09DC7F" w14:textId="5AD846DF" w:rsidR="00D24C7F" w:rsidRDefault="00D24C7F">
            <w:pPr>
              <w:pStyle w:val="TableDataEntries"/>
            </w:pPr>
            <w:r>
              <w:t>337.9</w:t>
            </w:r>
          </w:p>
        </w:tc>
      </w:tr>
      <w:tr w:rsidR="00D24C7F" w14:paraId="29572099"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694F9A9" w14:textId="77777777" w:rsidR="00D24C7F" w:rsidRDefault="00D24C7F">
            <w:pPr>
              <w:pStyle w:val="TableDataEntries"/>
              <w:jc w:val="left"/>
            </w:pPr>
            <w:r>
              <w:t>Avoided electricity network usage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3AB33E" w14:textId="156E25E4" w:rsidR="00D24C7F" w:rsidRDefault="00D24C7F">
            <w:pPr>
              <w:pStyle w:val="TableDataEntries"/>
            </w:pPr>
            <w:r>
              <w:t>81.3</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FB2C44" w14:textId="334BED91" w:rsidR="00D24C7F" w:rsidRDefault="00D24C7F">
            <w:pPr>
              <w:pStyle w:val="TableDataEntries"/>
            </w:pPr>
            <w:r>
              <w:t>114.9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8DDDEE7" w14:textId="3BC945F8" w:rsidR="00D24C7F" w:rsidRDefault="00D24C7F">
            <w:pPr>
              <w:pStyle w:val="TableDataEntries"/>
            </w:pPr>
            <w:r>
              <w:t>101.5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BD3895" w14:textId="6AAC75AE" w:rsidR="00D24C7F" w:rsidRDefault="00D24C7F">
            <w:pPr>
              <w:pStyle w:val="TableDataEntries"/>
            </w:pPr>
            <w:r>
              <w:t>203.2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03095DA" w14:textId="22FDC2C9" w:rsidR="00D24C7F" w:rsidRDefault="00D24C7F">
            <w:pPr>
              <w:pStyle w:val="TableDataEntries"/>
            </w:pPr>
            <w:r>
              <w:t>234.5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2F1B16C" w14:textId="68E6410B" w:rsidR="00D24C7F" w:rsidRDefault="00D24C7F">
            <w:pPr>
              <w:pStyle w:val="TableDataEntries"/>
            </w:pPr>
            <w:r>
              <w:t>191.6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306549" w14:textId="7102848C" w:rsidR="00D24C7F" w:rsidRDefault="00D24C7F">
            <w:pPr>
              <w:pStyle w:val="TableDataEntries"/>
            </w:pPr>
            <w:r>
              <w:t>111.7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4AA6E52" w14:textId="13E34CE4" w:rsidR="00D24C7F" w:rsidRDefault="00D24C7F">
            <w:pPr>
              <w:pStyle w:val="TableDataEntries"/>
            </w:pPr>
            <w:r>
              <w:t>154.7</w:t>
            </w:r>
          </w:p>
        </w:tc>
      </w:tr>
      <w:tr w:rsidR="00D24C7F" w14:paraId="0604C21A"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8A5B23" w14:textId="77777777" w:rsidR="00D24C7F" w:rsidRDefault="00D24C7F">
            <w:pPr>
              <w:pStyle w:val="TableDataEntries"/>
              <w:jc w:val="left"/>
            </w:pPr>
            <w:r>
              <w:t>Avoided retail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CD7011D" w14:textId="113E2D28" w:rsidR="00D24C7F" w:rsidRDefault="00D24C7F">
            <w:pPr>
              <w:pStyle w:val="TableDataEntries"/>
            </w:pPr>
            <w:r>
              <w:t>43.3</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52A69B" w14:textId="3D0029DF" w:rsidR="00D24C7F" w:rsidRDefault="00D24C7F">
            <w:pPr>
              <w:pStyle w:val="TableDataEntries"/>
            </w:pPr>
            <w:r>
              <w:t>37.5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CE3F87" w14:textId="72235141" w:rsidR="00D24C7F" w:rsidRDefault="00D24C7F">
            <w:pPr>
              <w:pStyle w:val="TableDataEntries"/>
            </w:pPr>
            <w:r>
              <w:t>46.8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368193A" w14:textId="70B414E0" w:rsidR="00D24C7F" w:rsidRDefault="00D24C7F">
            <w:pPr>
              <w:pStyle w:val="TableDataEntries"/>
            </w:pPr>
            <w:r>
              <w:t>45.9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9C9139" w14:textId="404585E4" w:rsidR="00D24C7F" w:rsidRDefault="00D24C7F">
            <w:pPr>
              <w:pStyle w:val="TableDataEntries"/>
            </w:pPr>
            <w:r>
              <w:t>54.3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07C18AB" w14:textId="793202F5" w:rsidR="00D24C7F" w:rsidRDefault="00D24C7F">
            <w:pPr>
              <w:pStyle w:val="TableDataEntries"/>
            </w:pPr>
            <w:r>
              <w:t>62.0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3CB0D3F" w14:textId="6BB05698" w:rsidR="00D24C7F" w:rsidRDefault="00D24C7F">
            <w:pPr>
              <w:pStyle w:val="TableDataEntries"/>
            </w:pPr>
            <w:r>
              <w:t>42.3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C7FB6A" w14:textId="28762D29" w:rsidR="00D24C7F" w:rsidRDefault="00D24C7F">
            <w:pPr>
              <w:pStyle w:val="TableDataEntries"/>
            </w:pPr>
            <w:r>
              <w:t>84.5</w:t>
            </w:r>
          </w:p>
        </w:tc>
      </w:tr>
      <w:tr w:rsidR="00D24C7F" w14:paraId="4091EAEB"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F971E32" w14:textId="77777777" w:rsidR="00D24C7F" w:rsidRDefault="00D24C7F">
            <w:pPr>
              <w:pStyle w:val="TableDataEntries"/>
              <w:jc w:val="left"/>
            </w:pPr>
            <w:r>
              <w:t>Electricity exported to grid</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36E55F1" w14:textId="56925DD3" w:rsidR="00D24C7F" w:rsidRDefault="00D24C7F">
            <w:pPr>
              <w:pStyle w:val="TableDataEntries"/>
            </w:pPr>
            <w:r>
              <w:t>2.2</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E3E4D5" w14:textId="0223887D" w:rsidR="00D24C7F" w:rsidRDefault="00D24C7F">
            <w:pPr>
              <w:pStyle w:val="TableDataEntries"/>
            </w:pPr>
            <w:r>
              <w:t>2.5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3CE7088" w14:textId="000DC1B9" w:rsidR="00D24C7F" w:rsidRDefault="00D24C7F">
            <w:pPr>
              <w:pStyle w:val="TableDataEntries"/>
            </w:pPr>
            <w:r>
              <w:t>1.4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1BFF13E" w14:textId="2964590B" w:rsidR="00D24C7F" w:rsidRDefault="00D24C7F">
            <w:pPr>
              <w:pStyle w:val="TableDataEntries"/>
            </w:pPr>
            <w:r>
              <w:t>2.0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B969737" w14:textId="10C47EB2" w:rsidR="00D24C7F" w:rsidRDefault="00D24C7F">
            <w:pPr>
              <w:pStyle w:val="TableDataEntries"/>
            </w:pPr>
            <w:r>
              <w:t>1.3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33DB98" w14:textId="0FCA2F49" w:rsidR="00D24C7F" w:rsidRDefault="00D24C7F">
            <w:pPr>
              <w:pStyle w:val="TableDataEntries"/>
            </w:pPr>
            <w:r>
              <w:t>8.0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F7C1C0C" w14:textId="31531BF7" w:rsidR="00D24C7F" w:rsidRDefault="00D24C7F">
            <w:pPr>
              <w:pStyle w:val="TableDataEntries"/>
            </w:pPr>
            <w:r>
              <w:t>3.9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4D03A6" w14:textId="19C216CE" w:rsidR="00D24C7F" w:rsidRDefault="00D24C7F">
            <w:pPr>
              <w:pStyle w:val="TableDataEntries"/>
            </w:pPr>
            <w:r>
              <w:t>0.6</w:t>
            </w:r>
          </w:p>
        </w:tc>
      </w:tr>
      <w:tr w:rsidR="00D24C7F" w14:paraId="0FEFE335"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8EE1DA0" w14:textId="77777777" w:rsidR="00D24C7F" w:rsidRDefault="00D24C7F">
            <w:pPr>
              <w:pStyle w:val="TableDataEntries"/>
              <w:jc w:val="left"/>
            </w:pPr>
            <w:r>
              <w:t>Electricity exports — network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F35E51" w14:textId="60E38B98" w:rsidR="00D24C7F" w:rsidRDefault="00D24C7F">
            <w:pPr>
              <w:pStyle w:val="TableDataEntries"/>
            </w:pPr>
            <w:r>
              <w:t>-0.7</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075FF14" w14:textId="06B1EB2D" w:rsidR="00D24C7F" w:rsidRDefault="00D24C7F">
            <w:pPr>
              <w:pStyle w:val="TableDataEntries"/>
            </w:pPr>
            <w:r>
              <w:t>-0.8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9C757D8" w14:textId="4577FD38" w:rsidR="00D24C7F" w:rsidRDefault="00D24C7F">
            <w:pPr>
              <w:pStyle w:val="TableDataEntries"/>
            </w:pPr>
            <w:r>
              <w:t>-0.5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81A814" w14:textId="7F5F6C53" w:rsidR="00D24C7F" w:rsidRDefault="00D24C7F">
            <w:pPr>
              <w:pStyle w:val="TableDataEntries"/>
            </w:pPr>
            <w:r>
              <w:t>-0.7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C19B9FD" w14:textId="43DC2294" w:rsidR="00D24C7F" w:rsidRDefault="00D24C7F">
            <w:pPr>
              <w:pStyle w:val="TableDataEntries"/>
            </w:pPr>
            <w:r>
              <w:t>-0.7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011DFE" w14:textId="56E09192" w:rsidR="00D24C7F" w:rsidRDefault="00D24C7F">
            <w:pPr>
              <w:pStyle w:val="TableDataEntries"/>
            </w:pPr>
            <w:r>
              <w:t>-1.4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FE84F25" w14:textId="51EBD033" w:rsidR="00D24C7F" w:rsidRDefault="00D24C7F">
            <w:pPr>
              <w:pStyle w:val="TableDataEntries"/>
            </w:pPr>
            <w:r>
              <w:t>-1.2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312F4A" w14:textId="1672D229" w:rsidR="00D24C7F" w:rsidRDefault="00D24C7F">
            <w:pPr>
              <w:pStyle w:val="TableDataEntries"/>
            </w:pPr>
            <w:r>
              <w:t>0.0</w:t>
            </w:r>
          </w:p>
        </w:tc>
      </w:tr>
      <w:tr w:rsidR="00D24C7F" w14:paraId="43E6FFB5"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0EC1A03" w14:textId="77777777" w:rsidR="00D24C7F" w:rsidRDefault="00D24C7F">
            <w:pPr>
              <w:pStyle w:val="TableDataEntries"/>
              <w:jc w:val="left"/>
            </w:pPr>
            <w:r>
              <w:t>Avoided gas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CAE8994" w14:textId="4F14F51E" w:rsidR="00D24C7F" w:rsidRDefault="00D24C7F">
            <w:pPr>
              <w:pStyle w:val="TableDataEntries"/>
            </w:pPr>
            <w:r>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E0DE37" w14:textId="5D4ECB2D"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3B9B521" w14:textId="422A684F"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6681F7" w14:textId="7907C3E3"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594A571" w14:textId="31B1A599"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9BA92E" w14:textId="0B178E40"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8B62E57" w14:textId="4AEB8441"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01C9758" w14:textId="7AD6E16C" w:rsidR="00D24C7F" w:rsidRDefault="00D24C7F">
            <w:pPr>
              <w:pStyle w:val="TableDataEntries"/>
            </w:pPr>
            <w:r>
              <w:t>0.0</w:t>
            </w:r>
          </w:p>
        </w:tc>
      </w:tr>
      <w:tr w:rsidR="00D24C7F" w14:paraId="4979F121"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EC9C72" w14:textId="77777777" w:rsidR="00D24C7F" w:rsidRDefault="00D24C7F">
            <w:pPr>
              <w:pStyle w:val="TableDataEntries"/>
              <w:jc w:val="left"/>
            </w:pPr>
            <w:r>
              <w:t>Avoided GHG emissions –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3A8527" w14:textId="40402DF4" w:rsidR="00D24C7F" w:rsidRDefault="00D24C7F">
            <w:pPr>
              <w:pStyle w:val="TableDataEntries"/>
            </w:pPr>
            <w:r>
              <w:t>83.4</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712E46F" w14:textId="3873B6F8" w:rsidR="00D24C7F" w:rsidRDefault="00D24C7F">
            <w:pPr>
              <w:pStyle w:val="TableDataEntries"/>
            </w:pPr>
            <w:r>
              <w:t>115.0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D26A2B" w14:textId="711CF57B" w:rsidR="00D24C7F" w:rsidRDefault="00D24C7F">
            <w:pPr>
              <w:pStyle w:val="TableDataEntries"/>
            </w:pPr>
            <w:r>
              <w:t>266.9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53FB721" w14:textId="173B5AE0" w:rsidR="00D24C7F" w:rsidRDefault="00D24C7F">
            <w:pPr>
              <w:pStyle w:val="TableDataEntries"/>
            </w:pPr>
            <w:r>
              <w:t>123.5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8616014" w14:textId="108CBEF0" w:rsidR="00D24C7F" w:rsidRDefault="00D24C7F">
            <w:pPr>
              <w:pStyle w:val="TableDataEntries"/>
            </w:pPr>
            <w:r>
              <w:t>89.7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AFB91B" w14:textId="5C9B09A7" w:rsidR="00D24C7F" w:rsidRDefault="00D24C7F">
            <w:pPr>
              <w:pStyle w:val="TableDataEntries"/>
            </w:pPr>
            <w:r>
              <w:t>9.9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5D127B" w14:textId="7E221F9E" w:rsidR="00D24C7F" w:rsidRDefault="00D24C7F">
            <w:pPr>
              <w:pStyle w:val="TableDataEntries"/>
            </w:pPr>
            <w:r>
              <w:t>66.9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79AD213" w14:textId="40E9971D" w:rsidR="00D24C7F" w:rsidRDefault="00D24C7F">
            <w:pPr>
              <w:pStyle w:val="TableDataEntries"/>
            </w:pPr>
            <w:r>
              <w:t>329.0</w:t>
            </w:r>
          </w:p>
        </w:tc>
      </w:tr>
      <w:tr w:rsidR="00D24C7F" w14:paraId="77EE422E"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244ABD" w14:textId="77777777" w:rsidR="00D24C7F" w:rsidRDefault="00D24C7F">
            <w:pPr>
              <w:pStyle w:val="TableDataEntries"/>
              <w:jc w:val="left"/>
            </w:pPr>
            <w:r>
              <w:t>Avoided GHG emissions – exported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9542701" w14:textId="1194F9F7" w:rsidR="00D24C7F" w:rsidRDefault="00D24C7F">
            <w:pPr>
              <w:pStyle w:val="TableDataEntries"/>
            </w:pPr>
            <w:r>
              <w:t>3.9</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690BE2" w14:textId="6FD56B02" w:rsidR="00D24C7F" w:rsidRDefault="00D24C7F">
            <w:pPr>
              <w:pStyle w:val="TableDataEntries"/>
            </w:pPr>
            <w:r>
              <w:t>10.9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4F9B19E" w14:textId="18ACBFF0" w:rsidR="00D24C7F" w:rsidRDefault="00D24C7F">
            <w:pPr>
              <w:pStyle w:val="TableDataEntries"/>
            </w:pPr>
            <w:r>
              <w:t>7.6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1FF668" w14:textId="229A778E" w:rsidR="00D24C7F" w:rsidRDefault="00D24C7F">
            <w:pPr>
              <w:pStyle w:val="TableDataEntries"/>
            </w:pPr>
            <w:r>
              <w:t>5.7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73CBEF0" w14:textId="03E50649" w:rsidR="00D24C7F" w:rsidRDefault="00D24C7F">
            <w:pPr>
              <w:pStyle w:val="TableDataEntries"/>
            </w:pPr>
            <w:r>
              <w:t>4.1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075B7C8" w14:textId="11F623ED" w:rsidR="00D24C7F" w:rsidRDefault="00D24C7F">
            <w:pPr>
              <w:pStyle w:val="TableDataEntries"/>
            </w:pPr>
            <w:r>
              <w:t>0.9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F184F25" w14:textId="13A426AC" w:rsidR="00D24C7F" w:rsidRDefault="00D24C7F">
            <w:pPr>
              <w:pStyle w:val="TableDataEntries"/>
            </w:pPr>
            <w:r>
              <w:t>5.9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A10FF8" w14:textId="241A19A7" w:rsidR="00D24C7F" w:rsidRDefault="00D24C7F">
            <w:pPr>
              <w:pStyle w:val="TableDataEntries"/>
            </w:pPr>
            <w:r>
              <w:t>0.7</w:t>
            </w:r>
          </w:p>
        </w:tc>
      </w:tr>
      <w:tr w:rsidR="00D24C7F" w14:paraId="61CEA56B"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A6DDB8C" w14:textId="77777777" w:rsidR="00D24C7F" w:rsidRDefault="00D24C7F">
            <w:pPr>
              <w:pStyle w:val="TableDataEntries"/>
              <w:jc w:val="left"/>
            </w:pPr>
            <w:r>
              <w:t>Avoided GHG emissions – gas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38C4594" w14:textId="5929C403" w:rsidR="00D24C7F" w:rsidRDefault="00D24C7F">
            <w:pPr>
              <w:pStyle w:val="TableDataEntries"/>
            </w:pPr>
            <w:r>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7560FB1" w14:textId="7DDA0476"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A4B35F" w14:textId="4636055B"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8821495" w14:textId="1E5CED39"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5C867F" w14:textId="5E9DCFDB"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A0A555" w14:textId="0153A3C3"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EF376A2" w14:textId="18F07104"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1B0D01" w14:textId="51A3719F" w:rsidR="00D24C7F" w:rsidRDefault="00D24C7F">
            <w:pPr>
              <w:pStyle w:val="TableDataEntries"/>
            </w:pPr>
            <w:r>
              <w:t>0.0</w:t>
            </w:r>
          </w:p>
        </w:tc>
      </w:tr>
      <w:tr w:rsidR="00D24C7F" w14:paraId="392CEDD2"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ACF3B4" w14:textId="77777777" w:rsidR="00D24C7F" w:rsidRDefault="00D24C7F">
            <w:pPr>
              <w:pStyle w:val="TableDataEntries"/>
              <w:jc w:val="left"/>
            </w:pPr>
            <w:r>
              <w:t>Capital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90E2791" w14:textId="7E04BF2C" w:rsidR="00D24C7F" w:rsidRDefault="00D24C7F">
            <w:pPr>
              <w:pStyle w:val="TableDataEntries"/>
            </w:pPr>
            <w:r>
              <w:t>-66.0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F10C415" w14:textId="4BB06715" w:rsidR="00D24C7F" w:rsidRDefault="00D24C7F">
            <w:pPr>
              <w:pStyle w:val="TableDataEntries"/>
            </w:pPr>
            <w:r>
              <w:t>-91.7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13F54BC" w14:textId="504C06AC" w:rsidR="00D24C7F" w:rsidRDefault="00D24C7F">
            <w:pPr>
              <w:pStyle w:val="TableDataEntries"/>
            </w:pPr>
            <w:r>
              <w:t>-71.2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5A29AEC" w14:textId="5C7B5B3E" w:rsidR="00D24C7F" w:rsidRDefault="00D24C7F">
            <w:pPr>
              <w:pStyle w:val="TableDataEntries"/>
            </w:pPr>
            <w:r>
              <w:t>-66.0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1E157E" w14:textId="50F45808" w:rsidR="00D24C7F" w:rsidRDefault="00D24C7F">
            <w:pPr>
              <w:pStyle w:val="TableDataEntries"/>
            </w:pPr>
            <w:r>
              <w:t>-66.0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F2B60BC" w14:textId="23D9AE2C" w:rsidR="00D24C7F" w:rsidRDefault="00D24C7F">
            <w:pPr>
              <w:pStyle w:val="TableDataEntries"/>
            </w:pPr>
            <w:r>
              <w:t>-96.6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E2ADD98" w14:textId="7B7CFF38" w:rsidR="00D24C7F" w:rsidRDefault="00D24C7F">
            <w:pPr>
              <w:pStyle w:val="TableDataEntries"/>
            </w:pPr>
            <w:r>
              <w:t>-96.6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D83ED22" w14:textId="199FC038" w:rsidR="00D24C7F" w:rsidRDefault="00D24C7F">
            <w:pPr>
              <w:pStyle w:val="TableDataEntries"/>
            </w:pPr>
            <w:r>
              <w:t>-70.5</w:t>
            </w:r>
          </w:p>
        </w:tc>
      </w:tr>
      <w:tr w:rsidR="00D24C7F" w:rsidRPr="00EC5795" w14:paraId="3736FA66" w14:textId="77777777">
        <w:trPr>
          <w:trHeight w:val="245"/>
        </w:trPr>
        <w:tc>
          <w:tcPr>
            <w:tcW w:w="2627"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BAC5B2C" w14:textId="77777777" w:rsidR="00D24C7F" w:rsidRPr="00EC5795" w:rsidRDefault="00D24C7F">
            <w:pPr>
              <w:pStyle w:val="TableDataEntries"/>
              <w:jc w:val="left"/>
              <w:rPr>
                <w:rFonts w:ascii="Franklin Gothic Demi" w:hAnsi="Franklin Gothic Demi"/>
              </w:rPr>
            </w:pPr>
            <w:r w:rsidRPr="00EC5795">
              <w:rPr>
                <w:rFonts w:ascii="Franklin Gothic Demi" w:hAnsi="Franklin Gothic Demi"/>
              </w:rPr>
              <w:t>Total</w:t>
            </w:r>
          </w:p>
        </w:tc>
        <w:tc>
          <w:tcPr>
            <w:tcW w:w="63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E325E34" w14:textId="61DACB8E" w:rsidR="00D24C7F" w:rsidRPr="00EC5795" w:rsidRDefault="00D24C7F">
            <w:pPr>
              <w:pStyle w:val="TableDataEntries"/>
              <w:rPr>
                <w:rFonts w:ascii="Franklin Gothic Demi" w:hAnsi="Franklin Gothic Demi"/>
              </w:rPr>
            </w:pPr>
            <w:r w:rsidRPr="00EC5795">
              <w:rPr>
                <w:rFonts w:ascii="Franklin Gothic Demi" w:hAnsi="Franklin Gothic Demi"/>
              </w:rPr>
              <w:t>355.1</w:t>
            </w:r>
          </w:p>
        </w:tc>
        <w:tc>
          <w:tcPr>
            <w:tcW w:w="69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D54EC13" w14:textId="5BC0885C" w:rsidR="00D24C7F" w:rsidRPr="00EC5795" w:rsidRDefault="00D24C7F">
            <w:pPr>
              <w:pStyle w:val="TableDataEntries"/>
              <w:rPr>
                <w:rFonts w:ascii="Franklin Gothic Demi" w:hAnsi="Franklin Gothic Demi"/>
              </w:rPr>
            </w:pPr>
            <w:r w:rsidRPr="00EC5795">
              <w:rPr>
                <w:rFonts w:ascii="Franklin Gothic Demi" w:hAnsi="Franklin Gothic Demi"/>
              </w:rPr>
              <w:t>323.6</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DF1600E" w14:textId="1057A632" w:rsidR="00D24C7F" w:rsidRPr="00EC5795" w:rsidRDefault="00D24C7F">
            <w:pPr>
              <w:pStyle w:val="TableDataEntries"/>
              <w:rPr>
                <w:rFonts w:ascii="Franklin Gothic Demi" w:hAnsi="Franklin Gothic Demi"/>
              </w:rPr>
            </w:pPr>
            <w:r w:rsidRPr="00EC5795">
              <w:rPr>
                <w:rFonts w:ascii="Franklin Gothic Demi" w:hAnsi="Franklin Gothic Demi"/>
              </w:rPr>
              <w:t>562.6</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FFEDA0C" w14:textId="535D3C8E" w:rsidR="00D24C7F" w:rsidRPr="00EC5795" w:rsidRDefault="00D24C7F">
            <w:pPr>
              <w:pStyle w:val="TableDataEntries"/>
              <w:rPr>
                <w:rFonts w:ascii="Franklin Gothic Demi" w:hAnsi="Franklin Gothic Demi"/>
              </w:rPr>
            </w:pPr>
            <w:r w:rsidRPr="00EC5795">
              <w:rPr>
                <w:rFonts w:ascii="Franklin Gothic Demi" w:hAnsi="Franklin Gothic Demi"/>
              </w:rPr>
              <w:t>416.5</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EFFB37C" w14:textId="1411A9F9" w:rsidR="00D24C7F" w:rsidRPr="00EC5795" w:rsidRDefault="00D24C7F">
            <w:pPr>
              <w:pStyle w:val="TableDataEntries"/>
              <w:rPr>
                <w:rFonts w:ascii="Franklin Gothic Demi" w:hAnsi="Franklin Gothic Demi"/>
              </w:rPr>
            </w:pPr>
            <w:r w:rsidRPr="00EC5795">
              <w:rPr>
                <w:rFonts w:ascii="Franklin Gothic Demi" w:hAnsi="Franklin Gothic Demi"/>
              </w:rPr>
              <w:t>445.0</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72956D91" w14:textId="4BB28785" w:rsidR="00D24C7F" w:rsidRPr="00EC5795" w:rsidRDefault="00D24C7F">
            <w:pPr>
              <w:pStyle w:val="TableDataEntries"/>
              <w:rPr>
                <w:rFonts w:ascii="Franklin Gothic Demi" w:hAnsi="Franklin Gothic Demi"/>
              </w:rPr>
            </w:pPr>
            <w:r w:rsidRPr="00EC5795">
              <w:rPr>
                <w:rFonts w:ascii="Franklin Gothic Demi" w:hAnsi="Franklin Gothic Demi"/>
              </w:rPr>
              <w:t>395.7</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999457D" w14:textId="4C7C34EE" w:rsidR="00D24C7F" w:rsidRPr="00EC5795" w:rsidRDefault="00D24C7F">
            <w:pPr>
              <w:pStyle w:val="TableDataEntries"/>
              <w:rPr>
                <w:rFonts w:ascii="Franklin Gothic Demi" w:hAnsi="Franklin Gothic Demi"/>
              </w:rPr>
            </w:pPr>
            <w:r w:rsidRPr="00EC5795">
              <w:rPr>
                <w:rFonts w:ascii="Franklin Gothic Demi" w:hAnsi="Franklin Gothic Demi"/>
              </w:rPr>
              <w:t>303.0</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80BC951" w14:textId="3E38A11D" w:rsidR="00D24C7F" w:rsidRPr="00EC5795" w:rsidRDefault="00D24C7F">
            <w:pPr>
              <w:pStyle w:val="TableDataEntries"/>
              <w:rPr>
                <w:rFonts w:ascii="Franklin Gothic Demi" w:hAnsi="Franklin Gothic Demi"/>
              </w:rPr>
            </w:pPr>
            <w:r w:rsidRPr="00EC5795">
              <w:rPr>
                <w:rFonts w:ascii="Franklin Gothic Demi" w:hAnsi="Franklin Gothic Demi"/>
              </w:rPr>
              <w:t>907.7</w:t>
            </w:r>
          </w:p>
        </w:tc>
      </w:tr>
    </w:tbl>
    <w:p w14:paraId="5330E9F4" w14:textId="77777777" w:rsidR="00D24C7F" w:rsidRDefault="00D24C7F" w:rsidP="00D24C7F">
      <w:pPr>
        <w:pStyle w:val="Note"/>
      </w:pPr>
      <w:r w:rsidRPr="007D1B4F">
        <w:rPr>
          <w:i/>
        </w:rPr>
        <w:t>Note:</w:t>
      </w:r>
      <w:r w:rsidRPr="00E879B8">
        <w:t xml:space="preserve"> </w:t>
      </w:r>
      <w:r>
        <w:t>Costs and benefits estimated in present value terms over the 50</w:t>
      </w:r>
      <w:r>
        <w:noBreakHyphen/>
        <w:t xml:space="preserve">year life of a building constructed in 2025, using a discount rate of 5 per cent. </w:t>
      </w:r>
    </w:p>
    <w:p w14:paraId="168C19BF" w14:textId="77777777" w:rsidR="00D24C7F" w:rsidRDefault="00D24C7F" w:rsidP="00D24C7F">
      <w:pPr>
        <w:pStyle w:val="Source"/>
      </w:pPr>
      <w:r>
        <w:rPr>
          <w:i/>
        </w:rPr>
        <w:t>Source</w:t>
      </w:r>
      <w:r w:rsidRPr="00E4232C">
        <w:rPr>
          <w:i/>
        </w:rPr>
        <w:t>:</w:t>
      </w:r>
      <w:r>
        <w:t xml:space="preserve"> CIE based on DeltaQ modelling.</w:t>
      </w:r>
    </w:p>
    <w:p w14:paraId="17C481A4" w14:textId="367120A0" w:rsidR="00D24C7F" w:rsidRPr="005E5FA8" w:rsidRDefault="00D24C7F" w:rsidP="00D24C7F">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w:instrText>
      </w:r>
      <w:fldSimple w:instr=" STYLEREF &quot;Heading 1&quot; \l \n ">
        <w:r w:rsidRPr="005E5FA8">
          <w:instrText>2</w:instrText>
        </w:r>
      </w:fldSimple>
      <w:r w:rsidRPr="005E5FA8">
        <w:instrText xml:space="preserve">." </w:instrText>
      </w:r>
      <w:r w:rsidRPr="005E5FA8">
        <w:fldChar w:fldCharType="end"/>
      </w:r>
      <w:r w:rsidRPr="005E5FA8">
        <w:instrText>" "</w:instrText>
      </w:r>
      <w:fldSimple w:instr=" STYLEREF &quot;Heading 6&quot; \l \n ">
        <w:r w:rsidR="00581346">
          <w:rPr>
            <w:noProof/>
          </w:rPr>
          <w:instrText>H</w:instrText>
        </w:r>
      </w:fldSimple>
      <w:r w:rsidRPr="005E5FA8">
        <w:instrText xml:space="preserve">." </w:instrText>
      </w:r>
      <w:r w:rsidRPr="005E5FA8">
        <w:fldChar w:fldCharType="separate"/>
      </w:r>
      <w:r w:rsidR="00581346">
        <w:rPr>
          <w:noProof/>
        </w:rPr>
        <w:instrText>H</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"1" </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15</w:instrText>
      </w:r>
      <w:r w:rsidRPr="005E5FA8">
        <w:fldChar w:fldCharType="end"/>
      </w:r>
      <w:r w:rsidRPr="005E5FA8">
        <w:instrText xml:space="preserve">" "" </w:instrText>
      </w:r>
      <w:r w:rsidRPr="005E5FA8">
        <w:fldChar w:fldCharType="separate"/>
      </w:r>
      <w:bookmarkStart w:id="10135" w:name="_Caption5575"/>
      <w:bookmarkStart w:id="10136" w:name="_Caption8135"/>
      <w:bookmarkStart w:id="10137" w:name="_Caption9592"/>
      <w:bookmarkStart w:id="10138" w:name="_Caption9431"/>
      <w:bookmarkStart w:id="10139" w:name="_Caption3409"/>
      <w:bookmarkStart w:id="10140" w:name="_Caption5942"/>
      <w:bookmarkStart w:id="10141" w:name="_Caption5738"/>
      <w:bookmarkStart w:id="10142" w:name="_Caption9777"/>
      <w:bookmarkStart w:id="10143" w:name="_Caption3439"/>
      <w:bookmarkStart w:id="10144" w:name="_Caption5401"/>
      <w:bookmarkStart w:id="10145" w:name="_Caption4110"/>
      <w:bookmarkStart w:id="10146" w:name="_Caption5046"/>
      <w:bookmarkStart w:id="10147" w:name="_Caption1091"/>
      <w:bookmarkStart w:id="10148" w:name="_Caption8520"/>
      <w:bookmarkStart w:id="10149" w:name="_Caption7332"/>
      <w:bookmarkStart w:id="10150" w:name="_Caption3495"/>
      <w:bookmarkStart w:id="10151" w:name="_Caption5723"/>
      <w:bookmarkStart w:id="10152" w:name="_Caption3295"/>
      <w:bookmarkStart w:id="10153" w:name="_Caption7057"/>
      <w:bookmarkStart w:id="10154" w:name="_Caption9886"/>
      <w:bookmarkStart w:id="10155" w:name="_Caption1283"/>
      <w:bookmarkStart w:id="10156" w:name="_Caption8568"/>
      <w:bookmarkStart w:id="10157" w:name="_Caption2838"/>
      <w:bookmarkStart w:id="10158" w:name="_Caption4139"/>
      <w:bookmarkStart w:id="10159" w:name="_Caption9382"/>
      <w:bookmarkStart w:id="10160" w:name="_Caption9219"/>
      <w:bookmarkStart w:id="10161" w:name="_Caption1667"/>
      <w:bookmarkStart w:id="10162" w:name="_Caption2374"/>
      <w:bookmarkStart w:id="10163" w:name="_Caption6500"/>
      <w:bookmarkStart w:id="10164" w:name="_Caption1640"/>
      <w:bookmarkStart w:id="10165" w:name="_Caption3876"/>
      <w:bookmarkStart w:id="10166" w:name="_Caption6276"/>
      <w:bookmarkStart w:id="10167" w:name="_Caption8830"/>
      <w:bookmarkStart w:id="10168" w:name="_Toc177735265"/>
      <w:bookmarkStart w:id="10169" w:name="_Toc178292707"/>
      <w:r w:rsidR="008C60A3">
        <w:rPr>
          <w:noProof/>
        </w:rPr>
        <w:t>H</w:t>
      </w:r>
      <w:r w:rsidR="008C60A3" w:rsidRPr="005E5FA8">
        <w:rPr>
          <w:noProof/>
        </w:rPr>
        <w:t>.</w:t>
      </w:r>
      <w:r w:rsidR="008C60A3">
        <w:rPr>
          <w:noProof/>
        </w:rPr>
        <w:t>15</w:t>
      </w:r>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r w:rsidRPr="005E5FA8">
        <w:fldChar w:fldCharType="end"/>
      </w:r>
      <w:r w:rsidRPr="005E5FA8">
        <w:tab/>
        <w:t>Stringency Level 2 estimated costs and benefits — C6RL</w:t>
      </w:r>
      <w:bookmarkEnd w:id="10168"/>
      <w:bookmarkEnd w:id="10169"/>
    </w:p>
    <w:tbl>
      <w:tblPr>
        <w:tblW w:w="7936" w:type="dxa"/>
        <w:tblLayout w:type="fixed"/>
        <w:tblLook w:val="0000" w:firstRow="0" w:lastRow="0" w:firstColumn="0" w:lastColumn="0" w:noHBand="0" w:noVBand="0"/>
        <w:tblCaption w:val="Table G.15"/>
        <w:tblDescription w:val="Stringency Level 2 estimated costs and benefits — C6RL"/>
      </w:tblPr>
      <w:tblGrid>
        <w:gridCol w:w="2627"/>
        <w:gridCol w:w="634"/>
        <w:gridCol w:w="693"/>
        <w:gridCol w:w="664"/>
        <w:gridCol w:w="663"/>
        <w:gridCol w:w="664"/>
        <w:gridCol w:w="664"/>
        <w:gridCol w:w="663"/>
        <w:gridCol w:w="664"/>
      </w:tblGrid>
      <w:tr w:rsidR="00D24C7F" w14:paraId="510E1A74" w14:textId="77777777">
        <w:trPr>
          <w:trHeight w:val="245"/>
          <w:tblHeader/>
        </w:trPr>
        <w:tc>
          <w:tcPr>
            <w:tcW w:w="2627" w:type="dxa"/>
            <w:shd w:val="clear" w:color="auto" w:fill="6F6652"/>
            <w:tcMar>
              <w:left w:w="57" w:type="dxa"/>
              <w:right w:w="57" w:type="dxa"/>
            </w:tcMar>
          </w:tcPr>
          <w:p w14:paraId="68AE2E77" w14:textId="77777777" w:rsidR="00D24C7F" w:rsidRDefault="00D24C7F">
            <w:pPr>
              <w:pStyle w:val="TableDataColumnHeading"/>
              <w:jc w:val="left"/>
            </w:pPr>
            <w:r>
              <w:t>Impact</w:t>
            </w:r>
          </w:p>
        </w:tc>
        <w:tc>
          <w:tcPr>
            <w:tcW w:w="634" w:type="dxa"/>
            <w:shd w:val="clear" w:color="auto" w:fill="6F6652"/>
            <w:tcMar>
              <w:left w:w="57" w:type="dxa"/>
              <w:right w:w="57" w:type="dxa"/>
            </w:tcMar>
          </w:tcPr>
          <w:p w14:paraId="7D398CC7" w14:textId="77777777" w:rsidR="00D24C7F" w:rsidRDefault="00D24C7F">
            <w:pPr>
              <w:pStyle w:val="TableDataColumnHeading"/>
            </w:pPr>
            <w:r>
              <w:t>NSW (CZ5)</w:t>
            </w:r>
          </w:p>
          <w:p w14:paraId="23DAB0AC" w14:textId="77777777" w:rsidR="00D24C7F" w:rsidRDefault="00D24C7F">
            <w:pPr>
              <w:pStyle w:val="TableDataColumnHeading"/>
            </w:pPr>
            <w:r>
              <w:t>$ per m2</w:t>
            </w:r>
          </w:p>
        </w:tc>
        <w:tc>
          <w:tcPr>
            <w:tcW w:w="693" w:type="dxa"/>
            <w:shd w:val="clear" w:color="auto" w:fill="6F6652"/>
            <w:tcMar>
              <w:left w:w="57" w:type="dxa"/>
              <w:right w:w="57" w:type="dxa"/>
            </w:tcMar>
          </w:tcPr>
          <w:p w14:paraId="17B86C10" w14:textId="77777777" w:rsidR="00D24C7F" w:rsidRDefault="00D24C7F">
            <w:pPr>
              <w:pStyle w:val="TableDataColumnHeading"/>
            </w:pPr>
            <w:r>
              <w:t>VIC (CZ6)</w:t>
            </w:r>
          </w:p>
          <w:p w14:paraId="1916506C" w14:textId="77777777" w:rsidR="00D24C7F" w:rsidRDefault="00D24C7F">
            <w:pPr>
              <w:pStyle w:val="TableDataColumnHeading"/>
            </w:pPr>
            <w:r>
              <w:t>$ per m2</w:t>
            </w:r>
          </w:p>
        </w:tc>
        <w:tc>
          <w:tcPr>
            <w:tcW w:w="664" w:type="dxa"/>
            <w:shd w:val="clear" w:color="auto" w:fill="6F6652"/>
            <w:tcMar>
              <w:left w:w="57" w:type="dxa"/>
              <w:right w:w="57" w:type="dxa"/>
            </w:tcMar>
          </w:tcPr>
          <w:p w14:paraId="0817F1F7" w14:textId="77777777" w:rsidR="00D24C7F" w:rsidRDefault="00D24C7F">
            <w:pPr>
              <w:pStyle w:val="TableDataColumnHeading"/>
            </w:pPr>
            <w:r>
              <w:t>QLD (CZ2)</w:t>
            </w:r>
          </w:p>
          <w:p w14:paraId="19AA4316" w14:textId="77777777" w:rsidR="00D24C7F" w:rsidRDefault="00D24C7F">
            <w:pPr>
              <w:pStyle w:val="TableDataColumnHeading"/>
            </w:pPr>
            <w:r>
              <w:t>$ per m2</w:t>
            </w:r>
          </w:p>
        </w:tc>
        <w:tc>
          <w:tcPr>
            <w:tcW w:w="663" w:type="dxa"/>
            <w:shd w:val="clear" w:color="auto" w:fill="6F6652"/>
            <w:tcMar>
              <w:left w:w="57" w:type="dxa"/>
              <w:right w:w="57" w:type="dxa"/>
            </w:tcMar>
          </w:tcPr>
          <w:p w14:paraId="33DC58DE" w14:textId="77777777" w:rsidR="00D24C7F" w:rsidRDefault="00D24C7F">
            <w:pPr>
              <w:pStyle w:val="TableDataColumnHeading"/>
            </w:pPr>
            <w:r>
              <w:t>WA (CZ5)</w:t>
            </w:r>
          </w:p>
          <w:p w14:paraId="274A0721" w14:textId="77777777" w:rsidR="00D24C7F" w:rsidRDefault="00D24C7F">
            <w:pPr>
              <w:pStyle w:val="TableDataColumnHeading"/>
            </w:pPr>
            <w:r>
              <w:t>$ per m2</w:t>
            </w:r>
          </w:p>
        </w:tc>
        <w:tc>
          <w:tcPr>
            <w:tcW w:w="664" w:type="dxa"/>
            <w:shd w:val="clear" w:color="auto" w:fill="6F6652"/>
            <w:tcMar>
              <w:left w:w="57" w:type="dxa"/>
              <w:right w:w="57" w:type="dxa"/>
            </w:tcMar>
          </w:tcPr>
          <w:p w14:paraId="5E004598" w14:textId="77777777" w:rsidR="00D24C7F" w:rsidRDefault="00D24C7F">
            <w:pPr>
              <w:pStyle w:val="TableDataColumnHeading"/>
            </w:pPr>
            <w:r>
              <w:t>SA (CZ5)</w:t>
            </w:r>
          </w:p>
          <w:p w14:paraId="4B7AB26F" w14:textId="77777777" w:rsidR="00D24C7F" w:rsidRDefault="00D24C7F">
            <w:pPr>
              <w:pStyle w:val="TableDataColumnHeading"/>
            </w:pPr>
            <w:r>
              <w:t>$ per m2</w:t>
            </w:r>
          </w:p>
        </w:tc>
        <w:tc>
          <w:tcPr>
            <w:tcW w:w="664" w:type="dxa"/>
            <w:shd w:val="clear" w:color="auto" w:fill="6F6652"/>
            <w:tcMar>
              <w:left w:w="57" w:type="dxa"/>
              <w:right w:w="57" w:type="dxa"/>
            </w:tcMar>
          </w:tcPr>
          <w:p w14:paraId="3D1C1A7A" w14:textId="77777777" w:rsidR="00D24C7F" w:rsidRDefault="00D24C7F">
            <w:pPr>
              <w:pStyle w:val="TableDataColumnHeading"/>
            </w:pPr>
            <w:r>
              <w:t>TAS (CZ7)</w:t>
            </w:r>
          </w:p>
          <w:p w14:paraId="7A307F1A" w14:textId="77777777" w:rsidR="00D24C7F" w:rsidRDefault="00D24C7F">
            <w:pPr>
              <w:pStyle w:val="TableDataColumnHeading"/>
            </w:pPr>
            <w:r>
              <w:t>$ per m2</w:t>
            </w:r>
          </w:p>
        </w:tc>
        <w:tc>
          <w:tcPr>
            <w:tcW w:w="663" w:type="dxa"/>
            <w:shd w:val="clear" w:color="auto" w:fill="6F6652"/>
            <w:tcMar>
              <w:left w:w="57" w:type="dxa"/>
              <w:right w:w="57" w:type="dxa"/>
            </w:tcMar>
          </w:tcPr>
          <w:p w14:paraId="3188FEE8" w14:textId="77777777" w:rsidR="00D24C7F" w:rsidRDefault="00D24C7F">
            <w:pPr>
              <w:pStyle w:val="TableDataColumnHeading"/>
            </w:pPr>
            <w:r>
              <w:t>ACT (CZ7)</w:t>
            </w:r>
          </w:p>
          <w:p w14:paraId="6FA7EADC" w14:textId="77777777" w:rsidR="00D24C7F" w:rsidRDefault="00D24C7F">
            <w:pPr>
              <w:pStyle w:val="TableDataColumnHeading"/>
            </w:pPr>
            <w:r>
              <w:t>$ per m2</w:t>
            </w:r>
          </w:p>
        </w:tc>
        <w:tc>
          <w:tcPr>
            <w:tcW w:w="664" w:type="dxa"/>
            <w:shd w:val="clear" w:color="auto" w:fill="6F6652"/>
            <w:tcMar>
              <w:left w:w="57" w:type="dxa"/>
              <w:right w:w="57" w:type="dxa"/>
            </w:tcMar>
          </w:tcPr>
          <w:p w14:paraId="17E9FF4C" w14:textId="77777777" w:rsidR="00D24C7F" w:rsidRDefault="00D24C7F">
            <w:pPr>
              <w:pStyle w:val="TableDataColumnHeading"/>
            </w:pPr>
            <w:r>
              <w:t>NT (CZ1)</w:t>
            </w:r>
          </w:p>
          <w:p w14:paraId="06F3C661" w14:textId="77777777" w:rsidR="00D24C7F" w:rsidRDefault="00D24C7F">
            <w:pPr>
              <w:pStyle w:val="TableDataColumnHeading"/>
            </w:pPr>
            <w:r>
              <w:t>$ per m2</w:t>
            </w:r>
          </w:p>
        </w:tc>
      </w:tr>
      <w:tr w:rsidR="00D24C7F" w14:paraId="188538C9"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519BC38" w14:textId="77777777" w:rsidR="00D24C7F" w:rsidRDefault="00D24C7F">
            <w:pPr>
              <w:pStyle w:val="TableDataEntries"/>
              <w:jc w:val="left"/>
            </w:pPr>
            <w:r>
              <w:t>Avoided electricity network capacity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7566F48" w14:textId="581ED320" w:rsidR="00D24C7F" w:rsidRDefault="00D24C7F">
            <w:pPr>
              <w:pStyle w:val="TableDataEntries"/>
            </w:pPr>
            <w:r>
              <w:t>46.0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9F80D2C" w14:textId="6EE358AF" w:rsidR="00D24C7F" w:rsidRDefault="00D24C7F">
            <w:pPr>
              <w:pStyle w:val="TableDataEntries"/>
            </w:pPr>
            <w:r>
              <w:t>21.3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C1E4007" w14:textId="587B71F1" w:rsidR="00D24C7F" w:rsidRDefault="00D24C7F">
            <w:pPr>
              <w:pStyle w:val="TableDataEntries"/>
            </w:pPr>
            <w:r>
              <w:t>44.0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F8B2DDF" w14:textId="2D18C8C8" w:rsidR="00D24C7F" w:rsidRDefault="00D24C7F">
            <w:pPr>
              <w:pStyle w:val="TableDataEntries"/>
            </w:pPr>
            <w:r>
              <w:t>10.9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96BC257" w14:textId="41338918" w:rsidR="00D24C7F" w:rsidRDefault="00D24C7F">
            <w:pPr>
              <w:pStyle w:val="TableDataEntries"/>
            </w:pPr>
            <w:r>
              <w:t>27.7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60B6709" w14:textId="54196C56" w:rsidR="00D24C7F" w:rsidRDefault="00D24C7F">
            <w:pPr>
              <w:pStyle w:val="TableDataEntries"/>
            </w:pPr>
            <w:r>
              <w:t>111.4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7C9F88" w14:textId="2A39FD7D" w:rsidR="00D24C7F" w:rsidRDefault="00D24C7F">
            <w:pPr>
              <w:pStyle w:val="TableDataEntries"/>
            </w:pPr>
            <w:r>
              <w:t>50.4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010763" w14:textId="5AD3EA69" w:rsidR="00D24C7F" w:rsidRDefault="00D24C7F">
            <w:pPr>
              <w:pStyle w:val="TableDataEntries"/>
            </w:pPr>
            <w:r>
              <w:t>43.7</w:t>
            </w:r>
          </w:p>
        </w:tc>
      </w:tr>
      <w:tr w:rsidR="00D24C7F" w14:paraId="6BFF9029"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9E02600" w14:textId="77777777" w:rsidR="00D24C7F" w:rsidRDefault="00D24C7F">
            <w:pPr>
              <w:pStyle w:val="TableDataEntries"/>
              <w:jc w:val="left"/>
            </w:pPr>
            <w:r>
              <w:t>Avoided electricity wholesale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71EA392" w14:textId="0F279595" w:rsidR="00D24C7F" w:rsidRDefault="00D24C7F">
            <w:pPr>
              <w:pStyle w:val="TableDataEntries"/>
            </w:pPr>
            <w:r>
              <w:t>111.4</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D75DC26" w14:textId="732D9D4A" w:rsidR="00D24C7F" w:rsidRDefault="00D24C7F">
            <w:pPr>
              <w:pStyle w:val="TableDataEntries"/>
            </w:pPr>
            <w:r>
              <w:t>67.3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D8B7BEB" w14:textId="43614FD8" w:rsidR="00D24C7F" w:rsidRDefault="00D24C7F">
            <w:pPr>
              <w:pStyle w:val="TableDataEntries"/>
            </w:pPr>
            <w:r>
              <w:t>120.8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B1D9F3F" w14:textId="61C39988" w:rsidR="00D24C7F" w:rsidRDefault="00D24C7F">
            <w:pPr>
              <w:pStyle w:val="TableDataEntries"/>
            </w:pPr>
            <w:r>
              <w:t>69.0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A72E232" w14:textId="394A11D7" w:rsidR="00D24C7F" w:rsidRDefault="00D24C7F">
            <w:pPr>
              <w:pStyle w:val="TableDataEntries"/>
            </w:pPr>
            <w:r>
              <w:t>75.0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45C5561" w14:textId="02B3C822" w:rsidR="00D24C7F" w:rsidRDefault="00D24C7F">
            <w:pPr>
              <w:pStyle w:val="TableDataEntries"/>
            </w:pPr>
            <w:r>
              <w:t>111.7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445371" w14:textId="28EE22AA" w:rsidR="00D24C7F" w:rsidRDefault="00D24C7F">
            <w:pPr>
              <w:pStyle w:val="TableDataEntries"/>
            </w:pPr>
            <w:r>
              <w:t>119.8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941CA6C" w14:textId="737E116A" w:rsidR="00D24C7F" w:rsidRDefault="00D24C7F">
            <w:pPr>
              <w:pStyle w:val="TableDataEntries"/>
            </w:pPr>
            <w:r>
              <w:t>237.7</w:t>
            </w:r>
          </w:p>
        </w:tc>
      </w:tr>
      <w:tr w:rsidR="00D24C7F" w14:paraId="6FB1B749"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64A69B5" w14:textId="77777777" w:rsidR="00D24C7F" w:rsidRDefault="00D24C7F">
            <w:pPr>
              <w:pStyle w:val="TableDataEntries"/>
              <w:jc w:val="left"/>
            </w:pPr>
            <w:r>
              <w:t>Avoided electricity network usage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C6257D" w14:textId="2AACAE0B" w:rsidR="00D24C7F" w:rsidRDefault="00D24C7F">
            <w:pPr>
              <w:pStyle w:val="TableDataEntries"/>
            </w:pPr>
            <w:r>
              <w:t>63.0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F98F2FE" w14:textId="62D1ECE4" w:rsidR="00D24C7F" w:rsidRDefault="00D24C7F">
            <w:pPr>
              <w:pStyle w:val="TableDataEntries"/>
            </w:pPr>
            <w:r>
              <w:t>78.6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9AED82A" w14:textId="1F64E951" w:rsidR="00D24C7F" w:rsidRDefault="00D24C7F">
            <w:pPr>
              <w:pStyle w:val="TableDataEntries"/>
            </w:pPr>
            <w:r>
              <w:t>82.4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3A7673A" w14:textId="2252A668" w:rsidR="00D24C7F" w:rsidRDefault="00D24C7F">
            <w:pPr>
              <w:pStyle w:val="TableDataEntries"/>
            </w:pPr>
            <w:r>
              <w:t>157.7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82FD6BE" w14:textId="7DD594E5" w:rsidR="00D24C7F" w:rsidRDefault="00D24C7F">
            <w:pPr>
              <w:pStyle w:val="TableDataEntries"/>
            </w:pPr>
            <w:r>
              <w:t>182.9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E4DF31D" w14:textId="6A587DA4" w:rsidR="00D24C7F" w:rsidRDefault="00D24C7F">
            <w:pPr>
              <w:pStyle w:val="TableDataEntries"/>
            </w:pPr>
            <w:r>
              <w:t>185.7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74934D" w14:textId="1EF99DC6" w:rsidR="00D24C7F" w:rsidRDefault="00D24C7F">
            <w:pPr>
              <w:pStyle w:val="TableDataEntries"/>
            </w:pPr>
            <w:r>
              <w:t>108.5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43BCE1" w14:textId="05D2DDAB" w:rsidR="00D24C7F" w:rsidRDefault="00D24C7F">
            <w:pPr>
              <w:pStyle w:val="TableDataEntries"/>
            </w:pPr>
            <w:r>
              <w:t>110.4</w:t>
            </w:r>
          </w:p>
        </w:tc>
      </w:tr>
      <w:tr w:rsidR="00D24C7F" w14:paraId="7BD97EC8"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D16A87" w14:textId="77777777" w:rsidR="00D24C7F" w:rsidRDefault="00D24C7F">
            <w:pPr>
              <w:pStyle w:val="TableDataEntries"/>
              <w:jc w:val="left"/>
            </w:pPr>
            <w:r>
              <w:t>Avoided electricity retail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FF06C05" w14:textId="48FB23B2" w:rsidR="00D24C7F" w:rsidRDefault="00D24C7F">
            <w:pPr>
              <w:pStyle w:val="TableDataEntries"/>
            </w:pPr>
            <w:r>
              <w:t>33.1</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56CF7BF" w14:textId="2B119C44" w:rsidR="00D24C7F" w:rsidRDefault="00D24C7F">
            <w:pPr>
              <w:pStyle w:val="TableDataEntries"/>
            </w:pPr>
            <w:r>
              <w:t>25.1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694502" w14:textId="12E1E556" w:rsidR="00D24C7F" w:rsidRDefault="00D24C7F">
            <w:pPr>
              <w:pStyle w:val="TableDataEntries"/>
            </w:pPr>
            <w:r>
              <w:t>37.1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18949DA" w14:textId="33E3927E" w:rsidR="00D24C7F" w:rsidRDefault="00D24C7F">
            <w:pPr>
              <w:pStyle w:val="TableDataEntries"/>
            </w:pPr>
            <w:r>
              <w:t>35.6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E2E7DE" w14:textId="56CB8D66" w:rsidR="00D24C7F" w:rsidRDefault="00D24C7F">
            <w:pPr>
              <w:pStyle w:val="TableDataEntries"/>
            </w:pPr>
            <w:r>
              <w:t>42.9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E607EA" w14:textId="450747B4" w:rsidR="00D24C7F" w:rsidRDefault="00D24C7F">
            <w:pPr>
              <w:pStyle w:val="TableDataEntries"/>
            </w:pPr>
            <w:r>
              <w:t>61.3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CCA74CD" w14:textId="6CD3112C" w:rsidR="00D24C7F" w:rsidRDefault="00D24C7F">
            <w:pPr>
              <w:pStyle w:val="TableDataEntries"/>
            </w:pPr>
            <w:r>
              <w:t>41.8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EF9950" w14:textId="4C586795" w:rsidR="00D24C7F" w:rsidRDefault="00D24C7F">
            <w:pPr>
              <w:pStyle w:val="TableDataEntries"/>
            </w:pPr>
            <w:r>
              <w:t>58.8</w:t>
            </w:r>
          </w:p>
        </w:tc>
      </w:tr>
      <w:tr w:rsidR="00D24C7F" w14:paraId="06F6A1EF"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E1ADFF" w14:textId="77777777" w:rsidR="00D24C7F" w:rsidRDefault="00D24C7F">
            <w:pPr>
              <w:pStyle w:val="TableDataEntries"/>
              <w:jc w:val="left"/>
            </w:pPr>
            <w:r>
              <w:t>Electricity exported to grid</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DD0CD8" w14:textId="3FBEE0E2" w:rsidR="00D24C7F" w:rsidRDefault="00D24C7F">
            <w:pPr>
              <w:pStyle w:val="TableDataEntries"/>
            </w:pPr>
            <w:r>
              <w:t>0.9</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04281F4" w14:textId="0451B60D" w:rsidR="00D24C7F" w:rsidRDefault="00D24C7F">
            <w:pPr>
              <w:pStyle w:val="TableDataEntries"/>
            </w:pPr>
            <w:r>
              <w:t>1.0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802C0F" w14:textId="1EE3DAF1" w:rsidR="00D24C7F" w:rsidRDefault="00D24C7F">
            <w:pPr>
              <w:pStyle w:val="TableDataEntries"/>
            </w:pPr>
            <w:r>
              <w:t>0.6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26FAAF" w14:textId="5B73E085" w:rsidR="00D24C7F" w:rsidRDefault="00D24C7F">
            <w:pPr>
              <w:pStyle w:val="TableDataEntries"/>
            </w:pPr>
            <w:r>
              <w:t>0.9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46C1777" w14:textId="52A0E32E" w:rsidR="00D24C7F" w:rsidRDefault="00D24C7F">
            <w:pPr>
              <w:pStyle w:val="TableDataEntries"/>
            </w:pPr>
            <w:r>
              <w:t>0.7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1CD0EDE" w14:textId="641AB784" w:rsidR="00D24C7F" w:rsidRDefault="00D24C7F">
            <w:pPr>
              <w:pStyle w:val="TableDataEntries"/>
            </w:pPr>
            <w:r>
              <w:t>3.3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C01DEF" w14:textId="28FAB524" w:rsidR="00D24C7F" w:rsidRDefault="00D24C7F">
            <w:pPr>
              <w:pStyle w:val="TableDataEntries"/>
            </w:pPr>
            <w:r>
              <w:t>1.6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493804" w14:textId="7577EC4C" w:rsidR="00D24C7F" w:rsidRDefault="00D24C7F">
            <w:pPr>
              <w:pStyle w:val="TableDataEntries"/>
            </w:pPr>
            <w:r>
              <w:t>0.1</w:t>
            </w:r>
          </w:p>
        </w:tc>
      </w:tr>
      <w:tr w:rsidR="00D24C7F" w14:paraId="45A4F235"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AF154E" w14:textId="77777777" w:rsidR="00D24C7F" w:rsidRDefault="00D24C7F">
            <w:pPr>
              <w:pStyle w:val="TableDataEntries"/>
              <w:jc w:val="left"/>
            </w:pPr>
            <w:r>
              <w:t>Electricity exports — network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D1361D" w14:textId="6B4932DB" w:rsidR="00D24C7F" w:rsidRDefault="00D24C7F">
            <w:pPr>
              <w:pStyle w:val="TableDataEntries"/>
            </w:pPr>
            <w:r>
              <w:t>-0.2</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15DC23" w14:textId="5C3459CA" w:rsidR="00D24C7F" w:rsidRDefault="00D24C7F">
            <w:pPr>
              <w:pStyle w:val="TableDataEntries"/>
            </w:pPr>
            <w:r>
              <w:t>-0.1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7AB103E" w14:textId="54CEE1DB" w:rsidR="00D24C7F" w:rsidRDefault="00D24C7F">
            <w:pPr>
              <w:pStyle w:val="TableDataEntries"/>
            </w:pPr>
            <w:r>
              <w:t>-0.2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9AF916" w14:textId="7749F890" w:rsidR="00D24C7F" w:rsidRDefault="00D24C7F">
            <w:pPr>
              <w:pStyle w:val="TableDataEntries"/>
            </w:pPr>
            <w:r>
              <w:t>-0.2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527D4F" w14:textId="65A617C4" w:rsidR="00D24C7F" w:rsidRDefault="00D24C7F">
            <w:pPr>
              <w:pStyle w:val="TableDataEntries"/>
            </w:pPr>
            <w:r>
              <w:t>-0.2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39E2201" w14:textId="5A5D00B2" w:rsidR="00D24C7F" w:rsidRDefault="00D24C7F">
            <w:pPr>
              <w:pStyle w:val="TableDataEntries"/>
            </w:pPr>
            <w:r>
              <w:t>-0.5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48B6631" w14:textId="726A9446" w:rsidR="00D24C7F" w:rsidRDefault="00D24C7F">
            <w:pPr>
              <w:pStyle w:val="TableDataEntries"/>
            </w:pPr>
            <w:r>
              <w:t>-0.4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DC39DF" w14:textId="5EE04499" w:rsidR="00D24C7F" w:rsidRDefault="00D24C7F">
            <w:pPr>
              <w:pStyle w:val="TableDataEntries"/>
            </w:pPr>
            <w:r>
              <w:t>0.0</w:t>
            </w:r>
          </w:p>
        </w:tc>
      </w:tr>
      <w:tr w:rsidR="00D24C7F" w14:paraId="4E1EE992"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3ECBF0E" w14:textId="77777777" w:rsidR="00D24C7F" w:rsidRDefault="00D24C7F">
            <w:pPr>
              <w:pStyle w:val="TableDataEntries"/>
              <w:jc w:val="left"/>
            </w:pPr>
            <w:r>
              <w:t>Avoided gas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C6A7A32" w14:textId="16930602" w:rsidR="00D24C7F" w:rsidRDefault="00D24C7F">
            <w:pPr>
              <w:pStyle w:val="TableDataEntries"/>
            </w:pPr>
            <w:r>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BDE782C" w14:textId="1CB98669"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0B53009" w14:textId="2BEA35AD"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00B371" w14:textId="28AB7C5A"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FF0DEA6" w14:textId="68598271"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69A7606" w14:textId="6486D8C1"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EAE976C" w14:textId="519178B0"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AF402DF" w14:textId="46AC2E90" w:rsidR="00D24C7F" w:rsidRDefault="00D24C7F">
            <w:pPr>
              <w:pStyle w:val="TableDataEntries"/>
            </w:pPr>
            <w:r>
              <w:t>0.0</w:t>
            </w:r>
          </w:p>
        </w:tc>
      </w:tr>
      <w:tr w:rsidR="00D24C7F" w14:paraId="7DBC0281"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2F36799" w14:textId="77777777" w:rsidR="00D24C7F" w:rsidRDefault="00D24C7F">
            <w:pPr>
              <w:pStyle w:val="TableDataEntries"/>
              <w:jc w:val="left"/>
            </w:pPr>
            <w:r>
              <w:t>Avoided GHG emissions –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EDA1F18" w14:textId="0270226D" w:rsidR="00D24C7F" w:rsidRDefault="00D24C7F">
            <w:pPr>
              <w:pStyle w:val="TableDataEntries"/>
            </w:pPr>
            <w:r>
              <w:t>65.6</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0E78C46" w14:textId="5652D35A" w:rsidR="00D24C7F" w:rsidRDefault="00D24C7F">
            <w:pPr>
              <w:pStyle w:val="TableDataEntries"/>
            </w:pPr>
            <w:r>
              <w:t>80.2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FD27E1" w14:textId="34F4F193" w:rsidR="00D24C7F" w:rsidRDefault="00D24C7F">
            <w:pPr>
              <w:pStyle w:val="TableDataEntries"/>
            </w:pPr>
            <w:r>
              <w:t>216.1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3EFC366" w14:textId="5AD98F8D" w:rsidR="00D24C7F" w:rsidRDefault="00D24C7F">
            <w:pPr>
              <w:pStyle w:val="TableDataEntries"/>
            </w:pPr>
            <w:r>
              <w:t>97.1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027DFAC" w14:textId="2832B4C9" w:rsidR="00D24C7F" w:rsidRDefault="00D24C7F">
            <w:pPr>
              <w:pStyle w:val="TableDataEntries"/>
            </w:pPr>
            <w:r>
              <w:t>70.5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4BC8520" w14:textId="224238A5" w:rsidR="00D24C7F" w:rsidRDefault="00D24C7F">
            <w:pPr>
              <w:pStyle w:val="TableDataEntries"/>
            </w:pPr>
            <w:r>
              <w:t>9.6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4C0CF2" w14:textId="17CC04F3" w:rsidR="00D24C7F" w:rsidRDefault="00D24C7F">
            <w:pPr>
              <w:pStyle w:val="TableDataEntries"/>
            </w:pPr>
            <w:r>
              <w:t>65.2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3995E1C" w14:textId="1360A909" w:rsidR="00D24C7F" w:rsidRDefault="00D24C7F">
            <w:pPr>
              <w:pStyle w:val="TableDataEntries"/>
            </w:pPr>
            <w:r>
              <w:t>233.5</w:t>
            </w:r>
          </w:p>
        </w:tc>
      </w:tr>
      <w:tr w:rsidR="00D24C7F" w14:paraId="57368960"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0B900C1" w14:textId="77777777" w:rsidR="00D24C7F" w:rsidRDefault="00D24C7F">
            <w:pPr>
              <w:pStyle w:val="TableDataEntries"/>
              <w:jc w:val="left"/>
            </w:pPr>
            <w:r>
              <w:t>Avoided GHG emissions – exported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45EC98D" w14:textId="2F6DA14B" w:rsidR="00D24C7F" w:rsidRDefault="00D24C7F">
            <w:pPr>
              <w:pStyle w:val="TableDataEntries"/>
            </w:pPr>
            <w:r>
              <w:t>1.6</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66ED1C" w14:textId="504DB722" w:rsidR="00D24C7F" w:rsidRDefault="00D24C7F">
            <w:pPr>
              <w:pStyle w:val="TableDataEntries"/>
            </w:pPr>
            <w:r>
              <w:t>4.0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EA2F835" w14:textId="0F9C4E60" w:rsidR="00D24C7F" w:rsidRDefault="00D24C7F">
            <w:pPr>
              <w:pStyle w:val="TableDataEntries"/>
            </w:pPr>
            <w:r>
              <w:t>3.5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D18C319" w14:textId="51C6D2E7" w:rsidR="00D24C7F" w:rsidRDefault="00D24C7F">
            <w:pPr>
              <w:pStyle w:val="TableDataEntries"/>
            </w:pPr>
            <w:r>
              <w:t>2.4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01789C" w14:textId="33A9FBFA" w:rsidR="00D24C7F" w:rsidRDefault="00D24C7F">
            <w:pPr>
              <w:pStyle w:val="TableDataEntries"/>
            </w:pPr>
            <w:r>
              <w:t>1.7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7CF37A" w14:textId="464C1C80" w:rsidR="00D24C7F" w:rsidRDefault="00D24C7F">
            <w:pPr>
              <w:pStyle w:val="TableDataEntries"/>
            </w:pPr>
            <w:r>
              <w:t>0.4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95845C" w14:textId="7D2141DC" w:rsidR="00D24C7F" w:rsidRDefault="00D24C7F">
            <w:pPr>
              <w:pStyle w:val="TableDataEntries"/>
            </w:pPr>
            <w:r>
              <w:t>2.4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4038C9F" w14:textId="197CB510" w:rsidR="00D24C7F" w:rsidRDefault="00D24C7F">
            <w:pPr>
              <w:pStyle w:val="TableDataEntries"/>
            </w:pPr>
            <w:r>
              <w:t>0.1</w:t>
            </w:r>
          </w:p>
        </w:tc>
      </w:tr>
      <w:tr w:rsidR="00D24C7F" w14:paraId="38DBAE15"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2410B01" w14:textId="77777777" w:rsidR="00D24C7F" w:rsidRDefault="00D24C7F">
            <w:pPr>
              <w:pStyle w:val="TableDataEntries"/>
              <w:jc w:val="left"/>
            </w:pPr>
            <w:r>
              <w:t>Avoided GHG emissions – gas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4500B1D" w14:textId="4F58FD96" w:rsidR="00D24C7F" w:rsidRDefault="00D24C7F">
            <w:pPr>
              <w:pStyle w:val="TableDataEntries"/>
            </w:pPr>
            <w:r>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C74B00" w14:textId="77A17C76"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951565" w14:textId="2DECEEA2"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F6287B9" w14:textId="031EA425"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1FDC1B7" w14:textId="161B7C8C"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EFD468B" w14:textId="1FB1EDC5"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5884420" w14:textId="53727488"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AA3C64" w14:textId="7848C494" w:rsidR="00D24C7F" w:rsidRDefault="00D24C7F">
            <w:pPr>
              <w:pStyle w:val="TableDataEntries"/>
            </w:pPr>
            <w:r>
              <w:t>0.0</w:t>
            </w:r>
          </w:p>
        </w:tc>
      </w:tr>
      <w:tr w:rsidR="00D24C7F" w14:paraId="0428A79C"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EB228BB" w14:textId="77777777" w:rsidR="00D24C7F" w:rsidRDefault="00D24C7F">
            <w:pPr>
              <w:pStyle w:val="TableDataEntries"/>
              <w:jc w:val="left"/>
            </w:pPr>
            <w:r>
              <w:t>Capital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D16440" w14:textId="132A338A" w:rsidR="00D24C7F" w:rsidRDefault="00D24C7F">
            <w:pPr>
              <w:pStyle w:val="TableDataEntries"/>
            </w:pPr>
            <w:r>
              <w:t>-67.6</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2FFCEAE" w14:textId="2CBE0B79" w:rsidR="00D24C7F" w:rsidRDefault="00D24C7F">
            <w:pPr>
              <w:pStyle w:val="TableDataEntries"/>
            </w:pPr>
            <w:r>
              <w:t>-117.3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A8C48C" w14:textId="30EAADF7" w:rsidR="00D24C7F" w:rsidRDefault="00D24C7F">
            <w:pPr>
              <w:pStyle w:val="TableDataEntries"/>
            </w:pPr>
            <w:r>
              <w:t>-56.6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78918CE" w14:textId="2078EBAB" w:rsidR="00D24C7F" w:rsidRDefault="00D24C7F">
            <w:pPr>
              <w:pStyle w:val="TableDataEntries"/>
            </w:pPr>
            <w:r>
              <w:t>-67.6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18990E6" w14:textId="4669145C" w:rsidR="00D24C7F" w:rsidRDefault="00D24C7F">
            <w:pPr>
              <w:pStyle w:val="TableDataEntries"/>
            </w:pPr>
            <w:r>
              <w:t>-67.6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58876E8" w14:textId="30886385" w:rsidR="00D24C7F" w:rsidRDefault="00D24C7F">
            <w:pPr>
              <w:pStyle w:val="TableDataEntries"/>
            </w:pPr>
            <w:r>
              <w:t>-111.1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469AB1" w14:textId="7D598D61" w:rsidR="00D24C7F" w:rsidRDefault="00D24C7F">
            <w:pPr>
              <w:pStyle w:val="TableDataEntries"/>
            </w:pPr>
            <w:r>
              <w:t>-111.1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2A94E2C" w14:textId="46C33074" w:rsidR="00D24C7F" w:rsidRDefault="00D24C7F">
            <w:pPr>
              <w:pStyle w:val="TableDataEntries"/>
            </w:pPr>
            <w:r>
              <w:t>-118.8</w:t>
            </w:r>
          </w:p>
        </w:tc>
      </w:tr>
      <w:tr w:rsidR="00D24C7F" w:rsidRPr="002933FE" w14:paraId="5AA5C2D5" w14:textId="77777777">
        <w:trPr>
          <w:trHeight w:val="245"/>
        </w:trPr>
        <w:tc>
          <w:tcPr>
            <w:tcW w:w="2627"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6B2B2F0" w14:textId="77777777" w:rsidR="00D24C7F" w:rsidRPr="002933FE" w:rsidRDefault="00D24C7F">
            <w:pPr>
              <w:pStyle w:val="TableDataEntries"/>
              <w:jc w:val="left"/>
              <w:rPr>
                <w:rFonts w:ascii="Franklin Gothic Demi" w:hAnsi="Franklin Gothic Demi"/>
              </w:rPr>
            </w:pPr>
            <w:r w:rsidRPr="002933FE">
              <w:rPr>
                <w:rFonts w:ascii="Franklin Gothic Demi" w:hAnsi="Franklin Gothic Demi"/>
              </w:rPr>
              <w:t>Total</w:t>
            </w:r>
          </w:p>
        </w:tc>
        <w:tc>
          <w:tcPr>
            <w:tcW w:w="63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0875B8F" w14:textId="6933A9CA" w:rsidR="00D24C7F" w:rsidRPr="002933FE" w:rsidRDefault="00D24C7F">
            <w:pPr>
              <w:pStyle w:val="TableDataEntries"/>
              <w:rPr>
                <w:rFonts w:ascii="Franklin Gothic Demi" w:hAnsi="Franklin Gothic Demi"/>
              </w:rPr>
            </w:pPr>
            <w:r w:rsidRPr="002933FE">
              <w:rPr>
                <w:rFonts w:ascii="Franklin Gothic Demi" w:hAnsi="Franklin Gothic Demi"/>
              </w:rPr>
              <w:t>253.8</w:t>
            </w:r>
          </w:p>
        </w:tc>
        <w:tc>
          <w:tcPr>
            <w:tcW w:w="69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3D04388" w14:textId="35C803B5" w:rsidR="00D24C7F" w:rsidRPr="002933FE" w:rsidRDefault="00D24C7F">
            <w:pPr>
              <w:pStyle w:val="TableDataEntries"/>
              <w:rPr>
                <w:rFonts w:ascii="Franklin Gothic Demi" w:hAnsi="Franklin Gothic Demi"/>
              </w:rPr>
            </w:pPr>
            <w:r w:rsidRPr="002933FE">
              <w:rPr>
                <w:rFonts w:ascii="Franklin Gothic Demi" w:hAnsi="Franklin Gothic Demi"/>
              </w:rPr>
              <w:t>160.1</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77BB964A" w14:textId="05C70C97" w:rsidR="00D24C7F" w:rsidRPr="002933FE" w:rsidRDefault="00D24C7F">
            <w:pPr>
              <w:pStyle w:val="TableDataEntries"/>
              <w:rPr>
                <w:rFonts w:ascii="Franklin Gothic Demi" w:hAnsi="Franklin Gothic Demi"/>
              </w:rPr>
            </w:pPr>
            <w:r w:rsidRPr="002933FE">
              <w:rPr>
                <w:rFonts w:ascii="Franklin Gothic Demi" w:hAnsi="Franklin Gothic Demi"/>
              </w:rPr>
              <w:t>447.7</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72818592" w14:textId="2474D69B" w:rsidR="00D24C7F" w:rsidRPr="002933FE" w:rsidRDefault="00D24C7F">
            <w:pPr>
              <w:pStyle w:val="TableDataEntries"/>
              <w:rPr>
                <w:rFonts w:ascii="Franklin Gothic Demi" w:hAnsi="Franklin Gothic Demi"/>
              </w:rPr>
            </w:pPr>
            <w:r w:rsidRPr="002933FE">
              <w:rPr>
                <w:rFonts w:ascii="Franklin Gothic Demi" w:hAnsi="Franklin Gothic Demi"/>
              </w:rPr>
              <w:t>305.7</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DEE396F" w14:textId="5DB1CF8B" w:rsidR="00D24C7F" w:rsidRPr="002933FE" w:rsidRDefault="00D24C7F">
            <w:pPr>
              <w:pStyle w:val="TableDataEntries"/>
              <w:rPr>
                <w:rFonts w:ascii="Franklin Gothic Demi" w:hAnsi="Franklin Gothic Demi"/>
              </w:rPr>
            </w:pPr>
            <w:r w:rsidRPr="002933FE">
              <w:rPr>
                <w:rFonts w:ascii="Franklin Gothic Demi" w:hAnsi="Franklin Gothic Demi"/>
              </w:rPr>
              <w:t>333.6</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71E39DA" w14:textId="41A90319" w:rsidR="00D24C7F" w:rsidRPr="002933FE" w:rsidRDefault="00D24C7F">
            <w:pPr>
              <w:pStyle w:val="TableDataEntries"/>
              <w:rPr>
                <w:rFonts w:ascii="Franklin Gothic Demi" w:hAnsi="Franklin Gothic Demi"/>
              </w:rPr>
            </w:pPr>
            <w:r w:rsidRPr="002933FE">
              <w:rPr>
                <w:rFonts w:ascii="Franklin Gothic Demi" w:hAnsi="Franklin Gothic Demi"/>
              </w:rPr>
              <w:t>371.7</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D9E5B02" w14:textId="79473BAE" w:rsidR="00D24C7F" w:rsidRPr="002933FE" w:rsidRDefault="00D24C7F">
            <w:pPr>
              <w:pStyle w:val="TableDataEntries"/>
              <w:rPr>
                <w:rFonts w:ascii="Franklin Gothic Demi" w:hAnsi="Franklin Gothic Demi"/>
              </w:rPr>
            </w:pPr>
            <w:r w:rsidRPr="002933FE">
              <w:rPr>
                <w:rFonts w:ascii="Franklin Gothic Demi" w:hAnsi="Franklin Gothic Demi"/>
              </w:rPr>
              <w:t>278.3</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F16040B" w14:textId="162D55D5" w:rsidR="00D24C7F" w:rsidRPr="002933FE" w:rsidRDefault="00D24C7F">
            <w:pPr>
              <w:pStyle w:val="TableDataEntries"/>
              <w:rPr>
                <w:rFonts w:ascii="Franklin Gothic Demi" w:hAnsi="Franklin Gothic Demi"/>
              </w:rPr>
            </w:pPr>
            <w:r w:rsidRPr="002933FE">
              <w:rPr>
                <w:rFonts w:ascii="Franklin Gothic Demi" w:hAnsi="Franklin Gothic Demi"/>
              </w:rPr>
              <w:t>565.5</w:t>
            </w:r>
          </w:p>
        </w:tc>
      </w:tr>
    </w:tbl>
    <w:p w14:paraId="24303EFF" w14:textId="77777777" w:rsidR="00D24C7F" w:rsidRDefault="00D24C7F" w:rsidP="00D24C7F">
      <w:pPr>
        <w:pStyle w:val="Note"/>
      </w:pPr>
      <w:r w:rsidRPr="007D1B4F">
        <w:rPr>
          <w:i/>
        </w:rPr>
        <w:t>Note:</w:t>
      </w:r>
      <w:r w:rsidRPr="00E879B8">
        <w:t xml:space="preserve"> </w:t>
      </w:r>
      <w:r>
        <w:t>Costs and benefits estimated in present value terms over the 50</w:t>
      </w:r>
      <w:r>
        <w:noBreakHyphen/>
        <w:t xml:space="preserve">year life of a building constructed in 2025, using a discount rate of 5 per cent. </w:t>
      </w:r>
    </w:p>
    <w:p w14:paraId="69ED7967" w14:textId="77777777" w:rsidR="00D24C7F" w:rsidRDefault="00D24C7F" w:rsidP="00D24C7F">
      <w:pPr>
        <w:pStyle w:val="Source"/>
      </w:pPr>
      <w:r>
        <w:rPr>
          <w:i/>
        </w:rPr>
        <w:t>Source</w:t>
      </w:r>
      <w:r w:rsidRPr="00E4232C">
        <w:rPr>
          <w:i/>
        </w:rPr>
        <w:t>:</w:t>
      </w:r>
      <w:r>
        <w:t xml:space="preserve"> CIE based on DeltaQ modelling.</w:t>
      </w:r>
    </w:p>
    <w:p w14:paraId="56574A2B" w14:textId="57330B59" w:rsidR="00D24C7F" w:rsidRPr="005E5FA8" w:rsidRDefault="00D24C7F" w:rsidP="00D24C7F">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w:instrText>
      </w:r>
      <w:fldSimple w:instr=" STYLEREF &quot;Heading 1&quot; \l \n ">
        <w:r w:rsidRPr="005E5FA8">
          <w:instrText>2</w:instrText>
        </w:r>
      </w:fldSimple>
      <w:r w:rsidRPr="005E5FA8">
        <w:instrText xml:space="preserve">." </w:instrText>
      </w:r>
      <w:r w:rsidRPr="005E5FA8">
        <w:fldChar w:fldCharType="end"/>
      </w:r>
      <w:r w:rsidRPr="005E5FA8">
        <w:instrText>" "</w:instrText>
      </w:r>
      <w:fldSimple w:instr=" STYLEREF &quot;Heading 6&quot; \l \n ">
        <w:r w:rsidR="00581346">
          <w:rPr>
            <w:noProof/>
          </w:rPr>
          <w:instrText>H</w:instrText>
        </w:r>
      </w:fldSimple>
      <w:r w:rsidRPr="005E5FA8">
        <w:instrText xml:space="preserve">." </w:instrText>
      </w:r>
      <w:r w:rsidRPr="005E5FA8">
        <w:fldChar w:fldCharType="separate"/>
      </w:r>
      <w:r w:rsidR="00581346">
        <w:rPr>
          <w:noProof/>
        </w:rPr>
        <w:instrText>H</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"1" </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16</w:instrText>
      </w:r>
      <w:r w:rsidRPr="005E5FA8">
        <w:fldChar w:fldCharType="end"/>
      </w:r>
      <w:r w:rsidRPr="005E5FA8">
        <w:instrText xml:space="preserve">" "" </w:instrText>
      </w:r>
      <w:r w:rsidRPr="005E5FA8">
        <w:fldChar w:fldCharType="separate"/>
      </w:r>
      <w:bookmarkStart w:id="10170" w:name="_Caption2341"/>
      <w:bookmarkStart w:id="10171" w:name="_Caption8536"/>
      <w:bookmarkStart w:id="10172" w:name="_Caption7349"/>
      <w:bookmarkStart w:id="10173" w:name="_Caption3810"/>
      <w:bookmarkStart w:id="10174" w:name="_Caption5159"/>
      <w:bookmarkStart w:id="10175" w:name="_Caption1135"/>
      <w:bookmarkStart w:id="10176" w:name="_Caption1145"/>
      <w:bookmarkStart w:id="10177" w:name="_Caption5108"/>
      <w:bookmarkStart w:id="10178" w:name="_Caption1294"/>
      <w:bookmarkStart w:id="10179" w:name="_Caption3185"/>
      <w:bookmarkStart w:id="10180" w:name="_Caption3094"/>
      <w:bookmarkStart w:id="10181" w:name="_Caption4791"/>
      <w:bookmarkStart w:id="10182" w:name="_Caption9148"/>
      <w:bookmarkStart w:id="10183" w:name="_Caption5838"/>
      <w:bookmarkStart w:id="10184" w:name="_Caption0345"/>
      <w:bookmarkStart w:id="10185" w:name="_Caption8320"/>
      <w:bookmarkStart w:id="10186" w:name="_Caption5894"/>
      <w:bookmarkStart w:id="10187" w:name="_Caption5343"/>
      <w:bookmarkStart w:id="10188" w:name="_Caption4731"/>
      <w:bookmarkStart w:id="10189" w:name="_Caption3845"/>
      <w:bookmarkStart w:id="10190" w:name="_Caption2409"/>
      <w:bookmarkStart w:id="10191" w:name="_Caption3220"/>
      <w:bookmarkStart w:id="10192" w:name="_Caption9292"/>
      <w:bookmarkStart w:id="10193" w:name="_Caption2232"/>
      <w:bookmarkStart w:id="10194" w:name="_Caption0306"/>
      <w:bookmarkStart w:id="10195" w:name="_Caption8205"/>
      <w:bookmarkStart w:id="10196" w:name="_Caption1770"/>
      <w:bookmarkStart w:id="10197" w:name="_Caption5917"/>
      <w:bookmarkStart w:id="10198" w:name="_Caption6053"/>
      <w:bookmarkStart w:id="10199" w:name="_Caption3459"/>
      <w:bookmarkStart w:id="10200" w:name="_Caption3570"/>
      <w:bookmarkStart w:id="10201" w:name="_Toc177735266"/>
      <w:bookmarkStart w:id="10202" w:name="_Toc178292708"/>
      <w:r w:rsidR="008C60A3">
        <w:rPr>
          <w:noProof/>
        </w:rPr>
        <w:t>H</w:t>
      </w:r>
      <w:r w:rsidR="008C60A3" w:rsidRPr="005E5FA8">
        <w:rPr>
          <w:noProof/>
        </w:rPr>
        <w:t>.</w:t>
      </w:r>
      <w:r w:rsidR="008C60A3">
        <w:rPr>
          <w:noProof/>
        </w:rPr>
        <w:t>16</w:t>
      </w:r>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r w:rsidRPr="005E5FA8">
        <w:fldChar w:fldCharType="end"/>
      </w:r>
      <w:r w:rsidRPr="005E5FA8">
        <w:tab/>
        <w:t>Stringency Level 2 estimated costs and benefits — C9A</w:t>
      </w:r>
      <w:bookmarkEnd w:id="10201"/>
      <w:bookmarkEnd w:id="10202"/>
    </w:p>
    <w:tbl>
      <w:tblPr>
        <w:tblW w:w="7936" w:type="dxa"/>
        <w:tblLayout w:type="fixed"/>
        <w:tblLook w:val="0000" w:firstRow="0" w:lastRow="0" w:firstColumn="0" w:lastColumn="0" w:noHBand="0" w:noVBand="0"/>
        <w:tblCaption w:val="Table G.16"/>
        <w:tblDescription w:val="Stringency Level 2 estimated costs and benefits — C9A"/>
      </w:tblPr>
      <w:tblGrid>
        <w:gridCol w:w="2627"/>
        <w:gridCol w:w="634"/>
        <w:gridCol w:w="693"/>
        <w:gridCol w:w="664"/>
        <w:gridCol w:w="663"/>
        <w:gridCol w:w="664"/>
        <w:gridCol w:w="664"/>
        <w:gridCol w:w="663"/>
        <w:gridCol w:w="664"/>
      </w:tblGrid>
      <w:tr w:rsidR="00D24C7F" w14:paraId="087A2C75" w14:textId="77777777">
        <w:trPr>
          <w:trHeight w:val="245"/>
          <w:tblHeader/>
        </w:trPr>
        <w:tc>
          <w:tcPr>
            <w:tcW w:w="2627" w:type="dxa"/>
            <w:shd w:val="clear" w:color="auto" w:fill="6F6652"/>
            <w:tcMar>
              <w:left w:w="57" w:type="dxa"/>
              <w:right w:w="57" w:type="dxa"/>
            </w:tcMar>
          </w:tcPr>
          <w:p w14:paraId="6DC54715" w14:textId="77777777" w:rsidR="00D24C7F" w:rsidRDefault="00D24C7F">
            <w:pPr>
              <w:pStyle w:val="TableDataColumnHeading"/>
              <w:jc w:val="left"/>
            </w:pPr>
            <w:r>
              <w:t>Impact</w:t>
            </w:r>
          </w:p>
        </w:tc>
        <w:tc>
          <w:tcPr>
            <w:tcW w:w="634" w:type="dxa"/>
            <w:shd w:val="clear" w:color="auto" w:fill="6F6652"/>
            <w:tcMar>
              <w:left w:w="57" w:type="dxa"/>
              <w:right w:w="57" w:type="dxa"/>
            </w:tcMar>
          </w:tcPr>
          <w:p w14:paraId="4444ED4F" w14:textId="77777777" w:rsidR="00D24C7F" w:rsidRDefault="00D24C7F">
            <w:pPr>
              <w:pStyle w:val="TableDataColumnHeading"/>
            </w:pPr>
            <w:r>
              <w:t>NSW (CZ5)</w:t>
            </w:r>
          </w:p>
          <w:p w14:paraId="2350D322" w14:textId="77777777" w:rsidR="00D24C7F" w:rsidRDefault="00D24C7F">
            <w:pPr>
              <w:pStyle w:val="TableDataColumnHeading"/>
            </w:pPr>
            <w:r>
              <w:t>$ per m2</w:t>
            </w:r>
          </w:p>
        </w:tc>
        <w:tc>
          <w:tcPr>
            <w:tcW w:w="693" w:type="dxa"/>
            <w:shd w:val="clear" w:color="auto" w:fill="6F6652"/>
            <w:tcMar>
              <w:left w:w="57" w:type="dxa"/>
              <w:right w:w="57" w:type="dxa"/>
            </w:tcMar>
          </w:tcPr>
          <w:p w14:paraId="6EC07440" w14:textId="77777777" w:rsidR="00D24C7F" w:rsidRDefault="00D24C7F">
            <w:pPr>
              <w:pStyle w:val="TableDataColumnHeading"/>
            </w:pPr>
            <w:r>
              <w:t>VIC (CZ6)</w:t>
            </w:r>
          </w:p>
          <w:p w14:paraId="68389E3A" w14:textId="77777777" w:rsidR="00D24C7F" w:rsidRDefault="00D24C7F">
            <w:pPr>
              <w:pStyle w:val="TableDataColumnHeading"/>
            </w:pPr>
            <w:r>
              <w:t>$ per m2</w:t>
            </w:r>
          </w:p>
        </w:tc>
        <w:tc>
          <w:tcPr>
            <w:tcW w:w="664" w:type="dxa"/>
            <w:shd w:val="clear" w:color="auto" w:fill="6F6652"/>
            <w:tcMar>
              <w:left w:w="57" w:type="dxa"/>
              <w:right w:w="57" w:type="dxa"/>
            </w:tcMar>
          </w:tcPr>
          <w:p w14:paraId="5F1B1553" w14:textId="77777777" w:rsidR="00D24C7F" w:rsidRDefault="00D24C7F">
            <w:pPr>
              <w:pStyle w:val="TableDataColumnHeading"/>
            </w:pPr>
            <w:r>
              <w:t>QLD (CZ2)</w:t>
            </w:r>
          </w:p>
          <w:p w14:paraId="2D0DED77" w14:textId="77777777" w:rsidR="00D24C7F" w:rsidRDefault="00D24C7F">
            <w:pPr>
              <w:pStyle w:val="TableDataColumnHeading"/>
            </w:pPr>
            <w:r>
              <w:t>$ per m2</w:t>
            </w:r>
          </w:p>
        </w:tc>
        <w:tc>
          <w:tcPr>
            <w:tcW w:w="663" w:type="dxa"/>
            <w:shd w:val="clear" w:color="auto" w:fill="6F6652"/>
            <w:tcMar>
              <w:left w:w="57" w:type="dxa"/>
              <w:right w:w="57" w:type="dxa"/>
            </w:tcMar>
          </w:tcPr>
          <w:p w14:paraId="0A5BBFAE" w14:textId="77777777" w:rsidR="00D24C7F" w:rsidRDefault="00D24C7F">
            <w:pPr>
              <w:pStyle w:val="TableDataColumnHeading"/>
            </w:pPr>
            <w:r>
              <w:t>WA (CZ5)</w:t>
            </w:r>
          </w:p>
          <w:p w14:paraId="7CD53AB1" w14:textId="77777777" w:rsidR="00D24C7F" w:rsidRDefault="00D24C7F">
            <w:pPr>
              <w:pStyle w:val="TableDataColumnHeading"/>
            </w:pPr>
            <w:r>
              <w:t>$ per m2</w:t>
            </w:r>
          </w:p>
        </w:tc>
        <w:tc>
          <w:tcPr>
            <w:tcW w:w="664" w:type="dxa"/>
            <w:shd w:val="clear" w:color="auto" w:fill="6F6652"/>
            <w:tcMar>
              <w:left w:w="57" w:type="dxa"/>
              <w:right w:w="57" w:type="dxa"/>
            </w:tcMar>
          </w:tcPr>
          <w:p w14:paraId="1B399941" w14:textId="77777777" w:rsidR="00D24C7F" w:rsidRDefault="00D24C7F">
            <w:pPr>
              <w:pStyle w:val="TableDataColumnHeading"/>
            </w:pPr>
            <w:r>
              <w:t>SA (CZ5)</w:t>
            </w:r>
          </w:p>
          <w:p w14:paraId="0BB91D52" w14:textId="77777777" w:rsidR="00D24C7F" w:rsidRDefault="00D24C7F">
            <w:pPr>
              <w:pStyle w:val="TableDataColumnHeading"/>
            </w:pPr>
            <w:r>
              <w:t>$ per m2</w:t>
            </w:r>
          </w:p>
        </w:tc>
        <w:tc>
          <w:tcPr>
            <w:tcW w:w="664" w:type="dxa"/>
            <w:shd w:val="clear" w:color="auto" w:fill="6F6652"/>
            <w:tcMar>
              <w:left w:w="57" w:type="dxa"/>
              <w:right w:w="57" w:type="dxa"/>
            </w:tcMar>
          </w:tcPr>
          <w:p w14:paraId="57A689EF" w14:textId="77777777" w:rsidR="00D24C7F" w:rsidRDefault="00D24C7F">
            <w:pPr>
              <w:pStyle w:val="TableDataColumnHeading"/>
            </w:pPr>
            <w:r>
              <w:t>TAS (CZ7)</w:t>
            </w:r>
          </w:p>
          <w:p w14:paraId="2B068A0A" w14:textId="77777777" w:rsidR="00D24C7F" w:rsidRDefault="00D24C7F">
            <w:pPr>
              <w:pStyle w:val="TableDataColumnHeading"/>
            </w:pPr>
            <w:r>
              <w:t>$ per m2</w:t>
            </w:r>
          </w:p>
        </w:tc>
        <w:tc>
          <w:tcPr>
            <w:tcW w:w="663" w:type="dxa"/>
            <w:shd w:val="clear" w:color="auto" w:fill="6F6652"/>
            <w:tcMar>
              <w:left w:w="57" w:type="dxa"/>
              <w:right w:w="57" w:type="dxa"/>
            </w:tcMar>
          </w:tcPr>
          <w:p w14:paraId="34EA70E8" w14:textId="77777777" w:rsidR="00D24C7F" w:rsidRDefault="00D24C7F">
            <w:pPr>
              <w:pStyle w:val="TableDataColumnHeading"/>
            </w:pPr>
            <w:r>
              <w:t>ACT (CZ7)</w:t>
            </w:r>
          </w:p>
          <w:p w14:paraId="20FA54DE" w14:textId="77777777" w:rsidR="00D24C7F" w:rsidRDefault="00D24C7F">
            <w:pPr>
              <w:pStyle w:val="TableDataColumnHeading"/>
            </w:pPr>
            <w:r>
              <w:t>$ per m2</w:t>
            </w:r>
          </w:p>
        </w:tc>
        <w:tc>
          <w:tcPr>
            <w:tcW w:w="664" w:type="dxa"/>
            <w:shd w:val="clear" w:color="auto" w:fill="6F6652"/>
            <w:tcMar>
              <w:left w:w="57" w:type="dxa"/>
              <w:right w:w="57" w:type="dxa"/>
            </w:tcMar>
          </w:tcPr>
          <w:p w14:paraId="3E96814B" w14:textId="77777777" w:rsidR="00D24C7F" w:rsidRDefault="00D24C7F">
            <w:pPr>
              <w:pStyle w:val="TableDataColumnHeading"/>
            </w:pPr>
            <w:r>
              <w:t>NT (CZ1)</w:t>
            </w:r>
          </w:p>
          <w:p w14:paraId="2EEB0060" w14:textId="77777777" w:rsidR="00D24C7F" w:rsidRDefault="00D24C7F">
            <w:pPr>
              <w:pStyle w:val="TableDataColumnHeading"/>
            </w:pPr>
            <w:r>
              <w:t>$ per m2</w:t>
            </w:r>
          </w:p>
        </w:tc>
      </w:tr>
      <w:tr w:rsidR="00D24C7F" w14:paraId="01897491"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084637" w14:textId="77777777" w:rsidR="00D24C7F" w:rsidRDefault="00D24C7F">
            <w:pPr>
              <w:pStyle w:val="TableDataEntries"/>
              <w:jc w:val="left"/>
            </w:pPr>
            <w:r>
              <w:t>Avoided electricity network capacity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27A9149" w14:textId="38750095" w:rsidR="00D24C7F" w:rsidRDefault="00D24C7F">
            <w:pPr>
              <w:pStyle w:val="TableDataEntries"/>
            </w:pPr>
            <w:r>
              <w:t>4.9</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324672C" w14:textId="6419F98C" w:rsidR="00D24C7F" w:rsidRDefault="00D24C7F">
            <w:pPr>
              <w:pStyle w:val="TableDataEntries"/>
            </w:pPr>
            <w:r>
              <w:t>2.4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96F207" w14:textId="0DAF29D1" w:rsidR="00D24C7F" w:rsidRDefault="00D24C7F">
            <w:pPr>
              <w:pStyle w:val="TableDataEntries"/>
            </w:pPr>
            <w:r>
              <w:t>3.2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CFD7B9" w14:textId="29314844" w:rsidR="00D24C7F" w:rsidRDefault="00D24C7F">
            <w:pPr>
              <w:pStyle w:val="TableDataEntries"/>
            </w:pPr>
            <w:r>
              <w:t>1.1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B93C499" w14:textId="4BB9BF80" w:rsidR="00D24C7F" w:rsidRDefault="00D24C7F">
            <w:pPr>
              <w:pStyle w:val="TableDataEntries"/>
            </w:pPr>
            <w:r>
              <w:t>2.9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EA0D1B" w14:textId="5087261A" w:rsidR="00D24C7F" w:rsidRDefault="00D24C7F">
            <w:pPr>
              <w:pStyle w:val="TableDataEntries"/>
            </w:pPr>
            <w:r>
              <w:t>5.6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4059164" w14:textId="49052BEE" w:rsidR="00D24C7F" w:rsidRDefault="00D24C7F">
            <w:pPr>
              <w:pStyle w:val="TableDataEntries"/>
            </w:pPr>
            <w:r>
              <w:t>3.2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4A74EDE" w14:textId="6BE9FDF3" w:rsidR="00D24C7F" w:rsidRDefault="00D24C7F">
            <w:pPr>
              <w:pStyle w:val="TableDataEntries"/>
            </w:pPr>
            <w:r>
              <w:t>7.1</w:t>
            </w:r>
          </w:p>
        </w:tc>
      </w:tr>
      <w:tr w:rsidR="00D24C7F" w14:paraId="2372A1E3"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14990F5" w14:textId="77777777" w:rsidR="00D24C7F" w:rsidRDefault="00D24C7F">
            <w:pPr>
              <w:pStyle w:val="TableDataEntries"/>
              <w:jc w:val="left"/>
            </w:pPr>
            <w:r>
              <w:t>Avoided electricity wholesale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4AB5E9" w14:textId="0E2A34A0" w:rsidR="00D24C7F" w:rsidRDefault="00D24C7F">
            <w:pPr>
              <w:pStyle w:val="TableDataEntries"/>
            </w:pPr>
            <w:r>
              <w:t>12.0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33185BF" w14:textId="7D666A35" w:rsidR="00D24C7F" w:rsidRDefault="00D24C7F">
            <w:pPr>
              <w:pStyle w:val="TableDataEntries"/>
            </w:pPr>
            <w:r>
              <w:t>5.0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E4C74E" w14:textId="3533C0F0" w:rsidR="00D24C7F" w:rsidRDefault="00D24C7F">
            <w:pPr>
              <w:pStyle w:val="TableDataEntries"/>
            </w:pPr>
            <w:r>
              <w:t>9.0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CBEC9CA" w14:textId="755CA946" w:rsidR="00D24C7F" w:rsidRDefault="00D24C7F">
            <w:pPr>
              <w:pStyle w:val="TableDataEntries"/>
            </w:pPr>
            <w:r>
              <w:t>7.9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5004AE" w14:textId="112C3BC8" w:rsidR="00D24C7F" w:rsidRDefault="00D24C7F">
            <w:pPr>
              <w:pStyle w:val="TableDataEntries"/>
            </w:pPr>
            <w:r>
              <w:t>8.8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D046D4" w14:textId="78DF27F3" w:rsidR="00D24C7F" w:rsidRDefault="00D24C7F">
            <w:pPr>
              <w:pStyle w:val="TableDataEntries"/>
            </w:pPr>
            <w:r>
              <w:t>6.0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739EEAA" w14:textId="10B5AE1C" w:rsidR="00D24C7F" w:rsidRDefault="00D24C7F">
            <w:pPr>
              <w:pStyle w:val="TableDataEntries"/>
            </w:pPr>
            <w:r>
              <w:t>6.5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4859359" w14:textId="02A4F507" w:rsidR="00D24C7F" w:rsidRDefault="00D24C7F">
            <w:pPr>
              <w:pStyle w:val="TableDataEntries"/>
            </w:pPr>
            <w:r>
              <w:t>35.5</w:t>
            </w:r>
          </w:p>
        </w:tc>
      </w:tr>
      <w:tr w:rsidR="00D24C7F" w14:paraId="4E919F21"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FB95229" w14:textId="77777777" w:rsidR="00D24C7F" w:rsidRDefault="00D24C7F">
            <w:pPr>
              <w:pStyle w:val="TableDataEntries"/>
              <w:jc w:val="left"/>
            </w:pPr>
            <w:r>
              <w:t>Avoided electricity network usage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91E0CA" w14:textId="1EDDE66B" w:rsidR="00D24C7F" w:rsidRDefault="00D24C7F">
            <w:pPr>
              <w:pStyle w:val="TableDataEntries"/>
            </w:pPr>
            <w:r>
              <w:t>7.1</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695C75" w14:textId="64206B7B" w:rsidR="00D24C7F" w:rsidRDefault="00D24C7F">
            <w:pPr>
              <w:pStyle w:val="TableDataEntries"/>
            </w:pPr>
            <w:r>
              <w:t>6.2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B0CBB62" w14:textId="7F4A2730" w:rsidR="00D24C7F" w:rsidRDefault="00D24C7F">
            <w:pPr>
              <w:pStyle w:val="TableDataEntries"/>
            </w:pPr>
            <w:r>
              <w:t>5.9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7D985C" w14:textId="3996D365" w:rsidR="00D24C7F" w:rsidRDefault="00D24C7F">
            <w:pPr>
              <w:pStyle w:val="TableDataEntries"/>
            </w:pPr>
            <w:r>
              <w:t>17.5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74AE1B5" w14:textId="19429174" w:rsidR="00D24C7F" w:rsidRDefault="00D24C7F">
            <w:pPr>
              <w:pStyle w:val="TableDataEntries"/>
            </w:pPr>
            <w:r>
              <w:t>19.7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C19FE4" w14:textId="1624D1B4" w:rsidR="00D24C7F" w:rsidRDefault="00D24C7F">
            <w:pPr>
              <w:pStyle w:val="TableDataEntries"/>
            </w:pPr>
            <w:r>
              <w:t>11.3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1FBE13" w14:textId="5B8E543E" w:rsidR="00D24C7F" w:rsidRDefault="00D24C7F">
            <w:pPr>
              <w:pStyle w:val="TableDataEntries"/>
            </w:pPr>
            <w:r>
              <w:t>6.4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CBCD59" w14:textId="608F0EF2" w:rsidR="00D24C7F" w:rsidRDefault="00D24C7F">
            <w:pPr>
              <w:pStyle w:val="TableDataEntries"/>
            </w:pPr>
            <w:r>
              <w:t>18.9</w:t>
            </w:r>
          </w:p>
        </w:tc>
      </w:tr>
      <w:tr w:rsidR="00D24C7F" w14:paraId="79C59E46"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929FFC" w14:textId="77777777" w:rsidR="00D24C7F" w:rsidRDefault="00D24C7F">
            <w:pPr>
              <w:pStyle w:val="TableDataEntries"/>
              <w:jc w:val="left"/>
            </w:pPr>
            <w:r>
              <w:t>Avoided electricity retail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B106F12" w14:textId="25C946DB" w:rsidR="00D24C7F" w:rsidRDefault="00D24C7F">
            <w:pPr>
              <w:pStyle w:val="TableDataEntries"/>
            </w:pPr>
            <w:r>
              <w:t>3.6</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81EE49" w14:textId="3E21C2DE" w:rsidR="00D24C7F" w:rsidRDefault="00D24C7F">
            <w:pPr>
              <w:pStyle w:val="TableDataEntries"/>
            </w:pPr>
            <w:r>
              <w:t>2.0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9F6453" w14:textId="45690C95" w:rsidR="00D24C7F" w:rsidRDefault="00D24C7F">
            <w:pPr>
              <w:pStyle w:val="TableDataEntries"/>
            </w:pPr>
            <w:r>
              <w:t>2.7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4D89D17" w14:textId="323FB248" w:rsidR="00D24C7F" w:rsidRDefault="00D24C7F">
            <w:pPr>
              <w:pStyle w:val="TableDataEntries"/>
            </w:pPr>
            <w:r>
              <w:t>4.0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0F6C80" w14:textId="3D28C427" w:rsidR="00D24C7F" w:rsidRDefault="00D24C7F">
            <w:pPr>
              <w:pStyle w:val="TableDataEntries"/>
            </w:pPr>
            <w:r>
              <w:t>4.7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BC2289E" w14:textId="12FF151F" w:rsidR="00D24C7F" w:rsidRDefault="00D24C7F">
            <w:pPr>
              <w:pStyle w:val="TableDataEntries"/>
            </w:pPr>
            <w:r>
              <w:t>3.4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9CFF21" w14:textId="6F0EAE22" w:rsidR="00D24C7F" w:rsidRDefault="00D24C7F">
            <w:pPr>
              <w:pStyle w:val="TableDataEntries"/>
            </w:pPr>
            <w:r>
              <w:t>2.4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BF464A3" w14:textId="7BE26816" w:rsidR="00D24C7F" w:rsidRDefault="00D24C7F">
            <w:pPr>
              <w:pStyle w:val="TableDataEntries"/>
            </w:pPr>
            <w:r>
              <w:t>9.2</w:t>
            </w:r>
          </w:p>
        </w:tc>
      </w:tr>
      <w:tr w:rsidR="00D24C7F" w14:paraId="212DE683"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D55D433" w14:textId="77777777" w:rsidR="00D24C7F" w:rsidRDefault="00D24C7F">
            <w:pPr>
              <w:pStyle w:val="TableDataEntries"/>
              <w:jc w:val="left"/>
            </w:pPr>
            <w:r>
              <w:t>Electricity exported to grid</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0BA6A3D" w14:textId="5FB6A9C4" w:rsidR="00D24C7F" w:rsidRDefault="00D24C7F">
            <w:pPr>
              <w:pStyle w:val="TableDataEntries"/>
            </w:pPr>
            <w:r>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8A8B77" w14:textId="5B044460"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0151DE2" w14:textId="59D29383"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285625" w14:textId="713970F1"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77DAAA1" w14:textId="2285C8F8"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B078627" w14:textId="7BF395DF"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B271B0" w14:textId="2E2C78B0"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C05FF3" w14:textId="67237F51" w:rsidR="00D24C7F" w:rsidRDefault="00D24C7F">
            <w:pPr>
              <w:pStyle w:val="TableDataEntries"/>
            </w:pPr>
            <w:r>
              <w:t>0.0</w:t>
            </w:r>
          </w:p>
        </w:tc>
      </w:tr>
      <w:tr w:rsidR="00D24C7F" w14:paraId="414BDD75"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8F10561" w14:textId="77777777" w:rsidR="00D24C7F" w:rsidRDefault="00D24C7F">
            <w:pPr>
              <w:pStyle w:val="TableDataEntries"/>
              <w:jc w:val="left"/>
            </w:pPr>
            <w:r>
              <w:t>Electricity exports — network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68599E" w14:textId="1E9BE5DA" w:rsidR="00D24C7F" w:rsidRDefault="00D24C7F">
            <w:pPr>
              <w:pStyle w:val="TableDataEntries"/>
            </w:pPr>
            <w:r>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42D426" w14:textId="36299BD3"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D16FCD" w14:textId="754E142B"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BAD594" w14:textId="7F4DAECF"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8A05AE4" w14:textId="226B4ED2"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CBCBA5" w14:textId="7A68229F"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7506B95" w14:textId="47B32612"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33C09AC" w14:textId="2537C452" w:rsidR="00D24C7F" w:rsidRDefault="00D24C7F">
            <w:pPr>
              <w:pStyle w:val="TableDataEntries"/>
            </w:pPr>
            <w:r>
              <w:t>0.0</w:t>
            </w:r>
          </w:p>
        </w:tc>
      </w:tr>
      <w:tr w:rsidR="00D24C7F" w14:paraId="2DE99F59"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7BA068" w14:textId="77777777" w:rsidR="00D24C7F" w:rsidRDefault="00D24C7F">
            <w:pPr>
              <w:pStyle w:val="TableDataEntries"/>
              <w:jc w:val="left"/>
            </w:pPr>
            <w:r>
              <w:t>Avoided gas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FC57386" w14:textId="4BB112CB" w:rsidR="00D24C7F" w:rsidRDefault="00D24C7F">
            <w:pPr>
              <w:pStyle w:val="TableDataEntries"/>
            </w:pPr>
            <w:r>
              <w:t>-0.6</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4EDA8EE" w14:textId="7DD78EBC" w:rsidR="00D24C7F" w:rsidRDefault="00D24C7F">
            <w:pPr>
              <w:pStyle w:val="TableDataEntries"/>
            </w:pPr>
            <w:r>
              <w:t>-1.9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7696B7" w14:textId="7BAE4347" w:rsidR="00D24C7F" w:rsidRDefault="00D24C7F">
            <w:pPr>
              <w:pStyle w:val="TableDataEntries"/>
            </w:pPr>
            <w:r>
              <w:t>-0.1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80C5D1" w14:textId="351F7C24" w:rsidR="00D24C7F" w:rsidRDefault="00D24C7F">
            <w:pPr>
              <w:pStyle w:val="TableDataEntries"/>
            </w:pPr>
            <w:r>
              <w:t>-0.6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31CCE1" w14:textId="1CD61BBA" w:rsidR="00D24C7F" w:rsidRDefault="00D24C7F">
            <w:pPr>
              <w:pStyle w:val="TableDataEntries"/>
            </w:pPr>
            <w:r>
              <w:t>-0.6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8D8112" w14:textId="5E84E008" w:rsidR="00D24C7F" w:rsidRDefault="00D24C7F">
            <w:pPr>
              <w:pStyle w:val="TableDataEntries"/>
            </w:pPr>
            <w:r>
              <w:t>-2.2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9D6542" w14:textId="777A2DA1" w:rsidR="00D24C7F" w:rsidRDefault="00D24C7F">
            <w:pPr>
              <w:pStyle w:val="TableDataEntries"/>
            </w:pPr>
            <w:r>
              <w:t>-1.5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427E07" w14:textId="0EE0B49B" w:rsidR="00D24C7F" w:rsidRDefault="00D24C7F">
            <w:pPr>
              <w:pStyle w:val="TableDataEntries"/>
            </w:pPr>
            <w:r>
              <w:t>0.0</w:t>
            </w:r>
          </w:p>
        </w:tc>
      </w:tr>
      <w:tr w:rsidR="00D24C7F" w14:paraId="0989F30B"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692D3C6" w14:textId="77777777" w:rsidR="00D24C7F" w:rsidRDefault="00D24C7F">
            <w:pPr>
              <w:pStyle w:val="TableDataEntries"/>
              <w:jc w:val="left"/>
            </w:pPr>
            <w:r>
              <w:t>Avoided GHG emissions –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9D346D7" w14:textId="2D976818" w:rsidR="00D24C7F" w:rsidRDefault="00D24C7F">
            <w:pPr>
              <w:pStyle w:val="TableDataEntries"/>
            </w:pPr>
            <w:r>
              <w:t>7.0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951A64F" w14:textId="0CF82E64" w:rsidR="00D24C7F" w:rsidRDefault="00D24C7F">
            <w:pPr>
              <w:pStyle w:val="TableDataEntries"/>
            </w:pPr>
            <w:r>
              <w:t>6.0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C65F673" w14:textId="4CC3ED76" w:rsidR="00D24C7F" w:rsidRDefault="00D24C7F">
            <w:pPr>
              <w:pStyle w:val="TableDataEntries"/>
            </w:pPr>
            <w:r>
              <w:t>15.2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AC53C6" w14:textId="3E2EB80E" w:rsidR="00D24C7F" w:rsidRDefault="00D24C7F">
            <w:pPr>
              <w:pStyle w:val="TableDataEntries"/>
            </w:pPr>
            <w:r>
              <w:t>10.3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4169D08" w14:textId="3CA3FF37" w:rsidR="00D24C7F" w:rsidRDefault="00D24C7F">
            <w:pPr>
              <w:pStyle w:val="TableDataEntries"/>
            </w:pPr>
            <w:r>
              <w:t>7.5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2932E66" w14:textId="02D8CC64" w:rsidR="00D24C7F" w:rsidRDefault="00D24C7F">
            <w:pPr>
              <w:pStyle w:val="TableDataEntries"/>
            </w:pPr>
            <w:r>
              <w:t>0.6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67C784" w14:textId="0CEC07D4" w:rsidR="00D24C7F" w:rsidRDefault="00D24C7F">
            <w:pPr>
              <w:pStyle w:val="TableDataEntries"/>
            </w:pPr>
            <w:r>
              <w:t>3.8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5DB8DE" w14:textId="3254B8CD" w:rsidR="00D24C7F" w:rsidRDefault="00D24C7F">
            <w:pPr>
              <w:pStyle w:val="TableDataEntries"/>
            </w:pPr>
            <w:r>
              <w:t>33.5</w:t>
            </w:r>
          </w:p>
        </w:tc>
      </w:tr>
      <w:tr w:rsidR="00D24C7F" w14:paraId="5DD1BB96"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C3DB109" w14:textId="77777777" w:rsidR="00D24C7F" w:rsidRDefault="00D24C7F">
            <w:pPr>
              <w:pStyle w:val="TableDataEntries"/>
              <w:jc w:val="left"/>
            </w:pPr>
            <w:r>
              <w:t>Avoided GHG emissions – exported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BD570C" w14:textId="4973F68E" w:rsidR="00D24C7F" w:rsidRDefault="00D24C7F">
            <w:pPr>
              <w:pStyle w:val="TableDataEntries"/>
            </w:pPr>
            <w:r>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C14AB7" w14:textId="591095E8"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15C22C7" w14:textId="679DB9F1"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6AEED08" w14:textId="17EE9C7B"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C82359" w14:textId="6CF580ED"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C00F1A8" w14:textId="77A97CB9"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B43C28D" w14:textId="1A69DC96"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18B7344" w14:textId="37E93400" w:rsidR="00D24C7F" w:rsidRDefault="00D24C7F">
            <w:pPr>
              <w:pStyle w:val="TableDataEntries"/>
            </w:pPr>
            <w:r>
              <w:t>0.0</w:t>
            </w:r>
          </w:p>
        </w:tc>
      </w:tr>
      <w:tr w:rsidR="00D24C7F" w14:paraId="082354DC"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165910" w14:textId="77777777" w:rsidR="00D24C7F" w:rsidRDefault="00D24C7F">
            <w:pPr>
              <w:pStyle w:val="TableDataEntries"/>
              <w:jc w:val="left"/>
            </w:pPr>
            <w:r>
              <w:t>Avoided GHG emissions – gas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638B83" w14:textId="32ABA860" w:rsidR="00D24C7F" w:rsidRDefault="00D24C7F">
            <w:pPr>
              <w:pStyle w:val="TableDataEntries"/>
            </w:pPr>
            <w:r>
              <w:t>-1.2</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BEBEC1F" w14:textId="5A5996F0" w:rsidR="00D24C7F" w:rsidRDefault="00D24C7F">
            <w:pPr>
              <w:pStyle w:val="TableDataEntries"/>
            </w:pPr>
            <w:r>
              <w:t>-3.2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4CE1855" w14:textId="38B0D38B" w:rsidR="00D24C7F" w:rsidRDefault="00D24C7F">
            <w:pPr>
              <w:pStyle w:val="TableDataEntries"/>
            </w:pPr>
            <w:r>
              <w:t>-0.1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886220" w14:textId="71539B16" w:rsidR="00D24C7F" w:rsidRDefault="00D24C7F">
            <w:pPr>
              <w:pStyle w:val="TableDataEntries"/>
            </w:pPr>
            <w:r>
              <w:t>-1.0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29392C" w14:textId="30454DFD" w:rsidR="00D24C7F" w:rsidRDefault="00D24C7F">
            <w:pPr>
              <w:pStyle w:val="TableDataEntries"/>
            </w:pPr>
            <w:r>
              <w:t>-1.2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08314C4" w14:textId="049EB3AA" w:rsidR="00D24C7F" w:rsidRDefault="00D24C7F">
            <w:pPr>
              <w:pStyle w:val="TableDataEntries"/>
            </w:pPr>
            <w:r>
              <w:t>-2.7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C07D7E" w14:textId="7AB9EF96" w:rsidR="00D24C7F" w:rsidRDefault="00D24C7F">
            <w:pPr>
              <w:pStyle w:val="TableDataEntries"/>
            </w:pPr>
            <w:r>
              <w:t>-3.2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9B1FE5" w14:textId="2C3D86EE" w:rsidR="00D24C7F" w:rsidRDefault="00D24C7F">
            <w:pPr>
              <w:pStyle w:val="TableDataEntries"/>
            </w:pPr>
            <w:r>
              <w:t>0.0</w:t>
            </w:r>
          </w:p>
        </w:tc>
      </w:tr>
      <w:tr w:rsidR="00D24C7F" w14:paraId="6DF8320D"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7B2608" w14:textId="77777777" w:rsidR="00D24C7F" w:rsidRDefault="00D24C7F">
            <w:pPr>
              <w:pStyle w:val="TableDataEntries"/>
              <w:jc w:val="left"/>
            </w:pPr>
            <w:r>
              <w:t>Capital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56EDDE4" w14:textId="51E5A1A2" w:rsidR="00D24C7F" w:rsidRDefault="00D24C7F">
            <w:pPr>
              <w:pStyle w:val="TableDataEntries"/>
            </w:pPr>
            <w:r>
              <w:t>-7.3</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9435DA0" w14:textId="72551563" w:rsidR="00D24C7F" w:rsidRDefault="00D24C7F">
            <w:pPr>
              <w:pStyle w:val="TableDataEntries"/>
            </w:pPr>
            <w:r>
              <w:t>-6.5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86BAF3F" w14:textId="550C0C56" w:rsidR="00D24C7F" w:rsidRDefault="00D24C7F">
            <w:pPr>
              <w:pStyle w:val="TableDataEntries"/>
            </w:pPr>
            <w:r>
              <w:t>-9.8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2EE1D9" w14:textId="6378BB6E" w:rsidR="00D24C7F" w:rsidRDefault="00D24C7F">
            <w:pPr>
              <w:pStyle w:val="TableDataEntries"/>
            </w:pPr>
            <w:r>
              <w:t>-7.3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9B1321" w14:textId="137E794A" w:rsidR="00D24C7F" w:rsidRDefault="00D24C7F">
            <w:pPr>
              <w:pStyle w:val="TableDataEntries"/>
            </w:pPr>
            <w:r>
              <w:t>-7.3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39B5E6" w14:textId="71820564" w:rsidR="00D24C7F" w:rsidRDefault="00D24C7F">
            <w:pPr>
              <w:pStyle w:val="TableDataEntries"/>
            </w:pPr>
            <w:r>
              <w:t>-6.8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0041B63" w14:textId="70728F12" w:rsidR="00D24C7F" w:rsidRDefault="00D24C7F">
            <w:pPr>
              <w:pStyle w:val="TableDataEntries"/>
            </w:pPr>
            <w:r>
              <w:t>-6.8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9B6ED9" w14:textId="4E0E5266" w:rsidR="00D24C7F" w:rsidRDefault="00D24C7F">
            <w:pPr>
              <w:pStyle w:val="TableDataEntries"/>
            </w:pPr>
            <w:r>
              <w:t>-9.7</w:t>
            </w:r>
          </w:p>
        </w:tc>
      </w:tr>
      <w:tr w:rsidR="00D24C7F" w:rsidRPr="00971FA4" w14:paraId="2B55887E" w14:textId="77777777">
        <w:trPr>
          <w:trHeight w:val="245"/>
        </w:trPr>
        <w:tc>
          <w:tcPr>
            <w:tcW w:w="2627"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5A517E7" w14:textId="77777777" w:rsidR="00D24C7F" w:rsidRPr="00971FA4" w:rsidRDefault="00D24C7F">
            <w:pPr>
              <w:pStyle w:val="TableDataEntries"/>
              <w:jc w:val="left"/>
              <w:rPr>
                <w:rFonts w:ascii="Franklin Gothic Demi" w:hAnsi="Franklin Gothic Demi"/>
              </w:rPr>
            </w:pPr>
            <w:r w:rsidRPr="00971FA4">
              <w:rPr>
                <w:rFonts w:ascii="Franklin Gothic Demi" w:hAnsi="Franklin Gothic Demi"/>
              </w:rPr>
              <w:t>Total</w:t>
            </w:r>
          </w:p>
        </w:tc>
        <w:tc>
          <w:tcPr>
            <w:tcW w:w="63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992EA70" w14:textId="2DB4426A" w:rsidR="00D24C7F" w:rsidRPr="00971FA4" w:rsidRDefault="00D24C7F">
            <w:pPr>
              <w:pStyle w:val="TableDataEntries"/>
              <w:rPr>
                <w:rFonts w:ascii="Franklin Gothic Demi" w:hAnsi="Franklin Gothic Demi"/>
              </w:rPr>
            </w:pPr>
            <w:r w:rsidRPr="00971FA4">
              <w:rPr>
                <w:rFonts w:ascii="Franklin Gothic Demi" w:hAnsi="Franklin Gothic Demi"/>
              </w:rPr>
              <w:t>25.5</w:t>
            </w:r>
          </w:p>
        </w:tc>
        <w:tc>
          <w:tcPr>
            <w:tcW w:w="69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4388548" w14:textId="69FFB0AE" w:rsidR="00D24C7F" w:rsidRPr="00971FA4" w:rsidRDefault="00D24C7F">
            <w:pPr>
              <w:pStyle w:val="TableDataEntries"/>
              <w:rPr>
                <w:rFonts w:ascii="Franklin Gothic Demi" w:hAnsi="Franklin Gothic Demi"/>
              </w:rPr>
            </w:pPr>
            <w:r w:rsidRPr="00971FA4">
              <w:rPr>
                <w:rFonts w:ascii="Franklin Gothic Demi" w:hAnsi="Franklin Gothic Demi"/>
              </w:rPr>
              <w:t>10.0</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75DF6A4" w14:textId="1095F06E" w:rsidR="00D24C7F" w:rsidRPr="00971FA4" w:rsidRDefault="00D24C7F">
            <w:pPr>
              <w:pStyle w:val="TableDataEntries"/>
              <w:rPr>
                <w:rFonts w:ascii="Franklin Gothic Demi" w:hAnsi="Franklin Gothic Demi"/>
              </w:rPr>
            </w:pPr>
            <w:r w:rsidRPr="00971FA4">
              <w:rPr>
                <w:rFonts w:ascii="Franklin Gothic Demi" w:hAnsi="Franklin Gothic Demi"/>
              </w:rPr>
              <w:t>26.0</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ACBE977" w14:textId="112DE247" w:rsidR="00D24C7F" w:rsidRPr="00971FA4" w:rsidRDefault="00D24C7F">
            <w:pPr>
              <w:pStyle w:val="TableDataEntries"/>
              <w:rPr>
                <w:rFonts w:ascii="Franklin Gothic Demi" w:hAnsi="Franklin Gothic Demi"/>
              </w:rPr>
            </w:pPr>
            <w:r w:rsidRPr="00971FA4">
              <w:rPr>
                <w:rFonts w:ascii="Franklin Gothic Demi" w:hAnsi="Franklin Gothic Demi"/>
              </w:rPr>
              <w:t>31.8</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BC845B0" w14:textId="64C3B115" w:rsidR="00D24C7F" w:rsidRPr="00971FA4" w:rsidRDefault="00D24C7F">
            <w:pPr>
              <w:pStyle w:val="TableDataEntries"/>
              <w:rPr>
                <w:rFonts w:ascii="Franklin Gothic Demi" w:hAnsi="Franklin Gothic Demi"/>
              </w:rPr>
            </w:pPr>
            <w:r w:rsidRPr="00971FA4">
              <w:rPr>
                <w:rFonts w:ascii="Franklin Gothic Demi" w:hAnsi="Franklin Gothic Demi"/>
              </w:rPr>
              <w:t>34.5</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D26210A" w14:textId="76CDA13F" w:rsidR="00D24C7F" w:rsidRPr="00971FA4" w:rsidRDefault="00D24C7F">
            <w:pPr>
              <w:pStyle w:val="TableDataEntries"/>
              <w:rPr>
                <w:rFonts w:ascii="Franklin Gothic Demi" w:hAnsi="Franklin Gothic Demi"/>
              </w:rPr>
            </w:pPr>
            <w:r w:rsidRPr="00971FA4">
              <w:rPr>
                <w:rFonts w:ascii="Franklin Gothic Demi" w:hAnsi="Franklin Gothic Demi"/>
              </w:rPr>
              <w:t>15.3</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ACE6DFF" w14:textId="7970E696" w:rsidR="00D24C7F" w:rsidRPr="00971FA4" w:rsidRDefault="00D24C7F">
            <w:pPr>
              <w:pStyle w:val="TableDataEntries"/>
              <w:rPr>
                <w:rFonts w:ascii="Franklin Gothic Demi" w:hAnsi="Franklin Gothic Demi"/>
              </w:rPr>
            </w:pPr>
            <w:r w:rsidRPr="00971FA4">
              <w:rPr>
                <w:rFonts w:ascii="Franklin Gothic Demi" w:hAnsi="Franklin Gothic Demi"/>
              </w:rPr>
              <w:t>10.9</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C5EC919" w14:textId="094E7E58" w:rsidR="00D24C7F" w:rsidRPr="00971FA4" w:rsidRDefault="00D24C7F">
            <w:pPr>
              <w:pStyle w:val="TableDataEntries"/>
              <w:rPr>
                <w:rFonts w:ascii="Franklin Gothic Demi" w:hAnsi="Franklin Gothic Demi"/>
              </w:rPr>
            </w:pPr>
            <w:r w:rsidRPr="00971FA4">
              <w:rPr>
                <w:rFonts w:ascii="Franklin Gothic Demi" w:hAnsi="Franklin Gothic Demi"/>
              </w:rPr>
              <w:t>94.4</w:t>
            </w:r>
          </w:p>
        </w:tc>
      </w:tr>
    </w:tbl>
    <w:p w14:paraId="0B621D66" w14:textId="77777777" w:rsidR="00D24C7F" w:rsidRDefault="00D24C7F" w:rsidP="00D24C7F">
      <w:pPr>
        <w:pStyle w:val="Note"/>
      </w:pPr>
      <w:r w:rsidRPr="007D1B4F">
        <w:rPr>
          <w:i/>
        </w:rPr>
        <w:t>Note:</w:t>
      </w:r>
      <w:r w:rsidRPr="00E879B8">
        <w:t xml:space="preserve"> </w:t>
      </w:r>
      <w:r>
        <w:t>Costs and benefits estimated in present value terms over the 50</w:t>
      </w:r>
      <w:r>
        <w:noBreakHyphen/>
        <w:t xml:space="preserve">year life of a building constructed in 2025, using a discount rate of 5 per cent. </w:t>
      </w:r>
    </w:p>
    <w:p w14:paraId="4E0E7A71" w14:textId="77777777" w:rsidR="00D24C7F" w:rsidRDefault="00D24C7F" w:rsidP="00D24C7F">
      <w:pPr>
        <w:pStyle w:val="Source"/>
      </w:pPr>
      <w:r>
        <w:rPr>
          <w:i/>
        </w:rPr>
        <w:t>Source</w:t>
      </w:r>
      <w:r w:rsidRPr="00E4232C">
        <w:rPr>
          <w:i/>
        </w:rPr>
        <w:t>:</w:t>
      </w:r>
      <w:r>
        <w:t xml:space="preserve"> CIE based on DeltaQ modelling.</w:t>
      </w:r>
    </w:p>
    <w:p w14:paraId="1C7C1739" w14:textId="7E5FC4AF" w:rsidR="00D24C7F" w:rsidRPr="005E5FA8" w:rsidRDefault="00D24C7F" w:rsidP="00D24C7F">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w:instrText>
      </w:r>
      <w:fldSimple w:instr=" STYLEREF &quot;Heading 1&quot; \l \n ">
        <w:r w:rsidRPr="005E5FA8">
          <w:instrText>2</w:instrText>
        </w:r>
      </w:fldSimple>
      <w:r w:rsidRPr="005E5FA8">
        <w:instrText xml:space="preserve">." </w:instrText>
      </w:r>
      <w:r w:rsidRPr="005E5FA8">
        <w:fldChar w:fldCharType="end"/>
      </w:r>
      <w:r w:rsidRPr="005E5FA8">
        <w:instrText>" "</w:instrText>
      </w:r>
      <w:fldSimple w:instr=" STYLEREF &quot;Heading 6&quot; \l \n ">
        <w:r w:rsidR="00581346">
          <w:rPr>
            <w:noProof/>
          </w:rPr>
          <w:instrText>H</w:instrText>
        </w:r>
      </w:fldSimple>
      <w:r w:rsidRPr="005E5FA8">
        <w:instrText xml:space="preserve">." </w:instrText>
      </w:r>
      <w:r w:rsidRPr="005E5FA8">
        <w:fldChar w:fldCharType="separate"/>
      </w:r>
      <w:r w:rsidR="00581346">
        <w:rPr>
          <w:noProof/>
        </w:rPr>
        <w:instrText>H</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"1" </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17</w:instrText>
      </w:r>
      <w:r w:rsidRPr="005E5FA8">
        <w:fldChar w:fldCharType="end"/>
      </w:r>
      <w:r w:rsidRPr="005E5FA8">
        <w:instrText xml:space="preserve">" "" </w:instrText>
      </w:r>
      <w:r w:rsidRPr="005E5FA8">
        <w:fldChar w:fldCharType="separate"/>
      </w:r>
      <w:bookmarkStart w:id="10203" w:name="_Caption1310"/>
      <w:bookmarkStart w:id="10204" w:name="_Caption7907"/>
      <w:bookmarkStart w:id="10205" w:name="_Caption9838"/>
      <w:bookmarkStart w:id="10206" w:name="_Caption5479"/>
      <w:bookmarkStart w:id="10207" w:name="_Caption3040"/>
      <w:bookmarkStart w:id="10208" w:name="_Caption4678"/>
      <w:bookmarkStart w:id="10209" w:name="_Caption9306"/>
      <w:bookmarkStart w:id="10210" w:name="_Caption9793"/>
      <w:bookmarkStart w:id="10211" w:name="_Caption0426"/>
      <w:bookmarkStart w:id="10212" w:name="_Caption0789"/>
      <w:bookmarkStart w:id="10213" w:name="_Caption8961"/>
      <w:bookmarkStart w:id="10214" w:name="_Caption5949"/>
      <w:bookmarkStart w:id="10215" w:name="_Caption0198"/>
      <w:bookmarkStart w:id="10216" w:name="_Caption1499"/>
      <w:bookmarkStart w:id="10217" w:name="_Caption4622"/>
      <w:bookmarkStart w:id="10218" w:name="_Caption7494"/>
      <w:bookmarkStart w:id="10219" w:name="_Caption2181"/>
      <w:bookmarkStart w:id="10220" w:name="_Caption4323"/>
      <w:bookmarkStart w:id="10221" w:name="_Caption4398"/>
      <w:bookmarkStart w:id="10222" w:name="_Caption9583"/>
      <w:bookmarkStart w:id="10223" w:name="_Caption5216"/>
      <w:bookmarkStart w:id="10224" w:name="_Caption2070"/>
      <w:bookmarkStart w:id="10225" w:name="_Caption3201"/>
      <w:bookmarkStart w:id="10226" w:name="_Caption5128"/>
      <w:bookmarkStart w:id="10227" w:name="_Caption8362"/>
      <w:bookmarkStart w:id="10228" w:name="_Caption3744"/>
      <w:bookmarkStart w:id="10229" w:name="_Caption7346"/>
      <w:bookmarkStart w:id="10230" w:name="_Caption1596"/>
      <w:bookmarkStart w:id="10231" w:name="_Caption8247"/>
      <w:bookmarkStart w:id="10232" w:name="_Caption0657"/>
      <w:bookmarkStart w:id="10233" w:name="_Toc177735267"/>
      <w:bookmarkStart w:id="10234" w:name="_Toc178292709"/>
      <w:r w:rsidR="008C60A3">
        <w:rPr>
          <w:noProof/>
        </w:rPr>
        <w:t>H</w:t>
      </w:r>
      <w:r w:rsidR="008C60A3" w:rsidRPr="005E5FA8">
        <w:rPr>
          <w:noProof/>
        </w:rPr>
        <w:t>.</w:t>
      </w:r>
      <w:r w:rsidR="008C60A3">
        <w:rPr>
          <w:noProof/>
        </w:rPr>
        <w:t>17</w:t>
      </w:r>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r w:rsidRPr="005E5FA8">
        <w:fldChar w:fldCharType="end"/>
      </w:r>
      <w:r w:rsidRPr="005E5FA8">
        <w:tab/>
        <w:t>Stringency Level 2 estimated costs and benefits — C9B</w:t>
      </w:r>
      <w:bookmarkEnd w:id="10233"/>
      <w:bookmarkEnd w:id="10234"/>
    </w:p>
    <w:tbl>
      <w:tblPr>
        <w:tblW w:w="7936" w:type="dxa"/>
        <w:tblLayout w:type="fixed"/>
        <w:tblLook w:val="0000" w:firstRow="0" w:lastRow="0" w:firstColumn="0" w:lastColumn="0" w:noHBand="0" w:noVBand="0"/>
        <w:tblCaption w:val="Table G.17"/>
        <w:tblDescription w:val="Stringency Level 2 estimated costs and benefits — C9B"/>
      </w:tblPr>
      <w:tblGrid>
        <w:gridCol w:w="2627"/>
        <w:gridCol w:w="634"/>
        <w:gridCol w:w="693"/>
        <w:gridCol w:w="664"/>
        <w:gridCol w:w="663"/>
        <w:gridCol w:w="664"/>
        <w:gridCol w:w="664"/>
        <w:gridCol w:w="663"/>
        <w:gridCol w:w="664"/>
      </w:tblGrid>
      <w:tr w:rsidR="00D24C7F" w14:paraId="698B2BA4" w14:textId="77777777">
        <w:trPr>
          <w:trHeight w:val="245"/>
          <w:tblHeader/>
        </w:trPr>
        <w:tc>
          <w:tcPr>
            <w:tcW w:w="2627" w:type="dxa"/>
            <w:shd w:val="clear" w:color="auto" w:fill="6F6652"/>
            <w:tcMar>
              <w:left w:w="57" w:type="dxa"/>
              <w:right w:w="57" w:type="dxa"/>
            </w:tcMar>
          </w:tcPr>
          <w:p w14:paraId="5F9394D6" w14:textId="77777777" w:rsidR="00D24C7F" w:rsidRDefault="00D24C7F">
            <w:pPr>
              <w:pStyle w:val="TableDataColumnHeading"/>
              <w:jc w:val="left"/>
            </w:pPr>
            <w:r>
              <w:t>Impact</w:t>
            </w:r>
          </w:p>
        </w:tc>
        <w:tc>
          <w:tcPr>
            <w:tcW w:w="634" w:type="dxa"/>
            <w:shd w:val="clear" w:color="auto" w:fill="6F6652"/>
            <w:tcMar>
              <w:left w:w="57" w:type="dxa"/>
              <w:right w:w="57" w:type="dxa"/>
            </w:tcMar>
          </w:tcPr>
          <w:p w14:paraId="3BC1B93F" w14:textId="77777777" w:rsidR="00D24C7F" w:rsidRDefault="00D24C7F">
            <w:pPr>
              <w:pStyle w:val="TableDataColumnHeading"/>
            </w:pPr>
            <w:r>
              <w:t>NSW (CZ5)</w:t>
            </w:r>
          </w:p>
          <w:p w14:paraId="11EC881F" w14:textId="77777777" w:rsidR="00D24C7F" w:rsidRDefault="00D24C7F">
            <w:pPr>
              <w:pStyle w:val="TableDataColumnHeading"/>
            </w:pPr>
            <w:r>
              <w:t>$ per m2</w:t>
            </w:r>
          </w:p>
        </w:tc>
        <w:tc>
          <w:tcPr>
            <w:tcW w:w="693" w:type="dxa"/>
            <w:shd w:val="clear" w:color="auto" w:fill="6F6652"/>
            <w:tcMar>
              <w:left w:w="57" w:type="dxa"/>
              <w:right w:w="57" w:type="dxa"/>
            </w:tcMar>
          </w:tcPr>
          <w:p w14:paraId="3A2EC5C2" w14:textId="77777777" w:rsidR="00D24C7F" w:rsidRDefault="00D24C7F">
            <w:pPr>
              <w:pStyle w:val="TableDataColumnHeading"/>
            </w:pPr>
            <w:r>
              <w:t>VIC (CZ6)</w:t>
            </w:r>
          </w:p>
          <w:p w14:paraId="2F657BAB" w14:textId="77777777" w:rsidR="00D24C7F" w:rsidRDefault="00D24C7F">
            <w:pPr>
              <w:pStyle w:val="TableDataColumnHeading"/>
            </w:pPr>
            <w:r>
              <w:t>$ per m2</w:t>
            </w:r>
          </w:p>
        </w:tc>
        <w:tc>
          <w:tcPr>
            <w:tcW w:w="664" w:type="dxa"/>
            <w:shd w:val="clear" w:color="auto" w:fill="6F6652"/>
            <w:tcMar>
              <w:left w:w="57" w:type="dxa"/>
              <w:right w:w="57" w:type="dxa"/>
            </w:tcMar>
          </w:tcPr>
          <w:p w14:paraId="634620F1" w14:textId="77777777" w:rsidR="00D24C7F" w:rsidRDefault="00D24C7F">
            <w:pPr>
              <w:pStyle w:val="TableDataColumnHeading"/>
            </w:pPr>
            <w:r>
              <w:t>QLD (CZ2)</w:t>
            </w:r>
          </w:p>
          <w:p w14:paraId="146AA4E1" w14:textId="77777777" w:rsidR="00D24C7F" w:rsidRDefault="00D24C7F">
            <w:pPr>
              <w:pStyle w:val="TableDataColumnHeading"/>
            </w:pPr>
            <w:r>
              <w:t>$ per m2</w:t>
            </w:r>
          </w:p>
        </w:tc>
        <w:tc>
          <w:tcPr>
            <w:tcW w:w="663" w:type="dxa"/>
            <w:shd w:val="clear" w:color="auto" w:fill="6F6652"/>
            <w:tcMar>
              <w:left w:w="57" w:type="dxa"/>
              <w:right w:w="57" w:type="dxa"/>
            </w:tcMar>
          </w:tcPr>
          <w:p w14:paraId="5A4411B8" w14:textId="77777777" w:rsidR="00D24C7F" w:rsidRDefault="00D24C7F">
            <w:pPr>
              <w:pStyle w:val="TableDataColumnHeading"/>
            </w:pPr>
            <w:r>
              <w:t>WA (CZ5)</w:t>
            </w:r>
          </w:p>
          <w:p w14:paraId="0068B2B7" w14:textId="77777777" w:rsidR="00D24C7F" w:rsidRDefault="00D24C7F">
            <w:pPr>
              <w:pStyle w:val="TableDataColumnHeading"/>
            </w:pPr>
            <w:r>
              <w:t>$ per m2</w:t>
            </w:r>
          </w:p>
        </w:tc>
        <w:tc>
          <w:tcPr>
            <w:tcW w:w="664" w:type="dxa"/>
            <w:shd w:val="clear" w:color="auto" w:fill="6F6652"/>
            <w:tcMar>
              <w:left w:w="57" w:type="dxa"/>
              <w:right w:w="57" w:type="dxa"/>
            </w:tcMar>
          </w:tcPr>
          <w:p w14:paraId="4B9CB50D" w14:textId="77777777" w:rsidR="00D24C7F" w:rsidRDefault="00D24C7F">
            <w:pPr>
              <w:pStyle w:val="TableDataColumnHeading"/>
            </w:pPr>
            <w:r>
              <w:t>SA (CZ5)</w:t>
            </w:r>
          </w:p>
          <w:p w14:paraId="55DA91C2" w14:textId="77777777" w:rsidR="00D24C7F" w:rsidRDefault="00D24C7F">
            <w:pPr>
              <w:pStyle w:val="TableDataColumnHeading"/>
            </w:pPr>
            <w:r>
              <w:t>$ per m2</w:t>
            </w:r>
          </w:p>
        </w:tc>
        <w:tc>
          <w:tcPr>
            <w:tcW w:w="664" w:type="dxa"/>
            <w:shd w:val="clear" w:color="auto" w:fill="6F6652"/>
            <w:tcMar>
              <w:left w:w="57" w:type="dxa"/>
              <w:right w:w="57" w:type="dxa"/>
            </w:tcMar>
          </w:tcPr>
          <w:p w14:paraId="3D16A621" w14:textId="77777777" w:rsidR="00D24C7F" w:rsidRDefault="00D24C7F">
            <w:pPr>
              <w:pStyle w:val="TableDataColumnHeading"/>
            </w:pPr>
            <w:r>
              <w:t>TAS (CZ7)</w:t>
            </w:r>
          </w:p>
          <w:p w14:paraId="28F013FC" w14:textId="77777777" w:rsidR="00D24C7F" w:rsidRDefault="00D24C7F">
            <w:pPr>
              <w:pStyle w:val="TableDataColumnHeading"/>
            </w:pPr>
            <w:r>
              <w:t>$ per m2</w:t>
            </w:r>
          </w:p>
        </w:tc>
        <w:tc>
          <w:tcPr>
            <w:tcW w:w="663" w:type="dxa"/>
            <w:shd w:val="clear" w:color="auto" w:fill="6F6652"/>
            <w:tcMar>
              <w:left w:w="57" w:type="dxa"/>
              <w:right w:w="57" w:type="dxa"/>
            </w:tcMar>
          </w:tcPr>
          <w:p w14:paraId="1D3B75C7" w14:textId="77777777" w:rsidR="00D24C7F" w:rsidRDefault="00D24C7F">
            <w:pPr>
              <w:pStyle w:val="TableDataColumnHeading"/>
            </w:pPr>
            <w:r>
              <w:t>ACT (CZ7)</w:t>
            </w:r>
          </w:p>
          <w:p w14:paraId="0D2214DC" w14:textId="77777777" w:rsidR="00D24C7F" w:rsidRDefault="00D24C7F">
            <w:pPr>
              <w:pStyle w:val="TableDataColumnHeading"/>
            </w:pPr>
            <w:r>
              <w:t>$ per m2</w:t>
            </w:r>
          </w:p>
        </w:tc>
        <w:tc>
          <w:tcPr>
            <w:tcW w:w="664" w:type="dxa"/>
            <w:shd w:val="clear" w:color="auto" w:fill="6F6652"/>
            <w:tcMar>
              <w:left w:w="57" w:type="dxa"/>
              <w:right w:w="57" w:type="dxa"/>
            </w:tcMar>
          </w:tcPr>
          <w:p w14:paraId="6F86ECEC" w14:textId="77777777" w:rsidR="00D24C7F" w:rsidRDefault="00D24C7F">
            <w:pPr>
              <w:pStyle w:val="TableDataColumnHeading"/>
            </w:pPr>
            <w:r>
              <w:t>NT (CZ1)</w:t>
            </w:r>
          </w:p>
          <w:p w14:paraId="263C11FF" w14:textId="77777777" w:rsidR="00D24C7F" w:rsidRDefault="00D24C7F">
            <w:pPr>
              <w:pStyle w:val="TableDataColumnHeading"/>
            </w:pPr>
            <w:r>
              <w:t>$ per m2</w:t>
            </w:r>
          </w:p>
        </w:tc>
      </w:tr>
      <w:tr w:rsidR="00D24C7F" w14:paraId="68DF5F07"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B1621C6" w14:textId="77777777" w:rsidR="00D24C7F" w:rsidRDefault="00D24C7F">
            <w:pPr>
              <w:pStyle w:val="TableDataEntries"/>
              <w:jc w:val="left"/>
            </w:pPr>
            <w:r>
              <w:t>Avoided electricity network capacity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1A71B0" w14:textId="57674CAD" w:rsidR="00D24C7F" w:rsidRDefault="00D24C7F">
            <w:pPr>
              <w:pStyle w:val="TableDataEntries"/>
            </w:pPr>
            <w:r>
              <w:t>23.0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0882EBB" w14:textId="53E2C890" w:rsidR="00D24C7F" w:rsidRDefault="00D24C7F">
            <w:pPr>
              <w:pStyle w:val="TableDataEntries"/>
            </w:pPr>
            <w:r>
              <w:t>14.2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755B7C" w14:textId="14EA8FFE" w:rsidR="00D24C7F" w:rsidRDefault="00D24C7F">
            <w:pPr>
              <w:pStyle w:val="TableDataEntries"/>
            </w:pPr>
            <w:r>
              <w:t>23.2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434338" w14:textId="4CE26596" w:rsidR="00D24C7F" w:rsidRDefault="00D24C7F">
            <w:pPr>
              <w:pStyle w:val="TableDataEntries"/>
            </w:pPr>
            <w:r>
              <w:t>5.1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768FE5" w14:textId="151DA402" w:rsidR="00D24C7F" w:rsidRDefault="00D24C7F">
            <w:pPr>
              <w:pStyle w:val="TableDataEntries"/>
            </w:pPr>
            <w:r>
              <w:t>9.0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7B28E4" w14:textId="2FC57973" w:rsidR="00D24C7F" w:rsidRDefault="00D24C7F">
            <w:pPr>
              <w:pStyle w:val="TableDataEntries"/>
            </w:pPr>
            <w:r>
              <w:t>38.9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DCB7D3" w14:textId="0006FBC6" w:rsidR="00D24C7F" w:rsidRDefault="00D24C7F">
            <w:pPr>
              <w:pStyle w:val="TableDataEntries"/>
            </w:pPr>
            <w:r>
              <w:t>21.1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B850360" w14:textId="3300B901" w:rsidR="00D24C7F" w:rsidRDefault="00D24C7F">
            <w:pPr>
              <w:pStyle w:val="TableDataEntries"/>
            </w:pPr>
            <w:r>
              <w:t>25.5</w:t>
            </w:r>
          </w:p>
        </w:tc>
      </w:tr>
      <w:tr w:rsidR="00D24C7F" w14:paraId="3DE09D06"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4D71C6" w14:textId="77777777" w:rsidR="00D24C7F" w:rsidRDefault="00D24C7F">
            <w:pPr>
              <w:pStyle w:val="TableDataEntries"/>
              <w:jc w:val="left"/>
            </w:pPr>
            <w:r>
              <w:t>Avoided electricity wholesale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21297CB" w14:textId="737EB0E7" w:rsidR="00D24C7F" w:rsidRDefault="00D24C7F">
            <w:pPr>
              <w:pStyle w:val="TableDataEntries"/>
            </w:pPr>
            <w:r>
              <w:t>27.1</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55F893" w14:textId="1120851F" w:rsidR="00D24C7F" w:rsidRDefault="00D24C7F">
            <w:pPr>
              <w:pStyle w:val="TableDataEntries"/>
            </w:pPr>
            <w:r>
              <w:t>19.6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2DF13A" w14:textId="33AFA44A" w:rsidR="00D24C7F" w:rsidRDefault="00D24C7F">
            <w:pPr>
              <w:pStyle w:val="TableDataEntries"/>
            </w:pPr>
            <w:r>
              <w:t>29.5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48BFF09" w14:textId="1C4E6C34" w:rsidR="00D24C7F" w:rsidRDefault="00D24C7F">
            <w:pPr>
              <w:pStyle w:val="TableDataEntries"/>
            </w:pPr>
            <w:r>
              <w:t>16.4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9C3C241" w14:textId="2FDFF633" w:rsidR="00D24C7F" w:rsidRDefault="00D24C7F">
            <w:pPr>
              <w:pStyle w:val="TableDataEntries"/>
            </w:pPr>
            <w:r>
              <w:t>17.4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6001B1E" w14:textId="759A151C" w:rsidR="00D24C7F" w:rsidRDefault="00D24C7F">
            <w:pPr>
              <w:pStyle w:val="TableDataEntries"/>
            </w:pPr>
            <w:r>
              <w:t>25.7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1D3022" w14:textId="409DD77C" w:rsidR="00D24C7F" w:rsidRDefault="00D24C7F">
            <w:pPr>
              <w:pStyle w:val="TableDataEntries"/>
            </w:pPr>
            <w:r>
              <w:t>26.0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3CC40D9" w14:textId="4B0CCCDB" w:rsidR="00D24C7F" w:rsidRDefault="00D24C7F">
            <w:pPr>
              <w:pStyle w:val="TableDataEntries"/>
            </w:pPr>
            <w:r>
              <w:t>57.8</w:t>
            </w:r>
          </w:p>
        </w:tc>
      </w:tr>
      <w:tr w:rsidR="00D24C7F" w14:paraId="0B27AA2D"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CF4C100" w14:textId="77777777" w:rsidR="00D24C7F" w:rsidRDefault="00D24C7F">
            <w:pPr>
              <w:pStyle w:val="TableDataEntries"/>
              <w:jc w:val="left"/>
            </w:pPr>
            <w:r>
              <w:t>Avoided electricity network usage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49D0454" w14:textId="540B7042" w:rsidR="00D24C7F" w:rsidRDefault="00D24C7F">
            <w:pPr>
              <w:pStyle w:val="TableDataEntries"/>
            </w:pPr>
            <w:r>
              <w:t>17.4</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BBD094" w14:textId="50FF7E68" w:rsidR="00D24C7F" w:rsidRDefault="00D24C7F">
            <w:pPr>
              <w:pStyle w:val="TableDataEntries"/>
            </w:pPr>
            <w:r>
              <w:t>28.2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E3D6ADF" w14:textId="6A6745D7" w:rsidR="00D24C7F" w:rsidRDefault="00D24C7F">
            <w:pPr>
              <w:pStyle w:val="TableDataEntries"/>
            </w:pPr>
            <w:r>
              <w:t>22.2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39D430" w14:textId="7469328B" w:rsidR="00D24C7F" w:rsidRDefault="00D24C7F">
            <w:pPr>
              <w:pStyle w:val="TableDataEntries"/>
            </w:pPr>
            <w:r>
              <w:t>46.5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8E13D9" w14:textId="564FDA1B" w:rsidR="00D24C7F" w:rsidRDefault="00D24C7F">
            <w:pPr>
              <w:pStyle w:val="TableDataEntries"/>
            </w:pPr>
            <w:r>
              <w:t>52.1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39C4094" w14:textId="53B6E3C7" w:rsidR="00D24C7F" w:rsidRDefault="00D24C7F">
            <w:pPr>
              <w:pStyle w:val="TableDataEntries"/>
            </w:pPr>
            <w:r>
              <w:t>48.5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C6631F4" w14:textId="6C4F60C3" w:rsidR="00D24C7F" w:rsidRDefault="00D24C7F">
            <w:pPr>
              <w:pStyle w:val="TableDataEntries"/>
            </w:pPr>
            <w:r>
              <w:t>29.9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7971C5B" w14:textId="00C01BC0" w:rsidR="00D24C7F" w:rsidRDefault="00D24C7F">
            <w:pPr>
              <w:pStyle w:val="TableDataEntries"/>
            </w:pPr>
            <w:r>
              <w:t>25.4</w:t>
            </w:r>
          </w:p>
        </w:tc>
      </w:tr>
      <w:tr w:rsidR="00D24C7F" w14:paraId="6232CC46"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BB82F08" w14:textId="77777777" w:rsidR="00D24C7F" w:rsidRDefault="00D24C7F">
            <w:pPr>
              <w:pStyle w:val="TableDataEntries"/>
              <w:jc w:val="left"/>
            </w:pPr>
            <w:r>
              <w:t>Avoided electricity retail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3F0FF9A" w14:textId="2EC16330" w:rsidR="00D24C7F" w:rsidRDefault="00D24C7F">
            <w:pPr>
              <w:pStyle w:val="TableDataEntries"/>
            </w:pPr>
            <w:r>
              <w:t>10.1</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8A8B8A" w14:textId="41938AA0" w:rsidR="00D24C7F" w:rsidRDefault="00D24C7F">
            <w:pPr>
              <w:pStyle w:val="TableDataEntries"/>
            </w:pPr>
            <w:r>
              <w:t>9.3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11809BF" w14:textId="4C02F468" w:rsidR="00D24C7F" w:rsidRDefault="00D24C7F">
            <w:pPr>
              <w:pStyle w:val="TableDataEntries"/>
            </w:pPr>
            <w:r>
              <w:t>11.2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3AAB58" w14:textId="14E45263" w:rsidR="00D24C7F" w:rsidRDefault="00D24C7F">
            <w:pPr>
              <w:pStyle w:val="TableDataEntries"/>
            </w:pPr>
            <w:r>
              <w:t>10.2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CC2955" w14:textId="2FDB6C61" w:rsidR="00D24C7F" w:rsidRDefault="00D24C7F">
            <w:pPr>
              <w:pStyle w:val="TableDataEntries"/>
            </w:pPr>
            <w:r>
              <w:t>11.8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65A7DF7" w14:textId="29E3DD82" w:rsidR="00D24C7F" w:rsidRDefault="00D24C7F">
            <w:pPr>
              <w:pStyle w:val="TableDataEntries"/>
            </w:pPr>
            <w:r>
              <w:t>17.0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89F4FA3" w14:textId="4321C7FC" w:rsidR="00D24C7F" w:rsidRDefault="00D24C7F">
            <w:pPr>
              <w:pStyle w:val="TableDataEntries"/>
            </w:pPr>
            <w:r>
              <w:t>11.6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BEF110" w14:textId="20AF9372" w:rsidR="00D24C7F" w:rsidRDefault="00D24C7F">
            <w:pPr>
              <w:pStyle w:val="TableDataEntries"/>
            </w:pPr>
            <w:r>
              <w:t>16.3</w:t>
            </w:r>
          </w:p>
        </w:tc>
      </w:tr>
      <w:tr w:rsidR="00D24C7F" w14:paraId="7BE30360"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D394FC" w14:textId="77777777" w:rsidR="00D24C7F" w:rsidRDefault="00D24C7F">
            <w:pPr>
              <w:pStyle w:val="TableDataEntries"/>
              <w:jc w:val="left"/>
            </w:pPr>
            <w:r>
              <w:t>Electricity exported to grid</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D07758B" w14:textId="5A5980BD" w:rsidR="00D24C7F" w:rsidRDefault="00D24C7F">
            <w:pPr>
              <w:pStyle w:val="TableDataEntries"/>
            </w:pPr>
            <w:r>
              <w:t>5.0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23521D9" w14:textId="1B98C2B2" w:rsidR="00D24C7F" w:rsidRDefault="00D24C7F">
            <w:pPr>
              <w:pStyle w:val="TableDataEntries"/>
            </w:pPr>
            <w:r>
              <w:t>4.2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605F32" w14:textId="058A520D" w:rsidR="00D24C7F" w:rsidRDefault="00D24C7F">
            <w:pPr>
              <w:pStyle w:val="TableDataEntries"/>
            </w:pPr>
            <w:r>
              <w:t>5.1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30C114" w14:textId="3F972413" w:rsidR="00D24C7F" w:rsidRDefault="00D24C7F">
            <w:pPr>
              <w:pStyle w:val="TableDataEntries"/>
            </w:pPr>
            <w:r>
              <w:t>4.8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6BF3C9" w14:textId="2265E5C2" w:rsidR="00D24C7F" w:rsidRDefault="00D24C7F">
            <w:pPr>
              <w:pStyle w:val="TableDataEntries"/>
            </w:pPr>
            <w:r>
              <w:t>4.0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0741F7E" w14:textId="487EE8D5" w:rsidR="00D24C7F" w:rsidRDefault="00D24C7F">
            <w:pPr>
              <w:pStyle w:val="TableDataEntries"/>
            </w:pPr>
            <w:r>
              <w:t>12.7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1E8E476" w14:textId="53F6155A" w:rsidR="00D24C7F" w:rsidRDefault="00D24C7F">
            <w:pPr>
              <w:pStyle w:val="TableDataEntries"/>
            </w:pPr>
            <w:r>
              <w:t>6.8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E916BD8" w14:textId="22A0E3C3" w:rsidR="00D24C7F" w:rsidRDefault="00D24C7F">
            <w:pPr>
              <w:pStyle w:val="TableDataEntries"/>
            </w:pPr>
            <w:r>
              <w:t>12.0</w:t>
            </w:r>
          </w:p>
        </w:tc>
      </w:tr>
      <w:tr w:rsidR="00D24C7F" w14:paraId="0544C69E"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0565C5" w14:textId="77777777" w:rsidR="00D24C7F" w:rsidRDefault="00D24C7F">
            <w:pPr>
              <w:pStyle w:val="TableDataEntries"/>
              <w:jc w:val="left"/>
            </w:pPr>
            <w:r>
              <w:t>Electricity exports — network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D1E25FD" w14:textId="08058370" w:rsidR="00D24C7F" w:rsidRDefault="00D24C7F">
            <w:pPr>
              <w:pStyle w:val="TableDataEntries"/>
            </w:pPr>
            <w:r>
              <w:t>-0.7</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A41236" w14:textId="6F0871C4" w:rsidR="00D24C7F" w:rsidRDefault="00D24C7F">
            <w:pPr>
              <w:pStyle w:val="TableDataEntries"/>
            </w:pPr>
            <w:r>
              <w:t>-0.4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95B570B" w14:textId="78AEE5DF" w:rsidR="00D24C7F" w:rsidRDefault="00D24C7F">
            <w:pPr>
              <w:pStyle w:val="TableDataEntries"/>
            </w:pPr>
            <w:r>
              <w:t>-0.8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0270808" w14:textId="192B67D5" w:rsidR="00D24C7F" w:rsidRDefault="00D24C7F">
            <w:pPr>
              <w:pStyle w:val="TableDataEntries"/>
            </w:pPr>
            <w:r>
              <w:t>-0.7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46BD5DF" w14:textId="42ECF199" w:rsidR="00D24C7F" w:rsidRDefault="00D24C7F">
            <w:pPr>
              <w:pStyle w:val="TableDataEntries"/>
            </w:pPr>
            <w:r>
              <w:t>-0.7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7F8CA57" w14:textId="10B3585D" w:rsidR="00D24C7F" w:rsidRDefault="00D24C7F">
            <w:pPr>
              <w:pStyle w:val="TableDataEntries"/>
            </w:pPr>
            <w:r>
              <w:t>-1.0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775D45" w14:textId="1802A561" w:rsidR="00D24C7F" w:rsidRDefault="00D24C7F">
            <w:pPr>
              <w:pStyle w:val="TableDataEntries"/>
            </w:pPr>
            <w:r>
              <w:t>-0.8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4420EF6" w14:textId="6C09C6E9" w:rsidR="00D24C7F" w:rsidRDefault="00D24C7F">
            <w:pPr>
              <w:pStyle w:val="TableDataEntries"/>
            </w:pPr>
            <w:r>
              <w:t>-0.3</w:t>
            </w:r>
          </w:p>
        </w:tc>
      </w:tr>
      <w:tr w:rsidR="00D24C7F" w14:paraId="15762C0A"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A84474F" w14:textId="77777777" w:rsidR="00D24C7F" w:rsidRDefault="00D24C7F">
            <w:pPr>
              <w:pStyle w:val="TableDataEntries"/>
              <w:jc w:val="left"/>
            </w:pPr>
            <w:r>
              <w:t>Avoided gas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FB0661B" w14:textId="5CB5F3F4" w:rsidR="00D24C7F" w:rsidRDefault="00D24C7F">
            <w:pPr>
              <w:pStyle w:val="TableDataEntries"/>
            </w:pPr>
            <w:r>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D4A13CB" w14:textId="4269FB4E"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E62180" w14:textId="42630979"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09FDB4E" w14:textId="03B69C8B"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FAD14D5" w14:textId="0FD42AAF"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04EC85" w14:textId="27900508"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DF28C8C" w14:textId="2249CBA6"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06B5B8" w14:textId="6AE22CC1" w:rsidR="00D24C7F" w:rsidRDefault="00D24C7F">
            <w:pPr>
              <w:pStyle w:val="TableDataEntries"/>
            </w:pPr>
            <w:r>
              <w:t>0.0</w:t>
            </w:r>
          </w:p>
        </w:tc>
      </w:tr>
      <w:tr w:rsidR="00D24C7F" w14:paraId="781BEBB4"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1842717" w14:textId="77777777" w:rsidR="00D24C7F" w:rsidRDefault="00D24C7F">
            <w:pPr>
              <w:pStyle w:val="TableDataEntries"/>
              <w:jc w:val="left"/>
            </w:pPr>
            <w:r>
              <w:t>Avoided GHG emissions –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5DC84AE" w14:textId="6758F7A0" w:rsidR="00D24C7F" w:rsidRDefault="00D24C7F">
            <w:pPr>
              <w:pStyle w:val="TableDataEntries"/>
            </w:pPr>
            <w:r>
              <w:t>17.2</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7DAF3A2" w14:textId="0F43F26E" w:rsidR="00D24C7F" w:rsidRDefault="00D24C7F">
            <w:pPr>
              <w:pStyle w:val="TableDataEntries"/>
            </w:pPr>
            <w:r>
              <w:t>24.6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C16166" w14:textId="7D1F3615" w:rsidR="00D24C7F" w:rsidRDefault="00D24C7F">
            <w:pPr>
              <w:pStyle w:val="TableDataEntries"/>
            </w:pPr>
            <w:r>
              <w:t>59.3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C24DD6" w14:textId="6574F051" w:rsidR="00D24C7F" w:rsidRDefault="00D24C7F">
            <w:pPr>
              <w:pStyle w:val="TableDataEntries"/>
            </w:pPr>
            <w:r>
              <w:t>25.5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30E508" w14:textId="3A1A9473" w:rsidR="00D24C7F" w:rsidRDefault="00D24C7F">
            <w:pPr>
              <w:pStyle w:val="TableDataEntries"/>
            </w:pPr>
            <w:r>
              <w:t>18.5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9CF3907" w14:textId="14558AF7" w:rsidR="00D24C7F" w:rsidRDefault="00D24C7F">
            <w:pPr>
              <w:pStyle w:val="TableDataEntries"/>
            </w:pPr>
            <w:r>
              <w:t>2.2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DCB8234" w14:textId="715C77CB" w:rsidR="00D24C7F" w:rsidRDefault="00D24C7F">
            <w:pPr>
              <w:pStyle w:val="TableDataEntries"/>
            </w:pPr>
            <w:r>
              <w:t>15.0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34EFBBA" w14:textId="799E31FC" w:rsidR="00D24C7F" w:rsidRDefault="00D24C7F">
            <w:pPr>
              <w:pStyle w:val="TableDataEntries"/>
            </w:pPr>
            <w:r>
              <w:t>56.8</w:t>
            </w:r>
          </w:p>
        </w:tc>
      </w:tr>
      <w:tr w:rsidR="00D24C7F" w14:paraId="189660C6"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22E5020" w14:textId="77777777" w:rsidR="00D24C7F" w:rsidRDefault="00D24C7F">
            <w:pPr>
              <w:pStyle w:val="TableDataEntries"/>
              <w:jc w:val="left"/>
            </w:pPr>
            <w:r>
              <w:t>Avoided GHG emissions – exported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5C4BFA8" w14:textId="5B610DE8" w:rsidR="00D24C7F" w:rsidRDefault="00D24C7F">
            <w:pPr>
              <w:pStyle w:val="TableDataEntries"/>
            </w:pPr>
            <w:r>
              <w:t>7.0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7F95651" w14:textId="29278933" w:rsidR="00D24C7F" w:rsidRDefault="00D24C7F">
            <w:pPr>
              <w:pStyle w:val="TableDataEntries"/>
            </w:pPr>
            <w:r>
              <w:t>14.0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712371" w14:textId="2E8DD714" w:rsidR="00D24C7F" w:rsidRDefault="00D24C7F">
            <w:pPr>
              <w:pStyle w:val="TableDataEntries"/>
            </w:pPr>
            <w:r>
              <w:t>17.6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695A81" w14:textId="7683941A" w:rsidR="00D24C7F" w:rsidRDefault="00D24C7F">
            <w:pPr>
              <w:pStyle w:val="TableDataEntries"/>
            </w:pPr>
            <w:r>
              <w:t>10.4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C1C009" w14:textId="0CBAFB02" w:rsidR="00D24C7F" w:rsidRDefault="00D24C7F">
            <w:pPr>
              <w:pStyle w:val="TableDataEntries"/>
            </w:pPr>
            <w:r>
              <w:t>7.5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F0E373" w14:textId="2C1C8D5E" w:rsidR="00D24C7F" w:rsidRDefault="00D24C7F">
            <w:pPr>
              <w:pStyle w:val="TableDataEntries"/>
            </w:pPr>
            <w:r>
              <w:t>1.2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D5285E0" w14:textId="582AFAEF" w:rsidR="00D24C7F" w:rsidRDefault="00D24C7F">
            <w:pPr>
              <w:pStyle w:val="TableDataEntries"/>
            </w:pPr>
            <w:r>
              <w:t>8.4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E6A6B5" w14:textId="2F2C99C2" w:rsidR="00D24C7F" w:rsidRDefault="00D24C7F">
            <w:pPr>
              <w:pStyle w:val="TableDataEntries"/>
            </w:pPr>
            <w:r>
              <w:t>12.8</w:t>
            </w:r>
          </w:p>
        </w:tc>
      </w:tr>
      <w:tr w:rsidR="00D24C7F" w14:paraId="35E0C265"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0B3870" w14:textId="77777777" w:rsidR="00D24C7F" w:rsidRDefault="00D24C7F">
            <w:pPr>
              <w:pStyle w:val="TableDataEntries"/>
              <w:jc w:val="left"/>
            </w:pPr>
            <w:r>
              <w:t>Avoided GHG emissions – gas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80F67B" w14:textId="4FE1D745" w:rsidR="00D24C7F" w:rsidRDefault="00D24C7F">
            <w:pPr>
              <w:pStyle w:val="TableDataEntries"/>
            </w:pPr>
            <w:r>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7CA5B3" w14:textId="426C8212"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BED95C6" w14:textId="0175B4BD"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497AD4A" w14:textId="687EC320"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9DFB9FE" w14:textId="3108DA66"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EEEB09" w14:textId="4CE90E70"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6BBA716" w14:textId="3E73EE07"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805E9A3" w14:textId="2F6FBFA4" w:rsidR="00D24C7F" w:rsidRDefault="00D24C7F">
            <w:pPr>
              <w:pStyle w:val="TableDataEntries"/>
            </w:pPr>
            <w:r>
              <w:t>0.0</w:t>
            </w:r>
          </w:p>
        </w:tc>
      </w:tr>
      <w:tr w:rsidR="00D24C7F" w14:paraId="7CC2F71B"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A8E6EAB" w14:textId="77777777" w:rsidR="00D24C7F" w:rsidRDefault="00D24C7F">
            <w:pPr>
              <w:pStyle w:val="TableDataEntries"/>
              <w:jc w:val="left"/>
            </w:pPr>
            <w:r>
              <w:t>Capital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383EA9" w14:textId="41482839" w:rsidR="00D24C7F" w:rsidRDefault="00D24C7F">
            <w:pPr>
              <w:pStyle w:val="TableDataEntries"/>
            </w:pPr>
            <w:r>
              <w:t>-17.7</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C89723" w14:textId="7E39452A" w:rsidR="00D24C7F" w:rsidRDefault="00D24C7F">
            <w:pPr>
              <w:pStyle w:val="TableDataEntries"/>
            </w:pPr>
            <w:r>
              <w:t>-24.3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5AE6F8" w14:textId="2D4A5FAF" w:rsidR="00D24C7F" w:rsidRDefault="00D24C7F">
            <w:pPr>
              <w:pStyle w:val="TableDataEntries"/>
            </w:pPr>
            <w:r>
              <w:t>-0.6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D5B75FC" w14:textId="1A60D7F2" w:rsidR="00D24C7F" w:rsidRDefault="00D24C7F">
            <w:pPr>
              <w:pStyle w:val="TableDataEntries"/>
            </w:pPr>
            <w:r>
              <w:t>-17.7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CA1FBD" w14:textId="605E8076" w:rsidR="00D24C7F" w:rsidRDefault="00D24C7F">
            <w:pPr>
              <w:pStyle w:val="TableDataEntries"/>
            </w:pPr>
            <w:r>
              <w:t>-17.7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D304B4E" w14:textId="6EA5BC74" w:rsidR="00D24C7F" w:rsidRDefault="00D24C7F">
            <w:pPr>
              <w:pStyle w:val="TableDataEntries"/>
            </w:pPr>
            <w:r>
              <w:t>-25.7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C5F1A2" w14:textId="772EFCA0" w:rsidR="00D24C7F" w:rsidRDefault="00D24C7F">
            <w:pPr>
              <w:pStyle w:val="TableDataEntries"/>
            </w:pPr>
            <w:r>
              <w:t>-25.7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4D3CF41" w14:textId="3E06E581" w:rsidR="00D24C7F" w:rsidRDefault="00D24C7F">
            <w:pPr>
              <w:pStyle w:val="TableDataEntries"/>
            </w:pPr>
            <w:r>
              <w:t>-19.3</w:t>
            </w:r>
          </w:p>
        </w:tc>
      </w:tr>
      <w:tr w:rsidR="00D24C7F" w:rsidRPr="0069299D" w14:paraId="0F585A5A" w14:textId="77777777">
        <w:trPr>
          <w:trHeight w:val="245"/>
        </w:trPr>
        <w:tc>
          <w:tcPr>
            <w:tcW w:w="2627"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E8EC8CF" w14:textId="77777777" w:rsidR="00D24C7F" w:rsidRPr="0069299D" w:rsidRDefault="00D24C7F">
            <w:pPr>
              <w:pStyle w:val="TableDataEntries"/>
              <w:jc w:val="left"/>
              <w:rPr>
                <w:rFonts w:ascii="Franklin Gothic Demi" w:hAnsi="Franklin Gothic Demi"/>
              </w:rPr>
            </w:pPr>
            <w:r w:rsidRPr="0069299D">
              <w:rPr>
                <w:rFonts w:ascii="Franklin Gothic Demi" w:hAnsi="Franklin Gothic Demi"/>
              </w:rPr>
              <w:t>Total</w:t>
            </w:r>
          </w:p>
        </w:tc>
        <w:tc>
          <w:tcPr>
            <w:tcW w:w="63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6BA8CBC" w14:textId="62E7E565" w:rsidR="00D24C7F" w:rsidRPr="0069299D" w:rsidRDefault="00D24C7F">
            <w:pPr>
              <w:pStyle w:val="TableDataEntries"/>
              <w:rPr>
                <w:rFonts w:ascii="Franklin Gothic Demi" w:hAnsi="Franklin Gothic Demi"/>
              </w:rPr>
            </w:pPr>
            <w:r w:rsidRPr="0069299D">
              <w:rPr>
                <w:rFonts w:ascii="Franklin Gothic Demi" w:hAnsi="Franklin Gothic Demi"/>
              </w:rPr>
              <w:t>88.5</w:t>
            </w:r>
          </w:p>
        </w:tc>
        <w:tc>
          <w:tcPr>
            <w:tcW w:w="69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DB5D279" w14:textId="5763B7B3" w:rsidR="00D24C7F" w:rsidRPr="0069299D" w:rsidRDefault="00D24C7F">
            <w:pPr>
              <w:pStyle w:val="TableDataEntries"/>
              <w:rPr>
                <w:rFonts w:ascii="Franklin Gothic Demi" w:hAnsi="Franklin Gothic Demi"/>
              </w:rPr>
            </w:pPr>
            <w:r w:rsidRPr="0069299D">
              <w:rPr>
                <w:rFonts w:ascii="Franklin Gothic Demi" w:hAnsi="Franklin Gothic Demi"/>
              </w:rPr>
              <w:t>89.4</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358656B" w14:textId="234E2140" w:rsidR="00D24C7F" w:rsidRPr="0069299D" w:rsidRDefault="00D24C7F">
            <w:pPr>
              <w:pStyle w:val="TableDataEntries"/>
              <w:rPr>
                <w:rFonts w:ascii="Franklin Gothic Demi" w:hAnsi="Franklin Gothic Demi"/>
              </w:rPr>
            </w:pPr>
            <w:r w:rsidRPr="0069299D">
              <w:rPr>
                <w:rFonts w:ascii="Franklin Gothic Demi" w:hAnsi="Franklin Gothic Demi"/>
              </w:rPr>
              <w:t>166.8</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1377E35" w14:textId="48F22539" w:rsidR="00D24C7F" w:rsidRPr="0069299D" w:rsidRDefault="00D24C7F">
            <w:pPr>
              <w:pStyle w:val="TableDataEntries"/>
              <w:rPr>
                <w:rFonts w:ascii="Franklin Gothic Demi" w:hAnsi="Franklin Gothic Demi"/>
              </w:rPr>
            </w:pPr>
            <w:r w:rsidRPr="0069299D">
              <w:rPr>
                <w:rFonts w:ascii="Franklin Gothic Demi" w:hAnsi="Franklin Gothic Demi"/>
              </w:rPr>
              <w:t>100.6</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8F183E9" w14:textId="446BB653" w:rsidR="00D24C7F" w:rsidRPr="0069299D" w:rsidRDefault="00D24C7F">
            <w:pPr>
              <w:pStyle w:val="TableDataEntries"/>
              <w:rPr>
                <w:rFonts w:ascii="Franklin Gothic Demi" w:hAnsi="Franklin Gothic Demi"/>
              </w:rPr>
            </w:pPr>
            <w:r w:rsidRPr="0069299D">
              <w:rPr>
                <w:rFonts w:ascii="Franklin Gothic Demi" w:hAnsi="Franklin Gothic Demi"/>
              </w:rPr>
              <w:t>101.9</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45E2E28" w14:textId="3DD7798C" w:rsidR="00D24C7F" w:rsidRPr="0069299D" w:rsidRDefault="00D24C7F">
            <w:pPr>
              <w:pStyle w:val="TableDataEntries"/>
              <w:rPr>
                <w:rFonts w:ascii="Franklin Gothic Demi" w:hAnsi="Franklin Gothic Demi"/>
              </w:rPr>
            </w:pPr>
            <w:r w:rsidRPr="0069299D">
              <w:rPr>
                <w:rFonts w:ascii="Franklin Gothic Demi" w:hAnsi="Franklin Gothic Demi"/>
              </w:rPr>
              <w:t>119.5</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C1D63F6" w14:textId="64B4B1F9" w:rsidR="00D24C7F" w:rsidRPr="0069299D" w:rsidRDefault="00D24C7F">
            <w:pPr>
              <w:pStyle w:val="TableDataEntries"/>
              <w:rPr>
                <w:rFonts w:ascii="Franklin Gothic Demi" w:hAnsi="Franklin Gothic Demi"/>
              </w:rPr>
            </w:pPr>
            <w:r w:rsidRPr="0069299D">
              <w:rPr>
                <w:rFonts w:ascii="Franklin Gothic Demi" w:hAnsi="Franklin Gothic Demi"/>
              </w:rPr>
              <w:t>92.3</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7E90AD61" w14:textId="7B0FF71E" w:rsidR="00D24C7F" w:rsidRPr="0069299D" w:rsidRDefault="00D24C7F">
            <w:pPr>
              <w:pStyle w:val="TableDataEntries"/>
              <w:rPr>
                <w:rFonts w:ascii="Franklin Gothic Demi" w:hAnsi="Franklin Gothic Demi"/>
              </w:rPr>
            </w:pPr>
            <w:r w:rsidRPr="0069299D">
              <w:rPr>
                <w:rFonts w:ascii="Franklin Gothic Demi" w:hAnsi="Franklin Gothic Demi"/>
              </w:rPr>
              <w:t>187.1</w:t>
            </w:r>
          </w:p>
        </w:tc>
      </w:tr>
    </w:tbl>
    <w:p w14:paraId="4B8EE8C4" w14:textId="77777777" w:rsidR="00D24C7F" w:rsidRDefault="00D24C7F" w:rsidP="00D24C7F">
      <w:pPr>
        <w:pStyle w:val="Note"/>
      </w:pPr>
      <w:r w:rsidRPr="007D1B4F">
        <w:rPr>
          <w:i/>
        </w:rPr>
        <w:t>Note:</w:t>
      </w:r>
      <w:r w:rsidRPr="00E879B8">
        <w:t xml:space="preserve"> </w:t>
      </w:r>
      <w:r>
        <w:t>Costs and benefits estimated in present value terms over the 50</w:t>
      </w:r>
      <w:r>
        <w:noBreakHyphen/>
        <w:t xml:space="preserve">year life of a building constructed in 2025, using a discount rate of 5 per cent. </w:t>
      </w:r>
    </w:p>
    <w:p w14:paraId="44847847" w14:textId="77777777" w:rsidR="00D24C7F" w:rsidRDefault="00D24C7F" w:rsidP="00D24C7F">
      <w:pPr>
        <w:pStyle w:val="Source"/>
      </w:pPr>
      <w:r>
        <w:rPr>
          <w:i/>
        </w:rPr>
        <w:t>Source</w:t>
      </w:r>
      <w:r w:rsidRPr="00E4232C">
        <w:rPr>
          <w:i/>
        </w:rPr>
        <w:t>:</w:t>
      </w:r>
      <w:r>
        <w:t xml:space="preserve"> CIE based on DeltaQ modelling.</w:t>
      </w:r>
    </w:p>
    <w:p w14:paraId="290703CD" w14:textId="6B452160" w:rsidR="00D24C7F" w:rsidRPr="005E5FA8" w:rsidRDefault="00D24C7F" w:rsidP="00D24C7F">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w:instrText>
      </w:r>
      <w:fldSimple w:instr=" STYLEREF &quot;Heading 1&quot; \l \n ">
        <w:r w:rsidRPr="005E5FA8">
          <w:instrText>2</w:instrText>
        </w:r>
      </w:fldSimple>
      <w:r w:rsidRPr="005E5FA8">
        <w:instrText xml:space="preserve">." </w:instrText>
      </w:r>
      <w:r w:rsidRPr="005E5FA8">
        <w:fldChar w:fldCharType="end"/>
      </w:r>
      <w:r w:rsidRPr="005E5FA8">
        <w:instrText>" "</w:instrText>
      </w:r>
      <w:fldSimple w:instr=" STYLEREF &quot;Heading 6&quot; \l \n ">
        <w:r w:rsidR="00581346">
          <w:rPr>
            <w:noProof/>
          </w:rPr>
          <w:instrText>H</w:instrText>
        </w:r>
      </w:fldSimple>
      <w:r w:rsidRPr="005E5FA8">
        <w:instrText xml:space="preserve">." </w:instrText>
      </w:r>
      <w:r w:rsidRPr="005E5FA8">
        <w:fldChar w:fldCharType="separate"/>
      </w:r>
      <w:r w:rsidR="00581346">
        <w:rPr>
          <w:noProof/>
        </w:rPr>
        <w:instrText>H</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"1" </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18</w:instrText>
      </w:r>
      <w:r w:rsidRPr="005E5FA8">
        <w:fldChar w:fldCharType="end"/>
      </w:r>
      <w:r w:rsidRPr="005E5FA8">
        <w:instrText xml:space="preserve">" "" </w:instrText>
      </w:r>
      <w:r w:rsidRPr="005E5FA8">
        <w:fldChar w:fldCharType="separate"/>
      </w:r>
      <w:bookmarkStart w:id="10235" w:name="_Caption6208"/>
      <w:bookmarkStart w:id="10236" w:name="_Caption8352"/>
      <w:bookmarkStart w:id="10237" w:name="_Caption2361"/>
      <w:bookmarkStart w:id="10238" w:name="_Caption8487"/>
      <w:bookmarkStart w:id="10239" w:name="_Caption5456"/>
      <w:bookmarkStart w:id="10240" w:name="_Caption3997"/>
      <w:bookmarkStart w:id="10241" w:name="_Caption9454"/>
      <w:bookmarkStart w:id="10242" w:name="_Caption8644"/>
      <w:bookmarkStart w:id="10243" w:name="_Caption1460"/>
      <w:bookmarkStart w:id="10244" w:name="_Caption5103"/>
      <w:bookmarkStart w:id="10245" w:name="_Caption9709"/>
      <w:bookmarkStart w:id="10246" w:name="_Caption6161"/>
      <w:bookmarkStart w:id="10247" w:name="_Caption6758"/>
      <w:bookmarkStart w:id="10248" w:name="_Caption5765"/>
      <w:bookmarkStart w:id="10249" w:name="_Caption0699"/>
      <w:bookmarkStart w:id="10250" w:name="_Caption0230"/>
      <w:bookmarkStart w:id="10251" w:name="_Caption0077"/>
      <w:bookmarkStart w:id="10252" w:name="_Caption7538"/>
      <w:bookmarkStart w:id="10253" w:name="_Caption9428"/>
      <w:bookmarkStart w:id="10254" w:name="_Caption6125"/>
      <w:bookmarkStart w:id="10255" w:name="_Caption8409"/>
      <w:bookmarkStart w:id="10256" w:name="_Caption6254"/>
      <w:bookmarkStart w:id="10257" w:name="_Caption0304"/>
      <w:bookmarkStart w:id="10258" w:name="_Caption9353"/>
      <w:bookmarkStart w:id="10259" w:name="_Caption4376"/>
      <w:bookmarkStart w:id="10260" w:name="_Caption7982"/>
      <w:bookmarkStart w:id="10261" w:name="_Caption5970"/>
      <w:bookmarkStart w:id="10262" w:name="_Caption2960"/>
      <w:bookmarkStart w:id="10263" w:name="_Caption8564"/>
      <w:bookmarkStart w:id="10264" w:name="_Caption0805"/>
      <w:bookmarkStart w:id="10265" w:name="_Caption5597"/>
      <w:bookmarkStart w:id="10266" w:name="_Caption4982"/>
      <w:bookmarkStart w:id="10267" w:name="_Caption2947"/>
      <w:bookmarkStart w:id="10268" w:name="_Caption7773"/>
      <w:bookmarkStart w:id="10269" w:name="_Toc177735268"/>
      <w:bookmarkStart w:id="10270" w:name="_Toc178292710"/>
      <w:r w:rsidR="008C60A3">
        <w:rPr>
          <w:noProof/>
        </w:rPr>
        <w:t>H</w:t>
      </w:r>
      <w:r w:rsidR="008C60A3" w:rsidRPr="005E5FA8">
        <w:rPr>
          <w:noProof/>
        </w:rPr>
        <w:t>.</w:t>
      </w:r>
      <w:r w:rsidR="008C60A3">
        <w:rPr>
          <w:noProof/>
        </w:rPr>
        <w:t>18</w:t>
      </w:r>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r w:rsidRPr="005E5FA8">
        <w:fldChar w:fldCharType="end"/>
      </w:r>
      <w:r w:rsidRPr="005E5FA8">
        <w:tab/>
        <w:t>Stringency Level 2 estimated costs and benefits — C9C</w:t>
      </w:r>
      <w:bookmarkEnd w:id="10269"/>
      <w:bookmarkEnd w:id="10270"/>
    </w:p>
    <w:tbl>
      <w:tblPr>
        <w:tblW w:w="7936" w:type="dxa"/>
        <w:tblLayout w:type="fixed"/>
        <w:tblLook w:val="0000" w:firstRow="0" w:lastRow="0" w:firstColumn="0" w:lastColumn="0" w:noHBand="0" w:noVBand="0"/>
        <w:tblCaption w:val="Table G.18"/>
        <w:tblDescription w:val="Stringency Level 2 estimated costs and benefits — C9C"/>
      </w:tblPr>
      <w:tblGrid>
        <w:gridCol w:w="2627"/>
        <w:gridCol w:w="634"/>
        <w:gridCol w:w="693"/>
        <w:gridCol w:w="664"/>
        <w:gridCol w:w="663"/>
        <w:gridCol w:w="664"/>
        <w:gridCol w:w="664"/>
        <w:gridCol w:w="663"/>
        <w:gridCol w:w="664"/>
      </w:tblGrid>
      <w:tr w:rsidR="00D24C7F" w14:paraId="3A686609" w14:textId="77777777">
        <w:trPr>
          <w:trHeight w:val="245"/>
          <w:tblHeader/>
        </w:trPr>
        <w:tc>
          <w:tcPr>
            <w:tcW w:w="2627" w:type="dxa"/>
            <w:shd w:val="clear" w:color="auto" w:fill="6F6652"/>
            <w:tcMar>
              <w:left w:w="57" w:type="dxa"/>
              <w:right w:w="57" w:type="dxa"/>
            </w:tcMar>
          </w:tcPr>
          <w:p w14:paraId="0D29984E" w14:textId="77777777" w:rsidR="00D24C7F" w:rsidRDefault="00D24C7F">
            <w:pPr>
              <w:pStyle w:val="TableDataColumnHeading"/>
              <w:jc w:val="left"/>
            </w:pPr>
            <w:r>
              <w:t>Impact</w:t>
            </w:r>
          </w:p>
        </w:tc>
        <w:tc>
          <w:tcPr>
            <w:tcW w:w="634" w:type="dxa"/>
            <w:shd w:val="clear" w:color="auto" w:fill="6F6652"/>
            <w:tcMar>
              <w:left w:w="57" w:type="dxa"/>
              <w:right w:w="57" w:type="dxa"/>
            </w:tcMar>
          </w:tcPr>
          <w:p w14:paraId="0FC4B118" w14:textId="77777777" w:rsidR="00D24C7F" w:rsidRDefault="00D24C7F">
            <w:pPr>
              <w:pStyle w:val="TableDataColumnHeading"/>
            </w:pPr>
            <w:r>
              <w:t>NSW (CZ5)</w:t>
            </w:r>
          </w:p>
          <w:p w14:paraId="07CAA782" w14:textId="77777777" w:rsidR="00D24C7F" w:rsidRDefault="00D24C7F">
            <w:pPr>
              <w:pStyle w:val="TableDataColumnHeading"/>
            </w:pPr>
            <w:r>
              <w:t>$ per m2</w:t>
            </w:r>
          </w:p>
        </w:tc>
        <w:tc>
          <w:tcPr>
            <w:tcW w:w="693" w:type="dxa"/>
            <w:shd w:val="clear" w:color="auto" w:fill="6F6652"/>
            <w:tcMar>
              <w:left w:w="57" w:type="dxa"/>
              <w:right w:w="57" w:type="dxa"/>
            </w:tcMar>
          </w:tcPr>
          <w:p w14:paraId="0488EC23" w14:textId="77777777" w:rsidR="00D24C7F" w:rsidRDefault="00D24C7F">
            <w:pPr>
              <w:pStyle w:val="TableDataColumnHeading"/>
            </w:pPr>
            <w:r>
              <w:t>VIC (CZ6)</w:t>
            </w:r>
          </w:p>
          <w:p w14:paraId="13D7C040" w14:textId="77777777" w:rsidR="00D24C7F" w:rsidRDefault="00D24C7F">
            <w:pPr>
              <w:pStyle w:val="TableDataColumnHeading"/>
            </w:pPr>
            <w:r>
              <w:t>$ per m2</w:t>
            </w:r>
          </w:p>
        </w:tc>
        <w:tc>
          <w:tcPr>
            <w:tcW w:w="664" w:type="dxa"/>
            <w:shd w:val="clear" w:color="auto" w:fill="6F6652"/>
            <w:tcMar>
              <w:left w:w="57" w:type="dxa"/>
              <w:right w:w="57" w:type="dxa"/>
            </w:tcMar>
          </w:tcPr>
          <w:p w14:paraId="56F7204E" w14:textId="77777777" w:rsidR="00D24C7F" w:rsidRDefault="00D24C7F">
            <w:pPr>
              <w:pStyle w:val="TableDataColumnHeading"/>
            </w:pPr>
            <w:r>
              <w:t>QLD (CZ2)</w:t>
            </w:r>
          </w:p>
          <w:p w14:paraId="619F2DFF" w14:textId="77777777" w:rsidR="00D24C7F" w:rsidRDefault="00D24C7F">
            <w:pPr>
              <w:pStyle w:val="TableDataColumnHeading"/>
            </w:pPr>
            <w:r>
              <w:t>$ per m2</w:t>
            </w:r>
          </w:p>
        </w:tc>
        <w:tc>
          <w:tcPr>
            <w:tcW w:w="663" w:type="dxa"/>
            <w:shd w:val="clear" w:color="auto" w:fill="6F6652"/>
            <w:tcMar>
              <w:left w:w="57" w:type="dxa"/>
              <w:right w:w="57" w:type="dxa"/>
            </w:tcMar>
          </w:tcPr>
          <w:p w14:paraId="32B46B6D" w14:textId="77777777" w:rsidR="00D24C7F" w:rsidRDefault="00D24C7F">
            <w:pPr>
              <w:pStyle w:val="TableDataColumnHeading"/>
            </w:pPr>
            <w:r>
              <w:t>WA (CZ5)</w:t>
            </w:r>
          </w:p>
          <w:p w14:paraId="4E89FBA1" w14:textId="77777777" w:rsidR="00D24C7F" w:rsidRDefault="00D24C7F">
            <w:pPr>
              <w:pStyle w:val="TableDataColumnHeading"/>
            </w:pPr>
            <w:r>
              <w:t>$ per m2</w:t>
            </w:r>
          </w:p>
        </w:tc>
        <w:tc>
          <w:tcPr>
            <w:tcW w:w="664" w:type="dxa"/>
            <w:shd w:val="clear" w:color="auto" w:fill="6F6652"/>
            <w:tcMar>
              <w:left w:w="57" w:type="dxa"/>
              <w:right w:w="57" w:type="dxa"/>
            </w:tcMar>
          </w:tcPr>
          <w:p w14:paraId="1E8730D3" w14:textId="77777777" w:rsidR="00D24C7F" w:rsidRDefault="00D24C7F">
            <w:pPr>
              <w:pStyle w:val="TableDataColumnHeading"/>
            </w:pPr>
            <w:r>
              <w:t>SA (CZ5)</w:t>
            </w:r>
          </w:p>
          <w:p w14:paraId="4368C041" w14:textId="77777777" w:rsidR="00D24C7F" w:rsidRDefault="00D24C7F">
            <w:pPr>
              <w:pStyle w:val="TableDataColumnHeading"/>
            </w:pPr>
            <w:r>
              <w:t>$ per m2</w:t>
            </w:r>
          </w:p>
        </w:tc>
        <w:tc>
          <w:tcPr>
            <w:tcW w:w="664" w:type="dxa"/>
            <w:shd w:val="clear" w:color="auto" w:fill="6F6652"/>
            <w:tcMar>
              <w:left w:w="57" w:type="dxa"/>
              <w:right w:w="57" w:type="dxa"/>
            </w:tcMar>
          </w:tcPr>
          <w:p w14:paraId="24A460E5" w14:textId="77777777" w:rsidR="00D24C7F" w:rsidRDefault="00D24C7F">
            <w:pPr>
              <w:pStyle w:val="TableDataColumnHeading"/>
            </w:pPr>
            <w:r>
              <w:t>TAS (CZ7)</w:t>
            </w:r>
          </w:p>
          <w:p w14:paraId="5125FE84" w14:textId="77777777" w:rsidR="00D24C7F" w:rsidRDefault="00D24C7F">
            <w:pPr>
              <w:pStyle w:val="TableDataColumnHeading"/>
            </w:pPr>
            <w:r>
              <w:t>$ per m2</w:t>
            </w:r>
          </w:p>
        </w:tc>
        <w:tc>
          <w:tcPr>
            <w:tcW w:w="663" w:type="dxa"/>
            <w:shd w:val="clear" w:color="auto" w:fill="6F6652"/>
            <w:tcMar>
              <w:left w:w="57" w:type="dxa"/>
              <w:right w:w="57" w:type="dxa"/>
            </w:tcMar>
          </w:tcPr>
          <w:p w14:paraId="39A1F92D" w14:textId="77777777" w:rsidR="00D24C7F" w:rsidRDefault="00D24C7F">
            <w:pPr>
              <w:pStyle w:val="TableDataColumnHeading"/>
            </w:pPr>
            <w:r>
              <w:t>ACT (CZ7)</w:t>
            </w:r>
          </w:p>
          <w:p w14:paraId="15E10A6B" w14:textId="77777777" w:rsidR="00D24C7F" w:rsidRDefault="00D24C7F">
            <w:pPr>
              <w:pStyle w:val="TableDataColumnHeading"/>
            </w:pPr>
            <w:r>
              <w:t>$ per m2</w:t>
            </w:r>
          </w:p>
        </w:tc>
        <w:tc>
          <w:tcPr>
            <w:tcW w:w="664" w:type="dxa"/>
            <w:shd w:val="clear" w:color="auto" w:fill="6F6652"/>
            <w:tcMar>
              <w:left w:w="57" w:type="dxa"/>
              <w:right w:w="57" w:type="dxa"/>
            </w:tcMar>
          </w:tcPr>
          <w:p w14:paraId="755960E4" w14:textId="77777777" w:rsidR="00D24C7F" w:rsidRDefault="00D24C7F">
            <w:pPr>
              <w:pStyle w:val="TableDataColumnHeading"/>
            </w:pPr>
            <w:r>
              <w:t>NT (CZ1)</w:t>
            </w:r>
          </w:p>
          <w:p w14:paraId="00E7099C" w14:textId="77777777" w:rsidR="00D24C7F" w:rsidRDefault="00D24C7F">
            <w:pPr>
              <w:pStyle w:val="TableDataColumnHeading"/>
            </w:pPr>
            <w:r>
              <w:t>$ per m2</w:t>
            </w:r>
          </w:p>
        </w:tc>
      </w:tr>
      <w:tr w:rsidR="00D24C7F" w14:paraId="6691391E"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21F423C" w14:textId="77777777" w:rsidR="00D24C7F" w:rsidRDefault="00D24C7F">
            <w:pPr>
              <w:pStyle w:val="TableDataEntries"/>
              <w:jc w:val="left"/>
            </w:pPr>
            <w:r>
              <w:t>Avoided electricity network capacity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43CCA5F" w14:textId="7AA12D5C" w:rsidR="00D24C7F" w:rsidRDefault="00D24C7F">
            <w:pPr>
              <w:pStyle w:val="TableDataEntries"/>
            </w:pPr>
            <w:r>
              <w:t>8.3</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B2C586E" w14:textId="47054B40" w:rsidR="00D24C7F" w:rsidRDefault="00D24C7F">
            <w:pPr>
              <w:pStyle w:val="TableDataEntries"/>
            </w:pPr>
            <w:r>
              <w:t>12.5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F495D75" w14:textId="661CE431" w:rsidR="00D24C7F" w:rsidRDefault="00D24C7F">
            <w:pPr>
              <w:pStyle w:val="TableDataEntries"/>
            </w:pPr>
            <w:r>
              <w:t>8.8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C93481D" w14:textId="10287AB5" w:rsidR="00D24C7F" w:rsidRDefault="00D24C7F">
            <w:pPr>
              <w:pStyle w:val="TableDataEntries"/>
            </w:pPr>
            <w:r>
              <w:t>1.8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9426F0D" w14:textId="7A5A12DC" w:rsidR="00D24C7F" w:rsidRDefault="00D24C7F">
            <w:pPr>
              <w:pStyle w:val="TableDataEntries"/>
            </w:pPr>
            <w:r>
              <w:t>4.8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AB42EE" w14:textId="4B7458EC" w:rsidR="00D24C7F" w:rsidRDefault="00D24C7F">
            <w:pPr>
              <w:pStyle w:val="TableDataEntries"/>
            </w:pPr>
            <w:r>
              <w:t>15.3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336BF2" w14:textId="71C84D8D" w:rsidR="00D24C7F" w:rsidRDefault="00D24C7F">
            <w:pPr>
              <w:pStyle w:val="TableDataEntries"/>
            </w:pPr>
            <w:r>
              <w:t>6.9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C0E155" w14:textId="2F6FF166" w:rsidR="00D24C7F" w:rsidRDefault="00D24C7F">
            <w:pPr>
              <w:pStyle w:val="TableDataEntries"/>
            </w:pPr>
            <w:r>
              <w:t>6.0</w:t>
            </w:r>
          </w:p>
        </w:tc>
      </w:tr>
      <w:tr w:rsidR="00D24C7F" w14:paraId="68ADBBC8"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C49196D" w14:textId="77777777" w:rsidR="00D24C7F" w:rsidRDefault="00D24C7F">
            <w:pPr>
              <w:pStyle w:val="TableDataEntries"/>
              <w:jc w:val="left"/>
            </w:pPr>
            <w:r>
              <w:t>Avoided electricity wholesale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B614928" w14:textId="55220BE7" w:rsidR="00D24C7F" w:rsidRDefault="00D24C7F">
            <w:pPr>
              <w:pStyle w:val="TableDataEntries"/>
            </w:pPr>
            <w:r>
              <w:t>29.1</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E40665C" w14:textId="3A0D928F" w:rsidR="00D24C7F" w:rsidRDefault="00D24C7F">
            <w:pPr>
              <w:pStyle w:val="TableDataEntries"/>
            </w:pPr>
            <w:r>
              <w:t>31.9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7A3C7AA" w14:textId="117B6803" w:rsidR="00D24C7F" w:rsidRDefault="00D24C7F">
            <w:pPr>
              <w:pStyle w:val="TableDataEntries"/>
            </w:pPr>
            <w:r>
              <w:t>37.4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2FA27F" w14:textId="4F5F8C2D" w:rsidR="00D24C7F" w:rsidRDefault="00D24C7F">
            <w:pPr>
              <w:pStyle w:val="TableDataEntries"/>
            </w:pPr>
            <w:r>
              <w:t>19.3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799E88" w14:textId="2B035D06" w:rsidR="00D24C7F" w:rsidRDefault="00D24C7F">
            <w:pPr>
              <w:pStyle w:val="TableDataEntries"/>
            </w:pPr>
            <w:r>
              <w:t>22.0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C38A51" w14:textId="1B9A705B" w:rsidR="00D24C7F" w:rsidRDefault="00D24C7F">
            <w:pPr>
              <w:pStyle w:val="TableDataEntries"/>
            </w:pPr>
            <w:r>
              <w:t>27.3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9E2722" w14:textId="20202826" w:rsidR="00D24C7F" w:rsidRDefault="00D24C7F">
            <w:pPr>
              <w:pStyle w:val="TableDataEntries"/>
            </w:pPr>
            <w:r>
              <w:t>29.9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15017CC" w14:textId="7A803558" w:rsidR="00D24C7F" w:rsidRDefault="00D24C7F">
            <w:pPr>
              <w:pStyle w:val="TableDataEntries"/>
            </w:pPr>
            <w:r>
              <w:t>66.3</w:t>
            </w:r>
          </w:p>
        </w:tc>
      </w:tr>
      <w:tr w:rsidR="00D24C7F" w14:paraId="326E297B"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C09DD37" w14:textId="77777777" w:rsidR="00D24C7F" w:rsidRDefault="00D24C7F">
            <w:pPr>
              <w:pStyle w:val="TableDataEntries"/>
              <w:jc w:val="left"/>
            </w:pPr>
            <w:r>
              <w:t>Avoided electricity network usage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7886F5" w14:textId="3428DD45" w:rsidR="00D24C7F" w:rsidRDefault="00D24C7F">
            <w:pPr>
              <w:pStyle w:val="TableDataEntries"/>
            </w:pPr>
            <w:r>
              <w:t>17.2</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7DE4823" w14:textId="6705DEEC" w:rsidR="00D24C7F" w:rsidRDefault="00D24C7F">
            <w:pPr>
              <w:pStyle w:val="TableDataEntries"/>
            </w:pPr>
            <w:r>
              <w:t>30.4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582261B" w14:textId="040EFFFE" w:rsidR="00D24C7F" w:rsidRDefault="00D24C7F">
            <w:pPr>
              <w:pStyle w:val="TableDataEntries"/>
            </w:pPr>
            <w:r>
              <w:t>22.0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CFCA6E9" w14:textId="09227F17" w:rsidR="00D24C7F" w:rsidRDefault="00D24C7F">
            <w:pPr>
              <w:pStyle w:val="TableDataEntries"/>
            </w:pPr>
            <w:r>
              <w:t>41.5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9C0EF6" w14:textId="38CB9749" w:rsidR="00D24C7F" w:rsidRDefault="00D24C7F">
            <w:pPr>
              <w:pStyle w:val="TableDataEntries"/>
            </w:pPr>
            <w:r>
              <w:t>46.8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4F6D6CC" w14:textId="0AD5E32C" w:rsidR="00D24C7F" w:rsidRDefault="00D24C7F">
            <w:pPr>
              <w:pStyle w:val="TableDataEntries"/>
            </w:pPr>
            <w:r>
              <w:t>44.7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9B2B72" w14:textId="191BD443" w:rsidR="00D24C7F" w:rsidRDefault="00D24C7F">
            <w:pPr>
              <w:pStyle w:val="TableDataEntries"/>
            </w:pPr>
            <w:r>
              <w:t>25.7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7DE9E5C" w14:textId="41F3F3ED" w:rsidR="00D24C7F" w:rsidRDefault="00D24C7F">
            <w:pPr>
              <w:pStyle w:val="TableDataEntries"/>
            </w:pPr>
            <w:r>
              <w:t>33.5</w:t>
            </w:r>
          </w:p>
        </w:tc>
      </w:tr>
      <w:tr w:rsidR="00D24C7F" w14:paraId="5F72FD6F"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73A297A" w14:textId="77777777" w:rsidR="00D24C7F" w:rsidRDefault="00D24C7F">
            <w:pPr>
              <w:pStyle w:val="TableDataEntries"/>
              <w:jc w:val="left"/>
            </w:pPr>
            <w:r>
              <w:t>Avoided electricity retail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D560656" w14:textId="5668008D" w:rsidR="00D24C7F" w:rsidRDefault="00D24C7F">
            <w:pPr>
              <w:pStyle w:val="TableDataEntries"/>
            </w:pPr>
            <w:r>
              <w:t>8.2</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3DE2FE" w14:textId="24FA7C53" w:rsidR="00D24C7F" w:rsidRDefault="00D24C7F">
            <w:pPr>
              <w:pStyle w:val="TableDataEntries"/>
            </w:pPr>
            <w:r>
              <w:t>11.2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939E445" w14:textId="2E41C504" w:rsidR="00D24C7F" w:rsidRDefault="00D24C7F">
            <w:pPr>
              <w:pStyle w:val="TableDataEntries"/>
            </w:pPr>
            <w:r>
              <w:t>10.2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F6F52C" w14:textId="47725651" w:rsidR="00D24C7F" w:rsidRDefault="00D24C7F">
            <w:pPr>
              <w:pStyle w:val="TableDataEntries"/>
            </w:pPr>
            <w:r>
              <w:t>9.4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928651D" w14:textId="5591EAA6" w:rsidR="00D24C7F" w:rsidRDefault="00D24C7F">
            <w:pPr>
              <w:pStyle w:val="TableDataEntries"/>
            </w:pPr>
            <w:r>
              <w:t>11.0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BBD1FD" w14:textId="1305CE7A" w:rsidR="00D24C7F" w:rsidRDefault="00D24C7F">
            <w:pPr>
              <w:pStyle w:val="TableDataEntries"/>
            </w:pPr>
            <w:r>
              <w:t>13.1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973C98E" w14:textId="78845A17" w:rsidR="00D24C7F" w:rsidRDefault="00D24C7F">
            <w:pPr>
              <w:pStyle w:val="TableDataEntries"/>
            </w:pPr>
            <w:r>
              <w:t>9.4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A07FC9E" w14:textId="5BCC260F" w:rsidR="00D24C7F" w:rsidRDefault="00D24C7F">
            <w:pPr>
              <w:pStyle w:val="TableDataEntries"/>
            </w:pPr>
            <w:r>
              <w:t>15.9</w:t>
            </w:r>
          </w:p>
        </w:tc>
      </w:tr>
      <w:tr w:rsidR="00D24C7F" w14:paraId="50419760"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9716277" w14:textId="77777777" w:rsidR="00D24C7F" w:rsidRDefault="00D24C7F">
            <w:pPr>
              <w:pStyle w:val="TableDataEntries"/>
              <w:jc w:val="left"/>
            </w:pPr>
            <w:r>
              <w:t>Electricity exported to grid</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DDB5295" w14:textId="5511977D" w:rsidR="00D24C7F" w:rsidRDefault="00D24C7F">
            <w:pPr>
              <w:pStyle w:val="TableDataEntries"/>
            </w:pPr>
            <w:r>
              <w:t>5.9</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1FC18CA" w14:textId="19DD8C0C" w:rsidR="00D24C7F" w:rsidRDefault="00D24C7F">
            <w:pPr>
              <w:pStyle w:val="TableDataEntries"/>
            </w:pPr>
            <w:r>
              <w:t>5.1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4FBE33" w14:textId="6DB32335" w:rsidR="00D24C7F" w:rsidRDefault="00D24C7F">
            <w:pPr>
              <w:pStyle w:val="TableDataEntries"/>
            </w:pPr>
            <w:r>
              <w:t>8.0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1406294" w14:textId="0BB890F1" w:rsidR="00D24C7F" w:rsidRDefault="00D24C7F">
            <w:pPr>
              <w:pStyle w:val="TableDataEntries"/>
            </w:pPr>
            <w:r>
              <w:t>5.5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E127626" w14:textId="23DA5AC2" w:rsidR="00D24C7F" w:rsidRDefault="00D24C7F">
            <w:pPr>
              <w:pStyle w:val="TableDataEntries"/>
            </w:pPr>
            <w:r>
              <w:t>3.9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54B53FE" w14:textId="2DA3FBA2" w:rsidR="00D24C7F" w:rsidRDefault="00D24C7F">
            <w:pPr>
              <w:pStyle w:val="TableDataEntries"/>
            </w:pPr>
            <w:r>
              <w:t>13.9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5E2017D" w14:textId="231A4601" w:rsidR="00D24C7F" w:rsidRDefault="00D24C7F">
            <w:pPr>
              <w:pStyle w:val="TableDataEntries"/>
            </w:pPr>
            <w:r>
              <w:t>7.1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600235" w14:textId="08E397AF" w:rsidR="00D24C7F" w:rsidRDefault="00D24C7F">
            <w:pPr>
              <w:pStyle w:val="TableDataEntries"/>
            </w:pPr>
            <w:r>
              <w:t>34.0</w:t>
            </w:r>
          </w:p>
        </w:tc>
      </w:tr>
      <w:tr w:rsidR="00D24C7F" w14:paraId="4ED12B63"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F591BE8" w14:textId="77777777" w:rsidR="00D24C7F" w:rsidRDefault="00D24C7F">
            <w:pPr>
              <w:pStyle w:val="TableDataEntries"/>
              <w:jc w:val="left"/>
            </w:pPr>
            <w:r>
              <w:t>Electricity exports — network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89091EA" w14:textId="6882186B" w:rsidR="00D24C7F" w:rsidRDefault="00D24C7F">
            <w:pPr>
              <w:pStyle w:val="TableDataEntries"/>
            </w:pPr>
            <w:r>
              <w:t>-1.5</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D3A7095" w14:textId="45AF28FF" w:rsidR="00D24C7F" w:rsidRDefault="00D24C7F">
            <w:pPr>
              <w:pStyle w:val="TableDataEntries"/>
            </w:pPr>
            <w:r>
              <w:t>-1.1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5FDF545" w14:textId="711466BD" w:rsidR="00D24C7F" w:rsidRDefault="00D24C7F">
            <w:pPr>
              <w:pStyle w:val="TableDataEntries"/>
            </w:pPr>
            <w:r>
              <w:t>-2.1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AB73CB2" w14:textId="0BA3A793" w:rsidR="00D24C7F" w:rsidRDefault="00D24C7F">
            <w:pPr>
              <w:pStyle w:val="TableDataEntries"/>
            </w:pPr>
            <w:r>
              <w:t>-1.5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2A05055" w14:textId="2B962CE8" w:rsidR="00D24C7F" w:rsidRDefault="00D24C7F">
            <w:pPr>
              <w:pStyle w:val="TableDataEntries"/>
            </w:pPr>
            <w:r>
              <w:t>-1.6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B369448" w14:textId="747933FF" w:rsidR="00D24C7F" w:rsidRDefault="00D24C7F">
            <w:pPr>
              <w:pStyle w:val="TableDataEntries"/>
            </w:pPr>
            <w:r>
              <w:t>-1.7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7E39254" w14:textId="103A22B0" w:rsidR="00D24C7F" w:rsidRDefault="00D24C7F">
            <w:pPr>
              <w:pStyle w:val="TableDataEntries"/>
            </w:pPr>
            <w:r>
              <w:t>-1.4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718A3D" w14:textId="4D075FDC" w:rsidR="00D24C7F" w:rsidRDefault="00D24C7F">
            <w:pPr>
              <w:pStyle w:val="TableDataEntries"/>
            </w:pPr>
            <w:r>
              <w:t>-3.1</w:t>
            </w:r>
          </w:p>
        </w:tc>
      </w:tr>
      <w:tr w:rsidR="00D24C7F" w14:paraId="1736D067"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97A5E17" w14:textId="77777777" w:rsidR="00D24C7F" w:rsidRDefault="00D24C7F">
            <w:pPr>
              <w:pStyle w:val="TableDataEntries"/>
              <w:jc w:val="left"/>
            </w:pPr>
            <w:r>
              <w:t>Avoided gas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6786C1F" w14:textId="1451738F" w:rsidR="00D24C7F" w:rsidRDefault="00D24C7F">
            <w:pPr>
              <w:pStyle w:val="TableDataEntries"/>
            </w:pPr>
            <w:r>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4D8E451" w14:textId="6B490380"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BB9F11" w14:textId="18B0702F"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D20606" w14:textId="1657D646"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33DEC85" w14:textId="74ADA98D"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9A78A13" w14:textId="6D297C24"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B68D9FC" w14:textId="026A70F2"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07F85A4" w14:textId="48369701" w:rsidR="00D24C7F" w:rsidRDefault="00D24C7F">
            <w:pPr>
              <w:pStyle w:val="TableDataEntries"/>
            </w:pPr>
            <w:r>
              <w:t>0.0</w:t>
            </w:r>
          </w:p>
        </w:tc>
      </w:tr>
      <w:tr w:rsidR="00D24C7F" w14:paraId="25826733"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CE5C182" w14:textId="77777777" w:rsidR="00D24C7F" w:rsidRDefault="00D24C7F">
            <w:pPr>
              <w:pStyle w:val="TableDataEntries"/>
              <w:jc w:val="left"/>
            </w:pPr>
            <w:r>
              <w:t>Avoided GHG emissions –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53D53A6" w14:textId="091369D0" w:rsidR="00D24C7F" w:rsidRDefault="00D24C7F">
            <w:pPr>
              <w:pStyle w:val="TableDataEntries"/>
            </w:pPr>
            <w:r>
              <w:t>16.6</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CBEBC5B" w14:textId="4895C869" w:rsidR="00D24C7F" w:rsidRDefault="00D24C7F">
            <w:pPr>
              <w:pStyle w:val="TableDataEntries"/>
            </w:pPr>
            <w:r>
              <w:t>31.5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C4CB99C" w14:textId="7A769AED" w:rsidR="00D24C7F" w:rsidRDefault="00D24C7F">
            <w:pPr>
              <w:pStyle w:val="TableDataEntries"/>
            </w:pPr>
            <w:r>
              <w:t>56.1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798B9D" w14:textId="4B2FC495" w:rsidR="00D24C7F" w:rsidRDefault="00D24C7F">
            <w:pPr>
              <w:pStyle w:val="TableDataEntries"/>
            </w:pPr>
            <w:r>
              <w:t>24.5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FEDB5C3" w14:textId="38F8CBF7" w:rsidR="00D24C7F" w:rsidRDefault="00D24C7F">
            <w:pPr>
              <w:pStyle w:val="TableDataEntries"/>
            </w:pPr>
            <w:r>
              <w:t>17.8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62EEBA" w14:textId="3D8D0085" w:rsidR="00D24C7F" w:rsidRDefault="00D24C7F">
            <w:pPr>
              <w:pStyle w:val="TableDataEntries"/>
            </w:pPr>
            <w:r>
              <w:t>2.3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76D3D32" w14:textId="4226A3C5" w:rsidR="00D24C7F" w:rsidRDefault="00D24C7F">
            <w:pPr>
              <w:pStyle w:val="TableDataEntries"/>
            </w:pPr>
            <w:r>
              <w:t>15.7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4D18904" w14:textId="575EE46B" w:rsidR="00D24C7F" w:rsidRDefault="00D24C7F">
            <w:pPr>
              <w:pStyle w:val="TableDataEntries"/>
            </w:pPr>
            <w:r>
              <w:t>62.8</w:t>
            </w:r>
          </w:p>
        </w:tc>
      </w:tr>
      <w:tr w:rsidR="00D24C7F" w14:paraId="636F04EB"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BDD60A" w14:textId="77777777" w:rsidR="00D24C7F" w:rsidRDefault="00D24C7F">
            <w:pPr>
              <w:pStyle w:val="TableDataEntries"/>
              <w:jc w:val="left"/>
            </w:pPr>
            <w:r>
              <w:t>Avoided GHG emissions – exported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BC8EE31" w14:textId="02C4ED42" w:rsidR="00D24C7F" w:rsidRDefault="00D24C7F">
            <w:pPr>
              <w:pStyle w:val="TableDataEntries"/>
            </w:pPr>
            <w:r>
              <w:t>9.3</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6675E3" w14:textId="2EBEAA8B" w:rsidR="00D24C7F" w:rsidRDefault="00D24C7F">
            <w:pPr>
              <w:pStyle w:val="TableDataEntries"/>
            </w:pPr>
            <w:r>
              <w:t>17.1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3C56620" w14:textId="3E9F7B9F" w:rsidR="00D24C7F" w:rsidRDefault="00D24C7F">
            <w:pPr>
              <w:pStyle w:val="TableDataEntries"/>
            </w:pPr>
            <w:r>
              <w:t>29.6</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EB993E" w14:textId="13E11783" w:rsidR="00D24C7F" w:rsidRDefault="00D24C7F">
            <w:pPr>
              <w:pStyle w:val="TableDataEntries"/>
            </w:pPr>
            <w:r>
              <w:t>13.7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7629B2A" w14:textId="37CB8F33" w:rsidR="00D24C7F" w:rsidRDefault="00D24C7F">
            <w:pPr>
              <w:pStyle w:val="TableDataEntries"/>
            </w:pPr>
            <w:r>
              <w:t>10.0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E78A93" w14:textId="41F233FD" w:rsidR="00D24C7F" w:rsidRDefault="00D24C7F">
            <w:pPr>
              <w:pStyle w:val="TableDataEntries"/>
            </w:pPr>
            <w:r>
              <w:t>1.4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9BC0DF4" w14:textId="28A86192" w:rsidR="00D24C7F" w:rsidRDefault="00D24C7F">
            <w:pPr>
              <w:pStyle w:val="TableDataEntries"/>
            </w:pPr>
            <w:r>
              <w:t>9.3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E7040B3" w14:textId="37D1F494" w:rsidR="00D24C7F" w:rsidRDefault="00D24C7F">
            <w:pPr>
              <w:pStyle w:val="TableDataEntries"/>
            </w:pPr>
            <w:r>
              <w:t>38.5</w:t>
            </w:r>
          </w:p>
        </w:tc>
      </w:tr>
      <w:tr w:rsidR="00D24C7F" w14:paraId="6D2BC6DC"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1C88CF" w14:textId="77777777" w:rsidR="00D24C7F" w:rsidRDefault="00D24C7F">
            <w:pPr>
              <w:pStyle w:val="TableDataEntries"/>
              <w:jc w:val="left"/>
            </w:pPr>
            <w:r>
              <w:t>Avoided GHG emissions – gas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2B93415" w14:textId="0788B1A7" w:rsidR="00D24C7F" w:rsidRDefault="00D24C7F">
            <w:pPr>
              <w:pStyle w:val="TableDataEntries"/>
            </w:pPr>
            <w:r>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0FDD06" w14:textId="760100FF"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99F0F64" w14:textId="7B0A8279"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1E2B80" w14:textId="6D441E43"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777B81" w14:textId="50342924"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8C9F1EF" w14:textId="3B823A69" w:rsidR="00D24C7F" w:rsidRDefault="00D24C7F">
            <w:pPr>
              <w:pStyle w:val="TableDataEntries"/>
            </w:pPr>
            <w:r>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6533125" w14:textId="55379211" w:rsidR="00D24C7F" w:rsidRDefault="00D24C7F">
            <w:pPr>
              <w:pStyle w:val="TableDataEntries"/>
            </w:pPr>
            <w:r>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09131AE" w14:textId="1521278B" w:rsidR="00D24C7F" w:rsidRDefault="00D24C7F">
            <w:pPr>
              <w:pStyle w:val="TableDataEntries"/>
            </w:pPr>
            <w:r>
              <w:t>0.0</w:t>
            </w:r>
          </w:p>
        </w:tc>
      </w:tr>
      <w:tr w:rsidR="00D24C7F" w14:paraId="2F8E4B2B"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78E048" w14:textId="77777777" w:rsidR="00D24C7F" w:rsidRDefault="00D24C7F">
            <w:pPr>
              <w:pStyle w:val="TableDataEntries"/>
              <w:jc w:val="left"/>
            </w:pPr>
            <w:r>
              <w:t>Capital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F40F576" w14:textId="1BF77837" w:rsidR="00D24C7F" w:rsidRDefault="00D24C7F">
            <w:pPr>
              <w:pStyle w:val="TableDataEntries"/>
            </w:pPr>
            <w:r>
              <w:t>-24.4</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A157866" w14:textId="40F481B1" w:rsidR="00D24C7F" w:rsidRDefault="00D24C7F">
            <w:pPr>
              <w:pStyle w:val="TableDataEntries"/>
            </w:pPr>
            <w:r>
              <w:t>42.3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B8B44D" w14:textId="0FF680DC" w:rsidR="00D24C7F" w:rsidRDefault="00D24C7F">
            <w:pPr>
              <w:pStyle w:val="TableDataEntries"/>
            </w:pPr>
            <w:r>
              <w:t>-8.3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CE9C03F" w14:textId="49F41923" w:rsidR="00D24C7F" w:rsidRDefault="00D24C7F">
            <w:pPr>
              <w:pStyle w:val="TableDataEntries"/>
            </w:pPr>
            <w:r>
              <w:t>-24.4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E80F54C" w14:textId="0DEE776F" w:rsidR="00D24C7F" w:rsidRDefault="00D24C7F">
            <w:pPr>
              <w:pStyle w:val="TableDataEntries"/>
            </w:pPr>
            <w:r>
              <w:t>-24.4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44F383A" w14:textId="182B8744" w:rsidR="00D24C7F" w:rsidRDefault="00D24C7F">
            <w:pPr>
              <w:pStyle w:val="TableDataEntries"/>
            </w:pPr>
            <w:r>
              <w:t>-27.5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E2CFE2E" w14:textId="2FD4F536" w:rsidR="00D24C7F" w:rsidRDefault="00D24C7F">
            <w:pPr>
              <w:pStyle w:val="TableDataEntries"/>
            </w:pPr>
            <w:r>
              <w:t>-27.5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F20273E" w14:textId="1B28B722" w:rsidR="00D24C7F" w:rsidRDefault="00D24C7F">
            <w:pPr>
              <w:pStyle w:val="TableDataEntries"/>
            </w:pPr>
            <w:r>
              <w:t>-84.4</w:t>
            </w:r>
          </w:p>
        </w:tc>
      </w:tr>
      <w:tr w:rsidR="00D24C7F" w:rsidRPr="00431994" w14:paraId="2224AC99" w14:textId="77777777">
        <w:trPr>
          <w:trHeight w:val="245"/>
        </w:trPr>
        <w:tc>
          <w:tcPr>
            <w:tcW w:w="2627"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0E67BB4" w14:textId="77777777" w:rsidR="00D24C7F" w:rsidRPr="00431994" w:rsidRDefault="00D24C7F">
            <w:pPr>
              <w:pStyle w:val="TableDataEntries"/>
              <w:jc w:val="left"/>
              <w:rPr>
                <w:rFonts w:ascii="Franklin Gothic Demi" w:hAnsi="Franklin Gothic Demi"/>
              </w:rPr>
            </w:pPr>
            <w:r w:rsidRPr="00431994">
              <w:rPr>
                <w:rFonts w:ascii="Franklin Gothic Demi" w:hAnsi="Franklin Gothic Demi"/>
              </w:rPr>
              <w:t>Total</w:t>
            </w:r>
          </w:p>
        </w:tc>
        <w:tc>
          <w:tcPr>
            <w:tcW w:w="63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5245C05" w14:textId="01A3F000" w:rsidR="00D24C7F" w:rsidRPr="00431994" w:rsidRDefault="00D24C7F">
            <w:pPr>
              <w:pStyle w:val="TableDataEntries"/>
              <w:rPr>
                <w:rFonts w:ascii="Franklin Gothic Demi" w:hAnsi="Franklin Gothic Demi"/>
              </w:rPr>
            </w:pPr>
            <w:r w:rsidRPr="00431994">
              <w:rPr>
                <w:rFonts w:ascii="Franklin Gothic Demi" w:hAnsi="Franklin Gothic Demi"/>
              </w:rPr>
              <w:t>68.6</w:t>
            </w:r>
          </w:p>
        </w:tc>
        <w:tc>
          <w:tcPr>
            <w:tcW w:w="69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7EEAE50F" w14:textId="32105E30" w:rsidR="00D24C7F" w:rsidRPr="00431994" w:rsidRDefault="00D24C7F">
            <w:pPr>
              <w:pStyle w:val="TableDataEntries"/>
              <w:rPr>
                <w:rFonts w:ascii="Franklin Gothic Demi" w:hAnsi="Franklin Gothic Demi"/>
              </w:rPr>
            </w:pPr>
            <w:r w:rsidRPr="00431994">
              <w:rPr>
                <w:rFonts w:ascii="Franklin Gothic Demi" w:hAnsi="Franklin Gothic Demi"/>
              </w:rPr>
              <w:t>180.8</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4627377" w14:textId="6CEA4472" w:rsidR="00D24C7F" w:rsidRPr="00431994" w:rsidRDefault="00D24C7F">
            <w:pPr>
              <w:pStyle w:val="TableDataEntries"/>
              <w:rPr>
                <w:rFonts w:ascii="Franklin Gothic Demi" w:hAnsi="Franklin Gothic Demi"/>
              </w:rPr>
            </w:pPr>
            <w:r w:rsidRPr="00431994">
              <w:rPr>
                <w:rFonts w:ascii="Franklin Gothic Demi" w:hAnsi="Franklin Gothic Demi"/>
              </w:rPr>
              <w:t>161.7</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FF4539B" w14:textId="205C23D6" w:rsidR="00D24C7F" w:rsidRPr="00431994" w:rsidRDefault="00D24C7F">
            <w:pPr>
              <w:pStyle w:val="TableDataEntries"/>
              <w:rPr>
                <w:rFonts w:ascii="Franklin Gothic Demi" w:hAnsi="Franklin Gothic Demi"/>
              </w:rPr>
            </w:pPr>
            <w:r w:rsidRPr="00431994">
              <w:rPr>
                <w:rFonts w:ascii="Franklin Gothic Demi" w:hAnsi="Franklin Gothic Demi"/>
              </w:rPr>
              <w:t>89.7</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7B381DB3" w14:textId="2AF33FF3" w:rsidR="00D24C7F" w:rsidRPr="00431994" w:rsidRDefault="00D24C7F">
            <w:pPr>
              <w:pStyle w:val="TableDataEntries"/>
              <w:rPr>
                <w:rFonts w:ascii="Franklin Gothic Demi" w:hAnsi="Franklin Gothic Demi"/>
              </w:rPr>
            </w:pPr>
            <w:r w:rsidRPr="00431994">
              <w:rPr>
                <w:rFonts w:ascii="Franklin Gothic Demi" w:hAnsi="Franklin Gothic Demi"/>
              </w:rPr>
              <w:t>90.4</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2D8454D" w14:textId="175B6BF1" w:rsidR="00D24C7F" w:rsidRPr="00431994" w:rsidRDefault="00D24C7F">
            <w:pPr>
              <w:pStyle w:val="TableDataEntries"/>
              <w:rPr>
                <w:rFonts w:ascii="Franklin Gothic Demi" w:hAnsi="Franklin Gothic Demi"/>
              </w:rPr>
            </w:pPr>
            <w:r w:rsidRPr="00431994">
              <w:rPr>
                <w:rFonts w:ascii="Franklin Gothic Demi" w:hAnsi="Franklin Gothic Demi"/>
              </w:rPr>
              <w:t>88.7</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DE77CC1" w14:textId="65874359" w:rsidR="00D24C7F" w:rsidRPr="00431994" w:rsidRDefault="00D24C7F">
            <w:pPr>
              <w:pStyle w:val="TableDataEntries"/>
              <w:rPr>
                <w:rFonts w:ascii="Franklin Gothic Demi" w:hAnsi="Franklin Gothic Demi"/>
              </w:rPr>
            </w:pPr>
            <w:r w:rsidRPr="00431994">
              <w:rPr>
                <w:rFonts w:ascii="Franklin Gothic Demi" w:hAnsi="Franklin Gothic Demi"/>
              </w:rPr>
              <w:t>75.0</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24A9D387" w14:textId="6CED74C4" w:rsidR="00D24C7F" w:rsidRPr="00431994" w:rsidRDefault="00D24C7F">
            <w:pPr>
              <w:pStyle w:val="TableDataEntries"/>
              <w:rPr>
                <w:rFonts w:ascii="Franklin Gothic Demi" w:hAnsi="Franklin Gothic Demi"/>
              </w:rPr>
            </w:pPr>
            <w:r w:rsidRPr="00431994">
              <w:rPr>
                <w:rFonts w:ascii="Franklin Gothic Demi" w:hAnsi="Franklin Gothic Demi"/>
              </w:rPr>
              <w:t>169.5</w:t>
            </w:r>
          </w:p>
        </w:tc>
      </w:tr>
    </w:tbl>
    <w:p w14:paraId="73FE3927" w14:textId="77777777" w:rsidR="00D24C7F" w:rsidRDefault="00D24C7F" w:rsidP="00D24C7F">
      <w:pPr>
        <w:pStyle w:val="Note"/>
      </w:pPr>
      <w:r w:rsidRPr="007D1B4F">
        <w:rPr>
          <w:i/>
        </w:rPr>
        <w:t>Note:</w:t>
      </w:r>
      <w:r w:rsidRPr="00E879B8">
        <w:t xml:space="preserve"> </w:t>
      </w:r>
      <w:r>
        <w:t>Costs and benefits estimated in present value terms over the 50</w:t>
      </w:r>
      <w:r>
        <w:noBreakHyphen/>
        <w:t xml:space="preserve">year life of a building constructed in 2025, using a discount rate of 5 per cent. </w:t>
      </w:r>
    </w:p>
    <w:p w14:paraId="7AE3899F" w14:textId="77777777" w:rsidR="00D24C7F" w:rsidRDefault="00D24C7F" w:rsidP="00D24C7F">
      <w:pPr>
        <w:pStyle w:val="Source"/>
      </w:pPr>
      <w:r>
        <w:rPr>
          <w:i/>
        </w:rPr>
        <w:t>Source</w:t>
      </w:r>
      <w:r w:rsidRPr="00E4232C">
        <w:rPr>
          <w:i/>
        </w:rPr>
        <w:t>:</w:t>
      </w:r>
      <w:r>
        <w:t xml:space="preserve"> CIE based on DeltaQ modelling.</w:t>
      </w:r>
    </w:p>
    <w:p w14:paraId="06238DBB" w14:textId="77777777" w:rsidR="00D24C7F" w:rsidRDefault="00D24C7F" w:rsidP="00D24C7F">
      <w:pPr>
        <w:pStyle w:val="Heading7"/>
      </w:pPr>
      <w:r>
        <w:t>Stringency Level 3</w:t>
      </w:r>
    </w:p>
    <w:p w14:paraId="1D00E0E1" w14:textId="1AF69196" w:rsidR="00D24C7F" w:rsidRDefault="00D24C7F" w:rsidP="00D24C7F">
      <w:pPr>
        <w:pStyle w:val="BodyText"/>
      </w:pPr>
      <w:r>
        <w:t>The Stringency Level 3 building</w:t>
      </w:r>
      <w:r>
        <w:noBreakHyphen/>
        <w:t>level CBA results for building archetypes C3HL and C9A are reported in tables </w:t>
      </w:r>
      <w:r w:rsidR="00CE6D73">
        <w:t>H.19</w:t>
      </w:r>
      <w:r>
        <w:t xml:space="preserve"> and </w:t>
      </w:r>
      <w:r w:rsidR="00CE6D73">
        <w:t>H.20</w:t>
      </w:r>
      <w:r>
        <w:t>. The results for building archetype C5OL are reported in the main body of the report. As the remaining building archetypes are modelled as fully electric, Stringency Level 3 is not relevant to those archetypes.</w:t>
      </w:r>
    </w:p>
    <w:p w14:paraId="45BFD614" w14:textId="2F5973E9" w:rsidR="00D24C7F" w:rsidRPr="005E5FA8" w:rsidRDefault="00D24C7F" w:rsidP="00D24C7F">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w:instrText>
      </w:r>
      <w:fldSimple w:instr=" STYLEREF &quot;Heading 1&quot; \l \n ">
        <w:r w:rsidRPr="005E5FA8">
          <w:instrText>2</w:instrText>
        </w:r>
      </w:fldSimple>
      <w:r w:rsidRPr="005E5FA8">
        <w:instrText xml:space="preserve">." </w:instrText>
      </w:r>
      <w:r w:rsidRPr="005E5FA8">
        <w:fldChar w:fldCharType="end"/>
      </w:r>
      <w:r w:rsidRPr="005E5FA8">
        <w:instrText>" "</w:instrText>
      </w:r>
      <w:fldSimple w:instr=" STYLEREF &quot;Heading 6&quot; \l \n ">
        <w:r w:rsidR="00581346">
          <w:rPr>
            <w:noProof/>
          </w:rPr>
          <w:instrText>H</w:instrText>
        </w:r>
      </w:fldSimple>
      <w:r w:rsidRPr="005E5FA8">
        <w:instrText xml:space="preserve">." </w:instrText>
      </w:r>
      <w:r w:rsidRPr="005E5FA8">
        <w:fldChar w:fldCharType="separate"/>
      </w:r>
      <w:r w:rsidR="00581346">
        <w:rPr>
          <w:noProof/>
        </w:rPr>
        <w:instrText>H</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"1" </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19</w:instrText>
      </w:r>
      <w:r w:rsidRPr="005E5FA8">
        <w:fldChar w:fldCharType="end"/>
      </w:r>
      <w:r w:rsidRPr="005E5FA8">
        <w:instrText xml:space="preserve">" "" </w:instrText>
      </w:r>
      <w:r w:rsidRPr="005E5FA8">
        <w:fldChar w:fldCharType="separate"/>
      </w:r>
      <w:bookmarkStart w:id="10271" w:name="_Caption1439"/>
      <w:bookmarkStart w:id="10272" w:name="_Caption0128"/>
      <w:bookmarkStart w:id="10273" w:name="_Caption9922"/>
      <w:bookmarkStart w:id="10274" w:name="_Caption1972"/>
      <w:bookmarkStart w:id="10275" w:name="_Caption7717"/>
      <w:bookmarkStart w:id="10276" w:name="_Caption6685"/>
      <w:bookmarkStart w:id="10277" w:name="_Caption0135"/>
      <w:bookmarkStart w:id="10278" w:name="_Caption4065"/>
      <w:bookmarkStart w:id="10279" w:name="_Caption5907"/>
      <w:bookmarkStart w:id="10280" w:name="_Caption8395"/>
      <w:bookmarkStart w:id="10281" w:name="_Caption3273"/>
      <w:bookmarkStart w:id="10282" w:name="_Caption2928"/>
      <w:bookmarkStart w:id="10283" w:name="_Caption5245"/>
      <w:bookmarkStart w:id="10284" w:name="_Caption5208"/>
      <w:bookmarkStart w:id="10285" w:name="_Caption7008"/>
      <w:bookmarkStart w:id="10286" w:name="_Caption7339"/>
      <w:bookmarkStart w:id="10287" w:name="_Caption5324"/>
      <w:bookmarkStart w:id="10288" w:name="_Caption1022"/>
      <w:bookmarkStart w:id="10289" w:name="_Caption2127"/>
      <w:bookmarkStart w:id="10290" w:name="_Caption0852"/>
      <w:bookmarkStart w:id="10291" w:name="_Caption6727"/>
      <w:bookmarkStart w:id="10292" w:name="_Caption8026"/>
      <w:bookmarkStart w:id="10293" w:name="_Caption6304"/>
      <w:bookmarkStart w:id="10294" w:name="_Caption5915"/>
      <w:bookmarkStart w:id="10295" w:name="_Caption4693"/>
      <w:bookmarkStart w:id="10296" w:name="_Toc177735269"/>
      <w:bookmarkStart w:id="10297" w:name="_Toc178292711"/>
      <w:r w:rsidR="008C60A3">
        <w:rPr>
          <w:noProof/>
        </w:rPr>
        <w:t>H</w:t>
      </w:r>
      <w:r w:rsidR="008C60A3" w:rsidRPr="005E5FA8">
        <w:rPr>
          <w:noProof/>
        </w:rPr>
        <w:t>.</w:t>
      </w:r>
      <w:r w:rsidR="008C60A3">
        <w:rPr>
          <w:noProof/>
        </w:rPr>
        <w:t>19</w:t>
      </w:r>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r w:rsidRPr="005E5FA8">
        <w:fldChar w:fldCharType="end"/>
      </w:r>
      <w:r w:rsidRPr="005E5FA8">
        <w:tab/>
        <w:t>Stringency Level 3 estimated costs and benefits — C3HL</w:t>
      </w:r>
      <w:bookmarkEnd w:id="10296"/>
      <w:bookmarkEnd w:id="10297"/>
    </w:p>
    <w:tbl>
      <w:tblPr>
        <w:tblW w:w="7936" w:type="dxa"/>
        <w:tblLayout w:type="fixed"/>
        <w:tblLook w:val="0000" w:firstRow="0" w:lastRow="0" w:firstColumn="0" w:lastColumn="0" w:noHBand="0" w:noVBand="0"/>
        <w:tblCaption w:val="Table G.19"/>
        <w:tblDescription w:val="Stringency Level 3 estimated costs and benefits — C3HL"/>
      </w:tblPr>
      <w:tblGrid>
        <w:gridCol w:w="2627"/>
        <w:gridCol w:w="634"/>
        <w:gridCol w:w="693"/>
        <w:gridCol w:w="664"/>
        <w:gridCol w:w="663"/>
        <w:gridCol w:w="664"/>
        <w:gridCol w:w="664"/>
        <w:gridCol w:w="663"/>
        <w:gridCol w:w="664"/>
      </w:tblGrid>
      <w:tr w:rsidR="00D24C7F" w14:paraId="2E72EBF0" w14:textId="77777777">
        <w:trPr>
          <w:trHeight w:val="245"/>
          <w:tblHeader/>
        </w:trPr>
        <w:tc>
          <w:tcPr>
            <w:tcW w:w="2627" w:type="dxa"/>
            <w:shd w:val="clear" w:color="auto" w:fill="6F6652"/>
            <w:tcMar>
              <w:left w:w="57" w:type="dxa"/>
              <w:right w:w="57" w:type="dxa"/>
            </w:tcMar>
          </w:tcPr>
          <w:p w14:paraId="6B849BE6" w14:textId="77777777" w:rsidR="00D24C7F" w:rsidRDefault="00D24C7F">
            <w:pPr>
              <w:pStyle w:val="TableDataColumnHeading"/>
              <w:jc w:val="left"/>
            </w:pPr>
            <w:r>
              <w:t>Impact</w:t>
            </w:r>
          </w:p>
        </w:tc>
        <w:tc>
          <w:tcPr>
            <w:tcW w:w="634" w:type="dxa"/>
            <w:shd w:val="clear" w:color="auto" w:fill="6F6652"/>
            <w:tcMar>
              <w:left w:w="57" w:type="dxa"/>
              <w:right w:w="57" w:type="dxa"/>
            </w:tcMar>
          </w:tcPr>
          <w:p w14:paraId="595DB034" w14:textId="77777777" w:rsidR="00D24C7F" w:rsidRDefault="00D24C7F">
            <w:pPr>
              <w:pStyle w:val="TableDataColumnHeading"/>
            </w:pPr>
            <w:r>
              <w:t>NSW (CZ5)</w:t>
            </w:r>
          </w:p>
          <w:p w14:paraId="7A3D9939" w14:textId="77777777" w:rsidR="00D24C7F" w:rsidRDefault="00D24C7F">
            <w:pPr>
              <w:pStyle w:val="TableDataColumnHeading"/>
            </w:pPr>
            <w:r>
              <w:t>$ per m2</w:t>
            </w:r>
          </w:p>
        </w:tc>
        <w:tc>
          <w:tcPr>
            <w:tcW w:w="693" w:type="dxa"/>
            <w:shd w:val="clear" w:color="auto" w:fill="6F6652"/>
            <w:tcMar>
              <w:left w:w="57" w:type="dxa"/>
              <w:right w:w="57" w:type="dxa"/>
            </w:tcMar>
          </w:tcPr>
          <w:p w14:paraId="282C13D9" w14:textId="77777777" w:rsidR="00D24C7F" w:rsidRDefault="00D24C7F">
            <w:pPr>
              <w:pStyle w:val="TableDataColumnHeading"/>
            </w:pPr>
            <w:r>
              <w:t>VIC (CZ6)</w:t>
            </w:r>
          </w:p>
          <w:p w14:paraId="3E02344A" w14:textId="77777777" w:rsidR="00D24C7F" w:rsidRDefault="00D24C7F">
            <w:pPr>
              <w:pStyle w:val="TableDataColumnHeading"/>
            </w:pPr>
            <w:r>
              <w:t>$ per m2</w:t>
            </w:r>
          </w:p>
        </w:tc>
        <w:tc>
          <w:tcPr>
            <w:tcW w:w="664" w:type="dxa"/>
            <w:shd w:val="clear" w:color="auto" w:fill="6F6652"/>
            <w:tcMar>
              <w:left w:w="57" w:type="dxa"/>
              <w:right w:w="57" w:type="dxa"/>
            </w:tcMar>
          </w:tcPr>
          <w:p w14:paraId="759CC728" w14:textId="77777777" w:rsidR="00D24C7F" w:rsidRDefault="00D24C7F">
            <w:pPr>
              <w:pStyle w:val="TableDataColumnHeading"/>
            </w:pPr>
            <w:r>
              <w:t>QLD (CZ2)</w:t>
            </w:r>
          </w:p>
          <w:p w14:paraId="1A91464A" w14:textId="77777777" w:rsidR="00D24C7F" w:rsidRDefault="00D24C7F">
            <w:pPr>
              <w:pStyle w:val="TableDataColumnHeading"/>
            </w:pPr>
            <w:r>
              <w:t>$ per m2</w:t>
            </w:r>
          </w:p>
        </w:tc>
        <w:tc>
          <w:tcPr>
            <w:tcW w:w="663" w:type="dxa"/>
            <w:shd w:val="clear" w:color="auto" w:fill="6F6652"/>
            <w:tcMar>
              <w:left w:w="57" w:type="dxa"/>
              <w:right w:w="57" w:type="dxa"/>
            </w:tcMar>
          </w:tcPr>
          <w:p w14:paraId="524248FE" w14:textId="77777777" w:rsidR="00D24C7F" w:rsidRDefault="00D24C7F">
            <w:pPr>
              <w:pStyle w:val="TableDataColumnHeading"/>
            </w:pPr>
            <w:r>
              <w:t>WA (CZ5)</w:t>
            </w:r>
          </w:p>
          <w:p w14:paraId="53F71662" w14:textId="77777777" w:rsidR="00D24C7F" w:rsidRDefault="00D24C7F">
            <w:pPr>
              <w:pStyle w:val="TableDataColumnHeading"/>
            </w:pPr>
            <w:r>
              <w:t>$ per m2</w:t>
            </w:r>
          </w:p>
        </w:tc>
        <w:tc>
          <w:tcPr>
            <w:tcW w:w="664" w:type="dxa"/>
            <w:shd w:val="clear" w:color="auto" w:fill="6F6652"/>
            <w:tcMar>
              <w:left w:w="57" w:type="dxa"/>
              <w:right w:w="57" w:type="dxa"/>
            </w:tcMar>
          </w:tcPr>
          <w:p w14:paraId="49228CD6" w14:textId="77777777" w:rsidR="00D24C7F" w:rsidRDefault="00D24C7F">
            <w:pPr>
              <w:pStyle w:val="TableDataColumnHeading"/>
            </w:pPr>
            <w:r>
              <w:t>SA (CZ5)</w:t>
            </w:r>
          </w:p>
          <w:p w14:paraId="4D81C269" w14:textId="77777777" w:rsidR="00D24C7F" w:rsidRDefault="00D24C7F">
            <w:pPr>
              <w:pStyle w:val="TableDataColumnHeading"/>
            </w:pPr>
            <w:r>
              <w:t>$ per m2</w:t>
            </w:r>
          </w:p>
        </w:tc>
        <w:tc>
          <w:tcPr>
            <w:tcW w:w="664" w:type="dxa"/>
            <w:shd w:val="clear" w:color="auto" w:fill="6F6652"/>
            <w:tcMar>
              <w:left w:w="57" w:type="dxa"/>
              <w:right w:w="57" w:type="dxa"/>
            </w:tcMar>
          </w:tcPr>
          <w:p w14:paraId="060C19BA" w14:textId="77777777" w:rsidR="00D24C7F" w:rsidRDefault="00D24C7F">
            <w:pPr>
              <w:pStyle w:val="TableDataColumnHeading"/>
            </w:pPr>
            <w:r>
              <w:t>TAS (CZ7)</w:t>
            </w:r>
          </w:p>
          <w:p w14:paraId="1943B769" w14:textId="77777777" w:rsidR="00D24C7F" w:rsidRDefault="00D24C7F">
            <w:pPr>
              <w:pStyle w:val="TableDataColumnHeading"/>
            </w:pPr>
            <w:r>
              <w:t>$ per m2</w:t>
            </w:r>
          </w:p>
        </w:tc>
        <w:tc>
          <w:tcPr>
            <w:tcW w:w="663" w:type="dxa"/>
            <w:shd w:val="clear" w:color="auto" w:fill="6F6652"/>
            <w:tcMar>
              <w:left w:w="57" w:type="dxa"/>
              <w:right w:w="57" w:type="dxa"/>
            </w:tcMar>
          </w:tcPr>
          <w:p w14:paraId="55DFEB85" w14:textId="77777777" w:rsidR="00D24C7F" w:rsidRDefault="00D24C7F">
            <w:pPr>
              <w:pStyle w:val="TableDataColumnHeading"/>
            </w:pPr>
            <w:r>
              <w:t>ACT (CZ7)</w:t>
            </w:r>
          </w:p>
          <w:p w14:paraId="0A5B25E3" w14:textId="77777777" w:rsidR="00D24C7F" w:rsidRDefault="00D24C7F">
            <w:pPr>
              <w:pStyle w:val="TableDataColumnHeading"/>
            </w:pPr>
            <w:r>
              <w:t>$ per m2</w:t>
            </w:r>
          </w:p>
        </w:tc>
        <w:tc>
          <w:tcPr>
            <w:tcW w:w="664" w:type="dxa"/>
            <w:shd w:val="clear" w:color="auto" w:fill="6F6652"/>
            <w:tcMar>
              <w:left w:w="57" w:type="dxa"/>
              <w:right w:w="57" w:type="dxa"/>
            </w:tcMar>
          </w:tcPr>
          <w:p w14:paraId="65C91D66" w14:textId="77777777" w:rsidR="00D24C7F" w:rsidRDefault="00D24C7F">
            <w:pPr>
              <w:pStyle w:val="TableDataColumnHeading"/>
            </w:pPr>
            <w:r>
              <w:t>NT (CZ1)</w:t>
            </w:r>
          </w:p>
          <w:p w14:paraId="6F79CB23" w14:textId="77777777" w:rsidR="00D24C7F" w:rsidRDefault="00D24C7F">
            <w:pPr>
              <w:pStyle w:val="TableDataColumnHeading"/>
            </w:pPr>
            <w:r>
              <w:t>$ per m2</w:t>
            </w:r>
          </w:p>
        </w:tc>
      </w:tr>
      <w:tr w:rsidR="00D24C7F" w14:paraId="3513DC3A"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9D21129" w14:textId="2076F0A9" w:rsidR="00D24C7F" w:rsidRDefault="00D24C7F">
            <w:pPr>
              <w:pStyle w:val="TableDataEntries"/>
              <w:jc w:val="left"/>
            </w:pPr>
            <w:r>
              <w:t>Avoided electricity network capacity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E9037F" w14:textId="0682706B" w:rsidR="00D24C7F" w:rsidRDefault="002D45A1">
            <w:pPr>
              <w:pStyle w:val="TableDataEntries"/>
            </w:pPr>
            <w:r w:rsidRPr="009A7109">
              <w:t>-5.5</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838026B" w14:textId="30BD6D51" w:rsidR="00D24C7F" w:rsidRDefault="002D45A1">
            <w:pPr>
              <w:pStyle w:val="TableDataEntries"/>
            </w:pPr>
            <w:r w:rsidRPr="009A7109">
              <w:t>0.4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C19032" w14:textId="185452BE" w:rsidR="00D24C7F" w:rsidRDefault="002D45A1">
            <w:pPr>
              <w:pStyle w:val="TableDataEntries"/>
            </w:pPr>
            <w:r w:rsidRPr="009A7109">
              <w:t>0.3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7C5B963" w14:textId="1FBFCE23" w:rsidR="00D24C7F" w:rsidRDefault="002D45A1">
            <w:pPr>
              <w:pStyle w:val="TableDataEntries"/>
            </w:pPr>
            <w:r w:rsidRPr="009A7109">
              <w:t>-</w:t>
            </w:r>
            <w:r w:rsidR="0046192E" w:rsidRPr="00DE7CA3">
              <w:t>0.</w:t>
            </w:r>
            <w:r w:rsidRPr="009A7109">
              <w:t>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765E208" w14:textId="5910A4FC" w:rsidR="00D24C7F" w:rsidRDefault="002D45A1">
            <w:pPr>
              <w:pStyle w:val="TableDataEntries"/>
            </w:pPr>
            <w:r w:rsidRPr="009A7109">
              <w:t>1.7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9D294B" w14:textId="13253250" w:rsidR="00D24C7F" w:rsidRDefault="002D45A1">
            <w:pPr>
              <w:pStyle w:val="TableDataEntries"/>
            </w:pPr>
            <w:r w:rsidRPr="009A7109">
              <w:t>-53.7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45FAA9" w14:textId="69A82E2E" w:rsidR="00D24C7F" w:rsidRDefault="002D45A1">
            <w:pPr>
              <w:pStyle w:val="TableDataEntries"/>
            </w:pPr>
            <w:r w:rsidRPr="009A7109">
              <w:t>-24.4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9AE0C1F" w14:textId="562715F9" w:rsidR="00D24C7F" w:rsidRDefault="002D45A1">
            <w:pPr>
              <w:pStyle w:val="TableDataEntries"/>
            </w:pPr>
            <w:r w:rsidRPr="009A7109">
              <w:t>5.9</w:t>
            </w:r>
          </w:p>
        </w:tc>
      </w:tr>
      <w:tr w:rsidR="00D24C7F" w14:paraId="7439CD55"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F4642D" w14:textId="7DAACA2F" w:rsidR="00D24C7F" w:rsidRDefault="00D24C7F">
            <w:pPr>
              <w:pStyle w:val="TableDataEntries"/>
              <w:jc w:val="left"/>
            </w:pPr>
            <w:r>
              <w:t>Avoided electricity wholesale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BB3FAA6" w14:textId="1919F025" w:rsidR="00D24C7F" w:rsidRDefault="002D45A1">
            <w:pPr>
              <w:pStyle w:val="TableDataEntries"/>
            </w:pPr>
            <w:r w:rsidRPr="009A7109">
              <w:t>-15.8</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2A38626" w14:textId="14BC9A93" w:rsidR="00D24C7F" w:rsidRDefault="0046192E">
            <w:pPr>
              <w:pStyle w:val="TableDataEntries"/>
            </w:pPr>
            <w:r w:rsidRPr="00DE7CA3">
              <w:t>-</w:t>
            </w:r>
            <w:r w:rsidR="002D45A1" w:rsidRPr="009A7109">
              <w:t>20</w:t>
            </w:r>
            <w:r w:rsidRPr="00DE7CA3">
              <w:t>.5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5E4376" w14:textId="0E2E5760" w:rsidR="00D24C7F" w:rsidRDefault="002D45A1">
            <w:pPr>
              <w:pStyle w:val="TableDataEntries"/>
            </w:pPr>
            <w:r w:rsidRPr="009A7109">
              <w:t>-0.7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94ECFAC" w14:textId="395CEC2E" w:rsidR="00D24C7F" w:rsidRDefault="002D45A1">
            <w:pPr>
              <w:pStyle w:val="TableDataEntries"/>
            </w:pPr>
            <w:r w:rsidRPr="009A7109">
              <w:t>-7.7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81D01A" w14:textId="176E4800" w:rsidR="00D24C7F" w:rsidRDefault="002D45A1">
            <w:pPr>
              <w:pStyle w:val="TableDataEntries"/>
            </w:pPr>
            <w:r w:rsidRPr="009A7109">
              <w:t>-16.5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194E62" w14:textId="5D4E437C" w:rsidR="00D24C7F" w:rsidRDefault="002D45A1">
            <w:pPr>
              <w:pStyle w:val="TableDataEntries"/>
            </w:pPr>
            <w:r w:rsidRPr="009A7109">
              <w:t>-44.5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E0F6BE" w14:textId="2BA5AFC9" w:rsidR="00D24C7F" w:rsidRDefault="002D45A1">
            <w:pPr>
              <w:pStyle w:val="TableDataEntries"/>
            </w:pPr>
            <w:r w:rsidRPr="009A7109">
              <w:t>-53.7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466BBA8" w14:textId="02F487D2" w:rsidR="00D24C7F" w:rsidRDefault="002D45A1">
            <w:pPr>
              <w:pStyle w:val="TableDataEntries"/>
            </w:pPr>
            <w:r w:rsidRPr="009A7109">
              <w:t>24.9</w:t>
            </w:r>
          </w:p>
        </w:tc>
      </w:tr>
      <w:tr w:rsidR="00D24C7F" w14:paraId="330D9DC7"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88723A6" w14:textId="618A01FE" w:rsidR="00D24C7F" w:rsidRDefault="00D24C7F">
            <w:pPr>
              <w:pStyle w:val="TableDataEntries"/>
              <w:jc w:val="left"/>
            </w:pPr>
            <w:r>
              <w:t>Avoided electricity network usage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36F7531" w14:textId="1D3AB81E" w:rsidR="00D24C7F" w:rsidRDefault="002D45A1">
            <w:pPr>
              <w:pStyle w:val="TableDataEntries"/>
            </w:pPr>
            <w:r w:rsidRPr="009A7109">
              <w:t>-</w:t>
            </w:r>
            <w:r w:rsidR="0046192E" w:rsidRPr="00DE7CA3">
              <w:t>4</w:t>
            </w:r>
            <w:r w:rsidRPr="009A7109">
              <w:t>.0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5EFA322" w14:textId="16A6E949" w:rsidR="00D24C7F" w:rsidRDefault="002D45A1">
            <w:pPr>
              <w:pStyle w:val="TableDataEntries"/>
            </w:pPr>
            <w:r w:rsidRPr="009A7109">
              <w:t>-10.8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520A05" w14:textId="514C1671" w:rsidR="00D24C7F" w:rsidRDefault="002D45A1">
            <w:pPr>
              <w:pStyle w:val="TableDataEntries"/>
            </w:pPr>
            <w:r w:rsidRPr="009A7109">
              <w:t>0.7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7574446" w14:textId="4E918922" w:rsidR="00D24C7F" w:rsidRDefault="002D45A1">
            <w:pPr>
              <w:pStyle w:val="TableDataEntries"/>
            </w:pPr>
            <w:r w:rsidRPr="009A7109">
              <w:t>-</w:t>
            </w:r>
            <w:r w:rsidR="0046192E" w:rsidRPr="00DE7CA3">
              <w:t>8.</w:t>
            </w:r>
            <w:r w:rsidRPr="009A7109">
              <w:t>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9E2FED4" w14:textId="7581125D" w:rsidR="00D24C7F" w:rsidRDefault="002D45A1">
            <w:pPr>
              <w:pStyle w:val="TableDataEntries"/>
            </w:pPr>
            <w:r w:rsidRPr="009A7109">
              <w:t>-11</w:t>
            </w:r>
            <w:r w:rsidR="0046192E" w:rsidRPr="00DE7CA3">
              <w:t>.7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456FD36" w14:textId="6DCBF404" w:rsidR="00D24C7F" w:rsidRDefault="002D45A1">
            <w:pPr>
              <w:pStyle w:val="TableDataEntries"/>
            </w:pPr>
            <w:r w:rsidRPr="009A7109">
              <w:t>-46.4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83CAD33" w14:textId="47DF6A1B" w:rsidR="00D24C7F" w:rsidRDefault="002D45A1">
            <w:pPr>
              <w:pStyle w:val="TableDataEntries"/>
            </w:pPr>
            <w:r w:rsidRPr="009A7109">
              <w:t>-28.4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CD5A49" w14:textId="688B761F" w:rsidR="00D24C7F" w:rsidRDefault="002D45A1">
            <w:pPr>
              <w:pStyle w:val="TableDataEntries"/>
            </w:pPr>
            <w:r w:rsidRPr="009A7109">
              <w:t>14.6</w:t>
            </w:r>
          </w:p>
        </w:tc>
      </w:tr>
      <w:tr w:rsidR="00D24C7F" w14:paraId="24277DCA"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C6AAD7E" w14:textId="4397875F" w:rsidR="00D24C7F" w:rsidRDefault="00D24C7F">
            <w:pPr>
              <w:pStyle w:val="TableDataEntries"/>
              <w:jc w:val="left"/>
            </w:pPr>
            <w:r>
              <w:t>Avoided electricity retail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38E7838" w14:textId="20958C97" w:rsidR="00D24C7F" w:rsidRDefault="002D45A1">
            <w:pPr>
              <w:pStyle w:val="TableDataEntries"/>
            </w:pPr>
            <w:r w:rsidRPr="009A7109">
              <w:t>-3.8</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BA6ADB8" w14:textId="2B97ABBA" w:rsidR="00D24C7F" w:rsidRDefault="0046192E">
            <w:pPr>
              <w:pStyle w:val="TableDataEntries"/>
            </w:pPr>
            <w:r w:rsidRPr="00DE7CA3">
              <w:t>-</w:t>
            </w:r>
            <w:r w:rsidR="002D45A1" w:rsidRPr="009A7109">
              <w:t>4.6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4636096" w14:textId="4B61B4F2" w:rsidR="00D24C7F" w:rsidRDefault="002D45A1">
            <w:pPr>
              <w:pStyle w:val="TableDataEntries"/>
            </w:pPr>
            <w:r w:rsidRPr="009A7109">
              <w:t>0.1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37D0DD2" w14:textId="671FB5CC" w:rsidR="00D24C7F" w:rsidRDefault="002D45A1">
            <w:pPr>
              <w:pStyle w:val="TableDataEntries"/>
            </w:pPr>
            <w:r w:rsidRPr="009A7109">
              <w:t>-2.6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87F506" w14:textId="58E6265C" w:rsidR="00D24C7F" w:rsidRDefault="002D45A1">
            <w:pPr>
              <w:pStyle w:val="TableDataEntries"/>
            </w:pPr>
            <w:r w:rsidRPr="009A7109">
              <w:t>-4.0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CFC8CF" w14:textId="7AE58FEB" w:rsidR="00D24C7F" w:rsidRDefault="002D45A1">
            <w:pPr>
              <w:pStyle w:val="TableDataEntries"/>
            </w:pPr>
            <w:r w:rsidRPr="009A7109">
              <w:t>-21.7</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757A10B" w14:textId="4E7B9152" w:rsidR="00D24C7F" w:rsidRDefault="002D45A1">
            <w:pPr>
              <w:pStyle w:val="TableDataEntries"/>
            </w:pPr>
            <w:r w:rsidRPr="009A7109">
              <w:t>-16.0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7C9CF6E" w14:textId="369321C6" w:rsidR="00D24C7F" w:rsidRDefault="002D45A1">
            <w:pPr>
              <w:pStyle w:val="TableDataEntries"/>
            </w:pPr>
            <w:r w:rsidRPr="009A7109">
              <w:t>6.</w:t>
            </w:r>
            <w:r w:rsidR="0046192E" w:rsidRPr="00DE7CA3">
              <w:t>8</w:t>
            </w:r>
          </w:p>
        </w:tc>
      </w:tr>
      <w:tr w:rsidR="0046192E" w14:paraId="32395450"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52B0EF6" w14:textId="27310DF2" w:rsidR="0046192E" w:rsidRDefault="0046192E" w:rsidP="0046192E">
            <w:pPr>
              <w:pStyle w:val="TableDataEntries"/>
              <w:jc w:val="left"/>
            </w:pPr>
            <w:r>
              <w:t>Electricity exported to grid</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E9CA6F" w14:textId="5F53E739" w:rsidR="0046192E" w:rsidRPr="00DE7CA3" w:rsidRDefault="00824ED5" w:rsidP="0046192E">
            <w:pPr>
              <w:pStyle w:val="TableDataEntries"/>
            </w:pPr>
            <w:r w:rsidRPr="004C0577">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07E0B6" w14:textId="439A6EFA" w:rsidR="0046192E" w:rsidRPr="00DE7CA3" w:rsidRDefault="00824ED5" w:rsidP="0046192E">
            <w:pPr>
              <w:pStyle w:val="TableDataEntries"/>
            </w:pPr>
            <w:r w:rsidRPr="004C0577">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4447E88" w14:textId="1F22434A" w:rsidR="0046192E" w:rsidRPr="00DE7CA3" w:rsidRDefault="00824ED5" w:rsidP="0046192E">
            <w:pPr>
              <w:pStyle w:val="TableDataEntries"/>
            </w:pPr>
            <w:r w:rsidRPr="004C0577">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B70E22" w14:textId="3A2BDDA4" w:rsidR="0046192E" w:rsidRPr="00DE7CA3" w:rsidRDefault="00824ED5" w:rsidP="0046192E">
            <w:pPr>
              <w:pStyle w:val="TableDataEntries"/>
            </w:pPr>
            <w:r w:rsidRPr="004C0577">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3A60951" w14:textId="743B6982" w:rsidR="0046192E" w:rsidRPr="00DE7CA3" w:rsidRDefault="00824ED5" w:rsidP="0046192E">
            <w:pPr>
              <w:pStyle w:val="TableDataEntries"/>
            </w:pPr>
            <w:r w:rsidRPr="004C0577">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C02F89" w14:textId="3DF1D229" w:rsidR="0046192E" w:rsidRPr="00DE7CA3" w:rsidRDefault="00824ED5" w:rsidP="0046192E">
            <w:pPr>
              <w:pStyle w:val="TableDataEntries"/>
            </w:pPr>
            <w:r w:rsidRPr="004C0577">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EEC5CB4" w14:textId="1A3856A8" w:rsidR="0046192E" w:rsidRPr="00DE7CA3" w:rsidRDefault="00824ED5" w:rsidP="0046192E">
            <w:pPr>
              <w:pStyle w:val="TableDataEntries"/>
            </w:pPr>
            <w:r w:rsidRPr="004C0577">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AD5F99" w14:textId="6DF9289D" w:rsidR="0046192E" w:rsidRPr="00DE7CA3" w:rsidRDefault="00824ED5" w:rsidP="0046192E">
            <w:pPr>
              <w:pStyle w:val="TableDataEntries"/>
            </w:pPr>
            <w:r w:rsidRPr="004C0577">
              <w:t>0.0</w:t>
            </w:r>
          </w:p>
        </w:tc>
      </w:tr>
      <w:tr w:rsidR="00D24C7F" w14:paraId="0091B964"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A116528" w14:textId="73F00CDA" w:rsidR="00D24C7F" w:rsidRDefault="0046192E">
            <w:pPr>
              <w:pStyle w:val="TableDataEntries"/>
              <w:jc w:val="left"/>
            </w:pPr>
            <w:r>
              <w:t>Electricity exports — network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6280E8" w14:textId="05BE7239" w:rsidR="00D24C7F" w:rsidRDefault="0046192E">
            <w:pPr>
              <w:pStyle w:val="TableDataEntries"/>
            </w:pPr>
            <w:r w:rsidRPr="00DE7CA3">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5F801CC" w14:textId="43240B15" w:rsidR="00D24C7F" w:rsidRDefault="0046192E">
            <w:pPr>
              <w:pStyle w:val="TableDataEntries"/>
            </w:pPr>
            <w:r w:rsidRPr="00DE7CA3">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669CDD1" w14:textId="59A9C274" w:rsidR="00D24C7F" w:rsidRDefault="0046192E">
            <w:pPr>
              <w:pStyle w:val="TableDataEntries"/>
            </w:pPr>
            <w:r w:rsidRPr="00DE7CA3">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409BB8B" w14:textId="6A95AE4D" w:rsidR="00D24C7F" w:rsidRDefault="0046192E">
            <w:pPr>
              <w:pStyle w:val="TableDataEntries"/>
            </w:pPr>
            <w:r w:rsidRPr="00DE7CA3">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46C9DA3" w14:textId="18BAA3F0" w:rsidR="00D24C7F" w:rsidRDefault="0046192E">
            <w:pPr>
              <w:pStyle w:val="TableDataEntries"/>
            </w:pPr>
            <w:r w:rsidRPr="00DE7CA3">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5E83D66" w14:textId="09FEE542" w:rsidR="00D24C7F" w:rsidRDefault="0046192E">
            <w:pPr>
              <w:pStyle w:val="TableDataEntries"/>
            </w:pPr>
            <w:r w:rsidRPr="00DE7CA3">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9883AF5" w14:textId="2E9CAB13" w:rsidR="00D24C7F" w:rsidRDefault="0046192E">
            <w:pPr>
              <w:pStyle w:val="TableDataEntries"/>
            </w:pPr>
            <w:r w:rsidRPr="00DE7CA3">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A4ABF17" w14:textId="1A9BCDF1" w:rsidR="00D24C7F" w:rsidRDefault="0046192E">
            <w:pPr>
              <w:pStyle w:val="TableDataEntries"/>
            </w:pPr>
            <w:r w:rsidRPr="00DE7CA3">
              <w:t>0.0</w:t>
            </w:r>
          </w:p>
        </w:tc>
      </w:tr>
      <w:tr w:rsidR="00D24C7F" w14:paraId="71C66FA0"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181D13F" w14:textId="7761DAAD" w:rsidR="00D24C7F" w:rsidRDefault="00D24C7F">
            <w:pPr>
              <w:pStyle w:val="TableDataEntries"/>
              <w:jc w:val="left"/>
            </w:pPr>
            <w:r>
              <w:t>Avoided gas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C454644" w14:textId="1B28E170" w:rsidR="00D24C7F" w:rsidRDefault="002D45A1">
            <w:pPr>
              <w:pStyle w:val="TableDataEntries"/>
            </w:pPr>
            <w:r w:rsidRPr="009A7109">
              <w:t>27.2</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A55EC5" w14:textId="37D3B5FF" w:rsidR="00D24C7F" w:rsidRDefault="002D45A1">
            <w:pPr>
              <w:pStyle w:val="TableDataEntries"/>
            </w:pPr>
            <w:r w:rsidRPr="009A7109">
              <w:t>44.7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B316AA7" w14:textId="3CA9D538" w:rsidR="00D24C7F" w:rsidRDefault="002D45A1">
            <w:pPr>
              <w:pStyle w:val="TableDataEntries"/>
            </w:pPr>
            <w:r w:rsidRPr="009A7109">
              <w:t>19.2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D5869F" w14:textId="06792CAF" w:rsidR="00D24C7F" w:rsidRDefault="002D45A1">
            <w:pPr>
              <w:pStyle w:val="TableDataEntries"/>
            </w:pPr>
            <w:r w:rsidRPr="009A7109">
              <w:t>28.2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9A68A3" w14:textId="1C73BB3E" w:rsidR="00D24C7F" w:rsidRDefault="002D45A1">
            <w:pPr>
              <w:pStyle w:val="TableDataEntries"/>
            </w:pPr>
            <w:r w:rsidRPr="009A7109">
              <w:t>29.4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9AD1E1D" w14:textId="0756B4E0" w:rsidR="00D24C7F" w:rsidRDefault="002D45A1">
            <w:pPr>
              <w:pStyle w:val="TableDataEntries"/>
            </w:pPr>
            <w:r w:rsidRPr="009A7109">
              <w:t>90</w:t>
            </w:r>
            <w:r w:rsidR="00824ED5" w:rsidRPr="004C0577">
              <w:t>.1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6923C3" w14:textId="6CC630F3" w:rsidR="00D24C7F" w:rsidRDefault="002D45A1">
            <w:pPr>
              <w:pStyle w:val="TableDataEntries"/>
            </w:pPr>
            <w:r w:rsidRPr="009A7109">
              <w:t>63.1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98DD8E4" w14:textId="57AA1728" w:rsidR="00D24C7F" w:rsidRDefault="002D45A1">
            <w:pPr>
              <w:pStyle w:val="TableDataEntries"/>
            </w:pPr>
            <w:r w:rsidRPr="009A7109">
              <w:t>17.3</w:t>
            </w:r>
          </w:p>
        </w:tc>
      </w:tr>
      <w:tr w:rsidR="00D24C7F" w14:paraId="699112D5"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4B5544B" w14:textId="5EC26BEB" w:rsidR="00D24C7F" w:rsidRDefault="00D24C7F">
            <w:pPr>
              <w:pStyle w:val="TableDataEntries"/>
              <w:jc w:val="left"/>
            </w:pPr>
            <w:r>
              <w:t xml:space="preserve">Avoided GHG emissions </w:t>
            </w:r>
            <w:r w:rsidR="0046192E">
              <w:t>–</w:t>
            </w:r>
            <w:r>
              <w:t xml:space="preserve">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B6FB52A" w14:textId="5170084F" w:rsidR="00D24C7F" w:rsidRDefault="002D45A1">
            <w:pPr>
              <w:pStyle w:val="TableDataEntries"/>
            </w:pPr>
            <w:r w:rsidRPr="009A7109">
              <w:t>-4.9</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785BFA9" w14:textId="3A712AD1" w:rsidR="00D24C7F" w:rsidRDefault="002D45A1">
            <w:pPr>
              <w:pStyle w:val="TableDataEntries"/>
            </w:pPr>
            <w:r w:rsidRPr="009A7109">
              <w:t>-14.1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168119" w14:textId="4C2EF87D" w:rsidR="00D24C7F" w:rsidRDefault="002D45A1">
            <w:pPr>
              <w:pStyle w:val="TableDataEntries"/>
            </w:pPr>
            <w:r w:rsidRPr="009A7109">
              <w:t>2</w:t>
            </w:r>
            <w:r w:rsidR="00824ED5" w:rsidRPr="004C0577">
              <w:t>.2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7637997" w14:textId="2C611984" w:rsidR="00D24C7F" w:rsidRDefault="002D45A1">
            <w:pPr>
              <w:pStyle w:val="TableDataEntries"/>
            </w:pPr>
            <w:r w:rsidRPr="009A7109">
              <w:t>-7.2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E3C8A11" w14:textId="7CA5FB07" w:rsidR="00D24C7F" w:rsidRDefault="002D45A1">
            <w:pPr>
              <w:pStyle w:val="TableDataEntries"/>
            </w:pPr>
            <w:r w:rsidRPr="009A7109">
              <w:t>-</w:t>
            </w:r>
            <w:r w:rsidR="00824ED5" w:rsidRPr="004C0577">
              <w:t>5</w:t>
            </w:r>
            <w:r w:rsidRPr="009A7109">
              <w:t>.3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389A3D1" w14:textId="30C1562D" w:rsidR="00D24C7F" w:rsidRDefault="00824ED5">
            <w:pPr>
              <w:pStyle w:val="TableDataEntries"/>
            </w:pPr>
            <w:r w:rsidRPr="004C0577">
              <w:t>-3</w:t>
            </w:r>
            <w:r w:rsidR="002D45A1" w:rsidRPr="009A7109">
              <w:t>.1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5E434B" w14:textId="045B0BA9" w:rsidR="00D24C7F" w:rsidRDefault="00824ED5">
            <w:pPr>
              <w:pStyle w:val="TableDataEntries"/>
            </w:pPr>
            <w:r w:rsidRPr="004C0577">
              <w:t>-</w:t>
            </w:r>
            <w:r w:rsidR="002D45A1" w:rsidRPr="009A7109">
              <w:t>21</w:t>
            </w:r>
            <w:r w:rsidRPr="004C0577">
              <w:t>.1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5488132" w14:textId="7662D7D3" w:rsidR="00D24C7F" w:rsidRDefault="002D45A1">
            <w:pPr>
              <w:pStyle w:val="TableDataEntries"/>
            </w:pPr>
            <w:r w:rsidRPr="009A7109">
              <w:t>24.0</w:t>
            </w:r>
          </w:p>
        </w:tc>
      </w:tr>
      <w:tr w:rsidR="00D24C7F" w14:paraId="2C4BBDC7"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D8C7401" w14:textId="67031564" w:rsidR="00D24C7F" w:rsidRDefault="00D24C7F">
            <w:pPr>
              <w:pStyle w:val="TableDataEntries"/>
              <w:jc w:val="left"/>
            </w:pPr>
            <w:r>
              <w:t xml:space="preserve">Avoided GHG emissions </w:t>
            </w:r>
            <w:r w:rsidR="0046192E">
              <w:t>–</w:t>
            </w:r>
            <w:r>
              <w:t xml:space="preserve"> exported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04B4985" w14:textId="6E38835F" w:rsidR="00D24C7F" w:rsidRDefault="00824ED5">
            <w:pPr>
              <w:pStyle w:val="TableDataEntries"/>
            </w:pPr>
            <w:r w:rsidRPr="004C0577">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350303C" w14:textId="7C112792" w:rsidR="00D24C7F" w:rsidRDefault="0046192E">
            <w:pPr>
              <w:pStyle w:val="TableDataEntries"/>
            </w:pPr>
            <w:r w:rsidRPr="00DE7CA3">
              <w:t>0.</w:t>
            </w:r>
            <w:r w:rsidR="00824ED5" w:rsidRPr="004C0577">
              <w:t>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6573B20" w14:textId="4F5F245F" w:rsidR="00D24C7F" w:rsidRDefault="00824ED5">
            <w:pPr>
              <w:pStyle w:val="TableDataEntries"/>
            </w:pPr>
            <w:r w:rsidRPr="004C0577">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B83FF7B" w14:textId="667399BC" w:rsidR="00D24C7F" w:rsidRDefault="00824ED5">
            <w:pPr>
              <w:pStyle w:val="TableDataEntries"/>
            </w:pPr>
            <w:r w:rsidRPr="004C0577">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1ED0F1E" w14:textId="00AC32D9" w:rsidR="00D24C7F" w:rsidRDefault="00824ED5">
            <w:pPr>
              <w:pStyle w:val="TableDataEntries"/>
            </w:pPr>
            <w:r w:rsidRPr="004C0577">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69A812" w14:textId="247ADED3" w:rsidR="00D24C7F" w:rsidRDefault="00824ED5">
            <w:pPr>
              <w:pStyle w:val="TableDataEntries"/>
            </w:pPr>
            <w:r w:rsidRPr="004C0577">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661A0E4" w14:textId="0FFFBEC0" w:rsidR="00D24C7F" w:rsidRDefault="00824ED5">
            <w:pPr>
              <w:pStyle w:val="TableDataEntries"/>
            </w:pPr>
            <w:r w:rsidRPr="004C0577">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A662950" w14:textId="44706BBF" w:rsidR="00D24C7F" w:rsidRDefault="00824ED5">
            <w:pPr>
              <w:pStyle w:val="TableDataEntries"/>
            </w:pPr>
            <w:r w:rsidRPr="004C0577">
              <w:t>0.0</w:t>
            </w:r>
          </w:p>
        </w:tc>
      </w:tr>
      <w:tr w:rsidR="00D24C7F" w14:paraId="4CA8C9A4"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BC3B5B" w14:textId="6E13626A" w:rsidR="00D24C7F" w:rsidRDefault="00D24C7F">
            <w:pPr>
              <w:pStyle w:val="TableDataEntries"/>
              <w:jc w:val="left"/>
            </w:pPr>
            <w:r>
              <w:t xml:space="preserve">Avoided GHG emissions </w:t>
            </w:r>
            <w:r w:rsidR="0046192E">
              <w:t>–</w:t>
            </w:r>
            <w:r>
              <w:t xml:space="preserve"> gas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03DF784" w14:textId="33A7007D" w:rsidR="00D24C7F" w:rsidRDefault="002D45A1">
            <w:pPr>
              <w:pStyle w:val="TableDataEntries"/>
            </w:pPr>
            <w:r w:rsidRPr="009A7109">
              <w:t>56.9</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44D3454" w14:textId="7FD7DDE4" w:rsidR="00D24C7F" w:rsidRDefault="002D45A1">
            <w:pPr>
              <w:pStyle w:val="TableDataEntries"/>
            </w:pPr>
            <w:r w:rsidRPr="009A7109">
              <w:t>75.6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0DD6F42" w14:textId="1D3548DC" w:rsidR="00D24C7F" w:rsidRDefault="002D45A1">
            <w:pPr>
              <w:pStyle w:val="TableDataEntries"/>
            </w:pPr>
            <w:r w:rsidRPr="009A7109">
              <w:t>46.2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A01F8B0" w14:textId="41B64356" w:rsidR="00D24C7F" w:rsidRDefault="002D45A1">
            <w:pPr>
              <w:pStyle w:val="TableDataEntries"/>
            </w:pPr>
            <w:r w:rsidRPr="009A7109">
              <w:t>48.9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AE5D3E" w14:textId="6890AC3E" w:rsidR="00D24C7F" w:rsidRDefault="002D45A1">
            <w:pPr>
              <w:pStyle w:val="TableDataEntries"/>
            </w:pPr>
            <w:r w:rsidRPr="009A7109">
              <w:t>54.7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43BE8A4" w14:textId="7869FD72" w:rsidR="00D24C7F" w:rsidRDefault="002D45A1">
            <w:pPr>
              <w:pStyle w:val="TableDataEntries"/>
            </w:pPr>
            <w:r w:rsidRPr="009A7109">
              <w:t>113.2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958C29A" w14:textId="7839BBB3" w:rsidR="00D24C7F" w:rsidRDefault="002D45A1">
            <w:pPr>
              <w:pStyle w:val="TableDataEntries"/>
            </w:pPr>
            <w:r w:rsidRPr="009A7109">
              <w:t>131.7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2E84C9" w14:textId="6A08D159" w:rsidR="00D24C7F" w:rsidRDefault="002D45A1">
            <w:pPr>
              <w:pStyle w:val="TableDataEntries"/>
            </w:pPr>
            <w:r w:rsidRPr="009A7109">
              <w:t>30.1</w:t>
            </w:r>
          </w:p>
        </w:tc>
      </w:tr>
      <w:tr w:rsidR="00D24C7F" w14:paraId="2EFE4B9B"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4C8262" w14:textId="147A1545" w:rsidR="00D24C7F" w:rsidRDefault="00D24C7F">
            <w:pPr>
              <w:pStyle w:val="TableDataEntries"/>
              <w:jc w:val="left"/>
            </w:pPr>
            <w:r>
              <w:t>Capital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3288FF" w14:textId="0F08CC70" w:rsidR="00D24C7F" w:rsidRDefault="00824ED5">
            <w:pPr>
              <w:pStyle w:val="TableDataEntries"/>
            </w:pPr>
            <w:r w:rsidRPr="004C0577">
              <w:t>-57.1</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9BE7C99" w14:textId="53C12B6E" w:rsidR="00D24C7F" w:rsidRDefault="00824ED5">
            <w:pPr>
              <w:pStyle w:val="TableDataEntries"/>
            </w:pPr>
            <w:r w:rsidRPr="004C0577">
              <w:t>-35.6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BBEE1E2" w14:textId="47C38124" w:rsidR="00D24C7F" w:rsidRDefault="00824ED5">
            <w:pPr>
              <w:pStyle w:val="TableDataEntries"/>
            </w:pPr>
            <w:r w:rsidRPr="004C0577">
              <w:t>-48.2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4EC6EF2" w14:textId="117D322C" w:rsidR="00D24C7F" w:rsidRDefault="00824ED5">
            <w:pPr>
              <w:pStyle w:val="TableDataEntries"/>
            </w:pPr>
            <w:r w:rsidRPr="004C0577">
              <w:t>-57.1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691D92" w14:textId="43AD163B" w:rsidR="00D24C7F" w:rsidRDefault="00824ED5">
            <w:pPr>
              <w:pStyle w:val="TableDataEntries"/>
            </w:pPr>
            <w:r w:rsidRPr="004C0577">
              <w:t>-57.1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4A033D9" w14:textId="01659677" w:rsidR="00D24C7F" w:rsidRDefault="00824ED5">
            <w:pPr>
              <w:pStyle w:val="TableDataEntries"/>
            </w:pPr>
            <w:r w:rsidRPr="004C0577">
              <w:t>-23.2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0F1BC16" w14:textId="01C78A39" w:rsidR="00D24C7F" w:rsidRDefault="00824ED5">
            <w:pPr>
              <w:pStyle w:val="TableDataEntries"/>
            </w:pPr>
            <w:r w:rsidRPr="004C0577">
              <w:t>-23.2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C970EF" w14:textId="43A8628A" w:rsidR="00D24C7F" w:rsidRDefault="00824ED5">
            <w:pPr>
              <w:pStyle w:val="TableDataEntries"/>
            </w:pPr>
            <w:r w:rsidRPr="004C0577">
              <w:t>-</w:t>
            </w:r>
            <w:r w:rsidR="0046192E" w:rsidRPr="00DE7CA3">
              <w:t>0.</w:t>
            </w:r>
            <w:r w:rsidRPr="004C0577">
              <w:t>5</w:t>
            </w:r>
          </w:p>
        </w:tc>
      </w:tr>
      <w:tr w:rsidR="00D24C7F" w:rsidRPr="000045DE" w14:paraId="26A4F655" w14:textId="77777777">
        <w:trPr>
          <w:trHeight w:val="245"/>
        </w:trPr>
        <w:tc>
          <w:tcPr>
            <w:tcW w:w="2627"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CA7376C" w14:textId="3F887776" w:rsidR="00D24C7F" w:rsidRPr="000045DE" w:rsidRDefault="00D24C7F">
            <w:pPr>
              <w:pStyle w:val="TableDataEntries"/>
              <w:jc w:val="left"/>
              <w:rPr>
                <w:rFonts w:ascii="Franklin Gothic Demi" w:hAnsi="Franklin Gothic Demi"/>
              </w:rPr>
            </w:pPr>
            <w:r w:rsidRPr="000045DE">
              <w:rPr>
                <w:rFonts w:ascii="Franklin Gothic Demi" w:hAnsi="Franklin Gothic Demi"/>
              </w:rPr>
              <w:t>Total</w:t>
            </w:r>
          </w:p>
        </w:tc>
        <w:tc>
          <w:tcPr>
            <w:tcW w:w="63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6061A53" w14:textId="7F0D12B6" w:rsidR="00D24C7F" w:rsidRPr="000045DE" w:rsidRDefault="002D45A1">
            <w:pPr>
              <w:pStyle w:val="TableDataEntries"/>
              <w:rPr>
                <w:rFonts w:ascii="Franklin Gothic Demi" w:hAnsi="Franklin Gothic Demi"/>
              </w:rPr>
            </w:pPr>
            <w:r w:rsidRPr="002D45A1">
              <w:rPr>
                <w:rFonts w:ascii="Franklin Gothic Demi" w:hAnsi="Franklin Gothic Demi"/>
              </w:rPr>
              <w:t>-7.0</w:t>
            </w:r>
          </w:p>
        </w:tc>
        <w:tc>
          <w:tcPr>
            <w:tcW w:w="69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32CD82B" w14:textId="46CE8101" w:rsidR="00D24C7F" w:rsidRPr="000045DE" w:rsidRDefault="002D45A1">
            <w:pPr>
              <w:pStyle w:val="TableDataEntries"/>
              <w:rPr>
                <w:rFonts w:ascii="Franklin Gothic Demi" w:hAnsi="Franklin Gothic Demi"/>
              </w:rPr>
            </w:pPr>
            <w:r w:rsidRPr="002D45A1">
              <w:rPr>
                <w:rFonts w:ascii="Franklin Gothic Demi" w:hAnsi="Franklin Gothic Demi"/>
              </w:rPr>
              <w:t>34.9</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A6DA052" w14:textId="2930C56F" w:rsidR="00D24C7F" w:rsidRPr="000045DE" w:rsidRDefault="002D45A1">
            <w:pPr>
              <w:pStyle w:val="TableDataEntries"/>
              <w:rPr>
                <w:rFonts w:ascii="Franklin Gothic Demi" w:hAnsi="Franklin Gothic Demi"/>
              </w:rPr>
            </w:pPr>
            <w:r w:rsidRPr="002D45A1">
              <w:rPr>
                <w:rFonts w:ascii="Franklin Gothic Demi" w:hAnsi="Franklin Gothic Demi"/>
              </w:rPr>
              <w:t>20.0</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AAC3432" w14:textId="28405DB1" w:rsidR="00D24C7F" w:rsidRPr="000045DE" w:rsidRDefault="002D45A1">
            <w:pPr>
              <w:pStyle w:val="TableDataEntries"/>
              <w:rPr>
                <w:rFonts w:ascii="Franklin Gothic Demi" w:hAnsi="Franklin Gothic Demi"/>
              </w:rPr>
            </w:pPr>
            <w:r w:rsidRPr="002D45A1">
              <w:rPr>
                <w:rFonts w:ascii="Franklin Gothic Demi" w:hAnsi="Franklin Gothic Demi"/>
              </w:rPr>
              <w:t>-6.9</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B5B23CD" w14:textId="4F908141" w:rsidR="00D24C7F" w:rsidRPr="000045DE" w:rsidRDefault="002D45A1">
            <w:pPr>
              <w:pStyle w:val="TableDataEntries"/>
              <w:rPr>
                <w:rFonts w:ascii="Franklin Gothic Demi" w:hAnsi="Franklin Gothic Demi"/>
              </w:rPr>
            </w:pPr>
            <w:r w:rsidRPr="002D45A1">
              <w:rPr>
                <w:rFonts w:ascii="Franklin Gothic Demi" w:hAnsi="Franklin Gothic Demi"/>
              </w:rPr>
              <w:t>-8.6</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52794DCE" w14:textId="343E4E81" w:rsidR="00D24C7F" w:rsidRPr="000045DE" w:rsidRDefault="002D45A1">
            <w:pPr>
              <w:pStyle w:val="TableDataEntries"/>
              <w:rPr>
                <w:rFonts w:ascii="Franklin Gothic Demi" w:hAnsi="Franklin Gothic Demi"/>
              </w:rPr>
            </w:pPr>
            <w:r w:rsidRPr="002D45A1">
              <w:rPr>
                <w:rFonts w:ascii="Franklin Gothic Demi" w:hAnsi="Franklin Gothic Demi"/>
              </w:rPr>
              <w:t>10.6</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2AACBFA" w14:textId="6EE97034" w:rsidR="00D24C7F" w:rsidRPr="000045DE" w:rsidRDefault="002D45A1">
            <w:pPr>
              <w:pStyle w:val="TableDataEntries"/>
              <w:rPr>
                <w:rFonts w:ascii="Franklin Gothic Demi" w:hAnsi="Franklin Gothic Demi"/>
              </w:rPr>
            </w:pPr>
            <w:r w:rsidRPr="002D45A1">
              <w:rPr>
                <w:rFonts w:ascii="Franklin Gothic Demi" w:hAnsi="Franklin Gothic Demi"/>
              </w:rPr>
              <w:t>28</w:t>
            </w:r>
            <w:r w:rsidR="00824ED5" w:rsidRPr="00824ED5">
              <w:rPr>
                <w:rFonts w:ascii="Franklin Gothic Demi" w:hAnsi="Franklin Gothic Demi"/>
              </w:rPr>
              <w:t>.0</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D5FFE20" w14:textId="039F6625" w:rsidR="00D24C7F" w:rsidRPr="000045DE" w:rsidRDefault="002D45A1">
            <w:pPr>
              <w:pStyle w:val="TableDataEntries"/>
              <w:rPr>
                <w:rFonts w:ascii="Franklin Gothic Demi" w:hAnsi="Franklin Gothic Demi"/>
              </w:rPr>
            </w:pPr>
            <w:r w:rsidRPr="002D45A1">
              <w:rPr>
                <w:rFonts w:ascii="Franklin Gothic Demi" w:hAnsi="Franklin Gothic Demi"/>
              </w:rPr>
              <w:t>123.1</w:t>
            </w:r>
          </w:p>
        </w:tc>
      </w:tr>
    </w:tbl>
    <w:p w14:paraId="218AD327" w14:textId="77777777" w:rsidR="00D24C7F" w:rsidRDefault="00D24C7F" w:rsidP="00D24C7F">
      <w:pPr>
        <w:pStyle w:val="Note"/>
      </w:pPr>
      <w:r w:rsidRPr="007D1B4F">
        <w:rPr>
          <w:i/>
        </w:rPr>
        <w:t>Note:</w:t>
      </w:r>
      <w:r w:rsidRPr="00E879B8">
        <w:t xml:space="preserve"> </w:t>
      </w:r>
      <w:r>
        <w:t>Costs and benefits estimated in present value terms over the 50</w:t>
      </w:r>
      <w:r>
        <w:noBreakHyphen/>
        <w:t xml:space="preserve">year life of a building constructed in 2025, using a discount rate of 5 per cent. </w:t>
      </w:r>
    </w:p>
    <w:p w14:paraId="65D34274" w14:textId="77777777" w:rsidR="00D24C7F" w:rsidRDefault="00D24C7F" w:rsidP="00D24C7F">
      <w:pPr>
        <w:pStyle w:val="Source"/>
      </w:pPr>
      <w:r>
        <w:rPr>
          <w:i/>
        </w:rPr>
        <w:t>Source</w:t>
      </w:r>
      <w:r w:rsidRPr="00E4232C">
        <w:rPr>
          <w:i/>
        </w:rPr>
        <w:t>:</w:t>
      </w:r>
      <w:r>
        <w:t xml:space="preserve"> CIE based on DeltaQ modelling.</w:t>
      </w:r>
    </w:p>
    <w:p w14:paraId="74A93A53" w14:textId="137ED9CD" w:rsidR="00D24C7F" w:rsidRPr="005E5FA8" w:rsidRDefault="00D24C7F" w:rsidP="00D24C7F">
      <w:pPr>
        <w:pStyle w:val="Caption"/>
      </w:pPr>
      <w:r w:rsidRPr="005E5FA8">
        <w:fldChar w:fldCharType="begin"/>
      </w:r>
      <w:r w:rsidRPr="005E5FA8">
        <w:instrText xml:space="preserve"> IF 1 = 1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w:instrText>
      </w:r>
      <w:fldSimple w:instr=" STYLEREF &quot;Heading 1&quot; \l \n ">
        <w:r w:rsidRPr="005E5FA8">
          <w:instrText>2</w:instrText>
        </w:r>
      </w:fldSimple>
      <w:r w:rsidRPr="005E5FA8">
        <w:instrText xml:space="preserve">." </w:instrText>
      </w:r>
      <w:r w:rsidRPr="005E5FA8">
        <w:fldChar w:fldCharType="end"/>
      </w:r>
      <w:r w:rsidRPr="005E5FA8">
        <w:instrText>" "</w:instrText>
      </w:r>
      <w:fldSimple w:instr=" STYLEREF &quot;Heading 6&quot; \l \n ">
        <w:r w:rsidR="00581346">
          <w:rPr>
            <w:noProof/>
          </w:rPr>
          <w:instrText>H</w:instrText>
        </w:r>
      </w:fldSimple>
      <w:r w:rsidRPr="005E5FA8">
        <w:instrText xml:space="preserve">." </w:instrText>
      </w:r>
      <w:r w:rsidRPr="005E5FA8">
        <w:fldChar w:fldCharType="separate"/>
      </w:r>
      <w:r w:rsidR="00581346">
        <w:rPr>
          <w:noProof/>
        </w:rPr>
        <w:instrText>H</w:instrText>
      </w:r>
      <w:r w:rsidR="00581346" w:rsidRPr="005E5FA8">
        <w:rPr>
          <w:noProof/>
        </w:rPr>
        <w:instrText>.</w:instrText>
      </w:r>
      <w:r w:rsidRPr="005E5FA8">
        <w:fldChar w:fldCharType="end"/>
      </w:r>
      <w:r w:rsidRPr="005E5FA8">
        <w:fldChar w:fldCharType="begin"/>
      </w:r>
      <w:r w:rsidRPr="005E5FA8">
        <w:instrText xml:space="preserve"> SEQ Item \* ARABIC \s </w:instrText>
      </w:r>
      <w:r w:rsidRPr="005E5FA8">
        <w:fldChar w:fldCharType="begin"/>
      </w:r>
      <w:r w:rsidRPr="005E5FA8">
        <w:instrText xml:space="preserve"> IF </w:instrText>
      </w:r>
      <w:fldSimple w:instr=" STYLEREF &quot;Heading 6&quot; \l \n ">
        <w:r w:rsidR="00581346">
          <w:rPr>
            <w:noProof/>
          </w:rPr>
          <w:instrText>H</w:instrText>
        </w:r>
      </w:fldSimple>
      <w:r w:rsidRPr="005E5FA8">
        <w:instrText xml:space="preserve"> = 0 "</w:instrText>
      </w:r>
      <w:r w:rsidRPr="005E5FA8">
        <w:fldChar w:fldCharType="begin"/>
      </w:r>
      <w:r w:rsidRPr="005E5FA8">
        <w:instrText xml:space="preserve"> IF </w:instrText>
      </w:r>
      <w:fldSimple w:instr=" STYLEREF &quot;Heading 1&quot; \l \n ">
        <w:r w:rsidRPr="005E5FA8">
          <w:instrText>0</w:instrText>
        </w:r>
      </w:fldSimple>
      <w:r w:rsidRPr="005E5FA8">
        <w:instrText xml:space="preserve"> = 0 "" "1" </w:instrText>
      </w:r>
      <w:r w:rsidRPr="005E5FA8">
        <w:fldChar w:fldCharType="end"/>
      </w:r>
      <w:r w:rsidRPr="005E5FA8">
        <w:instrText xml:space="preserve">" "6" </w:instrText>
      </w:r>
      <w:r w:rsidRPr="005E5FA8">
        <w:fldChar w:fldCharType="separate"/>
      </w:r>
      <w:r w:rsidR="00581346" w:rsidRPr="005E5FA8">
        <w:rPr>
          <w:noProof/>
        </w:rPr>
        <w:instrText>6</w:instrText>
      </w:r>
      <w:r w:rsidRPr="005E5FA8">
        <w:fldChar w:fldCharType="end"/>
      </w:r>
      <w:r w:rsidRPr="005E5FA8">
        <w:instrText xml:space="preserve"> </w:instrText>
      </w:r>
      <w:r w:rsidRPr="005E5FA8">
        <w:fldChar w:fldCharType="separate"/>
      </w:r>
      <w:r w:rsidR="00581346">
        <w:rPr>
          <w:noProof/>
        </w:rPr>
        <w:instrText>20</w:instrText>
      </w:r>
      <w:r w:rsidRPr="005E5FA8">
        <w:fldChar w:fldCharType="end"/>
      </w:r>
      <w:r w:rsidRPr="005E5FA8">
        <w:instrText xml:space="preserve">" "" </w:instrText>
      </w:r>
      <w:r w:rsidRPr="005E5FA8">
        <w:fldChar w:fldCharType="separate"/>
      </w:r>
      <w:bookmarkStart w:id="10298" w:name="_Caption4265"/>
      <w:bookmarkStart w:id="10299" w:name="_Caption4120"/>
      <w:bookmarkStart w:id="10300" w:name="_Caption6397"/>
      <w:bookmarkStart w:id="10301" w:name="_Caption4807"/>
      <w:bookmarkStart w:id="10302" w:name="_Caption2270"/>
      <w:bookmarkStart w:id="10303" w:name="_Caption5484"/>
      <w:bookmarkStart w:id="10304" w:name="_Caption3021"/>
      <w:bookmarkStart w:id="10305" w:name="_Caption0034"/>
      <w:bookmarkStart w:id="10306" w:name="_Caption7367"/>
      <w:bookmarkStart w:id="10307" w:name="_Caption8634"/>
      <w:bookmarkStart w:id="10308" w:name="_Caption5068"/>
      <w:bookmarkStart w:id="10309" w:name="_Caption9259"/>
      <w:bookmarkStart w:id="10310" w:name="_Caption9101"/>
      <w:bookmarkStart w:id="10311" w:name="_Caption8599"/>
      <w:bookmarkStart w:id="10312" w:name="_Caption5567"/>
      <w:bookmarkStart w:id="10313" w:name="_Caption9049"/>
      <w:bookmarkStart w:id="10314" w:name="_Caption0291"/>
      <w:bookmarkStart w:id="10315" w:name="_Caption0368"/>
      <w:bookmarkStart w:id="10316" w:name="_Caption1430"/>
      <w:bookmarkStart w:id="10317" w:name="_Caption1513"/>
      <w:bookmarkStart w:id="10318" w:name="_Caption0075"/>
      <w:bookmarkStart w:id="10319" w:name="_Caption2272"/>
      <w:bookmarkStart w:id="10320" w:name="_Caption8786"/>
      <w:bookmarkStart w:id="10321" w:name="_Caption0986"/>
      <w:bookmarkStart w:id="10322" w:name="_Caption3387"/>
      <w:bookmarkStart w:id="10323" w:name="_Caption0100"/>
      <w:bookmarkStart w:id="10324" w:name="_Caption7310"/>
      <w:bookmarkStart w:id="10325" w:name="_Caption2174"/>
      <w:bookmarkStart w:id="10326" w:name="_Caption6489"/>
      <w:bookmarkStart w:id="10327" w:name="_Caption5955"/>
      <w:bookmarkStart w:id="10328" w:name="_Caption4337"/>
      <w:bookmarkStart w:id="10329" w:name="_Toc177735270"/>
      <w:bookmarkStart w:id="10330" w:name="_Toc178292712"/>
      <w:r w:rsidR="008C60A3">
        <w:rPr>
          <w:noProof/>
        </w:rPr>
        <w:t>H</w:t>
      </w:r>
      <w:r w:rsidR="008C60A3" w:rsidRPr="005E5FA8">
        <w:rPr>
          <w:noProof/>
        </w:rPr>
        <w:t>.</w:t>
      </w:r>
      <w:r w:rsidR="008C60A3">
        <w:rPr>
          <w:noProof/>
        </w:rPr>
        <w:t>20</w:t>
      </w:r>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r w:rsidRPr="005E5FA8">
        <w:fldChar w:fldCharType="end"/>
      </w:r>
      <w:r w:rsidRPr="005E5FA8">
        <w:tab/>
        <w:t>Stringency Level 3 estimated costs and benefits — C9A</w:t>
      </w:r>
      <w:bookmarkEnd w:id="10329"/>
      <w:bookmarkEnd w:id="10330"/>
    </w:p>
    <w:tbl>
      <w:tblPr>
        <w:tblW w:w="7936" w:type="dxa"/>
        <w:tblLayout w:type="fixed"/>
        <w:tblLook w:val="0000" w:firstRow="0" w:lastRow="0" w:firstColumn="0" w:lastColumn="0" w:noHBand="0" w:noVBand="0"/>
        <w:tblCaption w:val="Table G.20"/>
        <w:tblDescription w:val="Stringency Level 3 estimated costs and benefits — C9A"/>
      </w:tblPr>
      <w:tblGrid>
        <w:gridCol w:w="2627"/>
        <w:gridCol w:w="634"/>
        <w:gridCol w:w="693"/>
        <w:gridCol w:w="664"/>
        <w:gridCol w:w="663"/>
        <w:gridCol w:w="664"/>
        <w:gridCol w:w="664"/>
        <w:gridCol w:w="663"/>
        <w:gridCol w:w="664"/>
      </w:tblGrid>
      <w:tr w:rsidR="00D24C7F" w14:paraId="69925887" w14:textId="77777777">
        <w:trPr>
          <w:trHeight w:val="245"/>
          <w:tblHeader/>
        </w:trPr>
        <w:tc>
          <w:tcPr>
            <w:tcW w:w="2627" w:type="dxa"/>
            <w:shd w:val="clear" w:color="auto" w:fill="6F6652"/>
            <w:tcMar>
              <w:left w:w="57" w:type="dxa"/>
              <w:right w:w="57" w:type="dxa"/>
            </w:tcMar>
          </w:tcPr>
          <w:p w14:paraId="1B2F685B" w14:textId="77777777" w:rsidR="00D24C7F" w:rsidRDefault="00D24C7F">
            <w:pPr>
              <w:pStyle w:val="TableDataColumnHeading"/>
              <w:jc w:val="left"/>
            </w:pPr>
            <w:r>
              <w:t>Impact</w:t>
            </w:r>
          </w:p>
        </w:tc>
        <w:tc>
          <w:tcPr>
            <w:tcW w:w="634" w:type="dxa"/>
            <w:shd w:val="clear" w:color="auto" w:fill="6F6652"/>
            <w:tcMar>
              <w:left w:w="57" w:type="dxa"/>
              <w:right w:w="57" w:type="dxa"/>
            </w:tcMar>
          </w:tcPr>
          <w:p w14:paraId="04C33B9C" w14:textId="77777777" w:rsidR="00D24C7F" w:rsidRDefault="00D24C7F">
            <w:pPr>
              <w:pStyle w:val="TableDataColumnHeading"/>
            </w:pPr>
            <w:r>
              <w:t>NSW (CZ5)</w:t>
            </w:r>
          </w:p>
          <w:p w14:paraId="50D28D43" w14:textId="77777777" w:rsidR="00D24C7F" w:rsidRDefault="00D24C7F">
            <w:pPr>
              <w:pStyle w:val="TableDataColumnHeading"/>
            </w:pPr>
            <w:r>
              <w:t>$ per m2</w:t>
            </w:r>
          </w:p>
        </w:tc>
        <w:tc>
          <w:tcPr>
            <w:tcW w:w="693" w:type="dxa"/>
            <w:shd w:val="clear" w:color="auto" w:fill="6F6652"/>
            <w:tcMar>
              <w:left w:w="57" w:type="dxa"/>
              <w:right w:w="57" w:type="dxa"/>
            </w:tcMar>
          </w:tcPr>
          <w:p w14:paraId="38822905" w14:textId="77777777" w:rsidR="00D24C7F" w:rsidRDefault="00D24C7F">
            <w:pPr>
              <w:pStyle w:val="TableDataColumnHeading"/>
            </w:pPr>
            <w:r>
              <w:t>VIC (CZ6)</w:t>
            </w:r>
          </w:p>
          <w:p w14:paraId="746C6AF2" w14:textId="77777777" w:rsidR="00D24C7F" w:rsidRDefault="00D24C7F">
            <w:pPr>
              <w:pStyle w:val="TableDataColumnHeading"/>
            </w:pPr>
            <w:r>
              <w:t>$ per m2</w:t>
            </w:r>
          </w:p>
        </w:tc>
        <w:tc>
          <w:tcPr>
            <w:tcW w:w="664" w:type="dxa"/>
            <w:shd w:val="clear" w:color="auto" w:fill="6F6652"/>
            <w:tcMar>
              <w:left w:w="57" w:type="dxa"/>
              <w:right w:w="57" w:type="dxa"/>
            </w:tcMar>
          </w:tcPr>
          <w:p w14:paraId="7E4FC6B6" w14:textId="77777777" w:rsidR="00D24C7F" w:rsidRDefault="00D24C7F">
            <w:pPr>
              <w:pStyle w:val="TableDataColumnHeading"/>
            </w:pPr>
            <w:r>
              <w:t>QLD (CZ2)</w:t>
            </w:r>
          </w:p>
          <w:p w14:paraId="55873D9C" w14:textId="77777777" w:rsidR="00D24C7F" w:rsidRDefault="00D24C7F">
            <w:pPr>
              <w:pStyle w:val="TableDataColumnHeading"/>
            </w:pPr>
            <w:r>
              <w:t>$ per m2</w:t>
            </w:r>
          </w:p>
        </w:tc>
        <w:tc>
          <w:tcPr>
            <w:tcW w:w="663" w:type="dxa"/>
            <w:shd w:val="clear" w:color="auto" w:fill="6F6652"/>
            <w:tcMar>
              <w:left w:w="57" w:type="dxa"/>
              <w:right w:w="57" w:type="dxa"/>
            </w:tcMar>
          </w:tcPr>
          <w:p w14:paraId="40536F80" w14:textId="77777777" w:rsidR="00D24C7F" w:rsidRDefault="00D24C7F">
            <w:pPr>
              <w:pStyle w:val="TableDataColumnHeading"/>
            </w:pPr>
            <w:r>
              <w:t>WA (CZ5)</w:t>
            </w:r>
          </w:p>
          <w:p w14:paraId="5BE95591" w14:textId="77777777" w:rsidR="00D24C7F" w:rsidRDefault="00D24C7F">
            <w:pPr>
              <w:pStyle w:val="TableDataColumnHeading"/>
            </w:pPr>
            <w:r>
              <w:t>$ per m2</w:t>
            </w:r>
          </w:p>
        </w:tc>
        <w:tc>
          <w:tcPr>
            <w:tcW w:w="664" w:type="dxa"/>
            <w:shd w:val="clear" w:color="auto" w:fill="6F6652"/>
            <w:tcMar>
              <w:left w:w="57" w:type="dxa"/>
              <w:right w:w="57" w:type="dxa"/>
            </w:tcMar>
          </w:tcPr>
          <w:p w14:paraId="2184943D" w14:textId="77777777" w:rsidR="00D24C7F" w:rsidRDefault="00D24C7F">
            <w:pPr>
              <w:pStyle w:val="TableDataColumnHeading"/>
            </w:pPr>
            <w:r>
              <w:t>SA (CZ5)</w:t>
            </w:r>
          </w:p>
          <w:p w14:paraId="7637A599" w14:textId="77777777" w:rsidR="00D24C7F" w:rsidRDefault="00D24C7F">
            <w:pPr>
              <w:pStyle w:val="TableDataColumnHeading"/>
            </w:pPr>
            <w:r>
              <w:t>$ per m2</w:t>
            </w:r>
          </w:p>
        </w:tc>
        <w:tc>
          <w:tcPr>
            <w:tcW w:w="664" w:type="dxa"/>
            <w:shd w:val="clear" w:color="auto" w:fill="6F6652"/>
            <w:tcMar>
              <w:left w:w="57" w:type="dxa"/>
              <w:right w:w="57" w:type="dxa"/>
            </w:tcMar>
          </w:tcPr>
          <w:p w14:paraId="4FD8DCB0" w14:textId="77777777" w:rsidR="00D24C7F" w:rsidRDefault="00D24C7F">
            <w:pPr>
              <w:pStyle w:val="TableDataColumnHeading"/>
            </w:pPr>
            <w:r>
              <w:t>TAS (CZ7)</w:t>
            </w:r>
          </w:p>
          <w:p w14:paraId="4D971A63" w14:textId="77777777" w:rsidR="00D24C7F" w:rsidRDefault="00D24C7F">
            <w:pPr>
              <w:pStyle w:val="TableDataColumnHeading"/>
            </w:pPr>
            <w:r>
              <w:t>$ per m2</w:t>
            </w:r>
          </w:p>
        </w:tc>
        <w:tc>
          <w:tcPr>
            <w:tcW w:w="663" w:type="dxa"/>
            <w:shd w:val="clear" w:color="auto" w:fill="6F6652"/>
            <w:tcMar>
              <w:left w:w="57" w:type="dxa"/>
              <w:right w:w="57" w:type="dxa"/>
            </w:tcMar>
          </w:tcPr>
          <w:p w14:paraId="38DC28A0" w14:textId="77777777" w:rsidR="00D24C7F" w:rsidRDefault="00D24C7F">
            <w:pPr>
              <w:pStyle w:val="TableDataColumnHeading"/>
            </w:pPr>
            <w:r>
              <w:t>ACT (CZ7)</w:t>
            </w:r>
          </w:p>
          <w:p w14:paraId="710F41BD" w14:textId="77777777" w:rsidR="00D24C7F" w:rsidRDefault="00D24C7F">
            <w:pPr>
              <w:pStyle w:val="TableDataColumnHeading"/>
            </w:pPr>
            <w:r>
              <w:t>$ per m2</w:t>
            </w:r>
          </w:p>
        </w:tc>
        <w:tc>
          <w:tcPr>
            <w:tcW w:w="664" w:type="dxa"/>
            <w:shd w:val="clear" w:color="auto" w:fill="6F6652"/>
            <w:tcMar>
              <w:left w:w="57" w:type="dxa"/>
              <w:right w:w="57" w:type="dxa"/>
            </w:tcMar>
          </w:tcPr>
          <w:p w14:paraId="7159D1AA" w14:textId="77777777" w:rsidR="00D24C7F" w:rsidRDefault="00D24C7F">
            <w:pPr>
              <w:pStyle w:val="TableDataColumnHeading"/>
            </w:pPr>
            <w:r>
              <w:t>NT (CZ1)</w:t>
            </w:r>
          </w:p>
          <w:p w14:paraId="1DCD5714" w14:textId="77777777" w:rsidR="00D24C7F" w:rsidRDefault="00D24C7F">
            <w:pPr>
              <w:pStyle w:val="TableDataColumnHeading"/>
            </w:pPr>
            <w:r>
              <w:t>$ per m2</w:t>
            </w:r>
          </w:p>
        </w:tc>
      </w:tr>
      <w:tr w:rsidR="00D24C7F" w14:paraId="112298A8"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5B3113" w14:textId="075A34EA" w:rsidR="00D24C7F" w:rsidRDefault="00D24C7F">
            <w:pPr>
              <w:pStyle w:val="TableDataEntries"/>
              <w:jc w:val="left"/>
            </w:pPr>
            <w:r>
              <w:t>Avoided electricity network capacity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B766D4E" w14:textId="463B8C64" w:rsidR="00D24C7F" w:rsidRDefault="00BC3BDE">
            <w:pPr>
              <w:pStyle w:val="TableDataEntries"/>
            </w:pPr>
            <w:r w:rsidRPr="00505A07">
              <w:t>2</w:t>
            </w:r>
            <w:r w:rsidR="008441BF" w:rsidRPr="00B129F1">
              <w:t>.2</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94C4D83" w14:textId="249B1299" w:rsidR="00D24C7F" w:rsidRDefault="00BC3BDE">
            <w:pPr>
              <w:pStyle w:val="TableDataEntries"/>
            </w:pPr>
            <w:r w:rsidRPr="00505A07">
              <w:t>1.5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465DF3" w14:textId="6B3655FF" w:rsidR="00D24C7F" w:rsidRDefault="00BC3BDE">
            <w:pPr>
              <w:pStyle w:val="TableDataEntries"/>
            </w:pPr>
            <w:r w:rsidRPr="00505A07">
              <w:t>0.</w:t>
            </w:r>
            <w:r w:rsidR="008441BF" w:rsidRPr="00B129F1">
              <w:t>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98F186E" w14:textId="481F13ED" w:rsidR="00D24C7F" w:rsidRDefault="008441BF">
            <w:pPr>
              <w:pStyle w:val="TableDataEntries"/>
            </w:pPr>
            <w:r w:rsidRPr="00B129F1">
              <w:t>0.</w:t>
            </w:r>
            <w:r w:rsidR="00BC3BDE" w:rsidRPr="00505A07">
              <w:t>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1A9160A" w14:textId="698D0AE1" w:rsidR="00D24C7F" w:rsidRDefault="00BC3BDE">
            <w:pPr>
              <w:pStyle w:val="TableDataEntries"/>
            </w:pPr>
            <w:r w:rsidRPr="00505A07">
              <w:t>1.7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BF74EC" w14:textId="60C88057" w:rsidR="00D24C7F" w:rsidRDefault="00BC3BDE">
            <w:pPr>
              <w:pStyle w:val="TableDataEntries"/>
            </w:pPr>
            <w:r w:rsidRPr="00505A07">
              <w:t>-25.5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1F53BCF" w14:textId="538AAB64" w:rsidR="00D24C7F" w:rsidRDefault="00BC3BDE">
            <w:pPr>
              <w:pStyle w:val="TableDataEntries"/>
            </w:pPr>
            <w:r w:rsidRPr="00505A07">
              <w:t>-11.5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8041EE9" w14:textId="22610C50" w:rsidR="00D24C7F" w:rsidRDefault="00BC3BDE">
            <w:pPr>
              <w:pStyle w:val="TableDataEntries"/>
            </w:pPr>
            <w:r w:rsidRPr="00505A07">
              <w:t>6.8</w:t>
            </w:r>
          </w:p>
        </w:tc>
      </w:tr>
      <w:tr w:rsidR="00D24C7F" w14:paraId="495F5C0E"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7471E80" w14:textId="3DA2E4E4" w:rsidR="00D24C7F" w:rsidRDefault="00D24C7F">
            <w:pPr>
              <w:pStyle w:val="TableDataEntries"/>
              <w:jc w:val="left"/>
            </w:pPr>
            <w:r>
              <w:t>Avoided electricity wholesale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E69FA8D" w14:textId="390230DF" w:rsidR="00D24C7F" w:rsidRDefault="00BC3BDE">
            <w:pPr>
              <w:pStyle w:val="TableDataEntries"/>
            </w:pPr>
            <w:r w:rsidRPr="00505A07">
              <w:t>1.4</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2BDDC59" w14:textId="05595C01" w:rsidR="00D24C7F" w:rsidRDefault="00BC3BDE">
            <w:pPr>
              <w:pStyle w:val="TableDataEntries"/>
            </w:pPr>
            <w:r w:rsidRPr="00505A07">
              <w:t>-7.1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BB162E" w14:textId="275118B6" w:rsidR="00D24C7F" w:rsidRDefault="00BC3BDE">
            <w:pPr>
              <w:pStyle w:val="TableDataEntries"/>
            </w:pPr>
            <w:r w:rsidRPr="00505A07">
              <w:t>-2.1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C4EA001" w14:textId="0E8F940C" w:rsidR="00D24C7F" w:rsidRDefault="008441BF">
            <w:pPr>
              <w:pStyle w:val="TableDataEntries"/>
            </w:pPr>
            <w:r w:rsidRPr="00B129F1">
              <w:t>1</w:t>
            </w:r>
            <w:r w:rsidR="00BC3BDE" w:rsidRPr="00505A07">
              <w:t>.4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5D102B" w14:textId="723BAF8C" w:rsidR="00D24C7F" w:rsidRDefault="00BC3BDE">
            <w:pPr>
              <w:pStyle w:val="TableDataEntries"/>
            </w:pPr>
            <w:r w:rsidRPr="00505A07">
              <w:t>-0.7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042183C" w14:textId="53850FE3" w:rsidR="00D24C7F" w:rsidRDefault="00BC3BDE">
            <w:pPr>
              <w:pStyle w:val="TableDataEntries"/>
            </w:pPr>
            <w:r w:rsidRPr="00505A07">
              <w:t>-20.2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A8B51A" w14:textId="713A2806" w:rsidR="00D24C7F" w:rsidRDefault="00BC3BDE">
            <w:pPr>
              <w:pStyle w:val="TableDataEntries"/>
            </w:pPr>
            <w:r w:rsidRPr="00505A07">
              <w:t>-23.8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D38714D" w14:textId="28D1AD26" w:rsidR="00D24C7F" w:rsidRDefault="00BC3BDE">
            <w:pPr>
              <w:pStyle w:val="TableDataEntries"/>
            </w:pPr>
            <w:r w:rsidRPr="00505A07">
              <w:t>33.9</w:t>
            </w:r>
          </w:p>
        </w:tc>
      </w:tr>
      <w:tr w:rsidR="00D24C7F" w14:paraId="5E9B3742"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A5B710E" w14:textId="3809356F" w:rsidR="00D24C7F" w:rsidRDefault="00D24C7F">
            <w:pPr>
              <w:pStyle w:val="TableDataEntries"/>
              <w:jc w:val="left"/>
            </w:pPr>
            <w:r>
              <w:t>Avoided electricity network usage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10D1C79" w14:textId="1D0C090E" w:rsidR="00D24C7F" w:rsidRDefault="00BC3BDE">
            <w:pPr>
              <w:pStyle w:val="TableDataEntries"/>
            </w:pPr>
            <w:r w:rsidRPr="00505A07">
              <w:t>2.3</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F0A277E" w14:textId="0EA83C06" w:rsidR="00D24C7F" w:rsidRDefault="00BC3BDE">
            <w:pPr>
              <w:pStyle w:val="TableDataEntries"/>
            </w:pPr>
            <w:r w:rsidRPr="00505A07">
              <w:t>-2</w:t>
            </w:r>
            <w:r w:rsidR="008441BF" w:rsidRPr="00B129F1">
              <w:t>.8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39A0F4C" w14:textId="701E1975" w:rsidR="00D24C7F" w:rsidRDefault="00BC3BDE">
            <w:pPr>
              <w:pStyle w:val="TableDataEntries"/>
            </w:pPr>
            <w:r w:rsidRPr="00505A07">
              <w:t>0.2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849C0A3" w14:textId="61B75AD5" w:rsidR="00D24C7F" w:rsidRDefault="00BC3BDE">
            <w:pPr>
              <w:pStyle w:val="TableDataEntries"/>
            </w:pPr>
            <w:r w:rsidRPr="00505A07">
              <w:t>6.1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06FE185" w14:textId="5C23CF55" w:rsidR="00D24C7F" w:rsidRDefault="00BC3BDE">
            <w:pPr>
              <w:pStyle w:val="TableDataEntries"/>
            </w:pPr>
            <w:r w:rsidRPr="00505A07">
              <w:t>6.4</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F2B568D" w14:textId="7C0F6254" w:rsidR="00D24C7F" w:rsidRDefault="00BC3BDE">
            <w:pPr>
              <w:pStyle w:val="TableDataEntries"/>
            </w:pPr>
            <w:r w:rsidRPr="00505A07">
              <w:t>-20.1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CA431A5" w14:textId="1DECD9A2" w:rsidR="00D24C7F" w:rsidRDefault="00BC3BDE">
            <w:pPr>
              <w:pStyle w:val="TableDataEntries"/>
            </w:pPr>
            <w:r w:rsidRPr="00505A07">
              <w:t>-12.6</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211594A" w14:textId="3B86E4DF" w:rsidR="00D24C7F" w:rsidRDefault="00BC3BDE">
            <w:pPr>
              <w:pStyle w:val="TableDataEntries"/>
            </w:pPr>
            <w:r w:rsidRPr="00505A07">
              <w:t>17.8</w:t>
            </w:r>
          </w:p>
        </w:tc>
      </w:tr>
      <w:tr w:rsidR="00FF7B72" w14:paraId="4F6A52EB"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3E7395E" w14:textId="5453AFFA" w:rsidR="00FF7B72" w:rsidRDefault="00FF7B72" w:rsidP="00FF7B72">
            <w:pPr>
              <w:pStyle w:val="TableDataEntries"/>
              <w:jc w:val="left"/>
            </w:pPr>
            <w:r>
              <w:t>Avoided electricity retail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8907BA1" w14:textId="47937D67" w:rsidR="00FF7B72" w:rsidRDefault="00BC3BDE" w:rsidP="00FF7B72">
            <w:pPr>
              <w:pStyle w:val="TableDataEntries"/>
            </w:pPr>
            <w:r w:rsidRPr="00505A07">
              <w:t>0.9</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9E396F8" w14:textId="00BC5A7B" w:rsidR="00FF7B72" w:rsidRDefault="00BC3BDE" w:rsidP="00FF7B72">
            <w:pPr>
              <w:pStyle w:val="TableDataEntries"/>
            </w:pPr>
            <w:r w:rsidRPr="00505A07">
              <w:t>-</w:t>
            </w:r>
            <w:r w:rsidR="008441BF" w:rsidRPr="00B129F1">
              <w:t>1.</w:t>
            </w:r>
            <w:r w:rsidRPr="00505A07">
              <w:t>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238CDF" w14:textId="5AFCDD5F" w:rsidR="00FF7B72" w:rsidRDefault="00BC3BDE" w:rsidP="00FF7B72">
            <w:pPr>
              <w:pStyle w:val="TableDataEntries"/>
            </w:pPr>
            <w:r w:rsidRPr="00505A07">
              <w:t>-0.3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E02C9D" w14:textId="7F012DAB" w:rsidR="00FF7B72" w:rsidRDefault="00BC3BDE" w:rsidP="00FF7B72">
            <w:pPr>
              <w:pStyle w:val="TableDataEntries"/>
            </w:pPr>
            <w:r w:rsidRPr="00505A07">
              <w:t>1.2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C1C688F" w14:textId="5EFAE065" w:rsidR="00FF7B72" w:rsidRDefault="00BC3BDE" w:rsidP="00FF7B72">
            <w:pPr>
              <w:pStyle w:val="TableDataEntries"/>
            </w:pPr>
            <w:r w:rsidRPr="00505A07">
              <w:t>1.1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8E43ADF" w14:textId="08D0BF45" w:rsidR="00FF7B72" w:rsidRDefault="008441BF" w:rsidP="00FF7B72">
            <w:pPr>
              <w:pStyle w:val="TableDataEntries"/>
            </w:pPr>
            <w:r w:rsidRPr="00B129F1">
              <w:t>-</w:t>
            </w:r>
            <w:r w:rsidR="00BC3BDE" w:rsidRPr="00505A07">
              <w:t>9.9</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6B35FD8" w14:textId="65615C23" w:rsidR="00FF7B72" w:rsidRDefault="008441BF" w:rsidP="00FF7B72">
            <w:pPr>
              <w:pStyle w:val="TableDataEntries"/>
            </w:pPr>
            <w:r w:rsidRPr="00B129F1">
              <w:t>-</w:t>
            </w:r>
            <w:r w:rsidR="00BC3BDE" w:rsidRPr="00505A07">
              <w:t>7</w:t>
            </w:r>
            <w:r w:rsidRPr="00B129F1">
              <w:t>.2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A70AB58" w14:textId="3EECC9E5" w:rsidR="00FF7B72" w:rsidRDefault="00BC3BDE" w:rsidP="00FF7B72">
            <w:pPr>
              <w:pStyle w:val="TableDataEntries"/>
            </w:pPr>
            <w:r w:rsidRPr="00505A07">
              <w:t>8.8</w:t>
            </w:r>
          </w:p>
        </w:tc>
      </w:tr>
      <w:tr w:rsidR="00D24C7F" w14:paraId="12ECAE4B"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A3D4D8" w14:textId="02294819" w:rsidR="00D24C7F" w:rsidRDefault="00FF7B72">
            <w:pPr>
              <w:pStyle w:val="TableDataEntries"/>
              <w:jc w:val="left"/>
            </w:pPr>
            <w:r>
              <w:t>Electricity exported to grid</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F290B3B" w14:textId="2C00E7A6" w:rsidR="00D24C7F" w:rsidRDefault="008441BF">
            <w:pPr>
              <w:pStyle w:val="TableDataEntries"/>
            </w:pPr>
            <w:r w:rsidRPr="00B129F1">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4A0A915" w14:textId="1D4DC009" w:rsidR="00D24C7F" w:rsidRDefault="008441BF">
            <w:pPr>
              <w:pStyle w:val="TableDataEntries"/>
            </w:pPr>
            <w:r w:rsidRPr="00B129F1">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2834B84" w14:textId="30726F0E" w:rsidR="00D24C7F" w:rsidRDefault="008441BF">
            <w:pPr>
              <w:pStyle w:val="TableDataEntries"/>
            </w:pPr>
            <w:r w:rsidRPr="00B129F1">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1F4EC55" w14:textId="7EB8225E" w:rsidR="00D24C7F" w:rsidRDefault="008441BF">
            <w:pPr>
              <w:pStyle w:val="TableDataEntries"/>
            </w:pPr>
            <w:r w:rsidRPr="00B129F1">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C1B4980" w14:textId="48D06833" w:rsidR="00D24C7F" w:rsidRDefault="008441BF">
            <w:pPr>
              <w:pStyle w:val="TableDataEntries"/>
            </w:pPr>
            <w:r w:rsidRPr="00B129F1">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DDF9E6C" w14:textId="1AE9E9FF" w:rsidR="00D24C7F" w:rsidRDefault="008441BF">
            <w:pPr>
              <w:pStyle w:val="TableDataEntries"/>
            </w:pPr>
            <w:r w:rsidRPr="00B129F1">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CD76DE" w14:textId="3948EB8C" w:rsidR="00D24C7F" w:rsidRDefault="008441BF">
            <w:pPr>
              <w:pStyle w:val="TableDataEntries"/>
            </w:pPr>
            <w:r w:rsidRPr="00B129F1">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55F034" w14:textId="1F27FD08" w:rsidR="00D24C7F" w:rsidRDefault="008441BF">
            <w:pPr>
              <w:pStyle w:val="TableDataEntries"/>
            </w:pPr>
            <w:r w:rsidRPr="00B129F1">
              <w:t>0.0</w:t>
            </w:r>
          </w:p>
        </w:tc>
      </w:tr>
      <w:tr w:rsidR="00D24C7F" w14:paraId="56EB70B0"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CE73DF4" w14:textId="4579930C" w:rsidR="00D24C7F" w:rsidRDefault="00FF7B72">
            <w:pPr>
              <w:pStyle w:val="TableDataEntries"/>
              <w:jc w:val="left"/>
            </w:pPr>
            <w:r>
              <w:t>Electricity exports — network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E4070C9" w14:textId="40AE1AED" w:rsidR="00D24C7F" w:rsidRDefault="008441BF">
            <w:pPr>
              <w:pStyle w:val="TableDataEntries"/>
            </w:pPr>
            <w:r w:rsidRPr="00B129F1">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933C33C" w14:textId="61134041" w:rsidR="00D24C7F" w:rsidRDefault="008441BF">
            <w:pPr>
              <w:pStyle w:val="TableDataEntries"/>
            </w:pPr>
            <w:r w:rsidRPr="00B129F1">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1D5A426" w14:textId="7EC92464" w:rsidR="00D24C7F" w:rsidRDefault="008441BF">
            <w:pPr>
              <w:pStyle w:val="TableDataEntries"/>
            </w:pPr>
            <w:r w:rsidRPr="00B129F1">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C0706FE" w14:textId="01CAD374" w:rsidR="00D24C7F" w:rsidRDefault="008441BF">
            <w:pPr>
              <w:pStyle w:val="TableDataEntries"/>
            </w:pPr>
            <w:r w:rsidRPr="00B129F1">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4A41929" w14:textId="7D84BE99" w:rsidR="00D24C7F" w:rsidRDefault="008441BF">
            <w:pPr>
              <w:pStyle w:val="TableDataEntries"/>
            </w:pPr>
            <w:r w:rsidRPr="00B129F1">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6662065" w14:textId="1ACB8471" w:rsidR="00D24C7F" w:rsidRDefault="008441BF">
            <w:pPr>
              <w:pStyle w:val="TableDataEntries"/>
            </w:pPr>
            <w:r w:rsidRPr="00B129F1">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6F5AF1C" w14:textId="2531BC8C" w:rsidR="00D24C7F" w:rsidRDefault="008441BF">
            <w:pPr>
              <w:pStyle w:val="TableDataEntries"/>
            </w:pPr>
            <w:r w:rsidRPr="00B129F1">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A4BBF01" w14:textId="29AE7CA0" w:rsidR="00D24C7F" w:rsidRDefault="008441BF">
            <w:pPr>
              <w:pStyle w:val="TableDataEntries"/>
            </w:pPr>
            <w:r w:rsidRPr="00B129F1">
              <w:t>0.0</w:t>
            </w:r>
          </w:p>
        </w:tc>
      </w:tr>
      <w:tr w:rsidR="00D24C7F" w14:paraId="4C009911"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4EFC49" w14:textId="15B2A273" w:rsidR="00D24C7F" w:rsidRDefault="00D24C7F">
            <w:pPr>
              <w:pStyle w:val="TableDataEntries"/>
              <w:jc w:val="left"/>
            </w:pPr>
            <w:r>
              <w:t>Avoided gas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E314905" w14:textId="7DA3CFF8" w:rsidR="00D24C7F" w:rsidRDefault="00BC3BDE">
            <w:pPr>
              <w:pStyle w:val="TableDataEntries"/>
            </w:pPr>
            <w:r w:rsidRPr="00505A07">
              <w:t>11</w:t>
            </w:r>
            <w:r w:rsidR="008441BF" w:rsidRPr="00B129F1">
              <w:t>.8</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3CB301C" w14:textId="720FC02F" w:rsidR="00D24C7F" w:rsidRDefault="00BC3BDE">
            <w:pPr>
              <w:pStyle w:val="TableDataEntries"/>
            </w:pPr>
            <w:r w:rsidRPr="00505A07">
              <w:t>18</w:t>
            </w:r>
            <w:r w:rsidR="008441BF" w:rsidRPr="00B129F1">
              <w:t>.3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501A692" w14:textId="569B7D18" w:rsidR="00D24C7F" w:rsidRDefault="00BC3BDE">
            <w:pPr>
              <w:pStyle w:val="TableDataEntries"/>
            </w:pPr>
            <w:r w:rsidRPr="00505A07">
              <w:t>10.4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600761" w14:textId="6F40704D" w:rsidR="00D24C7F" w:rsidRDefault="00BC3BDE">
            <w:pPr>
              <w:pStyle w:val="TableDataEntries"/>
            </w:pPr>
            <w:r w:rsidRPr="00505A07">
              <w:t>12.2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E07F3FF" w14:textId="10382AC3" w:rsidR="00D24C7F" w:rsidRDefault="00BC3BDE">
            <w:pPr>
              <w:pStyle w:val="TableDataEntries"/>
            </w:pPr>
            <w:r w:rsidRPr="00505A07">
              <w:t>12.7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2285CB9" w14:textId="3A76D69C" w:rsidR="00D24C7F" w:rsidRDefault="00BC3BDE">
            <w:pPr>
              <w:pStyle w:val="TableDataEntries"/>
            </w:pPr>
            <w:r w:rsidRPr="00505A07">
              <w:t>41.3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179EC04" w14:textId="22998923" w:rsidR="00D24C7F" w:rsidRDefault="00BC3BDE">
            <w:pPr>
              <w:pStyle w:val="TableDataEntries"/>
            </w:pPr>
            <w:r w:rsidRPr="00505A07">
              <w:t>28.9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6021E1" w14:textId="5AD6EF30" w:rsidR="00D24C7F" w:rsidRDefault="00BC3BDE">
            <w:pPr>
              <w:pStyle w:val="TableDataEntries"/>
            </w:pPr>
            <w:r w:rsidRPr="00505A07">
              <w:t>8.4</w:t>
            </w:r>
          </w:p>
        </w:tc>
      </w:tr>
      <w:tr w:rsidR="00D24C7F" w14:paraId="7E02D82E"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DFD0355" w14:textId="32CC6BF0" w:rsidR="00D24C7F" w:rsidRDefault="00D24C7F">
            <w:pPr>
              <w:pStyle w:val="TableDataEntries"/>
              <w:jc w:val="left"/>
            </w:pPr>
            <w:r>
              <w:t xml:space="preserve">Avoided GHG emissions </w:t>
            </w:r>
            <w:r w:rsidR="00FF7B72">
              <w:t>–</w:t>
            </w:r>
            <w:r>
              <w:t xml:space="preserve">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E75ABC4" w14:textId="416EEAD7" w:rsidR="00D24C7F" w:rsidRDefault="00BC3BDE">
            <w:pPr>
              <w:pStyle w:val="TableDataEntries"/>
            </w:pPr>
            <w:r w:rsidRPr="00505A07">
              <w:t>2.0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34B80E2" w14:textId="019DEE3C" w:rsidR="00D24C7F" w:rsidRDefault="00BC3BDE">
            <w:pPr>
              <w:pStyle w:val="TableDataEntries"/>
            </w:pPr>
            <w:r w:rsidRPr="00505A07">
              <w:t>-4.5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9C0930" w14:textId="194521FF" w:rsidR="00D24C7F" w:rsidRDefault="00BC3BDE">
            <w:pPr>
              <w:pStyle w:val="TableDataEntries"/>
            </w:pPr>
            <w:r w:rsidRPr="00505A07">
              <w:t>1.3</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7193AED" w14:textId="0A05CFC0" w:rsidR="00D24C7F" w:rsidRDefault="00BC3BDE">
            <w:pPr>
              <w:pStyle w:val="TableDataEntries"/>
            </w:pPr>
            <w:r w:rsidRPr="00505A07">
              <w:t>3.0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DF66152" w14:textId="3BE4DEA4" w:rsidR="00D24C7F" w:rsidRDefault="00BC3BDE">
            <w:pPr>
              <w:pStyle w:val="TableDataEntries"/>
            </w:pPr>
            <w:r w:rsidRPr="00505A07">
              <w:t>2</w:t>
            </w:r>
            <w:r w:rsidR="008441BF" w:rsidRPr="00B129F1">
              <w:t>.1</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0006712" w14:textId="2723E9F1" w:rsidR="00D24C7F" w:rsidRDefault="008441BF">
            <w:pPr>
              <w:pStyle w:val="TableDataEntries"/>
            </w:pPr>
            <w:r w:rsidRPr="00B129F1">
              <w:t>-</w:t>
            </w:r>
            <w:r w:rsidR="00BC3BDE" w:rsidRPr="00505A07">
              <w:t>1.4</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A7F070A" w14:textId="538D539B" w:rsidR="00D24C7F" w:rsidRDefault="008441BF">
            <w:pPr>
              <w:pStyle w:val="TableDataEntries"/>
            </w:pPr>
            <w:r w:rsidRPr="00B129F1">
              <w:t>-</w:t>
            </w:r>
            <w:r w:rsidR="00BC3BDE" w:rsidRPr="00505A07">
              <w:t>9.5</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3DDAE2" w14:textId="30DE6168" w:rsidR="00D24C7F" w:rsidRDefault="00BC3BDE">
            <w:pPr>
              <w:pStyle w:val="TableDataEntries"/>
            </w:pPr>
            <w:r w:rsidRPr="00505A07">
              <w:t>31.9</w:t>
            </w:r>
          </w:p>
        </w:tc>
      </w:tr>
      <w:tr w:rsidR="00D24C7F" w14:paraId="4F42F953"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E2C52DF" w14:textId="5A46BCA2" w:rsidR="00D24C7F" w:rsidRDefault="00D24C7F">
            <w:pPr>
              <w:pStyle w:val="TableDataEntries"/>
              <w:jc w:val="left"/>
            </w:pPr>
            <w:r>
              <w:t xml:space="preserve">Avoided GHG emissions </w:t>
            </w:r>
            <w:r w:rsidR="00FF7B72">
              <w:t>–</w:t>
            </w:r>
            <w:r>
              <w:t xml:space="preserve"> exported electricity</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5742016" w14:textId="17162DDA" w:rsidR="00D24C7F" w:rsidRDefault="008441BF">
            <w:pPr>
              <w:pStyle w:val="TableDataEntries"/>
            </w:pPr>
            <w:r w:rsidRPr="00B129F1">
              <w:t>0.0</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2FFB520" w14:textId="4AF2BF3D" w:rsidR="00D24C7F" w:rsidRDefault="008441BF">
            <w:pPr>
              <w:pStyle w:val="TableDataEntries"/>
            </w:pPr>
            <w:r w:rsidRPr="00B129F1">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6D44AE4" w14:textId="48E8712F" w:rsidR="00D24C7F" w:rsidRDefault="008441BF">
            <w:pPr>
              <w:pStyle w:val="TableDataEntries"/>
            </w:pPr>
            <w:r w:rsidRPr="00B129F1">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949E47E" w14:textId="11098ED6" w:rsidR="00D24C7F" w:rsidRDefault="008441BF">
            <w:pPr>
              <w:pStyle w:val="TableDataEntries"/>
            </w:pPr>
            <w:r w:rsidRPr="00B129F1">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2CFA38C" w14:textId="7E3858AB" w:rsidR="00D24C7F" w:rsidRDefault="008441BF">
            <w:pPr>
              <w:pStyle w:val="TableDataEntries"/>
            </w:pPr>
            <w:r w:rsidRPr="00B129F1">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2C1E94E" w14:textId="10E824F4" w:rsidR="00D24C7F" w:rsidRDefault="008441BF">
            <w:pPr>
              <w:pStyle w:val="TableDataEntries"/>
            </w:pPr>
            <w:r w:rsidRPr="00B129F1">
              <w:t>0.0</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4203F11" w14:textId="4F9137F6" w:rsidR="00D24C7F" w:rsidRDefault="008441BF">
            <w:pPr>
              <w:pStyle w:val="TableDataEntries"/>
            </w:pPr>
            <w:r w:rsidRPr="00B129F1">
              <w:t>0.0</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4201E9B" w14:textId="139D1C0F" w:rsidR="00D24C7F" w:rsidRDefault="008441BF">
            <w:pPr>
              <w:pStyle w:val="TableDataEntries"/>
            </w:pPr>
            <w:r w:rsidRPr="00B129F1">
              <w:t>0.0</w:t>
            </w:r>
          </w:p>
        </w:tc>
      </w:tr>
      <w:tr w:rsidR="00D24C7F" w14:paraId="7A878380"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5763B6E6" w14:textId="5ADE9B45" w:rsidR="00D24C7F" w:rsidRDefault="00D24C7F">
            <w:pPr>
              <w:pStyle w:val="TableDataEntries"/>
              <w:jc w:val="left"/>
            </w:pPr>
            <w:r>
              <w:t xml:space="preserve">Avoided GHG emissions </w:t>
            </w:r>
            <w:r w:rsidR="00FF7B72">
              <w:t>–</w:t>
            </w:r>
            <w:r>
              <w:t xml:space="preserve"> gas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76C75EA" w14:textId="72C476E9" w:rsidR="00D24C7F" w:rsidRDefault="00BC3BDE">
            <w:pPr>
              <w:pStyle w:val="TableDataEntries"/>
            </w:pPr>
            <w:r w:rsidRPr="00505A07">
              <w:t>24.6</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06F45C1E" w14:textId="4615482B" w:rsidR="00D24C7F" w:rsidRDefault="00BC3BDE">
            <w:pPr>
              <w:pStyle w:val="TableDataEntries"/>
            </w:pPr>
            <w:r w:rsidRPr="00505A07">
              <w:t>30.</w:t>
            </w:r>
            <w:r w:rsidR="008441BF" w:rsidRPr="00B129F1">
              <w:t>9</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677E90A9" w14:textId="422ED267" w:rsidR="00D24C7F" w:rsidRDefault="00BC3BDE">
            <w:pPr>
              <w:pStyle w:val="TableDataEntries"/>
            </w:pPr>
            <w:r w:rsidRPr="00505A07">
              <w:t>25.1</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D809236" w14:textId="5D115BDF" w:rsidR="00D24C7F" w:rsidRDefault="00BC3BDE">
            <w:pPr>
              <w:pStyle w:val="TableDataEntries"/>
            </w:pPr>
            <w:r w:rsidRPr="00505A07">
              <w:t>21.2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8761442" w14:textId="22DD8D1C" w:rsidR="00D24C7F" w:rsidRDefault="00BC3BDE">
            <w:pPr>
              <w:pStyle w:val="TableDataEntries"/>
            </w:pPr>
            <w:r w:rsidRPr="00505A07">
              <w:t>23</w:t>
            </w:r>
            <w:r w:rsidR="008441BF" w:rsidRPr="00B129F1">
              <w:t>.7</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74F3FE84" w14:textId="16D2124A" w:rsidR="00D24C7F" w:rsidRDefault="00BC3BDE">
            <w:pPr>
              <w:pStyle w:val="TableDataEntries"/>
            </w:pPr>
            <w:r w:rsidRPr="00505A07">
              <w:t>51.8</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F78064A" w14:textId="6C764DC3" w:rsidR="00D24C7F" w:rsidRDefault="00BC3BDE">
            <w:pPr>
              <w:pStyle w:val="TableDataEntries"/>
            </w:pPr>
            <w:r w:rsidRPr="00505A07">
              <w:t>60.3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4A9613EF" w14:textId="2E40BCA5" w:rsidR="00D24C7F" w:rsidRDefault="00BC3BDE">
            <w:pPr>
              <w:pStyle w:val="TableDataEntries"/>
            </w:pPr>
            <w:r w:rsidRPr="00505A07">
              <w:t>14.5</w:t>
            </w:r>
          </w:p>
        </w:tc>
      </w:tr>
      <w:tr w:rsidR="00D24C7F" w14:paraId="77E69732" w14:textId="77777777">
        <w:trPr>
          <w:trHeight w:val="245"/>
        </w:trPr>
        <w:tc>
          <w:tcPr>
            <w:tcW w:w="2627"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BCCB0DF" w14:textId="3CA779C9" w:rsidR="00D24C7F" w:rsidRDefault="00D24C7F">
            <w:pPr>
              <w:pStyle w:val="TableDataEntries"/>
              <w:jc w:val="left"/>
            </w:pPr>
            <w:r>
              <w:t>Capital costs</w:t>
            </w:r>
          </w:p>
        </w:tc>
        <w:tc>
          <w:tcPr>
            <w:tcW w:w="63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6AA4017" w14:textId="68770D87" w:rsidR="00D24C7F" w:rsidRDefault="008441BF">
            <w:pPr>
              <w:pStyle w:val="TableDataEntries"/>
            </w:pPr>
            <w:r w:rsidRPr="00B129F1">
              <w:t>-99.3</w:t>
            </w:r>
          </w:p>
        </w:tc>
        <w:tc>
          <w:tcPr>
            <w:tcW w:w="69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C698D78" w14:textId="0078D806" w:rsidR="00D24C7F" w:rsidRDefault="008441BF">
            <w:pPr>
              <w:pStyle w:val="TableDataEntries"/>
            </w:pPr>
            <w:r w:rsidRPr="00B129F1">
              <w:t>-53.8</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386509A3" w14:textId="2F37ED76" w:rsidR="00D24C7F" w:rsidRDefault="008441BF">
            <w:pPr>
              <w:pStyle w:val="TableDataEntries"/>
            </w:pPr>
            <w:r w:rsidRPr="00B129F1">
              <w:t>-104.5</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72F9247" w14:textId="296EDB2D" w:rsidR="00D24C7F" w:rsidRDefault="008441BF">
            <w:pPr>
              <w:pStyle w:val="TableDataEntries"/>
            </w:pPr>
            <w:r w:rsidRPr="00B129F1">
              <w:t>-99.3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70B5C07" w14:textId="19A165FB" w:rsidR="00D24C7F" w:rsidRDefault="008441BF">
            <w:pPr>
              <w:pStyle w:val="TableDataEntries"/>
            </w:pPr>
            <w:r w:rsidRPr="00B129F1">
              <w:t>-99.3</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9D62ECB" w14:textId="18DB27F2" w:rsidR="00D24C7F" w:rsidRDefault="008441BF">
            <w:pPr>
              <w:pStyle w:val="TableDataEntries"/>
            </w:pPr>
            <w:r w:rsidRPr="00B129F1">
              <w:t>-44.2</w:t>
            </w:r>
          </w:p>
        </w:tc>
        <w:tc>
          <w:tcPr>
            <w:tcW w:w="663"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18CDE8B5" w14:textId="2B1594DD" w:rsidR="00D24C7F" w:rsidRDefault="008441BF">
            <w:pPr>
              <w:pStyle w:val="TableDataEntries"/>
            </w:pPr>
            <w:r w:rsidRPr="00B129F1">
              <w:t>-44.2</w:t>
            </w:r>
          </w:p>
        </w:tc>
        <w:tc>
          <w:tcPr>
            <w:tcW w:w="664" w:type="dxa"/>
            <w:tcBorders>
              <w:top w:val="single" w:sz="8" w:space="0" w:color="FFFFFF" w:themeColor="background1"/>
              <w:bottom w:val="single" w:sz="8" w:space="0" w:color="FFFFFF" w:themeColor="background1"/>
            </w:tcBorders>
            <w:shd w:val="clear" w:color="auto" w:fill="E9E8E5" w:themeFill="background2"/>
            <w:tcMar>
              <w:left w:w="57" w:type="dxa"/>
              <w:right w:w="57" w:type="dxa"/>
            </w:tcMar>
          </w:tcPr>
          <w:p w14:paraId="2E651BC1" w14:textId="768E658F" w:rsidR="00D24C7F" w:rsidRDefault="00BC3BDE">
            <w:pPr>
              <w:pStyle w:val="TableDataEntries"/>
            </w:pPr>
            <w:r w:rsidRPr="00505A07">
              <w:t>-51.0</w:t>
            </w:r>
          </w:p>
        </w:tc>
      </w:tr>
      <w:tr w:rsidR="00D24C7F" w:rsidRPr="00147A7C" w14:paraId="3B0B40E2" w14:textId="77777777">
        <w:trPr>
          <w:trHeight w:val="245"/>
        </w:trPr>
        <w:tc>
          <w:tcPr>
            <w:tcW w:w="2627"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443626E" w14:textId="65FF7BFF" w:rsidR="00D24C7F" w:rsidRPr="00147A7C" w:rsidRDefault="00D24C7F">
            <w:pPr>
              <w:pStyle w:val="TableDataEntries"/>
              <w:jc w:val="left"/>
              <w:rPr>
                <w:rFonts w:ascii="Franklin Gothic Demi" w:hAnsi="Franklin Gothic Demi"/>
              </w:rPr>
            </w:pPr>
            <w:r w:rsidRPr="00147A7C">
              <w:rPr>
                <w:rFonts w:ascii="Franklin Gothic Demi" w:hAnsi="Franklin Gothic Demi"/>
              </w:rPr>
              <w:t>Total</w:t>
            </w:r>
          </w:p>
        </w:tc>
        <w:tc>
          <w:tcPr>
            <w:tcW w:w="63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8240D2D" w14:textId="248BE9D0" w:rsidR="00D24C7F" w:rsidRPr="00147A7C" w:rsidRDefault="00BC3BDE">
            <w:pPr>
              <w:pStyle w:val="TableDataEntries"/>
              <w:rPr>
                <w:rFonts w:ascii="Franklin Gothic Demi" w:hAnsi="Franklin Gothic Demi"/>
              </w:rPr>
            </w:pPr>
            <w:r w:rsidRPr="00BC3BDE">
              <w:rPr>
                <w:rFonts w:ascii="Franklin Gothic Demi" w:hAnsi="Franklin Gothic Demi"/>
              </w:rPr>
              <w:t>-54.2</w:t>
            </w:r>
          </w:p>
        </w:tc>
        <w:tc>
          <w:tcPr>
            <w:tcW w:w="69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A1A2A72" w14:textId="545E3E1E" w:rsidR="00D24C7F" w:rsidRPr="00147A7C" w:rsidRDefault="00BC3BDE">
            <w:pPr>
              <w:pStyle w:val="TableDataEntries"/>
              <w:rPr>
                <w:rFonts w:ascii="Franklin Gothic Demi" w:hAnsi="Franklin Gothic Demi"/>
              </w:rPr>
            </w:pPr>
            <w:r w:rsidRPr="00BC3BDE">
              <w:rPr>
                <w:rFonts w:ascii="Franklin Gothic Demi" w:hAnsi="Franklin Gothic Demi"/>
              </w:rPr>
              <w:t>-18.7</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08DB52F9" w14:textId="19D18D3D" w:rsidR="00D24C7F" w:rsidRPr="00147A7C" w:rsidRDefault="00BC3BDE">
            <w:pPr>
              <w:pStyle w:val="TableDataEntries"/>
              <w:rPr>
                <w:rFonts w:ascii="Franklin Gothic Demi" w:hAnsi="Franklin Gothic Demi"/>
              </w:rPr>
            </w:pPr>
            <w:r w:rsidRPr="00BC3BDE">
              <w:rPr>
                <w:rFonts w:ascii="Franklin Gothic Demi" w:hAnsi="Franklin Gothic Demi"/>
              </w:rPr>
              <w:t>-69.8</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610AE216" w14:textId="5C93BAEA" w:rsidR="00D24C7F" w:rsidRPr="00147A7C" w:rsidRDefault="00BC3BDE">
            <w:pPr>
              <w:pStyle w:val="TableDataEntries"/>
              <w:rPr>
                <w:rFonts w:ascii="Franklin Gothic Demi" w:hAnsi="Franklin Gothic Demi"/>
              </w:rPr>
            </w:pPr>
            <w:r w:rsidRPr="00BC3BDE">
              <w:rPr>
                <w:rFonts w:ascii="Franklin Gothic Demi" w:hAnsi="Franklin Gothic Demi"/>
              </w:rPr>
              <w:t>-53.8</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799058B4" w14:textId="1E80C3EE" w:rsidR="00D24C7F" w:rsidRPr="00147A7C" w:rsidRDefault="00BC3BDE">
            <w:pPr>
              <w:pStyle w:val="TableDataEntries"/>
              <w:rPr>
                <w:rFonts w:ascii="Franklin Gothic Demi" w:hAnsi="Franklin Gothic Demi"/>
              </w:rPr>
            </w:pPr>
            <w:r w:rsidRPr="00BC3BDE">
              <w:rPr>
                <w:rFonts w:ascii="Franklin Gothic Demi" w:hAnsi="Franklin Gothic Demi"/>
              </w:rPr>
              <w:t>-52.3</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31A7F51E" w14:textId="2A9AC19C" w:rsidR="00D24C7F" w:rsidRPr="00147A7C" w:rsidRDefault="00BC3BDE">
            <w:pPr>
              <w:pStyle w:val="TableDataEntries"/>
              <w:rPr>
                <w:rFonts w:ascii="Franklin Gothic Demi" w:hAnsi="Franklin Gothic Demi"/>
              </w:rPr>
            </w:pPr>
            <w:r w:rsidRPr="00BC3BDE">
              <w:rPr>
                <w:rFonts w:ascii="Franklin Gothic Demi" w:hAnsi="Franklin Gothic Demi"/>
              </w:rPr>
              <w:t>-28.1</w:t>
            </w:r>
          </w:p>
        </w:tc>
        <w:tc>
          <w:tcPr>
            <w:tcW w:w="663"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13733FF7" w14:textId="08D605EF" w:rsidR="00D24C7F" w:rsidRPr="00147A7C" w:rsidRDefault="00BC3BDE">
            <w:pPr>
              <w:pStyle w:val="TableDataEntries"/>
              <w:rPr>
                <w:rFonts w:ascii="Franklin Gothic Demi" w:hAnsi="Franklin Gothic Demi"/>
              </w:rPr>
            </w:pPr>
            <w:r w:rsidRPr="00BC3BDE">
              <w:rPr>
                <w:rFonts w:ascii="Franklin Gothic Demi" w:hAnsi="Franklin Gothic Demi"/>
              </w:rPr>
              <w:t>-19.5</w:t>
            </w:r>
          </w:p>
        </w:tc>
        <w:tc>
          <w:tcPr>
            <w:tcW w:w="664" w:type="dxa"/>
            <w:tcBorders>
              <w:top w:val="single" w:sz="8" w:space="0" w:color="FFFFFF" w:themeColor="background1"/>
              <w:bottom w:val="single" w:sz="6" w:space="0" w:color="6F6652"/>
            </w:tcBorders>
            <w:shd w:val="clear" w:color="auto" w:fill="C2DADB" w:themeFill="accent6" w:themeFillTint="99"/>
            <w:tcMar>
              <w:left w:w="57" w:type="dxa"/>
              <w:right w:w="57" w:type="dxa"/>
            </w:tcMar>
          </w:tcPr>
          <w:p w14:paraId="4769A5D2" w14:textId="5A02F40D" w:rsidR="00D24C7F" w:rsidRPr="00147A7C" w:rsidRDefault="00BC3BDE">
            <w:pPr>
              <w:pStyle w:val="TableDataEntries"/>
              <w:rPr>
                <w:rFonts w:ascii="Franklin Gothic Demi" w:hAnsi="Franklin Gothic Demi"/>
              </w:rPr>
            </w:pPr>
            <w:r w:rsidRPr="00BC3BDE">
              <w:rPr>
                <w:rFonts w:ascii="Franklin Gothic Demi" w:hAnsi="Franklin Gothic Demi"/>
              </w:rPr>
              <w:t>71.0</w:t>
            </w:r>
          </w:p>
        </w:tc>
      </w:tr>
    </w:tbl>
    <w:p w14:paraId="39C4DE8A" w14:textId="77777777" w:rsidR="00D24C7F" w:rsidRDefault="00D24C7F" w:rsidP="00D24C7F">
      <w:pPr>
        <w:pStyle w:val="Note"/>
      </w:pPr>
      <w:r w:rsidRPr="007D1B4F">
        <w:rPr>
          <w:i/>
        </w:rPr>
        <w:t>Note:</w:t>
      </w:r>
      <w:r w:rsidRPr="00E879B8">
        <w:t xml:space="preserve"> </w:t>
      </w:r>
      <w:r>
        <w:t>Costs and benefits estimated in present value terms over the 50</w:t>
      </w:r>
      <w:r>
        <w:noBreakHyphen/>
        <w:t xml:space="preserve">year life of a building constructed in 2025, using a discount rate of 5 per cent. </w:t>
      </w:r>
    </w:p>
    <w:p w14:paraId="509A3610" w14:textId="77777777" w:rsidR="00D24C7F" w:rsidRDefault="00D24C7F" w:rsidP="00D24C7F">
      <w:pPr>
        <w:pStyle w:val="Source"/>
      </w:pPr>
      <w:r>
        <w:rPr>
          <w:i/>
        </w:rPr>
        <w:t>Source</w:t>
      </w:r>
      <w:r w:rsidRPr="00E4232C">
        <w:rPr>
          <w:i/>
        </w:rPr>
        <w:t>:</w:t>
      </w:r>
      <w:r>
        <w:t xml:space="preserve"> CIE based on DeltaQ modelling.</w:t>
      </w:r>
    </w:p>
    <w:p w14:paraId="13D48935" w14:textId="4E0EDF21" w:rsidR="008528A6" w:rsidRDefault="0015634D">
      <w:pPr>
        <w:pStyle w:val="Heading6"/>
      </w:pPr>
      <w:bookmarkStart w:id="10331" w:name="_Toc178292564"/>
      <w:r>
        <w:t>Electricity grid impacts</w:t>
      </w:r>
      <w:bookmarkEnd w:id="10331"/>
    </w:p>
    <w:p w14:paraId="5BA07C03" w14:textId="245C2007" w:rsidR="008528A6" w:rsidRDefault="00801F76" w:rsidP="00E94CA7">
      <w:pPr>
        <w:pStyle w:val="Heading7"/>
      </w:pPr>
      <w:r>
        <w:t>Impact on minimum demand</w:t>
      </w:r>
    </w:p>
    <w:p w14:paraId="6FB3004A" w14:textId="0A24D3B5" w:rsidR="00361478" w:rsidRDefault="00EB7994" w:rsidP="00CE307A">
      <w:pPr>
        <w:pStyle w:val="BodyText"/>
      </w:pPr>
      <w:r>
        <w:t xml:space="preserve">One of the challenges associated with the </w:t>
      </w:r>
      <w:r w:rsidR="00361478">
        <w:t xml:space="preserve">energy transition is managing </w:t>
      </w:r>
      <w:r w:rsidR="0014179F">
        <w:t>periods of low</w:t>
      </w:r>
      <w:r w:rsidR="00361478">
        <w:t xml:space="preserve"> demand. The proposed changes to the NCC can affect minimum demand </w:t>
      </w:r>
      <w:r w:rsidR="001B364A">
        <w:t>through both:</w:t>
      </w:r>
    </w:p>
    <w:p w14:paraId="09697F2E" w14:textId="7DA60D1E" w:rsidR="001B364A" w:rsidRDefault="00300528" w:rsidP="00300528">
      <w:pPr>
        <w:pStyle w:val="ListBullet"/>
      </w:pPr>
      <w:r>
        <w:t>r</w:t>
      </w:r>
      <w:r w:rsidR="001B364A">
        <w:t xml:space="preserve">educing </w:t>
      </w:r>
      <w:r w:rsidR="000D0E55">
        <w:t xml:space="preserve">total energy consumption in minimum demand periods through </w:t>
      </w:r>
      <w:r w:rsidR="00F123AB">
        <w:t>more stringent minimum energy efficiency requirements</w:t>
      </w:r>
    </w:p>
    <w:p w14:paraId="22598D52" w14:textId="2943EB8A" w:rsidR="00F123AB" w:rsidRDefault="00300528" w:rsidP="00300528">
      <w:pPr>
        <w:pStyle w:val="ListBullet"/>
      </w:pPr>
      <w:r>
        <w:t>i</w:t>
      </w:r>
      <w:r w:rsidR="00FB4942">
        <w:t xml:space="preserve">ncreasing </w:t>
      </w:r>
      <w:r w:rsidR="000A6958">
        <w:t>energy generated from rooftop (and potentially ground mounted) solar</w:t>
      </w:r>
      <w:r w:rsidR="00D6390B">
        <w:t xml:space="preserve"> panels, some of which would be exported</w:t>
      </w:r>
      <w:r w:rsidR="00BB3C66">
        <w:t xml:space="preserve"> to the grid.</w:t>
      </w:r>
    </w:p>
    <w:p w14:paraId="6775689D" w14:textId="7F348650" w:rsidR="00CE692A" w:rsidRDefault="00CE692A" w:rsidP="00CE307A">
      <w:pPr>
        <w:pStyle w:val="BodyText"/>
      </w:pPr>
      <w:r>
        <w:t>The total impact on minimum demand (relative to the base case</w:t>
      </w:r>
      <w:r w:rsidR="00C92C9B">
        <w:t xml:space="preserve">) is therefore the sum of </w:t>
      </w:r>
      <w:r w:rsidR="00B27A09">
        <w:t>reduced consumption of electricity from the grid plu</w:t>
      </w:r>
      <w:r w:rsidR="00846104">
        <w:t xml:space="preserve">s </w:t>
      </w:r>
      <w:r w:rsidR="00A462D6">
        <w:t>any energy exported to the grid.</w:t>
      </w:r>
    </w:p>
    <w:p w14:paraId="18C8C011" w14:textId="0C3F1982" w:rsidR="001D75AA" w:rsidRDefault="001D75AA" w:rsidP="001D75AA">
      <w:pPr>
        <w:pStyle w:val="Heading8"/>
      </w:pPr>
      <w:r>
        <w:t>New South Wales</w:t>
      </w:r>
    </w:p>
    <w:p w14:paraId="0DDF2777" w14:textId="14A8A766" w:rsidR="005E151E" w:rsidRDefault="005E151E" w:rsidP="005E151E">
      <w:pPr>
        <w:pStyle w:val="BodyText"/>
      </w:pPr>
      <w:r w:rsidRPr="00CE6D73">
        <w:t>Chart</w:t>
      </w:r>
      <w:r w:rsidR="000C7096" w:rsidRPr="00CE6D73">
        <w:t>s</w:t>
      </w:r>
      <w:r w:rsidRPr="00CE6D73">
        <w:t> </w:t>
      </w:r>
      <w:r w:rsidR="00553627" w:rsidRPr="00CE6D73">
        <w:t xml:space="preserve">I.1 and </w:t>
      </w:r>
      <w:r w:rsidRPr="00CE6D73">
        <w:fldChar w:fldCharType="begin"/>
      </w:r>
      <w:r w:rsidRPr="00CE6D73">
        <w:instrText xml:space="preserve"> REF _Caption8670 </w:instrText>
      </w:r>
      <w:r w:rsidR="00CE6D73">
        <w:instrText xml:space="preserve"> \* MERGEFORMAT </w:instrText>
      </w:r>
      <w:r w:rsidRPr="00CE6D73">
        <w:fldChar w:fldCharType="separate"/>
      </w:r>
      <w:r w:rsidR="0096258B">
        <w:rPr>
          <w:noProof/>
        </w:rPr>
        <w:t>I</w:t>
      </w:r>
      <w:r w:rsidR="0096258B" w:rsidRPr="00695C93">
        <w:rPr>
          <w:noProof/>
        </w:rPr>
        <w:t>.</w:t>
      </w:r>
      <w:r w:rsidR="0096258B">
        <w:rPr>
          <w:noProof/>
        </w:rPr>
        <w:t>2</w:t>
      </w:r>
      <w:r w:rsidRPr="00CE6D73">
        <w:rPr>
          <w:noProof/>
        </w:rPr>
        <w:fldChar w:fldCharType="end"/>
      </w:r>
      <w:r w:rsidR="0014179F" w:rsidRPr="00CE6D73">
        <w:t xml:space="preserve"> </w:t>
      </w:r>
      <w:r w:rsidRPr="00CE6D73">
        <w:t xml:space="preserve">show </w:t>
      </w:r>
      <w:r w:rsidR="001217C9" w:rsidRPr="00CE6D73">
        <w:t>the impact of the proposed changes to the NCC</w:t>
      </w:r>
      <w:r w:rsidR="00CA1FFE" w:rsidRPr="00CE6D73">
        <w:t xml:space="preserve"> </w:t>
      </w:r>
      <w:r w:rsidR="00045399" w:rsidRPr="00CE6D73">
        <w:t>on demand for</w:t>
      </w:r>
      <w:r w:rsidR="00C87CA4">
        <w:t xml:space="preserve"> </w:t>
      </w:r>
      <w:r w:rsidR="009E75DE">
        <w:t>grid</w:t>
      </w:r>
      <w:r w:rsidR="0074665A">
        <w:t xml:space="preserve">-scale electricity in NSW </w:t>
      </w:r>
      <w:r w:rsidR="00437353">
        <w:t xml:space="preserve">for each </w:t>
      </w:r>
      <w:r w:rsidR="002161CF">
        <w:t xml:space="preserve">hourly </w:t>
      </w:r>
      <w:r w:rsidR="00A5388D">
        <w:t xml:space="preserve">interval </w:t>
      </w:r>
      <w:r w:rsidR="008F7F5C">
        <w:t>throug</w:t>
      </w:r>
      <w:r w:rsidR="00CE4B27">
        <w:t>h</w:t>
      </w:r>
      <w:r w:rsidR="002B5325">
        <w:t xml:space="preserve"> </w:t>
      </w:r>
      <w:r w:rsidR="005C426E">
        <w:t>the</w:t>
      </w:r>
      <w:r w:rsidR="002B5325">
        <w:t xml:space="preserve"> week</w:t>
      </w:r>
      <w:r w:rsidR="00CD11BF">
        <w:t xml:space="preserve"> for each season</w:t>
      </w:r>
      <w:r w:rsidR="006A013E">
        <w:t xml:space="preserve"> </w:t>
      </w:r>
      <w:r w:rsidR="00E553B8">
        <w:t>by</w:t>
      </w:r>
      <w:r w:rsidR="006A013E">
        <w:t xml:space="preserve"> 2034 when the proposed NCC changes will reach their maximum impact (i.e. at the end of the 10-year regulatory period)</w:t>
      </w:r>
      <w:r w:rsidR="0031544E">
        <w:t>. The chart shows the maximum impac</w:t>
      </w:r>
      <w:r w:rsidR="00E018C2">
        <w:t xml:space="preserve">t across </w:t>
      </w:r>
      <w:r w:rsidR="000C269B">
        <w:t>a</w:t>
      </w:r>
      <w:r w:rsidR="007059D1">
        <w:t>ll weeks within each season.</w:t>
      </w:r>
    </w:p>
    <w:p w14:paraId="407E9691" w14:textId="3076C8DA" w:rsidR="007D7742" w:rsidRDefault="007D7742" w:rsidP="005E151E">
      <w:pPr>
        <w:pStyle w:val="BodyText"/>
      </w:pPr>
      <w:r>
        <w:t>According</w:t>
      </w:r>
      <w:r w:rsidR="00844839">
        <w:t xml:space="preserve"> to AEMO forecasts, </w:t>
      </w:r>
      <w:r w:rsidR="007A1426">
        <w:t>mi</w:t>
      </w:r>
      <w:r w:rsidR="00260C4A">
        <w:t xml:space="preserve">nimum demand in NSW will </w:t>
      </w:r>
      <w:r w:rsidR="00ED4C34">
        <w:t xml:space="preserve">occur in shoulder seasons </w:t>
      </w:r>
      <w:r w:rsidR="00FE5465">
        <w:t xml:space="preserve">(i.e. spring or autumn) </w:t>
      </w:r>
      <w:r w:rsidR="00ED4C34">
        <w:t xml:space="preserve">between around 11am </w:t>
      </w:r>
      <w:r w:rsidR="00380BA3">
        <w:t>and</w:t>
      </w:r>
      <w:r w:rsidR="00ED4C34">
        <w:t xml:space="preserve"> 1pm.</w:t>
      </w:r>
    </w:p>
    <w:p w14:paraId="7327514C" w14:textId="77777777" w:rsidR="00131C38" w:rsidRDefault="00A56445" w:rsidP="005E151E">
      <w:pPr>
        <w:pStyle w:val="BodyText"/>
      </w:pPr>
      <w:r>
        <w:t xml:space="preserve">The </w:t>
      </w:r>
      <w:r w:rsidR="00241A85">
        <w:t xml:space="preserve">potential impact </w:t>
      </w:r>
      <w:r w:rsidR="004B7301">
        <w:t xml:space="preserve">of the </w:t>
      </w:r>
      <w:r>
        <w:t xml:space="preserve">proposed changes </w:t>
      </w:r>
      <w:r w:rsidR="0027523E">
        <w:t xml:space="preserve">on minimum demand </w:t>
      </w:r>
      <w:r w:rsidR="00131C38">
        <w:t>are as follows:</w:t>
      </w:r>
    </w:p>
    <w:p w14:paraId="76399B3C" w14:textId="7140B6F4" w:rsidR="00131C38" w:rsidRDefault="00FD0274" w:rsidP="00291E72">
      <w:pPr>
        <w:pStyle w:val="ListBullet"/>
      </w:pPr>
      <w:r>
        <w:t>Stringency Level 1 could reduce</w:t>
      </w:r>
      <w:r w:rsidR="00863568">
        <w:t xml:space="preserve"> minimum demand by around </w:t>
      </w:r>
      <w:r w:rsidR="00411C57">
        <w:t>1</w:t>
      </w:r>
      <w:r w:rsidR="004D016A">
        <w:t>70</w:t>
      </w:r>
      <w:r w:rsidR="00411C57">
        <w:t> MW by 2034</w:t>
      </w:r>
      <w:r w:rsidR="00291E72">
        <w:t xml:space="preserve"> compared with the base case</w:t>
      </w:r>
    </w:p>
    <w:p w14:paraId="60C2BC0F" w14:textId="2786472E" w:rsidR="00F24F61" w:rsidRDefault="004D016A" w:rsidP="00291E72">
      <w:pPr>
        <w:pStyle w:val="ListBullet"/>
      </w:pPr>
      <w:r>
        <w:t xml:space="preserve">Stringency Level 2 </w:t>
      </w:r>
      <w:r w:rsidR="00A56445">
        <w:t xml:space="preserve">could decrease minimum demand by around </w:t>
      </w:r>
      <w:r w:rsidR="00081ABB">
        <w:t>500 MW</w:t>
      </w:r>
      <w:r w:rsidR="00F05E03">
        <w:t xml:space="preserve"> by 2034</w:t>
      </w:r>
      <w:r w:rsidR="001B5979">
        <w:t xml:space="preserve"> compared with the base case</w:t>
      </w:r>
      <w:r w:rsidR="00BC4206">
        <w:t>.</w:t>
      </w:r>
    </w:p>
    <w:p w14:paraId="4D363C36" w14:textId="27D7F714" w:rsidR="00880459" w:rsidRPr="00695C93" w:rsidRDefault="00880459">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581346">
          <w:rPr>
            <w:noProof/>
          </w:rPr>
          <w:instrText>I</w:instrText>
        </w:r>
      </w:fldSimple>
      <w:r w:rsidRPr="00695C93">
        <w:instrText xml:space="preserve"> = 0 "</w:instrText>
      </w:r>
      <w:r w:rsidRPr="00695C93">
        <w:fldChar w:fldCharType="begin"/>
      </w:r>
      <w:r w:rsidRPr="00695C93">
        <w:instrText xml:space="preserve"> IF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 0 ""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w:instrText>
      </w:r>
      <w:r w:rsidRPr="00695C93">
        <w:fldChar w:fldCharType="separate"/>
      </w:r>
      <w:r>
        <w:rPr>
          <w:b/>
          <w:bCs/>
          <w:noProof/>
          <w:lang w:val="en-US"/>
        </w:rPr>
        <w:instrText>Error! No text of specified style in document.</w:instrText>
      </w:r>
      <w:r w:rsidRPr="00695C93">
        <w:rPr>
          <w:noProof/>
        </w:rPr>
        <w:instrText>.</w:instrText>
      </w:r>
      <w:r w:rsidRPr="00695C93">
        <w:fldChar w:fldCharType="end"/>
      </w:r>
      <w:r w:rsidRPr="00695C93">
        <w:instrText>" "</w:instrText>
      </w:r>
      <w:fldSimple w:instr=" STYLEREF &quot;Heading 6&quot; \l \n ">
        <w:r w:rsidR="00581346">
          <w:rPr>
            <w:noProof/>
          </w:rPr>
          <w:instrText>I</w:instrText>
        </w:r>
      </w:fldSimple>
      <w:r w:rsidRPr="00695C93">
        <w:instrText xml:space="preserve">." </w:instrText>
      </w:r>
      <w:r w:rsidRPr="00695C93">
        <w:fldChar w:fldCharType="separate"/>
      </w:r>
      <w:r w:rsidR="00581346">
        <w:rPr>
          <w:noProof/>
        </w:rPr>
        <w:instrText>I</w:instrText>
      </w:r>
      <w:r w:rsidR="00581346"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581346">
          <w:rPr>
            <w:noProof/>
          </w:rPr>
          <w:instrText>I</w:instrText>
        </w:r>
      </w:fldSimple>
      <w:r w:rsidRPr="00695C93">
        <w:instrText xml:space="preserve"> = 0 "</w:instrText>
      </w:r>
      <w:r w:rsidRPr="00695C93">
        <w:fldChar w:fldCharType="begin"/>
      </w:r>
      <w:r w:rsidRPr="00695C93">
        <w:instrText xml:space="preserve"> IF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 0 "" "1" </w:instrText>
      </w:r>
      <w:r w:rsidRPr="00695C93">
        <w:fldChar w:fldCharType="separate"/>
      </w:r>
      <w:r w:rsidRPr="00695C93">
        <w:rPr>
          <w:noProof/>
        </w:rPr>
        <w:instrText>1</w:instrText>
      </w:r>
      <w:r w:rsidRPr="00695C93">
        <w:fldChar w:fldCharType="end"/>
      </w:r>
      <w:r w:rsidRPr="00695C93">
        <w:instrText xml:space="preserve">" "6" </w:instrText>
      </w:r>
      <w:r w:rsidRPr="00695C93">
        <w:fldChar w:fldCharType="separate"/>
      </w:r>
      <w:r w:rsidR="00581346" w:rsidRPr="00695C93">
        <w:rPr>
          <w:noProof/>
        </w:rPr>
        <w:instrText>6</w:instrText>
      </w:r>
      <w:r w:rsidRPr="00695C93">
        <w:fldChar w:fldCharType="end"/>
      </w:r>
      <w:r w:rsidRPr="00695C93">
        <w:instrText xml:space="preserve"> </w:instrText>
      </w:r>
      <w:r w:rsidRPr="00695C93">
        <w:fldChar w:fldCharType="separate"/>
      </w:r>
      <w:r w:rsidR="00581346">
        <w:rPr>
          <w:noProof/>
        </w:rPr>
        <w:instrText>1</w:instrText>
      </w:r>
      <w:r w:rsidRPr="00695C93">
        <w:fldChar w:fldCharType="end"/>
      </w:r>
      <w:r w:rsidRPr="00695C93">
        <w:instrText xml:space="preserve">" "" </w:instrText>
      </w:r>
      <w:r w:rsidRPr="00695C93">
        <w:fldChar w:fldCharType="separate"/>
      </w:r>
      <w:bookmarkStart w:id="10332" w:name="_Caption3896"/>
      <w:bookmarkStart w:id="10333" w:name="_Toc178292713"/>
      <w:r w:rsidR="008C60A3">
        <w:rPr>
          <w:noProof/>
        </w:rPr>
        <w:t>I</w:t>
      </w:r>
      <w:r w:rsidR="008C60A3" w:rsidRPr="00695C93">
        <w:rPr>
          <w:noProof/>
        </w:rPr>
        <w:t>.</w:t>
      </w:r>
      <w:r w:rsidR="008C60A3">
        <w:rPr>
          <w:noProof/>
        </w:rPr>
        <w:t>1</w:t>
      </w:r>
      <w:bookmarkEnd w:id="10332"/>
      <w:r w:rsidRPr="00695C93">
        <w:fldChar w:fldCharType="end"/>
      </w:r>
      <w:r w:rsidRPr="00695C93">
        <w:tab/>
      </w:r>
      <w:r w:rsidR="00BC5976">
        <w:t>Aggregate impact on demand for electricity from the grid by TOU — Stringency 1</w:t>
      </w:r>
      <w:bookmarkEnd w:id="10333"/>
    </w:p>
    <w:tbl>
      <w:tblPr>
        <w:tblStyle w:val="TableGrid"/>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9E8E5" w:themeFill="background2"/>
        <w:tblLayout w:type="fixed"/>
        <w:tblCellMar>
          <w:left w:w="0" w:type="dxa"/>
          <w:right w:w="0" w:type="dxa"/>
        </w:tblCellMar>
        <w:tblLook w:val="04A0" w:firstRow="1" w:lastRow="0" w:firstColumn="1" w:lastColumn="0" w:noHBand="0" w:noVBand="1"/>
      </w:tblPr>
      <w:tblGrid>
        <w:gridCol w:w="7938"/>
      </w:tblGrid>
      <w:tr w:rsidR="00880459" w14:paraId="7D8EAA15" w14:textId="77777777">
        <w:trPr>
          <w:cantSplit/>
        </w:trPr>
        <w:tc>
          <w:tcPr>
            <w:tcW w:w="7938" w:type="dxa"/>
            <w:shd w:val="clear" w:color="auto" w:fill="E9E8E5" w:themeFill="background2"/>
          </w:tcPr>
          <w:p w14:paraId="34B0CBFE" w14:textId="19A15CBD" w:rsidR="00880459" w:rsidRDefault="00C3298D">
            <w:pPr>
              <w:pStyle w:val="Chart"/>
            </w:pPr>
            <w:r w:rsidRPr="00C3298D">
              <w:rPr>
                <w:noProof/>
              </w:rPr>
              <w:drawing>
                <wp:inline distT="0" distB="0" distL="0" distR="0" wp14:anchorId="43925B85" wp14:editId="5343732B">
                  <wp:extent cx="5035550" cy="2406650"/>
                  <wp:effectExtent l="0" t="0" r="0" b="0"/>
                  <wp:docPr id="800268445" name="Picture 1" descr="Chart I.1 - Aggregate impact on demand for electricity from the grid by time of use across an average week in NSW by season - Stringenc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268445" name="Picture 1" descr="Chart I.1 - Aggregate impact on demand for electricity from the grid by time of use across an average week in NSW by season - Stringency 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035550" cy="2406650"/>
                          </a:xfrm>
                          <a:prstGeom prst="rect">
                            <a:avLst/>
                          </a:prstGeom>
                          <a:noFill/>
                          <a:ln>
                            <a:noFill/>
                          </a:ln>
                        </pic:spPr>
                      </pic:pic>
                    </a:graphicData>
                  </a:graphic>
                </wp:inline>
              </w:drawing>
            </w:r>
          </w:p>
        </w:tc>
      </w:tr>
    </w:tbl>
    <w:p w14:paraId="0D2464DB" w14:textId="77777777" w:rsidR="00BC5976" w:rsidRDefault="00BC5976" w:rsidP="00BC5976">
      <w:pPr>
        <w:pStyle w:val="Source"/>
      </w:pPr>
      <w:r>
        <w:rPr>
          <w:i/>
        </w:rPr>
        <w:t>Data source</w:t>
      </w:r>
      <w:r w:rsidRPr="00A67576">
        <w:rPr>
          <w:i/>
        </w:rPr>
        <w:t>:</w:t>
      </w:r>
      <w:r>
        <w:t xml:space="preserve"> CIE based on DeltaQ modelling.</w:t>
      </w:r>
    </w:p>
    <w:p w14:paraId="72F79FB4" w14:textId="7D7DB14B" w:rsidR="00EC589F" w:rsidRPr="00695C93" w:rsidRDefault="00EC589F">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581346">
          <w:rPr>
            <w:noProof/>
          </w:rPr>
          <w:instrText>I</w:instrText>
        </w:r>
      </w:fldSimple>
      <w:r w:rsidRPr="00695C93">
        <w:instrText xml:space="preserve"> = 0 "</w:instrText>
      </w:r>
      <w:r w:rsidRPr="00695C93">
        <w:fldChar w:fldCharType="begin"/>
      </w:r>
      <w:r w:rsidRPr="00695C93">
        <w:instrText xml:space="preserve"> IF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 0 ""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w:instrText>
      </w:r>
      <w:r w:rsidRPr="00695C93">
        <w:fldChar w:fldCharType="separate"/>
      </w:r>
      <w:r>
        <w:rPr>
          <w:b/>
          <w:bCs/>
          <w:noProof/>
          <w:lang w:val="en-US"/>
        </w:rPr>
        <w:instrText>Error! No text of specified style in document.</w:instrText>
      </w:r>
      <w:r w:rsidRPr="00695C93">
        <w:rPr>
          <w:noProof/>
        </w:rPr>
        <w:instrText>.</w:instrText>
      </w:r>
      <w:r w:rsidRPr="00695C93">
        <w:fldChar w:fldCharType="end"/>
      </w:r>
      <w:r w:rsidRPr="00695C93">
        <w:instrText>" "</w:instrText>
      </w:r>
      <w:fldSimple w:instr=" STYLEREF &quot;Heading 6&quot; \l \n ">
        <w:r w:rsidR="00581346">
          <w:rPr>
            <w:noProof/>
          </w:rPr>
          <w:instrText>I</w:instrText>
        </w:r>
      </w:fldSimple>
      <w:r w:rsidRPr="00695C93">
        <w:instrText xml:space="preserve">." </w:instrText>
      </w:r>
      <w:r w:rsidRPr="00695C93">
        <w:fldChar w:fldCharType="separate"/>
      </w:r>
      <w:r w:rsidR="00581346">
        <w:rPr>
          <w:noProof/>
        </w:rPr>
        <w:instrText>I</w:instrText>
      </w:r>
      <w:r w:rsidR="00581346"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581346">
          <w:rPr>
            <w:noProof/>
          </w:rPr>
          <w:instrText>I</w:instrText>
        </w:r>
      </w:fldSimple>
      <w:r w:rsidRPr="00695C93">
        <w:instrText xml:space="preserve"> = 0 "</w:instrText>
      </w:r>
      <w:r w:rsidRPr="00695C93">
        <w:fldChar w:fldCharType="begin"/>
      </w:r>
      <w:r w:rsidRPr="00695C93">
        <w:instrText xml:space="preserve"> IF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 0 "" "1" </w:instrText>
      </w:r>
      <w:r w:rsidRPr="00695C93">
        <w:fldChar w:fldCharType="separate"/>
      </w:r>
      <w:r w:rsidRPr="00695C93">
        <w:rPr>
          <w:noProof/>
        </w:rPr>
        <w:instrText>1</w:instrText>
      </w:r>
      <w:r w:rsidRPr="00695C93">
        <w:fldChar w:fldCharType="end"/>
      </w:r>
      <w:r w:rsidRPr="00695C93">
        <w:instrText xml:space="preserve">" "6" </w:instrText>
      </w:r>
      <w:r w:rsidRPr="00695C93">
        <w:fldChar w:fldCharType="separate"/>
      </w:r>
      <w:r w:rsidR="00581346" w:rsidRPr="00695C93">
        <w:rPr>
          <w:noProof/>
        </w:rPr>
        <w:instrText>6</w:instrText>
      </w:r>
      <w:r w:rsidRPr="00695C93">
        <w:fldChar w:fldCharType="end"/>
      </w:r>
      <w:r w:rsidRPr="00695C93">
        <w:instrText xml:space="preserve"> </w:instrText>
      </w:r>
      <w:r w:rsidRPr="00695C93">
        <w:fldChar w:fldCharType="separate"/>
      </w:r>
      <w:r w:rsidR="00581346">
        <w:rPr>
          <w:noProof/>
        </w:rPr>
        <w:instrText>2</w:instrText>
      </w:r>
      <w:r w:rsidRPr="00695C93">
        <w:fldChar w:fldCharType="end"/>
      </w:r>
      <w:r w:rsidRPr="00695C93">
        <w:instrText xml:space="preserve">" "" </w:instrText>
      </w:r>
      <w:r w:rsidRPr="00695C93">
        <w:fldChar w:fldCharType="separate"/>
      </w:r>
      <w:bookmarkStart w:id="10334" w:name="_Caption8670"/>
      <w:bookmarkStart w:id="10335" w:name="_Caption0085"/>
      <w:bookmarkStart w:id="10336" w:name="_Toc178292714"/>
      <w:r w:rsidR="008C60A3">
        <w:rPr>
          <w:noProof/>
        </w:rPr>
        <w:t>I</w:t>
      </w:r>
      <w:r w:rsidR="008C60A3" w:rsidRPr="00695C93">
        <w:rPr>
          <w:noProof/>
        </w:rPr>
        <w:t>.</w:t>
      </w:r>
      <w:r w:rsidR="008C60A3">
        <w:rPr>
          <w:noProof/>
        </w:rPr>
        <w:t>2</w:t>
      </w:r>
      <w:bookmarkEnd w:id="10334"/>
      <w:bookmarkEnd w:id="10335"/>
      <w:r w:rsidRPr="00695C93">
        <w:fldChar w:fldCharType="end"/>
      </w:r>
      <w:r w:rsidRPr="00695C93">
        <w:tab/>
      </w:r>
      <w:r w:rsidR="005F1CDD">
        <w:t xml:space="preserve">Aggregate impact on demand for electricity from the grid by TOU </w:t>
      </w:r>
      <w:r w:rsidR="00FA5DF7">
        <w:t xml:space="preserve">— </w:t>
      </w:r>
      <w:r w:rsidR="00880459">
        <w:t>Stringency 2</w:t>
      </w:r>
      <w:bookmarkEnd w:id="10336"/>
    </w:p>
    <w:tbl>
      <w:tblPr>
        <w:tblStyle w:val="TableGrid"/>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9E8E5" w:themeFill="background2"/>
        <w:tblLayout w:type="fixed"/>
        <w:tblCellMar>
          <w:left w:w="0" w:type="dxa"/>
          <w:right w:w="0" w:type="dxa"/>
        </w:tblCellMar>
        <w:tblLook w:val="04A0" w:firstRow="1" w:lastRow="0" w:firstColumn="1" w:lastColumn="0" w:noHBand="0" w:noVBand="1"/>
      </w:tblPr>
      <w:tblGrid>
        <w:gridCol w:w="7938"/>
      </w:tblGrid>
      <w:tr w:rsidR="00EC589F" w14:paraId="1A65C7E3" w14:textId="77777777">
        <w:trPr>
          <w:cantSplit/>
        </w:trPr>
        <w:tc>
          <w:tcPr>
            <w:tcW w:w="7938" w:type="dxa"/>
            <w:shd w:val="clear" w:color="auto" w:fill="E9E8E5" w:themeFill="background2"/>
          </w:tcPr>
          <w:p w14:paraId="20B6A85D" w14:textId="5FBB600F" w:rsidR="00EC589F" w:rsidRDefault="00A36CF8">
            <w:pPr>
              <w:pStyle w:val="Chart"/>
            </w:pPr>
            <w:r w:rsidRPr="00A36CF8">
              <w:rPr>
                <w:noProof/>
              </w:rPr>
              <w:drawing>
                <wp:inline distT="0" distB="0" distL="0" distR="0" wp14:anchorId="3399F413" wp14:editId="30E6F8A7">
                  <wp:extent cx="5035550" cy="2419350"/>
                  <wp:effectExtent l="0" t="0" r="0" b="0"/>
                  <wp:docPr id="1074348757" name="Picture 11" descr="Chart I.2 - Aggregate impact on demand for electricity from the grid by time of use across an average week in NSW by season - Stringenc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348757" name="Picture 11" descr="Chart I.2 - Aggregate impact on demand for electricity from the grid by time of use across an average week in NSW by season - Stringency 2"/>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035550" cy="2419350"/>
                          </a:xfrm>
                          <a:prstGeom prst="rect">
                            <a:avLst/>
                          </a:prstGeom>
                          <a:noFill/>
                          <a:ln>
                            <a:noFill/>
                          </a:ln>
                        </pic:spPr>
                      </pic:pic>
                    </a:graphicData>
                  </a:graphic>
                </wp:inline>
              </w:drawing>
            </w:r>
          </w:p>
        </w:tc>
      </w:tr>
    </w:tbl>
    <w:p w14:paraId="000E995F" w14:textId="6861B556" w:rsidR="00EC589F" w:rsidRDefault="00EC589F">
      <w:pPr>
        <w:pStyle w:val="Source"/>
      </w:pPr>
      <w:r>
        <w:rPr>
          <w:i/>
        </w:rPr>
        <w:t>Data source</w:t>
      </w:r>
      <w:r w:rsidRPr="00A67576">
        <w:rPr>
          <w:i/>
        </w:rPr>
        <w:t>:</w:t>
      </w:r>
      <w:r>
        <w:t xml:space="preserve"> </w:t>
      </w:r>
      <w:r w:rsidR="00691384">
        <w:t>CIE based on DeltaQ modelling.</w:t>
      </w:r>
    </w:p>
    <w:p w14:paraId="3C87E91C" w14:textId="0F4CCFA9" w:rsidR="00CE307A" w:rsidRPr="001D75AA" w:rsidRDefault="00CE307A" w:rsidP="001D75AA">
      <w:pPr>
        <w:pStyle w:val="Heading8"/>
      </w:pPr>
      <w:r w:rsidRPr="001D75AA">
        <w:t>Victoria</w:t>
      </w:r>
    </w:p>
    <w:p w14:paraId="165BBDDB" w14:textId="77777777" w:rsidR="00DF2C24" w:rsidRDefault="000F3E77" w:rsidP="00BA51ED">
      <w:pPr>
        <w:pStyle w:val="BodyText"/>
      </w:pPr>
      <w:r>
        <w:t xml:space="preserve">According to AEMO forecasts, minimum demand in Victoria </w:t>
      </w:r>
      <w:r w:rsidR="00485D06">
        <w:t>is expe</w:t>
      </w:r>
      <w:r w:rsidR="00DB6613">
        <w:t>cted to</w:t>
      </w:r>
      <w:r>
        <w:t xml:space="preserve"> occur in </w:t>
      </w:r>
      <w:r w:rsidR="00DB6613">
        <w:t>summer</w:t>
      </w:r>
      <w:r>
        <w:t xml:space="preserve"> between around </w:t>
      </w:r>
      <w:r w:rsidR="001F1CE4">
        <w:t>12:30pm</w:t>
      </w:r>
      <w:r>
        <w:t xml:space="preserve"> and </w:t>
      </w:r>
      <w:r w:rsidR="001F1CE4">
        <w:t>2</w:t>
      </w:r>
      <w:r>
        <w:t>pm.</w:t>
      </w:r>
    </w:p>
    <w:p w14:paraId="698C78E7" w14:textId="6FDD42E2" w:rsidR="00BA51ED" w:rsidRDefault="00BA51ED" w:rsidP="00BA51ED">
      <w:pPr>
        <w:pStyle w:val="BodyText"/>
      </w:pPr>
      <w:r>
        <w:t>The potential impact of the proposed changes on minimum demand are as follows:</w:t>
      </w:r>
    </w:p>
    <w:p w14:paraId="5C361F37" w14:textId="55166E7A" w:rsidR="00BA51ED" w:rsidRPr="00CE6D73" w:rsidRDefault="00BA51ED" w:rsidP="00FC5A00">
      <w:pPr>
        <w:pStyle w:val="ListBullet"/>
      </w:pPr>
      <w:r w:rsidRPr="00CE6D73">
        <w:t xml:space="preserve">Stringency Level 1 could </w:t>
      </w:r>
      <w:r w:rsidR="000F6E30" w:rsidRPr="00CE6D73">
        <w:t xml:space="preserve">reduce minimum demand by around 270 MW by </w:t>
      </w:r>
      <w:r w:rsidR="00DA38FC" w:rsidRPr="00CE6D73">
        <w:t>2034</w:t>
      </w:r>
      <w:r w:rsidR="00C64B38" w:rsidRPr="00CE6D73">
        <w:t xml:space="preserve"> </w:t>
      </w:r>
      <w:r w:rsidR="00FC5A00" w:rsidRPr="00CE6D73">
        <w:t xml:space="preserve">compared with the base case </w:t>
      </w:r>
      <w:r w:rsidR="00C64B38" w:rsidRPr="00CE6D73">
        <w:t xml:space="preserve">(see chart </w:t>
      </w:r>
      <w:r w:rsidR="00B47A98" w:rsidRPr="00CE6D73">
        <w:t>I.3</w:t>
      </w:r>
      <w:r w:rsidR="00C64B38" w:rsidRPr="00CE6D73">
        <w:t>)</w:t>
      </w:r>
    </w:p>
    <w:p w14:paraId="3DAD919F" w14:textId="6F6A1579" w:rsidR="00D24C7F" w:rsidRPr="00CE6D73" w:rsidRDefault="00FC5A00" w:rsidP="00FC5A00">
      <w:pPr>
        <w:pStyle w:val="ListBullet"/>
      </w:pPr>
      <w:r w:rsidRPr="00CE6D73">
        <w:t xml:space="preserve">Stringency Level 2 could </w:t>
      </w:r>
      <w:r w:rsidR="000F3E77" w:rsidRPr="00CE6D73">
        <w:t xml:space="preserve">decrease minimum demand by around </w:t>
      </w:r>
      <w:r w:rsidR="004B21B2" w:rsidRPr="00CE6D73">
        <w:t>7</w:t>
      </w:r>
      <w:r w:rsidR="000F3E77" w:rsidRPr="00CE6D73">
        <w:t>00 MW by 2034 compared with the base case</w:t>
      </w:r>
      <w:r w:rsidRPr="00CE6D73">
        <w:t xml:space="preserve"> (see chart </w:t>
      </w:r>
      <w:r w:rsidR="00B47A98" w:rsidRPr="00CE6D73">
        <w:t>I.4</w:t>
      </w:r>
      <w:r w:rsidRPr="00CE6D73">
        <w:t>)</w:t>
      </w:r>
      <w:r w:rsidR="000F3E77" w:rsidRPr="00CE6D73">
        <w:t>.</w:t>
      </w:r>
    </w:p>
    <w:p w14:paraId="4235A9FC" w14:textId="09C370FA" w:rsidR="00BC5976" w:rsidRPr="00695C93" w:rsidRDefault="00BC5976" w:rsidP="00BC5976">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581346">
          <w:rPr>
            <w:noProof/>
          </w:rPr>
          <w:instrText>I</w:instrText>
        </w:r>
      </w:fldSimple>
      <w:r w:rsidRPr="00695C93">
        <w:instrText xml:space="preserve"> = 0 "</w:instrText>
      </w:r>
      <w:r w:rsidRPr="00695C93">
        <w:fldChar w:fldCharType="begin"/>
      </w:r>
      <w:r w:rsidRPr="00695C93">
        <w:instrText xml:space="preserve"> IF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 0 ""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w:instrText>
      </w:r>
      <w:r w:rsidRPr="00695C93">
        <w:fldChar w:fldCharType="separate"/>
      </w:r>
      <w:r>
        <w:rPr>
          <w:b/>
          <w:bCs/>
          <w:noProof/>
          <w:lang w:val="en-US"/>
        </w:rPr>
        <w:instrText>Error! No text of specified style in document.</w:instrText>
      </w:r>
      <w:r w:rsidRPr="00695C93">
        <w:rPr>
          <w:noProof/>
        </w:rPr>
        <w:instrText>.</w:instrText>
      </w:r>
      <w:r w:rsidRPr="00695C93">
        <w:fldChar w:fldCharType="end"/>
      </w:r>
      <w:r w:rsidRPr="00695C93">
        <w:instrText>" "</w:instrText>
      </w:r>
      <w:fldSimple w:instr=" STYLEREF &quot;Heading 6&quot; \l \n ">
        <w:r w:rsidR="00581346">
          <w:rPr>
            <w:noProof/>
          </w:rPr>
          <w:instrText>I</w:instrText>
        </w:r>
      </w:fldSimple>
      <w:r w:rsidRPr="00695C93">
        <w:instrText xml:space="preserve">." </w:instrText>
      </w:r>
      <w:r w:rsidRPr="00695C93">
        <w:fldChar w:fldCharType="separate"/>
      </w:r>
      <w:r w:rsidR="00581346">
        <w:rPr>
          <w:noProof/>
        </w:rPr>
        <w:instrText>I</w:instrText>
      </w:r>
      <w:r w:rsidR="00581346"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581346">
          <w:rPr>
            <w:noProof/>
          </w:rPr>
          <w:instrText>I</w:instrText>
        </w:r>
      </w:fldSimple>
      <w:r w:rsidRPr="00695C93">
        <w:instrText xml:space="preserve"> = 0 "</w:instrText>
      </w:r>
      <w:r w:rsidRPr="00695C93">
        <w:fldChar w:fldCharType="begin"/>
      </w:r>
      <w:r w:rsidRPr="00695C93">
        <w:instrText xml:space="preserve"> IF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 0 "" "1" </w:instrText>
      </w:r>
      <w:r w:rsidRPr="00695C93">
        <w:fldChar w:fldCharType="separate"/>
      </w:r>
      <w:r w:rsidRPr="00695C93">
        <w:rPr>
          <w:noProof/>
        </w:rPr>
        <w:instrText>1</w:instrText>
      </w:r>
      <w:r w:rsidRPr="00695C93">
        <w:fldChar w:fldCharType="end"/>
      </w:r>
      <w:r w:rsidRPr="00695C93">
        <w:instrText xml:space="preserve">" "6" </w:instrText>
      </w:r>
      <w:r w:rsidRPr="00695C93">
        <w:fldChar w:fldCharType="separate"/>
      </w:r>
      <w:r w:rsidR="00581346" w:rsidRPr="00695C93">
        <w:rPr>
          <w:noProof/>
        </w:rPr>
        <w:instrText>6</w:instrText>
      </w:r>
      <w:r w:rsidRPr="00695C93">
        <w:fldChar w:fldCharType="end"/>
      </w:r>
      <w:r w:rsidRPr="00695C93">
        <w:instrText xml:space="preserve"> </w:instrText>
      </w:r>
      <w:r w:rsidRPr="00695C93">
        <w:fldChar w:fldCharType="separate"/>
      </w:r>
      <w:r w:rsidR="00581346">
        <w:rPr>
          <w:noProof/>
        </w:rPr>
        <w:instrText>3</w:instrText>
      </w:r>
      <w:r w:rsidRPr="00695C93">
        <w:fldChar w:fldCharType="end"/>
      </w:r>
      <w:r w:rsidRPr="00695C93">
        <w:instrText xml:space="preserve">" "" </w:instrText>
      </w:r>
      <w:r w:rsidRPr="00695C93">
        <w:fldChar w:fldCharType="separate"/>
      </w:r>
      <w:bookmarkStart w:id="10337" w:name="_Caption1871"/>
      <w:bookmarkStart w:id="10338" w:name="_Toc178292715"/>
      <w:r w:rsidR="008C60A3">
        <w:rPr>
          <w:noProof/>
        </w:rPr>
        <w:t>I</w:t>
      </w:r>
      <w:r w:rsidR="008C60A3" w:rsidRPr="00695C93">
        <w:rPr>
          <w:noProof/>
        </w:rPr>
        <w:t>.</w:t>
      </w:r>
      <w:r w:rsidR="008C60A3">
        <w:rPr>
          <w:noProof/>
        </w:rPr>
        <w:t>3</w:t>
      </w:r>
      <w:bookmarkEnd w:id="10337"/>
      <w:r w:rsidRPr="00695C93">
        <w:fldChar w:fldCharType="end"/>
      </w:r>
      <w:r w:rsidRPr="00695C93">
        <w:tab/>
      </w:r>
      <w:r>
        <w:t>Aggregate impact on demand for electricity from the grid by TOU — Stringency 1</w:t>
      </w:r>
      <w:bookmarkEnd w:id="10338"/>
    </w:p>
    <w:tbl>
      <w:tblPr>
        <w:tblStyle w:val="TableGrid"/>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9E8E5" w:themeFill="background2"/>
        <w:tblLayout w:type="fixed"/>
        <w:tblCellMar>
          <w:left w:w="0" w:type="dxa"/>
          <w:right w:w="0" w:type="dxa"/>
        </w:tblCellMar>
        <w:tblLook w:val="04A0" w:firstRow="1" w:lastRow="0" w:firstColumn="1" w:lastColumn="0" w:noHBand="0" w:noVBand="1"/>
      </w:tblPr>
      <w:tblGrid>
        <w:gridCol w:w="7938"/>
      </w:tblGrid>
      <w:tr w:rsidR="00BC5976" w14:paraId="2EC21803" w14:textId="77777777">
        <w:trPr>
          <w:cantSplit/>
        </w:trPr>
        <w:tc>
          <w:tcPr>
            <w:tcW w:w="7938" w:type="dxa"/>
            <w:shd w:val="clear" w:color="auto" w:fill="E9E8E5" w:themeFill="background2"/>
          </w:tcPr>
          <w:p w14:paraId="1FC6F56D" w14:textId="306EA01C" w:rsidR="00BC5976" w:rsidRDefault="00F95852">
            <w:pPr>
              <w:pStyle w:val="Chart"/>
            </w:pPr>
            <w:r w:rsidRPr="00F95852">
              <w:rPr>
                <w:noProof/>
              </w:rPr>
              <w:drawing>
                <wp:inline distT="0" distB="0" distL="0" distR="0" wp14:anchorId="06DA0507" wp14:editId="7701777F">
                  <wp:extent cx="5035550" cy="2406650"/>
                  <wp:effectExtent l="0" t="0" r="0" b="0"/>
                  <wp:docPr id="159851672" name="Picture 2" descr="Chart I.3 - Aggregate impact on demand for electricity from the grid by time of use across an average week in Victoria by season - Stringenc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51672" name="Picture 2" descr="Chart I.3 - Aggregate impact on demand for electricity from the grid by time of use across an average week in Victoria by season - Stringency 1"/>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035550" cy="2406650"/>
                          </a:xfrm>
                          <a:prstGeom prst="rect">
                            <a:avLst/>
                          </a:prstGeom>
                          <a:noFill/>
                          <a:ln>
                            <a:noFill/>
                          </a:ln>
                        </pic:spPr>
                      </pic:pic>
                    </a:graphicData>
                  </a:graphic>
                </wp:inline>
              </w:drawing>
            </w:r>
          </w:p>
        </w:tc>
      </w:tr>
    </w:tbl>
    <w:p w14:paraId="6EF18BAF" w14:textId="77777777" w:rsidR="00BC5976" w:rsidRDefault="00BC5976" w:rsidP="00BC5976">
      <w:pPr>
        <w:pStyle w:val="Source"/>
      </w:pPr>
      <w:r>
        <w:rPr>
          <w:i/>
        </w:rPr>
        <w:t>Data source</w:t>
      </w:r>
      <w:r w:rsidRPr="00A67576">
        <w:rPr>
          <w:i/>
        </w:rPr>
        <w:t>:</w:t>
      </w:r>
      <w:r>
        <w:t xml:space="preserve"> CIE based on DeltaQ modelling.</w:t>
      </w:r>
    </w:p>
    <w:p w14:paraId="1882E66A" w14:textId="19518A55" w:rsidR="001D0E16" w:rsidRPr="00695C93" w:rsidRDefault="001D0E16">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581346">
          <w:rPr>
            <w:noProof/>
          </w:rPr>
          <w:instrText>I</w:instrText>
        </w:r>
      </w:fldSimple>
      <w:r w:rsidRPr="00695C93">
        <w:instrText xml:space="preserve"> = 0 "</w:instrText>
      </w:r>
      <w:r w:rsidRPr="00695C93">
        <w:fldChar w:fldCharType="begin"/>
      </w:r>
      <w:r w:rsidRPr="00695C93">
        <w:instrText xml:space="preserve"> IF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 0 ""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w:instrText>
      </w:r>
      <w:r w:rsidRPr="00695C93">
        <w:fldChar w:fldCharType="separate"/>
      </w:r>
      <w:r>
        <w:rPr>
          <w:b/>
          <w:bCs/>
          <w:noProof/>
          <w:lang w:val="en-US"/>
        </w:rPr>
        <w:instrText>Error! No text of specified style in document.</w:instrText>
      </w:r>
      <w:r w:rsidRPr="00695C93">
        <w:rPr>
          <w:noProof/>
        </w:rPr>
        <w:instrText>.</w:instrText>
      </w:r>
      <w:r w:rsidRPr="00695C93">
        <w:fldChar w:fldCharType="end"/>
      </w:r>
      <w:r w:rsidRPr="00695C93">
        <w:instrText>" "</w:instrText>
      </w:r>
      <w:fldSimple w:instr=" STYLEREF &quot;Heading 6&quot; \l \n ">
        <w:r w:rsidR="00581346">
          <w:rPr>
            <w:noProof/>
          </w:rPr>
          <w:instrText>I</w:instrText>
        </w:r>
      </w:fldSimple>
      <w:r w:rsidRPr="00695C93">
        <w:instrText xml:space="preserve">." </w:instrText>
      </w:r>
      <w:r w:rsidRPr="00695C93">
        <w:fldChar w:fldCharType="separate"/>
      </w:r>
      <w:r w:rsidR="00581346">
        <w:rPr>
          <w:noProof/>
        </w:rPr>
        <w:instrText>I</w:instrText>
      </w:r>
      <w:r w:rsidR="00581346"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581346">
          <w:rPr>
            <w:noProof/>
          </w:rPr>
          <w:instrText>I</w:instrText>
        </w:r>
      </w:fldSimple>
      <w:r w:rsidRPr="00695C93">
        <w:instrText xml:space="preserve"> = 0 "</w:instrText>
      </w:r>
      <w:r w:rsidRPr="00695C93">
        <w:fldChar w:fldCharType="begin"/>
      </w:r>
      <w:r w:rsidRPr="00695C93">
        <w:instrText xml:space="preserve"> IF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 0 "" "1" </w:instrText>
      </w:r>
      <w:r w:rsidRPr="00695C93">
        <w:fldChar w:fldCharType="separate"/>
      </w:r>
      <w:r w:rsidRPr="00695C93">
        <w:rPr>
          <w:noProof/>
        </w:rPr>
        <w:instrText>1</w:instrText>
      </w:r>
      <w:r w:rsidRPr="00695C93">
        <w:fldChar w:fldCharType="end"/>
      </w:r>
      <w:r w:rsidRPr="00695C93">
        <w:instrText xml:space="preserve">" "6" </w:instrText>
      </w:r>
      <w:r w:rsidRPr="00695C93">
        <w:fldChar w:fldCharType="separate"/>
      </w:r>
      <w:r w:rsidR="00581346" w:rsidRPr="00695C93">
        <w:rPr>
          <w:noProof/>
        </w:rPr>
        <w:instrText>6</w:instrText>
      </w:r>
      <w:r w:rsidRPr="00695C93">
        <w:fldChar w:fldCharType="end"/>
      </w:r>
      <w:r w:rsidRPr="00695C93">
        <w:instrText xml:space="preserve"> </w:instrText>
      </w:r>
      <w:r w:rsidRPr="00695C93">
        <w:fldChar w:fldCharType="separate"/>
      </w:r>
      <w:r w:rsidR="00581346">
        <w:rPr>
          <w:noProof/>
        </w:rPr>
        <w:instrText>4</w:instrText>
      </w:r>
      <w:r w:rsidRPr="00695C93">
        <w:fldChar w:fldCharType="end"/>
      </w:r>
      <w:r w:rsidRPr="00695C93">
        <w:instrText xml:space="preserve">" "" </w:instrText>
      </w:r>
      <w:r w:rsidRPr="00695C93">
        <w:fldChar w:fldCharType="separate"/>
      </w:r>
      <w:bookmarkStart w:id="10339" w:name="_Caption0125"/>
      <w:bookmarkStart w:id="10340" w:name="_Caption2917"/>
      <w:bookmarkStart w:id="10341" w:name="_Toc178292716"/>
      <w:r w:rsidR="008C60A3">
        <w:rPr>
          <w:noProof/>
        </w:rPr>
        <w:t>I</w:t>
      </w:r>
      <w:r w:rsidR="008C60A3" w:rsidRPr="00695C93">
        <w:rPr>
          <w:noProof/>
        </w:rPr>
        <w:t>.</w:t>
      </w:r>
      <w:r w:rsidR="008C60A3">
        <w:rPr>
          <w:noProof/>
        </w:rPr>
        <w:t>4</w:t>
      </w:r>
      <w:bookmarkEnd w:id="10339"/>
      <w:bookmarkEnd w:id="10340"/>
      <w:r w:rsidRPr="00695C93">
        <w:fldChar w:fldCharType="end"/>
      </w:r>
      <w:r w:rsidRPr="00695C93">
        <w:tab/>
      </w:r>
      <w:r w:rsidR="00A161C5">
        <w:t>Aggregate impact on demand</w:t>
      </w:r>
      <w:r w:rsidR="001B5979">
        <w:t xml:space="preserve"> for electricity from the grid</w:t>
      </w:r>
      <w:r w:rsidR="00A161C5">
        <w:t xml:space="preserve"> </w:t>
      </w:r>
      <w:r w:rsidR="00DC15D3">
        <w:t>by TOU</w:t>
      </w:r>
      <w:r w:rsidR="0064474D">
        <w:t xml:space="preserve">— </w:t>
      </w:r>
      <w:r w:rsidR="00F95852">
        <w:t>Stringency 2</w:t>
      </w:r>
      <w:bookmarkEnd w:id="10341"/>
    </w:p>
    <w:tbl>
      <w:tblPr>
        <w:tblStyle w:val="TableGrid"/>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9E8E5" w:themeFill="background2"/>
        <w:tblLayout w:type="fixed"/>
        <w:tblCellMar>
          <w:left w:w="0" w:type="dxa"/>
          <w:right w:w="0" w:type="dxa"/>
        </w:tblCellMar>
        <w:tblLook w:val="04A0" w:firstRow="1" w:lastRow="0" w:firstColumn="1" w:lastColumn="0" w:noHBand="0" w:noVBand="1"/>
      </w:tblPr>
      <w:tblGrid>
        <w:gridCol w:w="7938"/>
      </w:tblGrid>
      <w:tr w:rsidR="001D0E16" w14:paraId="323E2A14" w14:textId="77777777">
        <w:trPr>
          <w:cantSplit/>
        </w:trPr>
        <w:tc>
          <w:tcPr>
            <w:tcW w:w="7938" w:type="dxa"/>
            <w:shd w:val="clear" w:color="auto" w:fill="E9E8E5" w:themeFill="background2"/>
          </w:tcPr>
          <w:p w14:paraId="70CE37C3" w14:textId="194AF68C" w:rsidR="001D0E16" w:rsidRDefault="005C075B">
            <w:pPr>
              <w:pStyle w:val="Chart"/>
            </w:pPr>
            <w:r w:rsidRPr="005C075B">
              <w:rPr>
                <w:noProof/>
              </w:rPr>
              <w:drawing>
                <wp:inline distT="0" distB="0" distL="0" distR="0" wp14:anchorId="3B323B47" wp14:editId="2EB8B0AD">
                  <wp:extent cx="5035550" cy="2419350"/>
                  <wp:effectExtent l="0" t="0" r="0" b="0"/>
                  <wp:docPr id="44518719" name="Picture 12" descr="Chart I.4 - Aggregate impact on demand for electricity from the grid by time of use across an average week in Victoria by season - Stringenc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18719" name="Picture 12" descr="Chart I.4 - Aggregate impact on demand for electricity from the grid by time of use across an average week in Victoria by season - Stringency 2"/>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035550" cy="2419350"/>
                          </a:xfrm>
                          <a:prstGeom prst="rect">
                            <a:avLst/>
                          </a:prstGeom>
                          <a:noFill/>
                          <a:ln>
                            <a:noFill/>
                          </a:ln>
                        </pic:spPr>
                      </pic:pic>
                    </a:graphicData>
                  </a:graphic>
                </wp:inline>
              </w:drawing>
            </w:r>
          </w:p>
        </w:tc>
      </w:tr>
    </w:tbl>
    <w:p w14:paraId="790500A0" w14:textId="5D9D40ED" w:rsidR="001D0E16" w:rsidRDefault="001D0E16">
      <w:pPr>
        <w:pStyle w:val="Source"/>
      </w:pPr>
      <w:r>
        <w:rPr>
          <w:i/>
        </w:rPr>
        <w:t>Data source</w:t>
      </w:r>
      <w:r w:rsidRPr="00A67576">
        <w:rPr>
          <w:i/>
        </w:rPr>
        <w:t>:</w:t>
      </w:r>
      <w:r>
        <w:t xml:space="preserve"> </w:t>
      </w:r>
      <w:r w:rsidR="0064474D">
        <w:t>CIE estimates based on DeltaQ modelling.</w:t>
      </w:r>
    </w:p>
    <w:p w14:paraId="691D7074" w14:textId="456C9AA1" w:rsidR="00725F2E" w:rsidRDefault="00DF1B30" w:rsidP="001D75AA">
      <w:pPr>
        <w:pStyle w:val="Heading8"/>
        <w:rPr>
          <w:lang w:eastAsia="en-US"/>
        </w:rPr>
      </w:pPr>
      <w:r>
        <w:rPr>
          <w:lang w:eastAsia="en-US"/>
        </w:rPr>
        <w:t>Queensland</w:t>
      </w:r>
    </w:p>
    <w:p w14:paraId="2EC4A901" w14:textId="77777777" w:rsidR="00335FB2" w:rsidRDefault="00046216" w:rsidP="00FC5A00">
      <w:pPr>
        <w:pStyle w:val="BodyText"/>
      </w:pPr>
      <w:r>
        <w:t xml:space="preserve">According to AEMO forecasts, minimum demand in </w:t>
      </w:r>
      <w:r w:rsidR="00EA4014">
        <w:t>Queensland</w:t>
      </w:r>
      <w:r>
        <w:t xml:space="preserve"> is expected to occur in </w:t>
      </w:r>
      <w:r w:rsidR="00EA4014">
        <w:t>winter</w:t>
      </w:r>
      <w:r>
        <w:t xml:space="preserve"> between around 12pm and </w:t>
      </w:r>
      <w:r w:rsidR="00F835EC">
        <w:t>1</w:t>
      </w:r>
      <w:r>
        <w:t>pm.</w:t>
      </w:r>
    </w:p>
    <w:p w14:paraId="49A92E15" w14:textId="6090D192" w:rsidR="00FC5A00" w:rsidRDefault="00FC5A00" w:rsidP="00FC5A00">
      <w:pPr>
        <w:pStyle w:val="BodyText"/>
      </w:pPr>
      <w:r>
        <w:t>The potential impact of the proposed changes on minimum demand are as follows:</w:t>
      </w:r>
    </w:p>
    <w:p w14:paraId="7A59B637" w14:textId="6E28ECA1" w:rsidR="00FC5A00" w:rsidRPr="00CE6D73" w:rsidRDefault="00FC5A00" w:rsidP="00FC5A00">
      <w:pPr>
        <w:pStyle w:val="ListBullet"/>
      </w:pPr>
      <w:r w:rsidRPr="00CE6D73">
        <w:t xml:space="preserve">Stringency Level 1 could reduce minimum demand by around </w:t>
      </w:r>
      <w:r w:rsidR="00D441F4" w:rsidRPr="00CE6D73">
        <w:t>150</w:t>
      </w:r>
      <w:r w:rsidRPr="00CE6D73">
        <w:t xml:space="preserve"> MW by 2034 compared with the base case (see chart </w:t>
      </w:r>
      <w:r w:rsidR="00B47A98" w:rsidRPr="00CE6D73">
        <w:t>I.5</w:t>
      </w:r>
      <w:r w:rsidRPr="00CE6D73">
        <w:t>)</w:t>
      </w:r>
    </w:p>
    <w:p w14:paraId="5EB04CF9" w14:textId="40B4F522" w:rsidR="00FC5A00" w:rsidRPr="00CE6D73" w:rsidRDefault="00FC5A00" w:rsidP="00FC5A00">
      <w:pPr>
        <w:pStyle w:val="ListBullet"/>
      </w:pPr>
      <w:r w:rsidRPr="00CE6D73">
        <w:t xml:space="preserve">Stringency Level 2 could decrease minimum demand by around 335 MW by 2034 compared with the base case (see chart </w:t>
      </w:r>
      <w:r w:rsidR="00B47A98" w:rsidRPr="00CE6D73">
        <w:t>I.6</w:t>
      </w:r>
      <w:r w:rsidRPr="00CE6D73">
        <w:t>).</w:t>
      </w:r>
    </w:p>
    <w:p w14:paraId="411A27FB" w14:textId="2EB1EF57" w:rsidR="00BC5976" w:rsidRPr="00695C93" w:rsidRDefault="00BC5976" w:rsidP="00BC5976">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581346">
          <w:rPr>
            <w:noProof/>
          </w:rPr>
          <w:instrText>I</w:instrText>
        </w:r>
      </w:fldSimple>
      <w:r w:rsidRPr="00695C93">
        <w:instrText xml:space="preserve"> = 0 "</w:instrText>
      </w:r>
      <w:r w:rsidRPr="00695C93">
        <w:fldChar w:fldCharType="begin"/>
      </w:r>
      <w:r w:rsidRPr="00695C93">
        <w:instrText xml:space="preserve"> IF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 0 ""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w:instrText>
      </w:r>
      <w:r w:rsidRPr="00695C93">
        <w:fldChar w:fldCharType="separate"/>
      </w:r>
      <w:r>
        <w:rPr>
          <w:b/>
          <w:bCs/>
          <w:noProof/>
          <w:lang w:val="en-US"/>
        </w:rPr>
        <w:instrText>Error! No text of specified style in document.</w:instrText>
      </w:r>
      <w:r w:rsidRPr="00695C93">
        <w:rPr>
          <w:noProof/>
        </w:rPr>
        <w:instrText>.</w:instrText>
      </w:r>
      <w:r w:rsidRPr="00695C93">
        <w:fldChar w:fldCharType="end"/>
      </w:r>
      <w:r w:rsidRPr="00695C93">
        <w:instrText>" "</w:instrText>
      </w:r>
      <w:fldSimple w:instr=" STYLEREF &quot;Heading 6&quot; \l \n ">
        <w:r w:rsidR="00581346">
          <w:rPr>
            <w:noProof/>
          </w:rPr>
          <w:instrText>I</w:instrText>
        </w:r>
      </w:fldSimple>
      <w:r w:rsidRPr="00695C93">
        <w:instrText xml:space="preserve">." </w:instrText>
      </w:r>
      <w:r w:rsidRPr="00695C93">
        <w:fldChar w:fldCharType="separate"/>
      </w:r>
      <w:r w:rsidR="00581346">
        <w:rPr>
          <w:noProof/>
        </w:rPr>
        <w:instrText>I</w:instrText>
      </w:r>
      <w:r w:rsidR="00581346"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581346">
          <w:rPr>
            <w:noProof/>
          </w:rPr>
          <w:instrText>I</w:instrText>
        </w:r>
      </w:fldSimple>
      <w:r w:rsidRPr="00695C93">
        <w:instrText xml:space="preserve"> = 0 "</w:instrText>
      </w:r>
      <w:r w:rsidRPr="00695C93">
        <w:fldChar w:fldCharType="begin"/>
      </w:r>
      <w:r w:rsidRPr="00695C93">
        <w:instrText xml:space="preserve"> IF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 0 "" "1" </w:instrText>
      </w:r>
      <w:r w:rsidRPr="00695C93">
        <w:fldChar w:fldCharType="separate"/>
      </w:r>
      <w:r w:rsidRPr="00695C93">
        <w:rPr>
          <w:noProof/>
        </w:rPr>
        <w:instrText>1</w:instrText>
      </w:r>
      <w:r w:rsidRPr="00695C93">
        <w:fldChar w:fldCharType="end"/>
      </w:r>
      <w:r w:rsidRPr="00695C93">
        <w:instrText xml:space="preserve">" "6" </w:instrText>
      </w:r>
      <w:r w:rsidRPr="00695C93">
        <w:fldChar w:fldCharType="separate"/>
      </w:r>
      <w:r w:rsidR="00581346" w:rsidRPr="00695C93">
        <w:rPr>
          <w:noProof/>
        </w:rPr>
        <w:instrText>6</w:instrText>
      </w:r>
      <w:r w:rsidRPr="00695C93">
        <w:fldChar w:fldCharType="end"/>
      </w:r>
      <w:r w:rsidRPr="00695C93">
        <w:instrText xml:space="preserve"> </w:instrText>
      </w:r>
      <w:r w:rsidRPr="00695C93">
        <w:fldChar w:fldCharType="separate"/>
      </w:r>
      <w:r w:rsidR="00581346">
        <w:rPr>
          <w:noProof/>
        </w:rPr>
        <w:instrText>5</w:instrText>
      </w:r>
      <w:r w:rsidRPr="00695C93">
        <w:fldChar w:fldCharType="end"/>
      </w:r>
      <w:r w:rsidRPr="00695C93">
        <w:instrText xml:space="preserve">" "" </w:instrText>
      </w:r>
      <w:r w:rsidRPr="00695C93">
        <w:fldChar w:fldCharType="separate"/>
      </w:r>
      <w:bookmarkStart w:id="10342" w:name="_Caption7817"/>
      <w:bookmarkStart w:id="10343" w:name="_Toc178292717"/>
      <w:r w:rsidR="008C60A3">
        <w:rPr>
          <w:noProof/>
        </w:rPr>
        <w:t>I</w:t>
      </w:r>
      <w:r w:rsidR="008C60A3" w:rsidRPr="00695C93">
        <w:rPr>
          <w:noProof/>
        </w:rPr>
        <w:t>.</w:t>
      </w:r>
      <w:r w:rsidR="008C60A3">
        <w:rPr>
          <w:noProof/>
        </w:rPr>
        <w:t>5</w:t>
      </w:r>
      <w:bookmarkEnd w:id="10342"/>
      <w:r w:rsidRPr="00695C93">
        <w:fldChar w:fldCharType="end"/>
      </w:r>
      <w:r w:rsidRPr="00695C93">
        <w:tab/>
      </w:r>
      <w:r>
        <w:t>Aggregate impact on demand for electricity from the grid by TOU — Stringency 1</w:t>
      </w:r>
      <w:bookmarkEnd w:id="10343"/>
    </w:p>
    <w:tbl>
      <w:tblPr>
        <w:tblStyle w:val="TableGrid"/>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9E8E5" w:themeFill="background2"/>
        <w:tblLayout w:type="fixed"/>
        <w:tblCellMar>
          <w:left w:w="0" w:type="dxa"/>
          <w:right w:w="0" w:type="dxa"/>
        </w:tblCellMar>
        <w:tblLook w:val="04A0" w:firstRow="1" w:lastRow="0" w:firstColumn="1" w:lastColumn="0" w:noHBand="0" w:noVBand="1"/>
      </w:tblPr>
      <w:tblGrid>
        <w:gridCol w:w="7938"/>
      </w:tblGrid>
      <w:tr w:rsidR="00BC5976" w14:paraId="7FB6CDF8" w14:textId="77777777">
        <w:trPr>
          <w:cantSplit/>
        </w:trPr>
        <w:tc>
          <w:tcPr>
            <w:tcW w:w="7938" w:type="dxa"/>
            <w:shd w:val="clear" w:color="auto" w:fill="E9E8E5" w:themeFill="background2"/>
          </w:tcPr>
          <w:p w14:paraId="237CA446" w14:textId="2EE30FF2" w:rsidR="00BC5976" w:rsidRDefault="00442BEA">
            <w:pPr>
              <w:pStyle w:val="Chart"/>
            </w:pPr>
            <w:r w:rsidRPr="00442BEA">
              <w:rPr>
                <w:noProof/>
              </w:rPr>
              <w:drawing>
                <wp:inline distT="0" distB="0" distL="0" distR="0" wp14:anchorId="0E4849BB" wp14:editId="40C7B4B1">
                  <wp:extent cx="5035550" cy="2406650"/>
                  <wp:effectExtent l="0" t="0" r="0" b="0"/>
                  <wp:docPr id="57833437" name="Picture 3" descr="Chart I.5 - Aggregate impact on demand for electricity from the grid by time of use across an average week in Queensland by season - Stringenc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33437" name="Picture 3" descr="Chart I.5 - Aggregate impact on demand for electricity from the grid by time of use across an average week in Queensland by season - Stringency 1"/>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035550" cy="2406650"/>
                          </a:xfrm>
                          <a:prstGeom prst="rect">
                            <a:avLst/>
                          </a:prstGeom>
                          <a:noFill/>
                          <a:ln>
                            <a:noFill/>
                          </a:ln>
                        </pic:spPr>
                      </pic:pic>
                    </a:graphicData>
                  </a:graphic>
                </wp:inline>
              </w:drawing>
            </w:r>
          </w:p>
        </w:tc>
      </w:tr>
    </w:tbl>
    <w:p w14:paraId="58E11C89" w14:textId="77777777" w:rsidR="00BC5976" w:rsidRDefault="00BC5976" w:rsidP="00BC5976">
      <w:pPr>
        <w:pStyle w:val="Source"/>
      </w:pPr>
      <w:r>
        <w:rPr>
          <w:i/>
        </w:rPr>
        <w:t>Data source</w:t>
      </w:r>
      <w:r w:rsidRPr="00A67576">
        <w:rPr>
          <w:i/>
        </w:rPr>
        <w:t>:</w:t>
      </w:r>
      <w:r>
        <w:t xml:space="preserve"> CIE based on DeltaQ modelling.</w:t>
      </w:r>
    </w:p>
    <w:p w14:paraId="00571CFE" w14:textId="1D45C1F0" w:rsidR="0064474D" w:rsidRPr="00695C93" w:rsidRDefault="0064474D" w:rsidP="0064474D">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581346">
          <w:rPr>
            <w:noProof/>
          </w:rPr>
          <w:instrText>I</w:instrText>
        </w:r>
      </w:fldSimple>
      <w:r w:rsidRPr="00695C93">
        <w:instrText xml:space="preserve"> = 0 "</w:instrText>
      </w:r>
      <w:r w:rsidRPr="00695C93">
        <w:fldChar w:fldCharType="begin"/>
      </w:r>
      <w:r w:rsidRPr="00695C93">
        <w:instrText xml:space="preserve"> IF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 0 ""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w:instrText>
      </w:r>
      <w:r w:rsidRPr="00695C93">
        <w:fldChar w:fldCharType="separate"/>
      </w:r>
      <w:r>
        <w:rPr>
          <w:b/>
          <w:bCs/>
          <w:noProof/>
          <w:lang w:val="en-US"/>
        </w:rPr>
        <w:instrText>Error! No text of specified style in document.</w:instrText>
      </w:r>
      <w:r w:rsidRPr="00695C93">
        <w:rPr>
          <w:noProof/>
        </w:rPr>
        <w:instrText>.</w:instrText>
      </w:r>
      <w:r w:rsidRPr="00695C93">
        <w:fldChar w:fldCharType="end"/>
      </w:r>
      <w:r w:rsidRPr="00695C93">
        <w:instrText>" "</w:instrText>
      </w:r>
      <w:fldSimple w:instr=" STYLEREF &quot;Heading 6&quot; \l \n ">
        <w:r w:rsidR="00581346">
          <w:rPr>
            <w:noProof/>
          </w:rPr>
          <w:instrText>I</w:instrText>
        </w:r>
      </w:fldSimple>
      <w:r w:rsidRPr="00695C93">
        <w:instrText xml:space="preserve">." </w:instrText>
      </w:r>
      <w:r w:rsidRPr="00695C93">
        <w:fldChar w:fldCharType="separate"/>
      </w:r>
      <w:r w:rsidR="00581346">
        <w:rPr>
          <w:noProof/>
        </w:rPr>
        <w:instrText>I</w:instrText>
      </w:r>
      <w:r w:rsidR="00581346"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581346">
          <w:rPr>
            <w:noProof/>
          </w:rPr>
          <w:instrText>I</w:instrText>
        </w:r>
      </w:fldSimple>
      <w:r w:rsidRPr="00695C93">
        <w:instrText xml:space="preserve"> = 0 "</w:instrText>
      </w:r>
      <w:r w:rsidRPr="00695C93">
        <w:fldChar w:fldCharType="begin"/>
      </w:r>
      <w:r w:rsidRPr="00695C93">
        <w:instrText xml:space="preserve"> IF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 0 "" "1" </w:instrText>
      </w:r>
      <w:r w:rsidRPr="00695C93">
        <w:fldChar w:fldCharType="separate"/>
      </w:r>
      <w:r w:rsidRPr="00695C93">
        <w:rPr>
          <w:noProof/>
        </w:rPr>
        <w:instrText>1</w:instrText>
      </w:r>
      <w:r w:rsidRPr="00695C93">
        <w:fldChar w:fldCharType="end"/>
      </w:r>
      <w:r w:rsidRPr="00695C93">
        <w:instrText xml:space="preserve">" "6" </w:instrText>
      </w:r>
      <w:r w:rsidRPr="00695C93">
        <w:fldChar w:fldCharType="separate"/>
      </w:r>
      <w:r w:rsidR="00581346" w:rsidRPr="00695C93">
        <w:rPr>
          <w:noProof/>
        </w:rPr>
        <w:instrText>6</w:instrText>
      </w:r>
      <w:r w:rsidRPr="00695C93">
        <w:fldChar w:fldCharType="end"/>
      </w:r>
      <w:r w:rsidRPr="00695C93">
        <w:instrText xml:space="preserve"> </w:instrText>
      </w:r>
      <w:r w:rsidRPr="00695C93">
        <w:fldChar w:fldCharType="separate"/>
      </w:r>
      <w:r w:rsidR="00581346">
        <w:rPr>
          <w:noProof/>
        </w:rPr>
        <w:instrText>6</w:instrText>
      </w:r>
      <w:r w:rsidRPr="00695C93">
        <w:fldChar w:fldCharType="end"/>
      </w:r>
      <w:r w:rsidRPr="00695C93">
        <w:instrText xml:space="preserve">" "" </w:instrText>
      </w:r>
      <w:r w:rsidRPr="00695C93">
        <w:fldChar w:fldCharType="separate"/>
      </w:r>
      <w:bookmarkStart w:id="10344" w:name="_Caption7437"/>
      <w:bookmarkStart w:id="10345" w:name="_Caption1629"/>
      <w:bookmarkStart w:id="10346" w:name="_Toc178292718"/>
      <w:r w:rsidR="008C60A3">
        <w:rPr>
          <w:noProof/>
        </w:rPr>
        <w:t>I</w:t>
      </w:r>
      <w:r w:rsidR="008C60A3" w:rsidRPr="00695C93">
        <w:rPr>
          <w:noProof/>
        </w:rPr>
        <w:t>.</w:t>
      </w:r>
      <w:r w:rsidR="008C60A3">
        <w:rPr>
          <w:noProof/>
        </w:rPr>
        <w:t>6</w:t>
      </w:r>
      <w:bookmarkEnd w:id="10344"/>
      <w:bookmarkEnd w:id="10345"/>
      <w:r w:rsidRPr="00695C93">
        <w:fldChar w:fldCharType="end"/>
      </w:r>
      <w:r w:rsidRPr="00695C93">
        <w:tab/>
      </w:r>
      <w:r w:rsidR="002C6686">
        <w:t xml:space="preserve">Aggregate impact on demand for electricity from the grid by TOU — </w:t>
      </w:r>
      <w:r w:rsidR="00F95852">
        <w:t>Stringency 2</w:t>
      </w:r>
      <w:bookmarkEnd w:id="10346"/>
    </w:p>
    <w:tbl>
      <w:tblPr>
        <w:tblStyle w:val="TableGrid"/>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9E8E5" w:themeFill="background2"/>
        <w:tblLayout w:type="fixed"/>
        <w:tblCellMar>
          <w:left w:w="0" w:type="dxa"/>
          <w:right w:w="0" w:type="dxa"/>
        </w:tblCellMar>
        <w:tblLook w:val="04A0" w:firstRow="1" w:lastRow="0" w:firstColumn="1" w:lastColumn="0" w:noHBand="0" w:noVBand="1"/>
      </w:tblPr>
      <w:tblGrid>
        <w:gridCol w:w="7938"/>
      </w:tblGrid>
      <w:tr w:rsidR="0064474D" w14:paraId="7B6CE3A3" w14:textId="77777777">
        <w:trPr>
          <w:cantSplit/>
        </w:trPr>
        <w:tc>
          <w:tcPr>
            <w:tcW w:w="7938" w:type="dxa"/>
            <w:shd w:val="clear" w:color="auto" w:fill="E9E8E5" w:themeFill="background2"/>
          </w:tcPr>
          <w:p w14:paraId="28FFE124" w14:textId="72C9287A" w:rsidR="0064474D" w:rsidRDefault="00D46B02">
            <w:pPr>
              <w:pStyle w:val="Chart"/>
            </w:pPr>
            <w:r w:rsidRPr="00D46B02">
              <w:rPr>
                <w:noProof/>
              </w:rPr>
              <w:drawing>
                <wp:inline distT="0" distB="0" distL="0" distR="0" wp14:anchorId="4A93DEDC" wp14:editId="14095C1C">
                  <wp:extent cx="5035550" cy="2419350"/>
                  <wp:effectExtent l="0" t="0" r="0" b="0"/>
                  <wp:docPr id="1439581290" name="Picture 13" descr="Chart I.6 - Aggregate impact on demand for electricity from the grid by time of use across an average week in Queensland by season - Stringenc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581290" name="Picture 13" descr="Chart I.6 - Aggregate impact on demand for electricity from the grid by time of use across an average week in Queensland by season - Stringency 2"/>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035550" cy="2419350"/>
                          </a:xfrm>
                          <a:prstGeom prst="rect">
                            <a:avLst/>
                          </a:prstGeom>
                          <a:noFill/>
                          <a:ln>
                            <a:noFill/>
                          </a:ln>
                        </pic:spPr>
                      </pic:pic>
                    </a:graphicData>
                  </a:graphic>
                </wp:inline>
              </w:drawing>
            </w:r>
          </w:p>
        </w:tc>
      </w:tr>
    </w:tbl>
    <w:p w14:paraId="130E683F" w14:textId="77777777" w:rsidR="0064474D" w:rsidRDefault="0064474D" w:rsidP="0064474D">
      <w:pPr>
        <w:pStyle w:val="Source"/>
      </w:pPr>
      <w:r>
        <w:rPr>
          <w:i/>
        </w:rPr>
        <w:t>Data source</w:t>
      </w:r>
      <w:r w:rsidRPr="00A67576">
        <w:rPr>
          <w:i/>
        </w:rPr>
        <w:t>:</w:t>
      </w:r>
      <w:r>
        <w:t xml:space="preserve"> CIE estimates based on DeltaQ modelling.</w:t>
      </w:r>
    </w:p>
    <w:p w14:paraId="37F2E4FB" w14:textId="478207BC" w:rsidR="001D75AA" w:rsidRDefault="00C75F89" w:rsidP="001D75AA">
      <w:pPr>
        <w:pStyle w:val="Heading8"/>
        <w:rPr>
          <w:lang w:eastAsia="en-US"/>
        </w:rPr>
      </w:pPr>
      <w:r>
        <w:rPr>
          <w:lang w:eastAsia="en-US"/>
        </w:rPr>
        <w:t>South Australia</w:t>
      </w:r>
    </w:p>
    <w:p w14:paraId="0B76A0D3" w14:textId="1DCAA3D6" w:rsidR="00D441F4" w:rsidRDefault="00516BF5" w:rsidP="00516BF5">
      <w:pPr>
        <w:pStyle w:val="BodyText"/>
      </w:pPr>
      <w:r>
        <w:t xml:space="preserve">According to AEMO forecasts, minimum demand in South Australia is expected to occur in </w:t>
      </w:r>
      <w:r w:rsidR="00562F5A">
        <w:t>summer</w:t>
      </w:r>
      <w:r>
        <w:t xml:space="preserve"> between around 1pm and </w:t>
      </w:r>
      <w:r w:rsidR="00F425CE">
        <w:t>2:30</w:t>
      </w:r>
      <w:r>
        <w:t>pm.</w:t>
      </w:r>
    </w:p>
    <w:p w14:paraId="44F9C135" w14:textId="77777777" w:rsidR="00D441F4" w:rsidRDefault="00D441F4" w:rsidP="00D441F4">
      <w:pPr>
        <w:pStyle w:val="BodyText"/>
      </w:pPr>
      <w:r>
        <w:t>The potential impact of the proposed changes on minimum demand are as follows:</w:t>
      </w:r>
    </w:p>
    <w:p w14:paraId="3C75DD01" w14:textId="2D7C19D7" w:rsidR="00D441F4" w:rsidRPr="00CE6D73" w:rsidRDefault="00D441F4" w:rsidP="00D441F4">
      <w:pPr>
        <w:pStyle w:val="ListBullet"/>
      </w:pPr>
      <w:r w:rsidRPr="00CE6D73">
        <w:t xml:space="preserve">Stringency Level 1 could reduce minimum demand by around </w:t>
      </w:r>
      <w:r w:rsidR="00335FB2" w:rsidRPr="00CE6D73">
        <w:t>52</w:t>
      </w:r>
      <w:r w:rsidRPr="00CE6D73">
        <w:t xml:space="preserve"> MW by 2034 compared with the base case (see chart </w:t>
      </w:r>
      <w:r w:rsidR="00B47A98" w:rsidRPr="00CE6D73">
        <w:t>I.7</w:t>
      </w:r>
      <w:r w:rsidRPr="00CE6D73">
        <w:t>)</w:t>
      </w:r>
    </w:p>
    <w:p w14:paraId="10AC4589" w14:textId="6BA8422F" w:rsidR="00D441F4" w:rsidRPr="00CE6D73" w:rsidRDefault="00D441F4" w:rsidP="00D441F4">
      <w:pPr>
        <w:pStyle w:val="ListBullet"/>
      </w:pPr>
      <w:r w:rsidRPr="00CE6D73">
        <w:t xml:space="preserve">Stringency Level 2 could decrease minimum demand by around 140 MW by 2034 compared with the base case (see chart </w:t>
      </w:r>
      <w:r w:rsidR="00B47A98" w:rsidRPr="00CE6D73">
        <w:t>I.8</w:t>
      </w:r>
      <w:r w:rsidRPr="00CE6D73">
        <w:t>).</w:t>
      </w:r>
    </w:p>
    <w:p w14:paraId="2E637061" w14:textId="08633F45" w:rsidR="00BC5976" w:rsidRPr="00695C93" w:rsidRDefault="00BC5976" w:rsidP="00BC5976">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581346">
          <w:rPr>
            <w:noProof/>
          </w:rPr>
          <w:instrText>I</w:instrText>
        </w:r>
      </w:fldSimple>
      <w:r w:rsidRPr="00695C93">
        <w:instrText xml:space="preserve"> = 0 "</w:instrText>
      </w:r>
      <w:r w:rsidRPr="00695C93">
        <w:fldChar w:fldCharType="begin"/>
      </w:r>
      <w:r w:rsidRPr="00695C93">
        <w:instrText xml:space="preserve"> IF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 0 ""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w:instrText>
      </w:r>
      <w:r w:rsidRPr="00695C93">
        <w:fldChar w:fldCharType="separate"/>
      </w:r>
      <w:r>
        <w:rPr>
          <w:b/>
          <w:bCs/>
          <w:noProof/>
          <w:lang w:val="en-US"/>
        </w:rPr>
        <w:instrText>Error! No text of specified style in document.</w:instrText>
      </w:r>
      <w:r w:rsidRPr="00695C93">
        <w:rPr>
          <w:noProof/>
        </w:rPr>
        <w:instrText>.</w:instrText>
      </w:r>
      <w:r w:rsidRPr="00695C93">
        <w:fldChar w:fldCharType="end"/>
      </w:r>
      <w:r w:rsidRPr="00695C93">
        <w:instrText>" "</w:instrText>
      </w:r>
      <w:fldSimple w:instr=" STYLEREF &quot;Heading 6&quot; \l \n ">
        <w:r w:rsidR="00581346">
          <w:rPr>
            <w:noProof/>
          </w:rPr>
          <w:instrText>I</w:instrText>
        </w:r>
      </w:fldSimple>
      <w:r w:rsidRPr="00695C93">
        <w:instrText xml:space="preserve">." </w:instrText>
      </w:r>
      <w:r w:rsidRPr="00695C93">
        <w:fldChar w:fldCharType="separate"/>
      </w:r>
      <w:r w:rsidR="00581346">
        <w:rPr>
          <w:noProof/>
        </w:rPr>
        <w:instrText>I</w:instrText>
      </w:r>
      <w:r w:rsidR="00581346"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581346">
          <w:rPr>
            <w:noProof/>
          </w:rPr>
          <w:instrText>I</w:instrText>
        </w:r>
      </w:fldSimple>
      <w:r w:rsidRPr="00695C93">
        <w:instrText xml:space="preserve"> = 0 "</w:instrText>
      </w:r>
      <w:r w:rsidRPr="00695C93">
        <w:fldChar w:fldCharType="begin"/>
      </w:r>
      <w:r w:rsidRPr="00695C93">
        <w:instrText xml:space="preserve"> IF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 0 "" "1" </w:instrText>
      </w:r>
      <w:r w:rsidRPr="00695C93">
        <w:fldChar w:fldCharType="separate"/>
      </w:r>
      <w:r w:rsidRPr="00695C93">
        <w:rPr>
          <w:noProof/>
        </w:rPr>
        <w:instrText>1</w:instrText>
      </w:r>
      <w:r w:rsidRPr="00695C93">
        <w:fldChar w:fldCharType="end"/>
      </w:r>
      <w:r w:rsidRPr="00695C93">
        <w:instrText xml:space="preserve">" "6" </w:instrText>
      </w:r>
      <w:r w:rsidRPr="00695C93">
        <w:fldChar w:fldCharType="separate"/>
      </w:r>
      <w:r w:rsidR="00581346" w:rsidRPr="00695C93">
        <w:rPr>
          <w:noProof/>
        </w:rPr>
        <w:instrText>6</w:instrText>
      </w:r>
      <w:r w:rsidRPr="00695C93">
        <w:fldChar w:fldCharType="end"/>
      </w:r>
      <w:r w:rsidRPr="00695C93">
        <w:instrText xml:space="preserve"> </w:instrText>
      </w:r>
      <w:r w:rsidRPr="00695C93">
        <w:fldChar w:fldCharType="separate"/>
      </w:r>
      <w:r w:rsidR="00581346">
        <w:rPr>
          <w:noProof/>
        </w:rPr>
        <w:instrText>7</w:instrText>
      </w:r>
      <w:r w:rsidRPr="00695C93">
        <w:fldChar w:fldCharType="end"/>
      </w:r>
      <w:r w:rsidRPr="00695C93">
        <w:instrText xml:space="preserve">" "" </w:instrText>
      </w:r>
      <w:r w:rsidRPr="00695C93">
        <w:fldChar w:fldCharType="separate"/>
      </w:r>
      <w:bookmarkStart w:id="10347" w:name="_Caption8115"/>
      <w:bookmarkStart w:id="10348" w:name="_Toc178292719"/>
      <w:r w:rsidR="008C60A3">
        <w:rPr>
          <w:noProof/>
        </w:rPr>
        <w:t>I</w:t>
      </w:r>
      <w:r w:rsidR="008C60A3" w:rsidRPr="00695C93">
        <w:rPr>
          <w:noProof/>
        </w:rPr>
        <w:t>.</w:t>
      </w:r>
      <w:r w:rsidR="008C60A3">
        <w:rPr>
          <w:noProof/>
        </w:rPr>
        <w:t>7</w:t>
      </w:r>
      <w:bookmarkEnd w:id="10347"/>
      <w:r w:rsidRPr="00695C93">
        <w:fldChar w:fldCharType="end"/>
      </w:r>
      <w:r w:rsidRPr="00695C93">
        <w:tab/>
      </w:r>
      <w:r>
        <w:t>Aggregate impact on demand for electricity from the grid by TOU — Stringency 1</w:t>
      </w:r>
      <w:bookmarkEnd w:id="10348"/>
    </w:p>
    <w:tbl>
      <w:tblPr>
        <w:tblStyle w:val="TableGrid"/>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9E8E5" w:themeFill="background2"/>
        <w:tblLayout w:type="fixed"/>
        <w:tblCellMar>
          <w:left w:w="0" w:type="dxa"/>
          <w:right w:w="0" w:type="dxa"/>
        </w:tblCellMar>
        <w:tblLook w:val="04A0" w:firstRow="1" w:lastRow="0" w:firstColumn="1" w:lastColumn="0" w:noHBand="0" w:noVBand="1"/>
      </w:tblPr>
      <w:tblGrid>
        <w:gridCol w:w="7938"/>
      </w:tblGrid>
      <w:tr w:rsidR="00BC5976" w14:paraId="694425C6" w14:textId="77777777">
        <w:trPr>
          <w:cantSplit/>
        </w:trPr>
        <w:tc>
          <w:tcPr>
            <w:tcW w:w="7938" w:type="dxa"/>
            <w:shd w:val="clear" w:color="auto" w:fill="E9E8E5" w:themeFill="background2"/>
          </w:tcPr>
          <w:p w14:paraId="37DB0B10" w14:textId="5E42A6A5" w:rsidR="00BC5976" w:rsidRDefault="002F6054">
            <w:pPr>
              <w:pStyle w:val="Chart"/>
            </w:pPr>
            <w:r w:rsidRPr="002F6054">
              <w:rPr>
                <w:noProof/>
              </w:rPr>
              <w:drawing>
                <wp:inline distT="0" distB="0" distL="0" distR="0" wp14:anchorId="47541C5A" wp14:editId="32EA7FE4">
                  <wp:extent cx="5035550" cy="2406650"/>
                  <wp:effectExtent l="0" t="0" r="0" b="0"/>
                  <wp:docPr id="593076224" name="Picture 5" descr="Chart I.7 - Aggregate impact on demand for electricity from the grid by time of use across an average week in South Australia by season - Stringenc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076224" name="Picture 5" descr="Chart I.7 - Aggregate impact on demand for electricity from the grid by time of use across an average week in South Australia by season - Stringency 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035550" cy="2406650"/>
                          </a:xfrm>
                          <a:prstGeom prst="rect">
                            <a:avLst/>
                          </a:prstGeom>
                          <a:noFill/>
                          <a:ln>
                            <a:noFill/>
                          </a:ln>
                        </pic:spPr>
                      </pic:pic>
                    </a:graphicData>
                  </a:graphic>
                </wp:inline>
              </w:drawing>
            </w:r>
          </w:p>
        </w:tc>
      </w:tr>
    </w:tbl>
    <w:p w14:paraId="6621E99E" w14:textId="77777777" w:rsidR="00BC5976" w:rsidRDefault="00BC5976" w:rsidP="00BC5976">
      <w:pPr>
        <w:pStyle w:val="Source"/>
      </w:pPr>
      <w:r>
        <w:rPr>
          <w:i/>
        </w:rPr>
        <w:t>Data source</w:t>
      </w:r>
      <w:r w:rsidRPr="00A67576">
        <w:rPr>
          <w:i/>
        </w:rPr>
        <w:t>:</w:t>
      </w:r>
      <w:r>
        <w:t xml:space="preserve"> CIE based on DeltaQ modelling.</w:t>
      </w:r>
    </w:p>
    <w:p w14:paraId="346BE9E0" w14:textId="7FE7257E" w:rsidR="002A3D66" w:rsidRPr="00695C93" w:rsidRDefault="002A3D66" w:rsidP="002A3D66">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581346">
          <w:rPr>
            <w:noProof/>
          </w:rPr>
          <w:instrText>I</w:instrText>
        </w:r>
      </w:fldSimple>
      <w:r w:rsidRPr="00695C93">
        <w:instrText xml:space="preserve"> = 0 "</w:instrText>
      </w:r>
      <w:r w:rsidRPr="00695C93">
        <w:fldChar w:fldCharType="begin"/>
      </w:r>
      <w:r w:rsidRPr="00695C93">
        <w:instrText xml:space="preserve"> IF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 0 ""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w:instrText>
      </w:r>
      <w:r w:rsidRPr="00695C93">
        <w:fldChar w:fldCharType="separate"/>
      </w:r>
      <w:r>
        <w:rPr>
          <w:b/>
          <w:bCs/>
          <w:noProof/>
          <w:lang w:val="en-US"/>
        </w:rPr>
        <w:instrText>Error! No text of specified style in document.</w:instrText>
      </w:r>
      <w:r w:rsidRPr="00695C93">
        <w:rPr>
          <w:noProof/>
        </w:rPr>
        <w:instrText>.</w:instrText>
      </w:r>
      <w:r w:rsidRPr="00695C93">
        <w:fldChar w:fldCharType="end"/>
      </w:r>
      <w:r w:rsidRPr="00695C93">
        <w:instrText>" "</w:instrText>
      </w:r>
      <w:fldSimple w:instr=" STYLEREF &quot;Heading 6&quot; \l \n ">
        <w:r w:rsidR="00581346">
          <w:rPr>
            <w:noProof/>
          </w:rPr>
          <w:instrText>I</w:instrText>
        </w:r>
      </w:fldSimple>
      <w:r w:rsidRPr="00695C93">
        <w:instrText xml:space="preserve">." </w:instrText>
      </w:r>
      <w:r w:rsidRPr="00695C93">
        <w:fldChar w:fldCharType="separate"/>
      </w:r>
      <w:r w:rsidR="00581346">
        <w:rPr>
          <w:noProof/>
        </w:rPr>
        <w:instrText>I</w:instrText>
      </w:r>
      <w:r w:rsidR="00581346"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581346">
          <w:rPr>
            <w:noProof/>
          </w:rPr>
          <w:instrText>I</w:instrText>
        </w:r>
      </w:fldSimple>
      <w:r w:rsidRPr="00695C93">
        <w:instrText xml:space="preserve"> = 0 "</w:instrText>
      </w:r>
      <w:r w:rsidRPr="00695C93">
        <w:fldChar w:fldCharType="begin"/>
      </w:r>
      <w:r w:rsidRPr="00695C93">
        <w:instrText xml:space="preserve"> IF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 0 "" "1" </w:instrText>
      </w:r>
      <w:r w:rsidRPr="00695C93">
        <w:fldChar w:fldCharType="separate"/>
      </w:r>
      <w:r w:rsidRPr="00695C93">
        <w:rPr>
          <w:noProof/>
        </w:rPr>
        <w:instrText>1</w:instrText>
      </w:r>
      <w:r w:rsidRPr="00695C93">
        <w:fldChar w:fldCharType="end"/>
      </w:r>
      <w:r w:rsidRPr="00695C93">
        <w:instrText xml:space="preserve">" "6" </w:instrText>
      </w:r>
      <w:r w:rsidRPr="00695C93">
        <w:fldChar w:fldCharType="separate"/>
      </w:r>
      <w:r w:rsidR="00581346" w:rsidRPr="00695C93">
        <w:rPr>
          <w:noProof/>
        </w:rPr>
        <w:instrText>6</w:instrText>
      </w:r>
      <w:r w:rsidRPr="00695C93">
        <w:fldChar w:fldCharType="end"/>
      </w:r>
      <w:r w:rsidRPr="00695C93">
        <w:instrText xml:space="preserve"> </w:instrText>
      </w:r>
      <w:r w:rsidRPr="00695C93">
        <w:fldChar w:fldCharType="separate"/>
      </w:r>
      <w:r w:rsidR="00581346">
        <w:rPr>
          <w:noProof/>
        </w:rPr>
        <w:instrText>8</w:instrText>
      </w:r>
      <w:r w:rsidRPr="00695C93">
        <w:fldChar w:fldCharType="end"/>
      </w:r>
      <w:r w:rsidRPr="00695C93">
        <w:instrText xml:space="preserve">" "" </w:instrText>
      </w:r>
      <w:r w:rsidRPr="00695C93">
        <w:fldChar w:fldCharType="separate"/>
      </w:r>
      <w:bookmarkStart w:id="10349" w:name="_Caption3897"/>
      <w:bookmarkStart w:id="10350" w:name="_Caption2627"/>
      <w:bookmarkStart w:id="10351" w:name="_Toc178292720"/>
      <w:r w:rsidR="008C60A3">
        <w:rPr>
          <w:noProof/>
        </w:rPr>
        <w:t>I</w:t>
      </w:r>
      <w:r w:rsidR="008C60A3" w:rsidRPr="00695C93">
        <w:rPr>
          <w:noProof/>
        </w:rPr>
        <w:t>.</w:t>
      </w:r>
      <w:r w:rsidR="008C60A3">
        <w:rPr>
          <w:noProof/>
        </w:rPr>
        <w:t>8</w:t>
      </w:r>
      <w:bookmarkEnd w:id="10349"/>
      <w:bookmarkEnd w:id="10350"/>
      <w:r w:rsidRPr="00695C93">
        <w:fldChar w:fldCharType="end"/>
      </w:r>
      <w:r w:rsidRPr="00695C93">
        <w:tab/>
      </w:r>
      <w:r w:rsidR="002C6686">
        <w:t xml:space="preserve">Aggregate impact on demand for electricity from the grid by TOU — </w:t>
      </w:r>
      <w:r w:rsidR="00F95852">
        <w:t>Stringency 2</w:t>
      </w:r>
      <w:bookmarkEnd w:id="10351"/>
    </w:p>
    <w:tbl>
      <w:tblPr>
        <w:tblStyle w:val="TableGrid"/>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9E8E5" w:themeFill="background2"/>
        <w:tblLayout w:type="fixed"/>
        <w:tblCellMar>
          <w:left w:w="0" w:type="dxa"/>
          <w:right w:w="0" w:type="dxa"/>
        </w:tblCellMar>
        <w:tblLook w:val="04A0" w:firstRow="1" w:lastRow="0" w:firstColumn="1" w:lastColumn="0" w:noHBand="0" w:noVBand="1"/>
      </w:tblPr>
      <w:tblGrid>
        <w:gridCol w:w="7938"/>
      </w:tblGrid>
      <w:tr w:rsidR="002A3D66" w14:paraId="09F1BB63" w14:textId="77777777">
        <w:trPr>
          <w:cantSplit/>
        </w:trPr>
        <w:tc>
          <w:tcPr>
            <w:tcW w:w="7938" w:type="dxa"/>
            <w:shd w:val="clear" w:color="auto" w:fill="E9E8E5" w:themeFill="background2"/>
          </w:tcPr>
          <w:p w14:paraId="2AF812B0" w14:textId="5ED57921" w:rsidR="002A3D66" w:rsidRDefault="009B26E5">
            <w:pPr>
              <w:pStyle w:val="Chart"/>
            </w:pPr>
            <w:r w:rsidRPr="009B26E5">
              <w:rPr>
                <w:noProof/>
              </w:rPr>
              <w:drawing>
                <wp:inline distT="0" distB="0" distL="0" distR="0" wp14:anchorId="24B25E53" wp14:editId="01B2C5A8">
                  <wp:extent cx="5035550" cy="2419350"/>
                  <wp:effectExtent l="0" t="0" r="0" b="0"/>
                  <wp:docPr id="1950460807" name="Picture 14" descr="Chart I.8 - Aggregate impact on demand for electricity from the grid by time of use across an average week in South Australia by season - Stringenc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460807" name="Picture 14" descr="Chart I.8 - Aggregate impact on demand for electricity from the grid by time of use across an average week in South Australia by season - Stringency 2"/>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035550" cy="2419350"/>
                          </a:xfrm>
                          <a:prstGeom prst="rect">
                            <a:avLst/>
                          </a:prstGeom>
                          <a:noFill/>
                          <a:ln>
                            <a:noFill/>
                          </a:ln>
                        </pic:spPr>
                      </pic:pic>
                    </a:graphicData>
                  </a:graphic>
                </wp:inline>
              </w:drawing>
            </w:r>
          </w:p>
        </w:tc>
      </w:tr>
    </w:tbl>
    <w:p w14:paraId="287B6FC7" w14:textId="77777777" w:rsidR="002A3D66" w:rsidRDefault="002A3D66" w:rsidP="002A3D66">
      <w:pPr>
        <w:pStyle w:val="Source"/>
      </w:pPr>
      <w:r>
        <w:rPr>
          <w:i/>
        </w:rPr>
        <w:t>Data source</w:t>
      </w:r>
      <w:r w:rsidRPr="00A67576">
        <w:rPr>
          <w:i/>
        </w:rPr>
        <w:t>:</w:t>
      </w:r>
      <w:r>
        <w:t xml:space="preserve"> CIE estimates based on DeltaQ modelling.</w:t>
      </w:r>
    </w:p>
    <w:p w14:paraId="3139D16B" w14:textId="03A61BEC" w:rsidR="00C75F89" w:rsidRDefault="00C75F89" w:rsidP="00C75F89">
      <w:pPr>
        <w:pStyle w:val="Heading8"/>
        <w:rPr>
          <w:lang w:eastAsia="en-US"/>
        </w:rPr>
      </w:pPr>
      <w:r>
        <w:rPr>
          <w:lang w:eastAsia="en-US"/>
        </w:rPr>
        <w:t>Tasmania</w:t>
      </w:r>
    </w:p>
    <w:p w14:paraId="7333C4D2" w14:textId="2720E4F5" w:rsidR="00DF2C24" w:rsidRDefault="00244A39" w:rsidP="00244A39">
      <w:pPr>
        <w:pStyle w:val="BodyText"/>
      </w:pPr>
      <w:r>
        <w:t xml:space="preserve">According to AEMO forecasts, minimum demand in </w:t>
      </w:r>
      <w:r w:rsidR="00967473">
        <w:t>Tasmania</w:t>
      </w:r>
      <w:r>
        <w:t xml:space="preserve"> is expected to occur in </w:t>
      </w:r>
      <w:r w:rsidR="00652F77">
        <w:t>shoulder seasons (spring and autumn)</w:t>
      </w:r>
      <w:r>
        <w:t xml:space="preserve"> between around 1pm and 2pm.</w:t>
      </w:r>
    </w:p>
    <w:p w14:paraId="6A99E4DE" w14:textId="59306E19" w:rsidR="00DF2C24" w:rsidRDefault="00DF2C24" w:rsidP="00DF2C24">
      <w:pPr>
        <w:pStyle w:val="BodyText"/>
      </w:pPr>
      <w:r>
        <w:t>The potential impact of the proposed changes on minimum demand are therefore as follows:</w:t>
      </w:r>
    </w:p>
    <w:p w14:paraId="2CEE01B3" w14:textId="4C1CB9B7" w:rsidR="00DF2C24" w:rsidRPr="00CE6D73" w:rsidRDefault="00DF2C24" w:rsidP="00DF2C24">
      <w:pPr>
        <w:pStyle w:val="ListBullet"/>
      </w:pPr>
      <w:r w:rsidRPr="00CE6D73">
        <w:t xml:space="preserve">Stringency Level 1 could reduce minimum demand by around </w:t>
      </w:r>
      <w:r w:rsidR="00CA284C" w:rsidRPr="00CE6D73">
        <w:t>10</w:t>
      </w:r>
      <w:r w:rsidRPr="00CE6D73">
        <w:t xml:space="preserve"> MW by 2034 compared with the base case (see chart </w:t>
      </w:r>
      <w:r w:rsidR="00B47A98" w:rsidRPr="00CE6D73">
        <w:t>I.9</w:t>
      </w:r>
      <w:r w:rsidRPr="00CE6D73">
        <w:t>)</w:t>
      </w:r>
    </w:p>
    <w:p w14:paraId="41C3FCD4" w14:textId="5E7B3111" w:rsidR="00DF2C24" w:rsidRPr="00CE6D73" w:rsidRDefault="00DF2C24" w:rsidP="00DF2C24">
      <w:pPr>
        <w:pStyle w:val="ListBullet"/>
      </w:pPr>
      <w:r w:rsidRPr="00CE6D73">
        <w:t xml:space="preserve">Stringency Level 2 could decrease minimum demand by around </w:t>
      </w:r>
      <w:r w:rsidR="00F61A32" w:rsidRPr="00CE6D73">
        <w:t>26</w:t>
      </w:r>
      <w:r w:rsidRPr="00CE6D73">
        <w:t xml:space="preserve"> MW by 2034 compared with the base case (see chart </w:t>
      </w:r>
      <w:r w:rsidR="00B47A98" w:rsidRPr="00CE6D73">
        <w:t>I.10</w:t>
      </w:r>
      <w:r w:rsidRPr="00CE6D73">
        <w:t>).</w:t>
      </w:r>
    </w:p>
    <w:p w14:paraId="57D4792B" w14:textId="60EB1957" w:rsidR="00BC5976" w:rsidRPr="00695C93" w:rsidRDefault="00BC5976" w:rsidP="00BC5976">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581346">
          <w:rPr>
            <w:noProof/>
          </w:rPr>
          <w:instrText>I</w:instrText>
        </w:r>
      </w:fldSimple>
      <w:r w:rsidRPr="00695C93">
        <w:instrText xml:space="preserve"> = 0 "</w:instrText>
      </w:r>
      <w:r w:rsidRPr="00695C93">
        <w:fldChar w:fldCharType="begin"/>
      </w:r>
      <w:r w:rsidRPr="00695C93">
        <w:instrText xml:space="preserve"> IF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 0 ""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w:instrText>
      </w:r>
      <w:r w:rsidRPr="00695C93">
        <w:fldChar w:fldCharType="separate"/>
      </w:r>
      <w:r>
        <w:rPr>
          <w:b/>
          <w:bCs/>
          <w:noProof/>
          <w:lang w:val="en-US"/>
        </w:rPr>
        <w:instrText>Error! No text of specified style in document.</w:instrText>
      </w:r>
      <w:r w:rsidRPr="00695C93">
        <w:rPr>
          <w:noProof/>
        </w:rPr>
        <w:instrText>.</w:instrText>
      </w:r>
      <w:r w:rsidRPr="00695C93">
        <w:fldChar w:fldCharType="end"/>
      </w:r>
      <w:r w:rsidRPr="00695C93">
        <w:instrText>" "</w:instrText>
      </w:r>
      <w:fldSimple w:instr=" STYLEREF &quot;Heading 6&quot; \l \n ">
        <w:r w:rsidR="00581346">
          <w:rPr>
            <w:noProof/>
          </w:rPr>
          <w:instrText>I</w:instrText>
        </w:r>
      </w:fldSimple>
      <w:r w:rsidRPr="00695C93">
        <w:instrText xml:space="preserve">." </w:instrText>
      </w:r>
      <w:r w:rsidRPr="00695C93">
        <w:fldChar w:fldCharType="separate"/>
      </w:r>
      <w:r w:rsidR="00581346">
        <w:rPr>
          <w:noProof/>
        </w:rPr>
        <w:instrText>I</w:instrText>
      </w:r>
      <w:r w:rsidR="00581346"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581346">
          <w:rPr>
            <w:noProof/>
          </w:rPr>
          <w:instrText>I</w:instrText>
        </w:r>
      </w:fldSimple>
      <w:r w:rsidRPr="00695C93">
        <w:instrText xml:space="preserve"> = 0 "</w:instrText>
      </w:r>
      <w:r w:rsidRPr="00695C93">
        <w:fldChar w:fldCharType="begin"/>
      </w:r>
      <w:r w:rsidRPr="00695C93">
        <w:instrText xml:space="preserve"> IF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 0 "" "1" </w:instrText>
      </w:r>
      <w:r w:rsidRPr="00695C93">
        <w:fldChar w:fldCharType="separate"/>
      </w:r>
      <w:r w:rsidRPr="00695C93">
        <w:rPr>
          <w:noProof/>
        </w:rPr>
        <w:instrText>1</w:instrText>
      </w:r>
      <w:r w:rsidRPr="00695C93">
        <w:fldChar w:fldCharType="end"/>
      </w:r>
      <w:r w:rsidRPr="00695C93">
        <w:instrText xml:space="preserve">" "6" </w:instrText>
      </w:r>
      <w:r w:rsidRPr="00695C93">
        <w:fldChar w:fldCharType="separate"/>
      </w:r>
      <w:r w:rsidR="00581346" w:rsidRPr="00695C93">
        <w:rPr>
          <w:noProof/>
        </w:rPr>
        <w:instrText>6</w:instrText>
      </w:r>
      <w:r w:rsidRPr="00695C93">
        <w:fldChar w:fldCharType="end"/>
      </w:r>
      <w:r w:rsidRPr="00695C93">
        <w:instrText xml:space="preserve"> </w:instrText>
      </w:r>
      <w:r w:rsidRPr="00695C93">
        <w:fldChar w:fldCharType="separate"/>
      </w:r>
      <w:r w:rsidR="00581346">
        <w:rPr>
          <w:noProof/>
        </w:rPr>
        <w:instrText>9</w:instrText>
      </w:r>
      <w:r w:rsidRPr="00695C93">
        <w:fldChar w:fldCharType="end"/>
      </w:r>
      <w:r w:rsidRPr="00695C93">
        <w:instrText xml:space="preserve">" "" </w:instrText>
      </w:r>
      <w:r w:rsidRPr="00695C93">
        <w:fldChar w:fldCharType="separate"/>
      </w:r>
      <w:bookmarkStart w:id="10352" w:name="_Caption4189"/>
      <w:bookmarkStart w:id="10353" w:name="_Toc178292721"/>
      <w:r w:rsidR="008C60A3">
        <w:rPr>
          <w:noProof/>
        </w:rPr>
        <w:t>I</w:t>
      </w:r>
      <w:r w:rsidR="008C60A3" w:rsidRPr="00695C93">
        <w:rPr>
          <w:noProof/>
        </w:rPr>
        <w:t>.</w:t>
      </w:r>
      <w:r w:rsidR="008C60A3">
        <w:rPr>
          <w:noProof/>
        </w:rPr>
        <w:t>9</w:t>
      </w:r>
      <w:bookmarkEnd w:id="10352"/>
      <w:r w:rsidRPr="00695C93">
        <w:fldChar w:fldCharType="end"/>
      </w:r>
      <w:r w:rsidRPr="00695C93">
        <w:tab/>
      </w:r>
      <w:r>
        <w:t>Aggregate impact on demand for electricity from the grid by TOU — Stringency 1</w:t>
      </w:r>
      <w:bookmarkEnd w:id="10353"/>
    </w:p>
    <w:tbl>
      <w:tblPr>
        <w:tblStyle w:val="TableGrid"/>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9E8E5" w:themeFill="background2"/>
        <w:tblLayout w:type="fixed"/>
        <w:tblCellMar>
          <w:left w:w="0" w:type="dxa"/>
          <w:right w:w="0" w:type="dxa"/>
        </w:tblCellMar>
        <w:tblLook w:val="04A0" w:firstRow="1" w:lastRow="0" w:firstColumn="1" w:lastColumn="0" w:noHBand="0" w:noVBand="1"/>
      </w:tblPr>
      <w:tblGrid>
        <w:gridCol w:w="7938"/>
      </w:tblGrid>
      <w:tr w:rsidR="00BC5976" w14:paraId="6C9DD02B" w14:textId="77777777">
        <w:trPr>
          <w:cantSplit/>
        </w:trPr>
        <w:tc>
          <w:tcPr>
            <w:tcW w:w="7938" w:type="dxa"/>
            <w:shd w:val="clear" w:color="auto" w:fill="E9E8E5" w:themeFill="background2"/>
          </w:tcPr>
          <w:p w14:paraId="0D395C7D" w14:textId="56CC06E9" w:rsidR="00BC5976" w:rsidRDefault="00500198">
            <w:pPr>
              <w:pStyle w:val="Chart"/>
            </w:pPr>
            <w:r w:rsidRPr="00500198">
              <w:rPr>
                <w:noProof/>
              </w:rPr>
              <w:drawing>
                <wp:inline distT="0" distB="0" distL="0" distR="0" wp14:anchorId="7DC01169" wp14:editId="093F38A3">
                  <wp:extent cx="5035550" cy="2406650"/>
                  <wp:effectExtent l="0" t="0" r="0" b="0"/>
                  <wp:docPr id="1675001551" name="Picture 6" descr="Chart I.9 - Aggregate impact on demand for electricity from the grid by time of use across an average week in Tasmania by season - Stringenc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001551" name="Picture 6" descr="Chart I.9 - Aggregate impact on demand for electricity from the grid by time of use across an average week in Tasmania by season - Stringency 1"/>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035550" cy="2406650"/>
                          </a:xfrm>
                          <a:prstGeom prst="rect">
                            <a:avLst/>
                          </a:prstGeom>
                          <a:noFill/>
                          <a:ln>
                            <a:noFill/>
                          </a:ln>
                        </pic:spPr>
                      </pic:pic>
                    </a:graphicData>
                  </a:graphic>
                </wp:inline>
              </w:drawing>
            </w:r>
          </w:p>
        </w:tc>
      </w:tr>
    </w:tbl>
    <w:p w14:paraId="7DBEECFB" w14:textId="77777777" w:rsidR="00BC5976" w:rsidRDefault="00BC5976" w:rsidP="00BC5976">
      <w:pPr>
        <w:pStyle w:val="Source"/>
      </w:pPr>
      <w:r>
        <w:rPr>
          <w:i/>
        </w:rPr>
        <w:t>Data source</w:t>
      </w:r>
      <w:r w:rsidRPr="00A67576">
        <w:rPr>
          <w:i/>
        </w:rPr>
        <w:t>:</w:t>
      </w:r>
      <w:r>
        <w:t xml:space="preserve"> CIE based on DeltaQ modelling.</w:t>
      </w:r>
    </w:p>
    <w:p w14:paraId="756F432D" w14:textId="7BF55E64" w:rsidR="002A3D66" w:rsidRPr="00695C93" w:rsidRDefault="002A3D66" w:rsidP="002A3D66">
      <w:pPr>
        <w:pStyle w:val="Caption"/>
      </w:pPr>
      <w:r w:rsidRPr="00695C93">
        <w:fldChar w:fldCharType="begin"/>
      </w:r>
      <w:r w:rsidRPr="00695C93">
        <w:instrText xml:space="preserve"> IF 1 = 1 "</w:instrText>
      </w:r>
      <w:r w:rsidRPr="00695C93">
        <w:fldChar w:fldCharType="begin"/>
      </w:r>
      <w:r w:rsidRPr="00695C93">
        <w:instrText xml:space="preserve"> IF </w:instrText>
      </w:r>
      <w:fldSimple w:instr=" STYLEREF &quot;Heading 6&quot; \l \n ">
        <w:r w:rsidR="00581346">
          <w:rPr>
            <w:noProof/>
          </w:rPr>
          <w:instrText>I</w:instrText>
        </w:r>
      </w:fldSimple>
      <w:r w:rsidRPr="00695C93">
        <w:instrText xml:space="preserve"> = 0 "</w:instrText>
      </w:r>
      <w:r w:rsidRPr="00695C93">
        <w:fldChar w:fldCharType="begin"/>
      </w:r>
      <w:r w:rsidRPr="00695C93">
        <w:instrText xml:space="preserve"> IF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 0 ""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w:instrText>
      </w:r>
      <w:r w:rsidRPr="00695C93">
        <w:fldChar w:fldCharType="separate"/>
      </w:r>
      <w:r>
        <w:rPr>
          <w:b/>
          <w:bCs/>
          <w:noProof/>
          <w:lang w:val="en-US"/>
        </w:rPr>
        <w:instrText>Error! No text of specified style in document.</w:instrText>
      </w:r>
      <w:r w:rsidRPr="00695C93">
        <w:rPr>
          <w:noProof/>
        </w:rPr>
        <w:instrText>.</w:instrText>
      </w:r>
      <w:r w:rsidRPr="00695C93">
        <w:fldChar w:fldCharType="end"/>
      </w:r>
      <w:r w:rsidRPr="00695C93">
        <w:instrText>" "</w:instrText>
      </w:r>
      <w:fldSimple w:instr=" STYLEREF &quot;Heading 6&quot; \l \n ">
        <w:r w:rsidR="00581346">
          <w:rPr>
            <w:noProof/>
          </w:rPr>
          <w:instrText>I</w:instrText>
        </w:r>
      </w:fldSimple>
      <w:r w:rsidRPr="00695C93">
        <w:instrText xml:space="preserve">." </w:instrText>
      </w:r>
      <w:r w:rsidRPr="00695C93">
        <w:fldChar w:fldCharType="separate"/>
      </w:r>
      <w:r w:rsidR="00581346">
        <w:rPr>
          <w:noProof/>
        </w:rPr>
        <w:instrText>I</w:instrText>
      </w:r>
      <w:r w:rsidR="00581346" w:rsidRPr="00695C93">
        <w:rPr>
          <w:noProof/>
        </w:rPr>
        <w:instrText>.</w:instrText>
      </w:r>
      <w:r w:rsidRPr="00695C93">
        <w:fldChar w:fldCharType="end"/>
      </w:r>
      <w:r w:rsidRPr="00695C93">
        <w:fldChar w:fldCharType="begin"/>
      </w:r>
      <w:r w:rsidRPr="00695C93">
        <w:instrText xml:space="preserve"> SEQ Item \* ARABIC \s </w:instrText>
      </w:r>
      <w:r w:rsidRPr="00695C93">
        <w:fldChar w:fldCharType="begin"/>
      </w:r>
      <w:r w:rsidRPr="00695C93">
        <w:instrText xml:space="preserve"> IF </w:instrText>
      </w:r>
      <w:fldSimple w:instr=" STYLEREF &quot;Heading 6&quot; \l \n ">
        <w:r w:rsidR="00581346">
          <w:rPr>
            <w:noProof/>
          </w:rPr>
          <w:instrText>I</w:instrText>
        </w:r>
      </w:fldSimple>
      <w:r w:rsidRPr="00695C93">
        <w:instrText xml:space="preserve"> = 0 "</w:instrText>
      </w:r>
      <w:r w:rsidRPr="00695C93">
        <w:fldChar w:fldCharType="begin"/>
      </w:r>
      <w:r w:rsidRPr="00695C93">
        <w:instrText xml:space="preserve"> IF </w:instrText>
      </w:r>
      <w:r>
        <w:fldChar w:fldCharType="begin"/>
      </w:r>
      <w:r>
        <w:instrText xml:space="preserve"> STYLEREF "Heading 1" \l \n </w:instrText>
      </w:r>
      <w:r>
        <w:fldChar w:fldCharType="separate"/>
      </w:r>
      <w:r>
        <w:rPr>
          <w:b/>
          <w:bCs/>
          <w:noProof/>
          <w:lang w:val="en-US"/>
        </w:rPr>
        <w:instrText>Error! No text of specified style in document.</w:instrText>
      </w:r>
      <w:r>
        <w:rPr>
          <w:noProof/>
        </w:rPr>
        <w:fldChar w:fldCharType="end"/>
      </w:r>
      <w:r w:rsidRPr="00695C93">
        <w:instrText xml:space="preserve"> = 0 "" "1" </w:instrText>
      </w:r>
      <w:r w:rsidRPr="00695C93">
        <w:fldChar w:fldCharType="separate"/>
      </w:r>
      <w:r w:rsidRPr="00695C93">
        <w:rPr>
          <w:noProof/>
        </w:rPr>
        <w:instrText>1</w:instrText>
      </w:r>
      <w:r w:rsidRPr="00695C93">
        <w:fldChar w:fldCharType="end"/>
      </w:r>
      <w:r w:rsidRPr="00695C93">
        <w:instrText xml:space="preserve">" "6" </w:instrText>
      </w:r>
      <w:r w:rsidRPr="00695C93">
        <w:fldChar w:fldCharType="separate"/>
      </w:r>
      <w:r w:rsidR="00581346" w:rsidRPr="00695C93">
        <w:rPr>
          <w:noProof/>
        </w:rPr>
        <w:instrText>6</w:instrText>
      </w:r>
      <w:r w:rsidRPr="00695C93">
        <w:fldChar w:fldCharType="end"/>
      </w:r>
      <w:r w:rsidRPr="00695C93">
        <w:instrText xml:space="preserve"> </w:instrText>
      </w:r>
      <w:r w:rsidRPr="00695C93">
        <w:fldChar w:fldCharType="separate"/>
      </w:r>
      <w:r w:rsidR="00581346">
        <w:rPr>
          <w:noProof/>
        </w:rPr>
        <w:instrText>10</w:instrText>
      </w:r>
      <w:r w:rsidRPr="00695C93">
        <w:fldChar w:fldCharType="end"/>
      </w:r>
      <w:r w:rsidRPr="00695C93">
        <w:instrText xml:space="preserve">" "" </w:instrText>
      </w:r>
      <w:r w:rsidRPr="00695C93">
        <w:fldChar w:fldCharType="separate"/>
      </w:r>
      <w:bookmarkStart w:id="10354" w:name="_Caption7382"/>
      <w:bookmarkStart w:id="10355" w:name="_Caption9998"/>
      <w:bookmarkStart w:id="10356" w:name="_Toc178292722"/>
      <w:r w:rsidR="00581346">
        <w:rPr>
          <w:noProof/>
        </w:rPr>
        <w:t>I</w:t>
      </w:r>
      <w:r w:rsidR="00581346" w:rsidRPr="00695C93">
        <w:rPr>
          <w:noProof/>
        </w:rPr>
        <w:t>.</w:t>
      </w:r>
      <w:r w:rsidR="00581346">
        <w:rPr>
          <w:noProof/>
        </w:rPr>
        <w:t>10</w:t>
      </w:r>
      <w:bookmarkEnd w:id="10354"/>
      <w:bookmarkEnd w:id="10355"/>
      <w:r w:rsidRPr="00695C93">
        <w:fldChar w:fldCharType="end"/>
      </w:r>
      <w:r w:rsidRPr="00695C93">
        <w:tab/>
      </w:r>
      <w:r w:rsidR="00482740">
        <w:t xml:space="preserve">Aggregate impact on demand for electricity from the grid by TOU — </w:t>
      </w:r>
      <w:r w:rsidR="00F61A32">
        <w:t>Stringency 2</w:t>
      </w:r>
      <w:bookmarkEnd w:id="10356"/>
    </w:p>
    <w:tbl>
      <w:tblPr>
        <w:tblStyle w:val="TableGrid"/>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9E8E5" w:themeFill="background2"/>
        <w:tblLayout w:type="fixed"/>
        <w:tblCellMar>
          <w:left w:w="0" w:type="dxa"/>
          <w:right w:w="0" w:type="dxa"/>
        </w:tblCellMar>
        <w:tblLook w:val="04A0" w:firstRow="1" w:lastRow="0" w:firstColumn="1" w:lastColumn="0" w:noHBand="0" w:noVBand="1"/>
      </w:tblPr>
      <w:tblGrid>
        <w:gridCol w:w="7938"/>
      </w:tblGrid>
      <w:tr w:rsidR="002A3D66" w14:paraId="35FE2C6A" w14:textId="77777777">
        <w:trPr>
          <w:cantSplit/>
        </w:trPr>
        <w:tc>
          <w:tcPr>
            <w:tcW w:w="7938" w:type="dxa"/>
            <w:shd w:val="clear" w:color="auto" w:fill="E9E8E5" w:themeFill="background2"/>
          </w:tcPr>
          <w:p w14:paraId="487119F8" w14:textId="4323DB71" w:rsidR="002A3D66" w:rsidRDefault="00456FCF">
            <w:pPr>
              <w:pStyle w:val="Chart"/>
            </w:pPr>
            <w:r w:rsidRPr="00456FCF">
              <w:rPr>
                <w:noProof/>
              </w:rPr>
              <w:drawing>
                <wp:inline distT="0" distB="0" distL="0" distR="0" wp14:anchorId="0AF093A1" wp14:editId="74330DB9">
                  <wp:extent cx="5035550" cy="2419350"/>
                  <wp:effectExtent l="0" t="0" r="0" b="0"/>
                  <wp:docPr id="2121214722" name="Picture 15" descr="Chart I.10 - Aggregate impact on demand for electricity from the grid by time of use across an average week in Tasmania by season - Stringenc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214722" name="Picture 15" descr="Chart I.10 - Aggregate impact on demand for electricity from the grid by time of use across an average week in Tasmania by season - Stringency 2"/>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035550" cy="2419350"/>
                          </a:xfrm>
                          <a:prstGeom prst="rect">
                            <a:avLst/>
                          </a:prstGeom>
                          <a:noFill/>
                          <a:ln>
                            <a:noFill/>
                          </a:ln>
                        </pic:spPr>
                      </pic:pic>
                    </a:graphicData>
                  </a:graphic>
                </wp:inline>
              </w:drawing>
            </w:r>
          </w:p>
        </w:tc>
      </w:tr>
    </w:tbl>
    <w:p w14:paraId="021CE511" w14:textId="77777777" w:rsidR="002A3D66" w:rsidRDefault="002A3D66" w:rsidP="002A3D66">
      <w:pPr>
        <w:pStyle w:val="Source"/>
      </w:pPr>
      <w:r>
        <w:rPr>
          <w:i/>
        </w:rPr>
        <w:t>Data source</w:t>
      </w:r>
      <w:r w:rsidRPr="00A67576">
        <w:rPr>
          <w:i/>
        </w:rPr>
        <w:t>:</w:t>
      </w:r>
      <w:r>
        <w:t xml:space="preserve"> CIE estimates based on DeltaQ modelling.</w:t>
      </w:r>
    </w:p>
    <w:p w14:paraId="298C6EA1" w14:textId="77777777" w:rsidR="002A3D66" w:rsidRDefault="002A3D66" w:rsidP="002A3D66">
      <w:pPr>
        <w:pStyle w:val="BodyText"/>
        <w:rPr>
          <w:lang w:eastAsia="en-US"/>
        </w:rPr>
      </w:pPr>
    </w:p>
    <w:p w14:paraId="3400DE6F" w14:textId="77777777" w:rsidR="00767FC0" w:rsidRPr="00767FC0" w:rsidRDefault="00767FC0" w:rsidP="00767FC0">
      <w:pPr>
        <w:pStyle w:val="BodyText"/>
        <w:rPr>
          <w:lang w:bidi="fa-IR"/>
        </w:rPr>
      </w:pPr>
    </w:p>
    <w:sectPr w:rsidR="00767FC0" w:rsidRPr="00767FC0" w:rsidSect="00384703">
      <w:headerReference w:type="even" r:id="rId109"/>
      <w:headerReference w:type="default" r:id="rId110"/>
      <w:footerReference w:type="even" r:id="rId111"/>
      <w:footerReference w:type="default" r:id="rId112"/>
      <w:type w:val="oddPage"/>
      <w:pgSz w:w="11906" w:h="16838" w:code="9"/>
      <w:pgMar w:top="2268" w:right="1701" w:bottom="1418" w:left="2268" w:header="680"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08E27" w14:textId="77777777" w:rsidR="001850FA" w:rsidRDefault="001850FA" w:rsidP="00996DC5">
      <w:pPr>
        <w:spacing w:line="240" w:lineRule="auto"/>
      </w:pPr>
      <w:r>
        <w:separator/>
      </w:r>
    </w:p>
  </w:endnote>
  <w:endnote w:type="continuationSeparator" w:id="0">
    <w:p w14:paraId="651B6DD3" w14:textId="77777777" w:rsidR="001850FA" w:rsidRDefault="001850FA" w:rsidP="00996DC5">
      <w:pPr>
        <w:spacing w:line="240" w:lineRule="auto"/>
      </w:pPr>
      <w:r>
        <w:continuationSeparator/>
      </w:r>
    </w:p>
  </w:endnote>
  <w:endnote w:type="continuationNotice" w:id="1">
    <w:p w14:paraId="0C6BBA2B" w14:textId="77777777" w:rsidR="001850FA" w:rsidRDefault="001850F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Calisto MT">
    <w:panose1 w:val="020406030505050303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Heavy">
    <w:panose1 w:val="020B09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0AFC3" w14:textId="77777777" w:rsidR="00295012" w:rsidRDefault="00295012">
    <w:pPr>
      <w:pStyle w:val="Footer"/>
    </w:pPr>
    <w:r>
      <w:t>www.TheCIE.com.au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645"/>
      <w:gridCol w:w="2645"/>
      <w:gridCol w:w="2645"/>
    </w:tblGrid>
    <w:tr w:rsidR="31006DC0" w14:paraId="5F999B9F" w14:textId="77777777" w:rsidTr="31006DC0">
      <w:trPr>
        <w:trHeight w:val="300"/>
      </w:trPr>
      <w:tc>
        <w:tcPr>
          <w:tcW w:w="2645" w:type="dxa"/>
        </w:tcPr>
        <w:p w14:paraId="73896FFB" w14:textId="26058414" w:rsidR="31006DC0" w:rsidRDefault="31006DC0" w:rsidP="31006DC0">
          <w:pPr>
            <w:pStyle w:val="Header"/>
            <w:ind w:left="-115"/>
          </w:pPr>
        </w:p>
      </w:tc>
      <w:tc>
        <w:tcPr>
          <w:tcW w:w="2645" w:type="dxa"/>
        </w:tcPr>
        <w:p w14:paraId="1E5E9A14" w14:textId="452E57D6" w:rsidR="31006DC0" w:rsidRDefault="31006DC0" w:rsidP="31006DC0">
          <w:pPr>
            <w:pStyle w:val="Header"/>
            <w:jc w:val="center"/>
          </w:pPr>
        </w:p>
      </w:tc>
      <w:tc>
        <w:tcPr>
          <w:tcW w:w="2645" w:type="dxa"/>
        </w:tcPr>
        <w:p w14:paraId="6FD65C4A" w14:textId="36C9EFAE" w:rsidR="31006DC0" w:rsidRDefault="31006DC0" w:rsidP="31006DC0">
          <w:pPr>
            <w:pStyle w:val="Header"/>
            <w:ind w:right="-115"/>
            <w:jc w:val="right"/>
          </w:pPr>
        </w:p>
      </w:tc>
    </w:tr>
  </w:tbl>
  <w:p w14:paraId="658E1CF4" w14:textId="5B32522F" w:rsidR="31006DC0" w:rsidRDefault="31006DC0" w:rsidP="31006D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00336" w14:textId="77777777" w:rsidR="00295012" w:rsidRPr="005B1FD7" w:rsidRDefault="00295012" w:rsidP="005B1FD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7EE25" w14:textId="77777777" w:rsidR="00295012" w:rsidRDefault="00295012" w:rsidP="007C4C46">
    <w:pPr>
      <w:pStyle w:val="Footer"/>
      <w:jc w:val="right"/>
    </w:pPr>
    <w:r>
      <w:t>www.TheCIE.com.au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B87B0" w14:textId="77777777" w:rsidR="00295012" w:rsidRDefault="00295012">
    <w:pPr>
      <w:pStyle w:val="Footer"/>
    </w:pPr>
    <w:r>
      <w:t>www.TheCIE.com.au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CE4C9" w14:textId="77777777" w:rsidR="00295012" w:rsidRDefault="00295012" w:rsidP="004E7620">
    <w:pPr>
      <w:pStyle w:val="Footer"/>
      <w:jc w:val="right"/>
    </w:pPr>
    <w:r>
      <w:t>www.TheCIE.com.au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725F0" w14:textId="77777777" w:rsidR="00295012" w:rsidRDefault="00295012">
    <w:pPr>
      <w:pStyle w:val="Footer"/>
    </w:pPr>
    <w:r>
      <w:t>www.TheCIE.com.au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BBA18" w14:textId="77777777" w:rsidR="00295012" w:rsidRDefault="00295012" w:rsidP="007C4C46">
    <w:pPr>
      <w:pStyle w:val="Footer"/>
      <w:jc w:val="right"/>
    </w:pPr>
    <w:r>
      <w:t>www.TheCIE.com.au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6139A" w14:textId="77777777" w:rsidR="001850FA" w:rsidRDefault="001850FA" w:rsidP="00996DC5">
      <w:pPr>
        <w:spacing w:line="240" w:lineRule="auto"/>
      </w:pPr>
      <w:r w:rsidRPr="00B75719">
        <w:rPr>
          <w:color w:val="6F6652" w:themeColor="text2"/>
        </w:rPr>
        <w:separator/>
      </w:r>
    </w:p>
  </w:footnote>
  <w:footnote w:type="continuationSeparator" w:id="0">
    <w:p w14:paraId="1495C72C" w14:textId="77777777" w:rsidR="001850FA" w:rsidRDefault="001850FA" w:rsidP="00996DC5">
      <w:pPr>
        <w:spacing w:line="240" w:lineRule="auto"/>
      </w:pPr>
      <w:r>
        <w:continuationSeparator/>
      </w:r>
    </w:p>
  </w:footnote>
  <w:footnote w:type="continuationNotice" w:id="1">
    <w:p w14:paraId="05C9B2E7" w14:textId="77777777" w:rsidR="001850FA" w:rsidRDefault="001850FA">
      <w:pPr>
        <w:spacing w:line="240" w:lineRule="auto"/>
      </w:pPr>
    </w:p>
  </w:footnote>
  <w:footnote w:id="2">
    <w:p w14:paraId="0F5F44F9" w14:textId="77777777" w:rsidR="00767FC0" w:rsidRDefault="00767FC0" w:rsidP="00767FC0">
      <w:pPr>
        <w:pStyle w:val="FootnoteText"/>
      </w:pPr>
      <w:r>
        <w:rPr>
          <w:rStyle w:val="FootnoteReference"/>
        </w:rPr>
        <w:footnoteRef/>
      </w:r>
      <w:r>
        <w:t xml:space="preserve"> </w:t>
      </w:r>
      <w:r>
        <w:tab/>
        <w:t xml:space="preserve">Gerarden, T.D., Newell, R.G. and Stavins, R.N. 2015, </w:t>
      </w:r>
      <w:r>
        <w:rPr>
          <w:i/>
        </w:rPr>
        <w:t>Assessing the Energy Efficiency Gap</w:t>
      </w:r>
      <w:r>
        <w:t>, Duke University Energy Initiative and Harvard Environmental Economics Program, January 2015, p. 1.</w:t>
      </w:r>
    </w:p>
  </w:footnote>
  <w:footnote w:id="3">
    <w:p w14:paraId="54E5BC0E" w14:textId="77777777" w:rsidR="00767FC0" w:rsidRPr="000A1E10" w:rsidRDefault="00767FC0" w:rsidP="00767FC0">
      <w:pPr>
        <w:pStyle w:val="FootnoteText"/>
        <w:rPr>
          <w:lang w:val="en-US"/>
        </w:rPr>
      </w:pPr>
      <w:r>
        <w:rPr>
          <w:rStyle w:val="FootnoteReference"/>
        </w:rPr>
        <w:footnoteRef/>
      </w:r>
      <w:r>
        <w:t xml:space="preserve"> </w:t>
      </w:r>
      <w:r>
        <w:rPr>
          <w:lang w:val="en-US"/>
        </w:rPr>
        <w:tab/>
        <w:t xml:space="preserve">ABCB 2022, </w:t>
      </w:r>
      <w:r w:rsidRPr="00E82BAE">
        <w:rPr>
          <w:i/>
          <w:iCs/>
          <w:lang w:val="en-US"/>
        </w:rPr>
        <w:t>NCC 2025 energy efficiency project: Rationale and Scope</w:t>
      </w:r>
      <w:r>
        <w:rPr>
          <w:lang w:val="en-US"/>
        </w:rPr>
        <w:t>, 2022, p.1</w:t>
      </w:r>
    </w:p>
  </w:footnote>
  <w:footnote w:id="4">
    <w:p w14:paraId="1E1D9ABA" w14:textId="77777777" w:rsidR="00274AB3" w:rsidRDefault="00274AB3" w:rsidP="00274AB3">
      <w:pPr>
        <w:ind w:left="284" w:hanging="284"/>
      </w:pPr>
      <w:r>
        <w:rPr>
          <w:rStyle w:val="FootnoteReference"/>
        </w:rPr>
        <w:footnoteRef/>
      </w:r>
      <w:r>
        <w:t xml:space="preserve"> </w:t>
      </w:r>
      <w:r>
        <w:tab/>
      </w:r>
      <w:r w:rsidRPr="0072074B">
        <w:rPr>
          <w:sz w:val="19"/>
          <w:szCs w:val="19"/>
          <w:lang w:val="en-US"/>
        </w:rPr>
        <w:t xml:space="preserve">Hutley, N. 2023, </w:t>
      </w:r>
      <w:r w:rsidRPr="0072074B">
        <w:rPr>
          <w:i/>
          <w:iCs/>
          <w:sz w:val="19"/>
          <w:szCs w:val="19"/>
          <w:lang w:val="en-US"/>
        </w:rPr>
        <w:t>Economic parameters for technical work (NCC)</w:t>
      </w:r>
      <w:r w:rsidRPr="0072074B">
        <w:rPr>
          <w:sz w:val="19"/>
          <w:szCs w:val="19"/>
          <w:lang w:val="en-US"/>
        </w:rPr>
        <w:t>, report for Australian Building Construction Board, Rovingstone Advisory Pty Ltd, p. 4.</w:t>
      </w:r>
    </w:p>
  </w:footnote>
  <w:footnote w:id="5">
    <w:p w14:paraId="7AAE99E7" w14:textId="77777777" w:rsidR="00767FC0" w:rsidRDefault="00767FC0" w:rsidP="00767FC0">
      <w:pPr>
        <w:pStyle w:val="FootnoteText"/>
      </w:pPr>
      <w:r>
        <w:rPr>
          <w:rStyle w:val="FootnoteReference"/>
        </w:rPr>
        <w:footnoteRef/>
      </w:r>
      <w:r>
        <w:t xml:space="preserve"> </w:t>
      </w:r>
      <w:r>
        <w:tab/>
        <w:t>Note that the term “offset” is used in this report only relates to on-site renewables.</w:t>
      </w:r>
    </w:p>
  </w:footnote>
  <w:footnote w:id="6">
    <w:p w14:paraId="1753385E" w14:textId="77777777" w:rsidR="00767FC0" w:rsidRDefault="00767FC0" w:rsidP="00767FC0">
      <w:pPr>
        <w:pStyle w:val="FootnoteText"/>
      </w:pPr>
      <w:r>
        <w:rPr>
          <w:rStyle w:val="FootnoteReference"/>
        </w:rPr>
        <w:footnoteRef/>
      </w:r>
      <w:r>
        <w:t xml:space="preserve"> </w:t>
      </w:r>
      <w:r>
        <w:tab/>
        <w:t xml:space="preserve">Under the ‘dual fuel offset’ option, a building can use both </w:t>
      </w:r>
      <w:r w:rsidRPr="00E02751">
        <w:t xml:space="preserve">gas and </w:t>
      </w:r>
      <w:r>
        <w:t xml:space="preserve">electricity but </w:t>
      </w:r>
      <w:r w:rsidRPr="00E02751">
        <w:t xml:space="preserve">will require </w:t>
      </w:r>
      <w:r>
        <w:t xml:space="preserve">additional </w:t>
      </w:r>
      <w:r w:rsidRPr="00E02751">
        <w:t xml:space="preserve">on-site renewables to balance emissions from gas appliances </w:t>
      </w:r>
      <w:r>
        <w:t xml:space="preserve">compared with an all-electric </w:t>
      </w:r>
      <w:r w:rsidRPr="00E02751">
        <w:t xml:space="preserve">equivalent.  Under this stringency, the building’s operational carbon emissions should be no higher than an equivalent all-electric </w:t>
      </w:r>
      <w:r>
        <w:t>building</w:t>
      </w:r>
      <w:r w:rsidRPr="00E02751">
        <w:t xml:space="preserve">. </w:t>
      </w:r>
      <w:r>
        <w:t xml:space="preserve"> </w:t>
      </w:r>
    </w:p>
  </w:footnote>
  <w:footnote w:id="7">
    <w:p w14:paraId="17EB93C2" w14:textId="77777777" w:rsidR="00767FC0" w:rsidRDefault="00767FC0" w:rsidP="00767FC0">
      <w:pPr>
        <w:pStyle w:val="FootnoteText"/>
      </w:pPr>
      <w:r>
        <w:rPr>
          <w:rStyle w:val="FootnoteReference"/>
        </w:rPr>
        <w:footnoteRef/>
      </w:r>
      <w:r>
        <w:t xml:space="preserve"> </w:t>
      </w:r>
      <w:r>
        <w:tab/>
        <w:t xml:space="preserve">Strategy.Policy.Research. 2022, </w:t>
      </w:r>
      <w:r>
        <w:rPr>
          <w:i/>
          <w:iCs/>
        </w:rPr>
        <w:t>Commercial Building Baseline Study 2022: Final Report</w:t>
      </w:r>
      <w:r>
        <w:t xml:space="preserve">, prepared for Department of Climate Change, Energy, the Environment and Water, </w:t>
      </w:r>
      <w:hyperlink r:id="rId1" w:history="1">
        <w:r w:rsidRPr="005640D1">
          <w:rPr>
            <w:rStyle w:val="Hyperlink"/>
          </w:rPr>
          <w:t>https://www.energy.gov.au/publications/commercial-buildings-energy-consumption-baseline-study-2022</w:t>
        </w:r>
      </w:hyperlink>
      <w:r>
        <w:t>, pp.iv-v</w:t>
      </w:r>
      <w:r>
        <w:br/>
        <w:t xml:space="preserve">Note that the estimated GFA as at FY 2020 is not comparable to the estimated floor space (360 million square meters) in the CRIS 2019 for energy efficiency of commercial buildings. The 2019 estimate drew on a ‘net lettable area’ concept based on pitt&amp;sherry (pitt&amp;sherry, </w:t>
      </w:r>
      <w:r>
        <w:rPr>
          <w:i/>
          <w:iCs/>
        </w:rPr>
        <w:t>Baseline Energy Consumption and Greenhouse Gas Emissions In Commercial Buildings in Australia</w:t>
      </w:r>
      <w:r>
        <w:t xml:space="preserve">, Department of Climate Change and Energy Efficiency, 2012, </w:t>
      </w:r>
      <w:hyperlink r:id="rId2" w:history="1">
        <w:r w:rsidRPr="00C54EFD">
          <w:rPr>
            <w:rStyle w:val="Hyperlink"/>
          </w:rPr>
          <w:t>https://www.energy.gov.au/sites/default/files/baseline-energy-consumption-part_1-report-2012.pdf</w:t>
        </w:r>
      </w:hyperlink>
      <w:r>
        <w:t>, accessed 3 November 2023). GFA is a different concept and was not estimated in the CRIS 2019.</w:t>
      </w:r>
    </w:p>
  </w:footnote>
  <w:footnote w:id="8">
    <w:p w14:paraId="439028E8" w14:textId="77777777" w:rsidR="00767FC0" w:rsidRDefault="00767FC0" w:rsidP="00767FC0">
      <w:pPr>
        <w:pStyle w:val="FootnoteText"/>
      </w:pPr>
      <w:r>
        <w:rPr>
          <w:rStyle w:val="FootnoteReference"/>
        </w:rPr>
        <w:footnoteRef/>
      </w:r>
      <w:r>
        <w:t xml:space="preserve"> </w:t>
      </w:r>
      <w:r>
        <w:tab/>
        <w:t>ibid.</w:t>
      </w:r>
    </w:p>
  </w:footnote>
  <w:footnote w:id="9">
    <w:p w14:paraId="120040C6" w14:textId="77777777" w:rsidR="00767FC0" w:rsidRDefault="00767FC0" w:rsidP="00767FC0">
      <w:pPr>
        <w:pStyle w:val="FootnoteText"/>
        <w:rPr>
          <w:lang w:val="en-GB"/>
        </w:rPr>
      </w:pPr>
      <w:r>
        <w:rPr>
          <w:rStyle w:val="FootnoteReference"/>
        </w:rPr>
        <w:footnoteRef/>
      </w:r>
      <w:r>
        <w:t xml:space="preserve"> </w:t>
      </w:r>
      <w:r>
        <w:tab/>
      </w:r>
      <w:r>
        <w:rPr>
          <w:lang w:val="en-GB"/>
        </w:rPr>
        <w:t xml:space="preserve">ABCB 2016, </w:t>
      </w:r>
      <w:r>
        <w:rPr>
          <w:i/>
          <w:lang w:val="en-GB"/>
        </w:rPr>
        <w:t>NCC Volume One Energy Efficiency Provisions Handbook</w:t>
      </w:r>
      <w:r>
        <w:rPr>
          <w:lang w:val="en-GB"/>
        </w:rPr>
        <w:t>, Fourth Edition, p. 20</w:t>
      </w:r>
      <w:r w:rsidRPr="003D773D">
        <w:t xml:space="preserve"> </w:t>
      </w:r>
      <w:r>
        <w:t>and</w:t>
      </w:r>
      <w:r w:rsidRPr="003D773D">
        <w:t xml:space="preserve"> </w:t>
      </w:r>
      <w:r>
        <w:t xml:space="preserve">ABCB 2019, </w:t>
      </w:r>
      <w:r>
        <w:rPr>
          <w:i/>
          <w:iCs/>
        </w:rPr>
        <w:t>Energy efficiency: NCC 2022 and beyond - Scoping study</w:t>
      </w:r>
      <w:r>
        <w:t>, p. 4.</w:t>
      </w:r>
    </w:p>
  </w:footnote>
  <w:footnote w:id="10">
    <w:p w14:paraId="24173E78" w14:textId="77777777" w:rsidR="00767FC0" w:rsidRDefault="00767FC0" w:rsidP="00767FC0">
      <w:pPr>
        <w:pStyle w:val="FootnoteText"/>
      </w:pPr>
      <w:r>
        <w:rPr>
          <w:rStyle w:val="FootnoteReference"/>
        </w:rPr>
        <w:footnoteRef/>
      </w:r>
      <w:r>
        <w:t xml:space="preserve"> </w:t>
      </w:r>
      <w:r>
        <w:tab/>
        <w:t>ibid., p.7</w:t>
      </w:r>
    </w:p>
  </w:footnote>
  <w:footnote w:id="11">
    <w:p w14:paraId="31A5CEAC" w14:textId="77777777" w:rsidR="00767FC0" w:rsidRDefault="00767FC0" w:rsidP="00767FC0">
      <w:pPr>
        <w:pStyle w:val="FootnoteText"/>
      </w:pPr>
      <w:r>
        <w:rPr>
          <w:rStyle w:val="FootnoteReference"/>
        </w:rPr>
        <w:footnoteRef/>
      </w:r>
      <w:r>
        <w:t xml:space="preserve"> </w:t>
      </w:r>
      <w:r>
        <w:tab/>
        <w:t xml:space="preserve">Strategy.Policy.Research. </w:t>
      </w:r>
      <w:r w:rsidRPr="00D96F59">
        <w:rPr>
          <w:i/>
          <w:iCs/>
        </w:rPr>
        <w:t>Research report: use of renewable energy to trade</w:t>
      </w:r>
      <w:r w:rsidRPr="00D96F59">
        <w:rPr>
          <w:i/>
          <w:iCs/>
        </w:rPr>
        <w:noBreakHyphen/>
        <w:t>off energy efficiency requirements in Section J of the National Construction Code</w:t>
      </w:r>
      <w:r>
        <w:t xml:space="preserve">, Prepared for the Department of Industry, Science, Energy and Resources, 20 January 2022, p. 4, </w:t>
      </w:r>
      <w:hyperlink r:id="rId3" w:history="1">
        <w:r w:rsidRPr="00F0748B">
          <w:rPr>
            <w:rStyle w:val="Hyperlink"/>
          </w:rPr>
          <w:t>https://www.dcceew.gov.au/sites/default/files/documents/use-%20renewable-energy-%20trade-off-ee-requirements-section-j-national-construction-code.pdf</w:t>
        </w:r>
      </w:hyperlink>
      <w:r>
        <w:t>.</w:t>
      </w:r>
    </w:p>
  </w:footnote>
  <w:footnote w:id="12">
    <w:p w14:paraId="40F6623E" w14:textId="77777777" w:rsidR="00767FC0" w:rsidRDefault="00767FC0" w:rsidP="00767FC0">
      <w:pPr>
        <w:pStyle w:val="FootnoteText"/>
      </w:pPr>
      <w:r>
        <w:rPr>
          <w:rStyle w:val="FootnoteReference"/>
        </w:rPr>
        <w:footnoteRef/>
      </w:r>
      <w:r>
        <w:t xml:space="preserve"> </w:t>
      </w:r>
      <w:r>
        <w:tab/>
      </w:r>
      <w:r w:rsidRPr="00A70231">
        <w:t xml:space="preserve">Ausgrid, </w:t>
      </w:r>
      <w:r w:rsidRPr="00A70231">
        <w:rPr>
          <w:i/>
          <w:iCs/>
        </w:rPr>
        <w:t>2024–25 pricing proposal</w:t>
      </w:r>
      <w:r w:rsidRPr="00A70231">
        <w:t xml:space="preserve">, Australian Energy Regulator, May 2024, </w:t>
      </w:r>
      <w:hyperlink r:id="rId4" w:history="1">
        <w:r w:rsidRPr="00A70231">
          <w:rPr>
            <w:rStyle w:val="Hyperlink"/>
          </w:rPr>
          <w:t>https://www.aer.gov.au/industry/networks/pricing-proposals/ausgrid-2024-25-pricing-proposal</w:t>
        </w:r>
      </w:hyperlink>
      <w:r>
        <w:t xml:space="preserve">, </w:t>
      </w:r>
      <w:r w:rsidRPr="00A70231">
        <w:t>accessed 17 September 2024</w:t>
      </w:r>
      <w:r>
        <w:t>.</w:t>
      </w:r>
    </w:p>
  </w:footnote>
  <w:footnote w:id="13">
    <w:p w14:paraId="4723C27C" w14:textId="77777777" w:rsidR="00767FC0" w:rsidRDefault="00767FC0" w:rsidP="00767FC0">
      <w:pPr>
        <w:pStyle w:val="FootnoteText"/>
      </w:pPr>
      <w:r>
        <w:rPr>
          <w:rStyle w:val="FootnoteReference"/>
        </w:rPr>
        <w:footnoteRef/>
      </w:r>
      <w:r>
        <w:t xml:space="preserve"> P Graham 2022, </w:t>
      </w:r>
      <w:r>
        <w:rPr>
          <w:i/>
          <w:iCs/>
        </w:rPr>
        <w:t>Electric vehicle projections 2022 - Commissioned for AEMO’s draft 2023 Input, Assumptions and Scenarios Report</w:t>
      </w:r>
      <w:r>
        <w:t xml:space="preserve">, CSIRO, 2022, </w:t>
      </w:r>
      <w:hyperlink r:id="rId5" w:history="1">
        <w:r w:rsidRPr="0069088A">
          <w:rPr>
            <w:rStyle w:val="Hyperlink"/>
          </w:rPr>
          <w:t>https://aemo.com.au/-/media/files/stakeholder_consultation/consultations/nem-consultations/2022/2023-inputs-assumptions-and-scenarios-consultation/supporting-materials-for-2023/csiro-2022-electric-vehicles-projections-report.pdf?la=en</w:t>
        </w:r>
      </w:hyperlink>
      <w:r>
        <w:t>, last accessed 6 February 2024</w:t>
      </w:r>
    </w:p>
  </w:footnote>
  <w:footnote w:id="14">
    <w:p w14:paraId="41E8E058" w14:textId="77777777" w:rsidR="00767FC0" w:rsidRDefault="00767FC0" w:rsidP="00767FC0">
      <w:pPr>
        <w:pStyle w:val="FootnoteText"/>
      </w:pPr>
      <w:r>
        <w:rPr>
          <w:rStyle w:val="FootnoteReference"/>
        </w:rPr>
        <w:footnoteRef/>
      </w:r>
      <w:r>
        <w:t xml:space="preserve"> </w:t>
      </w:r>
      <w:r>
        <w:tab/>
        <w:t>For example, NSW Treasury recommends a 5 per cent a year central estimate social discount rate (</w:t>
      </w:r>
      <w:r w:rsidRPr="00BE7EEC">
        <w:t>https://www.treasury.nsw.gov.au/sites/default/files/2023-04/tpg23-08_nsw-government-guide-to-cost-benefit-analysis_202304.pdf</w:t>
      </w:r>
      <w:r>
        <w:t>).</w:t>
      </w:r>
    </w:p>
  </w:footnote>
  <w:footnote w:id="15">
    <w:p w14:paraId="1DF36CE2" w14:textId="77777777" w:rsidR="00767FC0" w:rsidRDefault="00767FC0" w:rsidP="00767FC0">
      <w:pPr>
        <w:pStyle w:val="FootnoteText"/>
      </w:pPr>
      <w:r>
        <w:rPr>
          <w:rStyle w:val="FootnoteReference"/>
        </w:rPr>
        <w:footnoteRef/>
      </w:r>
      <w:r>
        <w:t xml:space="preserve"> </w:t>
      </w:r>
      <w:r>
        <w:tab/>
        <w:t xml:space="preserve">Infrastructure Australia 2024, </w:t>
      </w:r>
      <w:r>
        <w:rPr>
          <w:i/>
          <w:iCs/>
        </w:rPr>
        <w:t>Valuing emissions for economic analysis</w:t>
      </w:r>
      <w:r>
        <w:t xml:space="preserve">, 15 May 2024, </w:t>
      </w:r>
      <w:r w:rsidRPr="00686E5A">
        <w:t>https://www.infrastructureaustralia.gov.au/publications/valuing-emissions-economic-analysis</w:t>
      </w:r>
    </w:p>
  </w:footnote>
  <w:footnote w:id="16">
    <w:p w14:paraId="0DFA98A8" w14:textId="77777777" w:rsidR="00767FC0" w:rsidRPr="00E44A11" w:rsidRDefault="00767FC0" w:rsidP="00767FC0">
      <w:pPr>
        <w:pStyle w:val="FootnoteText"/>
        <w:rPr>
          <w:i/>
          <w:iCs/>
        </w:rPr>
      </w:pPr>
      <w:r>
        <w:rPr>
          <w:rStyle w:val="FootnoteReference"/>
        </w:rPr>
        <w:footnoteRef/>
      </w:r>
      <w:r>
        <w:t xml:space="preserve"> </w:t>
      </w:r>
      <w:r>
        <w:tab/>
        <w:t xml:space="preserve">CIE 2018, </w:t>
      </w:r>
      <w:r>
        <w:rPr>
          <w:i/>
          <w:iCs/>
        </w:rPr>
        <w:t>Decision Regulation Impact Statement: Energy Efficiency of Commercial Buildings</w:t>
      </w:r>
      <w:r>
        <w:t xml:space="preserve">, report for Australian Building Codes Board, November 2018, </w:t>
      </w:r>
      <w:hyperlink r:id="rId6" w:history="1">
        <w:r w:rsidRPr="00FF66D7">
          <w:rPr>
            <w:rStyle w:val="Hyperlink"/>
          </w:rPr>
          <w:t>https://www.abcb.gov.au/sites/default/files/resources/2022/Final-RIS-energy-efficiency-of-commercial-buildings.pdf</w:t>
        </w:r>
      </w:hyperlink>
      <w:r>
        <w:t xml:space="preserve"> </w:t>
      </w:r>
      <w:r>
        <w:rPr>
          <w:i/>
          <w:iCs/>
        </w:rPr>
        <w:t xml:space="preserve"> </w:t>
      </w:r>
    </w:p>
  </w:footnote>
  <w:footnote w:id="17">
    <w:p w14:paraId="61BF2AB6" w14:textId="77777777" w:rsidR="00767FC0" w:rsidRDefault="00767FC0" w:rsidP="00767FC0">
      <w:pPr>
        <w:pStyle w:val="FootnoteText"/>
      </w:pPr>
      <w:r>
        <w:rPr>
          <w:rStyle w:val="FootnoteReference"/>
        </w:rPr>
        <w:footnoteRef/>
      </w:r>
      <w:r>
        <w:t xml:space="preserve"> </w:t>
      </w:r>
      <w:r>
        <w:tab/>
        <w:t xml:space="preserve">Strategy.Policy.Research 2022, </w:t>
      </w:r>
      <w:r>
        <w:rPr>
          <w:i/>
          <w:iCs/>
        </w:rPr>
        <w:t>Commercial Building Baseline Study 2022</w:t>
      </w:r>
      <w:r>
        <w:t>,</w:t>
      </w:r>
      <w:r w:rsidRPr="00226C8A">
        <w:t xml:space="preserve"> Final Report</w:t>
      </w:r>
      <w:r>
        <w:t xml:space="preserve"> to Department of Climate Change, Energy, the Environment and Water, August 2022, </w:t>
      </w:r>
      <w:r w:rsidRPr="00087751">
        <w:t>https://www.dcceew.gov.au/sites/default/files/documents/commercial-buildings-energy-consumption-baseline-study-2022.pdf</w:t>
      </w:r>
    </w:p>
  </w:footnote>
  <w:footnote w:id="18">
    <w:p w14:paraId="7DD68578" w14:textId="77777777" w:rsidR="00767FC0" w:rsidRDefault="00767FC0" w:rsidP="00767FC0">
      <w:pPr>
        <w:pStyle w:val="FootnoteText"/>
      </w:pPr>
      <w:r>
        <w:rPr>
          <w:rStyle w:val="FootnoteReference"/>
        </w:rPr>
        <w:footnoteRef/>
      </w:r>
      <w:r>
        <w:t xml:space="preserve"> </w:t>
      </w:r>
      <w:r>
        <w:tab/>
        <w:t xml:space="preserve">IPCC 2023, </w:t>
      </w:r>
      <w:r>
        <w:rPr>
          <w:i/>
          <w:iCs/>
        </w:rPr>
        <w:t>Climate Change 2023: Synthesis Report</w:t>
      </w:r>
      <w:r>
        <w:t xml:space="preserve">, Contribution of Working Groups I, II and III to the Sixth Assessment Report of the Intergovernmental Panel on Climate Change [Core Writing Team, H. Lee and J. Romero (eds.)]. IPCC, Geneva, Switzerland, p.44, </w:t>
      </w:r>
      <w:hyperlink r:id="rId7" w:history="1">
        <w:r w:rsidRPr="00143C45">
          <w:rPr>
            <w:rStyle w:val="Hyperlink"/>
          </w:rPr>
          <w:t>https://www.ipcc.ch/report/ar6/syr/downloads/report/IPCC_AR6_SYR_LongerReport.pdf</w:t>
        </w:r>
      </w:hyperlink>
      <w:r>
        <w:t>.</w:t>
      </w:r>
    </w:p>
  </w:footnote>
  <w:footnote w:id="19">
    <w:p w14:paraId="137A4202" w14:textId="77777777" w:rsidR="00767FC0" w:rsidRPr="008E3B4E" w:rsidRDefault="00767FC0" w:rsidP="00767FC0">
      <w:pPr>
        <w:pStyle w:val="FootnoteText"/>
        <w:rPr>
          <w:lang w:val="en-US"/>
        </w:rPr>
      </w:pPr>
      <w:r>
        <w:rPr>
          <w:rStyle w:val="FootnoteReference"/>
        </w:rPr>
        <w:footnoteRef/>
      </w:r>
      <w:r>
        <w:t xml:space="preserve"> </w:t>
      </w:r>
      <w:r>
        <w:tab/>
      </w:r>
      <w:r>
        <w:rPr>
          <w:lang w:val="en-US"/>
        </w:rPr>
        <w:t xml:space="preserve">See: Commonwealth of Australia, Department of Prime Minister and Cabinet, </w:t>
      </w:r>
      <w:r w:rsidRPr="008E3B4E">
        <w:rPr>
          <w:i/>
          <w:iCs/>
          <w:lang w:val="en-US"/>
        </w:rPr>
        <w:t>Regulatory Impact Analysis Guide for Ministers’ Meetings and National Standard Setting Bodies</w:t>
      </w:r>
      <w:r>
        <w:rPr>
          <w:lang w:val="en-US"/>
        </w:rPr>
        <w:t>, June 2023, p. 13.</w:t>
      </w:r>
    </w:p>
  </w:footnote>
  <w:footnote w:id="20">
    <w:p w14:paraId="7324E595" w14:textId="77777777" w:rsidR="00767FC0" w:rsidRPr="00751CD8" w:rsidRDefault="00767FC0">
      <w:pPr>
        <w:pStyle w:val="FootnoteText"/>
        <w:rPr>
          <w:lang w:val="en-GB"/>
        </w:rPr>
      </w:pPr>
      <w:r>
        <w:rPr>
          <w:rStyle w:val="FootnoteReference"/>
        </w:rPr>
        <w:footnoteRef/>
      </w:r>
      <w:r>
        <w:t xml:space="preserve"> </w:t>
      </w:r>
      <w:r>
        <w:tab/>
        <w:t xml:space="preserve">United Nations Framework Convention on Climate Change, ‘Paris Agreement - Status </w:t>
      </w:r>
      <w:r w:rsidRPr="00D747D3">
        <w:t>of</w:t>
      </w:r>
      <w:r>
        <w:t xml:space="preserve"> Ratification’, 2023, </w:t>
      </w:r>
      <w:hyperlink r:id="rId8" w:history="1">
        <w:r w:rsidRPr="00504D22">
          <w:rPr>
            <w:rStyle w:val="Hyperlink"/>
          </w:rPr>
          <w:t>https://unfccc.int/process/the-paris-agreement/status-of-ratification</w:t>
        </w:r>
      </w:hyperlink>
      <w:r>
        <w:t>, accessed 1 November 2023</w:t>
      </w:r>
    </w:p>
  </w:footnote>
  <w:footnote w:id="21">
    <w:p w14:paraId="69887A04" w14:textId="77777777" w:rsidR="00767FC0" w:rsidRDefault="00767FC0">
      <w:pPr>
        <w:pStyle w:val="FootnoteText"/>
      </w:pPr>
      <w:r>
        <w:rPr>
          <w:rStyle w:val="FootnoteReference"/>
        </w:rPr>
        <w:footnoteRef/>
      </w:r>
      <w:r>
        <w:t xml:space="preserve"> </w:t>
      </w:r>
      <w:r>
        <w:tab/>
        <w:t xml:space="preserve">United Nations Framework Convention on Climate Change, ‘The Paris Agreement’, 2023, </w:t>
      </w:r>
      <w:hyperlink r:id="rId9" w:history="1">
        <w:r w:rsidRPr="001B0EC4">
          <w:rPr>
            <w:rStyle w:val="Hyperlink"/>
          </w:rPr>
          <w:t>https://unfccc.int/process-and-meetings/the-paris-agreement</w:t>
        </w:r>
      </w:hyperlink>
      <w:r>
        <w:t>, accessed 1 November 2023</w:t>
      </w:r>
    </w:p>
  </w:footnote>
  <w:footnote w:id="22">
    <w:p w14:paraId="643F0516" w14:textId="77777777" w:rsidR="00767FC0" w:rsidRDefault="00767FC0" w:rsidP="00767FC0">
      <w:pPr>
        <w:pStyle w:val="FootnoteText"/>
      </w:pPr>
      <w:r>
        <w:rPr>
          <w:rStyle w:val="FootnoteReference"/>
        </w:rPr>
        <w:footnoteRef/>
      </w:r>
      <w:r>
        <w:t xml:space="preserve"> </w:t>
      </w:r>
      <w:r>
        <w:tab/>
        <w:t xml:space="preserve">See for example, </w:t>
      </w:r>
      <w:r>
        <w:rPr>
          <w:lang w:val="en-GB"/>
        </w:rPr>
        <w:t xml:space="preserve">Gerarden, Todd D., Richard G. Newell, and Robert N. Stavins 2015, “Assessing the Energy Efficiency Gap”, </w:t>
      </w:r>
      <w:r w:rsidRPr="003976F3">
        <w:rPr>
          <w:i/>
          <w:iCs/>
          <w:lang w:val="en-GB"/>
        </w:rPr>
        <w:t>M-RCBG Faculty Working Paper Series</w:t>
      </w:r>
      <w:r>
        <w:rPr>
          <w:lang w:val="en-GB"/>
        </w:rPr>
        <w:t xml:space="preserve">, 2015-04, Harvard Environmental Economics Program, January 2015, </w:t>
      </w:r>
      <w:hyperlink r:id="rId10" w:history="1">
        <w:r w:rsidRPr="00E97C94">
          <w:rPr>
            <w:rStyle w:val="Hyperlink"/>
            <w:lang w:val="en-GB"/>
          </w:rPr>
          <w:t>https://www.hks.harvard.edu/sites/default/files/centers/mrcbg/files/mrcbg.fwp.2015-04.Stavins.efficiency.pdf</w:t>
        </w:r>
      </w:hyperlink>
      <w:r>
        <w:rPr>
          <w:lang w:val="en-GB"/>
        </w:rPr>
        <w:t>.</w:t>
      </w:r>
    </w:p>
  </w:footnote>
  <w:footnote w:id="23">
    <w:p w14:paraId="60B3115B" w14:textId="77777777" w:rsidR="00767FC0" w:rsidRPr="008E3B4E" w:rsidRDefault="00767FC0" w:rsidP="00767FC0">
      <w:pPr>
        <w:pStyle w:val="FootnoteText"/>
        <w:rPr>
          <w:lang w:val="en-US"/>
        </w:rPr>
      </w:pPr>
      <w:r>
        <w:rPr>
          <w:rStyle w:val="FootnoteReference"/>
        </w:rPr>
        <w:footnoteRef/>
      </w:r>
      <w:r>
        <w:t xml:space="preserve"> </w:t>
      </w:r>
      <w:r>
        <w:tab/>
      </w:r>
      <w:r>
        <w:rPr>
          <w:lang w:val="en-US"/>
        </w:rPr>
        <w:t>See for example: ACIL</w:t>
      </w:r>
      <w:r>
        <w:rPr>
          <w:lang w:val="en-US"/>
        </w:rPr>
        <w:noBreakHyphen/>
        <w:t xml:space="preserve">Allen, </w:t>
      </w:r>
      <w:r w:rsidRPr="008E3B4E">
        <w:rPr>
          <w:i/>
          <w:iCs/>
          <w:lang w:val="en-US"/>
        </w:rPr>
        <w:t>National Construction Code 2022: Decision Regulation Impact Statement for a proposal to increase residential building energy efficiency requirements</w:t>
      </w:r>
      <w:r>
        <w:rPr>
          <w:lang w:val="en-US"/>
        </w:rPr>
        <w:t>, Report to the Australian Building Codes Board, 25 August 2022, p. 32.</w:t>
      </w:r>
    </w:p>
  </w:footnote>
  <w:footnote w:id="24">
    <w:p w14:paraId="50ADAD45" w14:textId="77777777" w:rsidR="00767FC0" w:rsidRPr="00702D02" w:rsidRDefault="00767FC0" w:rsidP="00767FC0">
      <w:pPr>
        <w:pStyle w:val="FootnoteText"/>
        <w:rPr>
          <w:lang w:val="en-GB"/>
        </w:rPr>
      </w:pPr>
      <w:r>
        <w:rPr>
          <w:rStyle w:val="FootnoteReference"/>
        </w:rPr>
        <w:footnoteRef/>
      </w:r>
      <w:r>
        <w:t xml:space="preserve"> </w:t>
      </w:r>
      <w:r>
        <w:tab/>
      </w:r>
      <w:r>
        <w:rPr>
          <w:lang w:val="en-GB"/>
        </w:rPr>
        <w:t xml:space="preserve">See for example former COAG Energy Council, </w:t>
      </w:r>
      <w:r w:rsidRPr="004806BC">
        <w:rPr>
          <w:i/>
          <w:lang w:val="en-GB"/>
        </w:rPr>
        <w:t>National Energy Productivity Plan 2015</w:t>
      </w:r>
      <w:r w:rsidRPr="004806BC">
        <w:rPr>
          <w:i/>
          <w:lang w:val="en-GB"/>
        </w:rPr>
        <w:noBreakHyphen/>
        <w:t>2030: Boosting Competitiveness, managing costs and reducing emissions</w:t>
      </w:r>
      <w:r>
        <w:rPr>
          <w:lang w:val="en-GB"/>
        </w:rPr>
        <w:t>, December 2015, p. 6.</w:t>
      </w:r>
    </w:p>
  </w:footnote>
  <w:footnote w:id="25">
    <w:p w14:paraId="31DD0868" w14:textId="77777777" w:rsidR="00767FC0" w:rsidRDefault="00767FC0" w:rsidP="00767FC0">
      <w:pPr>
        <w:pStyle w:val="FootnoteText"/>
      </w:pPr>
      <w:r>
        <w:rPr>
          <w:rStyle w:val="FootnoteReference"/>
        </w:rPr>
        <w:footnoteRef/>
      </w:r>
      <w:r>
        <w:t xml:space="preserve"> </w:t>
      </w:r>
      <w:r>
        <w:tab/>
        <w:t xml:space="preserve">Gerarden, T.D., Newell, R.G. and Stavins, R.N. 2015, </w:t>
      </w:r>
      <w:r>
        <w:rPr>
          <w:i/>
        </w:rPr>
        <w:t>Assessing the Energy Efficiency Gap</w:t>
      </w:r>
      <w:r>
        <w:t>, Duke University Energy Initiative and Harvard Environmental Economics Program, January 2015, p. 1.</w:t>
      </w:r>
    </w:p>
  </w:footnote>
  <w:footnote w:id="26">
    <w:p w14:paraId="699B8EDE" w14:textId="77777777" w:rsidR="00767FC0" w:rsidRPr="00C17F4E" w:rsidRDefault="00767FC0" w:rsidP="00767FC0">
      <w:pPr>
        <w:pStyle w:val="FootnoteText"/>
        <w:rPr>
          <w:lang w:val="en-US"/>
        </w:rPr>
      </w:pPr>
      <w:r>
        <w:rPr>
          <w:rStyle w:val="FootnoteReference"/>
        </w:rPr>
        <w:footnoteRef/>
      </w:r>
      <w:r>
        <w:t xml:space="preserve"> </w:t>
      </w:r>
      <w:r>
        <w:tab/>
      </w:r>
      <w:r>
        <w:rPr>
          <w:lang w:val="en-US"/>
        </w:rPr>
        <w:t xml:space="preserve">DCCEEW 2023, </w:t>
      </w:r>
      <w:r w:rsidRPr="00F14242">
        <w:rPr>
          <w:i/>
          <w:lang w:val="en-US"/>
        </w:rPr>
        <w:t>The National Electric Vehicle Strategy</w:t>
      </w:r>
      <w:r>
        <w:rPr>
          <w:lang w:val="en-US"/>
        </w:rPr>
        <w:t>, Department of Climate Change, Energy, the Environment and Water, Canberra, p. 1.</w:t>
      </w:r>
    </w:p>
  </w:footnote>
  <w:footnote w:id="27">
    <w:p w14:paraId="0FC4C2E1" w14:textId="77777777" w:rsidR="00767FC0" w:rsidRPr="00A7097A" w:rsidRDefault="00767FC0" w:rsidP="00767FC0">
      <w:pPr>
        <w:pStyle w:val="FootnoteText"/>
        <w:rPr>
          <w:lang w:val="en-US"/>
        </w:rPr>
      </w:pPr>
      <w:r>
        <w:rPr>
          <w:rStyle w:val="FootnoteReference"/>
        </w:rPr>
        <w:footnoteRef/>
      </w:r>
      <w:r>
        <w:t xml:space="preserve"> </w:t>
      </w:r>
      <w:r>
        <w:rPr>
          <w:lang w:val="en-US"/>
        </w:rPr>
        <w:t xml:space="preserve">DCCEEW 2023, </w:t>
      </w:r>
      <w:r w:rsidRPr="00F14242">
        <w:rPr>
          <w:i/>
          <w:iCs/>
          <w:lang w:val="en-US"/>
        </w:rPr>
        <w:t>The National Electric Vehicle Strategy</w:t>
      </w:r>
      <w:r>
        <w:rPr>
          <w:lang w:val="en-US"/>
        </w:rPr>
        <w:t>, Department of Climate Change, Energy, the Environment and Water, Canberra, p. 1.</w:t>
      </w:r>
    </w:p>
  </w:footnote>
  <w:footnote w:id="28">
    <w:p w14:paraId="0A74D841" w14:textId="77777777" w:rsidR="00767FC0" w:rsidRPr="00A33BFA" w:rsidRDefault="00767FC0" w:rsidP="00767FC0">
      <w:pPr>
        <w:pStyle w:val="FootnoteText"/>
        <w:rPr>
          <w:lang w:val="en-US"/>
        </w:rPr>
      </w:pPr>
      <w:r>
        <w:rPr>
          <w:rStyle w:val="FootnoteReference"/>
        </w:rPr>
        <w:footnoteRef/>
      </w:r>
      <w:r>
        <w:t xml:space="preserve"> </w:t>
      </w:r>
      <w:r>
        <w:tab/>
        <w:t xml:space="preserve">Shanjun Li, Lang Tong, Jianwei Xing and Yiyi Zhou 2017, ‘The Market for Electric Vehicles: Indirect Network Effects and Policy Design’, </w:t>
      </w:r>
      <w:r w:rsidRPr="00E03FF3">
        <w:rPr>
          <w:i/>
          <w:iCs/>
        </w:rPr>
        <w:t>Journal of the Association of Environmental and Resource Economics</w:t>
      </w:r>
      <w:r>
        <w:t>, January 2017, p. 88</w:t>
      </w:r>
    </w:p>
  </w:footnote>
  <w:footnote w:id="29">
    <w:p w14:paraId="3F98F707" w14:textId="77777777" w:rsidR="00767FC0" w:rsidRPr="00F4599E" w:rsidRDefault="00767FC0" w:rsidP="00767FC0">
      <w:pPr>
        <w:pStyle w:val="FootnoteText"/>
        <w:rPr>
          <w:lang w:val="en-US"/>
        </w:rPr>
      </w:pPr>
      <w:r>
        <w:rPr>
          <w:rStyle w:val="FootnoteReference"/>
        </w:rPr>
        <w:footnoteRef/>
      </w:r>
      <w:r>
        <w:t xml:space="preserve"> </w:t>
      </w:r>
      <w:r>
        <w:tab/>
      </w:r>
      <w:r>
        <w:rPr>
          <w:lang w:val="en-US"/>
        </w:rPr>
        <w:t xml:space="preserve">DCCEEW 2023, </w:t>
      </w:r>
      <w:r w:rsidRPr="00F14242">
        <w:rPr>
          <w:i/>
          <w:iCs/>
          <w:lang w:val="en-US"/>
        </w:rPr>
        <w:t>The National Electric Vehicle Strategy</w:t>
      </w:r>
      <w:r>
        <w:rPr>
          <w:lang w:val="en-US"/>
        </w:rPr>
        <w:t>, Department of Climate Change, Energy, the Environment and Water, Canberra, pp. 13</w:t>
      </w:r>
      <w:r>
        <w:rPr>
          <w:lang w:val="en-US"/>
        </w:rPr>
        <w:noBreakHyphen/>
        <w:t>14.</w:t>
      </w:r>
    </w:p>
  </w:footnote>
  <w:footnote w:id="30">
    <w:p w14:paraId="6A4990F8" w14:textId="77777777" w:rsidR="00767FC0" w:rsidRPr="00254968" w:rsidRDefault="00767FC0" w:rsidP="00767FC0">
      <w:pPr>
        <w:pStyle w:val="FootnoteText"/>
        <w:rPr>
          <w:lang w:val="en-US"/>
        </w:rPr>
      </w:pPr>
      <w:r>
        <w:rPr>
          <w:rStyle w:val="FootnoteReference"/>
        </w:rPr>
        <w:footnoteRef/>
      </w:r>
      <w:r>
        <w:t xml:space="preserve"> </w:t>
      </w:r>
      <w:r>
        <w:tab/>
      </w:r>
      <w:r>
        <w:rPr>
          <w:lang w:val="en-US"/>
        </w:rPr>
        <w:t>Ross De Rango, Electric Vehicle Council, pers. comm. 10 October 2023.</w:t>
      </w:r>
    </w:p>
  </w:footnote>
  <w:footnote w:id="31">
    <w:p w14:paraId="234B7A99" w14:textId="77777777" w:rsidR="00767FC0" w:rsidRPr="006742C7" w:rsidRDefault="00767FC0" w:rsidP="00767FC0">
      <w:pPr>
        <w:pStyle w:val="FootnoteText"/>
        <w:rPr>
          <w:lang w:val="en-US"/>
        </w:rPr>
      </w:pPr>
      <w:r>
        <w:rPr>
          <w:rStyle w:val="FootnoteReference"/>
        </w:rPr>
        <w:footnoteRef/>
      </w:r>
      <w:r>
        <w:t xml:space="preserve"> </w:t>
      </w:r>
      <w:r>
        <w:tab/>
      </w:r>
      <w:r>
        <w:rPr>
          <w:lang w:val="en-US"/>
        </w:rPr>
        <w:t xml:space="preserve">Hardman, S. 2021, Understanding discontinuance among California’s electric vehicle owners, </w:t>
      </w:r>
      <w:r w:rsidRPr="0063200B">
        <w:rPr>
          <w:i/>
          <w:iCs/>
          <w:lang w:val="en-US"/>
        </w:rPr>
        <w:t>Nature Energy</w:t>
      </w:r>
      <w:r>
        <w:rPr>
          <w:lang w:val="en-US"/>
        </w:rPr>
        <w:t xml:space="preserve"> 6, pp. 538</w:t>
      </w:r>
      <w:r>
        <w:rPr>
          <w:lang w:val="en-US"/>
        </w:rPr>
        <w:noBreakHyphen/>
        <w:t>545.</w:t>
      </w:r>
    </w:p>
  </w:footnote>
  <w:footnote w:id="32">
    <w:p w14:paraId="21AB06C4" w14:textId="77777777" w:rsidR="00767FC0" w:rsidRDefault="00767FC0" w:rsidP="00767FC0">
      <w:pPr>
        <w:pStyle w:val="FootnoteText"/>
      </w:pPr>
      <w:r>
        <w:rPr>
          <w:rStyle w:val="FootnoteReference"/>
        </w:rPr>
        <w:footnoteRef/>
      </w:r>
      <w:r>
        <w:t xml:space="preserve"> </w:t>
      </w:r>
      <w:r>
        <w:tab/>
        <w:t xml:space="preserve">Department of Climate Change, Energy, the Environment and Water 2022, ‘Net Zero’, in </w:t>
      </w:r>
      <w:r>
        <w:rPr>
          <w:i/>
          <w:iCs/>
        </w:rPr>
        <w:t>DCCEEW Emissions Reduction</w:t>
      </w:r>
      <w:r>
        <w:t xml:space="preserve">, </w:t>
      </w:r>
      <w:hyperlink r:id="rId11" w:history="1">
        <w:r w:rsidRPr="006938CE">
          <w:rPr>
            <w:rStyle w:val="Hyperlink"/>
          </w:rPr>
          <w:t>https://www.dcceew.gov.au/climate-change/emissions-reduction/net-zero</w:t>
        </w:r>
      </w:hyperlink>
      <w:r>
        <w:t>, accessed 2 November 2023.</w:t>
      </w:r>
      <w:r w:rsidDel="006938CE">
        <w:t xml:space="preserve"> </w:t>
      </w:r>
    </w:p>
  </w:footnote>
  <w:footnote w:id="33">
    <w:p w14:paraId="392F561C" w14:textId="77777777" w:rsidR="00767FC0" w:rsidRDefault="00767FC0" w:rsidP="00767FC0">
      <w:pPr>
        <w:pStyle w:val="FootnoteText"/>
      </w:pPr>
      <w:r>
        <w:rPr>
          <w:rStyle w:val="FootnoteReference"/>
        </w:rPr>
        <w:footnoteRef/>
      </w:r>
      <w:r>
        <w:t xml:space="preserve"> </w:t>
      </w:r>
      <w:r>
        <w:tab/>
        <w:t xml:space="preserve">NSW Environment Protection Authority 2020, ‘Net Zero Plan Stage 1: 2020–2030’, in </w:t>
      </w:r>
      <w:r>
        <w:rPr>
          <w:i/>
          <w:iCs/>
        </w:rPr>
        <w:t>NSW State of the Environment</w:t>
      </w:r>
      <w:r>
        <w:t xml:space="preserve">, </w:t>
      </w:r>
      <w:hyperlink r:id="rId12" w:history="1">
        <w:r w:rsidRPr="00EA2867">
          <w:rPr>
            <w:rStyle w:val="Hyperlink"/>
          </w:rPr>
          <w:t>https://www.soe.epa.nsw.gov.au/all-themes/climate-and-air/net-zero-plan-stage-1-2020-2030</w:t>
        </w:r>
      </w:hyperlink>
      <w:r>
        <w:t>, accessed 2 November 2023.</w:t>
      </w:r>
    </w:p>
  </w:footnote>
  <w:footnote w:id="34">
    <w:p w14:paraId="68073FE5" w14:textId="77777777" w:rsidR="00767FC0" w:rsidRDefault="00767FC0" w:rsidP="00767FC0">
      <w:pPr>
        <w:pStyle w:val="FootnoteText"/>
      </w:pPr>
      <w:r>
        <w:rPr>
          <w:rStyle w:val="FootnoteReference"/>
        </w:rPr>
        <w:footnoteRef/>
      </w:r>
      <w:r>
        <w:t xml:space="preserve"> </w:t>
      </w:r>
      <w:r>
        <w:tab/>
        <w:t xml:space="preserve">South Australian Department for Environment and Water, ‘Mapping a pathway to net zero’, in </w:t>
      </w:r>
      <w:r>
        <w:rPr>
          <w:i/>
          <w:iCs/>
        </w:rPr>
        <w:t>Government of South Australia - Government Action on Climate Change</w:t>
      </w:r>
      <w:r>
        <w:t xml:space="preserve">, </w:t>
      </w:r>
      <w:hyperlink r:id="rId13" w:history="1">
        <w:r w:rsidRPr="00194C4A">
          <w:rPr>
            <w:rStyle w:val="Hyperlink"/>
          </w:rPr>
          <w:t>https://www.environment.sa.gov.au/topics/climate-change/net-zero-pathway</w:t>
        </w:r>
      </w:hyperlink>
      <w:r>
        <w:t>, accessed 2 November 2023.</w:t>
      </w:r>
    </w:p>
  </w:footnote>
  <w:footnote w:id="35">
    <w:p w14:paraId="792B1838" w14:textId="77777777" w:rsidR="00767FC0" w:rsidRDefault="00767FC0" w:rsidP="00767FC0">
      <w:pPr>
        <w:pStyle w:val="FootnoteText"/>
      </w:pPr>
      <w:r>
        <w:rPr>
          <w:rStyle w:val="FootnoteReference"/>
        </w:rPr>
        <w:footnoteRef/>
      </w:r>
      <w:r>
        <w:t xml:space="preserve"> </w:t>
      </w:r>
      <w:r>
        <w:tab/>
        <w:t xml:space="preserve">Victorian Department of Energy, Environment and Climate Action 2022, ‘Climate action targets’, in </w:t>
      </w:r>
      <w:r>
        <w:rPr>
          <w:i/>
          <w:iCs/>
        </w:rPr>
        <w:t>Victoria State Government - Climate Change</w:t>
      </w:r>
      <w:r>
        <w:t xml:space="preserve">, </w:t>
      </w:r>
      <w:hyperlink r:id="rId14" w:history="1">
        <w:r w:rsidRPr="00164C36">
          <w:rPr>
            <w:rStyle w:val="Hyperlink"/>
          </w:rPr>
          <w:t>https://www.climatechange.vic.gov.au/climate-action-targets</w:t>
        </w:r>
      </w:hyperlink>
      <w:r>
        <w:t>, accessed 2 November 2023.</w:t>
      </w:r>
      <w:r w:rsidDel="00164C36">
        <w:t xml:space="preserve"> </w:t>
      </w:r>
    </w:p>
  </w:footnote>
  <w:footnote w:id="36">
    <w:p w14:paraId="054D08FE" w14:textId="77777777" w:rsidR="00767FC0" w:rsidRDefault="00767FC0" w:rsidP="00767FC0">
      <w:pPr>
        <w:pStyle w:val="FootnoteText"/>
      </w:pPr>
      <w:r>
        <w:rPr>
          <w:rStyle w:val="FootnoteReference"/>
        </w:rPr>
        <w:footnoteRef/>
      </w:r>
      <w:r>
        <w:t xml:space="preserve"> </w:t>
      </w:r>
      <w:r>
        <w:tab/>
        <w:t xml:space="preserve">Queensland Treasury 2022, </w:t>
      </w:r>
      <w:r>
        <w:rPr>
          <w:i/>
          <w:iCs/>
        </w:rPr>
        <w:t>Queensland Sustainability Report</w:t>
      </w:r>
      <w:r>
        <w:t xml:space="preserve">, in </w:t>
      </w:r>
      <w:r>
        <w:rPr>
          <w:i/>
          <w:iCs/>
        </w:rPr>
        <w:t>Action on climate change</w:t>
      </w:r>
      <w:r>
        <w:t xml:space="preserve">, Queensland Government, December 2022, </w:t>
      </w:r>
      <w:hyperlink r:id="rId15" w:history="1">
        <w:r w:rsidRPr="00BE13F4">
          <w:rPr>
            <w:rStyle w:val="Hyperlink"/>
          </w:rPr>
          <w:t>https://www.qtc.com.au/queenslands-sustainability-initiatives/</w:t>
        </w:r>
      </w:hyperlink>
      <w:r>
        <w:t>, accessed 2 November 2023.</w:t>
      </w:r>
    </w:p>
  </w:footnote>
  <w:footnote w:id="37">
    <w:p w14:paraId="775EBA6F" w14:textId="77777777" w:rsidR="00767FC0" w:rsidRDefault="00767FC0" w:rsidP="00767FC0">
      <w:pPr>
        <w:pStyle w:val="FootnoteText"/>
      </w:pPr>
      <w:r>
        <w:rPr>
          <w:rStyle w:val="FootnoteReference"/>
        </w:rPr>
        <w:footnoteRef/>
      </w:r>
      <w:r>
        <w:t xml:space="preserve"> </w:t>
      </w:r>
      <w:r>
        <w:tab/>
        <w:t xml:space="preserve">Western Australian Department of Water and Environmental Regulation 2022, </w:t>
      </w:r>
      <w:r w:rsidRPr="00A87E87">
        <w:rPr>
          <w:i/>
          <w:iCs/>
        </w:rPr>
        <w:t>Government Emissions Interim Target</w:t>
      </w:r>
      <w:r>
        <w:t xml:space="preserve">, Western Australian Government, 2022, </w:t>
      </w:r>
      <w:hyperlink r:id="rId16" w:history="1">
        <w:r w:rsidRPr="002B03FB">
          <w:rPr>
            <w:rStyle w:val="Hyperlink"/>
          </w:rPr>
          <w:t>https://www.wa.gov.au/service/environment/business-and-community-assistance/government-emissions-interim-target</w:t>
        </w:r>
      </w:hyperlink>
      <w:r>
        <w:t>,accessed 2 November 2023.</w:t>
      </w:r>
    </w:p>
  </w:footnote>
  <w:footnote w:id="38">
    <w:p w14:paraId="08231D14" w14:textId="77777777" w:rsidR="00767FC0" w:rsidRDefault="00767FC0" w:rsidP="00767FC0">
      <w:pPr>
        <w:pStyle w:val="FootnoteText"/>
      </w:pPr>
      <w:r>
        <w:rPr>
          <w:rStyle w:val="FootnoteReference"/>
        </w:rPr>
        <w:footnoteRef/>
      </w:r>
      <w:r>
        <w:t xml:space="preserve"> </w:t>
      </w:r>
      <w:r>
        <w:tab/>
        <w:t xml:space="preserve">Tasmanian Department of State Growth 2023, ‘Climate Change Action Plan’, in </w:t>
      </w:r>
      <w:r>
        <w:rPr>
          <w:i/>
          <w:iCs/>
        </w:rPr>
        <w:t>Renewables, Climate and Future Industries</w:t>
      </w:r>
      <w:r>
        <w:t xml:space="preserve">, Tasmanian Government, </w:t>
      </w:r>
      <w:hyperlink r:id="rId17" w:history="1">
        <w:r w:rsidRPr="00D73F7F">
          <w:rPr>
            <w:rStyle w:val="Hyperlink"/>
          </w:rPr>
          <w:t>https://recfit.tas.gov.au/climate/climate_change_action_plan</w:t>
        </w:r>
      </w:hyperlink>
      <w:r>
        <w:t>,accessed 2 November 2023.</w:t>
      </w:r>
      <w:r w:rsidDel="00D73F7F">
        <w:t xml:space="preserve"> </w:t>
      </w:r>
      <w:r>
        <w:t xml:space="preserve"> </w:t>
      </w:r>
    </w:p>
  </w:footnote>
  <w:footnote w:id="39">
    <w:p w14:paraId="461F3958" w14:textId="77777777" w:rsidR="00767FC0" w:rsidRDefault="00767FC0" w:rsidP="00767FC0">
      <w:pPr>
        <w:pStyle w:val="FootnoteText"/>
      </w:pPr>
      <w:r>
        <w:rPr>
          <w:rStyle w:val="FootnoteReference"/>
        </w:rPr>
        <w:footnoteRef/>
      </w:r>
      <w:r>
        <w:t xml:space="preserve"> </w:t>
      </w:r>
      <w:r>
        <w:tab/>
        <w:t xml:space="preserve">Northern Territory Government 2021, ‘Territory Renewable Energy’, Northern Territory Government, </w:t>
      </w:r>
      <w:hyperlink r:id="rId18" w:history="1">
        <w:r w:rsidRPr="00DE4C20">
          <w:rPr>
            <w:rStyle w:val="Hyperlink"/>
          </w:rPr>
          <w:t>https://territoryrenewableenergy.nt.gov.au/</w:t>
        </w:r>
      </w:hyperlink>
      <w:r>
        <w:t>, accessed 2 November 2023.</w:t>
      </w:r>
    </w:p>
  </w:footnote>
  <w:footnote w:id="40">
    <w:p w14:paraId="36E7BDD6" w14:textId="77777777" w:rsidR="00767FC0" w:rsidRDefault="00767FC0" w:rsidP="00767FC0">
      <w:pPr>
        <w:pStyle w:val="FootnoteText"/>
      </w:pPr>
      <w:r>
        <w:rPr>
          <w:rStyle w:val="FootnoteReference"/>
        </w:rPr>
        <w:footnoteRef/>
      </w:r>
      <w:r>
        <w:t xml:space="preserve"> </w:t>
      </w:r>
      <w:r>
        <w:tab/>
        <w:t xml:space="preserve">ACT Government 2021, ‘ACT Climate Change Strategy’, in </w:t>
      </w:r>
      <w:r>
        <w:rPr>
          <w:i/>
          <w:iCs/>
        </w:rPr>
        <w:t>ACT Government Policy and programs</w:t>
      </w:r>
      <w:r>
        <w:t xml:space="preserve">, </w:t>
      </w:r>
      <w:hyperlink r:id="rId19" w:history="1">
        <w:r w:rsidRPr="00806094">
          <w:rPr>
            <w:rStyle w:val="Hyperlink"/>
          </w:rPr>
          <w:t>https://www.climatechoices.act.gov.au/policy-programs/act-climate-change-strategy</w:t>
        </w:r>
      </w:hyperlink>
      <w:r>
        <w:t>, accessed 2 November 2023.</w:t>
      </w:r>
    </w:p>
  </w:footnote>
  <w:footnote w:id="41">
    <w:p w14:paraId="736A7E8D" w14:textId="77777777" w:rsidR="00767FC0" w:rsidRPr="00F45161" w:rsidRDefault="00767FC0" w:rsidP="00767FC0">
      <w:pPr>
        <w:pStyle w:val="FootnoteText"/>
        <w:rPr>
          <w:lang w:val="en-US"/>
        </w:rPr>
      </w:pPr>
      <w:r>
        <w:rPr>
          <w:rStyle w:val="FootnoteReference"/>
        </w:rPr>
        <w:footnoteRef/>
      </w:r>
      <w:r>
        <w:t xml:space="preserve"> </w:t>
      </w:r>
      <w:r>
        <w:tab/>
        <w:t xml:space="preserve">Climate Change Authority website, </w:t>
      </w:r>
      <w:hyperlink r:id="rId20" w:history="1">
        <w:r w:rsidRPr="00F86F49">
          <w:rPr>
            <w:rStyle w:val="Hyperlink"/>
          </w:rPr>
          <w:t>https://www.climatechangeauthority.gov.au/parliament-refers-sectoral-pathways-review-climate-change-authority</w:t>
        </w:r>
      </w:hyperlink>
      <w:r>
        <w:t>, accessed 3 November 2023.</w:t>
      </w:r>
    </w:p>
  </w:footnote>
  <w:footnote w:id="42">
    <w:p w14:paraId="5785CFD2" w14:textId="77777777" w:rsidR="00767FC0" w:rsidRPr="00335542" w:rsidRDefault="00767FC0" w:rsidP="00767FC0">
      <w:pPr>
        <w:pStyle w:val="FootnoteText"/>
        <w:rPr>
          <w:lang w:val="en-US"/>
        </w:rPr>
      </w:pPr>
      <w:r>
        <w:rPr>
          <w:rStyle w:val="FootnoteReference"/>
        </w:rPr>
        <w:footnoteRef/>
      </w:r>
      <w:r>
        <w:t xml:space="preserve"> </w:t>
      </w:r>
      <w:r>
        <w:tab/>
      </w:r>
      <w:r>
        <w:rPr>
          <w:lang w:val="en-US"/>
        </w:rPr>
        <w:t xml:space="preserve">Australian Government Department of Climate Change, Energy, the Environment and Water (DCCEEW) 2022, </w:t>
      </w:r>
      <w:r w:rsidRPr="00D678AC">
        <w:rPr>
          <w:i/>
          <w:iCs/>
          <w:lang w:val="en-US"/>
        </w:rPr>
        <w:t>National Energy Performance Strategy: Consultation Paper</w:t>
      </w:r>
      <w:r>
        <w:rPr>
          <w:lang w:val="en-US"/>
        </w:rPr>
        <w:t>, p. 3.</w:t>
      </w:r>
    </w:p>
  </w:footnote>
  <w:footnote w:id="43">
    <w:p w14:paraId="43829B02" w14:textId="77777777" w:rsidR="00767FC0" w:rsidRPr="003C3420" w:rsidRDefault="00767FC0" w:rsidP="00767FC0">
      <w:pPr>
        <w:pStyle w:val="FootnoteText"/>
        <w:rPr>
          <w:lang w:val="en-US"/>
        </w:rPr>
      </w:pPr>
      <w:r>
        <w:rPr>
          <w:rStyle w:val="FootnoteReference"/>
        </w:rPr>
        <w:footnoteRef/>
      </w:r>
      <w:r>
        <w:t xml:space="preserve"> </w:t>
      </w:r>
      <w:r>
        <w:tab/>
        <w:t>Ibid., p.1</w:t>
      </w:r>
    </w:p>
  </w:footnote>
  <w:footnote w:id="44">
    <w:p w14:paraId="04816EE7" w14:textId="77777777" w:rsidR="00767FC0" w:rsidRDefault="00767FC0" w:rsidP="00767FC0">
      <w:pPr>
        <w:pStyle w:val="FootnoteText"/>
      </w:pPr>
      <w:r>
        <w:rPr>
          <w:rStyle w:val="FootnoteReference"/>
        </w:rPr>
        <w:footnoteRef/>
      </w:r>
      <w:r>
        <w:t xml:space="preserve"> </w:t>
      </w:r>
      <w:r>
        <w:tab/>
        <w:t>Ibid., p.1</w:t>
      </w:r>
    </w:p>
  </w:footnote>
  <w:footnote w:id="45">
    <w:p w14:paraId="748838DB" w14:textId="77777777" w:rsidR="00767FC0" w:rsidRPr="00037FBF" w:rsidRDefault="00767FC0" w:rsidP="00767FC0">
      <w:pPr>
        <w:pStyle w:val="FootnoteText"/>
        <w:rPr>
          <w:lang w:val="en-US"/>
        </w:rPr>
      </w:pPr>
      <w:r>
        <w:rPr>
          <w:rStyle w:val="FootnoteReference"/>
        </w:rPr>
        <w:footnoteRef/>
      </w:r>
      <w:r>
        <w:t xml:space="preserve"> </w:t>
      </w:r>
      <w:r>
        <w:tab/>
        <w:t xml:space="preserve">Former </w:t>
      </w:r>
      <w:r>
        <w:rPr>
          <w:lang w:val="en-US"/>
        </w:rPr>
        <w:t xml:space="preserve">COAG Energy Council 2018, </w:t>
      </w:r>
      <w:r w:rsidRPr="00BB1769">
        <w:rPr>
          <w:i/>
          <w:iCs/>
          <w:lang w:val="en-US"/>
        </w:rPr>
        <w:t>Trajectory for low energy buildings</w:t>
      </w:r>
      <w:r>
        <w:rPr>
          <w:lang w:val="en-US"/>
        </w:rPr>
        <w:t>, December 2018, p. 5.</w:t>
      </w:r>
    </w:p>
  </w:footnote>
  <w:footnote w:id="46">
    <w:p w14:paraId="28FA1874" w14:textId="77777777" w:rsidR="00767FC0" w:rsidRDefault="00767FC0" w:rsidP="00767FC0">
      <w:pPr>
        <w:pStyle w:val="FootnoteText"/>
      </w:pPr>
      <w:r>
        <w:rPr>
          <w:rStyle w:val="FootnoteReference"/>
        </w:rPr>
        <w:footnoteRef/>
      </w:r>
      <w:r>
        <w:t xml:space="preserve"> </w:t>
      </w:r>
      <w:r>
        <w:tab/>
        <w:t xml:space="preserve">ABCB 2021, </w:t>
      </w:r>
      <w:r>
        <w:rPr>
          <w:i/>
          <w:iCs/>
        </w:rPr>
        <w:t>Outcomes report: Energy efficiency NCC 2022 and beyond</w:t>
      </w:r>
      <w:r>
        <w:t>, ABCB, 2021, pp.2-4.</w:t>
      </w:r>
    </w:p>
  </w:footnote>
  <w:footnote w:id="47">
    <w:p w14:paraId="1D88ED63" w14:textId="77777777" w:rsidR="00767FC0" w:rsidRDefault="00767FC0" w:rsidP="00767FC0">
      <w:pPr>
        <w:pStyle w:val="FootnoteText"/>
      </w:pPr>
      <w:r>
        <w:rPr>
          <w:rStyle w:val="FootnoteReference"/>
        </w:rPr>
        <w:footnoteRef/>
      </w:r>
      <w:r>
        <w:t xml:space="preserve"> </w:t>
      </w:r>
      <w:r>
        <w:tab/>
        <w:t>ibid.</w:t>
      </w:r>
    </w:p>
  </w:footnote>
  <w:footnote w:id="48">
    <w:p w14:paraId="2907C13D" w14:textId="77777777" w:rsidR="00767FC0" w:rsidRPr="00590778" w:rsidRDefault="00767FC0" w:rsidP="00767FC0">
      <w:pPr>
        <w:pStyle w:val="FootnoteText"/>
        <w:rPr>
          <w:lang w:val="en-US"/>
        </w:rPr>
      </w:pPr>
      <w:r>
        <w:rPr>
          <w:rStyle w:val="FootnoteReference"/>
        </w:rPr>
        <w:footnoteRef/>
      </w:r>
      <w:r>
        <w:t xml:space="preserve"> </w:t>
      </w:r>
      <w:r>
        <w:tab/>
      </w:r>
      <w:r>
        <w:rPr>
          <w:lang w:val="en-US"/>
        </w:rPr>
        <w:t xml:space="preserve">DCCEEW 2023, </w:t>
      </w:r>
      <w:r w:rsidRPr="00C03591">
        <w:rPr>
          <w:i/>
          <w:iCs/>
          <w:lang w:val="en-US"/>
        </w:rPr>
        <w:t>National Electric Vehicle Strategy</w:t>
      </w:r>
      <w:r>
        <w:rPr>
          <w:lang w:val="en-US"/>
        </w:rPr>
        <w:t>, Department of Climate Change, Energy, the Environment and Water, Canberra, p. 3.</w:t>
      </w:r>
    </w:p>
  </w:footnote>
  <w:footnote w:id="49">
    <w:p w14:paraId="298D0592" w14:textId="77777777" w:rsidR="00767FC0" w:rsidRPr="001F51C4" w:rsidRDefault="00767FC0" w:rsidP="00767FC0">
      <w:pPr>
        <w:pStyle w:val="FootnoteText"/>
        <w:rPr>
          <w:lang w:val="en-US"/>
        </w:rPr>
      </w:pPr>
      <w:r>
        <w:rPr>
          <w:rStyle w:val="FootnoteReference"/>
        </w:rPr>
        <w:footnoteRef/>
      </w:r>
      <w:r>
        <w:t xml:space="preserve"> </w:t>
      </w:r>
      <w:r>
        <w:tab/>
      </w:r>
      <w:r>
        <w:rPr>
          <w:lang w:val="en-US"/>
        </w:rPr>
        <w:t xml:space="preserve">DCCEEW (2023), </w:t>
      </w:r>
      <w:r w:rsidRPr="00DF3A05">
        <w:rPr>
          <w:lang w:val="en-US"/>
        </w:rPr>
        <w:t>op. cit.</w:t>
      </w:r>
      <w:r>
        <w:rPr>
          <w:lang w:val="en-US"/>
        </w:rPr>
        <w:t>, p. 26.</w:t>
      </w:r>
    </w:p>
  </w:footnote>
  <w:footnote w:id="50">
    <w:p w14:paraId="221B85A9" w14:textId="77777777" w:rsidR="00767FC0" w:rsidRPr="00E7122B" w:rsidRDefault="00767FC0" w:rsidP="00767FC0">
      <w:pPr>
        <w:pStyle w:val="FootnoteText"/>
        <w:rPr>
          <w:lang w:val="en-US"/>
        </w:rPr>
      </w:pPr>
      <w:r>
        <w:rPr>
          <w:rStyle w:val="FootnoteReference"/>
        </w:rPr>
        <w:footnoteRef/>
      </w:r>
      <w:r>
        <w:t xml:space="preserve"> </w:t>
      </w:r>
      <w:r>
        <w:tab/>
        <w:t xml:space="preserve">Department of Finance 2023, ‘APS Net Zero Emissions by 2030’, in </w:t>
      </w:r>
      <w:r>
        <w:rPr>
          <w:i/>
          <w:iCs/>
        </w:rPr>
        <w:t>Climate Action In Government Operations</w:t>
      </w:r>
      <w:r>
        <w:t xml:space="preserve">, Australian Government , </w:t>
      </w:r>
      <w:hyperlink r:id="rId21" w:history="1">
        <w:r w:rsidRPr="00230513">
          <w:rPr>
            <w:rStyle w:val="Hyperlink"/>
          </w:rPr>
          <w:t>https://www.finance.gov.au/government/climate-action-government-operations/aps-net-zero-emissions-2030</w:t>
        </w:r>
      </w:hyperlink>
      <w:r>
        <w:t>, accessed 12 January 2024.</w:t>
      </w:r>
    </w:p>
  </w:footnote>
  <w:footnote w:id="51">
    <w:p w14:paraId="7DDCB194" w14:textId="77777777" w:rsidR="00767FC0" w:rsidRPr="00C13B8B" w:rsidRDefault="00767FC0" w:rsidP="00767FC0">
      <w:pPr>
        <w:pStyle w:val="FootnoteText"/>
        <w:rPr>
          <w:lang w:val="en-US"/>
        </w:rPr>
      </w:pPr>
      <w:r>
        <w:rPr>
          <w:rStyle w:val="FootnoteReference"/>
        </w:rPr>
        <w:footnoteRef/>
      </w:r>
      <w:r>
        <w:t xml:space="preserve"> </w:t>
      </w:r>
      <w:r>
        <w:tab/>
        <w:t xml:space="preserve">NABERS 2018, ‘What is NABERS?’, Australian Government, 2018, </w:t>
      </w:r>
      <w:hyperlink r:id="rId22" w:history="1">
        <w:r w:rsidRPr="00077434">
          <w:rPr>
            <w:rStyle w:val="Hyperlink"/>
          </w:rPr>
          <w:t>https://www.nabers.gov.au/about/what-nabers</w:t>
        </w:r>
      </w:hyperlink>
      <w:r>
        <w:t>, accessed 24 10 2023.</w:t>
      </w:r>
    </w:p>
  </w:footnote>
  <w:footnote w:id="52">
    <w:p w14:paraId="16958589" w14:textId="77777777" w:rsidR="00767FC0" w:rsidRPr="00131D27" w:rsidRDefault="00767FC0" w:rsidP="00767FC0">
      <w:pPr>
        <w:pStyle w:val="FootnoteText"/>
        <w:rPr>
          <w:lang w:val="en-GB"/>
        </w:rPr>
      </w:pPr>
      <w:r>
        <w:rPr>
          <w:rStyle w:val="FootnoteReference"/>
        </w:rPr>
        <w:footnoteRef/>
      </w:r>
      <w:r>
        <w:t xml:space="preserve"> </w:t>
      </w:r>
      <w:r>
        <w:tab/>
        <w:t xml:space="preserve">NABERS 2020, ‘NABERS Energy’, Australian Government, 2020, </w:t>
      </w:r>
      <w:hyperlink r:id="rId23" w:history="1">
        <w:r w:rsidRPr="00077434">
          <w:rPr>
            <w:rStyle w:val="Hyperlink"/>
          </w:rPr>
          <w:t>https://www.nabers.gov.au/ratings/our-ratings/nabers-energy</w:t>
        </w:r>
      </w:hyperlink>
      <w:r>
        <w:t>, accessed 16 October 2023.</w:t>
      </w:r>
    </w:p>
  </w:footnote>
  <w:footnote w:id="53">
    <w:p w14:paraId="01309B89" w14:textId="77777777" w:rsidR="00767FC0" w:rsidRDefault="00767FC0" w:rsidP="00767FC0">
      <w:pPr>
        <w:pStyle w:val="FootnoteText"/>
      </w:pPr>
      <w:r>
        <w:rPr>
          <w:rStyle w:val="FootnoteReference"/>
        </w:rPr>
        <w:footnoteRef/>
      </w:r>
      <w:r>
        <w:t xml:space="preserve"> </w:t>
      </w:r>
      <w:r>
        <w:tab/>
        <w:t xml:space="preserve">ACT Government 2023, ‘Powering Canberra: Our Pathway to Electrification’, in </w:t>
      </w:r>
      <w:r>
        <w:rPr>
          <w:i/>
          <w:iCs/>
        </w:rPr>
        <w:t>ACT Government - Canberra is Electrifying</w:t>
      </w:r>
      <w:r>
        <w:t xml:space="preserve">, 2023, </w:t>
      </w:r>
      <w:hyperlink r:id="rId24" w:history="1">
        <w:r w:rsidRPr="00880DA2">
          <w:rPr>
            <w:rStyle w:val="Hyperlink"/>
          </w:rPr>
          <w:t>https://energy.act.gov.au/</w:t>
        </w:r>
      </w:hyperlink>
      <w:r>
        <w:t>, accessed 2 November 2023.</w:t>
      </w:r>
    </w:p>
  </w:footnote>
  <w:footnote w:id="54">
    <w:p w14:paraId="40CB842D" w14:textId="77777777" w:rsidR="00767FC0" w:rsidRDefault="00767FC0" w:rsidP="00767FC0">
      <w:pPr>
        <w:pStyle w:val="FootnoteText"/>
      </w:pPr>
      <w:r>
        <w:rPr>
          <w:rStyle w:val="FootnoteReference"/>
        </w:rPr>
        <w:footnoteRef/>
      </w:r>
      <w:r>
        <w:t xml:space="preserve"> </w:t>
      </w:r>
      <w:r>
        <w:tab/>
        <w:t xml:space="preserve">ACT Government 2023, </w:t>
      </w:r>
      <w:r>
        <w:rPr>
          <w:i/>
          <w:iCs/>
        </w:rPr>
        <w:t>Position Paper: Developing ACT’s Integrated Energy Plan - Canberra is electrifying towards a net zero emissions city</w:t>
      </w:r>
      <w:r>
        <w:t>, ACT Government, August 2023, pp.1-11.</w:t>
      </w:r>
    </w:p>
  </w:footnote>
  <w:footnote w:id="55">
    <w:p w14:paraId="5A9A8F09" w14:textId="77777777" w:rsidR="00767FC0" w:rsidRPr="00E50568" w:rsidRDefault="00767FC0" w:rsidP="00767FC0">
      <w:pPr>
        <w:pStyle w:val="FootnoteText"/>
        <w:rPr>
          <w:i/>
          <w:iCs/>
        </w:rPr>
      </w:pPr>
      <w:r>
        <w:rPr>
          <w:rStyle w:val="FootnoteReference"/>
        </w:rPr>
        <w:footnoteRef/>
      </w:r>
      <w:r>
        <w:t xml:space="preserve"> </w:t>
      </w:r>
      <w:r>
        <w:tab/>
        <w:t xml:space="preserve">Planning Victoria 2023, ‘Victoria’s Gas Substitution Roadmap’, in </w:t>
      </w:r>
      <w:r>
        <w:rPr>
          <w:i/>
          <w:iCs/>
        </w:rPr>
        <w:t>the Victorian Government - Renewable energy</w:t>
      </w:r>
      <w:r>
        <w:t xml:space="preserve">, 2023, </w:t>
      </w:r>
      <w:hyperlink r:id="rId25" w:history="1">
        <w:r>
          <w:rPr>
            <w:rStyle w:val="Hyperlink"/>
          </w:rPr>
          <w:t>https://www.planning.vic.gov.au/guides-and-resources/strategies-and-initiatives/victorias-gas-substitution-roadmap</w:t>
        </w:r>
      </w:hyperlink>
      <w:r>
        <w:t>, accessed 2 November 2023.</w:t>
      </w:r>
      <w:r>
        <w:br/>
        <w:t xml:space="preserve">Victoria State Government 2024, </w:t>
      </w:r>
      <w:r>
        <w:rPr>
          <w:i/>
          <w:iCs/>
        </w:rPr>
        <w:t>Victoria’s Gas Substitution Roadmap Update: Victoria’s Electrification Pathway</w:t>
      </w:r>
      <w:r>
        <w:t xml:space="preserve">, p. 3, </w:t>
      </w:r>
      <w:hyperlink r:id="rId26" w:history="1">
        <w:r w:rsidRPr="0069088A">
          <w:rPr>
            <w:rStyle w:val="Hyperlink"/>
          </w:rPr>
          <w:t>https://www.energy.vic.gov.au/__data/assets/pdf_file/0027/691119/Victorias-Gas-Substitution-Roadmap-Update.pdf</w:t>
        </w:r>
      </w:hyperlink>
      <w:r>
        <w:rPr>
          <w:rStyle w:val="Hyperlink"/>
        </w:rPr>
        <w:t>,</w:t>
      </w:r>
      <w:r>
        <w:t xml:space="preserve"> accessed 7 February 2024</w:t>
      </w:r>
    </w:p>
  </w:footnote>
  <w:footnote w:id="56">
    <w:p w14:paraId="766E25A8" w14:textId="77777777" w:rsidR="00767FC0" w:rsidRDefault="00767FC0" w:rsidP="00767FC0">
      <w:pPr>
        <w:pStyle w:val="FootnoteText"/>
      </w:pPr>
      <w:r>
        <w:rPr>
          <w:rStyle w:val="FootnoteReference"/>
        </w:rPr>
        <w:footnoteRef/>
      </w:r>
      <w:r>
        <w:t xml:space="preserve"> </w:t>
      </w:r>
      <w:r>
        <w:tab/>
        <w:t xml:space="preserve">Electric Vehicle Council 2023, </w:t>
      </w:r>
      <w:r>
        <w:rPr>
          <w:i/>
          <w:iCs/>
        </w:rPr>
        <w:t>State of Electric Vehicles Report 2023</w:t>
      </w:r>
      <w:r>
        <w:t>, 31 July 2023, pp. 33–34.</w:t>
      </w:r>
    </w:p>
  </w:footnote>
  <w:footnote w:id="57">
    <w:p w14:paraId="7AA7929E" w14:textId="77777777" w:rsidR="00767FC0" w:rsidRPr="00C66AE7" w:rsidRDefault="00767FC0" w:rsidP="00767FC0">
      <w:pPr>
        <w:pStyle w:val="FootnoteText"/>
        <w:rPr>
          <w:szCs w:val="19"/>
        </w:rPr>
      </w:pPr>
      <w:r>
        <w:rPr>
          <w:rStyle w:val="FootnoteReference"/>
        </w:rPr>
        <w:footnoteRef/>
      </w:r>
      <w:r>
        <w:t xml:space="preserve"> </w:t>
      </w:r>
      <w:r>
        <w:tab/>
      </w:r>
      <w:r w:rsidRPr="00C66AE7">
        <w:rPr>
          <w:rFonts w:ascii="Calisto MT" w:eastAsiaTheme="minorEastAsia" w:hAnsi="Calisto MT"/>
          <w:szCs w:val="19"/>
        </w:rPr>
        <w:t>Revenue NSW</w:t>
      </w:r>
      <w:r>
        <w:rPr>
          <w:rFonts w:ascii="Calisto MT" w:eastAsiaTheme="minorEastAsia" w:hAnsi="Calisto MT"/>
          <w:szCs w:val="19"/>
        </w:rPr>
        <w:t xml:space="preserve"> 2021</w:t>
      </w:r>
      <w:r w:rsidRPr="00C66AE7">
        <w:rPr>
          <w:rFonts w:ascii="Calisto MT" w:eastAsiaTheme="minorEastAsia" w:hAnsi="Calisto MT"/>
          <w:szCs w:val="19"/>
        </w:rPr>
        <w:t xml:space="preserve">, ‘Electric Vehicle Rebate’, in </w:t>
      </w:r>
      <w:r w:rsidRPr="00C66AE7">
        <w:rPr>
          <w:rFonts w:ascii="Calisto MT" w:eastAsiaTheme="minorEastAsia" w:hAnsi="Calisto MT"/>
          <w:i/>
          <w:iCs/>
          <w:szCs w:val="19"/>
        </w:rPr>
        <w:t>Grants and schemes</w:t>
      </w:r>
      <w:r w:rsidRPr="00C66AE7">
        <w:rPr>
          <w:rFonts w:ascii="Calisto MT" w:eastAsiaTheme="minorEastAsia" w:hAnsi="Calisto MT"/>
          <w:szCs w:val="19"/>
        </w:rPr>
        <w:t xml:space="preserve">, NSW Government , 2021, </w:t>
      </w:r>
      <w:hyperlink r:id="rId27" w:history="1">
        <w:r w:rsidRPr="00C66AE7">
          <w:rPr>
            <w:rStyle w:val="Hyperlink"/>
            <w:rFonts w:ascii="Calisto MT" w:eastAsiaTheme="minorEastAsia" w:hAnsi="Calisto MT"/>
            <w:szCs w:val="19"/>
          </w:rPr>
          <w:t>https://www.revenue.nsw.gov.au/grants-schemes/electric-vehicle-rebate</w:t>
        </w:r>
      </w:hyperlink>
      <w:r w:rsidRPr="00C66AE7">
        <w:rPr>
          <w:rFonts w:ascii="Calisto MT" w:eastAsiaTheme="minorEastAsia" w:hAnsi="Calisto MT"/>
          <w:szCs w:val="19"/>
        </w:rPr>
        <w:t>, accessed 2 November 2023.</w:t>
      </w:r>
    </w:p>
  </w:footnote>
  <w:footnote w:id="58">
    <w:p w14:paraId="09B0A985" w14:textId="77777777" w:rsidR="00767FC0" w:rsidRDefault="00767FC0" w:rsidP="00767FC0">
      <w:pPr>
        <w:pStyle w:val="FootnoteText"/>
      </w:pPr>
      <w:r>
        <w:rPr>
          <w:rStyle w:val="FootnoteReference"/>
        </w:rPr>
        <w:footnoteRef/>
      </w:r>
      <w:r>
        <w:t xml:space="preserve"> </w:t>
      </w:r>
      <w:r>
        <w:tab/>
      </w:r>
      <w:hyperlink r:id="rId28" w:history="1">
        <w:r w:rsidRPr="00DB69D6">
          <w:rPr>
            <w:rStyle w:val="Hyperlink"/>
          </w:rPr>
          <w:t>https://www.solar.vic.gov.au/zero-emissions-vehicle-subsidy</w:t>
        </w:r>
      </w:hyperlink>
      <w:r>
        <w:t xml:space="preserve"> </w:t>
      </w:r>
    </w:p>
  </w:footnote>
  <w:footnote w:id="59">
    <w:p w14:paraId="5963F901" w14:textId="77777777" w:rsidR="00767FC0" w:rsidRDefault="00767FC0" w:rsidP="00767FC0">
      <w:pPr>
        <w:pStyle w:val="FootnoteText"/>
      </w:pPr>
      <w:r>
        <w:rPr>
          <w:rStyle w:val="FootnoteReference"/>
        </w:rPr>
        <w:footnoteRef/>
      </w:r>
      <w:r>
        <w:t xml:space="preserve"> </w:t>
      </w:r>
      <w:r>
        <w:tab/>
        <w:t xml:space="preserve">Queensland Rural and Industry Development Authority 2023, ‘Queensland Zero Emission Vehicle Rebate Scheme’, in </w:t>
      </w:r>
      <w:r>
        <w:rPr>
          <w:i/>
          <w:iCs/>
        </w:rPr>
        <w:t>Grants and Programs</w:t>
      </w:r>
      <w:r>
        <w:t xml:space="preserve">, Queensland Government, 2023, </w:t>
      </w:r>
      <w:hyperlink r:id="rId29" w:history="1">
        <w:r w:rsidRPr="008323ED">
          <w:rPr>
            <w:rStyle w:val="Hyperlink"/>
          </w:rPr>
          <w:t>https://www.qrida.qld.gov.au/program/queensland-zero-emission-vehicle-rebate-scheme</w:t>
        </w:r>
      </w:hyperlink>
      <w:r>
        <w:t>, accessed 2 November 2023.</w:t>
      </w:r>
    </w:p>
  </w:footnote>
  <w:footnote w:id="60">
    <w:p w14:paraId="6B548336" w14:textId="77777777" w:rsidR="00767FC0" w:rsidRDefault="00767FC0" w:rsidP="00767FC0">
      <w:pPr>
        <w:pStyle w:val="FootnoteText"/>
      </w:pPr>
      <w:r>
        <w:rPr>
          <w:rStyle w:val="FootnoteReference"/>
        </w:rPr>
        <w:footnoteRef/>
      </w:r>
      <w:r>
        <w:t xml:space="preserve"> </w:t>
      </w:r>
      <w:r>
        <w:tab/>
        <w:t xml:space="preserve">Department of Treasury and Finance 2021, ‘Incentives for electric vehicles’, in </w:t>
      </w:r>
      <w:r>
        <w:rPr>
          <w:i/>
          <w:iCs/>
        </w:rPr>
        <w:t>Growing South Australia</w:t>
      </w:r>
      <w:r>
        <w:t xml:space="preserve">, Government of South Australia, 2021, </w:t>
      </w:r>
      <w:hyperlink r:id="rId30" w:history="1">
        <w:r w:rsidRPr="008323ED">
          <w:rPr>
            <w:rStyle w:val="Hyperlink"/>
          </w:rPr>
          <w:t>https://www.treasury.sa.gov.au/Growing-South-Australia/incentives-for-electric-vehicles</w:t>
        </w:r>
      </w:hyperlink>
      <w:r>
        <w:t>, accessed 2 November 2023.</w:t>
      </w:r>
    </w:p>
  </w:footnote>
  <w:footnote w:id="61">
    <w:p w14:paraId="243AA561" w14:textId="77777777" w:rsidR="00767FC0" w:rsidRDefault="00767FC0" w:rsidP="00767FC0">
      <w:pPr>
        <w:pStyle w:val="FootnoteText"/>
      </w:pPr>
      <w:r>
        <w:rPr>
          <w:rStyle w:val="FootnoteReference"/>
        </w:rPr>
        <w:footnoteRef/>
      </w:r>
      <w:r>
        <w:t xml:space="preserve"> </w:t>
      </w:r>
      <w:r>
        <w:tab/>
        <w:t xml:space="preserve">Department of Transport 2023, ‘Zero Emission Vehicle (ZEV) Rebate’, in </w:t>
      </w:r>
      <w:r>
        <w:rPr>
          <w:i/>
          <w:iCs/>
        </w:rPr>
        <w:t xml:space="preserve">Electric vehicles </w:t>
      </w:r>
      <w:r>
        <w:t xml:space="preserve">, Government of Western Australia, 2023, </w:t>
      </w:r>
      <w:hyperlink r:id="rId31" w:history="1">
        <w:r w:rsidRPr="008323ED">
          <w:rPr>
            <w:rStyle w:val="Hyperlink"/>
          </w:rPr>
          <w:t>https://www.transport.wa.gov.au/projects/zero-emission-vehicle-zev-rebate.asp</w:t>
        </w:r>
      </w:hyperlink>
      <w:r>
        <w:t>, accessed 2 November 2023.</w:t>
      </w:r>
    </w:p>
  </w:footnote>
  <w:footnote w:id="62">
    <w:p w14:paraId="78E75054" w14:textId="77777777" w:rsidR="00767FC0" w:rsidRDefault="00767FC0" w:rsidP="00767FC0">
      <w:pPr>
        <w:pStyle w:val="FootnoteText"/>
      </w:pPr>
      <w:r>
        <w:rPr>
          <w:rStyle w:val="FootnoteReference"/>
        </w:rPr>
        <w:footnoteRef/>
      </w:r>
      <w:r>
        <w:t xml:space="preserve"> </w:t>
      </w:r>
      <w:r>
        <w:tab/>
        <w:t xml:space="preserve">Access Canberra 2023, ‘Incentives for low and zero emissions vehicles’, in </w:t>
      </w:r>
      <w:r>
        <w:rPr>
          <w:i/>
          <w:iCs/>
        </w:rPr>
        <w:t>Registration</w:t>
      </w:r>
      <w:r>
        <w:t xml:space="preserve">, ACT Government, 2023, </w:t>
      </w:r>
      <w:hyperlink r:id="rId32" w:history="1">
        <w:r w:rsidRPr="008323ED">
          <w:rPr>
            <w:rStyle w:val="Hyperlink"/>
          </w:rPr>
          <w:t>https://www.accesscanberra.act.gov.au/driving-transport-and-parking/registration/incentives-for-low-and-zero-emissions-vehicles</w:t>
        </w:r>
      </w:hyperlink>
      <w:r>
        <w:t>, accessed 2 November 2023.</w:t>
      </w:r>
    </w:p>
  </w:footnote>
  <w:footnote w:id="63">
    <w:p w14:paraId="5D019B67" w14:textId="77777777" w:rsidR="00767FC0" w:rsidRDefault="00767FC0" w:rsidP="00767FC0">
      <w:pPr>
        <w:pStyle w:val="FootnoteText"/>
      </w:pPr>
      <w:r>
        <w:rPr>
          <w:rStyle w:val="FootnoteReference"/>
        </w:rPr>
        <w:footnoteRef/>
      </w:r>
      <w:r>
        <w:t xml:space="preserve"> </w:t>
      </w:r>
      <w:r>
        <w:tab/>
        <w:t xml:space="preserve">Northern Territory Government 2022, ‘Get registration and stamp duty concessions for electric vehicles’, in </w:t>
      </w:r>
      <w:r>
        <w:rPr>
          <w:i/>
          <w:iCs/>
        </w:rPr>
        <w:t>Registration and number plates</w:t>
      </w:r>
      <w:r>
        <w:t xml:space="preserve">, </w:t>
      </w:r>
      <w:hyperlink r:id="rId33" w:history="1">
        <w:r w:rsidRPr="008323ED">
          <w:rPr>
            <w:rStyle w:val="Hyperlink"/>
          </w:rPr>
          <w:t>https://nt.gov.au/driving/rego/getting-an-nt-registration/get-electric-vehicle-registration-and-stamp-duty-concessions</w:t>
        </w:r>
      </w:hyperlink>
      <w:r>
        <w:t>&gt;, accessed 2 November 2023.</w:t>
      </w:r>
    </w:p>
  </w:footnote>
  <w:footnote w:id="64">
    <w:p w14:paraId="21B3A60C" w14:textId="77777777" w:rsidR="00767FC0" w:rsidRDefault="00767FC0" w:rsidP="00767FC0">
      <w:pPr>
        <w:pStyle w:val="FootnoteText"/>
      </w:pPr>
      <w:r>
        <w:rPr>
          <w:rStyle w:val="FootnoteReference"/>
        </w:rPr>
        <w:footnoteRef/>
      </w:r>
      <w:r>
        <w:t xml:space="preserve"> </w:t>
      </w:r>
      <w:r>
        <w:tab/>
        <w:t xml:space="preserve">Queensland Government 2023, ‘Shifting to zero emission vehicles’, in </w:t>
      </w:r>
      <w:r>
        <w:rPr>
          <w:i/>
          <w:iCs/>
        </w:rPr>
        <w:t>Electric vehicles</w:t>
      </w:r>
      <w:r>
        <w:t xml:space="preserve">, 2023, </w:t>
      </w:r>
      <w:hyperlink r:id="rId34" w:history="1">
        <w:r w:rsidRPr="008323ED">
          <w:rPr>
            <w:rStyle w:val="Hyperlink"/>
          </w:rPr>
          <w:t>https://www.qld.gov.au/transport/projects/electricvehicles/hitting-the-road</w:t>
        </w:r>
      </w:hyperlink>
      <w:r>
        <w:t>, accessed 2 November 2023.</w:t>
      </w:r>
    </w:p>
  </w:footnote>
  <w:footnote w:id="65">
    <w:p w14:paraId="03F5D5DB" w14:textId="77777777" w:rsidR="00767FC0" w:rsidRDefault="00767FC0" w:rsidP="00767FC0">
      <w:pPr>
        <w:pStyle w:val="FootnoteText"/>
      </w:pPr>
      <w:r>
        <w:rPr>
          <w:rStyle w:val="FootnoteReference"/>
        </w:rPr>
        <w:footnoteRef/>
      </w:r>
      <w:r>
        <w:t xml:space="preserve"> </w:t>
      </w:r>
      <w:r>
        <w:tab/>
        <w:t xml:space="preserve">Department of Treasury and Finance, Government of South Australia (2021), </w:t>
      </w:r>
      <w:r w:rsidRPr="00BD5272">
        <w:rPr>
          <w:i/>
          <w:iCs/>
        </w:rPr>
        <w:t>op. cit.</w:t>
      </w:r>
    </w:p>
  </w:footnote>
  <w:footnote w:id="66">
    <w:p w14:paraId="0919EE94" w14:textId="77777777" w:rsidR="00767FC0" w:rsidRDefault="00767FC0" w:rsidP="00767FC0">
      <w:pPr>
        <w:pStyle w:val="FootnoteText"/>
      </w:pPr>
      <w:r>
        <w:rPr>
          <w:rStyle w:val="FootnoteReference"/>
        </w:rPr>
        <w:footnoteRef/>
      </w:r>
      <w:r>
        <w:t xml:space="preserve"> </w:t>
      </w:r>
      <w:r>
        <w:tab/>
        <w:t xml:space="preserve">VicRoads 2019, ‘Hybrid vehicle registration discount’, in </w:t>
      </w:r>
      <w:r>
        <w:rPr>
          <w:i/>
          <w:iCs/>
        </w:rPr>
        <w:t>Concessions &amp; discounts</w:t>
      </w:r>
      <w:r>
        <w:t xml:space="preserve">, 2019, </w:t>
      </w:r>
      <w:hyperlink r:id="rId35" w:history="1">
        <w:r w:rsidRPr="008323ED">
          <w:rPr>
            <w:rStyle w:val="Hyperlink"/>
          </w:rPr>
          <w:t>https://www.vicroads.vic.gov.au/registration/registration-fees/concessions-and-discounts/hybrid-vehicle-registration-discount</w:t>
        </w:r>
      </w:hyperlink>
      <w:r>
        <w:t>, accessed 2 November 2023.</w:t>
      </w:r>
    </w:p>
  </w:footnote>
  <w:footnote w:id="67">
    <w:p w14:paraId="42E26A33" w14:textId="77777777" w:rsidR="00767FC0" w:rsidRDefault="00767FC0" w:rsidP="00767FC0">
      <w:pPr>
        <w:pStyle w:val="FootnoteText"/>
      </w:pPr>
      <w:r>
        <w:rPr>
          <w:rStyle w:val="FootnoteReference"/>
        </w:rPr>
        <w:footnoteRef/>
      </w:r>
      <w:r>
        <w:t xml:space="preserve"> </w:t>
      </w:r>
      <w:r>
        <w:tab/>
        <w:t>Access Canberra (2023), op.cit.</w:t>
      </w:r>
    </w:p>
  </w:footnote>
  <w:footnote w:id="68">
    <w:p w14:paraId="0310F67B" w14:textId="77777777" w:rsidR="00767FC0" w:rsidRDefault="00767FC0" w:rsidP="00767FC0">
      <w:pPr>
        <w:pStyle w:val="FootnoteText"/>
      </w:pPr>
      <w:r>
        <w:rPr>
          <w:rStyle w:val="FootnoteReference"/>
        </w:rPr>
        <w:footnoteRef/>
      </w:r>
      <w:r>
        <w:t xml:space="preserve"> </w:t>
      </w:r>
      <w:r>
        <w:tab/>
        <w:t xml:space="preserve">NSW Treasury 2021, ‘No stamp duty payable on electric vehicle purchases’, NSW Government, 2021, </w:t>
      </w:r>
      <w:hyperlink r:id="rId36" w:history="1">
        <w:r w:rsidRPr="008323ED">
          <w:rPr>
            <w:rStyle w:val="Hyperlink"/>
          </w:rPr>
          <w:t>https://www.nsw.gov.au/driving-boating-and-transport/nsw-governments-electric-vehicle-strategy/abolish-stamp-duty</w:t>
        </w:r>
      </w:hyperlink>
      <w:r>
        <w:t>, accessed 2 November 2023.</w:t>
      </w:r>
    </w:p>
  </w:footnote>
  <w:footnote w:id="69">
    <w:p w14:paraId="3CCC78E4" w14:textId="77777777" w:rsidR="00767FC0" w:rsidRDefault="00767FC0" w:rsidP="00767FC0">
      <w:pPr>
        <w:pStyle w:val="FootnoteText"/>
      </w:pPr>
      <w:r>
        <w:rPr>
          <w:rStyle w:val="FootnoteReference"/>
        </w:rPr>
        <w:footnoteRef/>
      </w:r>
      <w:r>
        <w:t xml:space="preserve"> </w:t>
      </w:r>
      <w:r>
        <w:tab/>
        <w:t xml:space="preserve">Northern Territory Government (2022), </w:t>
      </w:r>
      <w:r w:rsidRPr="005D36A9">
        <w:rPr>
          <w:i/>
          <w:iCs/>
        </w:rPr>
        <w:t>op. cit.</w:t>
      </w:r>
    </w:p>
  </w:footnote>
  <w:footnote w:id="70">
    <w:p w14:paraId="0B46A31E" w14:textId="77777777" w:rsidR="00767FC0" w:rsidRDefault="00767FC0" w:rsidP="00767FC0">
      <w:pPr>
        <w:pStyle w:val="FootnoteText"/>
      </w:pPr>
      <w:r>
        <w:rPr>
          <w:rStyle w:val="FootnoteReference"/>
        </w:rPr>
        <w:footnoteRef/>
      </w:r>
      <w:r>
        <w:t xml:space="preserve"> </w:t>
      </w:r>
      <w:r>
        <w:tab/>
        <w:t xml:space="preserve">Royal Automobile Club of Queensland 2022, ‘Incentives make electric cars more affordable’, in </w:t>
      </w:r>
      <w:r>
        <w:rPr>
          <w:i/>
          <w:iCs/>
        </w:rPr>
        <w:t>EVs</w:t>
      </w:r>
      <w:r>
        <w:t xml:space="preserve">, 2022, </w:t>
      </w:r>
      <w:hyperlink r:id="rId37" w:history="1">
        <w:r w:rsidRPr="008323ED">
          <w:rPr>
            <w:rStyle w:val="Hyperlink"/>
          </w:rPr>
          <w:t>https://www.racq.com.au/articles/evs/2022/11/incentives-make-electric-cars-more-affordable</w:t>
        </w:r>
      </w:hyperlink>
      <w:r>
        <w:t>, accessed 2 November 2023.</w:t>
      </w:r>
    </w:p>
  </w:footnote>
  <w:footnote w:id="71">
    <w:p w14:paraId="2FEC69AD" w14:textId="77777777" w:rsidR="00767FC0" w:rsidRDefault="00767FC0" w:rsidP="00767FC0">
      <w:pPr>
        <w:pStyle w:val="FootnoteText"/>
      </w:pPr>
      <w:r>
        <w:rPr>
          <w:rStyle w:val="FootnoteReference"/>
        </w:rPr>
        <w:footnoteRef/>
      </w:r>
      <w:r>
        <w:t xml:space="preserve"> </w:t>
      </w:r>
      <w:r>
        <w:tab/>
        <w:t xml:space="preserve">ACT Government 2022, ‘Sustainable Household Scheme’, in </w:t>
      </w:r>
      <w:r>
        <w:rPr>
          <w:i/>
          <w:iCs/>
        </w:rPr>
        <w:t>Climate Choice</w:t>
      </w:r>
      <w:r>
        <w:t xml:space="preserve">, 2022, </w:t>
      </w:r>
      <w:hyperlink r:id="rId38" w:history="1">
        <w:r w:rsidRPr="008323ED">
          <w:rPr>
            <w:rStyle w:val="Hyperlink"/>
          </w:rPr>
          <w:t>https://www.climatechoices.act.gov.au/policy-programs/sustainable-household-scheme</w:t>
        </w:r>
      </w:hyperlink>
      <w:r>
        <w:t>, accessed 2 November 2023/</w:t>
      </w:r>
    </w:p>
  </w:footnote>
  <w:footnote w:id="72">
    <w:p w14:paraId="1B9ED908" w14:textId="77777777" w:rsidR="00767FC0" w:rsidRDefault="00767FC0" w:rsidP="00767FC0">
      <w:pPr>
        <w:pStyle w:val="FootnoteText"/>
      </w:pPr>
      <w:r>
        <w:rPr>
          <w:rStyle w:val="FootnoteReference"/>
        </w:rPr>
        <w:footnoteRef/>
      </w:r>
      <w:r>
        <w:t xml:space="preserve"> </w:t>
      </w:r>
      <w:r>
        <w:tab/>
        <w:t xml:space="preserve">VicRoads 2021, ‘ZLEV road-user charge’, </w:t>
      </w:r>
      <w:hyperlink r:id="rId39" w:history="1">
        <w:r w:rsidRPr="00077434">
          <w:rPr>
            <w:rStyle w:val="Hyperlink"/>
          </w:rPr>
          <w:t>https://www.vicroads.vic.gov.au/online-services/help-centre/partner-help-centre/zlev-road-user-charge</w:t>
        </w:r>
      </w:hyperlink>
      <w:r>
        <w:t>, accessed 2 November 2023</w:t>
      </w:r>
    </w:p>
  </w:footnote>
  <w:footnote w:id="73">
    <w:p w14:paraId="37F8D0D0" w14:textId="77777777" w:rsidR="00767FC0" w:rsidRDefault="00767FC0" w:rsidP="00767FC0">
      <w:pPr>
        <w:pStyle w:val="FootnoteText"/>
      </w:pPr>
      <w:r>
        <w:rPr>
          <w:rStyle w:val="FootnoteReference"/>
        </w:rPr>
        <w:footnoteRef/>
      </w:r>
      <w:r>
        <w:t xml:space="preserve"> </w:t>
      </w:r>
      <w:r>
        <w:tab/>
        <w:t xml:space="preserve">P Karp &amp; B Kolovos, ‘High court strikes down Victoria’s electric vehicle tax in ruling that could threaten other state levies’, in </w:t>
      </w:r>
      <w:r>
        <w:rPr>
          <w:i/>
          <w:iCs/>
        </w:rPr>
        <w:t>The Guardian</w:t>
      </w:r>
      <w:r>
        <w:t xml:space="preserve">, 18 October 2023, section Environment, </w:t>
      </w:r>
      <w:hyperlink r:id="rId40" w:history="1">
        <w:r w:rsidRPr="00077434">
          <w:rPr>
            <w:rStyle w:val="Hyperlink"/>
          </w:rPr>
          <w:t>https://www.theguardian.com/environment/2023/oct/18/victoria-electric-vehicle-tax-high-court-ruling-could-impact-nsw-wa-western-australia</w:t>
        </w:r>
      </w:hyperlink>
      <w:r>
        <w:t>, accessed 3 November 2023.</w:t>
      </w:r>
    </w:p>
  </w:footnote>
  <w:footnote w:id="74">
    <w:p w14:paraId="5F6F8B49" w14:textId="77777777" w:rsidR="00767FC0" w:rsidRDefault="00767FC0" w:rsidP="00767FC0">
      <w:pPr>
        <w:pStyle w:val="FootnoteText"/>
      </w:pPr>
      <w:r>
        <w:rPr>
          <w:rStyle w:val="FootnoteReference"/>
        </w:rPr>
        <w:footnoteRef/>
      </w:r>
      <w:r>
        <w:t xml:space="preserve"> </w:t>
      </w:r>
      <w:r>
        <w:tab/>
        <w:t xml:space="preserve">Zaunmayr, T. 2023, ‘Vic court ruling could scupper WA EV road tax’, in </w:t>
      </w:r>
      <w:r>
        <w:rPr>
          <w:i/>
          <w:iCs/>
        </w:rPr>
        <w:t>Business News</w:t>
      </w:r>
      <w:r>
        <w:t xml:space="preserve">, 18 October 2023, </w:t>
      </w:r>
      <w:hyperlink r:id="rId41" w:history="1">
        <w:r w:rsidRPr="00077434">
          <w:rPr>
            <w:rStyle w:val="Hyperlink"/>
          </w:rPr>
          <w:t>https://www.businessnews.com.au/article/Vic-court-ruling-could-scupper-WA-EV-road-tax</w:t>
        </w:r>
      </w:hyperlink>
      <w:r>
        <w:t xml:space="preserve">, accessed 3 November 2023; and J Skatssoon, ‘NSW reconsiders EV road user charge after High Court decision’, in </w:t>
      </w:r>
      <w:r>
        <w:rPr>
          <w:i/>
          <w:iCs/>
        </w:rPr>
        <w:t>Government News</w:t>
      </w:r>
      <w:r>
        <w:t xml:space="preserve">, 23 October 2023, </w:t>
      </w:r>
      <w:hyperlink r:id="rId42" w:history="1">
        <w:r w:rsidRPr="00077434">
          <w:rPr>
            <w:rStyle w:val="Hyperlink"/>
          </w:rPr>
          <w:t>https://www.governmentnews.com.au/nsw-reconsiders-ev-road-user-charge-after-high-court-decision/</w:t>
        </w:r>
      </w:hyperlink>
      <w:r>
        <w:t>, accessed 3 November 2023.</w:t>
      </w:r>
    </w:p>
  </w:footnote>
  <w:footnote w:id="75">
    <w:p w14:paraId="553F538C" w14:textId="77777777" w:rsidR="00767FC0" w:rsidRDefault="00767FC0" w:rsidP="00767FC0">
      <w:pPr>
        <w:pStyle w:val="FootnoteText"/>
      </w:pPr>
      <w:r>
        <w:rPr>
          <w:rStyle w:val="FootnoteReference"/>
        </w:rPr>
        <w:footnoteRef/>
      </w:r>
      <w:r>
        <w:t xml:space="preserve"> </w:t>
      </w:r>
      <w:r>
        <w:tab/>
        <w:t xml:space="preserve">Australian Tax Office 2024, ‘Electric cars exemption’, </w:t>
      </w:r>
      <w:hyperlink r:id="rId43" w:history="1">
        <w:r w:rsidRPr="00677502">
          <w:rPr>
            <w:rStyle w:val="Hyperlink"/>
          </w:rPr>
          <w:t>https://www.ato.gov.au/businesses-and-organisations/hiring-and-paying-your-workers/fringe-benefits-tax/types-of-fringe-benefits/fbt-on-cars-other-vehicles-parking-and-tolls/electric-cars-exemption</w:t>
        </w:r>
      </w:hyperlink>
      <w:r>
        <w:t>, accessed 8 February 2024.</w:t>
      </w:r>
    </w:p>
  </w:footnote>
  <w:footnote w:id="76">
    <w:p w14:paraId="79750E81" w14:textId="77777777" w:rsidR="00767FC0" w:rsidRPr="00AF36B9" w:rsidRDefault="00767FC0" w:rsidP="00767FC0">
      <w:pPr>
        <w:pStyle w:val="FootnoteText"/>
        <w:rPr>
          <w:lang w:val="en-US"/>
        </w:rPr>
      </w:pPr>
      <w:r>
        <w:rPr>
          <w:rStyle w:val="FootnoteReference"/>
        </w:rPr>
        <w:footnoteRef/>
      </w:r>
      <w:r>
        <w:t xml:space="preserve"> </w:t>
      </w:r>
      <w:r>
        <w:tab/>
      </w:r>
      <w:r>
        <w:rPr>
          <w:lang w:val="en-US"/>
        </w:rPr>
        <w:t xml:space="preserve">Department of Infrastructure, Transport, Regional Development, Communications and the Arts website, </w:t>
      </w:r>
      <w:hyperlink r:id="rId44" w:history="1">
        <w:r w:rsidRPr="00F86F49">
          <w:rPr>
            <w:rStyle w:val="Hyperlink"/>
            <w:lang w:val="en-US"/>
          </w:rPr>
          <w:t>https://www.infrastructure.gov.au/infrastructure-transport-vehicles/vehicles/australian-fuel-efficiency-standard-cleaner-cars-australia</w:t>
        </w:r>
      </w:hyperlink>
      <w:r>
        <w:rPr>
          <w:lang w:val="en-US"/>
        </w:rPr>
        <w:t>, accessed 3 November 2023.</w:t>
      </w:r>
    </w:p>
  </w:footnote>
  <w:footnote w:id="77">
    <w:p w14:paraId="1ABA533E" w14:textId="77777777" w:rsidR="00767FC0" w:rsidRPr="00801C8F" w:rsidRDefault="00767FC0" w:rsidP="00767FC0">
      <w:pPr>
        <w:pStyle w:val="FootnoteText"/>
        <w:rPr>
          <w:lang w:val="en-US"/>
        </w:rPr>
      </w:pPr>
      <w:r>
        <w:rPr>
          <w:rStyle w:val="FootnoteReference"/>
        </w:rPr>
        <w:footnoteRef/>
      </w:r>
      <w:r>
        <w:t xml:space="preserve"> </w:t>
      </w:r>
      <w:r>
        <w:tab/>
        <w:t xml:space="preserve">Australian Government Department of Infrastructure, Transport, Regional Development, Communications and the Arts 2023, </w:t>
      </w:r>
      <w:r w:rsidRPr="00235AC0">
        <w:rPr>
          <w:i/>
        </w:rPr>
        <w:t>The Fuel Efficiency Standard — Cleaner, Cheaper to Run Cars for Australia</w:t>
      </w:r>
      <w:r>
        <w:t>, Consultation Paper, 19 April 2023, p</w:t>
      </w:r>
      <w:r>
        <w:rPr>
          <w:lang w:val="en-US"/>
        </w:rPr>
        <w:t>. 10.</w:t>
      </w:r>
    </w:p>
  </w:footnote>
  <w:footnote w:id="78">
    <w:p w14:paraId="7918260C" w14:textId="77777777" w:rsidR="00767FC0" w:rsidRPr="00C80A19" w:rsidRDefault="00767FC0" w:rsidP="00767FC0">
      <w:pPr>
        <w:pStyle w:val="FootnoteText"/>
        <w:rPr>
          <w:lang w:val="en-US"/>
        </w:rPr>
      </w:pPr>
      <w:r>
        <w:rPr>
          <w:rStyle w:val="FootnoteReference"/>
        </w:rPr>
        <w:footnoteRef/>
      </w:r>
      <w:r>
        <w:t xml:space="preserve"> </w:t>
      </w:r>
      <w:r>
        <w:tab/>
      </w:r>
      <w:r>
        <w:rPr>
          <w:lang w:val="en-US"/>
        </w:rPr>
        <w:t xml:space="preserve">DCCEEW 2023, </w:t>
      </w:r>
      <w:r w:rsidRPr="00C03591">
        <w:rPr>
          <w:i/>
          <w:iCs/>
          <w:lang w:val="en-US"/>
        </w:rPr>
        <w:t>National Electric Vehicle Strategy</w:t>
      </w:r>
      <w:r>
        <w:rPr>
          <w:lang w:val="en-US"/>
        </w:rPr>
        <w:t>, Department of Climate Change, Energy, the Environment and Water, Canberra, p. 1.</w:t>
      </w:r>
    </w:p>
  </w:footnote>
  <w:footnote w:id="79">
    <w:p w14:paraId="2E7880DD" w14:textId="77777777" w:rsidR="00767FC0" w:rsidRPr="00482DCF" w:rsidRDefault="00767FC0" w:rsidP="00767FC0">
      <w:pPr>
        <w:pStyle w:val="FootnoteText"/>
        <w:rPr>
          <w:lang w:val="en-US"/>
        </w:rPr>
      </w:pPr>
      <w:r>
        <w:rPr>
          <w:rStyle w:val="FootnoteReference"/>
        </w:rPr>
        <w:footnoteRef/>
      </w:r>
      <w:r>
        <w:t xml:space="preserve"> </w:t>
      </w:r>
      <w:r>
        <w:tab/>
      </w:r>
      <w:r>
        <w:rPr>
          <w:lang w:val="en-US"/>
        </w:rPr>
        <w:t xml:space="preserve">DCCEEW (2023), </w:t>
      </w:r>
      <w:r w:rsidRPr="00C03591">
        <w:rPr>
          <w:i/>
          <w:iCs/>
          <w:lang w:val="en-US"/>
        </w:rPr>
        <w:t>o</w:t>
      </w:r>
      <w:r>
        <w:rPr>
          <w:i/>
          <w:iCs/>
          <w:lang w:val="en-US"/>
        </w:rPr>
        <w:t>p. cit.</w:t>
      </w:r>
      <w:r>
        <w:rPr>
          <w:lang w:val="en-US"/>
        </w:rPr>
        <w:t>, p. 21.</w:t>
      </w:r>
    </w:p>
  </w:footnote>
  <w:footnote w:id="80">
    <w:p w14:paraId="5FF46457" w14:textId="77777777" w:rsidR="00767FC0" w:rsidRPr="00C92368" w:rsidRDefault="00767FC0" w:rsidP="00767FC0">
      <w:pPr>
        <w:pStyle w:val="FootnoteText"/>
        <w:rPr>
          <w:lang w:val="en-US"/>
        </w:rPr>
      </w:pPr>
      <w:r>
        <w:rPr>
          <w:rStyle w:val="FootnoteReference"/>
        </w:rPr>
        <w:footnoteRef/>
      </w:r>
      <w:r>
        <w:t xml:space="preserve"> </w:t>
      </w:r>
      <w:r>
        <w:tab/>
      </w:r>
      <w:r>
        <w:rPr>
          <w:lang w:val="en-US"/>
        </w:rPr>
        <w:t xml:space="preserve">DCCEEW (2023), </w:t>
      </w:r>
      <w:r w:rsidRPr="00C03591">
        <w:rPr>
          <w:i/>
          <w:iCs/>
          <w:lang w:val="en-US"/>
        </w:rPr>
        <w:t>o</w:t>
      </w:r>
      <w:r>
        <w:rPr>
          <w:i/>
          <w:iCs/>
          <w:lang w:val="en-US"/>
        </w:rPr>
        <w:t>p. cit.</w:t>
      </w:r>
      <w:r>
        <w:rPr>
          <w:lang w:val="en-US"/>
        </w:rPr>
        <w:t>, p. 1.</w:t>
      </w:r>
    </w:p>
  </w:footnote>
  <w:footnote w:id="81">
    <w:p w14:paraId="3DBA5770" w14:textId="77777777" w:rsidR="00767FC0" w:rsidRPr="00702D02" w:rsidRDefault="00767FC0" w:rsidP="00767FC0">
      <w:pPr>
        <w:pStyle w:val="FootnoteText"/>
        <w:rPr>
          <w:lang w:val="en-GB"/>
        </w:rPr>
      </w:pPr>
      <w:r>
        <w:rPr>
          <w:rStyle w:val="FootnoteReference"/>
        </w:rPr>
        <w:footnoteRef/>
      </w:r>
      <w:r>
        <w:t xml:space="preserve"> </w:t>
      </w:r>
      <w:r>
        <w:tab/>
      </w:r>
      <w:r>
        <w:rPr>
          <w:lang w:val="en-GB"/>
        </w:rPr>
        <w:t>ABS, Consumer Price Index — September Quarter 2023.</w:t>
      </w:r>
    </w:p>
  </w:footnote>
  <w:footnote w:id="82">
    <w:p w14:paraId="30B94ADD" w14:textId="77777777" w:rsidR="00767FC0" w:rsidRPr="00466EB7" w:rsidRDefault="00767FC0" w:rsidP="00767FC0">
      <w:pPr>
        <w:pStyle w:val="FootnoteText"/>
        <w:rPr>
          <w:lang w:val="en-US"/>
        </w:rPr>
      </w:pPr>
      <w:r>
        <w:rPr>
          <w:rStyle w:val="FootnoteReference"/>
        </w:rPr>
        <w:footnoteRef/>
      </w:r>
      <w:r>
        <w:t xml:space="preserve"> </w:t>
      </w:r>
      <w:r>
        <w:tab/>
      </w:r>
      <w:r>
        <w:rPr>
          <w:lang w:val="en-US"/>
        </w:rPr>
        <w:t xml:space="preserve">Newman, R. and Noy, I. 2023, The global cost of extreme weather that are attributable to climate change, Nature Communications, </w:t>
      </w:r>
      <w:hyperlink r:id="rId45" w:history="1">
        <w:r w:rsidRPr="00F86F49">
          <w:rPr>
            <w:rStyle w:val="Hyperlink"/>
            <w:lang w:val="en-US"/>
          </w:rPr>
          <w:t>https://www.nature.com/articles/s41467-023-41888-1</w:t>
        </w:r>
      </w:hyperlink>
      <w:r>
        <w:rPr>
          <w:lang w:val="en-US"/>
        </w:rPr>
        <w:t>, accessed 3 November 2023.</w:t>
      </w:r>
    </w:p>
  </w:footnote>
  <w:footnote w:id="83">
    <w:p w14:paraId="4F79DEB2" w14:textId="77777777" w:rsidR="00767FC0" w:rsidRPr="002E4DC4" w:rsidRDefault="00767FC0" w:rsidP="00767FC0">
      <w:pPr>
        <w:pStyle w:val="FootnoteText"/>
        <w:rPr>
          <w:lang w:val="en-US"/>
        </w:rPr>
      </w:pPr>
      <w:r>
        <w:rPr>
          <w:rStyle w:val="FootnoteReference"/>
        </w:rPr>
        <w:footnoteRef/>
      </w:r>
      <w:r>
        <w:t xml:space="preserve"> </w:t>
      </w:r>
      <w:r>
        <w:tab/>
      </w:r>
      <w:r>
        <w:rPr>
          <w:lang w:val="en-GB"/>
        </w:rPr>
        <w:t xml:space="preserve">US Environment Protection Agency 2022, </w:t>
      </w:r>
      <w:r>
        <w:rPr>
          <w:i/>
          <w:lang w:val="en-GB"/>
        </w:rPr>
        <w:t>Supplementary Material for the Regulatory Impact Analysis for the Supplemental Proposed Rulemaking, “Standards of Performance for New, Reconstructed, and Modified Sources and Emissions Guidelines for Existing Sources: Oil and Natural Gas Sector Climate Review”</w:t>
      </w:r>
      <w:r>
        <w:rPr>
          <w:lang w:val="en-GB"/>
        </w:rPr>
        <w:t>, EPA External Review Draft of Report on the Social Cost of Greenhouse Gases: Estimates Incorporating Recent Scientific Advances, September 2022, p. 3.</w:t>
      </w:r>
    </w:p>
  </w:footnote>
  <w:footnote w:id="84">
    <w:p w14:paraId="11612769" w14:textId="77777777" w:rsidR="00767FC0" w:rsidRPr="00C80F6A" w:rsidRDefault="00767FC0" w:rsidP="00767FC0">
      <w:pPr>
        <w:pStyle w:val="FootnoteText"/>
        <w:rPr>
          <w:lang w:val="en-US"/>
        </w:rPr>
      </w:pPr>
      <w:r>
        <w:rPr>
          <w:rStyle w:val="FootnoteReference"/>
        </w:rPr>
        <w:footnoteRef/>
      </w:r>
      <w:r>
        <w:t xml:space="preserve"> </w:t>
      </w:r>
      <w:r>
        <w:tab/>
        <w:t>See: DeltaQ</w:t>
      </w:r>
      <w:r w:rsidRPr="00407310">
        <w:t xml:space="preserve"> and</w:t>
      </w:r>
      <w:r>
        <w:t xml:space="preserve"> Strategy.Policy.Research. 2018, </w:t>
      </w:r>
      <w:r w:rsidRPr="00047B80">
        <w:rPr>
          <w:i/>
          <w:iCs/>
        </w:rPr>
        <w:t>Achieving Low Energy Commercial Buildings in Australia</w:t>
      </w:r>
      <w:r>
        <w:t>, Final Report, 9 November 2018.</w:t>
      </w:r>
    </w:p>
  </w:footnote>
  <w:footnote w:id="85">
    <w:p w14:paraId="5731AB54" w14:textId="77777777" w:rsidR="00767FC0" w:rsidRPr="00047B80" w:rsidRDefault="00767FC0" w:rsidP="00767FC0">
      <w:pPr>
        <w:pStyle w:val="FootnoteText"/>
        <w:rPr>
          <w:lang w:val="en-US"/>
        </w:rPr>
      </w:pPr>
      <w:r>
        <w:rPr>
          <w:rStyle w:val="FootnoteReference"/>
        </w:rPr>
        <w:footnoteRef/>
      </w:r>
      <w:r>
        <w:t xml:space="preserve"> </w:t>
      </w:r>
      <w:r>
        <w:tab/>
      </w:r>
      <w:r>
        <w:rPr>
          <w:lang w:val="en-US"/>
        </w:rPr>
        <w:t xml:space="preserve">DeltaQ and Strategy.Policy.Research. 2022, </w:t>
      </w:r>
      <w:r w:rsidRPr="000D394F">
        <w:rPr>
          <w:i/>
          <w:iCs/>
          <w:lang w:val="en-US"/>
        </w:rPr>
        <w:t>Commercial Buildings Low</w:t>
      </w:r>
      <w:r w:rsidRPr="000D394F">
        <w:rPr>
          <w:i/>
          <w:iCs/>
          <w:lang w:val="en-US"/>
        </w:rPr>
        <w:noBreakHyphen/>
        <w:t xml:space="preserve">Energy Trajectory, </w:t>
      </w:r>
      <w:r>
        <w:rPr>
          <w:i/>
          <w:iCs/>
          <w:lang w:val="en-US"/>
        </w:rPr>
        <w:t>NCC 2</w:t>
      </w:r>
      <w:r w:rsidRPr="000D394F">
        <w:rPr>
          <w:i/>
          <w:iCs/>
          <w:lang w:val="en-US"/>
        </w:rPr>
        <w:t>025 Update to Achieving Low Energy Commercial Buildings in Australia</w:t>
      </w:r>
      <w:r>
        <w:rPr>
          <w:lang w:val="en-US"/>
        </w:rPr>
        <w:t>, Final Report, Prepared for the Department of Industry, Science, Energy and Resources on behalf of all States and Territories, 10 March 2022, p. 2.</w:t>
      </w:r>
    </w:p>
  </w:footnote>
  <w:footnote w:id="86">
    <w:p w14:paraId="7C11E3E9" w14:textId="77777777" w:rsidR="00767FC0" w:rsidRDefault="00767FC0" w:rsidP="00767FC0">
      <w:pPr>
        <w:pStyle w:val="FootnoteText"/>
        <w:rPr>
          <w:lang w:val="en-GB"/>
        </w:rPr>
      </w:pPr>
      <w:r>
        <w:rPr>
          <w:rStyle w:val="FootnoteReference"/>
        </w:rPr>
        <w:footnoteRef/>
      </w:r>
      <w:r>
        <w:t xml:space="preserve"> </w:t>
      </w:r>
      <w:r>
        <w:tab/>
      </w:r>
      <w:r>
        <w:rPr>
          <w:lang w:val="en-GB"/>
        </w:rPr>
        <w:t xml:space="preserve">ABCB 2022, </w:t>
      </w:r>
      <w:r>
        <w:rPr>
          <w:i/>
          <w:lang w:val="en-GB"/>
        </w:rPr>
        <w:t>National Construction Code: Housing energy efficiency Handbook</w:t>
      </w:r>
      <w:r>
        <w:rPr>
          <w:lang w:val="en-GB"/>
        </w:rPr>
        <w:t xml:space="preserve">, 2022, </w:t>
      </w:r>
      <w:hyperlink r:id="rId46" w:history="1">
        <w:r w:rsidRPr="00077434">
          <w:rPr>
            <w:rStyle w:val="Hyperlink"/>
            <w:lang w:val="en-GB"/>
          </w:rPr>
          <w:t>https://www.abcb.gov.au/sites/default/files/resources/2023/NCC-2022-Housing-energy-efficiency-handbook-fa.pdf</w:t>
        </w:r>
      </w:hyperlink>
      <w:r>
        <w:rPr>
          <w:lang w:val="en-GB"/>
        </w:rPr>
        <w:t>, pp. 5-6.</w:t>
      </w:r>
    </w:p>
  </w:footnote>
  <w:footnote w:id="87">
    <w:p w14:paraId="55614C7E" w14:textId="77777777" w:rsidR="00767FC0" w:rsidRPr="005A4985" w:rsidRDefault="00767FC0" w:rsidP="00767FC0">
      <w:pPr>
        <w:pStyle w:val="FootnoteText"/>
        <w:rPr>
          <w:lang w:val="en-US"/>
        </w:rPr>
      </w:pPr>
      <w:r>
        <w:rPr>
          <w:rStyle w:val="FootnoteReference"/>
        </w:rPr>
        <w:footnoteRef/>
      </w:r>
      <w:r>
        <w:t xml:space="preserve"> </w:t>
      </w:r>
      <w:r>
        <w:tab/>
        <w:t xml:space="preserve">DCCEEW 2022, </w:t>
      </w:r>
      <w:r w:rsidRPr="00DF7EE6">
        <w:rPr>
          <w:i/>
          <w:iCs/>
          <w:lang w:val="en-US"/>
        </w:rPr>
        <w:t>National Energy Performance Strategy: Consultation Paper</w:t>
      </w:r>
      <w:r>
        <w:rPr>
          <w:lang w:val="en-US"/>
        </w:rPr>
        <w:t>, Australian Government Department of Climate Change, Energy, the Environment and Water, November 2022, pp. 3</w:t>
      </w:r>
      <w:r>
        <w:rPr>
          <w:lang w:val="en-US"/>
        </w:rPr>
        <w:noBreakHyphen/>
        <w:t>4.</w:t>
      </w:r>
    </w:p>
  </w:footnote>
  <w:footnote w:id="88">
    <w:p w14:paraId="10C05884" w14:textId="77777777" w:rsidR="00767FC0" w:rsidRPr="000A1E10" w:rsidRDefault="00767FC0" w:rsidP="00767FC0">
      <w:pPr>
        <w:pStyle w:val="FootnoteText"/>
        <w:rPr>
          <w:lang w:val="en-US"/>
        </w:rPr>
      </w:pPr>
      <w:r>
        <w:rPr>
          <w:rStyle w:val="FootnoteReference"/>
        </w:rPr>
        <w:footnoteRef/>
      </w:r>
      <w:r>
        <w:t xml:space="preserve"> </w:t>
      </w:r>
      <w:r>
        <w:rPr>
          <w:lang w:val="en-US"/>
        </w:rPr>
        <w:tab/>
        <w:t xml:space="preserve">ABCB 2022, </w:t>
      </w:r>
      <w:r w:rsidRPr="00E82BAE">
        <w:rPr>
          <w:i/>
          <w:iCs/>
          <w:lang w:val="en-US"/>
        </w:rPr>
        <w:t>NCC 2025 energy efficiency project: Rationale and Scope</w:t>
      </w:r>
      <w:r>
        <w:rPr>
          <w:lang w:val="en-US"/>
        </w:rPr>
        <w:t>, 2022, p.1</w:t>
      </w:r>
    </w:p>
  </w:footnote>
  <w:footnote w:id="89">
    <w:p w14:paraId="3E107228" w14:textId="77777777" w:rsidR="00767FC0" w:rsidRPr="00C40BB4" w:rsidRDefault="00767FC0" w:rsidP="00767FC0">
      <w:pPr>
        <w:pStyle w:val="FootnoteText"/>
        <w:rPr>
          <w:lang w:val="en-GB"/>
        </w:rPr>
      </w:pPr>
      <w:r>
        <w:rPr>
          <w:rStyle w:val="FootnoteReference"/>
        </w:rPr>
        <w:footnoteRef/>
      </w:r>
      <w:r>
        <w:t xml:space="preserve"> </w:t>
      </w:r>
      <w:r>
        <w:tab/>
        <w:t xml:space="preserve">Commonwealth of Australia, </w:t>
      </w:r>
      <w:r>
        <w:rPr>
          <w:i/>
        </w:rPr>
        <w:t xml:space="preserve">Regulatory Impact Analysis Guide for Minister’s Meetings and National </w:t>
      </w:r>
      <w:r w:rsidRPr="001A1E2E">
        <w:rPr>
          <w:i/>
        </w:rPr>
        <w:t>Standard Setting Bodies</w:t>
      </w:r>
      <w:r>
        <w:t xml:space="preserve">, 2023, </w:t>
      </w:r>
      <w:hyperlink r:id="rId47" w:history="1">
        <w:r w:rsidRPr="00211CDF">
          <w:rPr>
            <w:rStyle w:val="Hyperlink"/>
          </w:rPr>
          <w:t>https://oia.pmc.gov.au/sites/default/files/2023-06/regulatory-impact-analysis-guide.pdf</w:t>
        </w:r>
      </w:hyperlink>
      <w:r>
        <w:t>, accessed 16 Oct 2023.</w:t>
      </w:r>
    </w:p>
  </w:footnote>
  <w:footnote w:id="90">
    <w:p w14:paraId="13AEC665" w14:textId="77777777" w:rsidR="00767FC0" w:rsidRPr="007258B2" w:rsidRDefault="00767FC0" w:rsidP="00767FC0">
      <w:pPr>
        <w:pStyle w:val="FootnoteText"/>
        <w:rPr>
          <w:lang w:val="en-US"/>
        </w:rPr>
      </w:pPr>
      <w:r>
        <w:rPr>
          <w:rStyle w:val="FootnoteReference"/>
        </w:rPr>
        <w:footnoteRef/>
      </w:r>
      <w:r>
        <w:t xml:space="preserve"> </w:t>
      </w:r>
      <w:r>
        <w:tab/>
        <w:t xml:space="preserve">DeltaQ 2023, </w:t>
      </w:r>
      <w:r>
        <w:rPr>
          <w:i/>
          <w:iCs/>
        </w:rPr>
        <w:t>NCC 2025 Energy Efficiency - Initial Measures Development: Electrical Services Report</w:t>
      </w:r>
      <w:r>
        <w:t>, The Australian Building Codes Board, September 2023, pp. 39–40.</w:t>
      </w:r>
    </w:p>
  </w:footnote>
  <w:footnote w:id="91">
    <w:p w14:paraId="03E50D22" w14:textId="5521376F" w:rsidR="00F52335" w:rsidRDefault="00F52335">
      <w:pPr>
        <w:pStyle w:val="FootnoteText"/>
      </w:pPr>
      <w:r>
        <w:rPr>
          <w:rStyle w:val="FootnoteReference"/>
        </w:rPr>
        <w:footnoteRef/>
      </w:r>
      <w:r>
        <w:t xml:space="preserve"> </w:t>
      </w:r>
      <w:r>
        <w:tab/>
      </w:r>
      <w:r w:rsidR="005D6676">
        <w:t>Following BCC there is now a stand alone EV performance requirement, J1P5. But the intent is the same as what is defined here.</w:t>
      </w:r>
    </w:p>
  </w:footnote>
  <w:footnote w:id="92">
    <w:p w14:paraId="388A2C29" w14:textId="77777777" w:rsidR="00767FC0" w:rsidRPr="00881253" w:rsidRDefault="00767FC0" w:rsidP="00767FC0">
      <w:pPr>
        <w:pStyle w:val="FootnoteText"/>
        <w:rPr>
          <w:lang w:val="en-US"/>
        </w:rPr>
      </w:pPr>
      <w:r>
        <w:rPr>
          <w:rStyle w:val="FootnoteReference"/>
        </w:rPr>
        <w:footnoteRef/>
      </w:r>
      <w:r>
        <w:t xml:space="preserve"> </w:t>
      </w:r>
      <w:r>
        <w:rPr>
          <w:lang w:val="en-US"/>
        </w:rPr>
        <w:tab/>
      </w:r>
      <w:bookmarkStart w:id="789" w:name="_Hlk158645322"/>
      <w:r>
        <w:rPr>
          <w:lang w:val="en-US"/>
        </w:rPr>
        <w:t xml:space="preserve">Hutley, N. 2023, </w:t>
      </w:r>
      <w:r>
        <w:rPr>
          <w:i/>
          <w:iCs/>
          <w:lang w:val="en-US"/>
        </w:rPr>
        <w:t>Economic parameters for technical work (NCC)</w:t>
      </w:r>
      <w:r>
        <w:rPr>
          <w:lang w:val="en-US"/>
        </w:rPr>
        <w:t>, report for Australian Building Construction Board, Rovingstone Advisory Pty Ltd, p. 4.</w:t>
      </w:r>
      <w:bookmarkEnd w:id="789"/>
    </w:p>
  </w:footnote>
  <w:footnote w:id="93">
    <w:p w14:paraId="27CCEEE6" w14:textId="77777777" w:rsidR="00767FC0" w:rsidRDefault="00767FC0" w:rsidP="00767FC0">
      <w:pPr>
        <w:pStyle w:val="FootnoteText"/>
        <w:rPr>
          <w:lang w:val="en-GB"/>
        </w:rPr>
      </w:pPr>
      <w:r>
        <w:rPr>
          <w:rStyle w:val="FootnoteReference"/>
        </w:rPr>
        <w:footnoteRef/>
      </w:r>
      <w:r>
        <w:t xml:space="preserve"> </w:t>
      </w:r>
      <w:r>
        <w:tab/>
      </w:r>
      <w:r>
        <w:rPr>
          <w:lang w:val="en-GB"/>
        </w:rPr>
        <w:t xml:space="preserve">Australian Government Office of Best Practice Regulation, </w:t>
      </w:r>
      <w:r>
        <w:rPr>
          <w:i/>
          <w:lang w:val="en-GB"/>
        </w:rPr>
        <w:t>Environmental Valuation and Uncertainty</w:t>
      </w:r>
      <w:r>
        <w:rPr>
          <w:lang w:val="en-GB"/>
        </w:rPr>
        <w:t>, Guidance Note, July 2014, p. 4.</w:t>
      </w:r>
    </w:p>
  </w:footnote>
  <w:footnote w:id="94">
    <w:p w14:paraId="7BF5A466" w14:textId="77777777" w:rsidR="00767FC0" w:rsidRPr="009359DA" w:rsidRDefault="00767FC0" w:rsidP="00767FC0">
      <w:pPr>
        <w:pStyle w:val="FootnoteText"/>
        <w:rPr>
          <w:lang w:val="en-US"/>
        </w:rPr>
      </w:pPr>
      <w:r>
        <w:rPr>
          <w:rStyle w:val="FootnoteReference"/>
        </w:rPr>
        <w:footnoteRef/>
      </w:r>
      <w:r>
        <w:t xml:space="preserve"> </w:t>
      </w:r>
      <w:r>
        <w:rPr>
          <w:lang w:val="en-US"/>
        </w:rPr>
        <w:tab/>
        <w:t>Hutley (2023), op. cit., p.6.</w:t>
      </w:r>
    </w:p>
  </w:footnote>
  <w:footnote w:id="95">
    <w:p w14:paraId="7C814294" w14:textId="77777777" w:rsidR="00767FC0" w:rsidRPr="00F37514" w:rsidRDefault="00767FC0" w:rsidP="00767FC0">
      <w:pPr>
        <w:pStyle w:val="FootnoteText"/>
        <w:rPr>
          <w:lang w:val="en-GB"/>
        </w:rPr>
      </w:pPr>
      <w:r>
        <w:rPr>
          <w:rStyle w:val="FootnoteReference"/>
        </w:rPr>
        <w:footnoteRef/>
      </w:r>
      <w:r>
        <w:t xml:space="preserve"> </w:t>
      </w:r>
      <w:r>
        <w:tab/>
      </w:r>
      <w:r>
        <w:rPr>
          <w:lang w:val="en-GB"/>
        </w:rPr>
        <w:t>See for example: DeltaQ and Strategy.Policy.Research</w:t>
      </w:r>
      <w:r>
        <w:t xml:space="preserve">. 2022, </w:t>
      </w:r>
      <w:r w:rsidRPr="00256FC8">
        <w:rPr>
          <w:i/>
          <w:iCs/>
        </w:rPr>
        <w:t>Commercial Buildings Low</w:t>
      </w:r>
      <w:r w:rsidRPr="00256FC8">
        <w:rPr>
          <w:i/>
          <w:iCs/>
        </w:rPr>
        <w:noBreakHyphen/>
        <w:t>Energy Trajectory</w:t>
      </w:r>
      <w:r>
        <w:t>, NCC 2025 Update to Achieving Low Energy Commercial Buildings in Australia, Final Report, 10 March 2022, p. 68.</w:t>
      </w:r>
    </w:p>
  </w:footnote>
  <w:footnote w:id="96">
    <w:p w14:paraId="05E41730" w14:textId="77777777" w:rsidR="00767FC0" w:rsidRDefault="00767FC0" w:rsidP="00767FC0">
      <w:pPr>
        <w:pStyle w:val="FootnoteText"/>
        <w:rPr>
          <w:lang w:val="en-GB"/>
        </w:rPr>
      </w:pPr>
      <w:r>
        <w:rPr>
          <w:rStyle w:val="FootnoteReference"/>
        </w:rPr>
        <w:footnoteRef/>
      </w:r>
      <w:r>
        <w:t xml:space="preserve"> </w:t>
      </w:r>
      <w:r>
        <w:tab/>
      </w:r>
      <w:r>
        <w:rPr>
          <w:lang w:val="en-GB"/>
        </w:rPr>
        <w:t xml:space="preserve">pitt&amp;sherry 2016, </w:t>
      </w:r>
      <w:r>
        <w:rPr>
          <w:i/>
          <w:lang w:val="en-GB"/>
        </w:rPr>
        <w:t>Commercial Building Learning Rates</w:t>
      </w:r>
      <w:r>
        <w:rPr>
          <w:lang w:val="en-GB"/>
        </w:rPr>
        <w:t xml:space="preserve">, Final </w:t>
      </w:r>
      <w:r w:rsidRPr="003E747D">
        <w:rPr>
          <w:lang w:val="en-GB"/>
        </w:rPr>
        <w:t xml:space="preserve">Report, Prepared for the Department of </w:t>
      </w:r>
      <w:r w:rsidRPr="009C6B25">
        <w:rPr>
          <w:lang w:val="en-GB"/>
        </w:rPr>
        <w:t>Industry, Innovation and Science, 3 Au</w:t>
      </w:r>
      <w:r>
        <w:rPr>
          <w:lang w:val="en-GB"/>
        </w:rPr>
        <w:t>gust 2016, p. ii.</w:t>
      </w:r>
    </w:p>
  </w:footnote>
  <w:footnote w:id="97">
    <w:p w14:paraId="1A5A43D0" w14:textId="77777777" w:rsidR="00767FC0" w:rsidRPr="005C5567" w:rsidRDefault="00767FC0" w:rsidP="00767FC0">
      <w:pPr>
        <w:pStyle w:val="FootnoteText"/>
        <w:rPr>
          <w:lang w:val="en-US"/>
        </w:rPr>
      </w:pPr>
      <w:r>
        <w:rPr>
          <w:rStyle w:val="FootnoteReference"/>
        </w:rPr>
        <w:footnoteRef/>
      </w:r>
      <w:r>
        <w:t xml:space="preserve"> </w:t>
      </w:r>
      <w:r>
        <w:tab/>
      </w:r>
      <w:r>
        <w:rPr>
          <w:lang w:val="en-US"/>
        </w:rPr>
        <w:t xml:space="preserve">International Partnership for Energy Efficiency Cooperation (IPEEC) Building Energy Efficiency Taskgroup 2019, </w:t>
      </w:r>
      <w:r w:rsidRPr="00652CA7">
        <w:rPr>
          <w:i/>
          <w:iCs/>
          <w:lang w:val="en-US"/>
        </w:rPr>
        <w:t>Building Energy Performance Gap Issues: An International Review</w:t>
      </w:r>
      <w:r>
        <w:rPr>
          <w:lang w:val="en-US"/>
        </w:rPr>
        <w:t>, p. 14.</w:t>
      </w:r>
    </w:p>
  </w:footnote>
  <w:footnote w:id="98">
    <w:p w14:paraId="13E83EF5" w14:textId="77777777" w:rsidR="00767FC0" w:rsidRPr="00EF07A4" w:rsidRDefault="00767FC0" w:rsidP="00767FC0">
      <w:pPr>
        <w:pStyle w:val="FootnoteText"/>
        <w:rPr>
          <w:lang w:val="en-US"/>
        </w:rPr>
      </w:pPr>
      <w:r>
        <w:rPr>
          <w:rStyle w:val="FootnoteReference"/>
        </w:rPr>
        <w:footnoteRef/>
      </w:r>
      <w:r>
        <w:t xml:space="preserve"> </w:t>
      </w:r>
      <w:r>
        <w:tab/>
      </w:r>
      <w:r>
        <w:rPr>
          <w:lang w:val="en-US"/>
        </w:rPr>
        <w:t xml:space="preserve">Green Building Council of Australia 2022, </w:t>
      </w:r>
      <w:r w:rsidRPr="00A56302">
        <w:rPr>
          <w:i/>
          <w:iCs/>
          <w:lang w:val="en-US"/>
        </w:rPr>
        <w:t>Building Energy Performance Gap NCC</w:t>
      </w:r>
      <w:r>
        <w:rPr>
          <w:i/>
          <w:iCs/>
          <w:lang w:val="en-US"/>
        </w:rPr>
        <w:t xml:space="preserve"> </w:t>
      </w:r>
      <w:r w:rsidRPr="00A56302">
        <w:rPr>
          <w:i/>
          <w:iCs/>
          <w:lang w:val="en-US"/>
        </w:rPr>
        <w:t>2025 — Scoping Study</w:t>
      </w:r>
      <w:r>
        <w:rPr>
          <w:lang w:val="en-US"/>
        </w:rPr>
        <w:t>, August 2022, pp. 5</w:t>
      </w:r>
      <w:r>
        <w:rPr>
          <w:lang w:val="en-US"/>
        </w:rPr>
        <w:noBreakHyphen/>
        <w:t>6.</w:t>
      </w:r>
    </w:p>
  </w:footnote>
  <w:footnote w:id="99">
    <w:p w14:paraId="4FC3FFEA" w14:textId="77777777" w:rsidR="00767FC0" w:rsidRPr="006B0D04" w:rsidRDefault="00767FC0" w:rsidP="00767FC0">
      <w:pPr>
        <w:pStyle w:val="FootnoteText"/>
        <w:rPr>
          <w:lang w:val="en-US"/>
        </w:rPr>
      </w:pPr>
      <w:r>
        <w:rPr>
          <w:rStyle w:val="FootnoteReference"/>
        </w:rPr>
        <w:footnoteRef/>
      </w:r>
      <w:r>
        <w:t xml:space="preserve"> </w:t>
      </w:r>
      <w:r>
        <w:tab/>
      </w:r>
      <w:r>
        <w:rPr>
          <w:lang w:val="en-US"/>
        </w:rPr>
        <w:t xml:space="preserve">Green Building Council of Australia (2022), </w:t>
      </w:r>
      <w:r w:rsidRPr="00C47778">
        <w:rPr>
          <w:lang w:val="en-US"/>
        </w:rPr>
        <w:t>op.</w:t>
      </w:r>
      <w:r>
        <w:rPr>
          <w:lang w:val="en-US"/>
        </w:rPr>
        <w:t xml:space="preserve"> </w:t>
      </w:r>
      <w:r w:rsidRPr="00C47778">
        <w:rPr>
          <w:lang w:val="en-US"/>
        </w:rPr>
        <w:t>cit.</w:t>
      </w:r>
      <w:r>
        <w:rPr>
          <w:lang w:val="en-US"/>
        </w:rPr>
        <w:t>, p. 7.</w:t>
      </w:r>
    </w:p>
  </w:footnote>
  <w:footnote w:id="100">
    <w:p w14:paraId="2D3D95B7" w14:textId="77777777" w:rsidR="00767FC0" w:rsidRDefault="00767FC0" w:rsidP="00767FC0">
      <w:pPr>
        <w:pStyle w:val="FootnoteText"/>
      </w:pPr>
      <w:r>
        <w:rPr>
          <w:rStyle w:val="FootnoteReference"/>
        </w:rPr>
        <w:footnoteRef/>
      </w:r>
      <w:r>
        <w:t xml:space="preserve"> </w:t>
      </w:r>
      <w:r>
        <w:tab/>
        <w:t xml:space="preserve">DCCEEW 2023a, </w:t>
      </w:r>
      <w:r>
        <w:rPr>
          <w:i/>
          <w:iCs/>
        </w:rPr>
        <w:t>Australia’s emissions projections 2023</w:t>
      </w:r>
      <w:r>
        <w:t xml:space="preserve">, Department of Climate Change, Energy, the Environment and Water, Canberra, November 2023, Table 46, </w:t>
      </w:r>
      <w:hyperlink r:id="rId48" w:history="1">
        <w:r w:rsidRPr="00F0748B">
          <w:rPr>
            <w:rStyle w:val="Hyperlink"/>
          </w:rPr>
          <w:t>https://www.dcceew.gov.au/sites/default/files/documents/australias-emissions-projections-2023.pdf</w:t>
        </w:r>
      </w:hyperlink>
      <w:r>
        <w:t xml:space="preserve"> </w:t>
      </w:r>
    </w:p>
  </w:footnote>
  <w:footnote w:id="101">
    <w:p w14:paraId="2EA561ED" w14:textId="77777777" w:rsidR="00767FC0" w:rsidRDefault="00767FC0" w:rsidP="00767FC0">
      <w:pPr>
        <w:pStyle w:val="FootnoteText"/>
      </w:pPr>
      <w:r>
        <w:rPr>
          <w:rStyle w:val="FootnoteReference"/>
        </w:rPr>
        <w:footnoteRef/>
      </w:r>
      <w:r>
        <w:t xml:space="preserve"> </w:t>
      </w:r>
      <w:r>
        <w:tab/>
        <w:t xml:space="preserve">Hutley, N. 2023, </w:t>
      </w:r>
      <w:r>
        <w:rPr>
          <w:i/>
          <w:iCs/>
        </w:rPr>
        <w:t>Economic parameters for technical work (NCC)</w:t>
      </w:r>
      <w:r>
        <w:t>, Rovingstone Advisory Pty Ltd, February 2023, Tables 5.2, 5.3, 5.5 and 5.6.</w:t>
      </w:r>
    </w:p>
  </w:footnote>
  <w:footnote w:id="102">
    <w:p w14:paraId="1E6D056E" w14:textId="77777777" w:rsidR="009E5E54" w:rsidRDefault="009E5E54" w:rsidP="009E5E54">
      <w:pPr>
        <w:pStyle w:val="FootnoteText"/>
      </w:pPr>
      <w:r>
        <w:rPr>
          <w:rStyle w:val="FootnoteReference"/>
        </w:rPr>
        <w:footnoteRef/>
      </w:r>
      <w:r>
        <w:t xml:space="preserve"> </w:t>
      </w:r>
      <w:r>
        <w:tab/>
        <w:t xml:space="preserve">DCCEEW 2023b, </w:t>
      </w:r>
      <w:r>
        <w:rPr>
          <w:i/>
          <w:iCs/>
        </w:rPr>
        <w:t>Australian National Greenhouse Accounts Factors: For individuals and organisations estimating greenhouse gas emissions</w:t>
      </w:r>
      <w:r>
        <w:t xml:space="preserve">, Department of Climate Change, Energy, the Environment and Water, Canberra, August 2023, </w:t>
      </w:r>
      <w:r w:rsidRPr="00A46D0A">
        <w:t>https://www.dcceew.gov.au/sites/default/files/documents/national-greenhouse-account-factors-2023.pdf</w:t>
      </w:r>
    </w:p>
  </w:footnote>
  <w:footnote w:id="103">
    <w:p w14:paraId="7E5540A0" w14:textId="77777777" w:rsidR="003E1FC3" w:rsidRDefault="003E1FC3" w:rsidP="003E1FC3">
      <w:pPr>
        <w:pStyle w:val="FootnoteText"/>
      </w:pPr>
      <w:r>
        <w:rPr>
          <w:rStyle w:val="FootnoteReference"/>
        </w:rPr>
        <w:footnoteRef/>
      </w:r>
      <w:r>
        <w:t xml:space="preserve"> </w:t>
      </w:r>
      <w:r>
        <w:tab/>
        <w:t xml:space="preserve">Australian Carbon Credit Units (ACCUs) are issued by the Clean Energy Regulator for greenhouse gas abatement activities undertaken as part of the Australian Government’s Emissions Reduction Fund. An ACCU represents one tonne of carbon dioxide equivalent stored or avoided by an ‘eligible offsets project’. Because the scheme does not cover all abatement activities, such as abatement in the electricity sector is not covered, it does not represent a comprehensive measure of nationwide abatement, let alone establish an economy-wide carbon price. The spot generic ACCU price is about $38 per unit (Clean Energy Regulator, ‘1. Australian carbon credit units (ACCUs)’, Australian Government, 2023, </w:t>
      </w:r>
      <w:hyperlink r:id="rId49" w:history="1">
        <w:r w:rsidRPr="00077434">
          <w:rPr>
            <w:rStyle w:val="Hyperlink"/>
          </w:rPr>
          <w:t>https://www.cleanenergyregulator.gov.au/Infohub/Markets/Pages/qcmr/march-quarter-2023/Australian-Carbon-Credit-Units.aspx</w:t>
        </w:r>
      </w:hyperlink>
      <w:r>
        <w:t>, accessed 3 November 2023).</w:t>
      </w:r>
    </w:p>
  </w:footnote>
  <w:footnote w:id="104">
    <w:p w14:paraId="279D2CD8" w14:textId="77777777" w:rsidR="003E1FC3" w:rsidRDefault="003E1FC3" w:rsidP="003E1FC3">
      <w:pPr>
        <w:pStyle w:val="FootnoteText"/>
      </w:pPr>
      <w:r>
        <w:rPr>
          <w:rStyle w:val="FootnoteReference"/>
        </w:rPr>
        <w:footnoteRef/>
      </w:r>
      <w:r>
        <w:t xml:space="preserve"> </w:t>
      </w:r>
      <w:r>
        <w:tab/>
        <w:t xml:space="preserve">USEPA 2023, </w:t>
      </w:r>
      <w:r w:rsidRPr="00F15B8D">
        <w:rPr>
          <w:i/>
          <w:iCs/>
        </w:rPr>
        <w:t>EPA Report on the Social Cost of Greenhouse Gases: Estimates Incorporating Recent Scientific Advances</w:t>
      </w:r>
      <w:r>
        <w:t xml:space="preserve">, p.4, </w:t>
      </w:r>
      <w:hyperlink r:id="rId50" w:history="1">
        <w:r w:rsidRPr="009261FD">
          <w:rPr>
            <w:rStyle w:val="Hyperlink"/>
          </w:rPr>
          <w:t>https://www.epa.gov/system/files/documents/2023-12/epa_scghg_2023_report_final.pdf</w:t>
        </w:r>
      </w:hyperlink>
      <w:r>
        <w:t xml:space="preserve"> </w:t>
      </w:r>
    </w:p>
  </w:footnote>
  <w:footnote w:id="105">
    <w:p w14:paraId="53CE118A" w14:textId="77777777" w:rsidR="003E1FC3" w:rsidRDefault="003E1FC3" w:rsidP="003E1FC3">
      <w:pPr>
        <w:pStyle w:val="FootnoteText"/>
      </w:pPr>
      <w:r>
        <w:rPr>
          <w:rStyle w:val="FootnoteReference"/>
        </w:rPr>
        <w:footnoteRef/>
      </w:r>
      <w:r>
        <w:t xml:space="preserve"> </w:t>
      </w:r>
      <w:r>
        <w:tab/>
        <w:t>Hutley (2023), op. cit., Table 4.4, p.12.</w:t>
      </w:r>
    </w:p>
  </w:footnote>
  <w:footnote w:id="106">
    <w:p w14:paraId="2383C861" w14:textId="77777777" w:rsidR="003E1FC3" w:rsidRDefault="003E1FC3" w:rsidP="003E1FC3">
      <w:pPr>
        <w:pStyle w:val="FootnoteText"/>
      </w:pPr>
      <w:r>
        <w:rPr>
          <w:rStyle w:val="FootnoteReference"/>
        </w:rPr>
        <w:footnoteRef/>
      </w:r>
      <w:r>
        <w:t xml:space="preserve"> </w:t>
      </w:r>
      <w:r>
        <w:tab/>
        <w:t xml:space="preserve">Infrastructure Australia 2024, </w:t>
      </w:r>
      <w:r>
        <w:rPr>
          <w:i/>
          <w:iCs/>
        </w:rPr>
        <w:t>Valuing emissions for economic analysis</w:t>
      </w:r>
      <w:r>
        <w:t xml:space="preserve">, 15 May 2024, </w:t>
      </w:r>
      <w:r w:rsidRPr="00686E5A">
        <w:t>https://www.infrastructureaustralia.gov.au/publications/valuing-emissions-economic-analysis</w:t>
      </w:r>
    </w:p>
  </w:footnote>
  <w:footnote w:id="107">
    <w:p w14:paraId="70A51D0A" w14:textId="77777777" w:rsidR="00F13E41" w:rsidRPr="009253DC" w:rsidRDefault="00F13E41" w:rsidP="00F13E41">
      <w:pPr>
        <w:pStyle w:val="FootnoteText"/>
        <w:rPr>
          <w:lang w:val="en-US"/>
        </w:rPr>
      </w:pPr>
      <w:r>
        <w:rPr>
          <w:rStyle w:val="FootnoteReference"/>
        </w:rPr>
        <w:footnoteRef/>
      </w:r>
      <w:r>
        <w:t xml:space="preserve"> </w:t>
      </w:r>
      <w:r>
        <w:tab/>
      </w:r>
      <w:r>
        <w:rPr>
          <w:lang w:val="en-US"/>
        </w:rPr>
        <w:t xml:space="preserve">See for example, Newell, G. MacFarlane, J. and Kok, N. 2011, </w:t>
      </w:r>
      <w:r w:rsidRPr="009253DC">
        <w:rPr>
          <w:i/>
          <w:lang w:val="en-US"/>
        </w:rPr>
        <w:t>Building Better Returns: A Study of the Financial Performance of Green Office Buildings in Australia</w:t>
      </w:r>
      <w:r>
        <w:rPr>
          <w:lang w:val="en-US"/>
        </w:rPr>
        <w:t>, September 2011.</w:t>
      </w:r>
      <w:r>
        <w:rPr>
          <w:lang w:val="en-US"/>
        </w:rPr>
        <w:br/>
        <w:t xml:space="preserve">Knight Frank 2022, </w:t>
      </w:r>
      <w:r>
        <w:rPr>
          <w:i/>
          <w:iCs/>
          <w:lang w:val="en-US"/>
        </w:rPr>
        <w:t>Active Capital: Trends in Global Real Estate Investment</w:t>
      </w:r>
      <w:r>
        <w:rPr>
          <w:lang w:val="en-US"/>
        </w:rPr>
        <w:t xml:space="preserve">, </w:t>
      </w:r>
      <w:hyperlink r:id="rId51" w:history="1">
        <w:r w:rsidRPr="00CE0683">
          <w:rPr>
            <w:rStyle w:val="Hyperlink"/>
            <w:lang w:val="en-US"/>
          </w:rPr>
          <w:t>https://content.knightfrank.com/research/1801/documents/en/active-capital-the-report-2021-8447.pdf</w:t>
        </w:r>
      </w:hyperlink>
      <w:r>
        <w:rPr>
          <w:lang w:val="en-US"/>
        </w:rPr>
        <w:t xml:space="preserve"> </w:t>
      </w:r>
    </w:p>
  </w:footnote>
  <w:footnote w:id="108">
    <w:p w14:paraId="0957FFC6" w14:textId="77777777" w:rsidR="00F13E41" w:rsidRPr="002E1D73" w:rsidRDefault="00F13E41" w:rsidP="00F13E41">
      <w:pPr>
        <w:pStyle w:val="FootnoteText"/>
        <w:ind w:left="426" w:hanging="426"/>
        <w:rPr>
          <w:lang w:val="en-US"/>
        </w:rPr>
      </w:pPr>
      <w:r>
        <w:rPr>
          <w:rStyle w:val="FootnoteReference"/>
        </w:rPr>
        <w:footnoteRef/>
      </w:r>
      <w:r>
        <w:t xml:space="preserve"> </w:t>
      </w:r>
      <w:r>
        <w:tab/>
      </w:r>
      <w:r>
        <w:rPr>
          <w:lang w:val="en-US"/>
        </w:rPr>
        <w:t xml:space="preserve">See for example: International Energy Agency (IEA), 2014, </w:t>
      </w:r>
      <w:r w:rsidRPr="002E1D73">
        <w:rPr>
          <w:i/>
          <w:iCs/>
          <w:lang w:val="en-US"/>
        </w:rPr>
        <w:t>Capturing the Multiple Benefits of Energy Efficiency</w:t>
      </w:r>
      <w:r>
        <w:rPr>
          <w:lang w:val="en-US"/>
        </w:rPr>
        <w:t>, pp. 45</w:t>
      </w:r>
      <w:r>
        <w:rPr>
          <w:lang w:val="en-US"/>
        </w:rPr>
        <w:noBreakHyphen/>
        <w:t>66.</w:t>
      </w:r>
    </w:p>
  </w:footnote>
  <w:footnote w:id="109">
    <w:p w14:paraId="6A6ABF29" w14:textId="77777777" w:rsidR="00F13E41" w:rsidRPr="00755573" w:rsidRDefault="00F13E41" w:rsidP="00F13E41">
      <w:pPr>
        <w:pStyle w:val="FootnoteText"/>
        <w:rPr>
          <w:lang w:val="en-US"/>
        </w:rPr>
      </w:pPr>
      <w:r>
        <w:rPr>
          <w:rStyle w:val="FootnoteReference"/>
        </w:rPr>
        <w:footnoteRef/>
      </w:r>
      <w:r>
        <w:t xml:space="preserve"> Strategy.Policy.Research. </w:t>
      </w:r>
      <w:r w:rsidRPr="00D96F59">
        <w:rPr>
          <w:i/>
          <w:iCs/>
        </w:rPr>
        <w:t>Research report: use of renewable energy to trade</w:t>
      </w:r>
      <w:r w:rsidRPr="00D96F59">
        <w:rPr>
          <w:i/>
          <w:iCs/>
        </w:rPr>
        <w:noBreakHyphen/>
        <w:t>off energy efficiency requirements in Section J of the National Construction Code</w:t>
      </w:r>
      <w:r>
        <w:t xml:space="preserve">, Prepared for the Department of Industry, Science, Energy and Resources, 20 January 2022, p. 4, </w:t>
      </w:r>
      <w:hyperlink r:id="rId52" w:history="1">
        <w:r w:rsidRPr="00F0748B">
          <w:rPr>
            <w:rStyle w:val="Hyperlink"/>
          </w:rPr>
          <w:t>https://www.dcceew.gov.au/sites/default/files/documents/use-%20renewable-energy-%20trade-off-ee-requirements-section-j-national-construction-code.pdf</w:t>
        </w:r>
      </w:hyperlink>
      <w:r>
        <w:t>.</w:t>
      </w:r>
    </w:p>
  </w:footnote>
  <w:footnote w:id="110">
    <w:p w14:paraId="605D6A67" w14:textId="77777777" w:rsidR="00F13E41" w:rsidRPr="00502D69" w:rsidRDefault="00F13E41" w:rsidP="00F13E41">
      <w:pPr>
        <w:pStyle w:val="FootnoteText"/>
        <w:rPr>
          <w:lang w:val="en-US"/>
        </w:rPr>
      </w:pPr>
      <w:r>
        <w:rPr>
          <w:rStyle w:val="FootnoteReference"/>
        </w:rPr>
        <w:footnoteRef/>
      </w:r>
      <w:r>
        <w:t xml:space="preserve"> </w:t>
      </w:r>
      <w:r>
        <w:rPr>
          <w:lang w:val="en-US"/>
        </w:rPr>
        <w:t>AER refers to penetration of Distributed Energy Resources (DER) generally, but this is mainly rooftop solar.</w:t>
      </w:r>
    </w:p>
  </w:footnote>
  <w:footnote w:id="111">
    <w:p w14:paraId="7AC7E0C2" w14:textId="77777777" w:rsidR="00F13E41" w:rsidRPr="00695D71" w:rsidRDefault="00F13E41" w:rsidP="00F13E41">
      <w:pPr>
        <w:pStyle w:val="FootnoteText"/>
        <w:rPr>
          <w:lang w:val="en-US"/>
        </w:rPr>
      </w:pPr>
      <w:r>
        <w:rPr>
          <w:rStyle w:val="FootnoteReference"/>
        </w:rPr>
        <w:footnoteRef/>
      </w:r>
      <w:r>
        <w:t xml:space="preserve"> </w:t>
      </w:r>
      <w:r>
        <w:rPr>
          <w:lang w:val="en-US"/>
        </w:rPr>
        <w:t>AER, Submission to draft determination, p. 5.</w:t>
      </w:r>
    </w:p>
  </w:footnote>
  <w:footnote w:id="112">
    <w:p w14:paraId="5CC91CAC" w14:textId="77777777" w:rsidR="00F13E41" w:rsidRPr="006E5335" w:rsidRDefault="00F13E41" w:rsidP="00F13E41">
      <w:pPr>
        <w:pStyle w:val="FootnoteText"/>
        <w:rPr>
          <w:lang w:val="en-US"/>
        </w:rPr>
      </w:pPr>
      <w:r>
        <w:rPr>
          <w:rStyle w:val="FootnoteReference"/>
        </w:rPr>
        <w:footnoteRef/>
      </w:r>
      <w:r>
        <w:t xml:space="preserve"> </w:t>
      </w:r>
      <w:r>
        <w:rPr>
          <w:lang w:val="en-US"/>
        </w:rPr>
        <w:t xml:space="preserve">AEMO, Minimum operational demand, Fact Sheet, </w:t>
      </w:r>
      <w:hyperlink r:id="rId53" w:anchor=":~:text=Operational%20demand%20goes%20down%20when,a%20minimum%20operational%20demand%20scenario" w:history="1">
        <w:r w:rsidRPr="009479DA">
          <w:rPr>
            <w:rStyle w:val="Hyperlink"/>
            <w:lang w:val="en-US"/>
          </w:rPr>
          <w:t>https://aemo.com.au/-/media/files/learn/fact-sheets/2024/minimum-operational-demand-fact-sheet.pdf?la=en#:~:text=Operational%20demand%20goes%20down%20when,a%20minimum%20operational%20demand%20scenario</w:t>
        </w:r>
      </w:hyperlink>
      <w:r w:rsidRPr="00A83AAA">
        <w:rPr>
          <w:lang w:val="en-US"/>
        </w:rPr>
        <w:t>.</w:t>
      </w:r>
      <w:r>
        <w:rPr>
          <w:lang w:val="en-US"/>
        </w:rPr>
        <w:t>, accessed 16 August 2024.</w:t>
      </w:r>
    </w:p>
  </w:footnote>
  <w:footnote w:id="113">
    <w:p w14:paraId="716D534F" w14:textId="77777777" w:rsidR="001F2683" w:rsidRDefault="001F2683" w:rsidP="001F2683">
      <w:pPr>
        <w:pStyle w:val="FootnoteText"/>
      </w:pPr>
      <w:r>
        <w:rPr>
          <w:rStyle w:val="FootnoteReference"/>
        </w:rPr>
        <w:footnoteRef/>
      </w:r>
      <w:r>
        <w:t xml:space="preserve"> </w:t>
      </w:r>
      <w:r>
        <w:rPr>
          <w:lang w:val="en-US"/>
        </w:rPr>
        <w:t>Ausgrid, Two</w:t>
      </w:r>
      <w:r>
        <w:rPr>
          <w:lang w:val="en-US"/>
        </w:rPr>
        <w:noBreakHyphen/>
        <w:t xml:space="preserve">way pricing for grid exports, </w:t>
      </w:r>
      <w:hyperlink r:id="rId54" w:history="1">
        <w:r w:rsidRPr="009479DA">
          <w:rPr>
            <w:rStyle w:val="Hyperlink"/>
            <w:lang w:val="en-US"/>
          </w:rPr>
          <w:t>https://www.aer.gov.au/system/files/2023-12/Ausgrid%20-%20Revised%20proposal%20-%20Att.%208.14%20-%20Small%20customer%20export%20tariff%20fact%20sheet%20-%2030%20Nov%202023%20-%20Public.pdf</w:t>
        </w:r>
      </w:hyperlink>
      <w:r>
        <w:rPr>
          <w:lang w:val="en-US"/>
        </w:rPr>
        <w:t>, accessed 16 August 2024.</w:t>
      </w:r>
    </w:p>
  </w:footnote>
  <w:footnote w:id="114">
    <w:p w14:paraId="0A21F703" w14:textId="77777777" w:rsidR="001F2683" w:rsidRPr="00394DC0" w:rsidRDefault="001F2683" w:rsidP="001F2683">
      <w:pPr>
        <w:pStyle w:val="FootnoteText"/>
        <w:rPr>
          <w:lang w:val="en-US"/>
        </w:rPr>
      </w:pPr>
      <w:r>
        <w:rPr>
          <w:rStyle w:val="FootnoteReference"/>
        </w:rPr>
        <w:footnoteRef/>
      </w:r>
      <w:r>
        <w:t xml:space="preserve"> </w:t>
      </w:r>
      <w:r>
        <w:rPr>
          <w:lang w:val="en-US"/>
        </w:rPr>
        <w:t xml:space="preserve">See </w:t>
      </w:r>
      <w:r>
        <w:t xml:space="preserve">ACT Government, ‘Powering Canberra: Our Pathway to Electrification’, in </w:t>
      </w:r>
      <w:r>
        <w:rPr>
          <w:i/>
          <w:iCs/>
        </w:rPr>
        <w:t>ACT Government - Canberra is Electrifying</w:t>
      </w:r>
      <w:r>
        <w:t xml:space="preserve">, 2023, </w:t>
      </w:r>
      <w:hyperlink r:id="rId55" w:history="1">
        <w:r w:rsidRPr="00077434">
          <w:rPr>
            <w:rStyle w:val="Hyperlink"/>
          </w:rPr>
          <w:t>https://energy.act.gov.au/</w:t>
        </w:r>
      </w:hyperlink>
      <w:r>
        <w:t xml:space="preserve">, accessed 2 November 2023; </w:t>
      </w:r>
      <w:r>
        <w:rPr>
          <w:lang w:val="en-US"/>
        </w:rPr>
        <w:t xml:space="preserve">and </w:t>
      </w:r>
      <w:r>
        <w:t xml:space="preserve">M Mannheim, ‘No new gas connections for Canberra homes and businesses from next year’, in </w:t>
      </w:r>
      <w:r>
        <w:rPr>
          <w:i/>
        </w:rPr>
        <w:t>ABC</w:t>
      </w:r>
      <w:r>
        <w:rPr>
          <w:i/>
          <w:iCs/>
        </w:rPr>
        <w:t xml:space="preserve"> News</w:t>
      </w:r>
      <w:r>
        <w:t xml:space="preserve">, 4 August 2022, </w:t>
      </w:r>
      <w:hyperlink r:id="rId56" w:history="1">
        <w:r w:rsidRPr="00077434">
          <w:rPr>
            <w:rStyle w:val="Hyperlink"/>
          </w:rPr>
          <w:t>https://www.abc.net.au/news/2022-08-04/act-no-new-gas-connections-from-2023-new-homes/101299552</w:t>
        </w:r>
      </w:hyperlink>
      <w:r>
        <w:t>, accessed 3 November 2023.</w:t>
      </w:r>
    </w:p>
  </w:footnote>
  <w:footnote w:id="115">
    <w:p w14:paraId="540DE490" w14:textId="77777777" w:rsidR="001F2683" w:rsidRDefault="001F2683" w:rsidP="001F2683">
      <w:pPr>
        <w:pStyle w:val="FootnoteText"/>
      </w:pPr>
      <w:r>
        <w:rPr>
          <w:rStyle w:val="FootnoteReference"/>
        </w:rPr>
        <w:footnoteRef/>
      </w:r>
      <w:r>
        <w:t xml:space="preserve"> ACT Government, </w:t>
      </w:r>
      <w:r>
        <w:rPr>
          <w:i/>
          <w:iCs/>
        </w:rPr>
        <w:t>Community and Stakeholder Engagement Report - Pathway to Electrification: Regulation to prevent new fossil fuel gas network connections</w:t>
      </w:r>
      <w:r>
        <w:t xml:space="preserve">, ACT Government, June 2023, </w:t>
      </w:r>
      <w:hyperlink r:id="rId57" w:history="1">
        <w:r w:rsidRPr="00C54EFD">
          <w:rPr>
            <w:rStyle w:val="Hyperlink"/>
          </w:rPr>
          <w:t>https://yoursayconversations.act.gov.au/pathway-to-electrification/help-inform-regulation-prevent-new-gas-connections</w:t>
        </w:r>
      </w:hyperlink>
      <w:r>
        <w:t>, accessed 3 November 2023.</w:t>
      </w:r>
    </w:p>
  </w:footnote>
  <w:footnote w:id="116">
    <w:p w14:paraId="3406442D" w14:textId="77777777" w:rsidR="001F2683" w:rsidRDefault="001F2683" w:rsidP="001F2683">
      <w:pPr>
        <w:pStyle w:val="FootnoteText"/>
      </w:pPr>
      <w:r>
        <w:rPr>
          <w:rStyle w:val="FootnoteReference"/>
        </w:rPr>
        <w:footnoteRef/>
      </w:r>
      <w:r>
        <w:t xml:space="preserve"> A Ore, ‘Ban on new gas connections will help transition Victoria away from fossil fuels, inquiry finds’, in </w:t>
      </w:r>
      <w:r>
        <w:rPr>
          <w:i/>
          <w:iCs/>
        </w:rPr>
        <w:t>The Guardian</w:t>
      </w:r>
      <w:r>
        <w:t xml:space="preserve">, 26 May 2022, section Environment, </w:t>
      </w:r>
      <w:hyperlink r:id="rId58" w:history="1">
        <w:r w:rsidRPr="00077434">
          <w:rPr>
            <w:rStyle w:val="Hyperlink"/>
          </w:rPr>
          <w:t>https://www.theguardian.com/environment/2022/may/26/ban-on-new-gas-connections-will-help-transition-victoria-away-from-fossil-fuels-inquiry-finds</w:t>
        </w:r>
      </w:hyperlink>
      <w:r>
        <w:t>, accessed 3 November 2023.</w:t>
      </w:r>
    </w:p>
  </w:footnote>
  <w:footnote w:id="117">
    <w:p w14:paraId="6F724058" w14:textId="77777777" w:rsidR="001F2683" w:rsidRDefault="001F2683" w:rsidP="001F2683">
      <w:pPr>
        <w:pStyle w:val="FootnoteText"/>
      </w:pPr>
      <w:r>
        <w:rPr>
          <w:rStyle w:val="FootnoteReference"/>
        </w:rPr>
        <w:footnoteRef/>
      </w:r>
      <w:r>
        <w:t xml:space="preserve"> Planning Victoria, ‘Victoria’s Gas Substitution Roadmap’, in </w:t>
      </w:r>
      <w:r>
        <w:rPr>
          <w:i/>
          <w:iCs/>
        </w:rPr>
        <w:t>the Victorian Government - Renewable energy</w:t>
      </w:r>
      <w:r>
        <w:t xml:space="preserve">, 2023, </w:t>
      </w:r>
      <w:hyperlink r:id="rId59" w:history="1">
        <w:r w:rsidRPr="00077434">
          <w:rPr>
            <w:rStyle w:val="Hyperlink"/>
          </w:rPr>
          <w:t>https://www.planning.vic.gov.au/guides-and-resources/strategies-and-initiatives/victorias-gas-substitution-roadmap</w:t>
        </w:r>
      </w:hyperlink>
      <w:r>
        <w:t>, accessed 2 November 2023.</w:t>
      </w:r>
    </w:p>
  </w:footnote>
  <w:footnote w:id="118">
    <w:p w14:paraId="0D1B738C" w14:textId="77777777" w:rsidR="001F2683" w:rsidRDefault="001F2683" w:rsidP="001F2683">
      <w:pPr>
        <w:pStyle w:val="FootnoteText"/>
      </w:pPr>
      <w:r>
        <w:rPr>
          <w:rStyle w:val="FootnoteReference"/>
        </w:rPr>
        <w:footnoteRef/>
      </w:r>
      <w:r>
        <w:t xml:space="preserve"> Victoria State Government 2024, </w:t>
      </w:r>
      <w:r>
        <w:rPr>
          <w:i/>
          <w:iCs/>
        </w:rPr>
        <w:t>Victoria’s Gas Substitution Roadmap Update: Victoria’s Electrification Pathway</w:t>
      </w:r>
      <w:r>
        <w:t xml:space="preserve">, p. 3, </w:t>
      </w:r>
      <w:hyperlink r:id="rId60" w:history="1">
        <w:r w:rsidRPr="0069088A">
          <w:rPr>
            <w:rStyle w:val="Hyperlink"/>
          </w:rPr>
          <w:t>https://www.energy.vic.gov.au/__data/assets/pdf_file/0027/691119/Victorias-Gas-Substitution-Roadmap-Update.pdf</w:t>
        </w:r>
      </w:hyperlink>
      <w:r>
        <w:rPr>
          <w:rStyle w:val="Hyperlink"/>
        </w:rPr>
        <w:t>,</w:t>
      </w:r>
      <w:r>
        <w:t xml:space="preserve"> accessed 7 February 2024</w:t>
      </w:r>
    </w:p>
  </w:footnote>
  <w:footnote w:id="119">
    <w:p w14:paraId="712C73D5" w14:textId="77777777" w:rsidR="001F2683" w:rsidRDefault="001F2683" w:rsidP="001F2683">
      <w:pPr>
        <w:pStyle w:val="FootnoteText"/>
      </w:pPr>
      <w:r>
        <w:rPr>
          <w:rStyle w:val="FootnoteReference"/>
        </w:rPr>
        <w:footnoteRef/>
      </w:r>
      <w:r>
        <w:t xml:space="preserve"> </w:t>
      </w:r>
      <w:hyperlink r:id="rId61" w:history="1">
        <w:r w:rsidRPr="00EF2FD1">
          <w:rPr>
            <w:rStyle w:val="Hyperlink"/>
          </w:rPr>
          <w:t>https://cityswitch.net.au/</w:t>
        </w:r>
      </w:hyperlink>
      <w:r>
        <w:t xml:space="preserve"> </w:t>
      </w:r>
    </w:p>
  </w:footnote>
  <w:footnote w:id="120">
    <w:p w14:paraId="3136BE25" w14:textId="77777777" w:rsidR="001F2683" w:rsidRDefault="001F2683" w:rsidP="001F2683">
      <w:pPr>
        <w:pStyle w:val="FootnoteText"/>
      </w:pPr>
      <w:r>
        <w:rPr>
          <w:rStyle w:val="FootnoteReference"/>
        </w:rPr>
        <w:footnoteRef/>
      </w:r>
      <w:r>
        <w:t xml:space="preserve"> DCCEEW 2024, ‘</w:t>
      </w:r>
      <w:r w:rsidRPr="00561801">
        <w:t>Reducing transport emissions</w:t>
      </w:r>
      <w:r>
        <w:t xml:space="preserve">’, Australian Government, </w:t>
      </w:r>
      <w:hyperlink r:id="rId62" w:history="1">
        <w:r w:rsidRPr="008E2656">
          <w:rPr>
            <w:rStyle w:val="Hyperlink"/>
          </w:rPr>
          <w:t>https://www.dcc</w:t>
        </w:r>
        <w:bookmarkStart w:id="1291" w:name="_Hlt149901773"/>
        <w:bookmarkStart w:id="1292" w:name="_Hlt149901774"/>
        <w:r w:rsidRPr="008E2656">
          <w:rPr>
            <w:rStyle w:val="Hyperlink"/>
          </w:rPr>
          <w:t>e</w:t>
        </w:r>
        <w:bookmarkEnd w:id="1291"/>
        <w:bookmarkEnd w:id="1292"/>
        <w:r w:rsidRPr="008E2656">
          <w:rPr>
            <w:rStyle w:val="Hyperlink"/>
          </w:rPr>
          <w:t>ew.gov.au/energy/transport</w:t>
        </w:r>
      </w:hyperlink>
      <w:r>
        <w:t>, accessed 8 February 2024.</w:t>
      </w:r>
    </w:p>
  </w:footnote>
  <w:footnote w:id="121">
    <w:p w14:paraId="1C2963A4" w14:textId="77777777" w:rsidR="001F2683" w:rsidRDefault="001F2683" w:rsidP="001F2683">
      <w:pPr>
        <w:pStyle w:val="FootnoteText"/>
      </w:pPr>
      <w:r>
        <w:rPr>
          <w:rStyle w:val="FootnoteReference"/>
        </w:rPr>
        <w:footnoteRef/>
      </w:r>
      <w:r>
        <w:t xml:space="preserve"> Li, S., L. Tong, J. Xing and Y. Zhou 2017, ‘The Market for Electric Vehicles: Indirect Network Effects and Policy Design’, </w:t>
      </w:r>
      <w:r w:rsidRPr="00B476DF">
        <w:rPr>
          <w:i/>
          <w:iCs/>
        </w:rPr>
        <w:t>Journal of the Association of Environmental and Resource Economics</w:t>
      </w:r>
      <w:r>
        <w:t>, January 2017, p. 88.</w:t>
      </w:r>
    </w:p>
  </w:footnote>
  <w:footnote w:id="122">
    <w:p w14:paraId="7AE04804" w14:textId="77777777" w:rsidR="001F2683" w:rsidRPr="00756643" w:rsidRDefault="001F2683" w:rsidP="001F2683">
      <w:pPr>
        <w:pStyle w:val="FootnoteText"/>
        <w:rPr>
          <w:lang w:val="en-US"/>
        </w:rPr>
      </w:pPr>
      <w:r>
        <w:rPr>
          <w:rStyle w:val="FootnoteReference"/>
        </w:rPr>
        <w:footnoteRef/>
      </w:r>
      <w:r>
        <w:t xml:space="preserve"> </w:t>
      </w:r>
      <w:r>
        <w:rPr>
          <w:lang w:val="en-US"/>
        </w:rPr>
        <w:t xml:space="preserve">CIE 2019, </w:t>
      </w:r>
      <w:r>
        <w:rPr>
          <w:i/>
          <w:iCs/>
          <w:lang w:val="en-US"/>
        </w:rPr>
        <w:t>Demand for electric vehicles: A discrete choice survey</w:t>
      </w:r>
      <w:r>
        <w:rPr>
          <w:lang w:val="en-US"/>
        </w:rPr>
        <w:t xml:space="preserve">, report prepared for Australian Automobile Association, The Centre for International Economics, </w:t>
      </w:r>
      <w:hyperlink r:id="rId63" w:history="1">
        <w:r w:rsidRPr="00E9230B">
          <w:rPr>
            <w:rStyle w:val="Hyperlink"/>
            <w:lang w:val="en-US"/>
          </w:rPr>
          <w:t>https://www.thecie.com.au/publications-archive/demand-for-electric-vehicles</w:t>
        </w:r>
      </w:hyperlink>
      <w:r>
        <w:rPr>
          <w:lang w:val="en-US"/>
        </w:rPr>
        <w:t xml:space="preserve"> </w:t>
      </w:r>
    </w:p>
  </w:footnote>
  <w:footnote w:id="123">
    <w:p w14:paraId="0937BF90" w14:textId="77777777" w:rsidR="001F2683" w:rsidRPr="0053408A" w:rsidRDefault="001F2683" w:rsidP="001F2683">
      <w:pPr>
        <w:pStyle w:val="FootnoteText"/>
        <w:rPr>
          <w:lang w:val="en-US"/>
        </w:rPr>
      </w:pPr>
      <w:r>
        <w:rPr>
          <w:rStyle w:val="FootnoteReference"/>
        </w:rPr>
        <w:footnoteRef/>
      </w:r>
      <w:r>
        <w:t xml:space="preserve"> H Dia, ‘Electric vehicle fires are very rare. The risk for petrol and diesel vehicles is at least 20 times higher’, The Conversation, 2023, </w:t>
      </w:r>
      <w:hyperlink r:id="rId64" w:history="1">
        <w:r w:rsidRPr="00077434">
          <w:rPr>
            <w:rStyle w:val="Hyperlink"/>
          </w:rPr>
          <w:t>https://theconversation.com/electric-vehicle-fires-are-very-rare-the-risk-for-petrol-and-diesel-vehicles-is-at-least-20-times-higher-213468</w:t>
        </w:r>
      </w:hyperlink>
      <w:r>
        <w:t>, accessed 3 November 2023.</w:t>
      </w:r>
    </w:p>
  </w:footnote>
  <w:footnote w:id="124">
    <w:p w14:paraId="3ABC9F66" w14:textId="77777777" w:rsidR="001F2683" w:rsidRDefault="001F2683" w:rsidP="001F2683">
      <w:pPr>
        <w:pStyle w:val="FootnoteText"/>
      </w:pPr>
      <w:r>
        <w:rPr>
          <w:rStyle w:val="FootnoteReference"/>
        </w:rPr>
        <w:footnoteRef/>
      </w:r>
      <w:r>
        <w:t xml:space="preserve"> P Graham 2022, </w:t>
      </w:r>
      <w:r>
        <w:rPr>
          <w:i/>
          <w:iCs/>
        </w:rPr>
        <w:t>Electric vehicle projections 2022 - Commissioned for AEMO’s draft 2023 Input, Assumptions and Scenarios Report</w:t>
      </w:r>
      <w:r>
        <w:t xml:space="preserve">, CSIRO, 2022, </w:t>
      </w:r>
      <w:hyperlink r:id="rId65" w:history="1">
        <w:r w:rsidRPr="0069088A">
          <w:rPr>
            <w:rStyle w:val="Hyperlink"/>
          </w:rPr>
          <w:t>https://aemo.com.au/-/media/files/stakeholder_consultation/consultations/nem-consultations/2022/2023-inputs-assumptions-and-scenarios-consultation/supporting-materials-for-2023/csiro-2022-electric-vehicles-projections-report.pdf?la=en</w:t>
        </w:r>
      </w:hyperlink>
      <w:r>
        <w:t>, last accessed 6 February 2024</w:t>
      </w:r>
    </w:p>
  </w:footnote>
  <w:footnote w:id="125">
    <w:p w14:paraId="2D70D0FC" w14:textId="77777777" w:rsidR="00EB7BAA" w:rsidRDefault="00EB7BAA" w:rsidP="00EB7BAA">
      <w:pPr>
        <w:pStyle w:val="FootnoteText"/>
      </w:pPr>
      <w:r>
        <w:rPr>
          <w:rStyle w:val="FootnoteReference"/>
        </w:rPr>
        <w:footnoteRef/>
      </w:r>
      <w:r>
        <w:t xml:space="preserve"> Small hospital (C9AS) was modelled by DeltaQ because aged care building (C9C) has very short HVAC running hours according to NCC 2022 schedules and thus was not an appropriate test bed. The results are applied to aged care facilities in the CBA.</w:t>
      </w:r>
    </w:p>
  </w:footnote>
  <w:footnote w:id="126">
    <w:p w14:paraId="20003988" w14:textId="77777777" w:rsidR="00EB7BAA" w:rsidRPr="00FA601F" w:rsidRDefault="00EB7BAA" w:rsidP="00EB7BAA">
      <w:pPr>
        <w:pStyle w:val="FootnoteText"/>
        <w:rPr>
          <w:lang w:val="en-US"/>
        </w:rPr>
      </w:pPr>
      <w:r>
        <w:rPr>
          <w:rStyle w:val="FootnoteReference"/>
        </w:rPr>
        <w:footnoteRef/>
      </w:r>
      <w:r>
        <w:t xml:space="preserve"> Building</w:t>
      </w:r>
      <w:r>
        <w:noBreakHyphen/>
        <w:t>level CBA results have been estimated for each relevant Climate Zones for each state and territory, but are not reported.</w:t>
      </w:r>
    </w:p>
  </w:footnote>
  <w:footnote w:id="127">
    <w:p w14:paraId="4D344EDA" w14:textId="77777777" w:rsidR="006E5BA6" w:rsidRPr="00FA601F" w:rsidRDefault="006E5BA6" w:rsidP="006E5BA6">
      <w:pPr>
        <w:pStyle w:val="FootnoteText"/>
        <w:rPr>
          <w:lang w:val="en-US"/>
        </w:rPr>
      </w:pPr>
      <w:r>
        <w:rPr>
          <w:rStyle w:val="FootnoteReference"/>
        </w:rPr>
        <w:footnoteRef/>
      </w:r>
      <w:r>
        <w:t xml:space="preserve"> Building</w:t>
      </w:r>
      <w:r>
        <w:noBreakHyphen/>
        <w:t>level CBA results have been estimated for each relevant Climate Zones for each state and territory, but are not reported.</w:t>
      </w:r>
    </w:p>
  </w:footnote>
  <w:footnote w:id="128">
    <w:p w14:paraId="6AC1CDEB" w14:textId="77777777" w:rsidR="006E5BA6" w:rsidRPr="00FA601F" w:rsidRDefault="006E5BA6" w:rsidP="006E5BA6">
      <w:pPr>
        <w:pStyle w:val="FootnoteText"/>
        <w:rPr>
          <w:lang w:val="en-US"/>
        </w:rPr>
      </w:pPr>
      <w:r>
        <w:rPr>
          <w:rStyle w:val="FootnoteReference"/>
        </w:rPr>
        <w:footnoteRef/>
      </w:r>
      <w:r>
        <w:t xml:space="preserve"> Building</w:t>
      </w:r>
      <w:r>
        <w:noBreakHyphen/>
        <w:t>level CBA results have been estimated for each relevant Climate Zones for each state and territory, but are not reported.</w:t>
      </w:r>
    </w:p>
  </w:footnote>
  <w:footnote w:id="129">
    <w:p w14:paraId="459884BB" w14:textId="77777777" w:rsidR="006568C5" w:rsidRDefault="006568C5" w:rsidP="006568C5">
      <w:pPr>
        <w:pStyle w:val="FootnoteText"/>
      </w:pPr>
      <w:r>
        <w:rPr>
          <w:rStyle w:val="FootnoteReference"/>
        </w:rPr>
        <w:footnoteRef/>
      </w:r>
      <w:r>
        <w:t xml:space="preserve"> </w:t>
      </w:r>
      <w:r>
        <w:rPr>
          <w:lang w:val="en-US"/>
        </w:rPr>
        <w:t xml:space="preserve">SPR (Strategy.Policy.Research) 2022, </w:t>
      </w:r>
      <w:r>
        <w:rPr>
          <w:i/>
          <w:iCs/>
          <w:lang w:val="en-US"/>
        </w:rPr>
        <w:t>Commercial Building Baseline Study 2022</w:t>
      </w:r>
      <w:r>
        <w:rPr>
          <w:lang w:val="en-US"/>
        </w:rPr>
        <w:t xml:space="preserve">, final report for Department of Climate Change, Energy, the Environment and Water, August 2022, </w:t>
      </w:r>
      <w:hyperlink r:id="rId66" w:history="1">
        <w:r w:rsidRPr="00E80EA6">
          <w:rPr>
            <w:rStyle w:val="Hyperlink"/>
            <w:lang w:val="en-US"/>
          </w:rPr>
          <w:t>https://www.energy.gov.au/publications/commercial-buildings-energy-consumption-baseline-study-2022</w:t>
        </w:r>
      </w:hyperlink>
    </w:p>
  </w:footnote>
  <w:footnote w:id="130">
    <w:p w14:paraId="0728E5E9" w14:textId="77777777" w:rsidR="006568C5" w:rsidRPr="006C574C" w:rsidRDefault="006568C5" w:rsidP="006568C5">
      <w:pPr>
        <w:pStyle w:val="FootnoteText"/>
        <w:rPr>
          <w:lang w:val="en-US"/>
        </w:rPr>
      </w:pPr>
      <w:r>
        <w:rPr>
          <w:rStyle w:val="FootnoteReference"/>
        </w:rPr>
        <w:footnoteRef/>
      </w:r>
      <w:r>
        <w:t xml:space="preserve"> </w:t>
      </w:r>
      <w:r>
        <w:rPr>
          <w:lang w:val="en-US"/>
        </w:rPr>
        <w:t xml:space="preserve">SPR (2022), op. cit. </w:t>
      </w:r>
    </w:p>
  </w:footnote>
  <w:footnote w:id="131">
    <w:p w14:paraId="4708C54E" w14:textId="77777777" w:rsidR="006568C5" w:rsidRPr="00FB598C" w:rsidRDefault="006568C5" w:rsidP="006568C5">
      <w:pPr>
        <w:pStyle w:val="FootnoteText"/>
        <w:rPr>
          <w:lang w:val="en-US"/>
        </w:rPr>
      </w:pPr>
      <w:r>
        <w:rPr>
          <w:rStyle w:val="FootnoteReference"/>
        </w:rPr>
        <w:footnoteRef/>
      </w:r>
      <w:r>
        <w:t xml:space="preserve"> </w:t>
      </w:r>
      <w:r>
        <w:rPr>
          <w:lang w:val="en-US"/>
        </w:rPr>
        <w:t xml:space="preserve">AEMO 2022, </w:t>
      </w:r>
      <w:r>
        <w:rPr>
          <w:i/>
          <w:iCs/>
          <w:lang w:val="en-US"/>
        </w:rPr>
        <w:t>AEMO releases 30-year electricity market roadmap</w:t>
      </w:r>
      <w:r>
        <w:rPr>
          <w:lang w:val="en-US"/>
        </w:rPr>
        <w:t xml:space="preserve">, 30 June 2022, </w:t>
      </w:r>
      <w:hyperlink r:id="rId67" w:history="1">
        <w:r w:rsidRPr="00FD602F">
          <w:rPr>
            <w:rStyle w:val="Hyperlink"/>
            <w:lang w:val="en-US"/>
          </w:rPr>
          <w:t>https://aemo.com.au/newsroom/media-release/aemo-releases-30-year-electricity-market-roadmap</w:t>
        </w:r>
      </w:hyperlink>
      <w:r>
        <w:rPr>
          <w:lang w:val="en-US"/>
        </w:rPr>
        <w:t xml:space="preserve"> </w:t>
      </w:r>
    </w:p>
  </w:footnote>
  <w:footnote w:id="132">
    <w:p w14:paraId="51C1DF89" w14:textId="77777777" w:rsidR="006568C5" w:rsidRPr="00241BA1" w:rsidRDefault="006568C5" w:rsidP="006568C5">
      <w:pPr>
        <w:pStyle w:val="FootnoteText"/>
        <w:rPr>
          <w:lang w:val="en-US"/>
        </w:rPr>
      </w:pPr>
      <w:r>
        <w:rPr>
          <w:rStyle w:val="FootnoteReference"/>
        </w:rPr>
        <w:footnoteRef/>
      </w:r>
      <w:r>
        <w:t xml:space="preserve"> Strategy.Policy.Research. </w:t>
      </w:r>
      <w:r w:rsidRPr="00D96F59">
        <w:rPr>
          <w:i/>
          <w:iCs/>
        </w:rPr>
        <w:t>Research report: use of renewable energy to trade</w:t>
      </w:r>
      <w:r w:rsidRPr="00D96F59">
        <w:rPr>
          <w:i/>
          <w:iCs/>
        </w:rPr>
        <w:noBreakHyphen/>
        <w:t>off energy efficiency requirements in Section J of the National Construction Code</w:t>
      </w:r>
      <w:r>
        <w:t>, Prepared for the Department of Industry, Science, Energy and Resources, 20 January 2022, p. 4.</w:t>
      </w:r>
    </w:p>
  </w:footnote>
  <w:footnote w:id="133">
    <w:p w14:paraId="4D4464DE" w14:textId="77777777" w:rsidR="006568C5" w:rsidRPr="00377FEE" w:rsidRDefault="006568C5" w:rsidP="006568C5">
      <w:pPr>
        <w:pStyle w:val="FootnoteText"/>
        <w:rPr>
          <w:lang w:val="en-US"/>
        </w:rPr>
      </w:pPr>
      <w:r>
        <w:rPr>
          <w:rStyle w:val="FootnoteReference"/>
        </w:rPr>
        <w:footnoteRef/>
      </w:r>
      <w:r>
        <w:t xml:space="preserve"> </w:t>
      </w:r>
      <w:r>
        <w:rPr>
          <w:lang w:bidi="fa-IR"/>
        </w:rPr>
        <w:t xml:space="preserve">DeltaQ, </w:t>
      </w:r>
      <w:r>
        <w:rPr>
          <w:i/>
          <w:iCs/>
          <w:lang w:bidi="fa-IR"/>
        </w:rPr>
        <w:t>NCC 2</w:t>
      </w:r>
      <w:r w:rsidRPr="00377FEE">
        <w:rPr>
          <w:i/>
          <w:iCs/>
          <w:lang w:bidi="fa-IR"/>
        </w:rPr>
        <w:t>025 Energy Efficiency — Advice on the technical basis, Initial Measures Development: Electrical Services Report</w:t>
      </w:r>
      <w:r>
        <w:rPr>
          <w:lang w:bidi="fa-IR"/>
        </w:rPr>
        <w:t>, Prepared for the Australian Building Codes Board, 26 September 2023, p. 87</w:t>
      </w:r>
      <w:r>
        <w:rPr>
          <w:lang w:bidi="fa-IR"/>
        </w:rPr>
        <w:noBreakHyphen/>
        <w:t>90</w:t>
      </w:r>
    </w:p>
  </w:footnote>
  <w:footnote w:id="134">
    <w:p w14:paraId="53DE7688" w14:textId="77777777" w:rsidR="006568C5" w:rsidRPr="001E3974" w:rsidRDefault="006568C5" w:rsidP="006568C5">
      <w:pPr>
        <w:pStyle w:val="FootnoteText"/>
        <w:rPr>
          <w:lang w:val="en-US"/>
        </w:rPr>
      </w:pPr>
      <w:r>
        <w:rPr>
          <w:rStyle w:val="FootnoteReference"/>
        </w:rPr>
        <w:footnoteRef/>
      </w:r>
      <w:r>
        <w:rPr>
          <w:lang w:val="en-US"/>
        </w:rPr>
        <w:t xml:space="preserve"> </w:t>
      </w:r>
      <w:r w:rsidRPr="001E3974">
        <w:t>Smit, R., Mellios, G. and Papadopoulos, G. (2022). Light-Duty Vehicle CO2 Emission Factors, Energy Intensities and Survival Curves for Australia’s Emissions Projections.</w:t>
      </w:r>
      <w:r>
        <w:t xml:space="preserve"> 30 June.</w:t>
      </w:r>
    </w:p>
  </w:footnote>
  <w:footnote w:id="135">
    <w:p w14:paraId="1876301A" w14:textId="77777777" w:rsidR="006568C5" w:rsidRPr="00CD5949" w:rsidRDefault="006568C5" w:rsidP="006568C5">
      <w:pPr>
        <w:pStyle w:val="FootnoteText"/>
        <w:rPr>
          <w:lang w:val="en-US"/>
        </w:rPr>
      </w:pPr>
      <w:r>
        <w:rPr>
          <w:rStyle w:val="FootnoteReference"/>
        </w:rPr>
        <w:footnoteRef/>
      </w:r>
      <w:r>
        <w:t xml:space="preserve"> </w:t>
      </w:r>
      <w:r w:rsidRPr="00E9476E">
        <w:t>CIE 2020</w:t>
      </w:r>
      <w:r>
        <w:t>,</w:t>
      </w:r>
      <w:r w:rsidRPr="00E9476E">
        <w:t xml:space="preserve"> </w:t>
      </w:r>
      <w:r w:rsidRPr="007A3DD1">
        <w:rPr>
          <w:i/>
        </w:rPr>
        <w:t>Greenhouse gas emissions projections and economic analysis of emissions reduction in Victoria</w:t>
      </w:r>
      <w:r w:rsidRPr="007A3DD1">
        <w:rPr>
          <w:i/>
          <w:iCs/>
        </w:rPr>
        <w:t>:</w:t>
      </w:r>
      <w:r w:rsidRPr="007A3DD1">
        <w:rPr>
          <w:i/>
        </w:rPr>
        <w:t xml:space="preserve"> Whole of the economy modelling</w:t>
      </w:r>
      <w:r>
        <w:t>,</w:t>
      </w:r>
      <w:r w:rsidRPr="00E9476E">
        <w:t xml:space="preserve"> </w:t>
      </w:r>
      <w:r>
        <w:t>p</w:t>
      </w:r>
      <w:r w:rsidRPr="00E9476E">
        <w:t>repared for DELWP. September.</w:t>
      </w:r>
    </w:p>
  </w:footnote>
  <w:footnote w:id="136">
    <w:p w14:paraId="0920101E" w14:textId="77777777" w:rsidR="006568C5" w:rsidRPr="009D28BC" w:rsidRDefault="006568C5" w:rsidP="006568C5">
      <w:pPr>
        <w:pStyle w:val="FootnoteText"/>
        <w:rPr>
          <w:lang w:val="en-US"/>
        </w:rPr>
      </w:pPr>
      <w:r>
        <w:rPr>
          <w:rStyle w:val="FootnoteReference"/>
        </w:rPr>
        <w:footnoteRef/>
      </w:r>
      <w:r>
        <w:t xml:space="preserve"> </w:t>
      </w:r>
      <w:r w:rsidRPr="003B4953">
        <w:t xml:space="preserve">Marsden Jacobs and Pacific Environment Limited (PEL) 2016, </w:t>
      </w:r>
      <w:r w:rsidRPr="007A3DD1">
        <w:rPr>
          <w:i/>
        </w:rPr>
        <w:t>Review of the Fuel Quality Standards Act 2000</w:t>
      </w:r>
      <w:r w:rsidRPr="003B4953">
        <w:t>, report prepared for the Australian Government Department of the Environment</w:t>
      </w:r>
    </w:p>
  </w:footnote>
  <w:footnote w:id="137">
    <w:p w14:paraId="0FFDBC5A" w14:textId="77777777" w:rsidR="009B4D09" w:rsidRPr="002F6E1C" w:rsidRDefault="009B4D09" w:rsidP="009B4D09">
      <w:pPr>
        <w:pStyle w:val="FootnoteText"/>
        <w:rPr>
          <w:lang w:val="en-US"/>
        </w:rPr>
      </w:pPr>
      <w:r>
        <w:rPr>
          <w:rStyle w:val="FootnoteReference"/>
        </w:rPr>
        <w:footnoteRef/>
      </w:r>
      <w:r>
        <w:t xml:space="preserve"> See: Strategy.Policy.Research. </w:t>
      </w:r>
      <w:r w:rsidRPr="00D96F59">
        <w:rPr>
          <w:i/>
          <w:iCs/>
        </w:rPr>
        <w:t>Research report: use of renewable energy to trade</w:t>
      </w:r>
      <w:r w:rsidRPr="00D96F59">
        <w:rPr>
          <w:i/>
          <w:iCs/>
        </w:rPr>
        <w:noBreakHyphen/>
        <w:t>off energy efficiency requirements in Section J of the National Construction Code</w:t>
      </w:r>
      <w:r>
        <w:t>, Prepared for the Department of Industry, Science, Energy and Resources, 20 January 2022, p. 4.</w:t>
      </w:r>
    </w:p>
  </w:footnote>
  <w:footnote w:id="138">
    <w:p w14:paraId="142F8A1C" w14:textId="77777777" w:rsidR="009B4D09" w:rsidRPr="00DC12A9" w:rsidRDefault="009B4D09" w:rsidP="009B4D09">
      <w:pPr>
        <w:pStyle w:val="FootnoteText"/>
        <w:rPr>
          <w:lang w:val="en-US"/>
        </w:rPr>
      </w:pPr>
      <w:r>
        <w:rPr>
          <w:rStyle w:val="FootnoteReference"/>
        </w:rPr>
        <w:footnoteRef/>
      </w:r>
      <w:r>
        <w:t xml:space="preserve"> Strategy.Policy.Research. </w:t>
      </w:r>
      <w:r w:rsidRPr="00D96F59">
        <w:rPr>
          <w:i/>
          <w:iCs/>
        </w:rPr>
        <w:t>Research report: use of renewable energy to trade</w:t>
      </w:r>
      <w:r w:rsidRPr="00D96F59">
        <w:rPr>
          <w:i/>
          <w:iCs/>
        </w:rPr>
        <w:noBreakHyphen/>
        <w:t>off energy efficiency requirements in Section J of the National Construction Code</w:t>
      </w:r>
      <w:r>
        <w:t>, Prepared for the Department of Industry, Science, Energy and Resources, 20 January 2022, p. 8.</w:t>
      </w:r>
    </w:p>
  </w:footnote>
  <w:footnote w:id="139">
    <w:p w14:paraId="3B4021C7" w14:textId="77777777" w:rsidR="009B4D09" w:rsidRPr="006D6C38" w:rsidRDefault="009B4D09" w:rsidP="009B4D09">
      <w:pPr>
        <w:pStyle w:val="FootnoteText"/>
        <w:rPr>
          <w:lang w:val="en-GB"/>
        </w:rPr>
      </w:pPr>
      <w:r>
        <w:rPr>
          <w:rStyle w:val="FootnoteReference"/>
        </w:rPr>
        <w:footnoteRef/>
      </w:r>
      <w:r>
        <w:t xml:space="preserve"> </w:t>
      </w:r>
      <w:r>
        <w:rPr>
          <w:lang w:val="en-GB"/>
        </w:rPr>
        <w:t xml:space="preserve">US Environment Protection Agency 2022, </w:t>
      </w:r>
      <w:r>
        <w:rPr>
          <w:i/>
          <w:lang w:val="en-GB"/>
        </w:rPr>
        <w:t>Supplementary Material for the Regulatory Impact Analysis for the Supplemental Proposed Rulemaking, “Standards of Performance for New, Reconstructed, and Modified Sources and Emissions Guidelines for Existing Sources: Oil and Natural Gas Sector Climate Review”</w:t>
      </w:r>
      <w:r>
        <w:rPr>
          <w:lang w:val="en-GB"/>
        </w:rPr>
        <w:t>, EPA External Review Draft of Report on the Social Cost of Greenhouse Gases: Estimates Incorporating Recent Scientific Advances, September 2022, p. 3.</w:t>
      </w:r>
    </w:p>
  </w:footnote>
  <w:footnote w:id="140">
    <w:p w14:paraId="265CA40A" w14:textId="77777777" w:rsidR="009B4D09" w:rsidRPr="001B6474" w:rsidRDefault="009B4D09" w:rsidP="009B4D09">
      <w:pPr>
        <w:pStyle w:val="FootnoteText"/>
        <w:rPr>
          <w:lang w:val="en-US"/>
        </w:rPr>
      </w:pPr>
      <w:r>
        <w:rPr>
          <w:rStyle w:val="FootnoteReference"/>
        </w:rPr>
        <w:footnoteRef/>
      </w:r>
      <w:r>
        <w:t xml:space="preserve"> </w:t>
      </w:r>
      <w:r>
        <w:rPr>
          <w:lang w:val="en-US"/>
        </w:rPr>
        <w:t>Climateworks Centre, Net Zero Momentum Tracker, 1.50C climate goal: How does the ASX200 stack up in 2022?, Highlights Report, December 2022, p. 6.</w:t>
      </w:r>
    </w:p>
  </w:footnote>
  <w:footnote w:id="141">
    <w:p w14:paraId="4B0DD7D1" w14:textId="77777777" w:rsidR="009B4D09" w:rsidRDefault="009B4D09" w:rsidP="009B4D09">
      <w:pPr>
        <w:pStyle w:val="FootnoteText"/>
      </w:pPr>
      <w:r>
        <w:rPr>
          <w:rStyle w:val="FootnoteReference"/>
        </w:rPr>
        <w:footnoteRef/>
      </w:r>
      <w:r>
        <w:t xml:space="preserve"> Australian Council of Superannuation Investors, </w:t>
      </w:r>
      <w:r>
        <w:rPr>
          <w:i/>
          <w:iCs/>
        </w:rPr>
        <w:t>Promises, pathways and performance: Climate change disclosure in the ASX200</w:t>
      </w:r>
      <w:r>
        <w:t xml:space="preserve">, August 2023, pp. 5–12, </w:t>
      </w:r>
      <w:hyperlink r:id="rId68" w:history="1">
        <w:r w:rsidRPr="00A74EB3">
          <w:rPr>
            <w:rStyle w:val="Hyperlink"/>
          </w:rPr>
          <w:t>https://acsi.org.au/research-reports/promises-pathways-and-performance-climate-change-disclosure-in-the-asx200/</w:t>
        </w:r>
      </w:hyperlink>
      <w:r>
        <w:t>, accessed 1 November 2023.</w:t>
      </w:r>
    </w:p>
  </w:footnote>
  <w:footnote w:id="142">
    <w:p w14:paraId="6D1D5200" w14:textId="77777777" w:rsidR="009B4D09" w:rsidRPr="00131D27" w:rsidRDefault="009B4D09" w:rsidP="009B4D09">
      <w:pPr>
        <w:pStyle w:val="FootnoteText"/>
        <w:rPr>
          <w:lang w:val="en-GB"/>
        </w:rPr>
      </w:pPr>
      <w:r>
        <w:rPr>
          <w:rStyle w:val="FootnoteReference"/>
        </w:rPr>
        <w:footnoteRef/>
      </w:r>
      <w:r>
        <w:t xml:space="preserve"> </w:t>
      </w:r>
      <w:r>
        <w:rPr>
          <w:lang w:val="en-GB"/>
        </w:rPr>
        <w:t xml:space="preserve">NABERS website, </w:t>
      </w:r>
      <w:r w:rsidRPr="008F04AC">
        <w:rPr>
          <w:lang w:val="en-GB"/>
        </w:rPr>
        <w:t>https://www.nabers.gov.au/ratings/our-ratings/nabers-energy</w:t>
      </w:r>
      <w:r>
        <w:rPr>
          <w:lang w:val="en-GB"/>
        </w:rPr>
        <w:t>, accessed 16 October 2023.</w:t>
      </w:r>
    </w:p>
  </w:footnote>
  <w:footnote w:id="143">
    <w:p w14:paraId="18DFCB7B" w14:textId="77777777" w:rsidR="009B4D09" w:rsidRPr="005D27C8" w:rsidRDefault="009B4D09" w:rsidP="009B4D09">
      <w:pPr>
        <w:pStyle w:val="FootnoteText"/>
        <w:rPr>
          <w:lang w:val="en-GB"/>
        </w:rPr>
      </w:pPr>
      <w:r>
        <w:rPr>
          <w:rStyle w:val="FootnoteReference"/>
        </w:rPr>
        <w:footnoteRef/>
      </w:r>
      <w:r>
        <w:t xml:space="preserve"> </w:t>
      </w:r>
      <w:r>
        <w:rPr>
          <w:lang w:val="en-GB"/>
        </w:rPr>
        <w:t xml:space="preserve">Commercial Building Disclosure website, </w:t>
      </w:r>
      <w:hyperlink r:id="rId69" w:history="1">
        <w:r w:rsidRPr="00642D93">
          <w:rPr>
            <w:rStyle w:val="Hyperlink"/>
            <w:lang w:val="en-GB"/>
          </w:rPr>
          <w:t>http://cbd.gov.au/overview-of-the-program/what-is-cbd</w:t>
        </w:r>
      </w:hyperlink>
      <w:r>
        <w:rPr>
          <w:lang w:val="en-GB"/>
        </w:rPr>
        <w:t>, accessed 17 October 2017.</w:t>
      </w:r>
    </w:p>
  </w:footnote>
  <w:footnote w:id="144">
    <w:p w14:paraId="5C8DDC5D" w14:textId="77777777" w:rsidR="009B4D09" w:rsidRPr="003545BF" w:rsidRDefault="009B4D09" w:rsidP="009B4D09">
      <w:pPr>
        <w:pStyle w:val="FootnoteText"/>
        <w:rPr>
          <w:lang w:val="en-GB"/>
        </w:rPr>
      </w:pPr>
      <w:r>
        <w:rPr>
          <w:rStyle w:val="FootnoteReference"/>
        </w:rPr>
        <w:footnoteRef/>
      </w:r>
      <w:r>
        <w:t xml:space="preserve"> </w:t>
      </w:r>
      <w:r>
        <w:rPr>
          <w:lang w:val="en-GB"/>
        </w:rPr>
        <w:t xml:space="preserve">Acil Allen Consulting 2015, </w:t>
      </w:r>
      <w:r>
        <w:rPr>
          <w:i/>
          <w:lang w:val="en-GB"/>
        </w:rPr>
        <w:t>Commercial Building Disclosure: Program Review</w:t>
      </w:r>
      <w:r>
        <w:rPr>
          <w:lang w:val="en-GB"/>
        </w:rPr>
        <w:t>, Report to the Department of Industry and Science, March 2015, pp. 42</w:t>
      </w:r>
      <w:r>
        <w:rPr>
          <w:lang w:val="en-GB"/>
        </w:rPr>
        <w:noBreakHyphen/>
        <w:t>46.</w:t>
      </w:r>
    </w:p>
  </w:footnote>
  <w:footnote w:id="145">
    <w:p w14:paraId="494BBBD8" w14:textId="77777777" w:rsidR="009B4D09" w:rsidRPr="003970A9" w:rsidRDefault="009B4D09" w:rsidP="009B4D09">
      <w:pPr>
        <w:pStyle w:val="FootnoteText"/>
        <w:rPr>
          <w:lang w:val="en-US"/>
        </w:rPr>
      </w:pPr>
      <w:r>
        <w:rPr>
          <w:rStyle w:val="FootnoteReference"/>
        </w:rPr>
        <w:footnoteRef/>
      </w:r>
      <w:r>
        <w:t xml:space="preserve"> </w:t>
      </w:r>
      <w:r>
        <w:rPr>
          <w:lang w:val="en-US"/>
        </w:rPr>
        <w:t xml:space="preserve">CBRE 2023, The Green Building Premium: Does It Exist, March 2023, </w:t>
      </w:r>
      <w:hyperlink r:id="rId70" w:history="1">
        <w:r w:rsidRPr="00B23081">
          <w:rPr>
            <w:rStyle w:val="Hyperlink"/>
            <w:lang w:val="en-US"/>
          </w:rPr>
          <w:t>https://www.cbre.com.au/insights/viewpoints/asia-pacific-viewpoint-the-green-building-premium-does-it-exist</w:t>
        </w:r>
      </w:hyperlink>
      <w:r>
        <w:rPr>
          <w:lang w:val="en-US"/>
        </w:rPr>
        <w:t>, accessed 1 November 2023.</w:t>
      </w:r>
    </w:p>
  </w:footnote>
  <w:footnote w:id="146">
    <w:p w14:paraId="7972220F" w14:textId="77777777" w:rsidR="009B4D09" w:rsidRPr="003970A9" w:rsidRDefault="009B4D09" w:rsidP="009B4D09">
      <w:pPr>
        <w:pStyle w:val="FootnoteText"/>
        <w:rPr>
          <w:lang w:val="en-US"/>
        </w:rPr>
      </w:pPr>
      <w:r>
        <w:rPr>
          <w:rStyle w:val="FootnoteReference"/>
        </w:rPr>
        <w:footnoteRef/>
      </w:r>
      <w:r>
        <w:t xml:space="preserve"> V Ormond 2021, </w:t>
      </w:r>
      <w:r>
        <w:rPr>
          <w:i/>
          <w:iCs/>
        </w:rPr>
        <w:t>Green building value: do green-rated buildings add a premium to sales price?</w:t>
      </w:r>
      <w:r>
        <w:t xml:space="preserve">, Knight Frank, 29 September 2021, </w:t>
      </w:r>
      <w:hyperlink r:id="rId71" w:history="1">
        <w:r w:rsidRPr="00077434">
          <w:rPr>
            <w:rStyle w:val="Hyperlink"/>
          </w:rPr>
          <w:t>https://www.knightfrank.com/research/article/2021-09-29-green-building-value-do-greenrated-buildings-add-a-premium-to-sales-price</w:t>
        </w:r>
      </w:hyperlink>
      <w:r>
        <w:t>, accessed 1 November 2023.</w:t>
      </w:r>
    </w:p>
  </w:footnote>
  <w:footnote w:id="147">
    <w:p w14:paraId="2A919C6D" w14:textId="77777777" w:rsidR="009B4D09" w:rsidRPr="00C5261B" w:rsidRDefault="009B4D09" w:rsidP="009B4D09">
      <w:pPr>
        <w:pStyle w:val="FootnoteText"/>
        <w:rPr>
          <w:lang w:val="en-GB"/>
        </w:rPr>
      </w:pPr>
      <w:r>
        <w:rPr>
          <w:rStyle w:val="FootnoteReference"/>
        </w:rPr>
        <w:footnoteRef/>
      </w:r>
      <w:r>
        <w:t xml:space="preserve"> Newell, Graeme, John MacFarlane and Nils Kok 2011</w:t>
      </w:r>
      <w:r>
        <w:rPr>
          <w:lang w:val="en-GB"/>
        </w:rPr>
        <w:t xml:space="preserve">, </w:t>
      </w:r>
      <w:r w:rsidRPr="00C5261B">
        <w:rPr>
          <w:i/>
          <w:lang w:val="en-GB"/>
        </w:rPr>
        <w:t>Building Better Returns: A Study of the Financial Performance of Green Office Buildings in Australia</w:t>
      </w:r>
      <w:r>
        <w:rPr>
          <w:lang w:val="en-GB"/>
        </w:rPr>
        <w:t>, Research by the University of Western Sydney and the University of Maastricht Netherlands in conjunction with Jones Lang LaSalle and CBRE for The Australian Property Institute and Property Funds Association, p. 22.</w:t>
      </w:r>
    </w:p>
  </w:footnote>
  <w:footnote w:id="148">
    <w:p w14:paraId="2F2AC88E" w14:textId="77777777" w:rsidR="009B4D09" w:rsidRPr="00C5261B" w:rsidRDefault="009B4D09" w:rsidP="009B4D09">
      <w:pPr>
        <w:pStyle w:val="FootnoteText"/>
        <w:rPr>
          <w:lang w:val="en-GB"/>
        </w:rPr>
      </w:pPr>
      <w:r>
        <w:rPr>
          <w:rStyle w:val="FootnoteReference"/>
        </w:rPr>
        <w:footnoteRef/>
      </w:r>
      <w:r>
        <w:t xml:space="preserve"> i</w:t>
      </w:r>
      <w:r>
        <w:rPr>
          <w:lang w:val="en-GB"/>
        </w:rPr>
        <w:t>bid, p. 41.</w:t>
      </w:r>
    </w:p>
  </w:footnote>
  <w:footnote w:id="149">
    <w:p w14:paraId="175CC9F4" w14:textId="77777777" w:rsidR="009B4D09" w:rsidRDefault="009B4D09" w:rsidP="009B4D09">
      <w:pPr>
        <w:pStyle w:val="FootnoteText"/>
      </w:pPr>
      <w:r>
        <w:rPr>
          <w:rStyle w:val="FootnoteReference"/>
        </w:rPr>
        <w:footnoteRef/>
      </w:r>
      <w:r>
        <w:t xml:space="preserve"> International Energy Agency (IEA), </w:t>
      </w:r>
      <w:r>
        <w:rPr>
          <w:i/>
          <w:iCs/>
        </w:rPr>
        <w:t>Mind the Gap - Quantifying Principal-Agent Problems in Energy Efficiency</w:t>
      </w:r>
      <w:r>
        <w:t xml:space="preserve">, IEA, 2007, </w:t>
      </w:r>
      <w:hyperlink r:id="rId72" w:history="1">
        <w:r w:rsidRPr="00077434">
          <w:rPr>
            <w:rStyle w:val="Hyperlink"/>
          </w:rPr>
          <w:t>https://www.ctc-n.org/sites/www.ctc-n.org/files/resources/mind_the_gap.pdf</w:t>
        </w:r>
      </w:hyperlink>
      <w:r>
        <w:t>, accessed 3 November 2023.</w:t>
      </w:r>
    </w:p>
  </w:footnote>
  <w:footnote w:id="150">
    <w:p w14:paraId="5DBC4B5D" w14:textId="77777777" w:rsidR="009B4D09" w:rsidRPr="000017F3" w:rsidRDefault="009B4D09" w:rsidP="009B4D09">
      <w:pPr>
        <w:pStyle w:val="FootnoteText"/>
        <w:rPr>
          <w:lang w:val="en-GB"/>
        </w:rPr>
      </w:pPr>
      <w:r>
        <w:rPr>
          <w:rStyle w:val="FootnoteReference"/>
        </w:rPr>
        <w:footnoteRef/>
      </w:r>
      <w:r>
        <w:t xml:space="preserve"> </w:t>
      </w:r>
      <w:r>
        <w:rPr>
          <w:lang w:val="en-GB"/>
        </w:rPr>
        <w:t>Gerarden, Todd D., Richard G. Newell, and Robert N. Stavins 2015, “Assessing the Energy Efficiency Gap” Cambridge, Mass.: Harvard Environmental Economics Program, January 2015, p. 28.</w:t>
      </w:r>
    </w:p>
  </w:footnote>
  <w:footnote w:id="151">
    <w:p w14:paraId="1BA411B1" w14:textId="77777777" w:rsidR="009B4D09" w:rsidRPr="00AB012E" w:rsidRDefault="009B4D09" w:rsidP="009B4D09">
      <w:pPr>
        <w:pStyle w:val="FootnoteText"/>
        <w:rPr>
          <w:lang w:val="en-GB"/>
        </w:rPr>
      </w:pPr>
      <w:r>
        <w:rPr>
          <w:rStyle w:val="FootnoteReference"/>
        </w:rPr>
        <w:footnoteRef/>
      </w:r>
      <w:r>
        <w:t xml:space="preserve"> </w:t>
      </w:r>
      <w:r>
        <w:rPr>
          <w:lang w:val="en-GB"/>
        </w:rPr>
        <w:t>ibid, p. 28.</w:t>
      </w:r>
    </w:p>
  </w:footnote>
  <w:footnote w:id="152">
    <w:p w14:paraId="00478427" w14:textId="77777777" w:rsidR="009B4D09" w:rsidRPr="005303FB" w:rsidRDefault="009B4D09" w:rsidP="009B4D09">
      <w:pPr>
        <w:pStyle w:val="FootnoteText"/>
        <w:rPr>
          <w:lang w:val="en-GB"/>
        </w:rPr>
      </w:pPr>
      <w:r>
        <w:rPr>
          <w:rStyle w:val="FootnoteReference"/>
        </w:rPr>
        <w:footnoteRef/>
      </w:r>
      <w:r>
        <w:t xml:space="preserve"> </w:t>
      </w:r>
      <w:r>
        <w:rPr>
          <w:lang w:val="en-GB"/>
        </w:rPr>
        <w:t>ibid, pp. 24</w:t>
      </w:r>
      <w:r>
        <w:rPr>
          <w:lang w:val="en-GB"/>
        </w:rPr>
        <w:noBreakHyphen/>
        <w:t>26.</w:t>
      </w:r>
    </w:p>
  </w:footnote>
  <w:footnote w:id="153">
    <w:p w14:paraId="52A57F45" w14:textId="77777777" w:rsidR="009B4D09" w:rsidRPr="003E6053" w:rsidRDefault="009B4D09" w:rsidP="009B4D09">
      <w:pPr>
        <w:pStyle w:val="FootnoteText"/>
        <w:rPr>
          <w:lang w:val="en-GB"/>
        </w:rPr>
      </w:pPr>
      <w:r>
        <w:rPr>
          <w:rStyle w:val="FootnoteReference"/>
        </w:rPr>
        <w:footnoteRef/>
      </w:r>
      <w:r>
        <w:t xml:space="preserve"> For further details see: Gerarden, T.D., Newell, R.G. and Stavins, R.N. 2015, </w:t>
      </w:r>
      <w:r>
        <w:rPr>
          <w:i/>
        </w:rPr>
        <w:t>Assessing the Energy Efficiency Gap</w:t>
      </w:r>
      <w:r>
        <w:t>, Duke University Energy Initiative and Harvard Environmental Economics Program, January 2015, pp. 17</w:t>
      </w:r>
      <w:r>
        <w:noBreakHyphen/>
        <w:t>19.</w:t>
      </w:r>
    </w:p>
  </w:footnote>
  <w:footnote w:id="154">
    <w:p w14:paraId="32104F43" w14:textId="77777777" w:rsidR="009B4D09" w:rsidRPr="00E70432" w:rsidRDefault="009B4D09" w:rsidP="009B4D09">
      <w:pPr>
        <w:pStyle w:val="FootnoteText"/>
        <w:rPr>
          <w:lang w:val="en-GB"/>
        </w:rPr>
      </w:pPr>
      <w:r>
        <w:rPr>
          <w:rStyle w:val="FootnoteReference"/>
        </w:rPr>
        <w:footnoteRef/>
      </w:r>
      <w:r>
        <w:t xml:space="preserve"> </w:t>
      </w:r>
      <w:r>
        <w:rPr>
          <w:lang w:val="en-GB"/>
        </w:rPr>
        <w:t xml:space="preserve">Productivity Commission 2005, </w:t>
      </w:r>
      <w:r w:rsidRPr="00477635">
        <w:rPr>
          <w:i/>
          <w:lang w:val="en-GB"/>
        </w:rPr>
        <w:t>The Private Cost Effectiveness of Improving Energy Efficiency</w:t>
      </w:r>
      <w:r>
        <w:rPr>
          <w:lang w:val="en-GB"/>
        </w:rPr>
        <w:t>, Productivity Commission Inquiry Report No. 36, 31 August 2005</w:t>
      </w:r>
      <w:r w:rsidRPr="00194794">
        <w:rPr>
          <w:lang w:val="en-GB"/>
        </w:rPr>
        <w:t>, p. 236</w:t>
      </w:r>
      <w:r>
        <w:rPr>
          <w:lang w:val="en-GB"/>
        </w:rPr>
        <w:t>.</w:t>
      </w:r>
    </w:p>
  </w:footnote>
  <w:footnote w:id="155">
    <w:p w14:paraId="36BD935C" w14:textId="77777777" w:rsidR="009B4D09" w:rsidRPr="00FF0C64" w:rsidRDefault="009B4D09" w:rsidP="009B4D09">
      <w:pPr>
        <w:pStyle w:val="FootnoteText"/>
        <w:rPr>
          <w:lang w:val="en-GB"/>
        </w:rPr>
      </w:pPr>
      <w:r>
        <w:rPr>
          <w:rStyle w:val="FootnoteReference"/>
        </w:rPr>
        <w:footnoteRef/>
      </w:r>
      <w:r>
        <w:t xml:space="preserve"> </w:t>
      </w:r>
      <w:r>
        <w:rPr>
          <w:lang w:val="en-GB"/>
        </w:rPr>
        <w:t xml:space="preserve">Gillingham, K. and Palmer, K. 2014, “Bridging the Energy Efficiency Gap: Policy Insights from Economic Theory and Empirical Evidence”, </w:t>
      </w:r>
      <w:r w:rsidRPr="00FF0C64">
        <w:rPr>
          <w:i/>
          <w:lang w:val="en-GB"/>
        </w:rPr>
        <w:t>Review of Environmental Economics and Policy</w:t>
      </w:r>
      <w:r>
        <w:rPr>
          <w:lang w:val="en-GB"/>
        </w:rPr>
        <w:t xml:space="preserve">, </w:t>
      </w:r>
      <w:r w:rsidRPr="0023069E">
        <w:rPr>
          <w:b/>
          <w:lang w:val="en-GB"/>
        </w:rPr>
        <w:t>8</w:t>
      </w:r>
      <w:r>
        <w:rPr>
          <w:lang w:val="en-GB"/>
        </w:rPr>
        <w:t xml:space="preserve">(1), p. </w:t>
      </w:r>
      <w:r w:rsidRPr="00947173">
        <w:rPr>
          <w:lang w:val="en-GB"/>
        </w:rPr>
        <w:t>21</w:t>
      </w:r>
      <w:r>
        <w:rPr>
          <w:lang w:val="en-GB"/>
        </w:rPr>
        <w:t>.</w:t>
      </w:r>
    </w:p>
  </w:footnote>
  <w:footnote w:id="156">
    <w:p w14:paraId="21CAF7FB" w14:textId="77777777" w:rsidR="009B4D09" w:rsidRPr="00477635" w:rsidRDefault="009B4D09" w:rsidP="009B4D09">
      <w:pPr>
        <w:pStyle w:val="FootnoteText"/>
        <w:rPr>
          <w:lang w:val="en-GB"/>
        </w:rPr>
      </w:pPr>
      <w:r>
        <w:rPr>
          <w:rStyle w:val="FootnoteReference"/>
        </w:rPr>
        <w:footnoteRef/>
      </w:r>
      <w:r>
        <w:t xml:space="preserve"> </w:t>
      </w:r>
      <w:r>
        <w:rPr>
          <w:lang w:val="en-GB"/>
        </w:rPr>
        <w:t xml:space="preserve">Productivity Commission 2005, </w:t>
      </w:r>
      <w:r w:rsidRPr="00477635">
        <w:rPr>
          <w:i/>
          <w:lang w:val="en-GB"/>
        </w:rPr>
        <w:t>The Private Cost Effectiveness of Improving Energy Efficiency</w:t>
      </w:r>
      <w:r>
        <w:rPr>
          <w:lang w:val="en-GB"/>
        </w:rPr>
        <w:t>, Productivity Commission Inquiry Report No. 36, 31 August 2005, p. 62.</w:t>
      </w:r>
    </w:p>
  </w:footnote>
  <w:footnote w:id="157">
    <w:p w14:paraId="02981D92" w14:textId="77777777" w:rsidR="009B4D09" w:rsidRPr="00365776" w:rsidRDefault="009B4D09" w:rsidP="009B4D09">
      <w:pPr>
        <w:pStyle w:val="FootnoteText"/>
        <w:rPr>
          <w:lang w:val="en-GB"/>
        </w:rPr>
      </w:pPr>
      <w:r>
        <w:rPr>
          <w:rStyle w:val="FootnoteReference"/>
        </w:rPr>
        <w:footnoteRef/>
      </w:r>
      <w:r>
        <w:t xml:space="preserve"> </w:t>
      </w:r>
      <w:r>
        <w:rPr>
          <w:lang w:val="en-GB"/>
        </w:rPr>
        <w:t xml:space="preserve">Gillingham, K. and Palmer, K. 2014, “Bridging the Energy Efficiency Gap: Policy Insights from Economic Theory and Empirical Evidence”, </w:t>
      </w:r>
      <w:r w:rsidRPr="00FF0C64">
        <w:rPr>
          <w:i/>
          <w:lang w:val="en-GB"/>
        </w:rPr>
        <w:t>Review of Environmental Economics and Policy</w:t>
      </w:r>
      <w:r>
        <w:rPr>
          <w:lang w:val="en-GB"/>
        </w:rPr>
        <w:t xml:space="preserve">, volume 8, issue 1, p. </w:t>
      </w:r>
      <w:r w:rsidRPr="00365776">
        <w:rPr>
          <w:lang w:val="en-GB"/>
        </w:rPr>
        <w:t>21</w:t>
      </w:r>
      <w:r>
        <w:rPr>
          <w:lang w:val="en-GB"/>
        </w:rPr>
        <w:t>.</w:t>
      </w:r>
    </w:p>
  </w:footnote>
  <w:footnote w:id="158">
    <w:p w14:paraId="20B32529" w14:textId="77777777" w:rsidR="009B4D09" w:rsidRPr="00365776" w:rsidRDefault="009B4D09" w:rsidP="009B4D09">
      <w:pPr>
        <w:pStyle w:val="FootnoteText"/>
        <w:rPr>
          <w:lang w:val="en-GB"/>
        </w:rPr>
      </w:pPr>
      <w:r>
        <w:rPr>
          <w:rStyle w:val="FootnoteReference"/>
        </w:rPr>
        <w:footnoteRef/>
      </w:r>
      <w:r>
        <w:t xml:space="preserve"> </w:t>
      </w:r>
      <w:r>
        <w:rPr>
          <w:lang w:val="en-GB"/>
        </w:rPr>
        <w:t xml:space="preserve">Productivity Commission 2005, </w:t>
      </w:r>
      <w:r w:rsidRPr="00477635">
        <w:rPr>
          <w:i/>
          <w:lang w:val="en-GB"/>
        </w:rPr>
        <w:t>The Private Cost Effectiveness of Improving Energy Efficiency</w:t>
      </w:r>
      <w:r>
        <w:rPr>
          <w:lang w:val="en-GB"/>
        </w:rPr>
        <w:t>, Productivity Commission Inquiry Report No. 36, 31 August 2005, p. 62.</w:t>
      </w:r>
    </w:p>
  </w:footnote>
  <w:footnote w:id="159">
    <w:p w14:paraId="13A55570" w14:textId="77777777" w:rsidR="009B4D09" w:rsidRPr="00E70432" w:rsidRDefault="009B4D09" w:rsidP="009B4D09">
      <w:pPr>
        <w:pStyle w:val="FootnoteText"/>
        <w:rPr>
          <w:lang w:val="en-GB"/>
        </w:rPr>
      </w:pPr>
      <w:r>
        <w:rPr>
          <w:rStyle w:val="FootnoteReference"/>
        </w:rPr>
        <w:footnoteRef/>
      </w:r>
      <w:r>
        <w:t xml:space="preserve"> </w:t>
      </w:r>
      <w:r>
        <w:rPr>
          <w:lang w:val="en-GB"/>
        </w:rPr>
        <w:t>ibid, p. 236.</w:t>
      </w:r>
    </w:p>
  </w:footnote>
  <w:footnote w:id="160">
    <w:p w14:paraId="4402684C" w14:textId="77777777" w:rsidR="009B4D09" w:rsidRDefault="009B4D09" w:rsidP="009B4D09">
      <w:pPr>
        <w:pStyle w:val="FootnoteText"/>
      </w:pPr>
      <w:r>
        <w:rPr>
          <w:rStyle w:val="FootnoteReference"/>
        </w:rPr>
        <w:footnoteRef/>
      </w:r>
      <w:r>
        <w:t xml:space="preserve"> ACCC 2022, </w:t>
      </w:r>
      <w:r w:rsidRPr="00F33AD2">
        <w:rPr>
          <w:i/>
          <w:iCs/>
        </w:rPr>
        <w:t>Inquiry into the National Electricity Market</w:t>
      </w:r>
      <w:r>
        <w:t>, November 2022 Report, 23 November 2022, p.115.</w:t>
      </w:r>
    </w:p>
  </w:footnote>
  <w:footnote w:id="161">
    <w:p w14:paraId="2B681419" w14:textId="77777777" w:rsidR="009B4D09" w:rsidRPr="00C659DE" w:rsidRDefault="009B4D09" w:rsidP="009B4D09">
      <w:pPr>
        <w:pStyle w:val="FootnoteText"/>
        <w:rPr>
          <w:lang w:val="en-US"/>
        </w:rPr>
      </w:pPr>
      <w:r>
        <w:rPr>
          <w:rStyle w:val="FootnoteReference"/>
        </w:rPr>
        <w:footnoteRef/>
      </w:r>
      <w:r>
        <w:t xml:space="preserve"> AEMO, ‘Market Data - Western Australia’, in </w:t>
      </w:r>
      <w:r>
        <w:rPr>
          <w:i/>
          <w:iCs/>
        </w:rPr>
        <w:t>data.wa.aemo.com.au</w:t>
      </w:r>
      <w:r>
        <w:t xml:space="preserve">, 2023, </w:t>
      </w:r>
      <w:hyperlink r:id="rId73" w:anchor="balancing-summary" w:history="1">
        <w:r w:rsidRPr="00094E75">
          <w:rPr>
            <w:rStyle w:val="Hyperlink"/>
          </w:rPr>
          <w:t>https://data.wa.aemo.com.au/#balancing-summary</w:t>
        </w:r>
      </w:hyperlink>
      <w:r>
        <w:t xml:space="preserve"> , accessed 3 November 2023.</w:t>
      </w:r>
    </w:p>
  </w:footnote>
  <w:footnote w:id="162">
    <w:p w14:paraId="52D7D534" w14:textId="77777777" w:rsidR="009B4D09" w:rsidRDefault="009B4D09" w:rsidP="009B4D09">
      <w:pPr>
        <w:pStyle w:val="FootnoteText"/>
      </w:pPr>
      <w:r>
        <w:rPr>
          <w:rStyle w:val="FootnoteReference"/>
        </w:rPr>
        <w:footnoteRef/>
      </w:r>
      <w:r>
        <w:t xml:space="preserve"> Northern Territory Electricity System and Market Operator (NTESMO), ‘Historical daily trading data’, in </w:t>
      </w:r>
      <w:r>
        <w:rPr>
          <w:i/>
          <w:iCs/>
        </w:rPr>
        <w:t>NTESMO</w:t>
      </w:r>
      <w:r>
        <w:t xml:space="preserve">, 2022, </w:t>
      </w:r>
      <w:hyperlink r:id="rId74" w:history="1">
        <w:r w:rsidRPr="00077434">
          <w:rPr>
            <w:rStyle w:val="Hyperlink"/>
          </w:rPr>
          <w:t>https://ntesmo.com.au/data/daily-trading/historical-daily-trading-data</w:t>
        </w:r>
      </w:hyperlink>
      <w:r>
        <w:t>, accessed 3 November 2023.</w:t>
      </w:r>
    </w:p>
  </w:footnote>
  <w:footnote w:id="163">
    <w:p w14:paraId="3D1B08BA" w14:textId="77777777" w:rsidR="009B4D09" w:rsidRDefault="009B4D09" w:rsidP="009B4D09">
      <w:pPr>
        <w:pStyle w:val="FootnoteText"/>
      </w:pPr>
      <w:r>
        <w:rPr>
          <w:rStyle w:val="FootnoteReference"/>
        </w:rPr>
        <w:footnoteRef/>
      </w:r>
      <w:r>
        <w:t xml:space="preserve"> Australian Energy Regulator (AER), ‘Pricing proposals and tariffs’, in </w:t>
      </w:r>
      <w:r>
        <w:rPr>
          <w:i/>
          <w:iCs/>
        </w:rPr>
        <w:t>Networks and pipelines</w:t>
      </w:r>
      <w:r>
        <w:t xml:space="preserve">, 2023, </w:t>
      </w:r>
      <w:hyperlink r:id="rId75" w:history="1">
        <w:r w:rsidRPr="008051E7">
          <w:rPr>
            <w:rStyle w:val="Hyperlink"/>
          </w:rPr>
          <w:t>https://www.aer.gov.au/networks-pipelines/determinations-access-arrangements/pricing-proposals-tariffs</w:t>
        </w:r>
      </w:hyperlink>
      <w:r>
        <w:t>, accessed 26 May 2023.</w:t>
      </w:r>
    </w:p>
  </w:footnote>
  <w:footnote w:id="164">
    <w:p w14:paraId="512AA36F" w14:textId="77777777" w:rsidR="009B4D09" w:rsidRDefault="009B4D09" w:rsidP="009B4D09">
      <w:pPr>
        <w:pStyle w:val="FootnoteText"/>
      </w:pPr>
      <w:r>
        <w:rPr>
          <w:rStyle w:val="FootnoteReference"/>
        </w:rPr>
        <w:footnoteRef/>
      </w:r>
      <w:r>
        <w:t xml:space="preserve"> Western Power, ‘Network access prices’, in </w:t>
      </w:r>
      <w:r>
        <w:rPr>
          <w:i/>
          <w:iCs/>
        </w:rPr>
        <w:t>Regulation</w:t>
      </w:r>
      <w:r>
        <w:t xml:space="preserve">, 2023, </w:t>
      </w:r>
      <w:hyperlink r:id="rId76" w:history="1">
        <w:r w:rsidRPr="008051E7">
          <w:rPr>
            <w:rStyle w:val="Hyperlink"/>
          </w:rPr>
          <w:t>https://www.westernpower.com.au/about/regulation/network-access-prices/</w:t>
        </w:r>
      </w:hyperlink>
      <w:r>
        <w:t>,accessed 26 May 2023.</w:t>
      </w:r>
    </w:p>
  </w:footnote>
  <w:footnote w:id="165">
    <w:p w14:paraId="6BCCA752" w14:textId="77777777" w:rsidR="009B4D09" w:rsidRDefault="009B4D09" w:rsidP="009B4D09">
      <w:pPr>
        <w:pStyle w:val="FootnoteText"/>
      </w:pPr>
      <w:r>
        <w:rPr>
          <w:rStyle w:val="FootnoteReference"/>
        </w:rPr>
        <w:footnoteRef/>
      </w:r>
      <w:r>
        <w:t xml:space="preserve"> DeltaQ, </w:t>
      </w:r>
      <w:r>
        <w:rPr>
          <w:i/>
          <w:iCs/>
        </w:rPr>
        <w:t>Electricity Network Tariff Review</w:t>
      </w:r>
      <w:r>
        <w:t>, report for Department of Industry, Science, Energy and Resources (DISER), 30 March 2022.</w:t>
      </w:r>
    </w:p>
  </w:footnote>
  <w:footnote w:id="166">
    <w:p w14:paraId="253BF85D" w14:textId="77777777" w:rsidR="009B4D09" w:rsidRPr="008033B2" w:rsidRDefault="009B4D09" w:rsidP="009B4D09">
      <w:pPr>
        <w:pStyle w:val="FootnoteText"/>
        <w:rPr>
          <w:lang w:val="en-US"/>
        </w:rPr>
      </w:pPr>
      <w:r>
        <w:rPr>
          <w:rStyle w:val="FootnoteReference"/>
        </w:rPr>
        <w:footnoteRef/>
      </w:r>
      <w:r>
        <w:t xml:space="preserve"> </w:t>
      </w:r>
      <w:r>
        <w:rPr>
          <w:lang w:val="en-US"/>
        </w:rPr>
        <w:t xml:space="preserve">Ausgrid 2023, </w:t>
      </w:r>
      <w:r>
        <w:rPr>
          <w:i/>
          <w:iCs/>
          <w:lang w:val="en-US"/>
        </w:rPr>
        <w:t>Ausgrid – Annual pricing 2023-24</w:t>
      </w:r>
      <w:r>
        <w:rPr>
          <w:lang w:val="en-US"/>
        </w:rPr>
        <w:t xml:space="preserve">, 31 March 2023, </w:t>
      </w:r>
      <w:hyperlink r:id="rId77" w:history="1">
        <w:r w:rsidRPr="0074613A">
          <w:rPr>
            <w:rStyle w:val="Hyperlink"/>
            <w:lang w:val="en-US"/>
          </w:rPr>
          <w:t>https://www.aer.gov.au/networks-pipelines/determinations-access-arrangements/pricing-proposals-tariffs/ausgrid-annual-pricing-2023%E2%80%9324</w:t>
        </w:r>
      </w:hyperlink>
      <w:r>
        <w:rPr>
          <w:lang w:val="en-US"/>
        </w:rPr>
        <w:t xml:space="preserve">, </w:t>
      </w:r>
      <w:r>
        <w:t>accessed 26 October 2023.</w:t>
      </w:r>
    </w:p>
  </w:footnote>
  <w:footnote w:id="167">
    <w:p w14:paraId="08B3E021" w14:textId="77777777" w:rsidR="009B4D09" w:rsidRDefault="009B4D09" w:rsidP="009B4D09">
      <w:pPr>
        <w:pStyle w:val="FootnoteText"/>
      </w:pPr>
      <w:r>
        <w:rPr>
          <w:rStyle w:val="FootnoteReference"/>
        </w:rPr>
        <w:footnoteRef/>
      </w:r>
      <w:r>
        <w:t xml:space="preserve"> Australian Energy Regulator, </w:t>
      </w:r>
      <w:r>
        <w:rPr>
          <w:i/>
          <w:iCs/>
        </w:rPr>
        <w:t>AER approves SA Power Networks jurisdictional scheme application</w:t>
      </w:r>
      <w:r>
        <w:t xml:space="preserve">, 23 January 2023, </w:t>
      </w:r>
      <w:hyperlink r:id="rId78" w:history="1">
        <w:r w:rsidRPr="00F1175D">
          <w:rPr>
            <w:rStyle w:val="Hyperlink"/>
          </w:rPr>
          <w:t>https://www.aer.gov.au/communication/aer-approves-sa-power-networks-jurisdictional-scheme-application</w:t>
        </w:r>
      </w:hyperlink>
      <w:r>
        <w:t>.</w:t>
      </w:r>
    </w:p>
  </w:footnote>
  <w:footnote w:id="168">
    <w:p w14:paraId="77AA0B61" w14:textId="77777777" w:rsidR="009B4D09" w:rsidRDefault="009B4D09" w:rsidP="009B4D09">
      <w:pPr>
        <w:pStyle w:val="FootnoteText"/>
      </w:pPr>
      <w:r>
        <w:rPr>
          <w:rStyle w:val="FootnoteReference"/>
        </w:rPr>
        <w:footnoteRef/>
      </w:r>
      <w:r>
        <w:t xml:space="preserve"> Powercor, </w:t>
      </w:r>
      <w:r>
        <w:rPr>
          <w:i/>
          <w:iCs/>
        </w:rPr>
        <w:t>Pricing Proposal 2023-24</w:t>
      </w:r>
      <w:r>
        <w:t xml:space="preserve">, May 2023, p.4, </w:t>
      </w:r>
      <w:hyperlink r:id="rId79" w:history="1">
        <w:r w:rsidRPr="00F1175D">
          <w:rPr>
            <w:rStyle w:val="Hyperlink"/>
          </w:rPr>
          <w:t>https://media.powercor.com.au/wp-content/uploads/2023/05/17152236/Powercor_2023-2024_Pricing_Proposal.pdf</w:t>
        </w:r>
      </w:hyperlink>
      <w:r>
        <w:t>.</w:t>
      </w:r>
    </w:p>
  </w:footnote>
  <w:footnote w:id="169">
    <w:p w14:paraId="51838DAF" w14:textId="77777777" w:rsidR="009B4D09" w:rsidRPr="004E5C54" w:rsidRDefault="009B4D09" w:rsidP="009B4D09">
      <w:pPr>
        <w:pStyle w:val="FootnoteText"/>
        <w:rPr>
          <w:lang w:val="en-US"/>
        </w:rPr>
      </w:pPr>
      <w:r>
        <w:rPr>
          <w:rStyle w:val="FootnoteReference"/>
        </w:rPr>
        <w:footnoteRef/>
      </w:r>
      <w:r>
        <w:t xml:space="preserve"> </w:t>
      </w:r>
      <w:r>
        <w:rPr>
          <w:lang w:val="en-US"/>
        </w:rPr>
        <w:t xml:space="preserve">ARGYLE Consulting and ENDGAME Economics 2022, </w:t>
      </w:r>
      <w:r>
        <w:rPr>
          <w:i/>
          <w:iCs/>
          <w:lang w:val="en-US"/>
        </w:rPr>
        <w:t>Network tariffs for the distributed energy future</w:t>
      </w:r>
      <w:r>
        <w:rPr>
          <w:lang w:val="en-US"/>
        </w:rPr>
        <w:t xml:space="preserve">, final paper for the Australian Energy Regulator, June 2022, p.11, </w:t>
      </w:r>
      <w:hyperlink r:id="rId80" w:history="1">
        <w:r w:rsidRPr="00F1175D">
          <w:rPr>
            <w:rStyle w:val="Hyperlink"/>
            <w:lang w:val="en-US"/>
          </w:rPr>
          <w:t>https://www.aer.gov.au/system/files/Argyle%20Consulting%20and%20Endgame%20Economics%20-%20Battery%20tariffs%20-%20Network%20tariffs%20for%20the%20DER%20future_0.pdf</w:t>
        </w:r>
      </w:hyperlink>
      <w:r>
        <w:rPr>
          <w:lang w:val="en-US"/>
        </w:rPr>
        <w:t>, accessed 25 October 2023.</w:t>
      </w:r>
    </w:p>
  </w:footnote>
  <w:footnote w:id="170">
    <w:p w14:paraId="3EDF5FBF" w14:textId="77777777" w:rsidR="009B4D09" w:rsidRDefault="009B4D09" w:rsidP="009B4D09">
      <w:pPr>
        <w:pStyle w:val="FootnoteText"/>
      </w:pPr>
      <w:r>
        <w:rPr>
          <w:rStyle w:val="FootnoteReference"/>
        </w:rPr>
        <w:footnoteRef/>
      </w:r>
      <w:r>
        <w:t xml:space="preserve"> </w:t>
      </w:r>
      <w:r w:rsidRPr="00073462">
        <w:rPr>
          <w:rFonts w:eastAsiaTheme="minorEastAsia"/>
          <w:lang w:val="en-US"/>
        </w:rPr>
        <w:t>Ausgrid, ‘Time of use pricing - Ausgrid’</w:t>
      </w:r>
      <w:r>
        <w:rPr>
          <w:rFonts w:eastAsiaTheme="minorEastAsia"/>
          <w:lang w:val="en-US"/>
        </w:rPr>
        <w:t>, 2022</w:t>
      </w:r>
      <w:r w:rsidRPr="00073462">
        <w:rPr>
          <w:rStyle w:val="Hyperlink"/>
          <w:rFonts w:eastAsiaTheme="minorEastAsia"/>
          <w:lang w:val="en-US"/>
        </w:rPr>
        <w:t xml:space="preserve">, </w:t>
      </w:r>
      <w:hyperlink r:id="rId81" w:history="1">
        <w:r w:rsidRPr="00073462">
          <w:rPr>
            <w:rStyle w:val="Hyperlink"/>
            <w:rFonts w:eastAsiaTheme="minorEastAsia"/>
            <w:lang w:val="en-US"/>
          </w:rPr>
          <w:t>https://www.ausgrid.com.au/Your-energy-use/Meters/Time-of-use-pricing</w:t>
        </w:r>
      </w:hyperlink>
      <w:r>
        <w:rPr>
          <w:rFonts w:ascii="Calisto MT" w:eastAsiaTheme="minorEastAsia" w:hAnsi="Calisto MT"/>
          <w:color w:val="0000FF"/>
          <w:sz w:val="21"/>
          <w:szCs w:val="21"/>
          <w:u w:val="single"/>
        </w:rPr>
        <w:t xml:space="preserve">, </w:t>
      </w:r>
      <w:r w:rsidRPr="00073462">
        <w:rPr>
          <w:rFonts w:eastAsiaTheme="minorEastAsia"/>
          <w:lang w:val="en-US"/>
        </w:rPr>
        <w:t>accessed 26 May 2023.</w:t>
      </w:r>
    </w:p>
  </w:footnote>
  <w:footnote w:id="171">
    <w:p w14:paraId="1A68EED1" w14:textId="77777777" w:rsidR="009B4D09" w:rsidRPr="00481EF2" w:rsidRDefault="009B4D09" w:rsidP="009B4D09">
      <w:pPr>
        <w:pStyle w:val="FootnoteText"/>
        <w:rPr>
          <w:lang w:val="en-US"/>
        </w:rPr>
      </w:pPr>
      <w:r>
        <w:rPr>
          <w:rStyle w:val="FootnoteReference"/>
        </w:rPr>
        <w:footnoteRef/>
      </w:r>
      <w:r>
        <w:t xml:space="preserve"> </w:t>
      </w:r>
      <w:r>
        <w:rPr>
          <w:lang w:val="en-US"/>
        </w:rPr>
        <w:t xml:space="preserve">The power factor (PF) </w:t>
      </w:r>
      <w:r w:rsidRPr="007515C6">
        <w:rPr>
          <w:lang w:val="en-US"/>
        </w:rPr>
        <w:t>is a value between 0 and 1, indicating how efficiently the power is used in the system</w:t>
      </w:r>
      <w:r>
        <w:rPr>
          <w:lang w:val="en-US"/>
        </w:rPr>
        <w:t xml:space="preserve"> – kVA = PF x kW</w:t>
      </w:r>
      <w:r w:rsidRPr="007515C6">
        <w:rPr>
          <w:lang w:val="en-US"/>
        </w:rPr>
        <w:t>.</w:t>
      </w:r>
      <w:r>
        <w:rPr>
          <w:lang w:val="en-US"/>
        </w:rPr>
        <w:t xml:space="preserve"> The value of 0.8 appears a typical approximate value, for example, see </w:t>
      </w:r>
      <w:hyperlink r:id="rId82" w:history="1">
        <w:r w:rsidRPr="0074613A">
          <w:rPr>
            <w:rStyle w:val="Hyperlink"/>
            <w:lang w:val="en-US"/>
          </w:rPr>
          <w:t>https://www.vedantu.com/physics/relation-between-kva-and-kw</w:t>
        </w:r>
      </w:hyperlink>
      <w:r>
        <w:rPr>
          <w:lang w:val="en-US"/>
        </w:rPr>
        <w:t xml:space="preserve">. </w:t>
      </w:r>
    </w:p>
  </w:footnote>
  <w:footnote w:id="172">
    <w:p w14:paraId="469E85E4" w14:textId="77777777" w:rsidR="009B4D09" w:rsidRPr="00A23DE0" w:rsidRDefault="009B4D09" w:rsidP="009B4D09">
      <w:pPr>
        <w:pStyle w:val="FootnoteText"/>
        <w:rPr>
          <w:lang w:val="en-US"/>
        </w:rPr>
      </w:pPr>
      <w:r>
        <w:rPr>
          <w:rStyle w:val="FootnoteReference"/>
        </w:rPr>
        <w:footnoteRef/>
      </w:r>
      <w:r>
        <w:t xml:space="preserve"> </w:t>
      </w:r>
      <w:r>
        <w:rPr>
          <w:lang w:val="en-US"/>
        </w:rPr>
        <w:t xml:space="preserve">AER, </w:t>
      </w:r>
      <w:r>
        <w:rPr>
          <w:i/>
          <w:iCs/>
          <w:lang w:val="en-US"/>
        </w:rPr>
        <w:t>Default market offer prices 2022-23: Final determination</w:t>
      </w:r>
      <w:r>
        <w:rPr>
          <w:lang w:val="en-US"/>
        </w:rPr>
        <w:t xml:space="preserve">, May 2022, Australian Energy Regulator, </w:t>
      </w:r>
      <w:hyperlink r:id="rId83" w:history="1">
        <w:r w:rsidRPr="0074613A">
          <w:rPr>
            <w:rStyle w:val="Hyperlink"/>
            <w:lang w:val="en-US"/>
          </w:rPr>
          <w:t>https://www.aer.gov.au/system/files/AER%20-%20Default%20Market%20Offer-%20Price%20determination%202022-23%20-%20Final%20Determination%20-%2026%20May%202022.pdf</w:t>
        </w:r>
      </w:hyperlink>
      <w:r>
        <w:rPr>
          <w:lang w:val="en-US"/>
        </w:rPr>
        <w:t xml:space="preserve">, p.45 </w:t>
      </w:r>
    </w:p>
  </w:footnote>
  <w:footnote w:id="173">
    <w:p w14:paraId="4A835DFC" w14:textId="77777777" w:rsidR="009B4D09" w:rsidRPr="001D45D5" w:rsidRDefault="009B4D09" w:rsidP="009B4D09">
      <w:pPr>
        <w:pStyle w:val="FootnoteText"/>
        <w:rPr>
          <w:lang w:val="en-US"/>
        </w:rPr>
      </w:pPr>
      <w:r>
        <w:rPr>
          <w:rStyle w:val="FootnoteReference"/>
        </w:rPr>
        <w:footnoteRef/>
      </w:r>
      <w:r>
        <w:t xml:space="preserve"> </w:t>
      </w:r>
      <w:r>
        <w:rPr>
          <w:lang w:val="en-US"/>
        </w:rPr>
        <w:t xml:space="preserve">AER, </w:t>
      </w:r>
      <w:r>
        <w:rPr>
          <w:i/>
          <w:iCs/>
          <w:lang w:val="en-US"/>
        </w:rPr>
        <w:t>Default market offer prices 2023-24: Final determination</w:t>
      </w:r>
      <w:r>
        <w:rPr>
          <w:lang w:val="en-US"/>
        </w:rPr>
        <w:t xml:space="preserve">, May 2023, Australian Energy Regulator,  </w:t>
      </w:r>
      <w:hyperlink r:id="rId84" w:history="1">
        <w:r w:rsidRPr="0074613A">
          <w:rPr>
            <w:rStyle w:val="Hyperlink"/>
            <w:lang w:val="en-US"/>
          </w:rPr>
          <w:t>https://www.aer.gov.au/system/files/Default%20market%20offer%20prices%202023-24%20final%20determination.pdf</w:t>
        </w:r>
      </w:hyperlink>
      <w:r>
        <w:rPr>
          <w:lang w:val="en-US"/>
        </w:rPr>
        <w:t>, p.42, Table 8.1.</w:t>
      </w:r>
    </w:p>
  </w:footnote>
  <w:footnote w:id="174">
    <w:p w14:paraId="2CB96470" w14:textId="77777777" w:rsidR="009B4D09" w:rsidRDefault="009B4D09" w:rsidP="009B4D09">
      <w:pPr>
        <w:pStyle w:val="FootnoteText"/>
      </w:pPr>
      <w:r>
        <w:rPr>
          <w:rStyle w:val="FootnoteReference"/>
        </w:rPr>
        <w:footnoteRef/>
      </w:r>
      <w:r>
        <w:t xml:space="preserve"> </w:t>
      </w:r>
      <w:r w:rsidRPr="00756AE9">
        <w:t xml:space="preserve">IPART, </w:t>
      </w:r>
      <w:r w:rsidRPr="00756AE9">
        <w:rPr>
          <w:i/>
          <w:iCs/>
        </w:rPr>
        <w:t>Methodology to calculate the benchmark ranges for 2024-25</w:t>
      </w:r>
      <w:r w:rsidRPr="00756AE9">
        <w:t xml:space="preserve">, February 2024, </w:t>
      </w:r>
      <w:hyperlink r:id="rId85" w:history="1">
        <w:r w:rsidRPr="008E2E78">
          <w:rPr>
            <w:rStyle w:val="Hyperlink"/>
          </w:rPr>
          <w:t>https://www.ipart.nsw.gov.au/sites/default/files/cm9_documents/Information-Paper-Solar-feed-in-tariff-benchmark-ranges-February-2024.PDF</w:t>
        </w:r>
      </w:hyperlink>
      <w:r>
        <w:t xml:space="preserve">, </w:t>
      </w:r>
      <w:r w:rsidRPr="00756AE9">
        <w:t>accessed 30 August 2024</w:t>
      </w:r>
      <w:r>
        <w:t xml:space="preserve">. </w:t>
      </w:r>
      <w:r w:rsidRPr="00290D46">
        <w:t xml:space="preserve">Engage Victoria, ‘Minimum feed-in tariff review 2024–25’, in </w:t>
      </w:r>
      <w:r w:rsidRPr="00290D46">
        <w:rPr>
          <w:i/>
          <w:iCs/>
        </w:rPr>
        <w:t>Engage Victoria Consultations for Essential Services Commission</w:t>
      </w:r>
      <w:r w:rsidRPr="00290D46">
        <w:t>, 2024,</w:t>
      </w:r>
      <w:r>
        <w:t xml:space="preserve"> </w:t>
      </w:r>
      <w:hyperlink r:id="rId86" w:history="1">
        <w:r w:rsidRPr="008E2E78">
          <w:rPr>
            <w:rStyle w:val="Hyperlink"/>
          </w:rPr>
          <w:t>https://engage.vic.gov.au/minimum-feed-in-tariff-review-202425</w:t>
        </w:r>
      </w:hyperlink>
      <w:r w:rsidRPr="00290D46">
        <w:t>.</w:t>
      </w:r>
    </w:p>
  </w:footnote>
  <w:footnote w:id="175">
    <w:p w14:paraId="5F4EF8FF" w14:textId="77777777" w:rsidR="009B4D09" w:rsidRDefault="009B4D09" w:rsidP="009B4D09">
      <w:pPr>
        <w:pStyle w:val="FootnoteText"/>
      </w:pPr>
      <w:r>
        <w:rPr>
          <w:rStyle w:val="FootnoteReference"/>
        </w:rPr>
        <w:footnoteRef/>
      </w:r>
      <w:r>
        <w:t xml:space="preserve"> A key source of solar feed-in tariff offers are </w:t>
      </w:r>
      <w:r w:rsidRPr="00F214F9">
        <w:t xml:space="preserve">Australian Government, ‘Energy Made Easy’, 2015, </w:t>
      </w:r>
      <w:hyperlink r:id="rId87" w:history="1">
        <w:r w:rsidRPr="008E2E78">
          <w:rPr>
            <w:rStyle w:val="Hyperlink"/>
          </w:rPr>
          <w:t>https://www.energymadeeasy.gov.au/</w:t>
        </w:r>
      </w:hyperlink>
      <w:r>
        <w:t xml:space="preserve">, </w:t>
      </w:r>
      <w:r w:rsidRPr="00F214F9">
        <w:t>accessed 30 August 2024</w:t>
      </w:r>
      <w:r>
        <w:t xml:space="preserve">. For WA and NT, we refer to the </w:t>
      </w:r>
      <w:r w:rsidRPr="00FC136E">
        <w:t>Distributed Energy Buyback Scheme (DEBS)</w:t>
      </w:r>
      <w:r>
        <w:t xml:space="preserve"> and J</w:t>
      </w:r>
      <w:r w:rsidRPr="00B7559F">
        <w:t xml:space="preserve">acana Energy </w:t>
      </w:r>
      <w:r w:rsidRPr="000A3A3E">
        <w:t>Scheme</w:t>
      </w:r>
      <w:r>
        <w:t xml:space="preserve"> as </w:t>
      </w:r>
      <w:r w:rsidRPr="009714CF">
        <w:rPr>
          <w:i/>
          <w:iCs/>
        </w:rPr>
        <w:t>Energy Made Easy</w:t>
      </w:r>
      <w:r>
        <w:t xml:space="preserve"> does not cover information for WA and NT. </w:t>
      </w:r>
      <w:r w:rsidRPr="00B05E53">
        <w:t>Western Australian Government, ‘Energy Buyback Schemes’,</w:t>
      </w:r>
      <w:r>
        <w:t xml:space="preserve"> </w:t>
      </w:r>
      <w:hyperlink r:id="rId88" w:history="1">
        <w:r w:rsidRPr="008E2E78">
          <w:rPr>
            <w:rStyle w:val="Hyperlink"/>
          </w:rPr>
          <w:t>https://www.wa.gov.au/organisation/energy-policy-wa/energy-buyback-schemes</w:t>
        </w:r>
      </w:hyperlink>
      <w:r>
        <w:t xml:space="preserve">, </w:t>
      </w:r>
      <w:r w:rsidRPr="00B05E53">
        <w:t>accessed 30 August 2024</w:t>
      </w:r>
      <w:r>
        <w:t>.</w:t>
      </w:r>
      <w:r w:rsidRPr="00A13009">
        <w:rPr>
          <w:rFonts w:ascii="Times New Roman" w:hAnsi="Times New Roman"/>
          <w:sz w:val="24"/>
          <w:szCs w:val="24"/>
          <w:lang w:eastAsia="zh-CN"/>
        </w:rPr>
        <w:t xml:space="preserve"> </w:t>
      </w:r>
      <w:r w:rsidRPr="00A13009">
        <w:t xml:space="preserve">NT Government, ‘Territory Renewable Energy Programs’, 2021, </w:t>
      </w:r>
      <w:hyperlink r:id="rId89" w:history="1">
        <w:r w:rsidRPr="008E2E78">
          <w:rPr>
            <w:rStyle w:val="Hyperlink"/>
          </w:rPr>
          <w:t>https://territoryrenewableenergy.nt.gov.au/programs</w:t>
        </w:r>
      </w:hyperlink>
      <w:r>
        <w:t xml:space="preserve">, </w:t>
      </w:r>
      <w:r w:rsidRPr="00A13009">
        <w:t>accessed 30 August 2024</w:t>
      </w:r>
      <w:r>
        <w:t>.</w:t>
      </w:r>
    </w:p>
  </w:footnote>
  <w:footnote w:id="176">
    <w:p w14:paraId="75AF25D0" w14:textId="77777777" w:rsidR="00607FD2" w:rsidRDefault="00607FD2" w:rsidP="00607FD2">
      <w:pPr>
        <w:pStyle w:val="FootnoteText"/>
      </w:pPr>
      <w:r>
        <w:rPr>
          <w:rStyle w:val="FootnoteReference"/>
        </w:rPr>
        <w:footnoteRef/>
      </w:r>
      <w:r>
        <w:t xml:space="preserve"> </w:t>
      </w:r>
      <w:r>
        <w:rPr>
          <w:lang w:val="en-US"/>
        </w:rPr>
        <w:t>Ausgrid, Two</w:t>
      </w:r>
      <w:r>
        <w:rPr>
          <w:lang w:val="en-US"/>
        </w:rPr>
        <w:noBreakHyphen/>
        <w:t xml:space="preserve">way pricing for grid exports, </w:t>
      </w:r>
      <w:hyperlink r:id="rId90" w:history="1">
        <w:r w:rsidRPr="009479DA">
          <w:rPr>
            <w:rStyle w:val="Hyperlink"/>
            <w:lang w:val="en-US"/>
          </w:rPr>
          <w:t>https://www.aer.gov.au/system/files/2023-12/Ausgrid%20-%20Revised%20proposal%20-%20Att.%208.14%20-%20Small%20customer%20export%20tariff%20fact%20sheet%20-%2030%20Nov%202023%20-%20Public.pdf</w:t>
        </w:r>
      </w:hyperlink>
      <w:r>
        <w:rPr>
          <w:lang w:val="en-US"/>
        </w:rPr>
        <w:t>, accessed 16 August 2024.</w:t>
      </w:r>
    </w:p>
  </w:footnote>
  <w:footnote w:id="177">
    <w:p w14:paraId="73B34672" w14:textId="77777777" w:rsidR="009B4D09" w:rsidRDefault="009B4D09" w:rsidP="009B4D09">
      <w:pPr>
        <w:pStyle w:val="FootnoteText"/>
      </w:pPr>
      <w:r>
        <w:rPr>
          <w:rStyle w:val="FootnoteReference"/>
        </w:rPr>
        <w:footnoteRef/>
      </w:r>
      <w:r>
        <w:t xml:space="preserve"> Australian Energy Regulator (AER) 2023a, </w:t>
      </w:r>
      <w:r>
        <w:rPr>
          <w:i/>
          <w:iCs/>
        </w:rPr>
        <w:t>Wholesale markets quarterly – Q1 2023</w:t>
      </w:r>
      <w:r>
        <w:t xml:space="preserve">, 20 April 2023, Figure 1, p.6, </w:t>
      </w:r>
      <w:hyperlink r:id="rId91" w:history="1">
        <w:r w:rsidRPr="00C17EE1">
          <w:rPr>
            <w:rStyle w:val="Hyperlink"/>
          </w:rPr>
          <w:t>https://www.aer.gov.au/wholesale-markets/performance-reporting/wholesale-markets-quarterly-q1-2023</w:t>
        </w:r>
      </w:hyperlink>
      <w:r>
        <w:t>, accessed 14 October 2023.</w:t>
      </w:r>
    </w:p>
  </w:footnote>
  <w:footnote w:id="178">
    <w:p w14:paraId="3FA26E43" w14:textId="77777777" w:rsidR="009B4D09" w:rsidRPr="00D223A2" w:rsidRDefault="009B4D09" w:rsidP="009B4D09">
      <w:pPr>
        <w:pStyle w:val="FootnoteText"/>
        <w:rPr>
          <w:lang w:val="en-US"/>
        </w:rPr>
      </w:pPr>
      <w:r>
        <w:rPr>
          <w:rStyle w:val="FootnoteReference"/>
        </w:rPr>
        <w:footnoteRef/>
      </w:r>
      <w:r>
        <w:t xml:space="preserve"> </w:t>
      </w:r>
      <w:r>
        <w:rPr>
          <w:lang w:val="en-US"/>
        </w:rPr>
        <w:t xml:space="preserve">AER 2023b, </w:t>
      </w:r>
      <w:r>
        <w:rPr>
          <w:i/>
          <w:iCs/>
          <w:lang w:val="en-US"/>
        </w:rPr>
        <w:t>Wholesale markets quarterly – Q4 2022</w:t>
      </w:r>
      <w:r>
        <w:rPr>
          <w:lang w:val="en-US"/>
        </w:rPr>
        <w:t>, 16 February 2023, Figure 1.8,</w:t>
      </w:r>
      <w:r w:rsidRPr="00755FEB">
        <w:t xml:space="preserve"> </w:t>
      </w:r>
      <w:hyperlink r:id="rId92" w:history="1">
        <w:r w:rsidRPr="00C17EE1">
          <w:rPr>
            <w:rStyle w:val="Hyperlink"/>
            <w:lang w:val="en-US"/>
          </w:rPr>
          <w:t>https://www.aer.gov.au/wholesale-markets/performance-reporting/wholesale-markets-quarterly-q4-2022</w:t>
        </w:r>
      </w:hyperlink>
      <w:r>
        <w:rPr>
          <w:lang w:val="en-US"/>
        </w:rPr>
        <w:t xml:space="preserve">; and AER (2023a), op.cit., Figure 6, p.10. </w:t>
      </w:r>
    </w:p>
  </w:footnote>
  <w:footnote w:id="179">
    <w:p w14:paraId="556CDB14" w14:textId="77777777" w:rsidR="009B4D09" w:rsidRDefault="009B4D09" w:rsidP="009B4D09">
      <w:pPr>
        <w:pStyle w:val="FootnoteText"/>
      </w:pPr>
      <w:r>
        <w:rPr>
          <w:rStyle w:val="FootnoteReference"/>
        </w:rPr>
        <w:footnoteRef/>
      </w:r>
      <w:r>
        <w:t xml:space="preserve"> Department of Mines, Industry Regulation and Safety, ‘Latest statistics release’, in </w:t>
      </w:r>
      <w:r>
        <w:rPr>
          <w:i/>
          <w:iCs/>
        </w:rPr>
        <w:t>2022 Major commodities resources data</w:t>
      </w:r>
      <w:r>
        <w:t xml:space="preserve">, 2022, </w:t>
      </w:r>
      <w:hyperlink r:id="rId93" w:history="1">
        <w:r w:rsidRPr="00077434">
          <w:rPr>
            <w:rStyle w:val="Hyperlink"/>
          </w:rPr>
          <w:t>https://www.dmp.wa.gov.au/About-Us-Careers/Latest-Statistics-Release-4081.aspx</w:t>
        </w:r>
      </w:hyperlink>
      <w:r>
        <w:t>, accessed 3 November 2023.</w:t>
      </w:r>
    </w:p>
  </w:footnote>
  <w:footnote w:id="180">
    <w:p w14:paraId="4C1D66D5" w14:textId="77777777" w:rsidR="009B4D09" w:rsidRPr="002C222B" w:rsidRDefault="009B4D09" w:rsidP="009B4D09">
      <w:pPr>
        <w:pStyle w:val="FootnoteText"/>
        <w:rPr>
          <w:lang w:val="en-US"/>
        </w:rPr>
      </w:pPr>
      <w:r>
        <w:rPr>
          <w:rStyle w:val="FootnoteReference"/>
        </w:rPr>
        <w:footnoteRef/>
      </w:r>
      <w:r>
        <w:t xml:space="preserve"> </w:t>
      </w:r>
      <w:r>
        <w:rPr>
          <w:lang w:val="en-US"/>
        </w:rPr>
        <w:t xml:space="preserve">AEMO, </w:t>
      </w:r>
      <w:r>
        <w:rPr>
          <w:i/>
          <w:iCs/>
          <w:lang w:val="en-US"/>
        </w:rPr>
        <w:t>National Electricity and Gas Forecasting</w:t>
      </w:r>
      <w:r>
        <w:rPr>
          <w:lang w:val="en-US"/>
        </w:rPr>
        <w:t xml:space="preserve">, 2022, </w:t>
      </w:r>
      <w:hyperlink r:id="rId94" w:history="1">
        <w:r w:rsidRPr="00077434">
          <w:rPr>
            <w:rStyle w:val="Hyperlink"/>
            <w:lang w:val="en-US"/>
          </w:rPr>
          <w:t>http://forecasting.aemo.com.au/Electricity/AnnualConsumption/Operational</w:t>
        </w:r>
      </w:hyperlink>
      <w:r>
        <w:rPr>
          <w:lang w:val="en-US"/>
        </w:rPr>
        <w:t>, accessed 2 October 2023.</w:t>
      </w:r>
    </w:p>
  </w:footnote>
  <w:footnote w:id="181">
    <w:p w14:paraId="1EFEC7AE" w14:textId="77777777" w:rsidR="009B4D09" w:rsidRPr="0063539B" w:rsidRDefault="009B4D09" w:rsidP="009B4D09">
      <w:pPr>
        <w:pStyle w:val="FootnoteText"/>
        <w:rPr>
          <w:lang w:val="en-US"/>
        </w:rPr>
      </w:pPr>
      <w:r>
        <w:rPr>
          <w:rStyle w:val="FootnoteReference"/>
        </w:rPr>
        <w:footnoteRef/>
      </w:r>
      <w:r>
        <w:t xml:space="preserve"> </w:t>
      </w:r>
      <w:r>
        <w:rPr>
          <w:lang w:val="en-US"/>
        </w:rPr>
        <w:t xml:space="preserve">Lewis Grey Advisory (LGA), </w:t>
      </w:r>
      <w:r w:rsidRPr="00AA2391">
        <w:rPr>
          <w:i/>
          <w:iCs/>
          <w:lang w:val="en-US"/>
        </w:rPr>
        <w:t>Gas Price Projections for Eastern Australia, 2023 Update</w:t>
      </w:r>
      <w:r>
        <w:rPr>
          <w:lang w:val="en-US"/>
        </w:rPr>
        <w:t xml:space="preserve">, prepared for Australian Energy Market Operator, 14 December 2022, </w:t>
      </w:r>
      <w:hyperlink r:id="rId95" w:history="1">
        <w:r w:rsidRPr="00957F41">
          <w:rPr>
            <w:rStyle w:val="Hyperlink"/>
            <w:lang w:val="en-US"/>
          </w:rPr>
          <w:t>https://aemo.com.au/en/energy-systems/gas/gas-forecasting-and-planning/gas-statement-of-opportunities-g</w:t>
        </w:r>
        <w:bookmarkStart w:id="7572" w:name="_Hlt149905069"/>
        <w:bookmarkStart w:id="7573" w:name="_Hlt149905070"/>
        <w:r w:rsidRPr="00957F41">
          <w:rPr>
            <w:rStyle w:val="Hyperlink"/>
            <w:lang w:val="en-US"/>
          </w:rPr>
          <w:t>s</w:t>
        </w:r>
        <w:bookmarkEnd w:id="7572"/>
        <w:bookmarkEnd w:id="7573"/>
        <w:r w:rsidRPr="00957F41">
          <w:rPr>
            <w:rStyle w:val="Hyperlink"/>
            <w:lang w:val="en-US"/>
          </w:rPr>
          <w:t>oo</w:t>
        </w:r>
      </w:hyperlink>
      <w:r>
        <w:rPr>
          <w:lang w:val="en-US"/>
        </w:rPr>
        <w:t>, accessed 2 October 2023.</w:t>
      </w:r>
    </w:p>
  </w:footnote>
  <w:footnote w:id="182">
    <w:p w14:paraId="49A525FF" w14:textId="77777777" w:rsidR="00D24C7F" w:rsidRPr="00280F7D" w:rsidRDefault="00D24C7F" w:rsidP="00D24C7F">
      <w:pPr>
        <w:pStyle w:val="FootnoteText"/>
        <w:rPr>
          <w:lang w:val="en-US"/>
        </w:rPr>
      </w:pPr>
      <w:r>
        <w:rPr>
          <w:rStyle w:val="FootnoteReference"/>
        </w:rPr>
        <w:footnoteRef/>
      </w:r>
      <w:r>
        <w:t xml:space="preserve"> </w:t>
      </w:r>
      <w:r>
        <w:rPr>
          <w:lang w:val="en-US"/>
        </w:rPr>
        <w:t xml:space="preserve">International Partnership for Energy Efficiency Cooperation (IPEEC) Building Energy Efficiency Taskgroup, 2019, </w:t>
      </w:r>
      <w:r w:rsidRPr="00652CA7">
        <w:rPr>
          <w:i/>
          <w:iCs/>
          <w:lang w:val="en-US"/>
        </w:rPr>
        <w:t>Building Energy Performance Gap Issues: An International Review</w:t>
      </w:r>
      <w:r>
        <w:rPr>
          <w:lang w:val="en-US"/>
        </w:rPr>
        <w:t>, p. 16.</w:t>
      </w:r>
    </w:p>
  </w:footnote>
  <w:footnote w:id="183">
    <w:p w14:paraId="5FAF7988" w14:textId="77777777" w:rsidR="00D24C7F" w:rsidRPr="00E4409D" w:rsidRDefault="00D24C7F" w:rsidP="00D24C7F">
      <w:pPr>
        <w:pStyle w:val="FootnoteText"/>
        <w:rPr>
          <w:lang w:val="en-GB"/>
        </w:rPr>
      </w:pPr>
      <w:r>
        <w:rPr>
          <w:rStyle w:val="FootnoteReference"/>
        </w:rPr>
        <w:footnoteRef/>
      </w:r>
      <w:r>
        <w:t xml:space="preserve"> </w:t>
      </w:r>
      <w:r>
        <w:rPr>
          <w:lang w:val="en-GB"/>
        </w:rPr>
        <w:t xml:space="preserve">Frankel, M. and Turner, C. 2008a, “How Accurate is Energy Modelling in the Market”, New Buildings Institute, </w:t>
      </w:r>
      <w:r w:rsidRPr="006F0F4C">
        <w:rPr>
          <w:i/>
          <w:lang w:val="en-GB"/>
        </w:rPr>
        <w:t>2008 ACEEE Summery Study on Energy Efficiency in Buildings</w:t>
      </w:r>
      <w:r>
        <w:rPr>
          <w:lang w:val="en-GB"/>
        </w:rPr>
        <w:t>, pp. 3</w:t>
      </w:r>
      <w:r>
        <w:rPr>
          <w:lang w:val="en-GB"/>
        </w:rPr>
        <w:noBreakHyphen/>
        <w:t>90—3</w:t>
      </w:r>
      <w:r>
        <w:rPr>
          <w:lang w:val="en-GB"/>
        </w:rPr>
        <w:noBreakHyphen/>
        <w:t>95.</w:t>
      </w:r>
    </w:p>
  </w:footnote>
  <w:footnote w:id="184">
    <w:p w14:paraId="69D644B3" w14:textId="77777777" w:rsidR="00D24C7F" w:rsidRDefault="00D24C7F" w:rsidP="00D24C7F">
      <w:pPr>
        <w:pStyle w:val="FootnoteText"/>
      </w:pPr>
      <w:r>
        <w:rPr>
          <w:rStyle w:val="FootnoteReference"/>
        </w:rPr>
        <w:footnoteRef/>
      </w:r>
      <w:r>
        <w:t xml:space="preserve"> Note that the report refers to applying a discount to ‘energy savings’ in both the base case and the policy case. However, this makes little sense as ‘energy savings’ refers to the difference between energy consumption in the policy case compared to the base case.</w:t>
      </w:r>
    </w:p>
  </w:footnote>
  <w:footnote w:id="185">
    <w:p w14:paraId="5C166F40" w14:textId="77777777" w:rsidR="00D24C7F" w:rsidRDefault="00D24C7F" w:rsidP="00D24C7F">
      <w:pPr>
        <w:pStyle w:val="FootnoteText"/>
      </w:pPr>
      <w:r>
        <w:rPr>
          <w:rStyle w:val="FootnoteReference"/>
        </w:rPr>
        <w:footnoteRef/>
      </w:r>
      <w:r>
        <w:t xml:space="preserve"> </w:t>
      </w:r>
      <w:r>
        <w:rPr>
          <w:lang w:val="en-GB"/>
        </w:rPr>
        <w:t>See for example: DeltaQ and Strategy.Policy.Research</w:t>
      </w:r>
      <w:r>
        <w:t xml:space="preserve">. </w:t>
      </w:r>
      <w:r w:rsidRPr="00256FC8">
        <w:rPr>
          <w:i/>
          <w:iCs/>
        </w:rPr>
        <w:t>Commercial Buildings Low</w:t>
      </w:r>
      <w:r w:rsidRPr="00256FC8">
        <w:rPr>
          <w:i/>
          <w:iCs/>
        </w:rPr>
        <w:noBreakHyphen/>
        <w:t>Energy Trajectory</w:t>
      </w:r>
      <w:r>
        <w:t>, NCC 2025 Update to Achieving Low Energy Commercial Buildings in Australia, Final Report, 10 March 2022, p. 92.</w:t>
      </w:r>
    </w:p>
  </w:footnote>
  <w:footnote w:id="186">
    <w:p w14:paraId="63B6DD7D" w14:textId="77777777" w:rsidR="00D24C7F" w:rsidRDefault="00D24C7F" w:rsidP="00D24C7F">
      <w:pPr>
        <w:pStyle w:val="FootnoteText"/>
      </w:pPr>
      <w:r>
        <w:rPr>
          <w:rStyle w:val="FootnoteReference"/>
        </w:rPr>
        <w:footnoteRef/>
      </w:r>
      <w:r>
        <w:t xml:space="preserve"> </w:t>
      </w:r>
      <w:r>
        <w:rPr>
          <w:lang w:bidi="fa-IR"/>
        </w:rPr>
        <w:t>Although the data relate to GHG emissions, rather than energy consumption, GHG emission estimates are based on the energy consumption and the emissions intensity of the relevant energy sources in each building’s location. The emissions intensity of each energy source is unlikely to have varied significantly from the predictions. The relationship is therefore likely to be indicative of the relationship between predicted and actual energy consumption, unless prediction errors can be explained by a significant shift in the energy mix (i.e. between electricity and gas).</w:t>
      </w:r>
    </w:p>
  </w:footnote>
  <w:footnote w:id="187">
    <w:p w14:paraId="795BEC2F" w14:textId="77777777" w:rsidR="00D24C7F" w:rsidRPr="00BC4FD9" w:rsidRDefault="00D24C7F" w:rsidP="00D24C7F">
      <w:pPr>
        <w:pStyle w:val="FootnoteText"/>
        <w:rPr>
          <w:lang w:val="en-US"/>
        </w:rPr>
      </w:pPr>
      <w:r>
        <w:rPr>
          <w:rStyle w:val="FootnoteReference"/>
        </w:rPr>
        <w:footnoteRef/>
      </w:r>
      <w:r>
        <w:t xml:space="preserve"> </w:t>
      </w:r>
      <w:r>
        <w:rPr>
          <w:lang w:val="en-US"/>
        </w:rPr>
        <w:t xml:space="preserve">International Partnership for Energy Efficiency Cooperation (IPEEC) Building Energy Efficiency Taskgroup, 2019, </w:t>
      </w:r>
      <w:r w:rsidRPr="00652CA7">
        <w:rPr>
          <w:i/>
          <w:iCs/>
          <w:lang w:val="en-US"/>
        </w:rPr>
        <w:t>Building Energy Performance Gap Issues: An International Review</w:t>
      </w:r>
      <w:r>
        <w:rPr>
          <w:lang w:val="en-US"/>
        </w:rPr>
        <w:t>, p. 1.</w:t>
      </w:r>
    </w:p>
  </w:footnote>
  <w:footnote w:id="188">
    <w:p w14:paraId="5680B6DE" w14:textId="77777777" w:rsidR="00D24C7F" w:rsidRPr="005C5567" w:rsidRDefault="00D24C7F" w:rsidP="00D24C7F">
      <w:pPr>
        <w:pStyle w:val="FootnoteText"/>
        <w:rPr>
          <w:lang w:val="en-US"/>
        </w:rPr>
      </w:pPr>
      <w:r>
        <w:rPr>
          <w:rStyle w:val="FootnoteReference"/>
        </w:rPr>
        <w:footnoteRef/>
      </w:r>
      <w:r>
        <w:t xml:space="preserve"> </w:t>
      </w:r>
      <w:r>
        <w:rPr>
          <w:lang w:val="en-US"/>
        </w:rPr>
        <w:t>IPEEC Building Energy Efficiency Taskgroup (2019), op. cit., p. 14.</w:t>
      </w:r>
    </w:p>
  </w:footnote>
  <w:footnote w:id="189">
    <w:p w14:paraId="22F43CCA" w14:textId="77777777" w:rsidR="00D24C7F" w:rsidRPr="005C3681" w:rsidRDefault="00D24C7F" w:rsidP="00D24C7F">
      <w:pPr>
        <w:pStyle w:val="FootnoteText"/>
        <w:rPr>
          <w:lang w:val="en-US"/>
        </w:rPr>
      </w:pPr>
      <w:r>
        <w:rPr>
          <w:rStyle w:val="FootnoteReference"/>
        </w:rPr>
        <w:footnoteRef/>
      </w:r>
      <w:r>
        <w:t xml:space="preserve"> </w:t>
      </w:r>
      <w:r>
        <w:rPr>
          <w:lang w:val="en-US"/>
        </w:rPr>
        <w:t xml:space="preserve">Green Building Council of Australia (GBCA), 2021, </w:t>
      </w:r>
      <w:r w:rsidRPr="00735738">
        <w:rPr>
          <w:i/>
          <w:iCs/>
          <w:lang w:val="en-US"/>
        </w:rPr>
        <w:t>Green Star in focus, Energy performance in Green Star buildings, Closing the performance gap in Australia’s commercial office sector</w:t>
      </w:r>
      <w:r>
        <w:rPr>
          <w:lang w:val="en-US"/>
        </w:rPr>
        <w:t>, p. 01.</w:t>
      </w:r>
    </w:p>
  </w:footnote>
  <w:footnote w:id="190">
    <w:p w14:paraId="0ECCD891" w14:textId="77777777" w:rsidR="00D24C7F" w:rsidRPr="002A1728" w:rsidRDefault="00D24C7F" w:rsidP="00D24C7F">
      <w:pPr>
        <w:pStyle w:val="FootnoteText"/>
        <w:rPr>
          <w:lang w:val="en-US"/>
        </w:rPr>
      </w:pPr>
      <w:r>
        <w:rPr>
          <w:rStyle w:val="FootnoteReference"/>
        </w:rPr>
        <w:footnoteRef/>
      </w:r>
      <w:r>
        <w:t xml:space="preserve"> GBCA (2021), op. cit., p. 3.</w:t>
      </w:r>
    </w:p>
  </w:footnote>
  <w:footnote w:id="191">
    <w:p w14:paraId="639CFB94" w14:textId="77777777" w:rsidR="00D24C7F" w:rsidRPr="00EF07A4" w:rsidRDefault="00D24C7F" w:rsidP="00D24C7F">
      <w:pPr>
        <w:pStyle w:val="FootnoteText"/>
        <w:rPr>
          <w:lang w:val="en-US"/>
        </w:rPr>
      </w:pPr>
      <w:r>
        <w:rPr>
          <w:rStyle w:val="FootnoteReference"/>
        </w:rPr>
        <w:footnoteRef/>
      </w:r>
      <w:r>
        <w:t xml:space="preserve"> </w:t>
      </w:r>
      <w:r>
        <w:rPr>
          <w:lang w:val="en-US"/>
        </w:rPr>
        <w:t xml:space="preserve">Green Building Council of Australia (GBCA) 2022, </w:t>
      </w:r>
      <w:r w:rsidRPr="00A56302">
        <w:rPr>
          <w:i/>
          <w:iCs/>
          <w:lang w:val="en-US"/>
        </w:rPr>
        <w:t>Building Energy Performance Gap NCC</w:t>
      </w:r>
      <w:r>
        <w:rPr>
          <w:i/>
          <w:iCs/>
          <w:lang w:val="en-US"/>
        </w:rPr>
        <w:t xml:space="preserve"> </w:t>
      </w:r>
      <w:r w:rsidRPr="00A56302">
        <w:rPr>
          <w:i/>
          <w:iCs/>
          <w:lang w:val="en-US"/>
        </w:rPr>
        <w:t>2025 — Scoping Study</w:t>
      </w:r>
      <w:r>
        <w:rPr>
          <w:lang w:val="en-US"/>
        </w:rPr>
        <w:t>, August 2022, pp. 5</w:t>
      </w:r>
      <w:r>
        <w:rPr>
          <w:lang w:val="en-US"/>
        </w:rPr>
        <w:noBreakHyphen/>
        <w:t>6.</w:t>
      </w:r>
    </w:p>
  </w:footnote>
  <w:footnote w:id="192">
    <w:p w14:paraId="186C52DB" w14:textId="77777777" w:rsidR="00D24C7F" w:rsidRPr="00D3035E" w:rsidRDefault="00D24C7F" w:rsidP="00D24C7F">
      <w:pPr>
        <w:pStyle w:val="FootnoteText"/>
        <w:rPr>
          <w:lang w:val="en-US"/>
        </w:rPr>
      </w:pPr>
      <w:r>
        <w:rPr>
          <w:rStyle w:val="FootnoteReference"/>
        </w:rPr>
        <w:footnoteRef/>
      </w:r>
      <w:r>
        <w:t xml:space="preserve"> </w:t>
      </w:r>
      <w:r>
        <w:rPr>
          <w:lang w:val="en-US"/>
        </w:rPr>
        <w:t>GBCA (2022), op. cit., p. 6.</w:t>
      </w:r>
    </w:p>
  </w:footnote>
  <w:footnote w:id="193">
    <w:p w14:paraId="0EB3593A" w14:textId="77777777" w:rsidR="00D24C7F" w:rsidRPr="008252F3" w:rsidRDefault="00D24C7F" w:rsidP="00D24C7F">
      <w:pPr>
        <w:pStyle w:val="FootnoteText"/>
        <w:rPr>
          <w:lang w:val="en-US"/>
        </w:rPr>
      </w:pPr>
      <w:r>
        <w:rPr>
          <w:rStyle w:val="FootnoteReference"/>
        </w:rPr>
        <w:footnoteRef/>
      </w:r>
      <w:r>
        <w:t xml:space="preserve"> </w:t>
      </w:r>
      <w:r>
        <w:rPr>
          <w:lang w:val="en-US"/>
        </w:rPr>
        <w:t>GBCA (2022), op. cit., p. 16.</w:t>
      </w:r>
    </w:p>
  </w:footnote>
  <w:footnote w:id="194">
    <w:p w14:paraId="1172CC5B" w14:textId="77777777" w:rsidR="00D24C7F" w:rsidRPr="006B0D04" w:rsidRDefault="00D24C7F" w:rsidP="00D24C7F">
      <w:pPr>
        <w:pStyle w:val="FootnoteText"/>
        <w:rPr>
          <w:lang w:val="en-US"/>
        </w:rPr>
      </w:pPr>
      <w:r>
        <w:rPr>
          <w:rStyle w:val="FootnoteReference"/>
        </w:rPr>
        <w:footnoteRef/>
      </w:r>
      <w:r>
        <w:t xml:space="preserve"> </w:t>
      </w:r>
      <w:r>
        <w:rPr>
          <w:lang w:val="en-US"/>
        </w:rPr>
        <w:t>GBCA (2022), op. cit., p. 7.</w:t>
      </w:r>
    </w:p>
  </w:footnote>
  <w:footnote w:id="195">
    <w:p w14:paraId="7C168111" w14:textId="77777777" w:rsidR="00D24C7F" w:rsidRDefault="00D24C7F" w:rsidP="00D24C7F">
      <w:pPr>
        <w:pStyle w:val="FootnoteText"/>
      </w:pPr>
      <w:r>
        <w:rPr>
          <w:rStyle w:val="FootnoteReference"/>
        </w:rPr>
        <w:footnoteRef/>
      </w:r>
      <w:r>
        <w:t xml:space="preserve"> pitt&amp;sherry 2014, </w:t>
      </w:r>
      <w:r w:rsidRPr="006F0F4C">
        <w:rPr>
          <w:i/>
          <w:lang w:val="en-GB"/>
        </w:rPr>
        <w:t>National Energy Efficient Building Project: Final report</w:t>
      </w:r>
      <w:r>
        <w:rPr>
          <w:lang w:val="en-GB"/>
        </w:rPr>
        <w:t>, report prepared for Department of State Development, Government of South Australia, November 2014, pp. 65</w:t>
      </w:r>
      <w:r>
        <w:rPr>
          <w:lang w:val="en-GB"/>
        </w:rPr>
        <w:noBreakHyphen/>
        <w:t>66.</w:t>
      </w:r>
    </w:p>
  </w:footnote>
  <w:footnote w:id="196">
    <w:p w14:paraId="06626A5B" w14:textId="77777777" w:rsidR="00D24C7F" w:rsidRPr="00D5474B" w:rsidRDefault="00D24C7F" w:rsidP="00D24C7F">
      <w:pPr>
        <w:pStyle w:val="FootnoteText"/>
        <w:rPr>
          <w:lang w:val="en-GB"/>
        </w:rPr>
      </w:pPr>
      <w:r>
        <w:rPr>
          <w:rStyle w:val="FootnoteReference"/>
        </w:rPr>
        <w:footnoteRef/>
      </w:r>
      <w:r>
        <w:t xml:space="preserve"> </w:t>
      </w:r>
      <w:r>
        <w:rPr>
          <w:lang w:val="en-GB"/>
        </w:rPr>
        <w:t xml:space="preserve">Carbon Trust 2011, </w:t>
      </w:r>
      <w:r w:rsidRPr="00D5474B">
        <w:rPr>
          <w:i/>
          <w:lang w:val="en-GB"/>
        </w:rPr>
        <w:t>Closing the gap: Lessons learned on realising the potential of low carbon building design</w:t>
      </w:r>
      <w:r>
        <w:rPr>
          <w:lang w:val="en-GB"/>
        </w:rPr>
        <w:t>, p. 4.</w:t>
      </w:r>
    </w:p>
  </w:footnote>
  <w:footnote w:id="197">
    <w:p w14:paraId="0896DE3C" w14:textId="77777777" w:rsidR="00D24C7F" w:rsidRPr="001C3347" w:rsidRDefault="00D24C7F" w:rsidP="00D24C7F">
      <w:pPr>
        <w:pStyle w:val="FootnoteText"/>
        <w:rPr>
          <w:lang w:val="en-GB"/>
        </w:rPr>
      </w:pPr>
      <w:r>
        <w:rPr>
          <w:rStyle w:val="FootnoteReference"/>
        </w:rPr>
        <w:footnoteRef/>
      </w:r>
      <w:r>
        <w:t xml:space="preserve"> pitt&amp;sherry 2014, </w:t>
      </w:r>
      <w:r w:rsidRPr="006F0F4C">
        <w:rPr>
          <w:i/>
          <w:lang w:val="en-GB"/>
        </w:rPr>
        <w:t>National Energy Efficient Building Project: Final report</w:t>
      </w:r>
      <w:r>
        <w:rPr>
          <w:lang w:val="en-GB"/>
        </w:rPr>
        <w:t>, report prepared for Department of State Development, Government of South Australia, November 2014, pp. 65</w:t>
      </w:r>
      <w:r>
        <w:rPr>
          <w:lang w:val="en-GB"/>
        </w:rPr>
        <w:noBreakHyphen/>
        <w:t>66.</w:t>
      </w:r>
    </w:p>
  </w:footnote>
  <w:footnote w:id="198">
    <w:p w14:paraId="1ED8479D" w14:textId="77777777" w:rsidR="00D24C7F" w:rsidRPr="0013524C" w:rsidRDefault="00D24C7F" w:rsidP="00D24C7F">
      <w:pPr>
        <w:pStyle w:val="FootnoteText"/>
        <w:rPr>
          <w:lang w:val="en-US"/>
        </w:rPr>
      </w:pPr>
      <w:r>
        <w:rPr>
          <w:rStyle w:val="FootnoteReference"/>
        </w:rPr>
        <w:footnoteRef/>
      </w:r>
      <w:r>
        <w:t xml:space="preserve"> A Mahdavi et al., ‘The Role of Occupants in Buildings’ Energy Performance Gap: Myth or Reality?’, in </w:t>
      </w:r>
      <w:r>
        <w:rPr>
          <w:i/>
          <w:iCs/>
        </w:rPr>
        <w:t>Sustainability</w:t>
      </w:r>
      <w:r>
        <w:t>, vol. 13, 2021, 3146.</w:t>
      </w:r>
    </w:p>
  </w:footnote>
  <w:footnote w:id="199">
    <w:p w14:paraId="6A402521" w14:textId="77777777" w:rsidR="00D24C7F" w:rsidRPr="00D217FF" w:rsidRDefault="00D24C7F" w:rsidP="00D24C7F">
      <w:pPr>
        <w:pStyle w:val="FootnoteText"/>
        <w:rPr>
          <w:lang w:val="en-GB"/>
        </w:rPr>
      </w:pPr>
      <w:r>
        <w:rPr>
          <w:rStyle w:val="FootnoteReference"/>
        </w:rPr>
        <w:footnoteRef/>
      </w:r>
      <w:r>
        <w:t xml:space="preserve"> </w:t>
      </w:r>
      <w:r>
        <w:rPr>
          <w:lang w:val="en-GB"/>
        </w:rPr>
        <w:t xml:space="preserve">Imam, S. Coley, D.A. and Walker, I. 2017, “The building performance gap: Are modellers literate?”, </w:t>
      </w:r>
      <w:r w:rsidRPr="00D217FF">
        <w:rPr>
          <w:i/>
          <w:lang w:val="en-GB"/>
        </w:rPr>
        <w:t>Journal of Building Services Engineering Research &amp; Technology</w:t>
      </w:r>
      <w:r>
        <w:rPr>
          <w:lang w:val="en-GB"/>
        </w:rPr>
        <w:t xml:space="preserve">, </w:t>
      </w:r>
      <w:r w:rsidRPr="006F0F4C">
        <w:rPr>
          <w:b/>
          <w:lang w:val="en-GB"/>
        </w:rPr>
        <w:t>38</w:t>
      </w:r>
      <w:r>
        <w:rPr>
          <w:lang w:val="en-GB"/>
        </w:rPr>
        <w:t>(3), pp.351-375.</w:t>
      </w:r>
    </w:p>
  </w:footnote>
  <w:footnote w:id="200">
    <w:p w14:paraId="4EDE6C2A" w14:textId="77777777" w:rsidR="00B54010" w:rsidRDefault="00B54010" w:rsidP="00B54010">
      <w:pPr>
        <w:pStyle w:val="FootnoteText"/>
        <w:ind w:left="426" w:hanging="426"/>
      </w:pPr>
      <w:r>
        <w:rPr>
          <w:rStyle w:val="FootnoteReference"/>
        </w:rPr>
        <w:footnoteRef/>
      </w:r>
      <w:r>
        <w:t xml:space="preserve"> </w:t>
      </w:r>
      <w:r>
        <w:tab/>
        <w:t xml:space="preserve">Environmental Justice Australia, ‘The health burden of coal-fired power in NSW’, 2023, </w:t>
      </w:r>
      <w:hyperlink r:id="rId96" w:history="1">
        <w:r w:rsidRPr="00B82767">
          <w:rPr>
            <w:rStyle w:val="Hyperlink"/>
          </w:rPr>
          <w:t>https://envirojustice.org.au/legal-work/ending-pollution/the-burden-of-coal-fired-power-in-nsw/</w:t>
        </w:r>
      </w:hyperlink>
      <w:r>
        <w:t>, accessed 5 December 2023.</w:t>
      </w:r>
    </w:p>
  </w:footnote>
  <w:footnote w:id="201">
    <w:p w14:paraId="45E86CC9" w14:textId="77777777" w:rsidR="00B54010" w:rsidRDefault="00B54010" w:rsidP="00B54010">
      <w:pPr>
        <w:pStyle w:val="FootnoteText"/>
        <w:ind w:left="426" w:hanging="426"/>
      </w:pPr>
      <w:r>
        <w:rPr>
          <w:rStyle w:val="FootnoteReference"/>
        </w:rPr>
        <w:footnoteRef/>
      </w:r>
      <w:r>
        <w:t xml:space="preserve"> </w:t>
      </w:r>
      <w:r>
        <w:tab/>
        <w:t xml:space="preserve">Bertrand, S. 2021, </w:t>
      </w:r>
      <w:r>
        <w:rPr>
          <w:i/>
          <w:iCs/>
        </w:rPr>
        <w:t xml:space="preserve">Fact Sheet - Climate, Environmental, and Health Impacts of Fossil Fuels </w:t>
      </w:r>
      <w:r>
        <w:t xml:space="preserve">, Environmental and Energy Study Institute, 17 December 2021, </w:t>
      </w:r>
      <w:hyperlink r:id="rId97" w:history="1">
        <w:r w:rsidRPr="00CE0683">
          <w:rPr>
            <w:rStyle w:val="Hyperlink"/>
          </w:rPr>
          <w:t>https://www.eesi.org/papers/view/fact-sheet-climate-environmental-and-health-impacts-of-fossil-fuels-2021</w:t>
        </w:r>
      </w:hyperlink>
      <w:r>
        <w:t>, accessed 3 November 2023</w:t>
      </w:r>
    </w:p>
  </w:footnote>
  <w:footnote w:id="202">
    <w:p w14:paraId="00A23995" w14:textId="77777777" w:rsidR="00B54010" w:rsidRDefault="00B54010" w:rsidP="00B54010">
      <w:pPr>
        <w:pStyle w:val="FootnoteText"/>
        <w:ind w:left="426" w:hanging="426"/>
      </w:pPr>
      <w:r>
        <w:rPr>
          <w:rStyle w:val="FootnoteReference"/>
        </w:rPr>
        <w:footnoteRef/>
      </w:r>
      <w:r>
        <w:t xml:space="preserve"> </w:t>
      </w:r>
      <w:r>
        <w:tab/>
      </w:r>
      <w:r w:rsidRPr="008753B2">
        <w:t>Mazaheri</w:t>
      </w:r>
      <w:r>
        <w:t>, M., Y. Scorgie, R.A. Broome, G.G. Morgan, B. Jalaludin and M.L. Riley</w:t>
      </w:r>
      <w:r w:rsidRPr="008753B2">
        <w:t xml:space="preserve"> </w:t>
      </w:r>
      <w:r>
        <w:t>2021</w:t>
      </w:r>
      <w:r w:rsidRPr="008753B2">
        <w:t xml:space="preserve">, ‘Monetising Air Pollution Benefits of Clean Energy Requires Locally Specific Information’, </w:t>
      </w:r>
      <w:r w:rsidRPr="003C1044">
        <w:rPr>
          <w:i/>
          <w:iCs/>
        </w:rPr>
        <w:t>Energies</w:t>
      </w:r>
      <w:r w:rsidRPr="008753B2">
        <w:t xml:space="preserve">, vol. </w:t>
      </w:r>
      <w:r w:rsidRPr="00FC260E">
        <w:t>14</w:t>
      </w:r>
      <w:r>
        <w:t>(22)</w:t>
      </w:r>
      <w:r w:rsidRPr="008753B2">
        <w:t xml:space="preserve">, </w:t>
      </w:r>
      <w:r>
        <w:t>7622, November</w:t>
      </w:r>
      <w:r w:rsidRPr="008753B2">
        <w:t>.</w:t>
      </w:r>
    </w:p>
  </w:footnote>
  <w:footnote w:id="203">
    <w:p w14:paraId="6A87C572" w14:textId="77777777" w:rsidR="00B54010" w:rsidRDefault="00B54010" w:rsidP="00B54010">
      <w:pPr>
        <w:pStyle w:val="FootnoteText"/>
        <w:ind w:left="426" w:hanging="426"/>
      </w:pPr>
      <w:r>
        <w:rPr>
          <w:rStyle w:val="FootnoteReference"/>
        </w:rPr>
        <w:footnoteRef/>
      </w:r>
      <w:r>
        <w:t xml:space="preserve"> </w:t>
      </w:r>
      <w:r>
        <w:tab/>
        <w:t xml:space="preserve">Centre for International Economics (CIE) 2020, </w:t>
      </w:r>
      <w:r>
        <w:rPr>
          <w:i/>
          <w:iCs/>
        </w:rPr>
        <w:t>Greenhouse gas emissions projections and economic analysis of emissions reduction in Victoria: Whole of the economy modelling</w:t>
      </w:r>
      <w:r>
        <w:t>, report to the Department of Environment, Land, Water and Planning, September 2020.</w:t>
      </w:r>
      <w:r>
        <w:br/>
      </w:r>
      <w:r w:rsidRPr="007209AD">
        <w:t xml:space="preserve">Ward, J. and M. Power 2015, </w:t>
      </w:r>
      <w:r w:rsidRPr="00FB1D61">
        <w:rPr>
          <w:i/>
          <w:iCs/>
        </w:rPr>
        <w:t>Cleaning up Victoria’s Power Sector: the full social cost of Hazelwood power station</w:t>
      </w:r>
      <w:r>
        <w:t>, report to Environment Victoria.</w:t>
      </w:r>
    </w:p>
  </w:footnote>
  <w:footnote w:id="204">
    <w:p w14:paraId="75AE88B8" w14:textId="77777777" w:rsidR="00B54010" w:rsidRDefault="00B54010" w:rsidP="00B54010">
      <w:pPr>
        <w:pStyle w:val="FootnoteText"/>
        <w:ind w:left="426" w:hanging="426"/>
      </w:pPr>
      <w:r>
        <w:rPr>
          <w:rStyle w:val="FootnoteReference"/>
        </w:rPr>
        <w:footnoteRef/>
      </w:r>
      <w:r>
        <w:t xml:space="preserve"> </w:t>
      </w:r>
      <w:r>
        <w:tab/>
        <w:t xml:space="preserve">DELWP, </w:t>
      </w:r>
      <w:r>
        <w:rPr>
          <w:i/>
          <w:iCs/>
        </w:rPr>
        <w:t>Estimating the health costs of air pollution in Victoria</w:t>
      </w:r>
      <w:r>
        <w:t xml:space="preserve">, DELWP Economics working paper to inform the Independent Expert Panel on Interim Targets, 2018, </w:t>
      </w:r>
      <w:hyperlink r:id="rId98" w:history="1">
        <w:r w:rsidRPr="006E5978">
          <w:rPr>
            <w:rStyle w:val="Hyperlink"/>
          </w:rPr>
          <w:t>https://www.climatechange.vic.gov.au/__data/assets/pdf_file/0022/421717/Final_Health-costs-of-air-pollution-in-Victoria.pdf</w:t>
        </w:r>
      </w:hyperlink>
      <w:r>
        <w:t>, accessed 6 December 2023.</w:t>
      </w:r>
    </w:p>
  </w:footnote>
  <w:footnote w:id="205">
    <w:p w14:paraId="43BFEC23" w14:textId="77777777" w:rsidR="00B54010" w:rsidRDefault="00B54010" w:rsidP="00B54010">
      <w:pPr>
        <w:pStyle w:val="FootnoteText"/>
      </w:pPr>
      <w:r>
        <w:rPr>
          <w:rStyle w:val="FootnoteReference"/>
        </w:rPr>
        <w:footnoteRef/>
      </w:r>
      <w:r>
        <w:t xml:space="preserve"> </w:t>
      </w:r>
      <w:r w:rsidRPr="008F32F3">
        <w:t>J Ward &amp; M Power (2015) identified two major determinant of local impacts – stack height and local population density. It is understood that there will be no new coal power stations in Victoria, and the stack heights of current stations will remain the same over the period to their closure. It is therefore appropriate to consider population density will estimate unit costs beyond 2018.</w:t>
      </w:r>
    </w:p>
  </w:footnote>
  <w:footnote w:id="206">
    <w:p w14:paraId="34D2C6C5" w14:textId="77777777" w:rsidR="00B54010" w:rsidRDefault="00B54010" w:rsidP="00B54010">
      <w:pPr>
        <w:pStyle w:val="FootnoteText"/>
      </w:pPr>
      <w:r>
        <w:rPr>
          <w:rStyle w:val="FootnoteReference"/>
        </w:rPr>
        <w:footnoteRef/>
      </w:r>
      <w:r>
        <w:t xml:space="preserve"> CIE 2019, </w:t>
      </w:r>
      <w:r>
        <w:rPr>
          <w:i/>
          <w:iCs/>
        </w:rPr>
        <w:t>Independent review of the Commercial Building Disclosure Program</w:t>
      </w:r>
      <w:r>
        <w:t xml:space="preserve">, report to the Department of the Environment and Energy, September 2019, </w:t>
      </w:r>
      <w:hyperlink r:id="rId99" w:history="1">
        <w:r w:rsidRPr="00FE7C4E">
          <w:rPr>
            <w:rStyle w:val="Hyperlink"/>
          </w:rPr>
          <w:t>https://www.cbd.gov.au/sites/default/files/2020-09/cbd_review_cie_report_draft.pdf</w:t>
        </w:r>
      </w:hyperlink>
      <w:r>
        <w:t xml:space="preserve"> </w:t>
      </w:r>
    </w:p>
  </w:footnote>
  <w:footnote w:id="207">
    <w:p w14:paraId="1520350F" w14:textId="77777777" w:rsidR="00B54010" w:rsidRDefault="00B54010" w:rsidP="00B54010">
      <w:pPr>
        <w:pStyle w:val="FootnoteText"/>
      </w:pPr>
      <w:r>
        <w:rPr>
          <w:rStyle w:val="FootnoteReference"/>
        </w:rPr>
        <w:footnoteRef/>
      </w:r>
      <w:r>
        <w:t xml:space="preserve"> AEMO, </w:t>
      </w:r>
      <w:r>
        <w:rPr>
          <w:i/>
          <w:iCs/>
        </w:rPr>
        <w:t>2022 Integrated System Plan</w:t>
      </w:r>
      <w:r>
        <w:t xml:space="preserve">, 2022, p. 49, </w:t>
      </w:r>
      <w:hyperlink r:id="rId100" w:history="1">
        <w:r w:rsidRPr="007778B7">
          <w:rPr>
            <w:rStyle w:val="Hyperlink"/>
          </w:rPr>
          <w:t>https://aemo.com.au/-/media/files/major-publications/isp/2022/2022-documents/2022-integrated-system-plan-isp.pdf</w:t>
        </w:r>
      </w:hyperlink>
      <w:r>
        <w:t>, accessed 11 December 2023</w:t>
      </w:r>
    </w:p>
  </w:footnote>
  <w:footnote w:id="208">
    <w:p w14:paraId="0FA02A7D" w14:textId="77777777" w:rsidR="00B54010" w:rsidRPr="004220BD" w:rsidRDefault="00B54010" w:rsidP="00B54010">
      <w:pPr>
        <w:pStyle w:val="FootnoteText"/>
        <w:rPr>
          <w:lang w:val="en-GB"/>
        </w:rPr>
      </w:pPr>
      <w:r>
        <w:rPr>
          <w:rStyle w:val="FootnoteReference"/>
        </w:rPr>
        <w:footnoteRef/>
      </w:r>
      <w:r>
        <w:t xml:space="preserve"> ACIL</w:t>
      </w:r>
      <w:r>
        <w:noBreakHyphen/>
        <w:t xml:space="preserve">Allen Consulting 2015, </w:t>
      </w:r>
      <w:r w:rsidRPr="008070B1">
        <w:rPr>
          <w:i/>
        </w:rPr>
        <w:t>Commercial Building Disclosure: Program Review</w:t>
      </w:r>
      <w:r>
        <w:t>, Department of Industry and Science, 2015, pp. 56</w:t>
      </w:r>
      <w:r>
        <w:noBreakHyphen/>
        <w:t>57.</w:t>
      </w:r>
    </w:p>
  </w:footnote>
  <w:footnote w:id="209">
    <w:p w14:paraId="0E8AAD11" w14:textId="77777777" w:rsidR="00B54010" w:rsidRDefault="00B54010" w:rsidP="00B54010">
      <w:pPr>
        <w:pStyle w:val="FootnoteText"/>
      </w:pPr>
      <w:r>
        <w:rPr>
          <w:rStyle w:val="FootnoteReference"/>
        </w:rPr>
        <w:footnoteRef/>
      </w:r>
      <w:r>
        <w:t xml:space="preserve"> In the Window Film Secondary Glazing Retrofit Trials in Victoria (2017), it is noted that applying the film to existing windows in the living areas of houses resulted in better thermal comfort, increasing from an average energy rating of 3.1 to 3.6 starts. See P Rajagopalan et al., </w:t>
      </w:r>
      <w:r>
        <w:rPr>
          <w:i/>
          <w:iCs/>
        </w:rPr>
        <w:t>Enhancing home thermal efficiency. Final report of Opportunity Assessment for Enhancing home thermal efficiency</w:t>
      </w:r>
      <w:r>
        <w:t xml:space="preserve">, RACE for 2030 Cooperative Research Centre, May 2023, p. 132, </w:t>
      </w:r>
      <w:hyperlink r:id="rId101" w:history="1">
        <w:r w:rsidRPr="00D52B15">
          <w:rPr>
            <w:rStyle w:val="Hyperlink"/>
          </w:rPr>
          <w:t>https://racefor2030.com.au/wp-content/uploads/2023/05/H2-OA-0199-Final-Report_.pdf</w:t>
        </w:r>
      </w:hyperlink>
      <w:r>
        <w:t>, accessed 8 January 2024.</w:t>
      </w:r>
    </w:p>
  </w:footnote>
  <w:footnote w:id="210">
    <w:p w14:paraId="39DD4DB0" w14:textId="77777777" w:rsidR="00D24C7F" w:rsidRDefault="00D24C7F" w:rsidP="00D24C7F">
      <w:pPr>
        <w:pStyle w:val="FootnoteText"/>
      </w:pPr>
      <w:r>
        <w:rPr>
          <w:rStyle w:val="FootnoteReference"/>
        </w:rPr>
        <w:footnoteRef/>
      </w:r>
      <w:r>
        <w:t xml:space="preserve"> </w:t>
      </w:r>
      <w:r w:rsidRPr="00971DBD">
        <w:t>Li, S., Tong, L., Xing, J. and Zhou, Y., 2017</w:t>
      </w:r>
      <w:r>
        <w:t>,</w:t>
      </w:r>
      <w:r w:rsidRPr="00971DBD">
        <w:t xml:space="preserve"> </w:t>
      </w:r>
      <w:r>
        <w:t>‘</w:t>
      </w:r>
      <w:r w:rsidRPr="00971DBD">
        <w:t>The market for electric vehicles: indirect network effects and policy design</w:t>
      </w:r>
      <w:r>
        <w:t>’,</w:t>
      </w:r>
      <w:r w:rsidRPr="00971DBD">
        <w:t xml:space="preserve"> </w:t>
      </w:r>
      <w:r w:rsidRPr="00DD7EFE">
        <w:rPr>
          <w:i/>
          <w:iCs/>
        </w:rPr>
        <w:t>Journal of the Association of Environmental and Resource Economists</w:t>
      </w:r>
      <w:r w:rsidRPr="00971DBD">
        <w:t xml:space="preserve">, </w:t>
      </w:r>
      <w:r w:rsidRPr="00417879">
        <w:t>4</w:t>
      </w:r>
      <w:r w:rsidRPr="00971DBD">
        <w:t>(1), pp.89-133.</w:t>
      </w:r>
    </w:p>
  </w:footnote>
  <w:footnote w:id="211">
    <w:p w14:paraId="79FA2596" w14:textId="77777777" w:rsidR="00D24C7F" w:rsidRDefault="00D24C7F" w:rsidP="00D24C7F">
      <w:pPr>
        <w:pStyle w:val="FootnoteText"/>
      </w:pPr>
      <w:r>
        <w:rPr>
          <w:rStyle w:val="FootnoteReference"/>
        </w:rPr>
        <w:footnoteRef/>
      </w:r>
      <w:r>
        <w:t xml:space="preserve"> </w:t>
      </w:r>
      <w:r w:rsidRPr="00971DBD">
        <w:t>Remmy, K., 2022</w:t>
      </w:r>
      <w:r>
        <w:t>,</w:t>
      </w:r>
      <w:r w:rsidRPr="00971DBD">
        <w:t xml:space="preserve"> </w:t>
      </w:r>
      <w:r w:rsidRPr="00DD7EFE">
        <w:rPr>
          <w:i/>
          <w:iCs/>
        </w:rPr>
        <w:t>Adjustable product attributes, indirect network effects, and subsidy design: The case of electric vehicles</w:t>
      </w:r>
      <w:r w:rsidRPr="00971DBD">
        <w:t xml:space="preserve"> (No. crctr224_2022_335)</w:t>
      </w:r>
      <w:r>
        <w:t>,</w:t>
      </w:r>
      <w:r w:rsidRPr="00971DBD">
        <w:t xml:space="preserve"> University of Bonn and University of Mannheim, Germany.</w:t>
      </w:r>
    </w:p>
  </w:footnote>
  <w:footnote w:id="212">
    <w:p w14:paraId="0C80E4BB" w14:textId="77777777" w:rsidR="00D24C7F" w:rsidRDefault="00D24C7F" w:rsidP="00D24C7F">
      <w:pPr>
        <w:pStyle w:val="FootnoteText"/>
      </w:pPr>
      <w:r>
        <w:rPr>
          <w:rStyle w:val="FootnoteReference"/>
        </w:rPr>
        <w:footnoteRef/>
      </w:r>
      <w:r>
        <w:t xml:space="preserve"> This item</w:t>
      </w:r>
      <w:r w:rsidRPr="00ED318E">
        <w:t xml:space="preserve"> (Area A) is presumably below cost, otherwise the charging infrastructure would be provided in the baseline. The question is whether the external benefits of avoided emissions outweigh the shortfall.</w:t>
      </w:r>
    </w:p>
  </w:footnote>
  <w:footnote w:id="213">
    <w:p w14:paraId="47D38983" w14:textId="77777777" w:rsidR="00D24C7F" w:rsidRDefault="00D24C7F" w:rsidP="00D24C7F">
      <w:pPr>
        <w:pStyle w:val="FootnoteText"/>
      </w:pPr>
      <w:r>
        <w:rPr>
          <w:rStyle w:val="FootnoteReference"/>
        </w:rPr>
        <w:footnoteRef/>
      </w:r>
      <w:r>
        <w:t xml:space="preserve"> CIE, </w:t>
      </w:r>
      <w:r>
        <w:rPr>
          <w:i/>
          <w:iCs/>
        </w:rPr>
        <w:t>Demand for electric vehicles: A discrete choice survey</w:t>
      </w:r>
      <w:r>
        <w:t xml:space="preserve">, a report for Australian Automobile Association, 22 January 2019, </w:t>
      </w:r>
      <w:hyperlink r:id="rId102" w:history="1">
        <w:r w:rsidRPr="00247DC9">
          <w:rPr>
            <w:rStyle w:val="Hyperlink"/>
          </w:rPr>
          <w:t>https://www.thecie.com.au/s/CIE-AAA-EV-choice-final-report-public.pdf</w:t>
        </w:r>
      </w:hyperlink>
      <w:r>
        <w:t xml:space="preserve"> </w:t>
      </w:r>
    </w:p>
  </w:footnote>
  <w:footnote w:id="214">
    <w:p w14:paraId="194F4D8B" w14:textId="77777777" w:rsidR="00D24C7F" w:rsidRDefault="00D24C7F" w:rsidP="00D24C7F">
      <w:pPr>
        <w:pStyle w:val="FootnoteText"/>
      </w:pPr>
      <w:r>
        <w:rPr>
          <w:rStyle w:val="FootnoteReference"/>
        </w:rPr>
        <w:footnoteRef/>
      </w:r>
      <w:r>
        <w:t xml:space="preserve"> DeltaQ 2023, </w:t>
      </w:r>
      <w:r>
        <w:rPr>
          <w:i/>
          <w:iCs/>
        </w:rPr>
        <w:t>EE NCC 2025 – Advice on the technical basis: Mobilisation report</w:t>
      </w:r>
      <w:r>
        <w:t>, report to the Australian Building Codes Board (ABCB), 14 June 2023.</w:t>
      </w:r>
    </w:p>
  </w:footnote>
  <w:footnote w:id="215">
    <w:p w14:paraId="125E9701" w14:textId="77777777" w:rsidR="00D24C7F" w:rsidRPr="0032577E" w:rsidRDefault="00D24C7F" w:rsidP="00D24C7F">
      <w:pPr>
        <w:pStyle w:val="FootnoteText"/>
        <w:rPr>
          <w:lang w:val="en-US"/>
        </w:rPr>
      </w:pPr>
      <w:r>
        <w:rPr>
          <w:rStyle w:val="FootnoteReference"/>
        </w:rPr>
        <w:footnoteRef/>
      </w:r>
      <w:r>
        <w:t xml:space="preserve"> Baker Consulting, Australia in the Global Shopping Centre Industry: An international comparison and explanation of retail sales, retail floorspace, sales productivity and occupancy costs in Australia, Canada, New Zealand, UK and USA, Report to Shopping Centre Council of Australia, December 2018, pp. 10</w:t>
      </w:r>
      <w:r>
        <w:noBreakHyphen/>
        <w:t>11.</w:t>
      </w:r>
    </w:p>
  </w:footnote>
  <w:footnote w:id="216">
    <w:p w14:paraId="51D3BC1B" w14:textId="77777777" w:rsidR="00D24C7F" w:rsidRPr="00D94327" w:rsidRDefault="00D24C7F" w:rsidP="00D24C7F">
      <w:pPr>
        <w:pStyle w:val="FootnoteText"/>
        <w:rPr>
          <w:lang w:val="en-US"/>
        </w:rPr>
      </w:pPr>
      <w:r>
        <w:rPr>
          <w:rStyle w:val="FootnoteReference"/>
        </w:rPr>
        <w:footnoteRef/>
      </w:r>
      <w:r>
        <w:t xml:space="preserve"> </w:t>
      </w:r>
      <w:r>
        <w:rPr>
          <w:lang w:val="en-US"/>
        </w:rPr>
        <w:t xml:space="preserve">Productivity Commission, </w:t>
      </w:r>
      <w:r w:rsidRPr="00C92D01">
        <w:rPr>
          <w:i/>
          <w:iCs/>
          <w:lang w:val="en-US"/>
        </w:rPr>
        <w:t>The Market for Retail Tenancy Leases in Australia</w:t>
      </w:r>
      <w:r>
        <w:rPr>
          <w:lang w:val="en-US"/>
        </w:rPr>
        <w:t>, Productivity Commission Inquiry Report No. 43, 31 March 2008, p. XIX.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645"/>
      <w:gridCol w:w="2645"/>
      <w:gridCol w:w="2645"/>
    </w:tblGrid>
    <w:tr w:rsidR="31006DC0" w14:paraId="69054839" w14:textId="77777777" w:rsidTr="31006DC0">
      <w:trPr>
        <w:trHeight w:val="300"/>
      </w:trPr>
      <w:tc>
        <w:tcPr>
          <w:tcW w:w="2645" w:type="dxa"/>
        </w:tcPr>
        <w:p w14:paraId="29B7E5DD" w14:textId="7ED8F27C" w:rsidR="31006DC0" w:rsidRDefault="31006DC0" w:rsidP="31006DC0">
          <w:pPr>
            <w:pStyle w:val="Header"/>
            <w:ind w:left="-115"/>
          </w:pPr>
        </w:p>
      </w:tc>
      <w:tc>
        <w:tcPr>
          <w:tcW w:w="2645" w:type="dxa"/>
        </w:tcPr>
        <w:p w14:paraId="5E778F59" w14:textId="5F3AC81A" w:rsidR="31006DC0" w:rsidRDefault="31006DC0" w:rsidP="31006DC0">
          <w:pPr>
            <w:pStyle w:val="Header"/>
            <w:jc w:val="center"/>
          </w:pPr>
        </w:p>
      </w:tc>
      <w:tc>
        <w:tcPr>
          <w:tcW w:w="2645" w:type="dxa"/>
        </w:tcPr>
        <w:p w14:paraId="383DFAB3" w14:textId="794355FE" w:rsidR="31006DC0" w:rsidRDefault="31006DC0" w:rsidP="31006DC0">
          <w:pPr>
            <w:pStyle w:val="Header"/>
            <w:ind w:right="-115"/>
            <w:jc w:val="right"/>
          </w:pPr>
        </w:p>
      </w:tc>
    </w:tr>
  </w:tbl>
  <w:p w14:paraId="4DE91EA7" w14:textId="532F0FF2" w:rsidR="31006DC0" w:rsidRDefault="31006DC0" w:rsidP="31006D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45780" w14:textId="77777777" w:rsidR="00295012" w:rsidRPr="009D4FBD" w:rsidRDefault="00295012" w:rsidP="00677846">
    <w:pPr>
      <w:pStyle w:val="Header"/>
      <w:ind w:left="0" w:right="-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pPr w:leftFromText="181" w:rightFromText="181" w:vertAnchor="text" w:horzAnchor="page" w:tblpX="1" w:tblpY="1"/>
      <w:tblOverlap w:val="never"/>
      <w:tblW w:w="11907" w:type="dxa"/>
      <w:tblBorders>
        <w:bottom w:val="single" w:sz="4" w:space="0" w:color="F61D12" w:themeColor="accent2"/>
      </w:tblBorders>
      <w:tblLayout w:type="fixed"/>
      <w:tblLook w:val="04A0" w:firstRow="1" w:lastRow="0" w:firstColumn="1" w:lastColumn="0" w:noHBand="0" w:noVBand="1"/>
    </w:tblPr>
    <w:tblGrid>
      <w:gridCol w:w="2268"/>
      <w:gridCol w:w="1134"/>
      <w:gridCol w:w="6804"/>
      <w:gridCol w:w="1701"/>
    </w:tblGrid>
    <w:tr w:rsidR="00295012" w14:paraId="63708111" w14:textId="77777777" w:rsidTr="004E7620">
      <w:trPr>
        <w:trHeight w:val="624"/>
      </w:trPr>
      <w:tc>
        <w:tcPr>
          <w:tcW w:w="2268" w:type="dxa"/>
        </w:tcPr>
        <w:p w14:paraId="3A3AF612" w14:textId="77777777" w:rsidR="00295012" w:rsidRDefault="00295012" w:rsidP="008F1A78">
          <w:pPr>
            <w:pStyle w:val="Header"/>
            <w:ind w:left="0" w:right="-1"/>
          </w:pPr>
        </w:p>
      </w:tc>
      <w:tc>
        <w:tcPr>
          <w:tcW w:w="1134" w:type="dxa"/>
          <w:vAlign w:val="bottom"/>
        </w:tcPr>
        <w:p w14:paraId="02FED999" w14:textId="77777777" w:rsidR="00295012" w:rsidRDefault="00295012" w:rsidP="008F1A78">
          <w:pPr>
            <w:pStyle w:val="Header"/>
            <w:ind w:left="0" w:right="-1"/>
          </w:pPr>
        </w:p>
      </w:tc>
      <w:tc>
        <w:tcPr>
          <w:tcW w:w="6804" w:type="dxa"/>
          <w:vAlign w:val="bottom"/>
        </w:tcPr>
        <w:p w14:paraId="05EE79E2" w14:textId="77777777" w:rsidR="00295012" w:rsidRDefault="00295012" w:rsidP="008F1A78">
          <w:pPr>
            <w:pStyle w:val="Header"/>
            <w:ind w:left="0" w:right="-1"/>
            <w:jc w:val="right"/>
          </w:pPr>
        </w:p>
      </w:tc>
      <w:tc>
        <w:tcPr>
          <w:tcW w:w="1701" w:type="dxa"/>
        </w:tcPr>
        <w:p w14:paraId="28C68888" w14:textId="77777777" w:rsidR="00295012" w:rsidRDefault="00295012" w:rsidP="008F1A78">
          <w:pPr>
            <w:pStyle w:val="Header"/>
            <w:ind w:left="0" w:right="-1"/>
          </w:pPr>
        </w:p>
      </w:tc>
    </w:tr>
  </w:tbl>
  <w:p w14:paraId="6E14588E" w14:textId="77777777" w:rsidR="00295012" w:rsidRPr="008F1A78" w:rsidRDefault="00295012" w:rsidP="00677846">
    <w:pPr>
      <w:pStyle w:val="Header"/>
      <w:ind w:left="0" w:right="-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pPr w:leftFromText="181" w:rightFromText="181" w:vertAnchor="text" w:horzAnchor="page" w:tblpX="1" w:tblpY="1"/>
      <w:tblOverlap w:val="never"/>
      <w:tblW w:w="12474" w:type="dxa"/>
      <w:tblBorders>
        <w:bottom w:val="single" w:sz="4" w:space="0" w:color="F61D12" w:themeColor="accent2"/>
      </w:tblBorders>
      <w:tblLayout w:type="fixed"/>
      <w:tblLook w:val="04A0" w:firstRow="1" w:lastRow="0" w:firstColumn="1" w:lastColumn="0" w:noHBand="0" w:noVBand="1"/>
    </w:tblPr>
    <w:tblGrid>
      <w:gridCol w:w="2268"/>
      <w:gridCol w:w="7513"/>
      <w:gridCol w:w="992"/>
      <w:gridCol w:w="1701"/>
    </w:tblGrid>
    <w:tr w:rsidR="00295012" w14:paraId="4155C17F" w14:textId="77777777" w:rsidTr="004E7620">
      <w:trPr>
        <w:trHeight w:val="624"/>
      </w:trPr>
      <w:tc>
        <w:tcPr>
          <w:tcW w:w="2268" w:type="dxa"/>
        </w:tcPr>
        <w:p w14:paraId="25487A84" w14:textId="77777777" w:rsidR="00295012" w:rsidRDefault="00295012" w:rsidP="008F1A78">
          <w:pPr>
            <w:pStyle w:val="Header"/>
            <w:ind w:left="0" w:right="-1"/>
          </w:pPr>
        </w:p>
      </w:tc>
      <w:tc>
        <w:tcPr>
          <w:tcW w:w="7513" w:type="dxa"/>
          <w:vAlign w:val="bottom"/>
        </w:tcPr>
        <w:p w14:paraId="6890F1EB" w14:textId="746A1BF9" w:rsidR="00295012" w:rsidRDefault="00AE26CE" w:rsidP="008F1A78">
          <w:pPr>
            <w:pStyle w:val="Header"/>
            <w:ind w:left="0" w:right="-1"/>
          </w:pPr>
          <w:fldSimple w:instr=" STYLEREF  Title ">
            <w:r w:rsidR="006D4A61">
              <w:rPr>
                <w:noProof/>
              </w:rPr>
              <w:t>Increasing the stringency of the commercial building energy efficiency provisions in the 2025 National Construction Code</w:t>
            </w:r>
          </w:fldSimple>
        </w:p>
      </w:tc>
      <w:tc>
        <w:tcPr>
          <w:tcW w:w="992" w:type="dxa"/>
          <w:vAlign w:val="bottom"/>
        </w:tcPr>
        <w:p w14:paraId="1B9DA7A7" w14:textId="77777777" w:rsidR="00295012" w:rsidRDefault="00295012" w:rsidP="008F1A78">
          <w:pPr>
            <w:pStyle w:val="Header"/>
            <w:ind w:left="0" w:right="-1"/>
            <w:jc w:val="right"/>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tc>
      <w:tc>
        <w:tcPr>
          <w:tcW w:w="1701" w:type="dxa"/>
        </w:tcPr>
        <w:p w14:paraId="0A357EFF" w14:textId="77777777" w:rsidR="00295012" w:rsidRDefault="00295012" w:rsidP="008F1A78">
          <w:pPr>
            <w:pStyle w:val="Header"/>
            <w:ind w:left="0" w:right="-1"/>
          </w:pPr>
        </w:p>
      </w:tc>
    </w:tr>
  </w:tbl>
  <w:p w14:paraId="11ECFC35" w14:textId="77777777" w:rsidR="00295012" w:rsidRPr="009D4FBD" w:rsidRDefault="00295012" w:rsidP="00A43AF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pPr w:leftFromText="181" w:rightFromText="181" w:vertAnchor="text" w:horzAnchor="page" w:tblpX="1" w:tblpY="1"/>
      <w:tblOverlap w:val="never"/>
      <w:tblW w:w="11907" w:type="dxa"/>
      <w:tblBorders>
        <w:bottom w:val="single" w:sz="4" w:space="0" w:color="F61D12" w:themeColor="accent2"/>
      </w:tblBorders>
      <w:tblLayout w:type="fixed"/>
      <w:tblLook w:val="04A0" w:firstRow="1" w:lastRow="0" w:firstColumn="1" w:lastColumn="0" w:noHBand="0" w:noVBand="1"/>
    </w:tblPr>
    <w:tblGrid>
      <w:gridCol w:w="2268"/>
      <w:gridCol w:w="1134"/>
      <w:gridCol w:w="6804"/>
      <w:gridCol w:w="1701"/>
    </w:tblGrid>
    <w:tr w:rsidR="00295012" w14:paraId="238427AB" w14:textId="77777777" w:rsidTr="004E7620">
      <w:trPr>
        <w:trHeight w:val="624"/>
      </w:trPr>
      <w:tc>
        <w:tcPr>
          <w:tcW w:w="2268" w:type="dxa"/>
        </w:tcPr>
        <w:p w14:paraId="61054905" w14:textId="77777777" w:rsidR="00295012" w:rsidRDefault="00295012" w:rsidP="00650F3E">
          <w:pPr>
            <w:pStyle w:val="Header"/>
            <w:ind w:left="0" w:right="-1"/>
          </w:pPr>
        </w:p>
      </w:tc>
      <w:tc>
        <w:tcPr>
          <w:tcW w:w="1134" w:type="dxa"/>
          <w:vAlign w:val="bottom"/>
        </w:tcPr>
        <w:p w14:paraId="22CF1FA2" w14:textId="77777777" w:rsidR="00295012" w:rsidRDefault="00295012" w:rsidP="00650F3E">
          <w:pPr>
            <w:pStyle w:val="Header"/>
            <w:ind w:left="0" w:right="-1"/>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tc>
      <w:tc>
        <w:tcPr>
          <w:tcW w:w="6804" w:type="dxa"/>
          <w:vAlign w:val="bottom"/>
        </w:tcPr>
        <w:p w14:paraId="7EFD4305" w14:textId="2C8996FB" w:rsidR="00295012" w:rsidRDefault="00AE26CE" w:rsidP="00650F3E">
          <w:pPr>
            <w:pStyle w:val="Header"/>
            <w:ind w:left="0" w:right="-1"/>
            <w:jc w:val="right"/>
          </w:pPr>
          <w:fldSimple w:instr=" STYLEREF  Title ">
            <w:r w:rsidR="00D007EE">
              <w:rPr>
                <w:noProof/>
              </w:rPr>
              <w:t>Increasing the stringency of the commercial building energy efficiency provisions in the 2025 National Construction Code</w:t>
            </w:r>
          </w:fldSimple>
        </w:p>
      </w:tc>
      <w:tc>
        <w:tcPr>
          <w:tcW w:w="1701" w:type="dxa"/>
        </w:tcPr>
        <w:p w14:paraId="5501075C" w14:textId="77777777" w:rsidR="00295012" w:rsidRDefault="00295012" w:rsidP="00650F3E">
          <w:pPr>
            <w:pStyle w:val="Header"/>
            <w:ind w:left="0" w:right="-1"/>
          </w:pPr>
        </w:p>
      </w:tc>
    </w:tr>
  </w:tbl>
  <w:p w14:paraId="1FF29D65" w14:textId="77777777" w:rsidR="00295012" w:rsidRDefault="00295012" w:rsidP="00650F3E">
    <w:pPr>
      <w:pStyle w:val="Header"/>
      <w:ind w:left="0" w:right="-1"/>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pPr w:leftFromText="181" w:rightFromText="181" w:vertAnchor="text" w:horzAnchor="page" w:tblpX="1" w:tblpY="1"/>
      <w:tblOverlap w:val="never"/>
      <w:tblW w:w="12474" w:type="dxa"/>
      <w:tblBorders>
        <w:bottom w:val="single" w:sz="4" w:space="0" w:color="F61D12" w:themeColor="accent2"/>
      </w:tblBorders>
      <w:tblLayout w:type="fixed"/>
      <w:tblLook w:val="04A0" w:firstRow="1" w:lastRow="0" w:firstColumn="1" w:lastColumn="0" w:noHBand="0" w:noVBand="1"/>
    </w:tblPr>
    <w:tblGrid>
      <w:gridCol w:w="2268"/>
      <w:gridCol w:w="7513"/>
      <w:gridCol w:w="992"/>
      <w:gridCol w:w="1701"/>
    </w:tblGrid>
    <w:tr w:rsidR="00295012" w14:paraId="0B719E90" w14:textId="77777777" w:rsidTr="004E7620">
      <w:trPr>
        <w:trHeight w:val="624"/>
      </w:trPr>
      <w:tc>
        <w:tcPr>
          <w:tcW w:w="2268" w:type="dxa"/>
        </w:tcPr>
        <w:p w14:paraId="6EE3E910" w14:textId="77777777" w:rsidR="00295012" w:rsidRDefault="00295012" w:rsidP="00650F3E">
          <w:pPr>
            <w:pStyle w:val="Header"/>
            <w:ind w:left="0" w:right="-1"/>
          </w:pPr>
        </w:p>
      </w:tc>
      <w:tc>
        <w:tcPr>
          <w:tcW w:w="7513" w:type="dxa"/>
          <w:vAlign w:val="bottom"/>
        </w:tcPr>
        <w:p w14:paraId="3870FFED" w14:textId="5E3ACA5A" w:rsidR="00295012" w:rsidRDefault="00AE26CE" w:rsidP="00650F3E">
          <w:pPr>
            <w:pStyle w:val="Header"/>
            <w:ind w:left="0" w:right="-1"/>
          </w:pPr>
          <w:fldSimple w:instr=" STYLEREF  Title ">
            <w:r w:rsidR="008C60A3">
              <w:rPr>
                <w:noProof/>
              </w:rPr>
              <w:t>Increasing the stringency of the commercial building energy efficiency provisions in the 2025 National Construction Code</w:t>
            </w:r>
          </w:fldSimple>
        </w:p>
      </w:tc>
      <w:tc>
        <w:tcPr>
          <w:tcW w:w="992" w:type="dxa"/>
          <w:vAlign w:val="bottom"/>
        </w:tcPr>
        <w:p w14:paraId="6216FD57" w14:textId="77777777" w:rsidR="00295012" w:rsidRDefault="00295012" w:rsidP="00650F3E">
          <w:pPr>
            <w:pStyle w:val="Header"/>
            <w:ind w:left="0" w:right="-1"/>
            <w:jc w:val="right"/>
          </w:pPr>
          <w:r>
            <w:rPr>
              <w:rStyle w:val="PageNumber"/>
            </w:rPr>
            <w:fldChar w:fldCharType="begin"/>
          </w:r>
          <w:r>
            <w:rPr>
              <w:rStyle w:val="PageNumber"/>
            </w:rPr>
            <w:instrText xml:space="preserve"> PAGE </w:instrText>
          </w:r>
          <w:r>
            <w:rPr>
              <w:rStyle w:val="PageNumber"/>
            </w:rPr>
            <w:fldChar w:fldCharType="separate"/>
          </w:r>
          <w:r w:rsidR="00FB0FBE">
            <w:rPr>
              <w:rStyle w:val="PageNumber"/>
              <w:noProof/>
            </w:rPr>
            <w:t>iii</w:t>
          </w:r>
          <w:r>
            <w:rPr>
              <w:rStyle w:val="PageNumber"/>
            </w:rPr>
            <w:fldChar w:fldCharType="end"/>
          </w:r>
        </w:p>
      </w:tc>
      <w:tc>
        <w:tcPr>
          <w:tcW w:w="1701" w:type="dxa"/>
        </w:tcPr>
        <w:p w14:paraId="2701CF12" w14:textId="77777777" w:rsidR="00295012" w:rsidRDefault="00295012" w:rsidP="00650F3E">
          <w:pPr>
            <w:pStyle w:val="Header"/>
            <w:ind w:left="0" w:right="-1"/>
          </w:pPr>
        </w:p>
      </w:tc>
    </w:tr>
  </w:tbl>
  <w:p w14:paraId="20DCB68F" w14:textId="77777777" w:rsidR="00295012" w:rsidRPr="003D2A2B" w:rsidRDefault="00295012" w:rsidP="00650F3E">
    <w:pPr>
      <w:pStyle w:val="Header"/>
      <w:ind w:left="0" w:right="-1"/>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pPr w:leftFromText="181" w:rightFromText="181" w:vertAnchor="text" w:horzAnchor="page" w:tblpX="1" w:tblpY="1"/>
      <w:tblOverlap w:val="never"/>
      <w:tblW w:w="11907" w:type="dxa"/>
      <w:tblBorders>
        <w:bottom w:val="single" w:sz="4" w:space="0" w:color="F61D12" w:themeColor="accent2"/>
      </w:tblBorders>
      <w:tblLayout w:type="fixed"/>
      <w:tblLook w:val="04A0" w:firstRow="1" w:lastRow="0" w:firstColumn="1" w:lastColumn="0" w:noHBand="0" w:noVBand="1"/>
    </w:tblPr>
    <w:tblGrid>
      <w:gridCol w:w="2268"/>
      <w:gridCol w:w="1134"/>
      <w:gridCol w:w="6804"/>
      <w:gridCol w:w="1701"/>
    </w:tblGrid>
    <w:tr w:rsidR="00295012" w14:paraId="5084FE68" w14:textId="77777777" w:rsidTr="006D44B3">
      <w:trPr>
        <w:trHeight w:val="624"/>
      </w:trPr>
      <w:tc>
        <w:tcPr>
          <w:tcW w:w="2268" w:type="dxa"/>
        </w:tcPr>
        <w:p w14:paraId="3101F30B" w14:textId="77777777" w:rsidR="00295012" w:rsidRDefault="00295012" w:rsidP="006D44B3">
          <w:pPr>
            <w:pStyle w:val="Header"/>
            <w:ind w:left="0" w:right="-1"/>
          </w:pPr>
        </w:p>
      </w:tc>
      <w:tc>
        <w:tcPr>
          <w:tcW w:w="1134" w:type="dxa"/>
          <w:vAlign w:val="bottom"/>
        </w:tcPr>
        <w:p w14:paraId="32D5CCFB" w14:textId="77777777" w:rsidR="00295012" w:rsidRDefault="00295012" w:rsidP="006D44B3">
          <w:pPr>
            <w:pStyle w:val="Header"/>
            <w:ind w:left="0" w:right="-1"/>
          </w:pPr>
          <w:r>
            <w:rPr>
              <w:rStyle w:val="PageNumber"/>
            </w:rPr>
            <w:fldChar w:fldCharType="begin"/>
          </w:r>
          <w:r>
            <w:rPr>
              <w:rStyle w:val="PageNumber"/>
            </w:rPr>
            <w:instrText xml:space="preserve"> PAGE </w:instrText>
          </w:r>
          <w:r>
            <w:rPr>
              <w:rStyle w:val="PageNumber"/>
            </w:rPr>
            <w:fldChar w:fldCharType="separate"/>
          </w:r>
          <w:r w:rsidR="00A309FB">
            <w:rPr>
              <w:rStyle w:val="PageNumber"/>
              <w:noProof/>
            </w:rPr>
            <w:t>2</w:t>
          </w:r>
          <w:r>
            <w:rPr>
              <w:rStyle w:val="PageNumber"/>
            </w:rPr>
            <w:fldChar w:fldCharType="end"/>
          </w:r>
        </w:p>
      </w:tc>
      <w:tc>
        <w:tcPr>
          <w:tcW w:w="6804" w:type="dxa"/>
          <w:vAlign w:val="bottom"/>
        </w:tcPr>
        <w:p w14:paraId="4F2586CF" w14:textId="2B098C12" w:rsidR="00295012" w:rsidRDefault="00AE26CE" w:rsidP="006D44B3">
          <w:pPr>
            <w:pStyle w:val="Header"/>
            <w:ind w:left="0" w:right="-1"/>
            <w:jc w:val="right"/>
          </w:pPr>
          <w:fldSimple w:instr=" STYLEREF  Title ">
            <w:r w:rsidR="00D007EE">
              <w:rPr>
                <w:noProof/>
              </w:rPr>
              <w:t>Increasing the stringency of the commercial building energy efficiency provisions in the 2025 National Construction Code</w:t>
            </w:r>
          </w:fldSimple>
        </w:p>
      </w:tc>
      <w:tc>
        <w:tcPr>
          <w:tcW w:w="1701" w:type="dxa"/>
        </w:tcPr>
        <w:p w14:paraId="6DB193EE" w14:textId="77777777" w:rsidR="00295012" w:rsidRDefault="00295012" w:rsidP="006D44B3">
          <w:pPr>
            <w:pStyle w:val="Header"/>
            <w:ind w:left="0" w:right="-1"/>
          </w:pPr>
        </w:p>
      </w:tc>
    </w:tr>
  </w:tbl>
  <w:p w14:paraId="1920B9D2" w14:textId="77777777" w:rsidR="00295012" w:rsidRPr="009D4FBD" w:rsidRDefault="00295012" w:rsidP="00677846">
    <w:pPr>
      <w:pStyle w:val="Header"/>
      <w:ind w:left="0" w:right="-1"/>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pPr w:leftFromText="181" w:rightFromText="181" w:vertAnchor="text" w:horzAnchor="page" w:tblpX="1" w:tblpY="1"/>
      <w:tblOverlap w:val="never"/>
      <w:tblW w:w="12474" w:type="dxa"/>
      <w:tblBorders>
        <w:bottom w:val="single" w:sz="4" w:space="0" w:color="F61D12" w:themeColor="accent2"/>
      </w:tblBorders>
      <w:tblLayout w:type="fixed"/>
      <w:tblLook w:val="04A0" w:firstRow="1" w:lastRow="0" w:firstColumn="1" w:lastColumn="0" w:noHBand="0" w:noVBand="1"/>
    </w:tblPr>
    <w:tblGrid>
      <w:gridCol w:w="2268"/>
      <w:gridCol w:w="7513"/>
      <w:gridCol w:w="992"/>
      <w:gridCol w:w="1701"/>
    </w:tblGrid>
    <w:tr w:rsidR="00295012" w14:paraId="2FBAFD6C" w14:textId="77777777" w:rsidTr="004E7620">
      <w:trPr>
        <w:trHeight w:val="624"/>
      </w:trPr>
      <w:tc>
        <w:tcPr>
          <w:tcW w:w="2268" w:type="dxa"/>
        </w:tcPr>
        <w:p w14:paraId="72A1B397" w14:textId="77777777" w:rsidR="00295012" w:rsidRDefault="00295012" w:rsidP="006D44B3">
          <w:pPr>
            <w:pStyle w:val="Header"/>
            <w:ind w:left="0" w:right="-1"/>
          </w:pPr>
        </w:p>
      </w:tc>
      <w:tc>
        <w:tcPr>
          <w:tcW w:w="7513" w:type="dxa"/>
          <w:vAlign w:val="bottom"/>
        </w:tcPr>
        <w:p w14:paraId="40738B10" w14:textId="19E84480" w:rsidR="00295012" w:rsidRDefault="00AE26CE" w:rsidP="006D44B3">
          <w:pPr>
            <w:pStyle w:val="Header"/>
            <w:ind w:left="0" w:right="-1"/>
          </w:pPr>
          <w:fldSimple w:instr=" STYLEREF  Title ">
            <w:r w:rsidR="00D007EE">
              <w:rPr>
                <w:noProof/>
              </w:rPr>
              <w:t>Increasing the stringency of the commercial building energy efficiency provisions in the 2025 National Construction Code</w:t>
            </w:r>
          </w:fldSimple>
        </w:p>
      </w:tc>
      <w:tc>
        <w:tcPr>
          <w:tcW w:w="992" w:type="dxa"/>
          <w:vAlign w:val="bottom"/>
        </w:tcPr>
        <w:p w14:paraId="2BAAAB2C" w14:textId="77777777" w:rsidR="00295012" w:rsidRDefault="00295012" w:rsidP="006D44B3">
          <w:pPr>
            <w:pStyle w:val="Header"/>
            <w:ind w:left="0" w:right="-1"/>
            <w:jc w:val="right"/>
          </w:pPr>
          <w:r>
            <w:rPr>
              <w:rStyle w:val="PageNumber"/>
            </w:rPr>
            <w:fldChar w:fldCharType="begin"/>
          </w:r>
          <w:r>
            <w:rPr>
              <w:rStyle w:val="PageNumber"/>
            </w:rPr>
            <w:instrText xml:space="preserve"> PAGE </w:instrText>
          </w:r>
          <w:r>
            <w:rPr>
              <w:rStyle w:val="PageNumber"/>
            </w:rPr>
            <w:fldChar w:fldCharType="separate"/>
          </w:r>
          <w:r w:rsidR="00F32D87">
            <w:rPr>
              <w:rStyle w:val="PageNumber"/>
              <w:noProof/>
            </w:rPr>
            <w:t>1</w:t>
          </w:r>
          <w:r>
            <w:rPr>
              <w:rStyle w:val="PageNumber"/>
            </w:rPr>
            <w:fldChar w:fldCharType="end"/>
          </w:r>
        </w:p>
      </w:tc>
      <w:tc>
        <w:tcPr>
          <w:tcW w:w="1701" w:type="dxa"/>
        </w:tcPr>
        <w:p w14:paraId="4D757FF7" w14:textId="77777777" w:rsidR="00295012" w:rsidRDefault="00295012" w:rsidP="006D44B3">
          <w:pPr>
            <w:pStyle w:val="Header"/>
            <w:ind w:left="0" w:right="-1"/>
          </w:pPr>
        </w:p>
      </w:tc>
    </w:tr>
  </w:tbl>
  <w:p w14:paraId="3398F825" w14:textId="77777777" w:rsidR="00295012" w:rsidRPr="009D4FBD" w:rsidRDefault="00295012" w:rsidP="00677846">
    <w:pPr>
      <w:pStyle w:val="Header"/>
      <w:ind w:left="0" w:right="-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9C74B0CA"/>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33CCE2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24484CE4"/>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E3D4DD72"/>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23254EB"/>
    <w:multiLevelType w:val="multilevel"/>
    <w:tmpl w:val="A8A0795C"/>
    <w:numStyleLink w:val="RecommendationNumbers"/>
  </w:abstractNum>
  <w:abstractNum w:abstractNumId="5" w15:restartNumberingAfterBreak="0">
    <w:nsid w:val="051F302B"/>
    <w:multiLevelType w:val="multilevel"/>
    <w:tmpl w:val="0D04D660"/>
    <w:lvl w:ilvl="0">
      <w:start w:val="1"/>
      <w:numFmt w:val="bullet"/>
      <w:lvlText w:val="■"/>
      <w:lvlJc w:val="left"/>
      <w:pPr>
        <w:tabs>
          <w:tab w:val="num" w:pos="568"/>
        </w:tabs>
        <w:ind w:left="568" w:hanging="284"/>
      </w:pPr>
      <w:rPr>
        <w:rFonts w:ascii="Franklin Gothic Demi" w:hAnsi="Franklin Gothic Demi" w:hint="default"/>
        <w:color w:val="9B917E" w:themeColor="accent4"/>
        <w:position w:val="3"/>
        <w:sz w:val="16"/>
      </w:rPr>
    </w:lvl>
    <w:lvl w:ilvl="1">
      <w:start w:val="1"/>
      <w:numFmt w:val="bullet"/>
      <w:lvlText w:val="–"/>
      <w:lvlJc w:val="left"/>
      <w:pPr>
        <w:tabs>
          <w:tab w:val="num" w:pos="567"/>
        </w:tabs>
        <w:ind w:left="567" w:hanging="283"/>
      </w:pPr>
      <w:rPr>
        <w:rFonts w:hint="default"/>
      </w:rPr>
    </w:lvl>
    <w:lvl w:ilvl="2">
      <w:start w:val="1"/>
      <w:numFmt w:val="bullet"/>
      <w:lvlText w:val="…"/>
      <w:lvlJc w:val="left"/>
      <w:pPr>
        <w:tabs>
          <w:tab w:val="num" w:pos="907"/>
        </w:tabs>
        <w:ind w:left="907" w:hanging="340"/>
      </w:pPr>
      <w:rPr>
        <w:rFonts w:ascii="Calisto MT" w:hAnsi="Calisto MT" w:hint="default"/>
        <w:color w:val="9B917E" w:themeColor="accent4"/>
        <w:position w:val="3"/>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AC902B9"/>
    <w:multiLevelType w:val="multilevel"/>
    <w:tmpl w:val="7286E43A"/>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C6C37E3"/>
    <w:multiLevelType w:val="multilevel"/>
    <w:tmpl w:val="5BCE45E4"/>
    <w:numStyleLink w:val="NoteListNumber"/>
  </w:abstractNum>
  <w:abstractNum w:abstractNumId="8" w15:restartNumberingAfterBreak="0">
    <w:nsid w:val="0DF0714B"/>
    <w:multiLevelType w:val="multilevel"/>
    <w:tmpl w:val="0C09001F"/>
    <w:name w:val="NoteNumbers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E1F659F"/>
    <w:multiLevelType w:val="multilevel"/>
    <w:tmpl w:val="60E6D4CC"/>
    <w:styleLink w:val="ListNumbers"/>
    <w:lvl w:ilvl="0">
      <w:start w:val="1"/>
      <w:numFmt w:val="decimal"/>
      <w:pStyle w:val="ListNumber"/>
      <w:lvlText w:val="%1"/>
      <w:lvlJc w:val="left"/>
      <w:pPr>
        <w:tabs>
          <w:tab w:val="num" w:pos="284"/>
        </w:tabs>
        <w:ind w:left="284" w:hanging="284"/>
      </w:pPr>
      <w:rPr>
        <w:rFonts w:ascii="Calisto MT" w:hAnsi="Calisto MT" w:hint="default"/>
      </w:rPr>
    </w:lvl>
    <w:lvl w:ilvl="1">
      <w:start w:val="1"/>
      <w:numFmt w:val="lowerLetter"/>
      <w:pStyle w:val="ListNumber2"/>
      <w:lvlText w:val="%2)"/>
      <w:lvlJc w:val="left"/>
      <w:pPr>
        <w:tabs>
          <w:tab w:val="num" w:pos="567"/>
        </w:tabs>
        <w:ind w:left="567" w:hanging="283"/>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0ECA0FB0"/>
    <w:multiLevelType w:val="hybridMultilevel"/>
    <w:tmpl w:val="0018EADE"/>
    <w:lvl w:ilvl="0" w:tplc="C60C64BE">
      <w:start w:val="1"/>
      <w:numFmt w:val="bullet"/>
      <w:lvlText w:val=""/>
      <w:lvlJc w:val="left"/>
      <w:pPr>
        <w:ind w:left="720" w:hanging="360"/>
      </w:pPr>
      <w:rPr>
        <w:rFonts w:ascii="Symbol" w:hAnsi="Symbol"/>
      </w:rPr>
    </w:lvl>
    <w:lvl w:ilvl="1" w:tplc="3DA072BC">
      <w:start w:val="1"/>
      <w:numFmt w:val="bullet"/>
      <w:lvlText w:val=""/>
      <w:lvlJc w:val="left"/>
      <w:pPr>
        <w:ind w:left="720" w:hanging="360"/>
      </w:pPr>
      <w:rPr>
        <w:rFonts w:ascii="Symbol" w:hAnsi="Symbol"/>
      </w:rPr>
    </w:lvl>
    <w:lvl w:ilvl="2" w:tplc="2578DB08">
      <w:start w:val="1"/>
      <w:numFmt w:val="bullet"/>
      <w:lvlText w:val=""/>
      <w:lvlJc w:val="left"/>
      <w:pPr>
        <w:ind w:left="720" w:hanging="360"/>
      </w:pPr>
      <w:rPr>
        <w:rFonts w:ascii="Symbol" w:hAnsi="Symbol"/>
      </w:rPr>
    </w:lvl>
    <w:lvl w:ilvl="3" w:tplc="633EDB38">
      <w:start w:val="1"/>
      <w:numFmt w:val="bullet"/>
      <w:lvlText w:val=""/>
      <w:lvlJc w:val="left"/>
      <w:pPr>
        <w:ind w:left="720" w:hanging="360"/>
      </w:pPr>
      <w:rPr>
        <w:rFonts w:ascii="Symbol" w:hAnsi="Symbol"/>
      </w:rPr>
    </w:lvl>
    <w:lvl w:ilvl="4" w:tplc="883C0E60">
      <w:start w:val="1"/>
      <w:numFmt w:val="bullet"/>
      <w:lvlText w:val=""/>
      <w:lvlJc w:val="left"/>
      <w:pPr>
        <w:ind w:left="720" w:hanging="360"/>
      </w:pPr>
      <w:rPr>
        <w:rFonts w:ascii="Symbol" w:hAnsi="Symbol"/>
      </w:rPr>
    </w:lvl>
    <w:lvl w:ilvl="5" w:tplc="BB68FA14">
      <w:start w:val="1"/>
      <w:numFmt w:val="bullet"/>
      <w:lvlText w:val=""/>
      <w:lvlJc w:val="left"/>
      <w:pPr>
        <w:ind w:left="720" w:hanging="360"/>
      </w:pPr>
      <w:rPr>
        <w:rFonts w:ascii="Symbol" w:hAnsi="Symbol"/>
      </w:rPr>
    </w:lvl>
    <w:lvl w:ilvl="6" w:tplc="67D85536">
      <w:start w:val="1"/>
      <w:numFmt w:val="bullet"/>
      <w:lvlText w:val=""/>
      <w:lvlJc w:val="left"/>
      <w:pPr>
        <w:ind w:left="720" w:hanging="360"/>
      </w:pPr>
      <w:rPr>
        <w:rFonts w:ascii="Symbol" w:hAnsi="Symbol"/>
      </w:rPr>
    </w:lvl>
    <w:lvl w:ilvl="7" w:tplc="8E3C1E8E">
      <w:start w:val="1"/>
      <w:numFmt w:val="bullet"/>
      <w:lvlText w:val=""/>
      <w:lvlJc w:val="left"/>
      <w:pPr>
        <w:ind w:left="720" w:hanging="360"/>
      </w:pPr>
      <w:rPr>
        <w:rFonts w:ascii="Symbol" w:hAnsi="Symbol"/>
      </w:rPr>
    </w:lvl>
    <w:lvl w:ilvl="8" w:tplc="7BD4F1CE">
      <w:start w:val="1"/>
      <w:numFmt w:val="bullet"/>
      <w:lvlText w:val=""/>
      <w:lvlJc w:val="left"/>
      <w:pPr>
        <w:ind w:left="720" w:hanging="360"/>
      </w:pPr>
      <w:rPr>
        <w:rFonts w:ascii="Symbol" w:hAnsi="Symbol"/>
      </w:rPr>
    </w:lvl>
  </w:abstractNum>
  <w:abstractNum w:abstractNumId="11" w15:restartNumberingAfterBreak="0">
    <w:nsid w:val="158D63BB"/>
    <w:multiLevelType w:val="multilevel"/>
    <w:tmpl w:val="5BCE45E4"/>
    <w:styleLink w:val="NoteListNumber"/>
    <w:lvl w:ilvl="0">
      <w:start w:val="1"/>
      <w:numFmt w:val="none"/>
      <w:lvlRestart w:val="0"/>
      <w:suff w:val="nothing"/>
      <w:lvlText w:val="%1"/>
      <w:lvlJc w:val="left"/>
      <w:pPr>
        <w:ind w:left="0" w:firstLine="0"/>
      </w:pPr>
      <w:rPr>
        <w:rFonts w:ascii="Calibri" w:hAnsi="Calibri" w:cs="Calibri" w:hint="default"/>
        <w:b/>
        <w:i w:val="0"/>
        <w:color w:val="C6BFAB" w:themeColor="accent3"/>
        <w:position w:val="4"/>
      </w:rPr>
    </w:lvl>
    <w:lvl w:ilvl="1">
      <w:start w:val="1"/>
      <w:numFmt w:val="lowerLetter"/>
      <w:lvlText w:val="%1%2"/>
      <w:lvlJc w:val="left"/>
      <w:pPr>
        <w:tabs>
          <w:tab w:val="num" w:pos="170"/>
        </w:tabs>
        <w:ind w:left="170" w:hanging="170"/>
      </w:pPr>
      <w:rPr>
        <w:rFonts w:hint="default"/>
        <w:b/>
        <w:i w:val="0"/>
        <w:color w:val="C6BFAB" w:themeColor="accent3"/>
        <w:position w:val="4"/>
      </w:rPr>
    </w:lvl>
    <w:lvl w:ilvl="2">
      <w:start w:val="1"/>
      <w:numFmt w:val="none"/>
      <w:lvlRestart w:val="0"/>
      <w:suff w:val="nothing"/>
      <w:lvlText w:val="%1"/>
      <w:lvlJc w:val="left"/>
      <w:pPr>
        <w:ind w:left="1224" w:hanging="504"/>
      </w:pPr>
      <w:rPr>
        <w:rFonts w:hint="default"/>
      </w:rPr>
    </w:lvl>
    <w:lvl w:ilvl="3">
      <w:start w:val="1"/>
      <w:numFmt w:val="none"/>
      <w:lvlRestart w:val="0"/>
      <w:suff w:val="nothing"/>
      <w:lvlText w:val="%1"/>
      <w:lvlJc w:val="left"/>
      <w:pPr>
        <w:ind w:left="1728" w:hanging="648"/>
      </w:pPr>
      <w:rPr>
        <w:rFonts w:hint="default"/>
      </w:rPr>
    </w:lvl>
    <w:lvl w:ilvl="4">
      <w:start w:val="1"/>
      <w:numFmt w:val="none"/>
      <w:lvlRestart w:val="0"/>
      <w:suff w:val="nothing"/>
      <w:lvlText w:val="%1"/>
      <w:lvlJc w:val="left"/>
      <w:pPr>
        <w:ind w:left="2232" w:hanging="792"/>
      </w:pPr>
      <w:rPr>
        <w:rFonts w:hint="default"/>
      </w:rPr>
    </w:lvl>
    <w:lvl w:ilvl="5">
      <w:start w:val="1"/>
      <w:numFmt w:val="none"/>
      <w:lvlRestart w:val="0"/>
      <w:suff w:val="nothing"/>
      <w:lvlText w:val="%1"/>
      <w:lvlJc w:val="left"/>
      <w:pPr>
        <w:ind w:left="2736" w:hanging="936"/>
      </w:pPr>
      <w:rPr>
        <w:rFonts w:hint="default"/>
      </w:rPr>
    </w:lvl>
    <w:lvl w:ilvl="6">
      <w:start w:val="1"/>
      <w:numFmt w:val="none"/>
      <w:lvlRestart w:val="0"/>
      <w:suff w:val="nothing"/>
      <w:lvlText w:val="%1"/>
      <w:lvlJc w:val="left"/>
      <w:pPr>
        <w:ind w:left="3240" w:hanging="1080"/>
      </w:pPr>
      <w:rPr>
        <w:rFonts w:hint="default"/>
      </w:rPr>
    </w:lvl>
    <w:lvl w:ilvl="7">
      <w:start w:val="1"/>
      <w:numFmt w:val="none"/>
      <w:lvlRestart w:val="0"/>
      <w:suff w:val="nothing"/>
      <w:lvlText w:val="%1"/>
      <w:lvlJc w:val="left"/>
      <w:pPr>
        <w:ind w:left="3744" w:hanging="1224"/>
      </w:pPr>
      <w:rPr>
        <w:rFonts w:hint="default"/>
      </w:rPr>
    </w:lvl>
    <w:lvl w:ilvl="8">
      <w:start w:val="1"/>
      <w:numFmt w:val="none"/>
      <w:lvlRestart w:val="0"/>
      <w:suff w:val="nothing"/>
      <w:lvlText w:val="%1"/>
      <w:lvlJc w:val="left"/>
      <w:pPr>
        <w:ind w:left="4320" w:hanging="1440"/>
      </w:pPr>
      <w:rPr>
        <w:rFonts w:hint="default"/>
      </w:rPr>
    </w:lvl>
  </w:abstractNum>
  <w:abstractNum w:abstractNumId="12" w15:restartNumberingAfterBreak="0">
    <w:nsid w:val="19B85820"/>
    <w:multiLevelType w:val="multilevel"/>
    <w:tmpl w:val="F94A5772"/>
    <w:styleLink w:val="ChartListBullets"/>
    <w:lvl w:ilvl="0">
      <w:start w:val="1"/>
      <w:numFmt w:val="bullet"/>
      <w:pStyle w:val="ChartListBullet"/>
      <w:lvlText w:val="■"/>
      <w:lvlJc w:val="left"/>
      <w:pPr>
        <w:tabs>
          <w:tab w:val="num" w:pos="170"/>
        </w:tabs>
        <w:ind w:left="170" w:hanging="170"/>
      </w:pPr>
      <w:rPr>
        <w:rFonts w:ascii="Franklin Gothic Book" w:hAnsi="Franklin Gothic Book" w:hint="default"/>
        <w:color w:val="9B917E" w:themeColor="accent4"/>
        <w:position w:val="2"/>
        <w:sz w:val="12"/>
      </w:rPr>
    </w:lvl>
    <w:lvl w:ilvl="1">
      <w:start w:val="1"/>
      <w:numFmt w:val="bullet"/>
      <w:pStyle w:val="ChartListBullet2"/>
      <w:lvlText w:val="–"/>
      <w:lvlJc w:val="left"/>
      <w:pPr>
        <w:tabs>
          <w:tab w:val="num" w:pos="340"/>
        </w:tabs>
        <w:ind w:left="340" w:hanging="170"/>
      </w:pPr>
      <w:rPr>
        <w:rFonts w:ascii="Franklin Gothic Book" w:hAnsi="Franklin Gothic Book"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DAC76CF"/>
    <w:multiLevelType w:val="multilevel"/>
    <w:tmpl w:val="A8A0795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2CE7775"/>
    <w:multiLevelType w:val="multilevel"/>
    <w:tmpl w:val="49B2C91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5416D84"/>
    <w:multiLevelType w:val="multilevel"/>
    <w:tmpl w:val="5BCE45E4"/>
    <w:lvl w:ilvl="0">
      <w:start w:val="1"/>
      <w:numFmt w:val="none"/>
      <w:lvlRestart w:val="0"/>
      <w:suff w:val="nothing"/>
      <w:lvlText w:val="%1"/>
      <w:lvlJc w:val="left"/>
      <w:pPr>
        <w:ind w:left="0" w:firstLine="0"/>
      </w:pPr>
      <w:rPr>
        <w:rFonts w:ascii="Calibri" w:hAnsi="Calibri" w:cs="Calibri" w:hint="default"/>
        <w:b/>
        <w:i w:val="0"/>
        <w:color w:val="C6BFAB" w:themeColor="accent3"/>
        <w:position w:val="4"/>
      </w:rPr>
    </w:lvl>
    <w:lvl w:ilvl="1">
      <w:start w:val="1"/>
      <w:numFmt w:val="lowerLetter"/>
      <w:lvlText w:val="%1%2"/>
      <w:lvlJc w:val="left"/>
      <w:pPr>
        <w:tabs>
          <w:tab w:val="num" w:pos="170"/>
        </w:tabs>
        <w:ind w:left="170" w:hanging="170"/>
      </w:pPr>
      <w:rPr>
        <w:rFonts w:hint="default"/>
        <w:b/>
        <w:i w:val="0"/>
        <w:color w:val="C6BFAB" w:themeColor="accent3"/>
        <w:position w:val="4"/>
      </w:rPr>
    </w:lvl>
    <w:lvl w:ilvl="2">
      <w:start w:val="1"/>
      <w:numFmt w:val="none"/>
      <w:lvlRestart w:val="0"/>
      <w:suff w:val="nothing"/>
      <w:lvlText w:val="%1"/>
      <w:lvlJc w:val="left"/>
      <w:pPr>
        <w:ind w:left="1224" w:hanging="504"/>
      </w:pPr>
      <w:rPr>
        <w:rFonts w:hint="default"/>
      </w:rPr>
    </w:lvl>
    <w:lvl w:ilvl="3">
      <w:start w:val="1"/>
      <w:numFmt w:val="none"/>
      <w:lvlRestart w:val="0"/>
      <w:suff w:val="nothing"/>
      <w:lvlText w:val="%1"/>
      <w:lvlJc w:val="left"/>
      <w:pPr>
        <w:ind w:left="1728" w:hanging="648"/>
      </w:pPr>
      <w:rPr>
        <w:rFonts w:hint="default"/>
      </w:rPr>
    </w:lvl>
    <w:lvl w:ilvl="4">
      <w:start w:val="1"/>
      <w:numFmt w:val="none"/>
      <w:lvlRestart w:val="0"/>
      <w:suff w:val="nothing"/>
      <w:lvlText w:val="%1"/>
      <w:lvlJc w:val="left"/>
      <w:pPr>
        <w:ind w:left="2232" w:hanging="792"/>
      </w:pPr>
      <w:rPr>
        <w:rFonts w:hint="default"/>
      </w:rPr>
    </w:lvl>
    <w:lvl w:ilvl="5">
      <w:start w:val="1"/>
      <w:numFmt w:val="none"/>
      <w:lvlRestart w:val="0"/>
      <w:suff w:val="nothing"/>
      <w:lvlText w:val="%1"/>
      <w:lvlJc w:val="left"/>
      <w:pPr>
        <w:ind w:left="2736" w:hanging="936"/>
      </w:pPr>
      <w:rPr>
        <w:rFonts w:hint="default"/>
      </w:rPr>
    </w:lvl>
    <w:lvl w:ilvl="6">
      <w:start w:val="1"/>
      <w:numFmt w:val="none"/>
      <w:lvlRestart w:val="0"/>
      <w:suff w:val="nothing"/>
      <w:lvlText w:val="%1"/>
      <w:lvlJc w:val="left"/>
      <w:pPr>
        <w:ind w:left="3240" w:hanging="1080"/>
      </w:pPr>
      <w:rPr>
        <w:rFonts w:hint="default"/>
      </w:rPr>
    </w:lvl>
    <w:lvl w:ilvl="7">
      <w:start w:val="1"/>
      <w:numFmt w:val="none"/>
      <w:lvlRestart w:val="0"/>
      <w:suff w:val="nothing"/>
      <w:lvlText w:val="%1"/>
      <w:lvlJc w:val="left"/>
      <w:pPr>
        <w:ind w:left="3744" w:hanging="1224"/>
      </w:pPr>
      <w:rPr>
        <w:rFonts w:hint="default"/>
      </w:rPr>
    </w:lvl>
    <w:lvl w:ilvl="8">
      <w:start w:val="1"/>
      <w:numFmt w:val="none"/>
      <w:lvlRestart w:val="0"/>
      <w:suff w:val="nothing"/>
      <w:lvlText w:val="%1"/>
      <w:lvlJc w:val="left"/>
      <w:pPr>
        <w:ind w:left="4320" w:hanging="1440"/>
      </w:pPr>
      <w:rPr>
        <w:rFonts w:hint="default"/>
      </w:rPr>
    </w:lvl>
  </w:abstractNum>
  <w:abstractNum w:abstractNumId="16" w15:restartNumberingAfterBreak="0">
    <w:nsid w:val="27006C08"/>
    <w:multiLevelType w:val="multilevel"/>
    <w:tmpl w:val="149034BA"/>
    <w:styleLink w:val="KeyPointBullets"/>
    <w:lvl w:ilvl="0">
      <w:start w:val="1"/>
      <w:numFmt w:val="bullet"/>
      <w:pStyle w:val="KeyPoint"/>
      <w:lvlText w:val="■"/>
      <w:lvlJc w:val="left"/>
      <w:pPr>
        <w:tabs>
          <w:tab w:val="num" w:pos="284"/>
        </w:tabs>
        <w:ind w:left="284" w:hanging="284"/>
      </w:pPr>
      <w:rPr>
        <w:rFonts w:ascii="Franklin Gothic Demi" w:hAnsi="Franklin Gothic Demi" w:hint="default"/>
        <w:color w:val="F61D12" w:themeColor="accent2"/>
      </w:rPr>
    </w:lvl>
    <w:lvl w:ilvl="1">
      <w:start w:val="1"/>
      <w:numFmt w:val="bullet"/>
      <w:pStyle w:val="KeyPoint2"/>
      <w:lvlText w:val="–"/>
      <w:lvlJc w:val="left"/>
      <w:pPr>
        <w:tabs>
          <w:tab w:val="num" w:pos="567"/>
        </w:tabs>
        <w:ind w:left="567" w:hanging="283"/>
      </w:pPr>
      <w:rPr>
        <w:rFonts w:ascii="Franklin Gothic Demi" w:hAnsi="Franklin Gothic Demi" w:hint="default"/>
        <w:color w:val="F61D12" w:themeColor="accent2"/>
        <w:position w:val="2"/>
      </w:rPr>
    </w:lvl>
    <w:lvl w:ilvl="2">
      <w:start w:val="1"/>
      <w:numFmt w:val="bullet"/>
      <w:pStyle w:val="KeyPoint3"/>
      <w:lvlText w:val="…"/>
      <w:lvlJc w:val="left"/>
      <w:pPr>
        <w:tabs>
          <w:tab w:val="num" w:pos="992"/>
        </w:tabs>
        <w:ind w:left="992" w:hanging="425"/>
      </w:pPr>
      <w:rPr>
        <w:rFonts w:ascii="Franklin Gothic Demi" w:hAnsi="Franklin Gothic Demi" w:hint="default"/>
        <w:color w:val="F61D12" w:themeColor="accen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7E231F0"/>
    <w:multiLevelType w:val="multilevel"/>
    <w:tmpl w:val="A8A0795C"/>
    <w:styleLink w:val="RecommendationNumbers"/>
    <w:lvl w:ilvl="0">
      <w:start w:val="1"/>
      <w:numFmt w:val="decimal"/>
      <w:pStyle w:val="RecommendationNumber"/>
      <w:lvlText w:val="%1"/>
      <w:lvlJc w:val="left"/>
      <w:pPr>
        <w:tabs>
          <w:tab w:val="num" w:pos="284"/>
        </w:tabs>
        <w:ind w:left="284" w:hanging="284"/>
      </w:pPr>
      <w:rPr>
        <w:rFonts w:hint="default"/>
      </w:rPr>
    </w:lvl>
    <w:lvl w:ilvl="1">
      <w:start w:val="1"/>
      <w:numFmt w:val="lowerLetter"/>
      <w:pStyle w:val="RecommendationNumber2"/>
      <w:lvlText w:val="%2)"/>
      <w:lvlJc w:val="left"/>
      <w:pPr>
        <w:tabs>
          <w:tab w:val="num" w:pos="567"/>
        </w:tabs>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4624A0E"/>
    <w:multiLevelType w:val="multilevel"/>
    <w:tmpl w:val="5BCE45E4"/>
    <w:numStyleLink w:val="NoteListNumber"/>
  </w:abstractNum>
  <w:abstractNum w:abstractNumId="19" w15:restartNumberingAfterBreak="0">
    <w:nsid w:val="3487660B"/>
    <w:multiLevelType w:val="multilevel"/>
    <w:tmpl w:val="5BCE45E4"/>
    <w:numStyleLink w:val="NoteListNumber"/>
  </w:abstractNum>
  <w:abstractNum w:abstractNumId="20" w15:restartNumberingAfterBreak="0">
    <w:nsid w:val="41535386"/>
    <w:multiLevelType w:val="multilevel"/>
    <w:tmpl w:val="8C8656A2"/>
    <w:styleLink w:val="TableListNumbers"/>
    <w:lvl w:ilvl="0">
      <w:start w:val="1"/>
      <w:numFmt w:val="decimal"/>
      <w:pStyle w:val="TableListNumber"/>
      <w:lvlText w:val="%1"/>
      <w:lvlJc w:val="left"/>
      <w:pPr>
        <w:tabs>
          <w:tab w:val="num" w:pos="170"/>
        </w:tabs>
        <w:ind w:left="170" w:hanging="170"/>
      </w:pPr>
      <w:rPr>
        <w:rFonts w:ascii="Franklin Gothic Book" w:hAnsi="Franklin Gothic Book" w:hint="default"/>
      </w:rPr>
    </w:lvl>
    <w:lvl w:ilvl="1">
      <w:start w:val="1"/>
      <w:numFmt w:val="lowerLetter"/>
      <w:pStyle w:val="TableListNumber2"/>
      <w:lvlText w:val="%2)"/>
      <w:lvlJc w:val="left"/>
      <w:pPr>
        <w:tabs>
          <w:tab w:val="num" w:pos="340"/>
        </w:tabs>
        <w:ind w:left="340" w:hanging="17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E3E75E8"/>
    <w:multiLevelType w:val="multilevel"/>
    <w:tmpl w:val="49B2C914"/>
    <w:styleLink w:val="HeadingNumbers"/>
    <w:lvl w:ilvl="0">
      <w:start w:val="1"/>
      <w:numFmt w:val="decimal"/>
      <w:pStyle w:val="Heading1"/>
      <w:lvlText w:val="%1"/>
      <w:lvlJc w:val="left"/>
      <w:pPr>
        <w:tabs>
          <w:tab w:val="num" w:pos="567"/>
        </w:tabs>
        <w:ind w:left="567" w:hanging="567"/>
      </w:pPr>
      <w:rPr>
        <w:rFonts w:hint="default"/>
        <w:b w:val="0"/>
        <w:i/>
        <w:color w:val="auto"/>
        <w:sz w:val="36"/>
      </w:rPr>
    </w:lvl>
    <w:lvl w:ilvl="1">
      <w:start w:val="1"/>
      <w:numFmt w:val="none"/>
      <w:lvlRestart w:val="0"/>
      <w:pStyle w:val="Heading2"/>
      <w:suff w:val="nothing"/>
      <w:lvlText w:val=""/>
      <w:lvlJc w:val="left"/>
      <w:pPr>
        <w:ind w:left="0" w:firstLine="0"/>
      </w:pPr>
      <w:rPr>
        <w:rFonts w:hint="default"/>
      </w:rPr>
    </w:lvl>
    <w:lvl w:ilvl="2">
      <w:start w:val="1"/>
      <w:numFmt w:val="none"/>
      <w:lvlRestart w:val="0"/>
      <w:pStyle w:val="Heading3"/>
      <w:suff w:val="nothing"/>
      <w:lvlText w:val=""/>
      <w:lvlJc w:val="left"/>
      <w:pPr>
        <w:ind w:left="0" w:firstLine="0"/>
      </w:pPr>
      <w:rPr>
        <w:rFonts w:hint="default"/>
      </w:rPr>
    </w:lvl>
    <w:lvl w:ilvl="3">
      <w:start w:val="1"/>
      <w:numFmt w:val="none"/>
      <w:lvlRestart w:val="0"/>
      <w:pStyle w:val="Heading4"/>
      <w:suff w:val="nothing"/>
      <w:lvlText w:val=""/>
      <w:lvlJc w:val="left"/>
      <w:pPr>
        <w:ind w:left="0" w:firstLine="0"/>
      </w:pPr>
      <w:rPr>
        <w:rFonts w:hint="default"/>
      </w:rPr>
    </w:lvl>
    <w:lvl w:ilvl="4">
      <w:start w:val="1"/>
      <w:numFmt w:val="none"/>
      <w:lvlRestart w:val="0"/>
      <w:pStyle w:val="Heading5"/>
      <w:suff w:val="nothing"/>
      <w:lvlText w:val=""/>
      <w:lvlJc w:val="left"/>
      <w:pPr>
        <w:ind w:left="0" w:firstLine="0"/>
      </w:pPr>
      <w:rPr>
        <w:rFonts w:hint="default"/>
      </w:rPr>
    </w:lvl>
    <w:lvl w:ilvl="5">
      <w:start w:val="1"/>
      <w:numFmt w:val="upperLetter"/>
      <w:lvlRestart w:val="0"/>
      <w:pStyle w:val="Heading6"/>
      <w:lvlText w:val="%6"/>
      <w:lvlJc w:val="left"/>
      <w:pPr>
        <w:tabs>
          <w:tab w:val="num" w:pos="567"/>
        </w:tabs>
        <w:ind w:left="567" w:hanging="567"/>
      </w:pPr>
      <w:rPr>
        <w:rFonts w:hint="default"/>
        <w:b w:val="0"/>
        <w:i/>
        <w:caps w:val="0"/>
        <w:sz w:val="36"/>
        <w:szCs w:val="28"/>
      </w:rPr>
    </w:lvl>
    <w:lvl w:ilvl="6">
      <w:start w:val="1"/>
      <w:numFmt w:val="none"/>
      <w:lvlRestart w:val="0"/>
      <w:pStyle w:val="Heading7"/>
      <w:suff w:val="nothing"/>
      <w:lvlText w:val=""/>
      <w:lvlJc w:val="left"/>
      <w:pPr>
        <w:ind w:left="0" w:firstLine="0"/>
      </w:pPr>
      <w:rPr>
        <w:rFonts w:hint="default"/>
        <w:caps/>
        <w:sz w:val="22"/>
        <w:szCs w:val="22"/>
      </w:rPr>
    </w:lvl>
    <w:lvl w:ilvl="7">
      <w:start w:val="1"/>
      <w:numFmt w:val="none"/>
      <w:lvlRestart w:val="0"/>
      <w:pStyle w:val="Heading8"/>
      <w:suff w:val="nothing"/>
      <w:lvlText w:val=""/>
      <w:lvlJc w:val="left"/>
      <w:pPr>
        <w:ind w:left="0" w:firstLine="0"/>
      </w:pPr>
      <w:rPr>
        <w:rFonts w:asciiTheme="majorHAnsi" w:hAnsiTheme="majorHAnsi" w:hint="default"/>
      </w:rPr>
    </w:lvl>
    <w:lvl w:ilvl="8">
      <w:start w:val="1"/>
      <w:numFmt w:val="none"/>
      <w:lvlRestart w:val="0"/>
      <w:pStyle w:val="Heading9"/>
      <w:suff w:val="nothing"/>
      <w:lvlText w:val=""/>
      <w:lvlJc w:val="left"/>
      <w:pPr>
        <w:ind w:left="0" w:firstLine="0"/>
      </w:pPr>
      <w:rPr>
        <w:rFonts w:asciiTheme="majorHAnsi" w:hAnsiTheme="majorHAnsi" w:hint="default"/>
      </w:rPr>
    </w:lvl>
  </w:abstractNum>
  <w:abstractNum w:abstractNumId="22" w15:restartNumberingAfterBreak="0">
    <w:nsid w:val="542E221A"/>
    <w:multiLevelType w:val="multilevel"/>
    <w:tmpl w:val="567ADE74"/>
    <w:styleLink w:val="TableListBullets"/>
    <w:lvl w:ilvl="0">
      <w:start w:val="1"/>
      <w:numFmt w:val="bullet"/>
      <w:pStyle w:val="TableListBullet"/>
      <w:lvlText w:val="■"/>
      <w:lvlJc w:val="left"/>
      <w:pPr>
        <w:tabs>
          <w:tab w:val="num" w:pos="170"/>
        </w:tabs>
        <w:ind w:left="170" w:hanging="170"/>
      </w:pPr>
      <w:rPr>
        <w:rFonts w:ascii="Franklin Gothic Book" w:hAnsi="Franklin Gothic Book"/>
        <w:color w:val="9B917E" w:themeColor="accent4"/>
        <w:spacing w:val="0"/>
        <w:w w:val="100"/>
        <w:position w:val="3"/>
        <w:sz w:val="12"/>
      </w:rPr>
    </w:lvl>
    <w:lvl w:ilvl="1">
      <w:start w:val="1"/>
      <w:numFmt w:val="bullet"/>
      <w:pStyle w:val="TableListBullet2"/>
      <w:lvlText w:val="–"/>
      <w:lvlJc w:val="left"/>
      <w:pPr>
        <w:tabs>
          <w:tab w:val="num" w:pos="340"/>
        </w:tabs>
        <w:ind w:left="340" w:hanging="170"/>
      </w:pPr>
      <w:rPr>
        <w:rFonts w:ascii="Arial" w:hAnsi="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6787896"/>
    <w:multiLevelType w:val="multilevel"/>
    <w:tmpl w:val="567ADE74"/>
    <w:numStyleLink w:val="TableListBullets"/>
  </w:abstractNum>
  <w:abstractNum w:abstractNumId="24" w15:restartNumberingAfterBreak="0">
    <w:nsid w:val="58B8648D"/>
    <w:multiLevelType w:val="multilevel"/>
    <w:tmpl w:val="5BCE45E4"/>
    <w:lvl w:ilvl="0">
      <w:start w:val="1"/>
      <w:numFmt w:val="none"/>
      <w:lvlRestart w:val="0"/>
      <w:suff w:val="nothing"/>
      <w:lvlText w:val="%1"/>
      <w:lvlJc w:val="left"/>
      <w:pPr>
        <w:ind w:left="0" w:firstLine="0"/>
      </w:pPr>
      <w:rPr>
        <w:rFonts w:ascii="Calibri" w:hAnsi="Calibri" w:cs="Calibri" w:hint="default"/>
        <w:b/>
        <w:i w:val="0"/>
        <w:color w:val="C6BFAB" w:themeColor="accent3"/>
        <w:position w:val="4"/>
      </w:rPr>
    </w:lvl>
    <w:lvl w:ilvl="1">
      <w:start w:val="1"/>
      <w:numFmt w:val="lowerLetter"/>
      <w:pStyle w:val="NoteNumber"/>
      <w:lvlText w:val="%1%2"/>
      <w:lvlJc w:val="left"/>
      <w:pPr>
        <w:tabs>
          <w:tab w:val="num" w:pos="170"/>
        </w:tabs>
        <w:ind w:left="170" w:hanging="170"/>
      </w:pPr>
      <w:rPr>
        <w:rFonts w:hint="default"/>
        <w:b/>
        <w:i w:val="0"/>
        <w:color w:val="C6BFAB" w:themeColor="accent3"/>
        <w:position w:val="4"/>
      </w:rPr>
    </w:lvl>
    <w:lvl w:ilvl="2">
      <w:start w:val="1"/>
      <w:numFmt w:val="none"/>
      <w:lvlRestart w:val="0"/>
      <w:suff w:val="nothing"/>
      <w:lvlText w:val="%1"/>
      <w:lvlJc w:val="left"/>
      <w:pPr>
        <w:ind w:left="1224" w:hanging="504"/>
      </w:pPr>
      <w:rPr>
        <w:rFonts w:hint="default"/>
      </w:rPr>
    </w:lvl>
    <w:lvl w:ilvl="3">
      <w:start w:val="1"/>
      <w:numFmt w:val="none"/>
      <w:lvlRestart w:val="0"/>
      <w:suff w:val="nothing"/>
      <w:lvlText w:val="%1"/>
      <w:lvlJc w:val="left"/>
      <w:pPr>
        <w:ind w:left="1728" w:hanging="648"/>
      </w:pPr>
      <w:rPr>
        <w:rFonts w:hint="default"/>
      </w:rPr>
    </w:lvl>
    <w:lvl w:ilvl="4">
      <w:start w:val="1"/>
      <w:numFmt w:val="none"/>
      <w:lvlRestart w:val="0"/>
      <w:suff w:val="nothing"/>
      <w:lvlText w:val="%1"/>
      <w:lvlJc w:val="left"/>
      <w:pPr>
        <w:ind w:left="2232" w:hanging="792"/>
      </w:pPr>
      <w:rPr>
        <w:rFonts w:hint="default"/>
      </w:rPr>
    </w:lvl>
    <w:lvl w:ilvl="5">
      <w:start w:val="1"/>
      <w:numFmt w:val="none"/>
      <w:lvlRestart w:val="0"/>
      <w:suff w:val="nothing"/>
      <w:lvlText w:val="%1"/>
      <w:lvlJc w:val="left"/>
      <w:pPr>
        <w:ind w:left="2736" w:hanging="936"/>
      </w:pPr>
      <w:rPr>
        <w:rFonts w:hint="default"/>
      </w:rPr>
    </w:lvl>
    <w:lvl w:ilvl="6">
      <w:start w:val="1"/>
      <w:numFmt w:val="none"/>
      <w:lvlRestart w:val="0"/>
      <w:suff w:val="nothing"/>
      <w:lvlText w:val="%1"/>
      <w:lvlJc w:val="left"/>
      <w:pPr>
        <w:ind w:left="3240" w:hanging="1080"/>
      </w:pPr>
      <w:rPr>
        <w:rFonts w:hint="default"/>
      </w:rPr>
    </w:lvl>
    <w:lvl w:ilvl="7">
      <w:start w:val="1"/>
      <w:numFmt w:val="none"/>
      <w:lvlRestart w:val="0"/>
      <w:suff w:val="nothing"/>
      <w:lvlText w:val="%1"/>
      <w:lvlJc w:val="left"/>
      <w:pPr>
        <w:ind w:left="3744" w:hanging="1224"/>
      </w:pPr>
      <w:rPr>
        <w:rFonts w:hint="default"/>
      </w:rPr>
    </w:lvl>
    <w:lvl w:ilvl="8">
      <w:start w:val="1"/>
      <w:numFmt w:val="none"/>
      <w:lvlRestart w:val="0"/>
      <w:suff w:val="nothing"/>
      <w:lvlText w:val="%1"/>
      <w:lvlJc w:val="left"/>
      <w:pPr>
        <w:ind w:left="4320" w:hanging="1440"/>
      </w:pPr>
      <w:rPr>
        <w:rFonts w:hint="default"/>
      </w:rPr>
    </w:lvl>
  </w:abstractNum>
  <w:abstractNum w:abstractNumId="25" w15:restartNumberingAfterBreak="0">
    <w:nsid w:val="6A44001A"/>
    <w:multiLevelType w:val="hybridMultilevel"/>
    <w:tmpl w:val="2F0A1368"/>
    <w:lvl w:ilvl="0" w:tplc="0C090001">
      <w:start w:val="1"/>
      <w:numFmt w:val="bullet"/>
      <w:lvlText w:val=""/>
      <w:lvlJc w:val="left"/>
      <w:pPr>
        <w:ind w:left="1003" w:hanging="360"/>
      </w:pPr>
      <w:rPr>
        <w:rFonts w:ascii="Symbol" w:hAnsi="Symbol"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26" w15:restartNumberingAfterBreak="0">
    <w:nsid w:val="6C420028"/>
    <w:multiLevelType w:val="multilevel"/>
    <w:tmpl w:val="AD122346"/>
    <w:styleLink w:val="ChartListNumber"/>
    <w:lvl w:ilvl="0">
      <w:start w:val="1"/>
      <w:numFmt w:val="decimal"/>
      <w:pStyle w:val="ChartListNumber0"/>
      <w:lvlText w:val="%1"/>
      <w:lvlJc w:val="left"/>
      <w:pPr>
        <w:tabs>
          <w:tab w:val="num" w:pos="170"/>
        </w:tabs>
        <w:ind w:left="170" w:hanging="17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18120EA"/>
    <w:multiLevelType w:val="multilevel"/>
    <w:tmpl w:val="CB3EC8D0"/>
    <w:styleLink w:val="ListBullets"/>
    <w:lvl w:ilvl="0">
      <w:start w:val="1"/>
      <w:numFmt w:val="bullet"/>
      <w:pStyle w:val="ListBullet"/>
      <w:lvlText w:val="■"/>
      <w:lvlJc w:val="left"/>
      <w:pPr>
        <w:tabs>
          <w:tab w:val="num" w:pos="284"/>
        </w:tabs>
        <w:ind w:left="284" w:hanging="284"/>
      </w:pPr>
      <w:rPr>
        <w:rFonts w:ascii="Franklin Gothic Demi" w:hAnsi="Franklin Gothic Demi" w:hint="default"/>
        <w:color w:val="9B917E" w:themeColor="accent4"/>
        <w:position w:val="3"/>
        <w:sz w:val="16"/>
      </w:rPr>
    </w:lvl>
    <w:lvl w:ilvl="1">
      <w:start w:val="1"/>
      <w:numFmt w:val="bullet"/>
      <w:pStyle w:val="ListBullet2"/>
      <w:lvlText w:val="–"/>
      <w:lvlJc w:val="left"/>
      <w:pPr>
        <w:tabs>
          <w:tab w:val="num" w:pos="567"/>
        </w:tabs>
        <w:ind w:left="567" w:hanging="283"/>
      </w:pPr>
      <w:rPr>
        <w:rFonts w:hint="default"/>
      </w:rPr>
    </w:lvl>
    <w:lvl w:ilvl="2">
      <w:start w:val="1"/>
      <w:numFmt w:val="bullet"/>
      <w:pStyle w:val="ListBullet3"/>
      <w:lvlText w:val="…"/>
      <w:lvlJc w:val="left"/>
      <w:pPr>
        <w:tabs>
          <w:tab w:val="num" w:pos="907"/>
        </w:tabs>
        <w:ind w:left="907" w:hanging="340"/>
      </w:pPr>
      <w:rPr>
        <w:rFonts w:ascii="Calisto MT" w:hAnsi="Calisto MT" w:hint="default"/>
        <w:color w:val="9B917E" w:themeColor="accent4"/>
        <w:position w:val="3"/>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20F67A8"/>
    <w:multiLevelType w:val="multilevel"/>
    <w:tmpl w:val="0C090029"/>
    <w:name w:val="NoteNumbers"/>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72BB502B"/>
    <w:multiLevelType w:val="multilevel"/>
    <w:tmpl w:val="CB90F828"/>
    <w:lvl w:ilvl="0">
      <w:start w:val="1"/>
      <w:numFmt w:val="lowerLetter"/>
      <w:lvlRestart w:val="0"/>
      <w:lvlText w:val="%1"/>
      <w:lvlJc w:val="left"/>
      <w:pPr>
        <w:tabs>
          <w:tab w:val="num" w:pos="170"/>
        </w:tabs>
        <w:ind w:left="0" w:firstLine="0"/>
      </w:pPr>
      <w:rPr>
        <w:rFonts w:hint="default"/>
        <w:b/>
        <w:bCs w:val="0"/>
        <w:i w:val="0"/>
        <w:iCs w:val="0"/>
        <w:caps w:val="0"/>
        <w:smallCaps w:val="0"/>
        <w:strike w:val="0"/>
        <w:dstrike w:val="0"/>
        <w:noProof w:val="0"/>
        <w:vanish w:val="0"/>
        <w:color w:val="00497E"/>
        <w:spacing w:val="0"/>
        <w:kern w:val="0"/>
        <w:position w:val="0"/>
        <w:sz w:val="16"/>
        <w:szCs w:val="1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tabs>
          <w:tab w:val="num" w:pos="1440"/>
        </w:tabs>
        <w:ind w:left="1440" w:hanging="363"/>
      </w:pPr>
      <w:rPr>
        <w:rFonts w:hint="default"/>
      </w:rPr>
    </w:lvl>
    <w:lvl w:ilvl="2">
      <w:start w:val="1"/>
      <w:numFmt w:val="lowerRoman"/>
      <w:lvlText w:val="%3."/>
      <w:lvlJc w:val="right"/>
      <w:pPr>
        <w:tabs>
          <w:tab w:val="num" w:pos="2160"/>
        </w:tabs>
        <w:ind w:left="2160" w:hanging="181"/>
      </w:pPr>
      <w:rPr>
        <w:rFonts w:hint="default"/>
      </w:rPr>
    </w:lvl>
    <w:lvl w:ilvl="3">
      <w:start w:val="1"/>
      <w:numFmt w:val="decimal"/>
      <w:lvlText w:val="%4."/>
      <w:lvlJc w:val="left"/>
      <w:pPr>
        <w:tabs>
          <w:tab w:val="num" w:pos="2880"/>
        </w:tabs>
        <w:ind w:left="2880" w:hanging="363"/>
      </w:pPr>
      <w:rPr>
        <w:rFonts w:hint="default"/>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30" w15:restartNumberingAfterBreak="0">
    <w:nsid w:val="7C3A0DF8"/>
    <w:multiLevelType w:val="multilevel"/>
    <w:tmpl w:val="E6863C72"/>
    <w:lvl w:ilvl="0">
      <w:start w:val="1"/>
      <w:numFmt w:val="none"/>
      <w:lvlRestart w:val="0"/>
      <w:suff w:val="nothing"/>
      <w:lvlText w:val="%1"/>
      <w:lvlJc w:val="left"/>
      <w:pPr>
        <w:ind w:left="0" w:firstLine="0"/>
      </w:pPr>
      <w:rPr>
        <w:rFonts w:ascii="Calibri" w:hAnsi="Calibri" w:cs="Calibri" w:hint="default"/>
        <w:b/>
        <w:i w:val="0"/>
        <w:color w:val="C6BFAB" w:themeColor="accent3"/>
        <w:position w:val="4"/>
      </w:rPr>
    </w:lvl>
    <w:lvl w:ilvl="1">
      <w:start w:val="1"/>
      <w:numFmt w:val="lowerLetter"/>
      <w:lvlText w:val="%1%2"/>
      <w:lvlJc w:val="left"/>
      <w:pPr>
        <w:tabs>
          <w:tab w:val="num" w:pos="170"/>
        </w:tabs>
        <w:ind w:left="170" w:hanging="170"/>
      </w:pPr>
      <w:rPr>
        <w:rFonts w:hint="default"/>
        <w:b/>
        <w:i w:val="0"/>
        <w:color w:val="C6BFAB" w:themeColor="accent3"/>
        <w:position w:val="4"/>
      </w:rPr>
    </w:lvl>
    <w:lvl w:ilvl="2">
      <w:start w:val="1"/>
      <w:numFmt w:val="none"/>
      <w:lvlRestart w:val="0"/>
      <w:suff w:val="nothing"/>
      <w:lvlText w:val="%1"/>
      <w:lvlJc w:val="left"/>
      <w:pPr>
        <w:ind w:left="1224" w:hanging="504"/>
      </w:pPr>
      <w:rPr>
        <w:rFonts w:hint="default"/>
      </w:rPr>
    </w:lvl>
    <w:lvl w:ilvl="3">
      <w:start w:val="1"/>
      <w:numFmt w:val="none"/>
      <w:lvlRestart w:val="0"/>
      <w:suff w:val="nothing"/>
      <w:lvlText w:val="%1"/>
      <w:lvlJc w:val="left"/>
      <w:pPr>
        <w:ind w:left="1728" w:hanging="648"/>
      </w:pPr>
      <w:rPr>
        <w:rFonts w:hint="default"/>
      </w:rPr>
    </w:lvl>
    <w:lvl w:ilvl="4">
      <w:start w:val="1"/>
      <w:numFmt w:val="none"/>
      <w:lvlRestart w:val="0"/>
      <w:suff w:val="nothing"/>
      <w:lvlText w:val="%1"/>
      <w:lvlJc w:val="left"/>
      <w:pPr>
        <w:ind w:left="2232" w:hanging="792"/>
      </w:pPr>
      <w:rPr>
        <w:rFonts w:hint="default"/>
      </w:rPr>
    </w:lvl>
    <w:lvl w:ilvl="5">
      <w:start w:val="1"/>
      <w:numFmt w:val="none"/>
      <w:lvlRestart w:val="0"/>
      <w:suff w:val="nothing"/>
      <w:lvlText w:val="%1"/>
      <w:lvlJc w:val="left"/>
      <w:pPr>
        <w:ind w:left="2736" w:hanging="936"/>
      </w:pPr>
      <w:rPr>
        <w:rFonts w:hint="default"/>
      </w:rPr>
    </w:lvl>
    <w:lvl w:ilvl="6">
      <w:start w:val="1"/>
      <w:numFmt w:val="none"/>
      <w:lvlRestart w:val="0"/>
      <w:suff w:val="nothing"/>
      <w:lvlText w:val="%1"/>
      <w:lvlJc w:val="left"/>
      <w:pPr>
        <w:ind w:left="3240" w:hanging="1080"/>
      </w:pPr>
      <w:rPr>
        <w:rFonts w:hint="default"/>
      </w:rPr>
    </w:lvl>
    <w:lvl w:ilvl="7">
      <w:start w:val="1"/>
      <w:numFmt w:val="none"/>
      <w:lvlRestart w:val="0"/>
      <w:suff w:val="nothing"/>
      <w:lvlText w:val="%1"/>
      <w:lvlJc w:val="left"/>
      <w:pPr>
        <w:ind w:left="3744" w:hanging="1224"/>
      </w:pPr>
      <w:rPr>
        <w:rFonts w:hint="default"/>
      </w:rPr>
    </w:lvl>
    <w:lvl w:ilvl="8">
      <w:start w:val="1"/>
      <w:numFmt w:val="none"/>
      <w:lvlRestart w:val="0"/>
      <w:suff w:val="nothing"/>
      <w:lvlText w:val="%1"/>
      <w:lvlJc w:val="left"/>
      <w:pPr>
        <w:ind w:left="4320" w:hanging="1440"/>
      </w:pPr>
      <w:rPr>
        <w:rFonts w:hint="default"/>
      </w:rPr>
    </w:lvl>
  </w:abstractNum>
  <w:num w:numId="1" w16cid:durableId="515929614">
    <w:abstractNumId w:val="20"/>
  </w:num>
  <w:num w:numId="2" w16cid:durableId="1283851718">
    <w:abstractNumId w:val="22"/>
  </w:num>
  <w:num w:numId="3" w16cid:durableId="404187811">
    <w:abstractNumId w:val="12"/>
  </w:num>
  <w:num w:numId="4" w16cid:durableId="720983405">
    <w:abstractNumId w:val="26"/>
  </w:num>
  <w:num w:numId="5" w16cid:durableId="2025083784">
    <w:abstractNumId w:val="21"/>
  </w:num>
  <w:num w:numId="6" w16cid:durableId="968783871">
    <w:abstractNumId w:val="17"/>
  </w:num>
  <w:num w:numId="7" w16cid:durableId="1120957734">
    <w:abstractNumId w:val="30"/>
  </w:num>
  <w:num w:numId="8" w16cid:durableId="1065571548">
    <w:abstractNumId w:val="27"/>
    <w:lvlOverride w:ilvl="0">
      <w:lvl w:ilvl="0">
        <w:start w:val="1"/>
        <w:numFmt w:val="bullet"/>
        <w:pStyle w:val="ListBullet"/>
        <w:lvlText w:val="■"/>
        <w:lvlJc w:val="left"/>
        <w:pPr>
          <w:tabs>
            <w:tab w:val="num" w:pos="284"/>
          </w:tabs>
          <w:ind w:left="284" w:hanging="284"/>
        </w:pPr>
        <w:rPr>
          <w:rFonts w:ascii="Franklin Gothic Demi" w:hAnsi="Franklin Gothic Demi" w:hint="default"/>
          <w:color w:val="006B7A" w:themeColor="accent1"/>
        </w:rPr>
      </w:lvl>
    </w:lvlOverride>
    <w:lvlOverride w:ilvl="1">
      <w:lvl w:ilvl="1">
        <w:start w:val="1"/>
        <w:numFmt w:val="bullet"/>
        <w:pStyle w:val="ListBullet2"/>
        <w:lvlText w:val="–"/>
        <w:lvlJc w:val="left"/>
        <w:pPr>
          <w:tabs>
            <w:tab w:val="num" w:pos="567"/>
          </w:tabs>
          <w:ind w:left="567" w:hanging="283"/>
        </w:pPr>
        <w:rPr>
          <w:rFonts w:ascii="Franklin Gothic Demi" w:hAnsi="Franklin Gothic Demi" w:hint="default"/>
          <w:color w:val="006B7A" w:themeColor="accent1"/>
          <w:position w:val="2"/>
        </w:rPr>
      </w:lvl>
    </w:lvlOverride>
    <w:lvlOverride w:ilvl="2">
      <w:lvl w:ilvl="2">
        <w:start w:val="1"/>
        <w:numFmt w:val="bullet"/>
        <w:pStyle w:val="ListBullet3"/>
        <w:lvlText w:val="…"/>
        <w:lvlJc w:val="left"/>
        <w:pPr>
          <w:tabs>
            <w:tab w:val="num" w:pos="992"/>
          </w:tabs>
          <w:ind w:left="992" w:hanging="425"/>
        </w:pPr>
        <w:rPr>
          <w:rFonts w:ascii="Franklin Gothic Demi" w:hAnsi="Franklin Gothic Demi" w:hint="default"/>
          <w:color w:val="EF1209"/>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9" w16cid:durableId="680204189">
    <w:abstractNumId w:val="23"/>
  </w:num>
  <w:num w:numId="10" w16cid:durableId="1859587926">
    <w:abstractNumId w:val="4"/>
  </w:num>
  <w:num w:numId="11" w16cid:durableId="1808543141">
    <w:abstractNumId w:val="27"/>
  </w:num>
  <w:num w:numId="12" w16cid:durableId="1637757698">
    <w:abstractNumId w:val="9"/>
  </w:num>
  <w:num w:numId="13" w16cid:durableId="1359428580">
    <w:abstractNumId w:val="16"/>
  </w:num>
  <w:num w:numId="14" w16cid:durableId="808322990">
    <w:abstractNumId w:val="11"/>
  </w:num>
  <w:num w:numId="15" w16cid:durableId="454560964">
    <w:abstractNumId w:val="19"/>
  </w:num>
  <w:num w:numId="16" w16cid:durableId="565916301">
    <w:abstractNumId w:val="6"/>
  </w:num>
  <w:num w:numId="17" w16cid:durableId="198317641">
    <w:abstractNumId w:val="18"/>
  </w:num>
  <w:num w:numId="18" w16cid:durableId="77144156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72913211">
    <w:abstractNumId w:val="24"/>
  </w:num>
  <w:num w:numId="20" w16cid:durableId="137302800">
    <w:abstractNumId w:val="7"/>
  </w:num>
  <w:num w:numId="21" w16cid:durableId="1619608829">
    <w:abstractNumId w:val="21"/>
  </w:num>
  <w:num w:numId="22" w16cid:durableId="706563485">
    <w:abstractNumId w:val="21"/>
  </w:num>
  <w:num w:numId="23" w16cid:durableId="159349668">
    <w:abstractNumId w:val="21"/>
  </w:num>
  <w:num w:numId="24" w16cid:durableId="724717639">
    <w:abstractNumId w:val="21"/>
  </w:num>
  <w:num w:numId="25" w16cid:durableId="109474741">
    <w:abstractNumId w:val="21"/>
  </w:num>
  <w:num w:numId="26" w16cid:durableId="1084765915">
    <w:abstractNumId w:val="21"/>
  </w:num>
  <w:num w:numId="27" w16cid:durableId="1629701316">
    <w:abstractNumId w:val="21"/>
  </w:num>
  <w:num w:numId="28" w16cid:durableId="1507672240">
    <w:abstractNumId w:val="21"/>
  </w:num>
  <w:num w:numId="29" w16cid:durableId="1938294068">
    <w:abstractNumId w:val="30"/>
  </w:num>
  <w:num w:numId="30" w16cid:durableId="84153324">
    <w:abstractNumId w:val="27"/>
  </w:num>
  <w:num w:numId="31" w16cid:durableId="1109473929">
    <w:abstractNumId w:val="9"/>
  </w:num>
  <w:num w:numId="32" w16cid:durableId="882057107">
    <w:abstractNumId w:val="15"/>
  </w:num>
  <w:num w:numId="33" w16cid:durableId="21205656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12130709">
    <w:abstractNumId w:val="5"/>
  </w:num>
  <w:num w:numId="35" w16cid:durableId="4380688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948780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33876296">
    <w:abstractNumId w:val="10"/>
  </w:num>
  <w:num w:numId="38" w16cid:durableId="1827814844">
    <w:abstractNumId w:val="2"/>
  </w:num>
  <w:num w:numId="39" w16cid:durableId="2113697706">
    <w:abstractNumId w:val="13"/>
  </w:num>
  <w:num w:numId="40" w16cid:durableId="310906313">
    <w:abstractNumId w:val="1"/>
  </w:num>
  <w:num w:numId="41" w16cid:durableId="1596204681">
    <w:abstractNumId w:val="1"/>
    <w:lvlOverride w:ilvl="0">
      <w:startOverride w:val="1"/>
    </w:lvlOverride>
  </w:num>
  <w:num w:numId="42" w16cid:durableId="580531105">
    <w:abstractNumId w:val="25"/>
  </w:num>
  <w:num w:numId="43" w16cid:durableId="1677656481">
    <w:abstractNumId w:val="14"/>
  </w:num>
  <w:num w:numId="44" w16cid:durableId="1050955375">
    <w:abstractNumId w:val="0"/>
  </w:num>
  <w:num w:numId="45" w16cid:durableId="587229297">
    <w:abstractNumId w:val="27"/>
    <w:lvlOverride w:ilvl="0">
      <w:lvl w:ilvl="0">
        <w:start w:val="1"/>
        <w:numFmt w:val="bullet"/>
        <w:pStyle w:val="ListBullet"/>
        <w:lvlText w:val="■"/>
        <w:lvlJc w:val="left"/>
        <w:pPr>
          <w:tabs>
            <w:tab w:val="num" w:pos="284"/>
          </w:tabs>
          <w:ind w:left="284" w:hanging="284"/>
        </w:pPr>
        <w:rPr>
          <w:rFonts w:ascii="Franklin Gothic Demi" w:hAnsi="Franklin Gothic Demi" w:hint="default"/>
          <w:color w:val="006B7A" w:themeColor="accent1"/>
        </w:rPr>
      </w:lvl>
    </w:lvlOverride>
    <w:lvlOverride w:ilvl="1">
      <w:lvl w:ilvl="1">
        <w:start w:val="1"/>
        <w:numFmt w:val="bullet"/>
        <w:pStyle w:val="ListBullet2"/>
        <w:lvlText w:val="–"/>
        <w:lvlJc w:val="left"/>
        <w:pPr>
          <w:tabs>
            <w:tab w:val="num" w:pos="567"/>
          </w:tabs>
          <w:ind w:left="567" w:hanging="283"/>
        </w:pPr>
        <w:rPr>
          <w:rFonts w:ascii="Franklin Gothic Demi" w:hAnsi="Franklin Gothic Demi" w:hint="default"/>
          <w:color w:val="006B7A" w:themeColor="accent1"/>
          <w:position w:val="2"/>
        </w:rPr>
      </w:lvl>
    </w:lvlOverride>
    <w:lvlOverride w:ilvl="2">
      <w:lvl w:ilvl="2">
        <w:start w:val="1"/>
        <w:numFmt w:val="bullet"/>
        <w:pStyle w:val="ListBullet3"/>
        <w:lvlText w:val="…"/>
        <w:lvlJc w:val="left"/>
        <w:pPr>
          <w:tabs>
            <w:tab w:val="num" w:pos="992"/>
          </w:tabs>
          <w:ind w:left="992" w:hanging="425"/>
        </w:pPr>
        <w:rPr>
          <w:rFonts w:ascii="Franklin Gothic Demi" w:hAnsi="Franklin Gothic Demi" w:hint="default"/>
          <w:color w:val="EF1209"/>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6" w16cid:durableId="838694597">
    <w:abstractNumId w:val="27"/>
    <w:lvlOverride w:ilvl="0">
      <w:lvl w:ilvl="0">
        <w:start w:val="1"/>
        <w:numFmt w:val="bullet"/>
        <w:pStyle w:val="ListBullet"/>
        <w:lvlText w:val="■"/>
        <w:lvlJc w:val="left"/>
        <w:pPr>
          <w:tabs>
            <w:tab w:val="num" w:pos="284"/>
          </w:tabs>
          <w:ind w:left="284" w:hanging="284"/>
        </w:pPr>
        <w:rPr>
          <w:rFonts w:ascii="Franklin Gothic Demi" w:hAnsi="Franklin Gothic Demi" w:hint="default"/>
          <w:color w:val="006B7A" w:themeColor="accent1"/>
        </w:rPr>
      </w:lvl>
    </w:lvlOverride>
    <w:lvlOverride w:ilvl="1">
      <w:lvl w:ilvl="1">
        <w:start w:val="1"/>
        <w:numFmt w:val="bullet"/>
        <w:pStyle w:val="ListBullet2"/>
        <w:lvlText w:val="–"/>
        <w:lvlJc w:val="left"/>
        <w:pPr>
          <w:tabs>
            <w:tab w:val="num" w:pos="567"/>
          </w:tabs>
          <w:ind w:left="567" w:hanging="283"/>
        </w:pPr>
        <w:rPr>
          <w:rFonts w:ascii="Franklin Gothic Demi" w:hAnsi="Franklin Gothic Demi" w:hint="default"/>
          <w:color w:val="006B7A" w:themeColor="accent1"/>
          <w:position w:val="2"/>
        </w:rPr>
      </w:lvl>
    </w:lvlOverride>
    <w:lvlOverride w:ilvl="2">
      <w:lvl w:ilvl="2">
        <w:start w:val="1"/>
        <w:numFmt w:val="bullet"/>
        <w:pStyle w:val="ListBullet3"/>
        <w:lvlText w:val="…"/>
        <w:lvlJc w:val="left"/>
        <w:pPr>
          <w:tabs>
            <w:tab w:val="num" w:pos="992"/>
          </w:tabs>
          <w:ind w:left="992" w:hanging="425"/>
        </w:pPr>
        <w:rPr>
          <w:rFonts w:ascii="Franklin Gothic Demi" w:hAnsi="Franklin Gothic Demi" w:hint="default"/>
          <w:color w:val="EF1209"/>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7" w16cid:durableId="586500494">
    <w:abstractNumId w:val="3"/>
  </w:num>
  <w:num w:numId="48" w16cid:durableId="244389224">
    <w:abstractNumId w:val="27"/>
    <w:lvlOverride w:ilvl="0">
      <w:lvl w:ilvl="0">
        <w:start w:val="1"/>
        <w:numFmt w:val="bullet"/>
        <w:pStyle w:val="ListBullet"/>
        <w:lvlText w:val="■"/>
        <w:lvlJc w:val="left"/>
        <w:pPr>
          <w:tabs>
            <w:tab w:val="num" w:pos="284"/>
          </w:tabs>
          <w:ind w:left="284" w:hanging="284"/>
        </w:pPr>
        <w:rPr>
          <w:rFonts w:ascii="Franklin Gothic Demi" w:hAnsi="Franklin Gothic Demi" w:hint="default"/>
          <w:color w:val="006B7A" w:themeColor="accent1"/>
        </w:rPr>
      </w:lvl>
    </w:lvlOverride>
    <w:lvlOverride w:ilvl="1">
      <w:lvl w:ilvl="1">
        <w:start w:val="1"/>
        <w:numFmt w:val="bullet"/>
        <w:pStyle w:val="ListBullet2"/>
        <w:lvlText w:val="–"/>
        <w:lvlJc w:val="left"/>
        <w:pPr>
          <w:tabs>
            <w:tab w:val="num" w:pos="567"/>
          </w:tabs>
          <w:ind w:left="567" w:hanging="283"/>
        </w:pPr>
        <w:rPr>
          <w:rFonts w:ascii="Franklin Gothic Demi" w:hAnsi="Franklin Gothic Demi" w:hint="default"/>
          <w:color w:val="006B7A" w:themeColor="accent1"/>
          <w:position w:val="2"/>
        </w:rPr>
      </w:lvl>
    </w:lvlOverride>
    <w:lvlOverride w:ilvl="2">
      <w:lvl w:ilvl="2">
        <w:start w:val="1"/>
        <w:numFmt w:val="bullet"/>
        <w:pStyle w:val="ListBullet3"/>
        <w:lvlText w:val="…"/>
        <w:lvlJc w:val="left"/>
        <w:pPr>
          <w:tabs>
            <w:tab w:val="num" w:pos="992"/>
          </w:tabs>
          <w:ind w:left="992" w:hanging="425"/>
        </w:pPr>
        <w:rPr>
          <w:rFonts w:ascii="Franklin Gothic Demi" w:hAnsi="Franklin Gothic Demi" w:hint="default"/>
          <w:color w:val="EF1209"/>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9" w16cid:durableId="340084422">
    <w:abstractNumId w:val="27"/>
    <w:lvlOverride w:ilvl="0">
      <w:lvl w:ilvl="0">
        <w:start w:val="1"/>
        <w:numFmt w:val="bullet"/>
        <w:pStyle w:val="ListBullet"/>
        <w:lvlText w:val="■"/>
        <w:lvlJc w:val="left"/>
        <w:pPr>
          <w:tabs>
            <w:tab w:val="num" w:pos="284"/>
          </w:tabs>
          <w:ind w:left="284" w:hanging="284"/>
        </w:pPr>
        <w:rPr>
          <w:rFonts w:ascii="Franklin Gothic Demi" w:hAnsi="Franklin Gothic Demi" w:hint="default"/>
          <w:color w:val="006B7A" w:themeColor="accent1"/>
        </w:rPr>
      </w:lvl>
    </w:lvlOverride>
    <w:lvlOverride w:ilvl="1">
      <w:lvl w:ilvl="1">
        <w:start w:val="1"/>
        <w:numFmt w:val="bullet"/>
        <w:pStyle w:val="ListBullet2"/>
        <w:lvlText w:val="–"/>
        <w:lvlJc w:val="left"/>
        <w:pPr>
          <w:tabs>
            <w:tab w:val="num" w:pos="567"/>
          </w:tabs>
          <w:ind w:left="567" w:hanging="283"/>
        </w:pPr>
        <w:rPr>
          <w:rFonts w:ascii="Franklin Gothic Demi" w:hAnsi="Franklin Gothic Demi" w:hint="default"/>
          <w:color w:val="006B7A" w:themeColor="accent1"/>
          <w:position w:val="2"/>
        </w:rPr>
      </w:lvl>
    </w:lvlOverride>
    <w:lvlOverride w:ilvl="2">
      <w:lvl w:ilvl="2">
        <w:start w:val="1"/>
        <w:numFmt w:val="bullet"/>
        <w:pStyle w:val="ListBullet3"/>
        <w:lvlText w:val="…"/>
        <w:lvlJc w:val="left"/>
        <w:pPr>
          <w:tabs>
            <w:tab w:val="num" w:pos="992"/>
          </w:tabs>
          <w:ind w:left="992" w:hanging="425"/>
        </w:pPr>
        <w:rPr>
          <w:rFonts w:ascii="Franklin Gothic Demi" w:hAnsi="Franklin Gothic Demi" w:hint="default"/>
          <w:color w:val="EF1209"/>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0" w16cid:durableId="1611359279">
    <w:abstractNumId w:val="27"/>
    <w:lvlOverride w:ilvl="0">
      <w:lvl w:ilvl="0">
        <w:start w:val="1"/>
        <w:numFmt w:val="bullet"/>
        <w:pStyle w:val="ListBullet"/>
        <w:lvlText w:val="■"/>
        <w:lvlJc w:val="left"/>
        <w:pPr>
          <w:tabs>
            <w:tab w:val="num" w:pos="284"/>
          </w:tabs>
          <w:ind w:left="284" w:hanging="284"/>
        </w:pPr>
        <w:rPr>
          <w:rFonts w:ascii="Franklin Gothic Demi" w:hAnsi="Franklin Gothic Demi" w:hint="default"/>
          <w:color w:val="006B7A" w:themeColor="accent1"/>
        </w:rPr>
      </w:lvl>
    </w:lvlOverride>
    <w:lvlOverride w:ilvl="1">
      <w:lvl w:ilvl="1">
        <w:start w:val="1"/>
        <w:numFmt w:val="bullet"/>
        <w:pStyle w:val="ListBullet2"/>
        <w:lvlText w:val="–"/>
        <w:lvlJc w:val="left"/>
        <w:pPr>
          <w:tabs>
            <w:tab w:val="num" w:pos="567"/>
          </w:tabs>
          <w:ind w:left="567" w:hanging="283"/>
        </w:pPr>
        <w:rPr>
          <w:rFonts w:ascii="Franklin Gothic Demi" w:hAnsi="Franklin Gothic Demi" w:hint="default"/>
          <w:color w:val="006B7A" w:themeColor="accent1"/>
          <w:position w:val="2"/>
        </w:rPr>
      </w:lvl>
    </w:lvlOverride>
    <w:lvlOverride w:ilvl="2">
      <w:lvl w:ilvl="2">
        <w:start w:val="1"/>
        <w:numFmt w:val="bullet"/>
        <w:pStyle w:val="ListBullet3"/>
        <w:lvlText w:val="…"/>
        <w:lvlJc w:val="left"/>
        <w:pPr>
          <w:tabs>
            <w:tab w:val="num" w:pos="992"/>
          </w:tabs>
          <w:ind w:left="992" w:hanging="425"/>
        </w:pPr>
        <w:rPr>
          <w:rFonts w:ascii="Franklin Gothic Demi" w:hAnsi="Franklin Gothic Demi" w:hint="default"/>
          <w:color w:val="EF1209"/>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activeWritingStyle w:appName="MSWord" w:lang="en-GB" w:vendorID="64" w:dllVersion="0" w:nlCheck="1" w:checkStyle="0"/>
  <w:activeWritingStyle w:appName="MSWord" w:lang="en-AU" w:vendorID="64" w:dllVersion="0" w:nlCheck="1" w:checkStyle="0"/>
  <w:activeWritingStyle w:appName="MSWord" w:lang="en-US" w:vendorID="64" w:dllVersion="0" w:nlCheck="1" w:checkStyle="0"/>
  <w:linkStyle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readOnly" w:enforcement="0"/>
  <w:defaultTabStop w:val="284"/>
  <w:clickAndTypeStyle w:val="BodyText"/>
  <w:evenAndOddHeaders/>
  <w:drawingGridHorizontalSpacing w:val="142"/>
  <w:drawingGridVerticalSpacing w:val="14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FC0"/>
    <w:rsid w:val="0000029E"/>
    <w:rsid w:val="00000726"/>
    <w:rsid w:val="0000180A"/>
    <w:rsid w:val="00001B82"/>
    <w:rsid w:val="00001D2F"/>
    <w:rsid w:val="00001FA0"/>
    <w:rsid w:val="00002721"/>
    <w:rsid w:val="00002BBF"/>
    <w:rsid w:val="00003001"/>
    <w:rsid w:val="00003571"/>
    <w:rsid w:val="000036C5"/>
    <w:rsid w:val="0000404E"/>
    <w:rsid w:val="00004361"/>
    <w:rsid w:val="000049C8"/>
    <w:rsid w:val="00004FB4"/>
    <w:rsid w:val="000053BF"/>
    <w:rsid w:val="00005576"/>
    <w:rsid w:val="00005768"/>
    <w:rsid w:val="00006740"/>
    <w:rsid w:val="00006D67"/>
    <w:rsid w:val="00006D68"/>
    <w:rsid w:val="00007684"/>
    <w:rsid w:val="000078F0"/>
    <w:rsid w:val="000103C5"/>
    <w:rsid w:val="00010588"/>
    <w:rsid w:val="0001067F"/>
    <w:rsid w:val="0001217A"/>
    <w:rsid w:val="00012408"/>
    <w:rsid w:val="00013D6F"/>
    <w:rsid w:val="00014030"/>
    <w:rsid w:val="000168BA"/>
    <w:rsid w:val="00016EDC"/>
    <w:rsid w:val="0001734C"/>
    <w:rsid w:val="00017D5A"/>
    <w:rsid w:val="00017F74"/>
    <w:rsid w:val="00022345"/>
    <w:rsid w:val="00024059"/>
    <w:rsid w:val="00024206"/>
    <w:rsid w:val="0002453E"/>
    <w:rsid w:val="00024872"/>
    <w:rsid w:val="00026174"/>
    <w:rsid w:val="000271CE"/>
    <w:rsid w:val="00027E6A"/>
    <w:rsid w:val="00027E7C"/>
    <w:rsid w:val="000313C8"/>
    <w:rsid w:val="000318F6"/>
    <w:rsid w:val="0003192F"/>
    <w:rsid w:val="00032452"/>
    <w:rsid w:val="000331D6"/>
    <w:rsid w:val="000339FA"/>
    <w:rsid w:val="00035247"/>
    <w:rsid w:val="00036FD6"/>
    <w:rsid w:val="00037356"/>
    <w:rsid w:val="00037849"/>
    <w:rsid w:val="00037B2A"/>
    <w:rsid w:val="00037D1B"/>
    <w:rsid w:val="00037F9E"/>
    <w:rsid w:val="0004028A"/>
    <w:rsid w:val="00040588"/>
    <w:rsid w:val="00041C10"/>
    <w:rsid w:val="000421AA"/>
    <w:rsid w:val="0004222D"/>
    <w:rsid w:val="00042363"/>
    <w:rsid w:val="00042733"/>
    <w:rsid w:val="000434BE"/>
    <w:rsid w:val="00043FE2"/>
    <w:rsid w:val="0004401C"/>
    <w:rsid w:val="00045326"/>
    <w:rsid w:val="00045399"/>
    <w:rsid w:val="00045765"/>
    <w:rsid w:val="00045D2C"/>
    <w:rsid w:val="000461CB"/>
    <w:rsid w:val="00046216"/>
    <w:rsid w:val="00046CC8"/>
    <w:rsid w:val="000473DD"/>
    <w:rsid w:val="00050EE2"/>
    <w:rsid w:val="00051172"/>
    <w:rsid w:val="00051256"/>
    <w:rsid w:val="00051D4D"/>
    <w:rsid w:val="00052133"/>
    <w:rsid w:val="00052303"/>
    <w:rsid w:val="00053ADB"/>
    <w:rsid w:val="0005455A"/>
    <w:rsid w:val="00054AAC"/>
    <w:rsid w:val="000559E1"/>
    <w:rsid w:val="0005681E"/>
    <w:rsid w:val="000579B3"/>
    <w:rsid w:val="000579B6"/>
    <w:rsid w:val="00060BE7"/>
    <w:rsid w:val="00061669"/>
    <w:rsid w:val="00061CDB"/>
    <w:rsid w:val="00061F24"/>
    <w:rsid w:val="00063271"/>
    <w:rsid w:val="00063D61"/>
    <w:rsid w:val="00063E65"/>
    <w:rsid w:val="000642B7"/>
    <w:rsid w:val="00064439"/>
    <w:rsid w:val="0006494F"/>
    <w:rsid w:val="000652FC"/>
    <w:rsid w:val="00065889"/>
    <w:rsid w:val="00066EAC"/>
    <w:rsid w:val="0006751C"/>
    <w:rsid w:val="00070083"/>
    <w:rsid w:val="000701E7"/>
    <w:rsid w:val="00070654"/>
    <w:rsid w:val="000710B1"/>
    <w:rsid w:val="000719EA"/>
    <w:rsid w:val="000726B1"/>
    <w:rsid w:val="00072873"/>
    <w:rsid w:val="00072982"/>
    <w:rsid w:val="00072A54"/>
    <w:rsid w:val="000730AE"/>
    <w:rsid w:val="000734AC"/>
    <w:rsid w:val="00073C36"/>
    <w:rsid w:val="000744CE"/>
    <w:rsid w:val="00074FDD"/>
    <w:rsid w:val="0007520C"/>
    <w:rsid w:val="00076454"/>
    <w:rsid w:val="000766D8"/>
    <w:rsid w:val="0008102B"/>
    <w:rsid w:val="000812D2"/>
    <w:rsid w:val="0008177A"/>
    <w:rsid w:val="00081ABB"/>
    <w:rsid w:val="000820F2"/>
    <w:rsid w:val="000821D8"/>
    <w:rsid w:val="00082A6C"/>
    <w:rsid w:val="000831AA"/>
    <w:rsid w:val="000835FD"/>
    <w:rsid w:val="0008370B"/>
    <w:rsid w:val="000838DC"/>
    <w:rsid w:val="00083979"/>
    <w:rsid w:val="00083BAB"/>
    <w:rsid w:val="00083F05"/>
    <w:rsid w:val="00085222"/>
    <w:rsid w:val="000853AE"/>
    <w:rsid w:val="000854BF"/>
    <w:rsid w:val="000855E8"/>
    <w:rsid w:val="000858F6"/>
    <w:rsid w:val="000866A5"/>
    <w:rsid w:val="000872FB"/>
    <w:rsid w:val="000873CC"/>
    <w:rsid w:val="000876AF"/>
    <w:rsid w:val="00087A89"/>
    <w:rsid w:val="00087E40"/>
    <w:rsid w:val="00090129"/>
    <w:rsid w:val="00090B41"/>
    <w:rsid w:val="00090FDE"/>
    <w:rsid w:val="000923A8"/>
    <w:rsid w:val="00092582"/>
    <w:rsid w:val="00092BC9"/>
    <w:rsid w:val="00092BFF"/>
    <w:rsid w:val="00092C85"/>
    <w:rsid w:val="00092FA0"/>
    <w:rsid w:val="000930FE"/>
    <w:rsid w:val="00093FE4"/>
    <w:rsid w:val="0009418F"/>
    <w:rsid w:val="00094293"/>
    <w:rsid w:val="00095461"/>
    <w:rsid w:val="00095D2C"/>
    <w:rsid w:val="0009623A"/>
    <w:rsid w:val="000962F6"/>
    <w:rsid w:val="0009692F"/>
    <w:rsid w:val="00096B14"/>
    <w:rsid w:val="00096CE3"/>
    <w:rsid w:val="00096D8B"/>
    <w:rsid w:val="000978D6"/>
    <w:rsid w:val="00097DB1"/>
    <w:rsid w:val="000A04F6"/>
    <w:rsid w:val="000A0F1D"/>
    <w:rsid w:val="000A369B"/>
    <w:rsid w:val="000A3975"/>
    <w:rsid w:val="000A4052"/>
    <w:rsid w:val="000A43D9"/>
    <w:rsid w:val="000A476F"/>
    <w:rsid w:val="000A5B79"/>
    <w:rsid w:val="000A651D"/>
    <w:rsid w:val="000A6958"/>
    <w:rsid w:val="000A69D6"/>
    <w:rsid w:val="000A7054"/>
    <w:rsid w:val="000A744E"/>
    <w:rsid w:val="000B035F"/>
    <w:rsid w:val="000B2602"/>
    <w:rsid w:val="000B397D"/>
    <w:rsid w:val="000B430F"/>
    <w:rsid w:val="000B5346"/>
    <w:rsid w:val="000B5C46"/>
    <w:rsid w:val="000B5FA0"/>
    <w:rsid w:val="000B6546"/>
    <w:rsid w:val="000B6DF3"/>
    <w:rsid w:val="000B7235"/>
    <w:rsid w:val="000B7586"/>
    <w:rsid w:val="000C10BC"/>
    <w:rsid w:val="000C1262"/>
    <w:rsid w:val="000C20E7"/>
    <w:rsid w:val="000C269B"/>
    <w:rsid w:val="000C3464"/>
    <w:rsid w:val="000C356F"/>
    <w:rsid w:val="000C35CB"/>
    <w:rsid w:val="000C438B"/>
    <w:rsid w:val="000C5456"/>
    <w:rsid w:val="000C55C5"/>
    <w:rsid w:val="000C7096"/>
    <w:rsid w:val="000C713F"/>
    <w:rsid w:val="000C7B99"/>
    <w:rsid w:val="000D052F"/>
    <w:rsid w:val="000D0C8A"/>
    <w:rsid w:val="000D0E55"/>
    <w:rsid w:val="000D12BD"/>
    <w:rsid w:val="000D2AE5"/>
    <w:rsid w:val="000D436E"/>
    <w:rsid w:val="000D4C79"/>
    <w:rsid w:val="000D5276"/>
    <w:rsid w:val="000D53CB"/>
    <w:rsid w:val="000D633B"/>
    <w:rsid w:val="000D738C"/>
    <w:rsid w:val="000D7484"/>
    <w:rsid w:val="000D7910"/>
    <w:rsid w:val="000E06BD"/>
    <w:rsid w:val="000E197A"/>
    <w:rsid w:val="000E3271"/>
    <w:rsid w:val="000E3C3E"/>
    <w:rsid w:val="000E5288"/>
    <w:rsid w:val="000E5314"/>
    <w:rsid w:val="000E5329"/>
    <w:rsid w:val="000E5731"/>
    <w:rsid w:val="000E7163"/>
    <w:rsid w:val="000E7AE4"/>
    <w:rsid w:val="000E7B19"/>
    <w:rsid w:val="000F1CEF"/>
    <w:rsid w:val="000F3E77"/>
    <w:rsid w:val="000F45F8"/>
    <w:rsid w:val="000F5246"/>
    <w:rsid w:val="000F55C2"/>
    <w:rsid w:val="000F55E5"/>
    <w:rsid w:val="000F58D7"/>
    <w:rsid w:val="000F6E30"/>
    <w:rsid w:val="000F76FA"/>
    <w:rsid w:val="000F7979"/>
    <w:rsid w:val="000F7DCD"/>
    <w:rsid w:val="000F7E82"/>
    <w:rsid w:val="001003BF"/>
    <w:rsid w:val="00100DB1"/>
    <w:rsid w:val="0010339F"/>
    <w:rsid w:val="001037DD"/>
    <w:rsid w:val="001053BD"/>
    <w:rsid w:val="001059B6"/>
    <w:rsid w:val="00106560"/>
    <w:rsid w:val="00106B92"/>
    <w:rsid w:val="00110290"/>
    <w:rsid w:val="00110AC0"/>
    <w:rsid w:val="001113DF"/>
    <w:rsid w:val="001119D5"/>
    <w:rsid w:val="00111A32"/>
    <w:rsid w:val="00112299"/>
    <w:rsid w:val="00112422"/>
    <w:rsid w:val="001128A6"/>
    <w:rsid w:val="001132FF"/>
    <w:rsid w:val="00113FCB"/>
    <w:rsid w:val="00114298"/>
    <w:rsid w:val="00114939"/>
    <w:rsid w:val="00116692"/>
    <w:rsid w:val="00116D05"/>
    <w:rsid w:val="00117116"/>
    <w:rsid w:val="001177AC"/>
    <w:rsid w:val="00117DAE"/>
    <w:rsid w:val="00120612"/>
    <w:rsid w:val="001217C9"/>
    <w:rsid w:val="0012244B"/>
    <w:rsid w:val="001225ED"/>
    <w:rsid w:val="00122CBF"/>
    <w:rsid w:val="00122E1E"/>
    <w:rsid w:val="0012336E"/>
    <w:rsid w:val="00123574"/>
    <w:rsid w:val="00124FB3"/>
    <w:rsid w:val="00125045"/>
    <w:rsid w:val="0012507A"/>
    <w:rsid w:val="001256E6"/>
    <w:rsid w:val="00125C1C"/>
    <w:rsid w:val="001267A4"/>
    <w:rsid w:val="00126A6C"/>
    <w:rsid w:val="00127866"/>
    <w:rsid w:val="00130975"/>
    <w:rsid w:val="00131C38"/>
    <w:rsid w:val="00131EC3"/>
    <w:rsid w:val="00132437"/>
    <w:rsid w:val="00132A04"/>
    <w:rsid w:val="00134A2B"/>
    <w:rsid w:val="00135CC6"/>
    <w:rsid w:val="001361B3"/>
    <w:rsid w:val="001364C5"/>
    <w:rsid w:val="00136555"/>
    <w:rsid w:val="0013655A"/>
    <w:rsid w:val="0013692F"/>
    <w:rsid w:val="00136C6E"/>
    <w:rsid w:val="001370F6"/>
    <w:rsid w:val="00137548"/>
    <w:rsid w:val="001377F8"/>
    <w:rsid w:val="00140070"/>
    <w:rsid w:val="001400E3"/>
    <w:rsid w:val="0014179F"/>
    <w:rsid w:val="00141E1F"/>
    <w:rsid w:val="00141FED"/>
    <w:rsid w:val="00142080"/>
    <w:rsid w:val="001437B7"/>
    <w:rsid w:val="00143F02"/>
    <w:rsid w:val="00144AC4"/>
    <w:rsid w:val="00144B99"/>
    <w:rsid w:val="00144BE1"/>
    <w:rsid w:val="00144D55"/>
    <w:rsid w:val="00145444"/>
    <w:rsid w:val="00146314"/>
    <w:rsid w:val="00146CD2"/>
    <w:rsid w:val="00147133"/>
    <w:rsid w:val="00150812"/>
    <w:rsid w:val="00151953"/>
    <w:rsid w:val="00151D8E"/>
    <w:rsid w:val="0015309D"/>
    <w:rsid w:val="00153B88"/>
    <w:rsid w:val="00153FFC"/>
    <w:rsid w:val="00154BE9"/>
    <w:rsid w:val="00154EE1"/>
    <w:rsid w:val="00154F04"/>
    <w:rsid w:val="00155EBB"/>
    <w:rsid w:val="0015634D"/>
    <w:rsid w:val="001568E8"/>
    <w:rsid w:val="00156E2C"/>
    <w:rsid w:val="00156FB3"/>
    <w:rsid w:val="00157456"/>
    <w:rsid w:val="00157F27"/>
    <w:rsid w:val="001602EA"/>
    <w:rsid w:val="001605E1"/>
    <w:rsid w:val="00160701"/>
    <w:rsid w:val="001609BC"/>
    <w:rsid w:val="00160C29"/>
    <w:rsid w:val="00160FB8"/>
    <w:rsid w:val="00161E5C"/>
    <w:rsid w:val="00161FB8"/>
    <w:rsid w:val="001624ED"/>
    <w:rsid w:val="001647E4"/>
    <w:rsid w:val="00164A52"/>
    <w:rsid w:val="00164E8C"/>
    <w:rsid w:val="00164EB8"/>
    <w:rsid w:val="0016506F"/>
    <w:rsid w:val="001657B5"/>
    <w:rsid w:val="0016638A"/>
    <w:rsid w:val="00167266"/>
    <w:rsid w:val="00170A25"/>
    <w:rsid w:val="00171394"/>
    <w:rsid w:val="0017235C"/>
    <w:rsid w:val="00172465"/>
    <w:rsid w:val="00172A23"/>
    <w:rsid w:val="00172EE8"/>
    <w:rsid w:val="0017310D"/>
    <w:rsid w:val="00173B54"/>
    <w:rsid w:val="00173DCE"/>
    <w:rsid w:val="00174685"/>
    <w:rsid w:val="001750CC"/>
    <w:rsid w:val="001754CB"/>
    <w:rsid w:val="00175C92"/>
    <w:rsid w:val="00176390"/>
    <w:rsid w:val="00176602"/>
    <w:rsid w:val="001767F9"/>
    <w:rsid w:val="00176968"/>
    <w:rsid w:val="00176EA0"/>
    <w:rsid w:val="00177699"/>
    <w:rsid w:val="001776E7"/>
    <w:rsid w:val="0017779B"/>
    <w:rsid w:val="00180294"/>
    <w:rsid w:val="0018077F"/>
    <w:rsid w:val="00181022"/>
    <w:rsid w:val="001818B3"/>
    <w:rsid w:val="00181A05"/>
    <w:rsid w:val="00181A7C"/>
    <w:rsid w:val="00182068"/>
    <w:rsid w:val="0018233C"/>
    <w:rsid w:val="001839BA"/>
    <w:rsid w:val="00183AB2"/>
    <w:rsid w:val="00183D95"/>
    <w:rsid w:val="00183E0B"/>
    <w:rsid w:val="001850B1"/>
    <w:rsid w:val="001850FA"/>
    <w:rsid w:val="001852E4"/>
    <w:rsid w:val="00186868"/>
    <w:rsid w:val="00186DB4"/>
    <w:rsid w:val="00186F4F"/>
    <w:rsid w:val="00190003"/>
    <w:rsid w:val="00190148"/>
    <w:rsid w:val="0019242D"/>
    <w:rsid w:val="0019261A"/>
    <w:rsid w:val="00192834"/>
    <w:rsid w:val="00192D12"/>
    <w:rsid w:val="00193954"/>
    <w:rsid w:val="001943ED"/>
    <w:rsid w:val="001951A7"/>
    <w:rsid w:val="00195939"/>
    <w:rsid w:val="00195E5C"/>
    <w:rsid w:val="0019703F"/>
    <w:rsid w:val="001970C9"/>
    <w:rsid w:val="00197366"/>
    <w:rsid w:val="001973F1"/>
    <w:rsid w:val="001A0013"/>
    <w:rsid w:val="001A066A"/>
    <w:rsid w:val="001A08AD"/>
    <w:rsid w:val="001A0AB9"/>
    <w:rsid w:val="001A0AFC"/>
    <w:rsid w:val="001A0B79"/>
    <w:rsid w:val="001A1065"/>
    <w:rsid w:val="001A1B1F"/>
    <w:rsid w:val="001A2583"/>
    <w:rsid w:val="001A2A99"/>
    <w:rsid w:val="001A2D20"/>
    <w:rsid w:val="001A2DD5"/>
    <w:rsid w:val="001A3C7C"/>
    <w:rsid w:val="001A4082"/>
    <w:rsid w:val="001A47A2"/>
    <w:rsid w:val="001A4BDB"/>
    <w:rsid w:val="001A5040"/>
    <w:rsid w:val="001A5559"/>
    <w:rsid w:val="001A59B2"/>
    <w:rsid w:val="001A6A93"/>
    <w:rsid w:val="001A6EA7"/>
    <w:rsid w:val="001A6EAB"/>
    <w:rsid w:val="001A7147"/>
    <w:rsid w:val="001A7C55"/>
    <w:rsid w:val="001A7E43"/>
    <w:rsid w:val="001B0573"/>
    <w:rsid w:val="001B0B61"/>
    <w:rsid w:val="001B1B01"/>
    <w:rsid w:val="001B25D3"/>
    <w:rsid w:val="001B2F94"/>
    <w:rsid w:val="001B3438"/>
    <w:rsid w:val="001B364A"/>
    <w:rsid w:val="001B36B0"/>
    <w:rsid w:val="001B36E3"/>
    <w:rsid w:val="001B3876"/>
    <w:rsid w:val="001B3BE1"/>
    <w:rsid w:val="001B3C52"/>
    <w:rsid w:val="001B44DE"/>
    <w:rsid w:val="001B4EBC"/>
    <w:rsid w:val="001B5979"/>
    <w:rsid w:val="001B5C79"/>
    <w:rsid w:val="001B747F"/>
    <w:rsid w:val="001B7C37"/>
    <w:rsid w:val="001C018E"/>
    <w:rsid w:val="001C0972"/>
    <w:rsid w:val="001C09B7"/>
    <w:rsid w:val="001C0E54"/>
    <w:rsid w:val="001C16A1"/>
    <w:rsid w:val="001C1D57"/>
    <w:rsid w:val="001C24C9"/>
    <w:rsid w:val="001C3A57"/>
    <w:rsid w:val="001C3CC5"/>
    <w:rsid w:val="001C3D83"/>
    <w:rsid w:val="001C3E07"/>
    <w:rsid w:val="001C41C7"/>
    <w:rsid w:val="001C43CC"/>
    <w:rsid w:val="001C4FF4"/>
    <w:rsid w:val="001C6315"/>
    <w:rsid w:val="001C7A92"/>
    <w:rsid w:val="001D0633"/>
    <w:rsid w:val="001D0E16"/>
    <w:rsid w:val="001D200A"/>
    <w:rsid w:val="001D2D60"/>
    <w:rsid w:val="001D2F43"/>
    <w:rsid w:val="001D3BBD"/>
    <w:rsid w:val="001D3E1A"/>
    <w:rsid w:val="001D44AD"/>
    <w:rsid w:val="001D52A2"/>
    <w:rsid w:val="001D5A6D"/>
    <w:rsid w:val="001D5BE3"/>
    <w:rsid w:val="001D6065"/>
    <w:rsid w:val="001D6EF0"/>
    <w:rsid w:val="001D72A4"/>
    <w:rsid w:val="001D75AA"/>
    <w:rsid w:val="001D7DC9"/>
    <w:rsid w:val="001E04F5"/>
    <w:rsid w:val="001E1A74"/>
    <w:rsid w:val="001E2035"/>
    <w:rsid w:val="001E21A6"/>
    <w:rsid w:val="001E292A"/>
    <w:rsid w:val="001E2A83"/>
    <w:rsid w:val="001E2D52"/>
    <w:rsid w:val="001E31FC"/>
    <w:rsid w:val="001E34F6"/>
    <w:rsid w:val="001E3D69"/>
    <w:rsid w:val="001E40F8"/>
    <w:rsid w:val="001E4E51"/>
    <w:rsid w:val="001E5852"/>
    <w:rsid w:val="001E6A14"/>
    <w:rsid w:val="001E6C04"/>
    <w:rsid w:val="001E6EFA"/>
    <w:rsid w:val="001E79AA"/>
    <w:rsid w:val="001F017D"/>
    <w:rsid w:val="001F077D"/>
    <w:rsid w:val="001F07F8"/>
    <w:rsid w:val="001F1582"/>
    <w:rsid w:val="001F182E"/>
    <w:rsid w:val="001F1C10"/>
    <w:rsid w:val="001F1CE4"/>
    <w:rsid w:val="001F1D53"/>
    <w:rsid w:val="001F1EE8"/>
    <w:rsid w:val="001F1FC9"/>
    <w:rsid w:val="001F2683"/>
    <w:rsid w:val="001F2906"/>
    <w:rsid w:val="001F2A34"/>
    <w:rsid w:val="001F2BB2"/>
    <w:rsid w:val="001F3C85"/>
    <w:rsid w:val="001F3E78"/>
    <w:rsid w:val="001F40BF"/>
    <w:rsid w:val="001F438A"/>
    <w:rsid w:val="001F45EB"/>
    <w:rsid w:val="001F4F20"/>
    <w:rsid w:val="001F5579"/>
    <w:rsid w:val="001F558E"/>
    <w:rsid w:val="001F5611"/>
    <w:rsid w:val="001F62C5"/>
    <w:rsid w:val="001F63BB"/>
    <w:rsid w:val="001F650C"/>
    <w:rsid w:val="001F6DE3"/>
    <w:rsid w:val="001F7379"/>
    <w:rsid w:val="001F79C6"/>
    <w:rsid w:val="002006F2"/>
    <w:rsid w:val="00200DE7"/>
    <w:rsid w:val="002015F9"/>
    <w:rsid w:val="00202BB1"/>
    <w:rsid w:val="00202F6E"/>
    <w:rsid w:val="0020382C"/>
    <w:rsid w:val="00203BF1"/>
    <w:rsid w:val="002043F1"/>
    <w:rsid w:val="00204E34"/>
    <w:rsid w:val="002054AC"/>
    <w:rsid w:val="00205BFF"/>
    <w:rsid w:val="00205C2B"/>
    <w:rsid w:val="00206158"/>
    <w:rsid w:val="00206E57"/>
    <w:rsid w:val="002078CE"/>
    <w:rsid w:val="00207BA0"/>
    <w:rsid w:val="002107FF"/>
    <w:rsid w:val="00211029"/>
    <w:rsid w:val="002118EB"/>
    <w:rsid w:val="00212783"/>
    <w:rsid w:val="0021280C"/>
    <w:rsid w:val="00212CA5"/>
    <w:rsid w:val="00213768"/>
    <w:rsid w:val="00213D8C"/>
    <w:rsid w:val="0021422E"/>
    <w:rsid w:val="00214260"/>
    <w:rsid w:val="002147B9"/>
    <w:rsid w:val="002149C9"/>
    <w:rsid w:val="00214C31"/>
    <w:rsid w:val="002153C9"/>
    <w:rsid w:val="002159B4"/>
    <w:rsid w:val="002161CF"/>
    <w:rsid w:val="002164D6"/>
    <w:rsid w:val="0021658F"/>
    <w:rsid w:val="00216C8F"/>
    <w:rsid w:val="00216F0D"/>
    <w:rsid w:val="00217000"/>
    <w:rsid w:val="0021708E"/>
    <w:rsid w:val="002175B7"/>
    <w:rsid w:val="0021770B"/>
    <w:rsid w:val="00217AA4"/>
    <w:rsid w:val="00217B8A"/>
    <w:rsid w:val="00217F1A"/>
    <w:rsid w:val="00220032"/>
    <w:rsid w:val="00220092"/>
    <w:rsid w:val="0022049B"/>
    <w:rsid w:val="00220836"/>
    <w:rsid w:val="00220E34"/>
    <w:rsid w:val="0022110D"/>
    <w:rsid w:val="0022165D"/>
    <w:rsid w:val="00221BE0"/>
    <w:rsid w:val="00222007"/>
    <w:rsid w:val="00222BF5"/>
    <w:rsid w:val="002230C8"/>
    <w:rsid w:val="002230D5"/>
    <w:rsid w:val="0022386A"/>
    <w:rsid w:val="00224180"/>
    <w:rsid w:val="002243AC"/>
    <w:rsid w:val="0022460B"/>
    <w:rsid w:val="002249BD"/>
    <w:rsid w:val="00225068"/>
    <w:rsid w:val="00225806"/>
    <w:rsid w:val="00225819"/>
    <w:rsid w:val="00225AF7"/>
    <w:rsid w:val="00225D69"/>
    <w:rsid w:val="00226230"/>
    <w:rsid w:val="002262E1"/>
    <w:rsid w:val="00226B91"/>
    <w:rsid w:val="0022715D"/>
    <w:rsid w:val="00227638"/>
    <w:rsid w:val="00230460"/>
    <w:rsid w:val="00230635"/>
    <w:rsid w:val="00231E5E"/>
    <w:rsid w:val="002321B8"/>
    <w:rsid w:val="00232F15"/>
    <w:rsid w:val="00234760"/>
    <w:rsid w:val="00234EAC"/>
    <w:rsid w:val="002352A9"/>
    <w:rsid w:val="002354E4"/>
    <w:rsid w:val="00235519"/>
    <w:rsid w:val="002355AE"/>
    <w:rsid w:val="00235787"/>
    <w:rsid w:val="0023701E"/>
    <w:rsid w:val="002379DD"/>
    <w:rsid w:val="00237D6C"/>
    <w:rsid w:val="00237F20"/>
    <w:rsid w:val="00237FFA"/>
    <w:rsid w:val="002401B3"/>
    <w:rsid w:val="00240676"/>
    <w:rsid w:val="002406B2"/>
    <w:rsid w:val="002411F9"/>
    <w:rsid w:val="0024172A"/>
    <w:rsid w:val="00241A85"/>
    <w:rsid w:val="002425B1"/>
    <w:rsid w:val="00242E1D"/>
    <w:rsid w:val="0024379E"/>
    <w:rsid w:val="00244A39"/>
    <w:rsid w:val="00247053"/>
    <w:rsid w:val="0025014B"/>
    <w:rsid w:val="002501B3"/>
    <w:rsid w:val="00251B2B"/>
    <w:rsid w:val="0025215D"/>
    <w:rsid w:val="002527A8"/>
    <w:rsid w:val="00252A3F"/>
    <w:rsid w:val="00252BD3"/>
    <w:rsid w:val="00252BEA"/>
    <w:rsid w:val="0025306F"/>
    <w:rsid w:val="0025379D"/>
    <w:rsid w:val="00253D9A"/>
    <w:rsid w:val="0025461A"/>
    <w:rsid w:val="00254D0F"/>
    <w:rsid w:val="00255187"/>
    <w:rsid w:val="00255341"/>
    <w:rsid w:val="0025563B"/>
    <w:rsid w:val="00255ABB"/>
    <w:rsid w:val="002568C5"/>
    <w:rsid w:val="00257495"/>
    <w:rsid w:val="002574D0"/>
    <w:rsid w:val="0025776D"/>
    <w:rsid w:val="00257809"/>
    <w:rsid w:val="00257F35"/>
    <w:rsid w:val="00260C4A"/>
    <w:rsid w:val="0026108E"/>
    <w:rsid w:val="002613B7"/>
    <w:rsid w:val="00261A76"/>
    <w:rsid w:val="00262F13"/>
    <w:rsid w:val="002632E9"/>
    <w:rsid w:val="002643B6"/>
    <w:rsid w:val="002646BA"/>
    <w:rsid w:val="00265580"/>
    <w:rsid w:val="002658EB"/>
    <w:rsid w:val="00265EEC"/>
    <w:rsid w:val="002667B0"/>
    <w:rsid w:val="0027008A"/>
    <w:rsid w:val="002710F5"/>
    <w:rsid w:val="00272833"/>
    <w:rsid w:val="002729F4"/>
    <w:rsid w:val="0027339F"/>
    <w:rsid w:val="00274AB3"/>
    <w:rsid w:val="00274BEB"/>
    <w:rsid w:val="0027523E"/>
    <w:rsid w:val="00275927"/>
    <w:rsid w:val="002761F9"/>
    <w:rsid w:val="0027654D"/>
    <w:rsid w:val="00276C44"/>
    <w:rsid w:val="002776C3"/>
    <w:rsid w:val="00277A35"/>
    <w:rsid w:val="00277D78"/>
    <w:rsid w:val="00280375"/>
    <w:rsid w:val="00280D84"/>
    <w:rsid w:val="00280FB4"/>
    <w:rsid w:val="00281199"/>
    <w:rsid w:val="002812E4"/>
    <w:rsid w:val="00281601"/>
    <w:rsid w:val="00282007"/>
    <w:rsid w:val="002824E2"/>
    <w:rsid w:val="002829D9"/>
    <w:rsid w:val="00283507"/>
    <w:rsid w:val="00283CA8"/>
    <w:rsid w:val="0028441B"/>
    <w:rsid w:val="002855EB"/>
    <w:rsid w:val="00285873"/>
    <w:rsid w:val="00285A02"/>
    <w:rsid w:val="00285F59"/>
    <w:rsid w:val="002862DF"/>
    <w:rsid w:val="002868DF"/>
    <w:rsid w:val="00286CAA"/>
    <w:rsid w:val="00286D09"/>
    <w:rsid w:val="00287996"/>
    <w:rsid w:val="00290273"/>
    <w:rsid w:val="00290880"/>
    <w:rsid w:val="00291559"/>
    <w:rsid w:val="00291E72"/>
    <w:rsid w:val="0029248B"/>
    <w:rsid w:val="00292E93"/>
    <w:rsid w:val="00293F2D"/>
    <w:rsid w:val="002944BE"/>
    <w:rsid w:val="00295012"/>
    <w:rsid w:val="00295145"/>
    <w:rsid w:val="00295455"/>
    <w:rsid w:val="00297407"/>
    <w:rsid w:val="002975E8"/>
    <w:rsid w:val="002977B2"/>
    <w:rsid w:val="002A09E0"/>
    <w:rsid w:val="002A1210"/>
    <w:rsid w:val="002A293E"/>
    <w:rsid w:val="002A3D66"/>
    <w:rsid w:val="002A4493"/>
    <w:rsid w:val="002A4F09"/>
    <w:rsid w:val="002A5062"/>
    <w:rsid w:val="002A52F3"/>
    <w:rsid w:val="002A5E16"/>
    <w:rsid w:val="002A5E32"/>
    <w:rsid w:val="002A5EF0"/>
    <w:rsid w:val="002A61FC"/>
    <w:rsid w:val="002A63B7"/>
    <w:rsid w:val="002A7161"/>
    <w:rsid w:val="002A7183"/>
    <w:rsid w:val="002A71D2"/>
    <w:rsid w:val="002A7FBB"/>
    <w:rsid w:val="002B0D57"/>
    <w:rsid w:val="002B1283"/>
    <w:rsid w:val="002B1B67"/>
    <w:rsid w:val="002B228E"/>
    <w:rsid w:val="002B2D18"/>
    <w:rsid w:val="002B418C"/>
    <w:rsid w:val="002B5325"/>
    <w:rsid w:val="002B5714"/>
    <w:rsid w:val="002B6006"/>
    <w:rsid w:val="002B68C2"/>
    <w:rsid w:val="002B6BCB"/>
    <w:rsid w:val="002B6F6C"/>
    <w:rsid w:val="002B7006"/>
    <w:rsid w:val="002B76B3"/>
    <w:rsid w:val="002C0234"/>
    <w:rsid w:val="002C095D"/>
    <w:rsid w:val="002C0B69"/>
    <w:rsid w:val="002C1088"/>
    <w:rsid w:val="002C161D"/>
    <w:rsid w:val="002C2078"/>
    <w:rsid w:val="002C31DB"/>
    <w:rsid w:val="002C3806"/>
    <w:rsid w:val="002C3A44"/>
    <w:rsid w:val="002C4A39"/>
    <w:rsid w:val="002C4DAF"/>
    <w:rsid w:val="002C5E17"/>
    <w:rsid w:val="002C6686"/>
    <w:rsid w:val="002C6FB8"/>
    <w:rsid w:val="002D03EC"/>
    <w:rsid w:val="002D0F84"/>
    <w:rsid w:val="002D12A3"/>
    <w:rsid w:val="002D12E6"/>
    <w:rsid w:val="002D16DF"/>
    <w:rsid w:val="002D1EA5"/>
    <w:rsid w:val="002D1EB3"/>
    <w:rsid w:val="002D20E0"/>
    <w:rsid w:val="002D219D"/>
    <w:rsid w:val="002D245D"/>
    <w:rsid w:val="002D2DC4"/>
    <w:rsid w:val="002D30F9"/>
    <w:rsid w:val="002D3445"/>
    <w:rsid w:val="002D3F99"/>
    <w:rsid w:val="002D454E"/>
    <w:rsid w:val="002D45A1"/>
    <w:rsid w:val="002D4888"/>
    <w:rsid w:val="002D4C2F"/>
    <w:rsid w:val="002D5DA9"/>
    <w:rsid w:val="002D7073"/>
    <w:rsid w:val="002D7655"/>
    <w:rsid w:val="002E0543"/>
    <w:rsid w:val="002E0955"/>
    <w:rsid w:val="002E234B"/>
    <w:rsid w:val="002E2AAE"/>
    <w:rsid w:val="002E3000"/>
    <w:rsid w:val="002E3452"/>
    <w:rsid w:val="002E3535"/>
    <w:rsid w:val="002E42E5"/>
    <w:rsid w:val="002E4B26"/>
    <w:rsid w:val="002E5345"/>
    <w:rsid w:val="002E5BE7"/>
    <w:rsid w:val="002E60F8"/>
    <w:rsid w:val="002E641C"/>
    <w:rsid w:val="002E7FE4"/>
    <w:rsid w:val="002F0378"/>
    <w:rsid w:val="002F0710"/>
    <w:rsid w:val="002F09AA"/>
    <w:rsid w:val="002F0A5D"/>
    <w:rsid w:val="002F109C"/>
    <w:rsid w:val="002F19F0"/>
    <w:rsid w:val="002F1BD9"/>
    <w:rsid w:val="002F2262"/>
    <w:rsid w:val="002F24D8"/>
    <w:rsid w:val="002F2AD2"/>
    <w:rsid w:val="002F2DAD"/>
    <w:rsid w:val="002F3063"/>
    <w:rsid w:val="002F3BB3"/>
    <w:rsid w:val="002F3BED"/>
    <w:rsid w:val="002F40E4"/>
    <w:rsid w:val="002F4A44"/>
    <w:rsid w:val="002F5161"/>
    <w:rsid w:val="002F54D7"/>
    <w:rsid w:val="002F5FB2"/>
    <w:rsid w:val="002F6054"/>
    <w:rsid w:val="002F763E"/>
    <w:rsid w:val="002F7873"/>
    <w:rsid w:val="002F7BEC"/>
    <w:rsid w:val="00300528"/>
    <w:rsid w:val="00300FE4"/>
    <w:rsid w:val="0030112F"/>
    <w:rsid w:val="00302262"/>
    <w:rsid w:val="003024C3"/>
    <w:rsid w:val="00302D19"/>
    <w:rsid w:val="00302F57"/>
    <w:rsid w:val="003031E3"/>
    <w:rsid w:val="003034B4"/>
    <w:rsid w:val="003037CA"/>
    <w:rsid w:val="00303E96"/>
    <w:rsid w:val="0030422D"/>
    <w:rsid w:val="0030454D"/>
    <w:rsid w:val="00304C10"/>
    <w:rsid w:val="0030513D"/>
    <w:rsid w:val="00305777"/>
    <w:rsid w:val="00307D70"/>
    <w:rsid w:val="00307DE6"/>
    <w:rsid w:val="0031210F"/>
    <w:rsid w:val="003126F2"/>
    <w:rsid w:val="00312D15"/>
    <w:rsid w:val="003145C4"/>
    <w:rsid w:val="00314981"/>
    <w:rsid w:val="00314C70"/>
    <w:rsid w:val="0031544E"/>
    <w:rsid w:val="003162C1"/>
    <w:rsid w:val="0031694F"/>
    <w:rsid w:val="00316FB2"/>
    <w:rsid w:val="003202CB"/>
    <w:rsid w:val="00320797"/>
    <w:rsid w:val="00320B11"/>
    <w:rsid w:val="00321EDB"/>
    <w:rsid w:val="0032208E"/>
    <w:rsid w:val="003224EA"/>
    <w:rsid w:val="00322A87"/>
    <w:rsid w:val="00322E79"/>
    <w:rsid w:val="00323055"/>
    <w:rsid w:val="003236F3"/>
    <w:rsid w:val="00323985"/>
    <w:rsid w:val="003247B1"/>
    <w:rsid w:val="00324AC0"/>
    <w:rsid w:val="00325140"/>
    <w:rsid w:val="00325629"/>
    <w:rsid w:val="00325C04"/>
    <w:rsid w:val="00325F93"/>
    <w:rsid w:val="00326D2F"/>
    <w:rsid w:val="003306BF"/>
    <w:rsid w:val="00330FA5"/>
    <w:rsid w:val="00331BE2"/>
    <w:rsid w:val="00331D72"/>
    <w:rsid w:val="0033258F"/>
    <w:rsid w:val="0033318C"/>
    <w:rsid w:val="003331E1"/>
    <w:rsid w:val="00333489"/>
    <w:rsid w:val="003336FB"/>
    <w:rsid w:val="0033381E"/>
    <w:rsid w:val="00334202"/>
    <w:rsid w:val="003346F4"/>
    <w:rsid w:val="00335F60"/>
    <w:rsid w:val="00335FB2"/>
    <w:rsid w:val="00336C48"/>
    <w:rsid w:val="00337077"/>
    <w:rsid w:val="00337419"/>
    <w:rsid w:val="00337449"/>
    <w:rsid w:val="00337E8E"/>
    <w:rsid w:val="00340000"/>
    <w:rsid w:val="0034056D"/>
    <w:rsid w:val="00340D5A"/>
    <w:rsid w:val="00342223"/>
    <w:rsid w:val="0034284A"/>
    <w:rsid w:val="00343707"/>
    <w:rsid w:val="00343C79"/>
    <w:rsid w:val="00344521"/>
    <w:rsid w:val="00345A25"/>
    <w:rsid w:val="003461CA"/>
    <w:rsid w:val="003462EB"/>
    <w:rsid w:val="00347092"/>
    <w:rsid w:val="00347146"/>
    <w:rsid w:val="0034759A"/>
    <w:rsid w:val="00347926"/>
    <w:rsid w:val="00347B60"/>
    <w:rsid w:val="0035034F"/>
    <w:rsid w:val="003506C7"/>
    <w:rsid w:val="00350F84"/>
    <w:rsid w:val="0035105D"/>
    <w:rsid w:val="00351610"/>
    <w:rsid w:val="0035194F"/>
    <w:rsid w:val="00352ACB"/>
    <w:rsid w:val="00352C80"/>
    <w:rsid w:val="00352EC0"/>
    <w:rsid w:val="003540EE"/>
    <w:rsid w:val="00354223"/>
    <w:rsid w:val="00354A72"/>
    <w:rsid w:val="00354D14"/>
    <w:rsid w:val="00355FE5"/>
    <w:rsid w:val="003561F3"/>
    <w:rsid w:val="0035659D"/>
    <w:rsid w:val="0035691C"/>
    <w:rsid w:val="00356F1E"/>
    <w:rsid w:val="00357024"/>
    <w:rsid w:val="00357067"/>
    <w:rsid w:val="0035713B"/>
    <w:rsid w:val="003572A7"/>
    <w:rsid w:val="003573D1"/>
    <w:rsid w:val="00357593"/>
    <w:rsid w:val="00357B8F"/>
    <w:rsid w:val="0036009B"/>
    <w:rsid w:val="00360168"/>
    <w:rsid w:val="00360404"/>
    <w:rsid w:val="003604FC"/>
    <w:rsid w:val="003612E5"/>
    <w:rsid w:val="00361478"/>
    <w:rsid w:val="00361AD2"/>
    <w:rsid w:val="00363A6B"/>
    <w:rsid w:val="00363C20"/>
    <w:rsid w:val="00364885"/>
    <w:rsid w:val="00364961"/>
    <w:rsid w:val="00364BF0"/>
    <w:rsid w:val="00364E3E"/>
    <w:rsid w:val="00365B89"/>
    <w:rsid w:val="0036765F"/>
    <w:rsid w:val="00367BDD"/>
    <w:rsid w:val="00370C88"/>
    <w:rsid w:val="0037127D"/>
    <w:rsid w:val="0037167C"/>
    <w:rsid w:val="00371F13"/>
    <w:rsid w:val="003726AE"/>
    <w:rsid w:val="0037281D"/>
    <w:rsid w:val="00372838"/>
    <w:rsid w:val="00372E7F"/>
    <w:rsid w:val="00373553"/>
    <w:rsid w:val="0037389E"/>
    <w:rsid w:val="00373BD2"/>
    <w:rsid w:val="00374ABB"/>
    <w:rsid w:val="00374CCE"/>
    <w:rsid w:val="00375A3B"/>
    <w:rsid w:val="00375BA6"/>
    <w:rsid w:val="00375F1A"/>
    <w:rsid w:val="003765DE"/>
    <w:rsid w:val="00376B0C"/>
    <w:rsid w:val="00377A28"/>
    <w:rsid w:val="00380098"/>
    <w:rsid w:val="00380BA3"/>
    <w:rsid w:val="003818BB"/>
    <w:rsid w:val="003822C2"/>
    <w:rsid w:val="00382EEB"/>
    <w:rsid w:val="003830A1"/>
    <w:rsid w:val="003830C4"/>
    <w:rsid w:val="003830ED"/>
    <w:rsid w:val="00383FDA"/>
    <w:rsid w:val="003842C2"/>
    <w:rsid w:val="00384703"/>
    <w:rsid w:val="00384955"/>
    <w:rsid w:val="0038664C"/>
    <w:rsid w:val="00387CB5"/>
    <w:rsid w:val="00390399"/>
    <w:rsid w:val="00392091"/>
    <w:rsid w:val="00392952"/>
    <w:rsid w:val="00392C14"/>
    <w:rsid w:val="00392FED"/>
    <w:rsid w:val="00393BE0"/>
    <w:rsid w:val="00394D91"/>
    <w:rsid w:val="0039519F"/>
    <w:rsid w:val="00395515"/>
    <w:rsid w:val="00395D18"/>
    <w:rsid w:val="0039611D"/>
    <w:rsid w:val="003966BD"/>
    <w:rsid w:val="003966C8"/>
    <w:rsid w:val="00396ABD"/>
    <w:rsid w:val="00396F36"/>
    <w:rsid w:val="0039742A"/>
    <w:rsid w:val="00397DC8"/>
    <w:rsid w:val="00397EF7"/>
    <w:rsid w:val="003A1015"/>
    <w:rsid w:val="003A18DB"/>
    <w:rsid w:val="003A1D52"/>
    <w:rsid w:val="003A1DFF"/>
    <w:rsid w:val="003A1E79"/>
    <w:rsid w:val="003A20B3"/>
    <w:rsid w:val="003A22CD"/>
    <w:rsid w:val="003A24B5"/>
    <w:rsid w:val="003A2885"/>
    <w:rsid w:val="003A28F7"/>
    <w:rsid w:val="003A29F4"/>
    <w:rsid w:val="003A33D1"/>
    <w:rsid w:val="003A3452"/>
    <w:rsid w:val="003A3EB8"/>
    <w:rsid w:val="003A4189"/>
    <w:rsid w:val="003A448E"/>
    <w:rsid w:val="003A540D"/>
    <w:rsid w:val="003A5644"/>
    <w:rsid w:val="003A59A9"/>
    <w:rsid w:val="003A6C89"/>
    <w:rsid w:val="003A7044"/>
    <w:rsid w:val="003A7AFD"/>
    <w:rsid w:val="003A7D21"/>
    <w:rsid w:val="003B02ED"/>
    <w:rsid w:val="003B0AC1"/>
    <w:rsid w:val="003B0E2F"/>
    <w:rsid w:val="003B0F2C"/>
    <w:rsid w:val="003B187C"/>
    <w:rsid w:val="003B1AB9"/>
    <w:rsid w:val="003B2B11"/>
    <w:rsid w:val="003B327B"/>
    <w:rsid w:val="003B3500"/>
    <w:rsid w:val="003B3BE9"/>
    <w:rsid w:val="003B3D27"/>
    <w:rsid w:val="003B4AAA"/>
    <w:rsid w:val="003B5632"/>
    <w:rsid w:val="003B5EBE"/>
    <w:rsid w:val="003B6518"/>
    <w:rsid w:val="003B661C"/>
    <w:rsid w:val="003B669D"/>
    <w:rsid w:val="003B7167"/>
    <w:rsid w:val="003B751C"/>
    <w:rsid w:val="003B7FAE"/>
    <w:rsid w:val="003C02F3"/>
    <w:rsid w:val="003C09B0"/>
    <w:rsid w:val="003C0C1A"/>
    <w:rsid w:val="003C0EEC"/>
    <w:rsid w:val="003C166E"/>
    <w:rsid w:val="003C24FD"/>
    <w:rsid w:val="003C2A8C"/>
    <w:rsid w:val="003C38D1"/>
    <w:rsid w:val="003C392D"/>
    <w:rsid w:val="003C3A35"/>
    <w:rsid w:val="003C3DAA"/>
    <w:rsid w:val="003C420B"/>
    <w:rsid w:val="003C465F"/>
    <w:rsid w:val="003C4681"/>
    <w:rsid w:val="003C4883"/>
    <w:rsid w:val="003C50D4"/>
    <w:rsid w:val="003C53D9"/>
    <w:rsid w:val="003C5FC5"/>
    <w:rsid w:val="003C6227"/>
    <w:rsid w:val="003C62AC"/>
    <w:rsid w:val="003C6AC7"/>
    <w:rsid w:val="003C6E99"/>
    <w:rsid w:val="003C750C"/>
    <w:rsid w:val="003D007E"/>
    <w:rsid w:val="003D0A62"/>
    <w:rsid w:val="003D109C"/>
    <w:rsid w:val="003D139A"/>
    <w:rsid w:val="003D2753"/>
    <w:rsid w:val="003D2834"/>
    <w:rsid w:val="003D2A2B"/>
    <w:rsid w:val="003D32D6"/>
    <w:rsid w:val="003D345C"/>
    <w:rsid w:val="003D41EA"/>
    <w:rsid w:val="003D507B"/>
    <w:rsid w:val="003D5836"/>
    <w:rsid w:val="003D591F"/>
    <w:rsid w:val="003D5A97"/>
    <w:rsid w:val="003D5CF0"/>
    <w:rsid w:val="003D6A48"/>
    <w:rsid w:val="003D6F42"/>
    <w:rsid w:val="003D6FA5"/>
    <w:rsid w:val="003D7043"/>
    <w:rsid w:val="003D7406"/>
    <w:rsid w:val="003D764D"/>
    <w:rsid w:val="003D7A71"/>
    <w:rsid w:val="003E0B4A"/>
    <w:rsid w:val="003E1F01"/>
    <w:rsid w:val="003E1FC3"/>
    <w:rsid w:val="003E28B6"/>
    <w:rsid w:val="003E2BC5"/>
    <w:rsid w:val="003E34FE"/>
    <w:rsid w:val="003E3658"/>
    <w:rsid w:val="003E428F"/>
    <w:rsid w:val="003E547F"/>
    <w:rsid w:val="003E5943"/>
    <w:rsid w:val="003E5B6D"/>
    <w:rsid w:val="003E5C0D"/>
    <w:rsid w:val="003E5D0F"/>
    <w:rsid w:val="003E627A"/>
    <w:rsid w:val="003E662C"/>
    <w:rsid w:val="003E6ECB"/>
    <w:rsid w:val="003E7141"/>
    <w:rsid w:val="003E774B"/>
    <w:rsid w:val="003E7BA3"/>
    <w:rsid w:val="003F065C"/>
    <w:rsid w:val="003F0ADB"/>
    <w:rsid w:val="003F19DF"/>
    <w:rsid w:val="003F1DDA"/>
    <w:rsid w:val="003F2AF4"/>
    <w:rsid w:val="003F3859"/>
    <w:rsid w:val="003F3BD6"/>
    <w:rsid w:val="003F3E18"/>
    <w:rsid w:val="003F48FF"/>
    <w:rsid w:val="003F4C68"/>
    <w:rsid w:val="003F4D9B"/>
    <w:rsid w:val="003F4E34"/>
    <w:rsid w:val="003F50DA"/>
    <w:rsid w:val="003F6ACF"/>
    <w:rsid w:val="003F6CBD"/>
    <w:rsid w:val="003F70D0"/>
    <w:rsid w:val="003F7F3C"/>
    <w:rsid w:val="004001C3"/>
    <w:rsid w:val="00400307"/>
    <w:rsid w:val="00400B61"/>
    <w:rsid w:val="00400E77"/>
    <w:rsid w:val="00400EFB"/>
    <w:rsid w:val="00401640"/>
    <w:rsid w:val="00401AE1"/>
    <w:rsid w:val="00402DAF"/>
    <w:rsid w:val="00402FE4"/>
    <w:rsid w:val="0040316C"/>
    <w:rsid w:val="004032FB"/>
    <w:rsid w:val="00403D2C"/>
    <w:rsid w:val="00403DCB"/>
    <w:rsid w:val="00404436"/>
    <w:rsid w:val="004053EA"/>
    <w:rsid w:val="004063FE"/>
    <w:rsid w:val="00407097"/>
    <w:rsid w:val="00407359"/>
    <w:rsid w:val="004073EA"/>
    <w:rsid w:val="004076D2"/>
    <w:rsid w:val="00407B9C"/>
    <w:rsid w:val="00407BEB"/>
    <w:rsid w:val="00410678"/>
    <w:rsid w:val="00411C57"/>
    <w:rsid w:val="00411FDB"/>
    <w:rsid w:val="00412E3D"/>
    <w:rsid w:val="00413262"/>
    <w:rsid w:val="004139B0"/>
    <w:rsid w:val="00413A3F"/>
    <w:rsid w:val="00414463"/>
    <w:rsid w:val="00414C1F"/>
    <w:rsid w:val="00415AC7"/>
    <w:rsid w:val="00415E68"/>
    <w:rsid w:val="0041731C"/>
    <w:rsid w:val="0041733A"/>
    <w:rsid w:val="004176E6"/>
    <w:rsid w:val="00417CB3"/>
    <w:rsid w:val="00417DAC"/>
    <w:rsid w:val="00420011"/>
    <w:rsid w:val="004201BE"/>
    <w:rsid w:val="00420C8B"/>
    <w:rsid w:val="00421CD7"/>
    <w:rsid w:val="004227BC"/>
    <w:rsid w:val="00422897"/>
    <w:rsid w:val="00422A07"/>
    <w:rsid w:val="00423389"/>
    <w:rsid w:val="00423461"/>
    <w:rsid w:val="00424758"/>
    <w:rsid w:val="00425BAF"/>
    <w:rsid w:val="00425E1D"/>
    <w:rsid w:val="00426000"/>
    <w:rsid w:val="0042634F"/>
    <w:rsid w:val="004263AE"/>
    <w:rsid w:val="00426755"/>
    <w:rsid w:val="00427C33"/>
    <w:rsid w:val="00427C9C"/>
    <w:rsid w:val="004308B3"/>
    <w:rsid w:val="00430E53"/>
    <w:rsid w:val="00430E72"/>
    <w:rsid w:val="00431443"/>
    <w:rsid w:val="00431B6D"/>
    <w:rsid w:val="0043283D"/>
    <w:rsid w:val="00433792"/>
    <w:rsid w:val="004337AF"/>
    <w:rsid w:val="00433AA2"/>
    <w:rsid w:val="00434E89"/>
    <w:rsid w:val="00435C9B"/>
    <w:rsid w:val="00435EE9"/>
    <w:rsid w:val="00436EC7"/>
    <w:rsid w:val="00437353"/>
    <w:rsid w:val="00437D32"/>
    <w:rsid w:val="00437F48"/>
    <w:rsid w:val="00440A43"/>
    <w:rsid w:val="00440E6F"/>
    <w:rsid w:val="004411DB"/>
    <w:rsid w:val="00441575"/>
    <w:rsid w:val="00441DA4"/>
    <w:rsid w:val="00441E5F"/>
    <w:rsid w:val="00442040"/>
    <w:rsid w:val="004429C9"/>
    <w:rsid w:val="00442BEA"/>
    <w:rsid w:val="0044365E"/>
    <w:rsid w:val="00443E7D"/>
    <w:rsid w:val="00443FD0"/>
    <w:rsid w:val="00444736"/>
    <w:rsid w:val="00444798"/>
    <w:rsid w:val="00444FC8"/>
    <w:rsid w:val="004452F5"/>
    <w:rsid w:val="00445D0E"/>
    <w:rsid w:val="00445D6D"/>
    <w:rsid w:val="004470C7"/>
    <w:rsid w:val="00447526"/>
    <w:rsid w:val="0044762A"/>
    <w:rsid w:val="00450535"/>
    <w:rsid w:val="004509AF"/>
    <w:rsid w:val="004511A8"/>
    <w:rsid w:val="004512AB"/>
    <w:rsid w:val="004515A9"/>
    <w:rsid w:val="00451746"/>
    <w:rsid w:val="00451CC6"/>
    <w:rsid w:val="00451F31"/>
    <w:rsid w:val="00452432"/>
    <w:rsid w:val="00453771"/>
    <w:rsid w:val="00454275"/>
    <w:rsid w:val="0045456F"/>
    <w:rsid w:val="0045559C"/>
    <w:rsid w:val="0045564F"/>
    <w:rsid w:val="00455769"/>
    <w:rsid w:val="004559DC"/>
    <w:rsid w:val="00455FB7"/>
    <w:rsid w:val="004562C8"/>
    <w:rsid w:val="004563C5"/>
    <w:rsid w:val="00456FCF"/>
    <w:rsid w:val="00457271"/>
    <w:rsid w:val="004575B5"/>
    <w:rsid w:val="00457AF6"/>
    <w:rsid w:val="00457CDE"/>
    <w:rsid w:val="00457E0A"/>
    <w:rsid w:val="00457E3F"/>
    <w:rsid w:val="004606D6"/>
    <w:rsid w:val="00460ADE"/>
    <w:rsid w:val="0046124C"/>
    <w:rsid w:val="0046192E"/>
    <w:rsid w:val="00461B22"/>
    <w:rsid w:val="00461D28"/>
    <w:rsid w:val="00461F00"/>
    <w:rsid w:val="00462A60"/>
    <w:rsid w:val="0046320E"/>
    <w:rsid w:val="00463768"/>
    <w:rsid w:val="00463A20"/>
    <w:rsid w:val="0046437D"/>
    <w:rsid w:val="004649C6"/>
    <w:rsid w:val="00465609"/>
    <w:rsid w:val="00465908"/>
    <w:rsid w:val="004660B0"/>
    <w:rsid w:val="0046709B"/>
    <w:rsid w:val="00467A43"/>
    <w:rsid w:val="00467AE4"/>
    <w:rsid w:val="00467BDB"/>
    <w:rsid w:val="00467D80"/>
    <w:rsid w:val="00467FBA"/>
    <w:rsid w:val="004704D7"/>
    <w:rsid w:val="00470728"/>
    <w:rsid w:val="00470EA9"/>
    <w:rsid w:val="0047158C"/>
    <w:rsid w:val="004717CC"/>
    <w:rsid w:val="0047188E"/>
    <w:rsid w:val="00471976"/>
    <w:rsid w:val="00471A32"/>
    <w:rsid w:val="00471FDA"/>
    <w:rsid w:val="0047204F"/>
    <w:rsid w:val="00472174"/>
    <w:rsid w:val="0047263E"/>
    <w:rsid w:val="00472DF5"/>
    <w:rsid w:val="004742B8"/>
    <w:rsid w:val="00474F0C"/>
    <w:rsid w:val="00475905"/>
    <w:rsid w:val="00475A61"/>
    <w:rsid w:val="00475BA5"/>
    <w:rsid w:val="004761F5"/>
    <w:rsid w:val="0047640F"/>
    <w:rsid w:val="0048080D"/>
    <w:rsid w:val="004812F2"/>
    <w:rsid w:val="004818AA"/>
    <w:rsid w:val="00481E74"/>
    <w:rsid w:val="0048250E"/>
    <w:rsid w:val="00482740"/>
    <w:rsid w:val="0048289F"/>
    <w:rsid w:val="004829B9"/>
    <w:rsid w:val="004851C6"/>
    <w:rsid w:val="0048553D"/>
    <w:rsid w:val="00485B8D"/>
    <w:rsid w:val="00485CD5"/>
    <w:rsid w:val="00485D06"/>
    <w:rsid w:val="00485F22"/>
    <w:rsid w:val="0049011A"/>
    <w:rsid w:val="0049056B"/>
    <w:rsid w:val="004919C4"/>
    <w:rsid w:val="00491C57"/>
    <w:rsid w:val="0049244A"/>
    <w:rsid w:val="00492800"/>
    <w:rsid w:val="00492E43"/>
    <w:rsid w:val="00493850"/>
    <w:rsid w:val="00493CB0"/>
    <w:rsid w:val="00494606"/>
    <w:rsid w:val="00494E00"/>
    <w:rsid w:val="00495E87"/>
    <w:rsid w:val="00497862"/>
    <w:rsid w:val="004A02A0"/>
    <w:rsid w:val="004A1B3F"/>
    <w:rsid w:val="004A1B8D"/>
    <w:rsid w:val="004A217A"/>
    <w:rsid w:val="004A22B5"/>
    <w:rsid w:val="004A24FB"/>
    <w:rsid w:val="004A26AE"/>
    <w:rsid w:val="004A272C"/>
    <w:rsid w:val="004A2B30"/>
    <w:rsid w:val="004A2F89"/>
    <w:rsid w:val="004A375F"/>
    <w:rsid w:val="004A3FA1"/>
    <w:rsid w:val="004A4EAA"/>
    <w:rsid w:val="004A570B"/>
    <w:rsid w:val="004A58B8"/>
    <w:rsid w:val="004A5C87"/>
    <w:rsid w:val="004A6747"/>
    <w:rsid w:val="004A6C61"/>
    <w:rsid w:val="004A73A8"/>
    <w:rsid w:val="004A7CAD"/>
    <w:rsid w:val="004A7F86"/>
    <w:rsid w:val="004B0226"/>
    <w:rsid w:val="004B041F"/>
    <w:rsid w:val="004B0B99"/>
    <w:rsid w:val="004B0C23"/>
    <w:rsid w:val="004B15D9"/>
    <w:rsid w:val="004B1755"/>
    <w:rsid w:val="004B1C5E"/>
    <w:rsid w:val="004B1CE6"/>
    <w:rsid w:val="004B1F8D"/>
    <w:rsid w:val="004B21B2"/>
    <w:rsid w:val="004B22A1"/>
    <w:rsid w:val="004B22DB"/>
    <w:rsid w:val="004B28E1"/>
    <w:rsid w:val="004B30FA"/>
    <w:rsid w:val="004B4881"/>
    <w:rsid w:val="004B502E"/>
    <w:rsid w:val="004B5146"/>
    <w:rsid w:val="004B5408"/>
    <w:rsid w:val="004B5838"/>
    <w:rsid w:val="004B60C9"/>
    <w:rsid w:val="004B641B"/>
    <w:rsid w:val="004B7160"/>
    <w:rsid w:val="004B7301"/>
    <w:rsid w:val="004B781D"/>
    <w:rsid w:val="004B7EA5"/>
    <w:rsid w:val="004C0183"/>
    <w:rsid w:val="004C0C51"/>
    <w:rsid w:val="004C1481"/>
    <w:rsid w:val="004C16AF"/>
    <w:rsid w:val="004C1981"/>
    <w:rsid w:val="004C1AC9"/>
    <w:rsid w:val="004C1B54"/>
    <w:rsid w:val="004C1C7D"/>
    <w:rsid w:val="004C31EE"/>
    <w:rsid w:val="004C50F9"/>
    <w:rsid w:val="004C5201"/>
    <w:rsid w:val="004C5408"/>
    <w:rsid w:val="004C54C7"/>
    <w:rsid w:val="004C5593"/>
    <w:rsid w:val="004C57F5"/>
    <w:rsid w:val="004C6101"/>
    <w:rsid w:val="004C6899"/>
    <w:rsid w:val="004C76AF"/>
    <w:rsid w:val="004D016A"/>
    <w:rsid w:val="004D0BF9"/>
    <w:rsid w:val="004D1E6D"/>
    <w:rsid w:val="004D244B"/>
    <w:rsid w:val="004D2679"/>
    <w:rsid w:val="004D2CDB"/>
    <w:rsid w:val="004D31A9"/>
    <w:rsid w:val="004D3AA5"/>
    <w:rsid w:val="004D3F73"/>
    <w:rsid w:val="004D3FB4"/>
    <w:rsid w:val="004D4A60"/>
    <w:rsid w:val="004D515B"/>
    <w:rsid w:val="004D55B1"/>
    <w:rsid w:val="004D5649"/>
    <w:rsid w:val="004D5B77"/>
    <w:rsid w:val="004D5C34"/>
    <w:rsid w:val="004D6875"/>
    <w:rsid w:val="004D6AA5"/>
    <w:rsid w:val="004D6D12"/>
    <w:rsid w:val="004D731E"/>
    <w:rsid w:val="004D76D8"/>
    <w:rsid w:val="004D7874"/>
    <w:rsid w:val="004E09FC"/>
    <w:rsid w:val="004E0A38"/>
    <w:rsid w:val="004E0CD6"/>
    <w:rsid w:val="004E0EAF"/>
    <w:rsid w:val="004E0FE7"/>
    <w:rsid w:val="004E1233"/>
    <w:rsid w:val="004E1354"/>
    <w:rsid w:val="004E13DA"/>
    <w:rsid w:val="004E147F"/>
    <w:rsid w:val="004E21BC"/>
    <w:rsid w:val="004E2403"/>
    <w:rsid w:val="004E2DA2"/>
    <w:rsid w:val="004E34C5"/>
    <w:rsid w:val="004E3854"/>
    <w:rsid w:val="004E3DB6"/>
    <w:rsid w:val="004E3EDD"/>
    <w:rsid w:val="004E46F5"/>
    <w:rsid w:val="004E4A71"/>
    <w:rsid w:val="004E4EC6"/>
    <w:rsid w:val="004E5295"/>
    <w:rsid w:val="004E5C92"/>
    <w:rsid w:val="004E602A"/>
    <w:rsid w:val="004E7620"/>
    <w:rsid w:val="004E7FE6"/>
    <w:rsid w:val="004F095C"/>
    <w:rsid w:val="004F0B70"/>
    <w:rsid w:val="004F0F62"/>
    <w:rsid w:val="004F12FE"/>
    <w:rsid w:val="004F1824"/>
    <w:rsid w:val="004F196D"/>
    <w:rsid w:val="004F1C70"/>
    <w:rsid w:val="004F2FD4"/>
    <w:rsid w:val="004F3B61"/>
    <w:rsid w:val="004F4C71"/>
    <w:rsid w:val="004F4D6C"/>
    <w:rsid w:val="004F57BA"/>
    <w:rsid w:val="004F6255"/>
    <w:rsid w:val="004F66F4"/>
    <w:rsid w:val="004F7137"/>
    <w:rsid w:val="004F76C9"/>
    <w:rsid w:val="004F785D"/>
    <w:rsid w:val="004F7B66"/>
    <w:rsid w:val="004F7DB4"/>
    <w:rsid w:val="004F7DFE"/>
    <w:rsid w:val="00500198"/>
    <w:rsid w:val="00500292"/>
    <w:rsid w:val="0050078F"/>
    <w:rsid w:val="00500DAC"/>
    <w:rsid w:val="00500DE6"/>
    <w:rsid w:val="005010A0"/>
    <w:rsid w:val="00501A93"/>
    <w:rsid w:val="00502303"/>
    <w:rsid w:val="00502438"/>
    <w:rsid w:val="005030D2"/>
    <w:rsid w:val="005039DA"/>
    <w:rsid w:val="0050484E"/>
    <w:rsid w:val="00504D30"/>
    <w:rsid w:val="0050505D"/>
    <w:rsid w:val="00505430"/>
    <w:rsid w:val="00505BE4"/>
    <w:rsid w:val="005060A4"/>
    <w:rsid w:val="00506A8C"/>
    <w:rsid w:val="00506DCE"/>
    <w:rsid w:val="00507193"/>
    <w:rsid w:val="00507672"/>
    <w:rsid w:val="0050799C"/>
    <w:rsid w:val="00507D55"/>
    <w:rsid w:val="0051006E"/>
    <w:rsid w:val="0051060F"/>
    <w:rsid w:val="00510635"/>
    <w:rsid w:val="0051089E"/>
    <w:rsid w:val="005109E1"/>
    <w:rsid w:val="00511610"/>
    <w:rsid w:val="00511766"/>
    <w:rsid w:val="00512D1A"/>
    <w:rsid w:val="00512EC0"/>
    <w:rsid w:val="00515CB5"/>
    <w:rsid w:val="00515DF0"/>
    <w:rsid w:val="00515FAF"/>
    <w:rsid w:val="00516401"/>
    <w:rsid w:val="00516BF5"/>
    <w:rsid w:val="00516EAF"/>
    <w:rsid w:val="005170CE"/>
    <w:rsid w:val="00517E40"/>
    <w:rsid w:val="00520F70"/>
    <w:rsid w:val="00520F9E"/>
    <w:rsid w:val="00521DCB"/>
    <w:rsid w:val="00523924"/>
    <w:rsid w:val="00523BC0"/>
    <w:rsid w:val="00524339"/>
    <w:rsid w:val="0052501C"/>
    <w:rsid w:val="00525220"/>
    <w:rsid w:val="00525404"/>
    <w:rsid w:val="00525C81"/>
    <w:rsid w:val="00525FEC"/>
    <w:rsid w:val="0052602A"/>
    <w:rsid w:val="00526789"/>
    <w:rsid w:val="00527E7D"/>
    <w:rsid w:val="005301F8"/>
    <w:rsid w:val="00530748"/>
    <w:rsid w:val="00530CBE"/>
    <w:rsid w:val="00530D91"/>
    <w:rsid w:val="00530F91"/>
    <w:rsid w:val="0053103E"/>
    <w:rsid w:val="0053160A"/>
    <w:rsid w:val="0053282E"/>
    <w:rsid w:val="00532B79"/>
    <w:rsid w:val="00532BC6"/>
    <w:rsid w:val="00532E7A"/>
    <w:rsid w:val="00533F0D"/>
    <w:rsid w:val="00534894"/>
    <w:rsid w:val="00534DDD"/>
    <w:rsid w:val="00534F47"/>
    <w:rsid w:val="00535064"/>
    <w:rsid w:val="00535952"/>
    <w:rsid w:val="00535A2B"/>
    <w:rsid w:val="00535F8B"/>
    <w:rsid w:val="005362A1"/>
    <w:rsid w:val="005364E8"/>
    <w:rsid w:val="0053699A"/>
    <w:rsid w:val="00536D4D"/>
    <w:rsid w:val="005409B7"/>
    <w:rsid w:val="00540CA1"/>
    <w:rsid w:val="00541050"/>
    <w:rsid w:val="005425C1"/>
    <w:rsid w:val="00542E4A"/>
    <w:rsid w:val="005434AA"/>
    <w:rsid w:val="00543728"/>
    <w:rsid w:val="005441EE"/>
    <w:rsid w:val="00544603"/>
    <w:rsid w:val="005446E9"/>
    <w:rsid w:val="00546189"/>
    <w:rsid w:val="005465C1"/>
    <w:rsid w:val="005471DD"/>
    <w:rsid w:val="0054734A"/>
    <w:rsid w:val="00547AE8"/>
    <w:rsid w:val="005503EA"/>
    <w:rsid w:val="00550A27"/>
    <w:rsid w:val="00550FDA"/>
    <w:rsid w:val="0055113A"/>
    <w:rsid w:val="00551476"/>
    <w:rsid w:val="005514A0"/>
    <w:rsid w:val="0055150D"/>
    <w:rsid w:val="00551A1C"/>
    <w:rsid w:val="00552321"/>
    <w:rsid w:val="00552D9A"/>
    <w:rsid w:val="005530F6"/>
    <w:rsid w:val="00553627"/>
    <w:rsid w:val="00553A0C"/>
    <w:rsid w:val="00553B53"/>
    <w:rsid w:val="00556412"/>
    <w:rsid w:val="005571F3"/>
    <w:rsid w:val="0056021E"/>
    <w:rsid w:val="005612EB"/>
    <w:rsid w:val="00562F5A"/>
    <w:rsid w:val="00563CC0"/>
    <w:rsid w:val="00564388"/>
    <w:rsid w:val="005643F0"/>
    <w:rsid w:val="00564CBA"/>
    <w:rsid w:val="00565DCD"/>
    <w:rsid w:val="005663C7"/>
    <w:rsid w:val="00566697"/>
    <w:rsid w:val="0056669B"/>
    <w:rsid w:val="0056678F"/>
    <w:rsid w:val="00566BC3"/>
    <w:rsid w:val="0056775D"/>
    <w:rsid w:val="0056789B"/>
    <w:rsid w:val="005709FE"/>
    <w:rsid w:val="00570FDC"/>
    <w:rsid w:val="005712E7"/>
    <w:rsid w:val="0057160C"/>
    <w:rsid w:val="005718F0"/>
    <w:rsid w:val="00571E16"/>
    <w:rsid w:val="00572013"/>
    <w:rsid w:val="0057294A"/>
    <w:rsid w:val="005738E7"/>
    <w:rsid w:val="00573B72"/>
    <w:rsid w:val="00573FA9"/>
    <w:rsid w:val="005747DB"/>
    <w:rsid w:val="005747EE"/>
    <w:rsid w:val="00574A4D"/>
    <w:rsid w:val="0057564F"/>
    <w:rsid w:val="00575651"/>
    <w:rsid w:val="0057574E"/>
    <w:rsid w:val="00575AC1"/>
    <w:rsid w:val="005763AB"/>
    <w:rsid w:val="005767CE"/>
    <w:rsid w:val="00576C2E"/>
    <w:rsid w:val="00576DBC"/>
    <w:rsid w:val="00577402"/>
    <w:rsid w:val="00577CD7"/>
    <w:rsid w:val="005800EA"/>
    <w:rsid w:val="005800EC"/>
    <w:rsid w:val="00580AB3"/>
    <w:rsid w:val="00580E06"/>
    <w:rsid w:val="00581346"/>
    <w:rsid w:val="005817CB"/>
    <w:rsid w:val="00582149"/>
    <w:rsid w:val="0058216D"/>
    <w:rsid w:val="00582481"/>
    <w:rsid w:val="005833C7"/>
    <w:rsid w:val="0058369F"/>
    <w:rsid w:val="0058597E"/>
    <w:rsid w:val="005861B8"/>
    <w:rsid w:val="0058627A"/>
    <w:rsid w:val="00586CA0"/>
    <w:rsid w:val="00586CC7"/>
    <w:rsid w:val="00586F64"/>
    <w:rsid w:val="00587291"/>
    <w:rsid w:val="0058744D"/>
    <w:rsid w:val="00590988"/>
    <w:rsid w:val="005912F9"/>
    <w:rsid w:val="005914FD"/>
    <w:rsid w:val="00591C8C"/>
    <w:rsid w:val="00591E5D"/>
    <w:rsid w:val="00591EDC"/>
    <w:rsid w:val="00591F69"/>
    <w:rsid w:val="00592970"/>
    <w:rsid w:val="00592B9F"/>
    <w:rsid w:val="00592EA1"/>
    <w:rsid w:val="00593587"/>
    <w:rsid w:val="005935FD"/>
    <w:rsid w:val="0059368B"/>
    <w:rsid w:val="00593A02"/>
    <w:rsid w:val="00594CAA"/>
    <w:rsid w:val="005961AB"/>
    <w:rsid w:val="005963BF"/>
    <w:rsid w:val="0059663B"/>
    <w:rsid w:val="0059695E"/>
    <w:rsid w:val="00596EBF"/>
    <w:rsid w:val="00597B34"/>
    <w:rsid w:val="00597B88"/>
    <w:rsid w:val="00597C4B"/>
    <w:rsid w:val="005A097D"/>
    <w:rsid w:val="005A1AFB"/>
    <w:rsid w:val="005A1F82"/>
    <w:rsid w:val="005A224A"/>
    <w:rsid w:val="005A269A"/>
    <w:rsid w:val="005A2F9F"/>
    <w:rsid w:val="005A37A3"/>
    <w:rsid w:val="005A37B6"/>
    <w:rsid w:val="005A4194"/>
    <w:rsid w:val="005A6134"/>
    <w:rsid w:val="005A654C"/>
    <w:rsid w:val="005A66D3"/>
    <w:rsid w:val="005A6798"/>
    <w:rsid w:val="005B03F5"/>
    <w:rsid w:val="005B04A0"/>
    <w:rsid w:val="005B08CB"/>
    <w:rsid w:val="005B1FD7"/>
    <w:rsid w:val="005B2377"/>
    <w:rsid w:val="005B30E1"/>
    <w:rsid w:val="005B36A5"/>
    <w:rsid w:val="005B371D"/>
    <w:rsid w:val="005B3A90"/>
    <w:rsid w:val="005B435E"/>
    <w:rsid w:val="005B4670"/>
    <w:rsid w:val="005B4BB5"/>
    <w:rsid w:val="005B4E98"/>
    <w:rsid w:val="005B583F"/>
    <w:rsid w:val="005B585D"/>
    <w:rsid w:val="005B5D8C"/>
    <w:rsid w:val="005B6378"/>
    <w:rsid w:val="005B6F07"/>
    <w:rsid w:val="005B7485"/>
    <w:rsid w:val="005C01FA"/>
    <w:rsid w:val="005C046D"/>
    <w:rsid w:val="005C075B"/>
    <w:rsid w:val="005C0F2D"/>
    <w:rsid w:val="005C15A8"/>
    <w:rsid w:val="005C1EFC"/>
    <w:rsid w:val="005C2384"/>
    <w:rsid w:val="005C2D7A"/>
    <w:rsid w:val="005C386A"/>
    <w:rsid w:val="005C426E"/>
    <w:rsid w:val="005C42B4"/>
    <w:rsid w:val="005C4E43"/>
    <w:rsid w:val="005C5257"/>
    <w:rsid w:val="005C5337"/>
    <w:rsid w:val="005C5894"/>
    <w:rsid w:val="005C5FB3"/>
    <w:rsid w:val="005C619C"/>
    <w:rsid w:val="005C61BD"/>
    <w:rsid w:val="005C74C1"/>
    <w:rsid w:val="005C7515"/>
    <w:rsid w:val="005C76A4"/>
    <w:rsid w:val="005C7918"/>
    <w:rsid w:val="005C7DA6"/>
    <w:rsid w:val="005D0C5F"/>
    <w:rsid w:val="005D179D"/>
    <w:rsid w:val="005D1813"/>
    <w:rsid w:val="005D2B17"/>
    <w:rsid w:val="005D2E34"/>
    <w:rsid w:val="005D302A"/>
    <w:rsid w:val="005D316C"/>
    <w:rsid w:val="005D3C6B"/>
    <w:rsid w:val="005D4E25"/>
    <w:rsid w:val="005D5B85"/>
    <w:rsid w:val="005D606D"/>
    <w:rsid w:val="005D65B8"/>
    <w:rsid w:val="005D6676"/>
    <w:rsid w:val="005D68A9"/>
    <w:rsid w:val="005D693A"/>
    <w:rsid w:val="005D6B36"/>
    <w:rsid w:val="005D6E49"/>
    <w:rsid w:val="005D6E6A"/>
    <w:rsid w:val="005D6F19"/>
    <w:rsid w:val="005D7AC6"/>
    <w:rsid w:val="005D7C32"/>
    <w:rsid w:val="005E06C3"/>
    <w:rsid w:val="005E151E"/>
    <w:rsid w:val="005E1D27"/>
    <w:rsid w:val="005E23B0"/>
    <w:rsid w:val="005E2466"/>
    <w:rsid w:val="005E25B7"/>
    <w:rsid w:val="005E2F97"/>
    <w:rsid w:val="005E3DD2"/>
    <w:rsid w:val="005E3FE6"/>
    <w:rsid w:val="005E43A8"/>
    <w:rsid w:val="005E43CE"/>
    <w:rsid w:val="005E4B08"/>
    <w:rsid w:val="005E5358"/>
    <w:rsid w:val="005E5535"/>
    <w:rsid w:val="005E6B5F"/>
    <w:rsid w:val="005E6EC6"/>
    <w:rsid w:val="005E710A"/>
    <w:rsid w:val="005F09A4"/>
    <w:rsid w:val="005F14BF"/>
    <w:rsid w:val="005F1CDD"/>
    <w:rsid w:val="005F272E"/>
    <w:rsid w:val="005F2B08"/>
    <w:rsid w:val="005F2E4B"/>
    <w:rsid w:val="005F2EA3"/>
    <w:rsid w:val="005F3A7A"/>
    <w:rsid w:val="005F414C"/>
    <w:rsid w:val="005F42E6"/>
    <w:rsid w:val="005F4C5E"/>
    <w:rsid w:val="005F4DE5"/>
    <w:rsid w:val="005F5898"/>
    <w:rsid w:val="005F636C"/>
    <w:rsid w:val="005F689F"/>
    <w:rsid w:val="005F6E78"/>
    <w:rsid w:val="005F731E"/>
    <w:rsid w:val="00600488"/>
    <w:rsid w:val="00602138"/>
    <w:rsid w:val="006037E5"/>
    <w:rsid w:val="0060427E"/>
    <w:rsid w:val="00604331"/>
    <w:rsid w:val="0060460E"/>
    <w:rsid w:val="0060478E"/>
    <w:rsid w:val="0060506D"/>
    <w:rsid w:val="00605AC1"/>
    <w:rsid w:val="00605D38"/>
    <w:rsid w:val="00606224"/>
    <w:rsid w:val="0060641A"/>
    <w:rsid w:val="00606853"/>
    <w:rsid w:val="00606B6D"/>
    <w:rsid w:val="00606C71"/>
    <w:rsid w:val="0060739C"/>
    <w:rsid w:val="00607408"/>
    <w:rsid w:val="006074C4"/>
    <w:rsid w:val="00607FD2"/>
    <w:rsid w:val="006104AF"/>
    <w:rsid w:val="00610CC1"/>
    <w:rsid w:val="00610FB4"/>
    <w:rsid w:val="0061287E"/>
    <w:rsid w:val="00612F4A"/>
    <w:rsid w:val="006132D8"/>
    <w:rsid w:val="00613616"/>
    <w:rsid w:val="0061412E"/>
    <w:rsid w:val="00615336"/>
    <w:rsid w:val="00615653"/>
    <w:rsid w:val="00616840"/>
    <w:rsid w:val="00616C68"/>
    <w:rsid w:val="00616E6E"/>
    <w:rsid w:val="00617897"/>
    <w:rsid w:val="00617BC2"/>
    <w:rsid w:val="00620A84"/>
    <w:rsid w:val="00620BA4"/>
    <w:rsid w:val="00620E39"/>
    <w:rsid w:val="00621B0C"/>
    <w:rsid w:val="006220D4"/>
    <w:rsid w:val="00622113"/>
    <w:rsid w:val="00622549"/>
    <w:rsid w:val="0062274C"/>
    <w:rsid w:val="006248D7"/>
    <w:rsid w:val="00624E77"/>
    <w:rsid w:val="00624E85"/>
    <w:rsid w:val="00624F08"/>
    <w:rsid w:val="00625054"/>
    <w:rsid w:val="00625762"/>
    <w:rsid w:val="0062583E"/>
    <w:rsid w:val="00625B0A"/>
    <w:rsid w:val="00625BE2"/>
    <w:rsid w:val="00626718"/>
    <w:rsid w:val="00627DF4"/>
    <w:rsid w:val="00631A1E"/>
    <w:rsid w:val="00631B7D"/>
    <w:rsid w:val="00632AF6"/>
    <w:rsid w:val="00632D1F"/>
    <w:rsid w:val="0063462B"/>
    <w:rsid w:val="0063485B"/>
    <w:rsid w:val="006358EC"/>
    <w:rsid w:val="00636B5B"/>
    <w:rsid w:val="00637168"/>
    <w:rsid w:val="0064006C"/>
    <w:rsid w:val="00640507"/>
    <w:rsid w:val="00640572"/>
    <w:rsid w:val="006407C4"/>
    <w:rsid w:val="00640A54"/>
    <w:rsid w:val="00640AFE"/>
    <w:rsid w:val="00640BE2"/>
    <w:rsid w:val="006413D8"/>
    <w:rsid w:val="006417B1"/>
    <w:rsid w:val="00641CC5"/>
    <w:rsid w:val="006426EB"/>
    <w:rsid w:val="006440F2"/>
    <w:rsid w:val="006445E7"/>
    <w:rsid w:val="0064474D"/>
    <w:rsid w:val="006448EE"/>
    <w:rsid w:val="006450CD"/>
    <w:rsid w:val="00645996"/>
    <w:rsid w:val="00645C8C"/>
    <w:rsid w:val="00645EFF"/>
    <w:rsid w:val="0064735E"/>
    <w:rsid w:val="00650472"/>
    <w:rsid w:val="0065080C"/>
    <w:rsid w:val="00650F3E"/>
    <w:rsid w:val="00651561"/>
    <w:rsid w:val="006518CC"/>
    <w:rsid w:val="00651E82"/>
    <w:rsid w:val="0065255D"/>
    <w:rsid w:val="00652581"/>
    <w:rsid w:val="00652760"/>
    <w:rsid w:val="00652A4A"/>
    <w:rsid w:val="00652CE1"/>
    <w:rsid w:val="00652F77"/>
    <w:rsid w:val="00652F8E"/>
    <w:rsid w:val="00654141"/>
    <w:rsid w:val="006544F3"/>
    <w:rsid w:val="00655656"/>
    <w:rsid w:val="006562D1"/>
    <w:rsid w:val="006568C5"/>
    <w:rsid w:val="00656BBB"/>
    <w:rsid w:val="00656D2E"/>
    <w:rsid w:val="006570DB"/>
    <w:rsid w:val="00660307"/>
    <w:rsid w:val="006603AC"/>
    <w:rsid w:val="00660B2D"/>
    <w:rsid w:val="00660FAF"/>
    <w:rsid w:val="00661C33"/>
    <w:rsid w:val="00661D2C"/>
    <w:rsid w:val="00661EA5"/>
    <w:rsid w:val="00661FA5"/>
    <w:rsid w:val="00663324"/>
    <w:rsid w:val="00664205"/>
    <w:rsid w:val="00664723"/>
    <w:rsid w:val="00665749"/>
    <w:rsid w:val="00665A48"/>
    <w:rsid w:val="00665E4E"/>
    <w:rsid w:val="00667378"/>
    <w:rsid w:val="006677C1"/>
    <w:rsid w:val="00667D58"/>
    <w:rsid w:val="006701FC"/>
    <w:rsid w:val="0067042E"/>
    <w:rsid w:val="0067052D"/>
    <w:rsid w:val="00670536"/>
    <w:rsid w:val="00670CA0"/>
    <w:rsid w:val="006712CD"/>
    <w:rsid w:val="0067170B"/>
    <w:rsid w:val="00671C1C"/>
    <w:rsid w:val="00671F4D"/>
    <w:rsid w:val="0067221D"/>
    <w:rsid w:val="00672603"/>
    <w:rsid w:val="00672DCB"/>
    <w:rsid w:val="006730DA"/>
    <w:rsid w:val="00673C24"/>
    <w:rsid w:val="00673E21"/>
    <w:rsid w:val="00673F6A"/>
    <w:rsid w:val="00674239"/>
    <w:rsid w:val="0067434E"/>
    <w:rsid w:val="006745B2"/>
    <w:rsid w:val="00675100"/>
    <w:rsid w:val="006757A2"/>
    <w:rsid w:val="0067697B"/>
    <w:rsid w:val="00677428"/>
    <w:rsid w:val="006774D5"/>
    <w:rsid w:val="006776F7"/>
    <w:rsid w:val="00677838"/>
    <w:rsid w:val="00677846"/>
    <w:rsid w:val="00677ED3"/>
    <w:rsid w:val="006801D2"/>
    <w:rsid w:val="0068024B"/>
    <w:rsid w:val="0068075B"/>
    <w:rsid w:val="00680F98"/>
    <w:rsid w:val="0068267F"/>
    <w:rsid w:val="00682820"/>
    <w:rsid w:val="0068341B"/>
    <w:rsid w:val="00683C47"/>
    <w:rsid w:val="00683E41"/>
    <w:rsid w:val="00684102"/>
    <w:rsid w:val="00684BBB"/>
    <w:rsid w:val="00685B90"/>
    <w:rsid w:val="00686561"/>
    <w:rsid w:val="00686E72"/>
    <w:rsid w:val="0068739C"/>
    <w:rsid w:val="00687CBF"/>
    <w:rsid w:val="00690925"/>
    <w:rsid w:val="00690F04"/>
    <w:rsid w:val="00691384"/>
    <w:rsid w:val="0069153C"/>
    <w:rsid w:val="006919D2"/>
    <w:rsid w:val="00691D34"/>
    <w:rsid w:val="00692036"/>
    <w:rsid w:val="00692512"/>
    <w:rsid w:val="0069258E"/>
    <w:rsid w:val="00692803"/>
    <w:rsid w:val="0069296B"/>
    <w:rsid w:val="0069310F"/>
    <w:rsid w:val="006931B1"/>
    <w:rsid w:val="00693CD2"/>
    <w:rsid w:val="00693E58"/>
    <w:rsid w:val="00693EAE"/>
    <w:rsid w:val="00695C93"/>
    <w:rsid w:val="00696206"/>
    <w:rsid w:val="00697477"/>
    <w:rsid w:val="00697F93"/>
    <w:rsid w:val="006A013E"/>
    <w:rsid w:val="006A0470"/>
    <w:rsid w:val="006A0563"/>
    <w:rsid w:val="006A0AB7"/>
    <w:rsid w:val="006A1609"/>
    <w:rsid w:val="006A1DAF"/>
    <w:rsid w:val="006A24A8"/>
    <w:rsid w:val="006A2CA9"/>
    <w:rsid w:val="006A2CAE"/>
    <w:rsid w:val="006A375A"/>
    <w:rsid w:val="006A3984"/>
    <w:rsid w:val="006A43A1"/>
    <w:rsid w:val="006A54C3"/>
    <w:rsid w:val="006A614B"/>
    <w:rsid w:val="006A62FB"/>
    <w:rsid w:val="006A638D"/>
    <w:rsid w:val="006A78D4"/>
    <w:rsid w:val="006A79AC"/>
    <w:rsid w:val="006B0182"/>
    <w:rsid w:val="006B0733"/>
    <w:rsid w:val="006B0EBC"/>
    <w:rsid w:val="006B21B6"/>
    <w:rsid w:val="006B2949"/>
    <w:rsid w:val="006B2EEF"/>
    <w:rsid w:val="006B2F94"/>
    <w:rsid w:val="006B3331"/>
    <w:rsid w:val="006B3382"/>
    <w:rsid w:val="006B34C3"/>
    <w:rsid w:val="006B352F"/>
    <w:rsid w:val="006B37C4"/>
    <w:rsid w:val="006B3FE2"/>
    <w:rsid w:val="006B423A"/>
    <w:rsid w:val="006B4FA9"/>
    <w:rsid w:val="006B5010"/>
    <w:rsid w:val="006B5466"/>
    <w:rsid w:val="006B55B1"/>
    <w:rsid w:val="006B58AB"/>
    <w:rsid w:val="006B5A69"/>
    <w:rsid w:val="006B5F44"/>
    <w:rsid w:val="006B6291"/>
    <w:rsid w:val="006B62AE"/>
    <w:rsid w:val="006B71A0"/>
    <w:rsid w:val="006B7980"/>
    <w:rsid w:val="006B7CA5"/>
    <w:rsid w:val="006B7CCE"/>
    <w:rsid w:val="006B7FAA"/>
    <w:rsid w:val="006C04B0"/>
    <w:rsid w:val="006C2001"/>
    <w:rsid w:val="006C27C9"/>
    <w:rsid w:val="006C2AE4"/>
    <w:rsid w:val="006C3639"/>
    <w:rsid w:val="006C38B2"/>
    <w:rsid w:val="006C3E39"/>
    <w:rsid w:val="006C4773"/>
    <w:rsid w:val="006C4922"/>
    <w:rsid w:val="006C4A9A"/>
    <w:rsid w:val="006C4FF3"/>
    <w:rsid w:val="006C513C"/>
    <w:rsid w:val="006C5546"/>
    <w:rsid w:val="006C5856"/>
    <w:rsid w:val="006C61EE"/>
    <w:rsid w:val="006C7B5E"/>
    <w:rsid w:val="006C7E2E"/>
    <w:rsid w:val="006D0059"/>
    <w:rsid w:val="006D0B58"/>
    <w:rsid w:val="006D0F27"/>
    <w:rsid w:val="006D10AA"/>
    <w:rsid w:val="006D180A"/>
    <w:rsid w:val="006D4107"/>
    <w:rsid w:val="006D44B3"/>
    <w:rsid w:val="006D4A61"/>
    <w:rsid w:val="006D4C53"/>
    <w:rsid w:val="006D4DC7"/>
    <w:rsid w:val="006D559B"/>
    <w:rsid w:val="006D5994"/>
    <w:rsid w:val="006D6517"/>
    <w:rsid w:val="006D66EC"/>
    <w:rsid w:val="006D7BDA"/>
    <w:rsid w:val="006E00A7"/>
    <w:rsid w:val="006E0165"/>
    <w:rsid w:val="006E02EF"/>
    <w:rsid w:val="006E03FF"/>
    <w:rsid w:val="006E2350"/>
    <w:rsid w:val="006E2EE9"/>
    <w:rsid w:val="006E31DA"/>
    <w:rsid w:val="006E4CA3"/>
    <w:rsid w:val="006E5283"/>
    <w:rsid w:val="006E5440"/>
    <w:rsid w:val="006E59AA"/>
    <w:rsid w:val="006E5BA6"/>
    <w:rsid w:val="006E5DA7"/>
    <w:rsid w:val="006E6924"/>
    <w:rsid w:val="006E7D2D"/>
    <w:rsid w:val="006E7FF8"/>
    <w:rsid w:val="006F039F"/>
    <w:rsid w:val="006F043F"/>
    <w:rsid w:val="006F06A6"/>
    <w:rsid w:val="006F0715"/>
    <w:rsid w:val="006F11C0"/>
    <w:rsid w:val="006F1603"/>
    <w:rsid w:val="006F16A2"/>
    <w:rsid w:val="006F1BD6"/>
    <w:rsid w:val="006F248A"/>
    <w:rsid w:val="006F2518"/>
    <w:rsid w:val="006F289E"/>
    <w:rsid w:val="006F34C4"/>
    <w:rsid w:val="006F351D"/>
    <w:rsid w:val="006F3A70"/>
    <w:rsid w:val="006F3F36"/>
    <w:rsid w:val="006F5250"/>
    <w:rsid w:val="006F58B1"/>
    <w:rsid w:val="006F591E"/>
    <w:rsid w:val="006F5DA3"/>
    <w:rsid w:val="006F644B"/>
    <w:rsid w:val="006F755C"/>
    <w:rsid w:val="006F7CCC"/>
    <w:rsid w:val="006F7EC9"/>
    <w:rsid w:val="00700359"/>
    <w:rsid w:val="00700DB8"/>
    <w:rsid w:val="00702F7B"/>
    <w:rsid w:val="00703D82"/>
    <w:rsid w:val="00704A2B"/>
    <w:rsid w:val="00704DE7"/>
    <w:rsid w:val="007059D1"/>
    <w:rsid w:val="00706285"/>
    <w:rsid w:val="00706740"/>
    <w:rsid w:val="00706EE6"/>
    <w:rsid w:val="0070713C"/>
    <w:rsid w:val="0071092E"/>
    <w:rsid w:val="00710D40"/>
    <w:rsid w:val="00712004"/>
    <w:rsid w:val="00712C85"/>
    <w:rsid w:val="00712DB6"/>
    <w:rsid w:val="00712E5B"/>
    <w:rsid w:val="0071302F"/>
    <w:rsid w:val="00713E72"/>
    <w:rsid w:val="0071480D"/>
    <w:rsid w:val="007153F0"/>
    <w:rsid w:val="0071617D"/>
    <w:rsid w:val="00716897"/>
    <w:rsid w:val="00716DB2"/>
    <w:rsid w:val="00717457"/>
    <w:rsid w:val="007203D0"/>
    <w:rsid w:val="0072056C"/>
    <w:rsid w:val="00721CE9"/>
    <w:rsid w:val="007221F0"/>
    <w:rsid w:val="00722718"/>
    <w:rsid w:val="00722A00"/>
    <w:rsid w:val="00723662"/>
    <w:rsid w:val="00723738"/>
    <w:rsid w:val="00723825"/>
    <w:rsid w:val="00723BE6"/>
    <w:rsid w:val="00724207"/>
    <w:rsid w:val="007248CB"/>
    <w:rsid w:val="0072539C"/>
    <w:rsid w:val="0072548C"/>
    <w:rsid w:val="00725F2E"/>
    <w:rsid w:val="00726AA9"/>
    <w:rsid w:val="00727108"/>
    <w:rsid w:val="00727552"/>
    <w:rsid w:val="0073118C"/>
    <w:rsid w:val="00731FC7"/>
    <w:rsid w:val="007323FA"/>
    <w:rsid w:val="00732440"/>
    <w:rsid w:val="007327AB"/>
    <w:rsid w:val="00732BC9"/>
    <w:rsid w:val="00732D8F"/>
    <w:rsid w:val="0073404F"/>
    <w:rsid w:val="0073470A"/>
    <w:rsid w:val="007348DE"/>
    <w:rsid w:val="00735306"/>
    <w:rsid w:val="00735DD1"/>
    <w:rsid w:val="00736A43"/>
    <w:rsid w:val="00736E88"/>
    <w:rsid w:val="00740354"/>
    <w:rsid w:val="007406B9"/>
    <w:rsid w:val="007415B7"/>
    <w:rsid w:val="00742A5F"/>
    <w:rsid w:val="007431B8"/>
    <w:rsid w:val="007438FF"/>
    <w:rsid w:val="00743D7F"/>
    <w:rsid w:val="00744672"/>
    <w:rsid w:val="00744B52"/>
    <w:rsid w:val="00744CD1"/>
    <w:rsid w:val="007451DD"/>
    <w:rsid w:val="00745458"/>
    <w:rsid w:val="00745B58"/>
    <w:rsid w:val="00745DD7"/>
    <w:rsid w:val="007463FC"/>
    <w:rsid w:val="00746504"/>
    <w:rsid w:val="0074665A"/>
    <w:rsid w:val="00746CE8"/>
    <w:rsid w:val="00746DB5"/>
    <w:rsid w:val="0074727D"/>
    <w:rsid w:val="007505E8"/>
    <w:rsid w:val="00750709"/>
    <w:rsid w:val="007511B5"/>
    <w:rsid w:val="007515F3"/>
    <w:rsid w:val="00751645"/>
    <w:rsid w:val="00751B8E"/>
    <w:rsid w:val="00752F30"/>
    <w:rsid w:val="007531FF"/>
    <w:rsid w:val="00753204"/>
    <w:rsid w:val="00753209"/>
    <w:rsid w:val="00753C78"/>
    <w:rsid w:val="0075413C"/>
    <w:rsid w:val="00754DE3"/>
    <w:rsid w:val="00755506"/>
    <w:rsid w:val="007563C2"/>
    <w:rsid w:val="00756880"/>
    <w:rsid w:val="007604B6"/>
    <w:rsid w:val="007606A8"/>
    <w:rsid w:val="00760797"/>
    <w:rsid w:val="00761044"/>
    <w:rsid w:val="00761543"/>
    <w:rsid w:val="00761663"/>
    <w:rsid w:val="0076177E"/>
    <w:rsid w:val="00761937"/>
    <w:rsid w:val="00761D46"/>
    <w:rsid w:val="00761F60"/>
    <w:rsid w:val="00762D3B"/>
    <w:rsid w:val="007649CD"/>
    <w:rsid w:val="00764AE4"/>
    <w:rsid w:val="00764E66"/>
    <w:rsid w:val="00765577"/>
    <w:rsid w:val="00765902"/>
    <w:rsid w:val="00765C4B"/>
    <w:rsid w:val="00766C76"/>
    <w:rsid w:val="00767378"/>
    <w:rsid w:val="0076787A"/>
    <w:rsid w:val="00767991"/>
    <w:rsid w:val="00767B48"/>
    <w:rsid w:val="00767F77"/>
    <w:rsid w:val="00767FC0"/>
    <w:rsid w:val="007701E2"/>
    <w:rsid w:val="0077043D"/>
    <w:rsid w:val="007711E8"/>
    <w:rsid w:val="00771BA4"/>
    <w:rsid w:val="007722AD"/>
    <w:rsid w:val="00772A76"/>
    <w:rsid w:val="00772DA5"/>
    <w:rsid w:val="00772F3A"/>
    <w:rsid w:val="007730F1"/>
    <w:rsid w:val="00773D37"/>
    <w:rsid w:val="00774AD1"/>
    <w:rsid w:val="00775130"/>
    <w:rsid w:val="00775B2C"/>
    <w:rsid w:val="00776685"/>
    <w:rsid w:val="00776B5B"/>
    <w:rsid w:val="00776E9C"/>
    <w:rsid w:val="007772AA"/>
    <w:rsid w:val="00777C04"/>
    <w:rsid w:val="0078021E"/>
    <w:rsid w:val="00780249"/>
    <w:rsid w:val="007804DC"/>
    <w:rsid w:val="00780EF5"/>
    <w:rsid w:val="00781557"/>
    <w:rsid w:val="0078205F"/>
    <w:rsid w:val="0078331E"/>
    <w:rsid w:val="00783334"/>
    <w:rsid w:val="0078334A"/>
    <w:rsid w:val="0078395E"/>
    <w:rsid w:val="00783C46"/>
    <w:rsid w:val="007842D9"/>
    <w:rsid w:val="007844BC"/>
    <w:rsid w:val="00784668"/>
    <w:rsid w:val="00784F08"/>
    <w:rsid w:val="007851B3"/>
    <w:rsid w:val="00785447"/>
    <w:rsid w:val="00786429"/>
    <w:rsid w:val="00786E51"/>
    <w:rsid w:val="0078751F"/>
    <w:rsid w:val="00787700"/>
    <w:rsid w:val="00787992"/>
    <w:rsid w:val="00787E64"/>
    <w:rsid w:val="00787ED2"/>
    <w:rsid w:val="00790E24"/>
    <w:rsid w:val="0079124B"/>
    <w:rsid w:val="0079159D"/>
    <w:rsid w:val="00791B2D"/>
    <w:rsid w:val="0079232A"/>
    <w:rsid w:val="0079268F"/>
    <w:rsid w:val="00792A9C"/>
    <w:rsid w:val="00793112"/>
    <w:rsid w:val="0079516C"/>
    <w:rsid w:val="0079605F"/>
    <w:rsid w:val="007962D6"/>
    <w:rsid w:val="007965BD"/>
    <w:rsid w:val="0079671B"/>
    <w:rsid w:val="007969BE"/>
    <w:rsid w:val="007972B7"/>
    <w:rsid w:val="00797B94"/>
    <w:rsid w:val="00797E7C"/>
    <w:rsid w:val="00797FDD"/>
    <w:rsid w:val="007A01EC"/>
    <w:rsid w:val="007A0201"/>
    <w:rsid w:val="007A0262"/>
    <w:rsid w:val="007A1426"/>
    <w:rsid w:val="007A1A0A"/>
    <w:rsid w:val="007A2A3B"/>
    <w:rsid w:val="007A2EFE"/>
    <w:rsid w:val="007A3E52"/>
    <w:rsid w:val="007A411D"/>
    <w:rsid w:val="007A4A55"/>
    <w:rsid w:val="007A4DD2"/>
    <w:rsid w:val="007A4F35"/>
    <w:rsid w:val="007A5039"/>
    <w:rsid w:val="007A5368"/>
    <w:rsid w:val="007A5842"/>
    <w:rsid w:val="007A5B73"/>
    <w:rsid w:val="007A61BD"/>
    <w:rsid w:val="007A7117"/>
    <w:rsid w:val="007A716F"/>
    <w:rsid w:val="007A73C8"/>
    <w:rsid w:val="007A7BE5"/>
    <w:rsid w:val="007B0420"/>
    <w:rsid w:val="007B081A"/>
    <w:rsid w:val="007B0B19"/>
    <w:rsid w:val="007B137E"/>
    <w:rsid w:val="007B15E9"/>
    <w:rsid w:val="007B36C1"/>
    <w:rsid w:val="007B39CC"/>
    <w:rsid w:val="007B3F04"/>
    <w:rsid w:val="007B4BE1"/>
    <w:rsid w:val="007B5C92"/>
    <w:rsid w:val="007B70E6"/>
    <w:rsid w:val="007B7CBE"/>
    <w:rsid w:val="007B7F85"/>
    <w:rsid w:val="007C0123"/>
    <w:rsid w:val="007C0583"/>
    <w:rsid w:val="007C0982"/>
    <w:rsid w:val="007C2655"/>
    <w:rsid w:val="007C3085"/>
    <w:rsid w:val="007C3B32"/>
    <w:rsid w:val="007C46F5"/>
    <w:rsid w:val="007C4C46"/>
    <w:rsid w:val="007C58DD"/>
    <w:rsid w:val="007C5E78"/>
    <w:rsid w:val="007C6812"/>
    <w:rsid w:val="007C6A96"/>
    <w:rsid w:val="007C6E9B"/>
    <w:rsid w:val="007C7036"/>
    <w:rsid w:val="007C775D"/>
    <w:rsid w:val="007C7B98"/>
    <w:rsid w:val="007D07A2"/>
    <w:rsid w:val="007D0F0F"/>
    <w:rsid w:val="007D13E1"/>
    <w:rsid w:val="007D1B4F"/>
    <w:rsid w:val="007D2762"/>
    <w:rsid w:val="007D29B1"/>
    <w:rsid w:val="007D367D"/>
    <w:rsid w:val="007D42EC"/>
    <w:rsid w:val="007D4B01"/>
    <w:rsid w:val="007D4B7A"/>
    <w:rsid w:val="007D4FCC"/>
    <w:rsid w:val="007D5844"/>
    <w:rsid w:val="007D58E9"/>
    <w:rsid w:val="007D5DB9"/>
    <w:rsid w:val="007D5EB7"/>
    <w:rsid w:val="007D672A"/>
    <w:rsid w:val="007D6FB9"/>
    <w:rsid w:val="007D72CB"/>
    <w:rsid w:val="007D7742"/>
    <w:rsid w:val="007D78D4"/>
    <w:rsid w:val="007D7C52"/>
    <w:rsid w:val="007E0671"/>
    <w:rsid w:val="007E0CC5"/>
    <w:rsid w:val="007E0DE1"/>
    <w:rsid w:val="007E1421"/>
    <w:rsid w:val="007E1B44"/>
    <w:rsid w:val="007E1C87"/>
    <w:rsid w:val="007E279C"/>
    <w:rsid w:val="007E2AB4"/>
    <w:rsid w:val="007E2F6B"/>
    <w:rsid w:val="007E3902"/>
    <w:rsid w:val="007E3F79"/>
    <w:rsid w:val="007E41C1"/>
    <w:rsid w:val="007E44F6"/>
    <w:rsid w:val="007E6D0B"/>
    <w:rsid w:val="007E7120"/>
    <w:rsid w:val="007E71EF"/>
    <w:rsid w:val="007E7A3F"/>
    <w:rsid w:val="007F008C"/>
    <w:rsid w:val="007F0399"/>
    <w:rsid w:val="007F0761"/>
    <w:rsid w:val="007F0A04"/>
    <w:rsid w:val="007F104C"/>
    <w:rsid w:val="007F10FE"/>
    <w:rsid w:val="007F153B"/>
    <w:rsid w:val="007F1C74"/>
    <w:rsid w:val="007F23CC"/>
    <w:rsid w:val="007F33BF"/>
    <w:rsid w:val="007F3D56"/>
    <w:rsid w:val="007F55B4"/>
    <w:rsid w:val="007F56B3"/>
    <w:rsid w:val="007F5D70"/>
    <w:rsid w:val="007F7631"/>
    <w:rsid w:val="007F7A98"/>
    <w:rsid w:val="007F7D58"/>
    <w:rsid w:val="008005AC"/>
    <w:rsid w:val="00800CD8"/>
    <w:rsid w:val="00800EC1"/>
    <w:rsid w:val="0080128D"/>
    <w:rsid w:val="0080129B"/>
    <w:rsid w:val="008016D5"/>
    <w:rsid w:val="00801784"/>
    <w:rsid w:val="00801B91"/>
    <w:rsid w:val="00801EC2"/>
    <w:rsid w:val="00801F76"/>
    <w:rsid w:val="008020FC"/>
    <w:rsid w:val="008029D0"/>
    <w:rsid w:val="00802B83"/>
    <w:rsid w:val="008031CB"/>
    <w:rsid w:val="0080336F"/>
    <w:rsid w:val="008034BA"/>
    <w:rsid w:val="00803F8D"/>
    <w:rsid w:val="008046A3"/>
    <w:rsid w:val="0080539C"/>
    <w:rsid w:val="00805F30"/>
    <w:rsid w:val="00806039"/>
    <w:rsid w:val="00806093"/>
    <w:rsid w:val="00806833"/>
    <w:rsid w:val="008079AD"/>
    <w:rsid w:val="0081013A"/>
    <w:rsid w:val="00811382"/>
    <w:rsid w:val="00811663"/>
    <w:rsid w:val="00811B74"/>
    <w:rsid w:val="00811EC1"/>
    <w:rsid w:val="00812F72"/>
    <w:rsid w:val="0081318E"/>
    <w:rsid w:val="00813488"/>
    <w:rsid w:val="008137E2"/>
    <w:rsid w:val="00813860"/>
    <w:rsid w:val="00813B3A"/>
    <w:rsid w:val="00813E02"/>
    <w:rsid w:val="00813E05"/>
    <w:rsid w:val="00814026"/>
    <w:rsid w:val="008140FC"/>
    <w:rsid w:val="00814A0C"/>
    <w:rsid w:val="00814B8B"/>
    <w:rsid w:val="00814F54"/>
    <w:rsid w:val="0081699F"/>
    <w:rsid w:val="00816A28"/>
    <w:rsid w:val="00820082"/>
    <w:rsid w:val="008200E4"/>
    <w:rsid w:val="008209BC"/>
    <w:rsid w:val="00821134"/>
    <w:rsid w:val="0082157F"/>
    <w:rsid w:val="00821C73"/>
    <w:rsid w:val="008229C0"/>
    <w:rsid w:val="00823491"/>
    <w:rsid w:val="00824DD3"/>
    <w:rsid w:val="00824ED5"/>
    <w:rsid w:val="00825010"/>
    <w:rsid w:val="00825668"/>
    <w:rsid w:val="008258EF"/>
    <w:rsid w:val="00825CBB"/>
    <w:rsid w:val="00826061"/>
    <w:rsid w:val="00827105"/>
    <w:rsid w:val="008274D9"/>
    <w:rsid w:val="00827DFE"/>
    <w:rsid w:val="00830E27"/>
    <w:rsid w:val="00830E79"/>
    <w:rsid w:val="00831847"/>
    <w:rsid w:val="00831B9F"/>
    <w:rsid w:val="00832400"/>
    <w:rsid w:val="0083270F"/>
    <w:rsid w:val="00832727"/>
    <w:rsid w:val="008331D8"/>
    <w:rsid w:val="008344A4"/>
    <w:rsid w:val="008363EF"/>
    <w:rsid w:val="0083679B"/>
    <w:rsid w:val="00836AA2"/>
    <w:rsid w:val="00837987"/>
    <w:rsid w:val="00837D0C"/>
    <w:rsid w:val="00840E1D"/>
    <w:rsid w:val="00840FF5"/>
    <w:rsid w:val="00841173"/>
    <w:rsid w:val="00841418"/>
    <w:rsid w:val="0084177C"/>
    <w:rsid w:val="0084238C"/>
    <w:rsid w:val="008428B4"/>
    <w:rsid w:val="00842B43"/>
    <w:rsid w:val="00842DE9"/>
    <w:rsid w:val="008441BF"/>
    <w:rsid w:val="00844839"/>
    <w:rsid w:val="00844A95"/>
    <w:rsid w:val="0084504A"/>
    <w:rsid w:val="00845369"/>
    <w:rsid w:val="00845846"/>
    <w:rsid w:val="00845F34"/>
    <w:rsid w:val="00845F43"/>
    <w:rsid w:val="00846104"/>
    <w:rsid w:val="00846256"/>
    <w:rsid w:val="00846689"/>
    <w:rsid w:val="00846CF9"/>
    <w:rsid w:val="00846DCC"/>
    <w:rsid w:val="00847AB2"/>
    <w:rsid w:val="00847F97"/>
    <w:rsid w:val="00850B88"/>
    <w:rsid w:val="00850E1C"/>
    <w:rsid w:val="00851826"/>
    <w:rsid w:val="008519F1"/>
    <w:rsid w:val="00851C52"/>
    <w:rsid w:val="00851E89"/>
    <w:rsid w:val="0085245D"/>
    <w:rsid w:val="008528A6"/>
    <w:rsid w:val="008533BE"/>
    <w:rsid w:val="008544EC"/>
    <w:rsid w:val="008548E0"/>
    <w:rsid w:val="0085613C"/>
    <w:rsid w:val="008566BE"/>
    <w:rsid w:val="008566F7"/>
    <w:rsid w:val="008579F6"/>
    <w:rsid w:val="00860164"/>
    <w:rsid w:val="00860A7E"/>
    <w:rsid w:val="00860D60"/>
    <w:rsid w:val="00860F7E"/>
    <w:rsid w:val="00861161"/>
    <w:rsid w:val="00861243"/>
    <w:rsid w:val="008616B8"/>
    <w:rsid w:val="00861908"/>
    <w:rsid w:val="00861990"/>
    <w:rsid w:val="00861DEA"/>
    <w:rsid w:val="00861E71"/>
    <w:rsid w:val="0086245D"/>
    <w:rsid w:val="00862E4E"/>
    <w:rsid w:val="00862E5B"/>
    <w:rsid w:val="008633F6"/>
    <w:rsid w:val="00863568"/>
    <w:rsid w:val="0086389A"/>
    <w:rsid w:val="00863E3F"/>
    <w:rsid w:val="00864432"/>
    <w:rsid w:val="008647CB"/>
    <w:rsid w:val="00864BCA"/>
    <w:rsid w:val="00865BAD"/>
    <w:rsid w:val="00866592"/>
    <w:rsid w:val="00866943"/>
    <w:rsid w:val="00866DB4"/>
    <w:rsid w:val="00866F41"/>
    <w:rsid w:val="00867114"/>
    <w:rsid w:val="00867422"/>
    <w:rsid w:val="00867843"/>
    <w:rsid w:val="00867C23"/>
    <w:rsid w:val="00870311"/>
    <w:rsid w:val="0087097F"/>
    <w:rsid w:val="00870E6C"/>
    <w:rsid w:val="00872590"/>
    <w:rsid w:val="008735F2"/>
    <w:rsid w:val="0087396E"/>
    <w:rsid w:val="00873981"/>
    <w:rsid w:val="00873D6F"/>
    <w:rsid w:val="008740AB"/>
    <w:rsid w:val="00874549"/>
    <w:rsid w:val="00876043"/>
    <w:rsid w:val="008766F1"/>
    <w:rsid w:val="008767FF"/>
    <w:rsid w:val="00876DCA"/>
    <w:rsid w:val="008771EC"/>
    <w:rsid w:val="00877619"/>
    <w:rsid w:val="00880026"/>
    <w:rsid w:val="00880459"/>
    <w:rsid w:val="00880622"/>
    <w:rsid w:val="00880891"/>
    <w:rsid w:val="00880BF8"/>
    <w:rsid w:val="00881089"/>
    <w:rsid w:val="00881170"/>
    <w:rsid w:val="008815DF"/>
    <w:rsid w:val="00881D7C"/>
    <w:rsid w:val="008823DC"/>
    <w:rsid w:val="008831A7"/>
    <w:rsid w:val="00883AC8"/>
    <w:rsid w:val="00883B7A"/>
    <w:rsid w:val="00883FCA"/>
    <w:rsid w:val="00884301"/>
    <w:rsid w:val="008845DD"/>
    <w:rsid w:val="00884722"/>
    <w:rsid w:val="00885963"/>
    <w:rsid w:val="00885BED"/>
    <w:rsid w:val="00886ACB"/>
    <w:rsid w:val="00887545"/>
    <w:rsid w:val="00887BDA"/>
    <w:rsid w:val="0089006A"/>
    <w:rsid w:val="00890933"/>
    <w:rsid w:val="00891820"/>
    <w:rsid w:val="00891D31"/>
    <w:rsid w:val="0089278E"/>
    <w:rsid w:val="00893306"/>
    <w:rsid w:val="00893F9B"/>
    <w:rsid w:val="0089698C"/>
    <w:rsid w:val="008A036A"/>
    <w:rsid w:val="008A08D3"/>
    <w:rsid w:val="008A09B4"/>
    <w:rsid w:val="008A0E66"/>
    <w:rsid w:val="008A2344"/>
    <w:rsid w:val="008A2494"/>
    <w:rsid w:val="008A31C7"/>
    <w:rsid w:val="008A3C13"/>
    <w:rsid w:val="008A4341"/>
    <w:rsid w:val="008A571D"/>
    <w:rsid w:val="008A5B2E"/>
    <w:rsid w:val="008A5DE8"/>
    <w:rsid w:val="008A6012"/>
    <w:rsid w:val="008A6C83"/>
    <w:rsid w:val="008A7961"/>
    <w:rsid w:val="008A7FC8"/>
    <w:rsid w:val="008B002D"/>
    <w:rsid w:val="008B02C8"/>
    <w:rsid w:val="008B1F80"/>
    <w:rsid w:val="008B3B5D"/>
    <w:rsid w:val="008B5592"/>
    <w:rsid w:val="008B5AAD"/>
    <w:rsid w:val="008B67FA"/>
    <w:rsid w:val="008B7631"/>
    <w:rsid w:val="008B7697"/>
    <w:rsid w:val="008B7A7E"/>
    <w:rsid w:val="008C0B87"/>
    <w:rsid w:val="008C0FD0"/>
    <w:rsid w:val="008C112A"/>
    <w:rsid w:val="008C22EE"/>
    <w:rsid w:val="008C238C"/>
    <w:rsid w:val="008C35EF"/>
    <w:rsid w:val="008C3989"/>
    <w:rsid w:val="008C3DB6"/>
    <w:rsid w:val="008C42FF"/>
    <w:rsid w:val="008C47C6"/>
    <w:rsid w:val="008C480D"/>
    <w:rsid w:val="008C4D10"/>
    <w:rsid w:val="008C52A4"/>
    <w:rsid w:val="008C52A8"/>
    <w:rsid w:val="008C53B5"/>
    <w:rsid w:val="008C5B32"/>
    <w:rsid w:val="008C5B49"/>
    <w:rsid w:val="008C60A3"/>
    <w:rsid w:val="008C6710"/>
    <w:rsid w:val="008D029C"/>
    <w:rsid w:val="008D0469"/>
    <w:rsid w:val="008D059E"/>
    <w:rsid w:val="008D1692"/>
    <w:rsid w:val="008D2E56"/>
    <w:rsid w:val="008D3341"/>
    <w:rsid w:val="008D3B62"/>
    <w:rsid w:val="008D3C9D"/>
    <w:rsid w:val="008D47F1"/>
    <w:rsid w:val="008D5863"/>
    <w:rsid w:val="008D5C6E"/>
    <w:rsid w:val="008D5EE7"/>
    <w:rsid w:val="008D626A"/>
    <w:rsid w:val="008D63BD"/>
    <w:rsid w:val="008D6797"/>
    <w:rsid w:val="008D7860"/>
    <w:rsid w:val="008D7C94"/>
    <w:rsid w:val="008D7DC9"/>
    <w:rsid w:val="008E0901"/>
    <w:rsid w:val="008E1270"/>
    <w:rsid w:val="008E1E19"/>
    <w:rsid w:val="008E2B74"/>
    <w:rsid w:val="008E2DA8"/>
    <w:rsid w:val="008E2EA1"/>
    <w:rsid w:val="008E3057"/>
    <w:rsid w:val="008E3B71"/>
    <w:rsid w:val="008E3B7B"/>
    <w:rsid w:val="008E3CF6"/>
    <w:rsid w:val="008E4D60"/>
    <w:rsid w:val="008E50CB"/>
    <w:rsid w:val="008E5EB5"/>
    <w:rsid w:val="008E5FCF"/>
    <w:rsid w:val="008E61FD"/>
    <w:rsid w:val="008E69BA"/>
    <w:rsid w:val="008E6B44"/>
    <w:rsid w:val="008E6E37"/>
    <w:rsid w:val="008E7F21"/>
    <w:rsid w:val="008F01A4"/>
    <w:rsid w:val="008F0272"/>
    <w:rsid w:val="008F03E5"/>
    <w:rsid w:val="008F0715"/>
    <w:rsid w:val="008F0FC8"/>
    <w:rsid w:val="008F0FFC"/>
    <w:rsid w:val="008F1886"/>
    <w:rsid w:val="008F1A78"/>
    <w:rsid w:val="008F1D32"/>
    <w:rsid w:val="008F1E20"/>
    <w:rsid w:val="008F1F45"/>
    <w:rsid w:val="008F2E64"/>
    <w:rsid w:val="008F306D"/>
    <w:rsid w:val="008F30B6"/>
    <w:rsid w:val="008F31DD"/>
    <w:rsid w:val="008F38BF"/>
    <w:rsid w:val="008F3BDC"/>
    <w:rsid w:val="008F4843"/>
    <w:rsid w:val="008F488A"/>
    <w:rsid w:val="008F4AAE"/>
    <w:rsid w:val="008F4BF9"/>
    <w:rsid w:val="008F529D"/>
    <w:rsid w:val="008F5407"/>
    <w:rsid w:val="008F59A0"/>
    <w:rsid w:val="008F5D8F"/>
    <w:rsid w:val="008F69F3"/>
    <w:rsid w:val="008F6D2C"/>
    <w:rsid w:val="008F6EF9"/>
    <w:rsid w:val="008F71F4"/>
    <w:rsid w:val="008F7260"/>
    <w:rsid w:val="008F7F5C"/>
    <w:rsid w:val="00900292"/>
    <w:rsid w:val="0090035F"/>
    <w:rsid w:val="009008A2"/>
    <w:rsid w:val="00900996"/>
    <w:rsid w:val="0090164F"/>
    <w:rsid w:val="009019DF"/>
    <w:rsid w:val="00901BFC"/>
    <w:rsid w:val="00902A53"/>
    <w:rsid w:val="00902BE3"/>
    <w:rsid w:val="00903107"/>
    <w:rsid w:val="0090342C"/>
    <w:rsid w:val="00903CCC"/>
    <w:rsid w:val="00904634"/>
    <w:rsid w:val="00904CDC"/>
    <w:rsid w:val="00905349"/>
    <w:rsid w:val="00906269"/>
    <w:rsid w:val="00906371"/>
    <w:rsid w:val="00906675"/>
    <w:rsid w:val="0090790C"/>
    <w:rsid w:val="00911318"/>
    <w:rsid w:val="009121C7"/>
    <w:rsid w:val="0091272F"/>
    <w:rsid w:val="009134EF"/>
    <w:rsid w:val="009135E8"/>
    <w:rsid w:val="00913B93"/>
    <w:rsid w:val="00913DAE"/>
    <w:rsid w:val="0091434B"/>
    <w:rsid w:val="00914518"/>
    <w:rsid w:val="00915159"/>
    <w:rsid w:val="00915233"/>
    <w:rsid w:val="00915777"/>
    <w:rsid w:val="0091675A"/>
    <w:rsid w:val="00917250"/>
    <w:rsid w:val="00920184"/>
    <w:rsid w:val="009215F5"/>
    <w:rsid w:val="00921CBC"/>
    <w:rsid w:val="00922132"/>
    <w:rsid w:val="00923A2B"/>
    <w:rsid w:val="00923BC2"/>
    <w:rsid w:val="00923C9F"/>
    <w:rsid w:val="00925756"/>
    <w:rsid w:val="009257CC"/>
    <w:rsid w:val="00925CD5"/>
    <w:rsid w:val="00925F20"/>
    <w:rsid w:val="00926FCA"/>
    <w:rsid w:val="00927109"/>
    <w:rsid w:val="00927425"/>
    <w:rsid w:val="00930189"/>
    <w:rsid w:val="009314BA"/>
    <w:rsid w:val="00933446"/>
    <w:rsid w:val="00933491"/>
    <w:rsid w:val="00933683"/>
    <w:rsid w:val="00934464"/>
    <w:rsid w:val="00935703"/>
    <w:rsid w:val="009360A4"/>
    <w:rsid w:val="009365F3"/>
    <w:rsid w:val="00936CF8"/>
    <w:rsid w:val="00937105"/>
    <w:rsid w:val="0093732A"/>
    <w:rsid w:val="00937775"/>
    <w:rsid w:val="00937BB8"/>
    <w:rsid w:val="00940742"/>
    <w:rsid w:val="00940AF9"/>
    <w:rsid w:val="00942426"/>
    <w:rsid w:val="009424E9"/>
    <w:rsid w:val="00942CAF"/>
    <w:rsid w:val="009443A1"/>
    <w:rsid w:val="009445BF"/>
    <w:rsid w:val="0094485E"/>
    <w:rsid w:val="00945335"/>
    <w:rsid w:val="00945431"/>
    <w:rsid w:val="009457BC"/>
    <w:rsid w:val="009467F1"/>
    <w:rsid w:val="009505F5"/>
    <w:rsid w:val="0095067E"/>
    <w:rsid w:val="00950861"/>
    <w:rsid w:val="0095095D"/>
    <w:rsid w:val="009511D1"/>
    <w:rsid w:val="00951E6A"/>
    <w:rsid w:val="00952E08"/>
    <w:rsid w:val="00953051"/>
    <w:rsid w:val="00953B12"/>
    <w:rsid w:val="00954120"/>
    <w:rsid w:val="00954596"/>
    <w:rsid w:val="009559EC"/>
    <w:rsid w:val="00955BD1"/>
    <w:rsid w:val="00956C30"/>
    <w:rsid w:val="00957F31"/>
    <w:rsid w:val="00960711"/>
    <w:rsid w:val="00960BE0"/>
    <w:rsid w:val="00961B65"/>
    <w:rsid w:val="0096200E"/>
    <w:rsid w:val="0096258B"/>
    <w:rsid w:val="00962780"/>
    <w:rsid w:val="00962D6F"/>
    <w:rsid w:val="00963968"/>
    <w:rsid w:val="00963A38"/>
    <w:rsid w:val="00963DBA"/>
    <w:rsid w:val="00963E95"/>
    <w:rsid w:val="0096460F"/>
    <w:rsid w:val="009649CE"/>
    <w:rsid w:val="00964D4A"/>
    <w:rsid w:val="00965732"/>
    <w:rsid w:val="009659CB"/>
    <w:rsid w:val="00965C87"/>
    <w:rsid w:val="00967473"/>
    <w:rsid w:val="00967CBE"/>
    <w:rsid w:val="00967FC2"/>
    <w:rsid w:val="009709FE"/>
    <w:rsid w:val="00971012"/>
    <w:rsid w:val="00972AA1"/>
    <w:rsid w:val="00972CE1"/>
    <w:rsid w:val="00973817"/>
    <w:rsid w:val="00974BDC"/>
    <w:rsid w:val="0097525F"/>
    <w:rsid w:val="00975509"/>
    <w:rsid w:val="00975DC1"/>
    <w:rsid w:val="0097604B"/>
    <w:rsid w:val="00980770"/>
    <w:rsid w:val="00980C3D"/>
    <w:rsid w:val="0098247F"/>
    <w:rsid w:val="00982A0A"/>
    <w:rsid w:val="00983A5E"/>
    <w:rsid w:val="00984A9D"/>
    <w:rsid w:val="00984D56"/>
    <w:rsid w:val="00984F6E"/>
    <w:rsid w:val="009861C7"/>
    <w:rsid w:val="00986921"/>
    <w:rsid w:val="009869A6"/>
    <w:rsid w:val="009875FF"/>
    <w:rsid w:val="00987C1D"/>
    <w:rsid w:val="009901CE"/>
    <w:rsid w:val="00990513"/>
    <w:rsid w:val="00990C5B"/>
    <w:rsid w:val="00991D91"/>
    <w:rsid w:val="00992837"/>
    <w:rsid w:val="00992DD5"/>
    <w:rsid w:val="009931BB"/>
    <w:rsid w:val="009942BA"/>
    <w:rsid w:val="009943BF"/>
    <w:rsid w:val="009945C8"/>
    <w:rsid w:val="009945E7"/>
    <w:rsid w:val="00994D7B"/>
    <w:rsid w:val="00994D80"/>
    <w:rsid w:val="00994EBA"/>
    <w:rsid w:val="00995299"/>
    <w:rsid w:val="00995C93"/>
    <w:rsid w:val="0099602A"/>
    <w:rsid w:val="00996425"/>
    <w:rsid w:val="00996DC5"/>
    <w:rsid w:val="00996FEE"/>
    <w:rsid w:val="00997AA5"/>
    <w:rsid w:val="009A0E02"/>
    <w:rsid w:val="009A1BED"/>
    <w:rsid w:val="009A1D13"/>
    <w:rsid w:val="009A2056"/>
    <w:rsid w:val="009A2575"/>
    <w:rsid w:val="009A31E9"/>
    <w:rsid w:val="009A3356"/>
    <w:rsid w:val="009A339F"/>
    <w:rsid w:val="009A3579"/>
    <w:rsid w:val="009A4238"/>
    <w:rsid w:val="009A451D"/>
    <w:rsid w:val="009A4680"/>
    <w:rsid w:val="009A56D9"/>
    <w:rsid w:val="009A5A18"/>
    <w:rsid w:val="009A6C95"/>
    <w:rsid w:val="009A6E90"/>
    <w:rsid w:val="009A6FA5"/>
    <w:rsid w:val="009A72BC"/>
    <w:rsid w:val="009A7FA6"/>
    <w:rsid w:val="009B0363"/>
    <w:rsid w:val="009B0489"/>
    <w:rsid w:val="009B063A"/>
    <w:rsid w:val="009B1852"/>
    <w:rsid w:val="009B26E5"/>
    <w:rsid w:val="009B4577"/>
    <w:rsid w:val="009B4D09"/>
    <w:rsid w:val="009B5058"/>
    <w:rsid w:val="009B51B3"/>
    <w:rsid w:val="009B5B9D"/>
    <w:rsid w:val="009B5FAF"/>
    <w:rsid w:val="009B6332"/>
    <w:rsid w:val="009B6923"/>
    <w:rsid w:val="009B7D3B"/>
    <w:rsid w:val="009C0AAB"/>
    <w:rsid w:val="009C0B20"/>
    <w:rsid w:val="009C119A"/>
    <w:rsid w:val="009C1971"/>
    <w:rsid w:val="009C19F9"/>
    <w:rsid w:val="009C1B4B"/>
    <w:rsid w:val="009C1C23"/>
    <w:rsid w:val="009C266D"/>
    <w:rsid w:val="009C2B93"/>
    <w:rsid w:val="009C3029"/>
    <w:rsid w:val="009C3B8B"/>
    <w:rsid w:val="009C434D"/>
    <w:rsid w:val="009C49CE"/>
    <w:rsid w:val="009C52C6"/>
    <w:rsid w:val="009C5A0E"/>
    <w:rsid w:val="009C608D"/>
    <w:rsid w:val="009C63AD"/>
    <w:rsid w:val="009C6774"/>
    <w:rsid w:val="009C6F8A"/>
    <w:rsid w:val="009C7C93"/>
    <w:rsid w:val="009D1743"/>
    <w:rsid w:val="009D1764"/>
    <w:rsid w:val="009D2CE8"/>
    <w:rsid w:val="009D3939"/>
    <w:rsid w:val="009D3A6D"/>
    <w:rsid w:val="009D3ECB"/>
    <w:rsid w:val="009D4955"/>
    <w:rsid w:val="009D4FA8"/>
    <w:rsid w:val="009D667E"/>
    <w:rsid w:val="009D7A12"/>
    <w:rsid w:val="009E0370"/>
    <w:rsid w:val="009E03FA"/>
    <w:rsid w:val="009E0A7E"/>
    <w:rsid w:val="009E0AA9"/>
    <w:rsid w:val="009E1140"/>
    <w:rsid w:val="009E129F"/>
    <w:rsid w:val="009E1490"/>
    <w:rsid w:val="009E1B1F"/>
    <w:rsid w:val="009E1F16"/>
    <w:rsid w:val="009E21CF"/>
    <w:rsid w:val="009E4169"/>
    <w:rsid w:val="009E50DF"/>
    <w:rsid w:val="009E5E54"/>
    <w:rsid w:val="009E5EB9"/>
    <w:rsid w:val="009E6437"/>
    <w:rsid w:val="009E6729"/>
    <w:rsid w:val="009E75DE"/>
    <w:rsid w:val="009E7643"/>
    <w:rsid w:val="009E79BC"/>
    <w:rsid w:val="009E7DDD"/>
    <w:rsid w:val="009F02ED"/>
    <w:rsid w:val="009F06F1"/>
    <w:rsid w:val="009F0BF9"/>
    <w:rsid w:val="009F1AFC"/>
    <w:rsid w:val="009F1F74"/>
    <w:rsid w:val="009F2537"/>
    <w:rsid w:val="009F3D4A"/>
    <w:rsid w:val="009F4AF1"/>
    <w:rsid w:val="009F5151"/>
    <w:rsid w:val="009F5D0F"/>
    <w:rsid w:val="009F5E2D"/>
    <w:rsid w:val="009F777D"/>
    <w:rsid w:val="00A005C4"/>
    <w:rsid w:val="00A01B85"/>
    <w:rsid w:val="00A01D3D"/>
    <w:rsid w:val="00A0206C"/>
    <w:rsid w:val="00A026EC"/>
    <w:rsid w:val="00A027E2"/>
    <w:rsid w:val="00A03BA9"/>
    <w:rsid w:val="00A03FA5"/>
    <w:rsid w:val="00A04481"/>
    <w:rsid w:val="00A0497F"/>
    <w:rsid w:val="00A05078"/>
    <w:rsid w:val="00A05355"/>
    <w:rsid w:val="00A0602B"/>
    <w:rsid w:val="00A06836"/>
    <w:rsid w:val="00A06AE6"/>
    <w:rsid w:val="00A0786E"/>
    <w:rsid w:val="00A07F37"/>
    <w:rsid w:val="00A104AB"/>
    <w:rsid w:val="00A1156D"/>
    <w:rsid w:val="00A116F3"/>
    <w:rsid w:val="00A12A3A"/>
    <w:rsid w:val="00A12B50"/>
    <w:rsid w:val="00A12CD8"/>
    <w:rsid w:val="00A13060"/>
    <w:rsid w:val="00A1477A"/>
    <w:rsid w:val="00A154B5"/>
    <w:rsid w:val="00A15741"/>
    <w:rsid w:val="00A161C5"/>
    <w:rsid w:val="00A16277"/>
    <w:rsid w:val="00A167D7"/>
    <w:rsid w:val="00A16CA7"/>
    <w:rsid w:val="00A171FE"/>
    <w:rsid w:val="00A177A6"/>
    <w:rsid w:val="00A17D58"/>
    <w:rsid w:val="00A17E81"/>
    <w:rsid w:val="00A17EDE"/>
    <w:rsid w:val="00A20C8D"/>
    <w:rsid w:val="00A20DAB"/>
    <w:rsid w:val="00A2169A"/>
    <w:rsid w:val="00A217CB"/>
    <w:rsid w:val="00A23123"/>
    <w:rsid w:val="00A23674"/>
    <w:rsid w:val="00A25344"/>
    <w:rsid w:val="00A25670"/>
    <w:rsid w:val="00A256F1"/>
    <w:rsid w:val="00A25C20"/>
    <w:rsid w:val="00A25EA9"/>
    <w:rsid w:val="00A26225"/>
    <w:rsid w:val="00A265E1"/>
    <w:rsid w:val="00A26AA9"/>
    <w:rsid w:val="00A27D53"/>
    <w:rsid w:val="00A27F4D"/>
    <w:rsid w:val="00A30229"/>
    <w:rsid w:val="00A309FB"/>
    <w:rsid w:val="00A329E4"/>
    <w:rsid w:val="00A32A6E"/>
    <w:rsid w:val="00A32D57"/>
    <w:rsid w:val="00A35542"/>
    <w:rsid w:val="00A35DA0"/>
    <w:rsid w:val="00A35E69"/>
    <w:rsid w:val="00A36115"/>
    <w:rsid w:val="00A36CF8"/>
    <w:rsid w:val="00A407D6"/>
    <w:rsid w:val="00A416DC"/>
    <w:rsid w:val="00A416FA"/>
    <w:rsid w:val="00A41A3D"/>
    <w:rsid w:val="00A41AFD"/>
    <w:rsid w:val="00A4291F"/>
    <w:rsid w:val="00A42CC6"/>
    <w:rsid w:val="00A42D20"/>
    <w:rsid w:val="00A4330C"/>
    <w:rsid w:val="00A43492"/>
    <w:rsid w:val="00A43AF7"/>
    <w:rsid w:val="00A44670"/>
    <w:rsid w:val="00A44C20"/>
    <w:rsid w:val="00A462D6"/>
    <w:rsid w:val="00A463D3"/>
    <w:rsid w:val="00A467AC"/>
    <w:rsid w:val="00A468CF"/>
    <w:rsid w:val="00A46B33"/>
    <w:rsid w:val="00A473FA"/>
    <w:rsid w:val="00A4797F"/>
    <w:rsid w:val="00A510ED"/>
    <w:rsid w:val="00A51B29"/>
    <w:rsid w:val="00A51D56"/>
    <w:rsid w:val="00A52D7E"/>
    <w:rsid w:val="00A5318A"/>
    <w:rsid w:val="00A53237"/>
    <w:rsid w:val="00A53523"/>
    <w:rsid w:val="00A5388D"/>
    <w:rsid w:val="00A54479"/>
    <w:rsid w:val="00A54882"/>
    <w:rsid w:val="00A54ADA"/>
    <w:rsid w:val="00A55E31"/>
    <w:rsid w:val="00A56445"/>
    <w:rsid w:val="00A57506"/>
    <w:rsid w:val="00A600AB"/>
    <w:rsid w:val="00A6014F"/>
    <w:rsid w:val="00A60780"/>
    <w:rsid w:val="00A61301"/>
    <w:rsid w:val="00A614EE"/>
    <w:rsid w:val="00A6162F"/>
    <w:rsid w:val="00A6210B"/>
    <w:rsid w:val="00A62967"/>
    <w:rsid w:val="00A62DFB"/>
    <w:rsid w:val="00A637B4"/>
    <w:rsid w:val="00A65253"/>
    <w:rsid w:val="00A656FF"/>
    <w:rsid w:val="00A658A2"/>
    <w:rsid w:val="00A666A7"/>
    <w:rsid w:val="00A67576"/>
    <w:rsid w:val="00A67DE0"/>
    <w:rsid w:val="00A706C5"/>
    <w:rsid w:val="00A70B15"/>
    <w:rsid w:val="00A725AE"/>
    <w:rsid w:val="00A731D9"/>
    <w:rsid w:val="00A734CA"/>
    <w:rsid w:val="00A7369E"/>
    <w:rsid w:val="00A73873"/>
    <w:rsid w:val="00A73C58"/>
    <w:rsid w:val="00A73D6E"/>
    <w:rsid w:val="00A74237"/>
    <w:rsid w:val="00A74988"/>
    <w:rsid w:val="00A75ACE"/>
    <w:rsid w:val="00A76264"/>
    <w:rsid w:val="00A764C6"/>
    <w:rsid w:val="00A77690"/>
    <w:rsid w:val="00A77AA2"/>
    <w:rsid w:val="00A8019C"/>
    <w:rsid w:val="00A80337"/>
    <w:rsid w:val="00A816D5"/>
    <w:rsid w:val="00A8253D"/>
    <w:rsid w:val="00A827B1"/>
    <w:rsid w:val="00A82E5E"/>
    <w:rsid w:val="00A833BB"/>
    <w:rsid w:val="00A838D1"/>
    <w:rsid w:val="00A84528"/>
    <w:rsid w:val="00A84925"/>
    <w:rsid w:val="00A84D61"/>
    <w:rsid w:val="00A85AB5"/>
    <w:rsid w:val="00A85C99"/>
    <w:rsid w:val="00A861CA"/>
    <w:rsid w:val="00A864B7"/>
    <w:rsid w:val="00A86A2E"/>
    <w:rsid w:val="00A87CD1"/>
    <w:rsid w:val="00A87FBE"/>
    <w:rsid w:val="00A90502"/>
    <w:rsid w:val="00A90BF2"/>
    <w:rsid w:val="00A910C3"/>
    <w:rsid w:val="00A91BD2"/>
    <w:rsid w:val="00A921E3"/>
    <w:rsid w:val="00A92212"/>
    <w:rsid w:val="00A92DE0"/>
    <w:rsid w:val="00A944A1"/>
    <w:rsid w:val="00A946C1"/>
    <w:rsid w:val="00A9527D"/>
    <w:rsid w:val="00A953DB"/>
    <w:rsid w:val="00A95537"/>
    <w:rsid w:val="00A95947"/>
    <w:rsid w:val="00A97BEC"/>
    <w:rsid w:val="00AA0240"/>
    <w:rsid w:val="00AA0760"/>
    <w:rsid w:val="00AA1ABA"/>
    <w:rsid w:val="00AA1AFD"/>
    <w:rsid w:val="00AA20F7"/>
    <w:rsid w:val="00AA2506"/>
    <w:rsid w:val="00AA3A22"/>
    <w:rsid w:val="00AA43A6"/>
    <w:rsid w:val="00AA447B"/>
    <w:rsid w:val="00AA44B5"/>
    <w:rsid w:val="00AA4661"/>
    <w:rsid w:val="00AA4665"/>
    <w:rsid w:val="00AA5A40"/>
    <w:rsid w:val="00AA5EE3"/>
    <w:rsid w:val="00AA6019"/>
    <w:rsid w:val="00AA7958"/>
    <w:rsid w:val="00AB00C7"/>
    <w:rsid w:val="00AB07D4"/>
    <w:rsid w:val="00AB1AEA"/>
    <w:rsid w:val="00AB1D6A"/>
    <w:rsid w:val="00AB31E5"/>
    <w:rsid w:val="00AB381F"/>
    <w:rsid w:val="00AB3B28"/>
    <w:rsid w:val="00AB3CFE"/>
    <w:rsid w:val="00AB4274"/>
    <w:rsid w:val="00AB43B3"/>
    <w:rsid w:val="00AB5284"/>
    <w:rsid w:val="00AB6245"/>
    <w:rsid w:val="00AB68C4"/>
    <w:rsid w:val="00AB6F77"/>
    <w:rsid w:val="00AB71D5"/>
    <w:rsid w:val="00AB7613"/>
    <w:rsid w:val="00AB7899"/>
    <w:rsid w:val="00AC0681"/>
    <w:rsid w:val="00AC06A7"/>
    <w:rsid w:val="00AC0933"/>
    <w:rsid w:val="00AC0E9D"/>
    <w:rsid w:val="00AC0F67"/>
    <w:rsid w:val="00AC2A5A"/>
    <w:rsid w:val="00AC3156"/>
    <w:rsid w:val="00AC327B"/>
    <w:rsid w:val="00AC32FF"/>
    <w:rsid w:val="00AC365E"/>
    <w:rsid w:val="00AC4674"/>
    <w:rsid w:val="00AC4716"/>
    <w:rsid w:val="00AC4A9C"/>
    <w:rsid w:val="00AC562E"/>
    <w:rsid w:val="00AC5883"/>
    <w:rsid w:val="00AC58CF"/>
    <w:rsid w:val="00AC5B42"/>
    <w:rsid w:val="00AC5DED"/>
    <w:rsid w:val="00AD01E5"/>
    <w:rsid w:val="00AD0509"/>
    <w:rsid w:val="00AD1397"/>
    <w:rsid w:val="00AD14EC"/>
    <w:rsid w:val="00AD1802"/>
    <w:rsid w:val="00AD2015"/>
    <w:rsid w:val="00AD2330"/>
    <w:rsid w:val="00AD249A"/>
    <w:rsid w:val="00AD2E86"/>
    <w:rsid w:val="00AD41D4"/>
    <w:rsid w:val="00AD4296"/>
    <w:rsid w:val="00AD4943"/>
    <w:rsid w:val="00AD568F"/>
    <w:rsid w:val="00AD70CB"/>
    <w:rsid w:val="00AE018F"/>
    <w:rsid w:val="00AE04A0"/>
    <w:rsid w:val="00AE06F0"/>
    <w:rsid w:val="00AE0E4C"/>
    <w:rsid w:val="00AE1384"/>
    <w:rsid w:val="00AE18B3"/>
    <w:rsid w:val="00AE194E"/>
    <w:rsid w:val="00AE1A7F"/>
    <w:rsid w:val="00AE1AEB"/>
    <w:rsid w:val="00AE2134"/>
    <w:rsid w:val="00AE2669"/>
    <w:rsid w:val="00AE26CE"/>
    <w:rsid w:val="00AE2E18"/>
    <w:rsid w:val="00AE2FCE"/>
    <w:rsid w:val="00AE373E"/>
    <w:rsid w:val="00AE3C67"/>
    <w:rsid w:val="00AE3EDD"/>
    <w:rsid w:val="00AE4341"/>
    <w:rsid w:val="00AE4681"/>
    <w:rsid w:val="00AE488A"/>
    <w:rsid w:val="00AE50CF"/>
    <w:rsid w:val="00AE53BD"/>
    <w:rsid w:val="00AE593F"/>
    <w:rsid w:val="00AE5980"/>
    <w:rsid w:val="00AE667F"/>
    <w:rsid w:val="00AE706E"/>
    <w:rsid w:val="00AE7998"/>
    <w:rsid w:val="00AE7F60"/>
    <w:rsid w:val="00AF005F"/>
    <w:rsid w:val="00AF08A7"/>
    <w:rsid w:val="00AF0AE6"/>
    <w:rsid w:val="00AF0B26"/>
    <w:rsid w:val="00AF0E3F"/>
    <w:rsid w:val="00AF1075"/>
    <w:rsid w:val="00AF1366"/>
    <w:rsid w:val="00AF1811"/>
    <w:rsid w:val="00AF23F5"/>
    <w:rsid w:val="00AF2E03"/>
    <w:rsid w:val="00AF3722"/>
    <w:rsid w:val="00AF442A"/>
    <w:rsid w:val="00AF46C0"/>
    <w:rsid w:val="00AF4893"/>
    <w:rsid w:val="00AF4DA4"/>
    <w:rsid w:val="00AF4E66"/>
    <w:rsid w:val="00AF5770"/>
    <w:rsid w:val="00AF5BEA"/>
    <w:rsid w:val="00AF5DDB"/>
    <w:rsid w:val="00AF7941"/>
    <w:rsid w:val="00B003B5"/>
    <w:rsid w:val="00B00406"/>
    <w:rsid w:val="00B0163B"/>
    <w:rsid w:val="00B01D48"/>
    <w:rsid w:val="00B02378"/>
    <w:rsid w:val="00B032AD"/>
    <w:rsid w:val="00B03DA6"/>
    <w:rsid w:val="00B03E8A"/>
    <w:rsid w:val="00B04229"/>
    <w:rsid w:val="00B042B9"/>
    <w:rsid w:val="00B04598"/>
    <w:rsid w:val="00B04C9A"/>
    <w:rsid w:val="00B04F8C"/>
    <w:rsid w:val="00B05254"/>
    <w:rsid w:val="00B05C8A"/>
    <w:rsid w:val="00B0676F"/>
    <w:rsid w:val="00B06982"/>
    <w:rsid w:val="00B071CF"/>
    <w:rsid w:val="00B074A7"/>
    <w:rsid w:val="00B079E6"/>
    <w:rsid w:val="00B1033F"/>
    <w:rsid w:val="00B11D8F"/>
    <w:rsid w:val="00B12B23"/>
    <w:rsid w:val="00B13482"/>
    <w:rsid w:val="00B142BC"/>
    <w:rsid w:val="00B1431C"/>
    <w:rsid w:val="00B15A6E"/>
    <w:rsid w:val="00B16526"/>
    <w:rsid w:val="00B16FDD"/>
    <w:rsid w:val="00B17E12"/>
    <w:rsid w:val="00B201A7"/>
    <w:rsid w:val="00B20354"/>
    <w:rsid w:val="00B205D8"/>
    <w:rsid w:val="00B213E7"/>
    <w:rsid w:val="00B2187A"/>
    <w:rsid w:val="00B21A9B"/>
    <w:rsid w:val="00B22A1A"/>
    <w:rsid w:val="00B230CF"/>
    <w:rsid w:val="00B23151"/>
    <w:rsid w:val="00B23262"/>
    <w:rsid w:val="00B23461"/>
    <w:rsid w:val="00B23B36"/>
    <w:rsid w:val="00B244EB"/>
    <w:rsid w:val="00B24B3F"/>
    <w:rsid w:val="00B26691"/>
    <w:rsid w:val="00B26FF0"/>
    <w:rsid w:val="00B27387"/>
    <w:rsid w:val="00B27A09"/>
    <w:rsid w:val="00B27E6E"/>
    <w:rsid w:val="00B3066F"/>
    <w:rsid w:val="00B30AFA"/>
    <w:rsid w:val="00B30B65"/>
    <w:rsid w:val="00B31449"/>
    <w:rsid w:val="00B318C9"/>
    <w:rsid w:val="00B33704"/>
    <w:rsid w:val="00B34129"/>
    <w:rsid w:val="00B34203"/>
    <w:rsid w:val="00B34AC9"/>
    <w:rsid w:val="00B34D14"/>
    <w:rsid w:val="00B34F5F"/>
    <w:rsid w:val="00B3590D"/>
    <w:rsid w:val="00B35B49"/>
    <w:rsid w:val="00B36CFD"/>
    <w:rsid w:val="00B402A3"/>
    <w:rsid w:val="00B404F7"/>
    <w:rsid w:val="00B40697"/>
    <w:rsid w:val="00B40AA1"/>
    <w:rsid w:val="00B40E55"/>
    <w:rsid w:val="00B41148"/>
    <w:rsid w:val="00B4268D"/>
    <w:rsid w:val="00B42861"/>
    <w:rsid w:val="00B430FC"/>
    <w:rsid w:val="00B43193"/>
    <w:rsid w:val="00B43D17"/>
    <w:rsid w:val="00B443F0"/>
    <w:rsid w:val="00B46024"/>
    <w:rsid w:val="00B46EA7"/>
    <w:rsid w:val="00B46F4F"/>
    <w:rsid w:val="00B47A98"/>
    <w:rsid w:val="00B47D97"/>
    <w:rsid w:val="00B5022C"/>
    <w:rsid w:val="00B5183C"/>
    <w:rsid w:val="00B51F8A"/>
    <w:rsid w:val="00B52205"/>
    <w:rsid w:val="00B522DD"/>
    <w:rsid w:val="00B52F0C"/>
    <w:rsid w:val="00B52F48"/>
    <w:rsid w:val="00B5322D"/>
    <w:rsid w:val="00B53B82"/>
    <w:rsid w:val="00B53C8E"/>
    <w:rsid w:val="00B54010"/>
    <w:rsid w:val="00B54079"/>
    <w:rsid w:val="00B55CF6"/>
    <w:rsid w:val="00B56615"/>
    <w:rsid w:val="00B56E40"/>
    <w:rsid w:val="00B60289"/>
    <w:rsid w:val="00B60630"/>
    <w:rsid w:val="00B61A1C"/>
    <w:rsid w:val="00B61D20"/>
    <w:rsid w:val="00B62760"/>
    <w:rsid w:val="00B63C7F"/>
    <w:rsid w:val="00B63ED1"/>
    <w:rsid w:val="00B64886"/>
    <w:rsid w:val="00B65F82"/>
    <w:rsid w:val="00B6613C"/>
    <w:rsid w:val="00B669BD"/>
    <w:rsid w:val="00B67079"/>
    <w:rsid w:val="00B6765C"/>
    <w:rsid w:val="00B67699"/>
    <w:rsid w:val="00B677FB"/>
    <w:rsid w:val="00B6787B"/>
    <w:rsid w:val="00B67A3E"/>
    <w:rsid w:val="00B70105"/>
    <w:rsid w:val="00B70261"/>
    <w:rsid w:val="00B703C0"/>
    <w:rsid w:val="00B703DB"/>
    <w:rsid w:val="00B70713"/>
    <w:rsid w:val="00B70AAD"/>
    <w:rsid w:val="00B70D3A"/>
    <w:rsid w:val="00B71431"/>
    <w:rsid w:val="00B71929"/>
    <w:rsid w:val="00B71BCB"/>
    <w:rsid w:val="00B721E2"/>
    <w:rsid w:val="00B727EE"/>
    <w:rsid w:val="00B72CD5"/>
    <w:rsid w:val="00B732A0"/>
    <w:rsid w:val="00B73911"/>
    <w:rsid w:val="00B74E58"/>
    <w:rsid w:val="00B753E9"/>
    <w:rsid w:val="00B75719"/>
    <w:rsid w:val="00B75852"/>
    <w:rsid w:val="00B75A66"/>
    <w:rsid w:val="00B760F0"/>
    <w:rsid w:val="00B768A9"/>
    <w:rsid w:val="00B771A8"/>
    <w:rsid w:val="00B774B1"/>
    <w:rsid w:val="00B777A8"/>
    <w:rsid w:val="00B77997"/>
    <w:rsid w:val="00B80621"/>
    <w:rsid w:val="00B80B3A"/>
    <w:rsid w:val="00B80FEF"/>
    <w:rsid w:val="00B825FF"/>
    <w:rsid w:val="00B82E87"/>
    <w:rsid w:val="00B833D1"/>
    <w:rsid w:val="00B83CAE"/>
    <w:rsid w:val="00B84A6D"/>
    <w:rsid w:val="00B85072"/>
    <w:rsid w:val="00B85245"/>
    <w:rsid w:val="00B8545C"/>
    <w:rsid w:val="00B8671D"/>
    <w:rsid w:val="00B876A1"/>
    <w:rsid w:val="00B90074"/>
    <w:rsid w:val="00B90397"/>
    <w:rsid w:val="00B917D6"/>
    <w:rsid w:val="00B917F9"/>
    <w:rsid w:val="00B91DAD"/>
    <w:rsid w:val="00B9313E"/>
    <w:rsid w:val="00B93207"/>
    <w:rsid w:val="00B9361D"/>
    <w:rsid w:val="00B942EA"/>
    <w:rsid w:val="00B965F1"/>
    <w:rsid w:val="00B966C6"/>
    <w:rsid w:val="00B96A0D"/>
    <w:rsid w:val="00B97159"/>
    <w:rsid w:val="00B974A4"/>
    <w:rsid w:val="00B97871"/>
    <w:rsid w:val="00B97E93"/>
    <w:rsid w:val="00BA1241"/>
    <w:rsid w:val="00BA13C0"/>
    <w:rsid w:val="00BA1860"/>
    <w:rsid w:val="00BA1964"/>
    <w:rsid w:val="00BA1C20"/>
    <w:rsid w:val="00BA1D7E"/>
    <w:rsid w:val="00BA277B"/>
    <w:rsid w:val="00BA2A24"/>
    <w:rsid w:val="00BA2DF2"/>
    <w:rsid w:val="00BA3439"/>
    <w:rsid w:val="00BA3619"/>
    <w:rsid w:val="00BA3BE7"/>
    <w:rsid w:val="00BA3E31"/>
    <w:rsid w:val="00BA5072"/>
    <w:rsid w:val="00BA50D8"/>
    <w:rsid w:val="00BA51A0"/>
    <w:rsid w:val="00BA51ED"/>
    <w:rsid w:val="00BA560B"/>
    <w:rsid w:val="00BA57DB"/>
    <w:rsid w:val="00BA5A04"/>
    <w:rsid w:val="00BA5F11"/>
    <w:rsid w:val="00BA68D4"/>
    <w:rsid w:val="00BA6DFF"/>
    <w:rsid w:val="00BA7427"/>
    <w:rsid w:val="00BA7AC6"/>
    <w:rsid w:val="00BA7B61"/>
    <w:rsid w:val="00BB0505"/>
    <w:rsid w:val="00BB1148"/>
    <w:rsid w:val="00BB1299"/>
    <w:rsid w:val="00BB15C3"/>
    <w:rsid w:val="00BB1773"/>
    <w:rsid w:val="00BB2684"/>
    <w:rsid w:val="00BB2C6A"/>
    <w:rsid w:val="00BB2DCB"/>
    <w:rsid w:val="00BB3C66"/>
    <w:rsid w:val="00BB4C2C"/>
    <w:rsid w:val="00BB4E44"/>
    <w:rsid w:val="00BB4E9E"/>
    <w:rsid w:val="00BB73F1"/>
    <w:rsid w:val="00BC0E70"/>
    <w:rsid w:val="00BC1351"/>
    <w:rsid w:val="00BC1CF3"/>
    <w:rsid w:val="00BC1E61"/>
    <w:rsid w:val="00BC2E64"/>
    <w:rsid w:val="00BC2F91"/>
    <w:rsid w:val="00BC34BE"/>
    <w:rsid w:val="00BC3AD3"/>
    <w:rsid w:val="00BC3BDE"/>
    <w:rsid w:val="00BC3C9E"/>
    <w:rsid w:val="00BC4206"/>
    <w:rsid w:val="00BC4823"/>
    <w:rsid w:val="00BC580A"/>
    <w:rsid w:val="00BC5976"/>
    <w:rsid w:val="00BC5C1D"/>
    <w:rsid w:val="00BD079E"/>
    <w:rsid w:val="00BD1512"/>
    <w:rsid w:val="00BD1538"/>
    <w:rsid w:val="00BD153F"/>
    <w:rsid w:val="00BD1C82"/>
    <w:rsid w:val="00BD2BF1"/>
    <w:rsid w:val="00BD3007"/>
    <w:rsid w:val="00BD4003"/>
    <w:rsid w:val="00BD40A8"/>
    <w:rsid w:val="00BD414B"/>
    <w:rsid w:val="00BD43AF"/>
    <w:rsid w:val="00BD5376"/>
    <w:rsid w:val="00BD559D"/>
    <w:rsid w:val="00BD5873"/>
    <w:rsid w:val="00BD5A76"/>
    <w:rsid w:val="00BD5AF2"/>
    <w:rsid w:val="00BD5DEE"/>
    <w:rsid w:val="00BD6A2F"/>
    <w:rsid w:val="00BD6D0E"/>
    <w:rsid w:val="00BD7952"/>
    <w:rsid w:val="00BD7F05"/>
    <w:rsid w:val="00BE0A5C"/>
    <w:rsid w:val="00BE16F0"/>
    <w:rsid w:val="00BE1E9F"/>
    <w:rsid w:val="00BE23AC"/>
    <w:rsid w:val="00BE2934"/>
    <w:rsid w:val="00BE3185"/>
    <w:rsid w:val="00BE340C"/>
    <w:rsid w:val="00BE3A3B"/>
    <w:rsid w:val="00BE3E30"/>
    <w:rsid w:val="00BE4A88"/>
    <w:rsid w:val="00BE52B8"/>
    <w:rsid w:val="00BE605D"/>
    <w:rsid w:val="00BE67D2"/>
    <w:rsid w:val="00BE6E8C"/>
    <w:rsid w:val="00BE7148"/>
    <w:rsid w:val="00BE7169"/>
    <w:rsid w:val="00BE71E2"/>
    <w:rsid w:val="00BE729A"/>
    <w:rsid w:val="00BE79AC"/>
    <w:rsid w:val="00BF0DCF"/>
    <w:rsid w:val="00BF24F3"/>
    <w:rsid w:val="00BF2AB4"/>
    <w:rsid w:val="00BF2F67"/>
    <w:rsid w:val="00BF3374"/>
    <w:rsid w:val="00BF375F"/>
    <w:rsid w:val="00BF42D1"/>
    <w:rsid w:val="00BF45B0"/>
    <w:rsid w:val="00BF515D"/>
    <w:rsid w:val="00BF553B"/>
    <w:rsid w:val="00BF56A2"/>
    <w:rsid w:val="00BF57D4"/>
    <w:rsid w:val="00BF5A92"/>
    <w:rsid w:val="00BF5C0D"/>
    <w:rsid w:val="00BF5F50"/>
    <w:rsid w:val="00BF6226"/>
    <w:rsid w:val="00BF6ABA"/>
    <w:rsid w:val="00BF7C0E"/>
    <w:rsid w:val="00BF7F5F"/>
    <w:rsid w:val="00C00763"/>
    <w:rsid w:val="00C008E5"/>
    <w:rsid w:val="00C008FB"/>
    <w:rsid w:val="00C00B96"/>
    <w:rsid w:val="00C00FB4"/>
    <w:rsid w:val="00C0113E"/>
    <w:rsid w:val="00C01247"/>
    <w:rsid w:val="00C0203B"/>
    <w:rsid w:val="00C02423"/>
    <w:rsid w:val="00C030AC"/>
    <w:rsid w:val="00C03216"/>
    <w:rsid w:val="00C046B0"/>
    <w:rsid w:val="00C0507E"/>
    <w:rsid w:val="00C0555A"/>
    <w:rsid w:val="00C05708"/>
    <w:rsid w:val="00C06228"/>
    <w:rsid w:val="00C0628F"/>
    <w:rsid w:val="00C062BD"/>
    <w:rsid w:val="00C06467"/>
    <w:rsid w:val="00C066A9"/>
    <w:rsid w:val="00C06702"/>
    <w:rsid w:val="00C0674A"/>
    <w:rsid w:val="00C06EED"/>
    <w:rsid w:val="00C06F42"/>
    <w:rsid w:val="00C0756A"/>
    <w:rsid w:val="00C07994"/>
    <w:rsid w:val="00C07C2B"/>
    <w:rsid w:val="00C10938"/>
    <w:rsid w:val="00C10EA6"/>
    <w:rsid w:val="00C10FC8"/>
    <w:rsid w:val="00C1505D"/>
    <w:rsid w:val="00C1510A"/>
    <w:rsid w:val="00C154E7"/>
    <w:rsid w:val="00C1661F"/>
    <w:rsid w:val="00C1689D"/>
    <w:rsid w:val="00C17A74"/>
    <w:rsid w:val="00C17ACE"/>
    <w:rsid w:val="00C17D8F"/>
    <w:rsid w:val="00C211E2"/>
    <w:rsid w:val="00C21D15"/>
    <w:rsid w:val="00C21D3E"/>
    <w:rsid w:val="00C222CA"/>
    <w:rsid w:val="00C22373"/>
    <w:rsid w:val="00C22E2A"/>
    <w:rsid w:val="00C23070"/>
    <w:rsid w:val="00C2307F"/>
    <w:rsid w:val="00C23682"/>
    <w:rsid w:val="00C23785"/>
    <w:rsid w:val="00C23BED"/>
    <w:rsid w:val="00C24186"/>
    <w:rsid w:val="00C25A4E"/>
    <w:rsid w:val="00C25A9B"/>
    <w:rsid w:val="00C25E2B"/>
    <w:rsid w:val="00C26424"/>
    <w:rsid w:val="00C2688D"/>
    <w:rsid w:val="00C27653"/>
    <w:rsid w:val="00C278C3"/>
    <w:rsid w:val="00C27A3C"/>
    <w:rsid w:val="00C27D17"/>
    <w:rsid w:val="00C27E60"/>
    <w:rsid w:val="00C30723"/>
    <w:rsid w:val="00C3298D"/>
    <w:rsid w:val="00C32A9C"/>
    <w:rsid w:val="00C334F3"/>
    <w:rsid w:val="00C33581"/>
    <w:rsid w:val="00C33F75"/>
    <w:rsid w:val="00C33FA5"/>
    <w:rsid w:val="00C35D84"/>
    <w:rsid w:val="00C36B74"/>
    <w:rsid w:val="00C36DA9"/>
    <w:rsid w:val="00C3710F"/>
    <w:rsid w:val="00C37298"/>
    <w:rsid w:val="00C40056"/>
    <w:rsid w:val="00C40294"/>
    <w:rsid w:val="00C405D2"/>
    <w:rsid w:val="00C40EBB"/>
    <w:rsid w:val="00C410FE"/>
    <w:rsid w:val="00C41119"/>
    <w:rsid w:val="00C415B8"/>
    <w:rsid w:val="00C41B38"/>
    <w:rsid w:val="00C43106"/>
    <w:rsid w:val="00C4337A"/>
    <w:rsid w:val="00C43AA9"/>
    <w:rsid w:val="00C43EE4"/>
    <w:rsid w:val="00C43FBC"/>
    <w:rsid w:val="00C443F2"/>
    <w:rsid w:val="00C446DA"/>
    <w:rsid w:val="00C44BAE"/>
    <w:rsid w:val="00C450E0"/>
    <w:rsid w:val="00C4526B"/>
    <w:rsid w:val="00C45676"/>
    <w:rsid w:val="00C456D1"/>
    <w:rsid w:val="00C45C55"/>
    <w:rsid w:val="00C45F46"/>
    <w:rsid w:val="00C4603B"/>
    <w:rsid w:val="00C46B3A"/>
    <w:rsid w:val="00C46BA1"/>
    <w:rsid w:val="00C47E84"/>
    <w:rsid w:val="00C5058B"/>
    <w:rsid w:val="00C50595"/>
    <w:rsid w:val="00C51F38"/>
    <w:rsid w:val="00C51F83"/>
    <w:rsid w:val="00C5200A"/>
    <w:rsid w:val="00C52144"/>
    <w:rsid w:val="00C5321C"/>
    <w:rsid w:val="00C53BD6"/>
    <w:rsid w:val="00C53E4F"/>
    <w:rsid w:val="00C53FCA"/>
    <w:rsid w:val="00C540AE"/>
    <w:rsid w:val="00C545BB"/>
    <w:rsid w:val="00C54CC3"/>
    <w:rsid w:val="00C5575E"/>
    <w:rsid w:val="00C55E7A"/>
    <w:rsid w:val="00C56658"/>
    <w:rsid w:val="00C56748"/>
    <w:rsid w:val="00C567E0"/>
    <w:rsid w:val="00C569DF"/>
    <w:rsid w:val="00C56B37"/>
    <w:rsid w:val="00C56D5C"/>
    <w:rsid w:val="00C570FE"/>
    <w:rsid w:val="00C57A9D"/>
    <w:rsid w:val="00C60649"/>
    <w:rsid w:val="00C6185B"/>
    <w:rsid w:val="00C61AA6"/>
    <w:rsid w:val="00C62525"/>
    <w:rsid w:val="00C62C70"/>
    <w:rsid w:val="00C63CD2"/>
    <w:rsid w:val="00C63EBC"/>
    <w:rsid w:val="00C644AD"/>
    <w:rsid w:val="00C646D6"/>
    <w:rsid w:val="00C64B38"/>
    <w:rsid w:val="00C64DB5"/>
    <w:rsid w:val="00C6551B"/>
    <w:rsid w:val="00C657E9"/>
    <w:rsid w:val="00C658DD"/>
    <w:rsid w:val="00C65BB9"/>
    <w:rsid w:val="00C65D6D"/>
    <w:rsid w:val="00C676A9"/>
    <w:rsid w:val="00C6775F"/>
    <w:rsid w:val="00C701A4"/>
    <w:rsid w:val="00C7099F"/>
    <w:rsid w:val="00C7227F"/>
    <w:rsid w:val="00C724C7"/>
    <w:rsid w:val="00C725EC"/>
    <w:rsid w:val="00C73487"/>
    <w:rsid w:val="00C734B1"/>
    <w:rsid w:val="00C73727"/>
    <w:rsid w:val="00C73E8F"/>
    <w:rsid w:val="00C740B8"/>
    <w:rsid w:val="00C746B5"/>
    <w:rsid w:val="00C7492B"/>
    <w:rsid w:val="00C752AF"/>
    <w:rsid w:val="00C75F89"/>
    <w:rsid w:val="00C7682F"/>
    <w:rsid w:val="00C77323"/>
    <w:rsid w:val="00C774BC"/>
    <w:rsid w:val="00C778E9"/>
    <w:rsid w:val="00C809AB"/>
    <w:rsid w:val="00C80A86"/>
    <w:rsid w:val="00C81D01"/>
    <w:rsid w:val="00C81EB2"/>
    <w:rsid w:val="00C8201D"/>
    <w:rsid w:val="00C821BF"/>
    <w:rsid w:val="00C82768"/>
    <w:rsid w:val="00C85AAE"/>
    <w:rsid w:val="00C85E7E"/>
    <w:rsid w:val="00C86007"/>
    <w:rsid w:val="00C8685E"/>
    <w:rsid w:val="00C86B8A"/>
    <w:rsid w:val="00C877D5"/>
    <w:rsid w:val="00C87CA4"/>
    <w:rsid w:val="00C87ED3"/>
    <w:rsid w:val="00C9093E"/>
    <w:rsid w:val="00C90E68"/>
    <w:rsid w:val="00C91A21"/>
    <w:rsid w:val="00C91F82"/>
    <w:rsid w:val="00C922FA"/>
    <w:rsid w:val="00C92884"/>
    <w:rsid w:val="00C929E1"/>
    <w:rsid w:val="00C92C9B"/>
    <w:rsid w:val="00C92DAF"/>
    <w:rsid w:val="00C9344B"/>
    <w:rsid w:val="00C93498"/>
    <w:rsid w:val="00C934E1"/>
    <w:rsid w:val="00C93691"/>
    <w:rsid w:val="00C93B97"/>
    <w:rsid w:val="00C93C11"/>
    <w:rsid w:val="00C946E3"/>
    <w:rsid w:val="00C94A7C"/>
    <w:rsid w:val="00C951B3"/>
    <w:rsid w:val="00C95B89"/>
    <w:rsid w:val="00C95F57"/>
    <w:rsid w:val="00C960E0"/>
    <w:rsid w:val="00C964BC"/>
    <w:rsid w:val="00C96843"/>
    <w:rsid w:val="00C96A99"/>
    <w:rsid w:val="00C97D74"/>
    <w:rsid w:val="00CA0093"/>
    <w:rsid w:val="00CA0D0A"/>
    <w:rsid w:val="00CA0D2C"/>
    <w:rsid w:val="00CA0DBC"/>
    <w:rsid w:val="00CA13DD"/>
    <w:rsid w:val="00CA1FFE"/>
    <w:rsid w:val="00CA284C"/>
    <w:rsid w:val="00CA2E81"/>
    <w:rsid w:val="00CA33E3"/>
    <w:rsid w:val="00CA364E"/>
    <w:rsid w:val="00CA4A41"/>
    <w:rsid w:val="00CA51F1"/>
    <w:rsid w:val="00CA5839"/>
    <w:rsid w:val="00CA58A5"/>
    <w:rsid w:val="00CA6A4D"/>
    <w:rsid w:val="00CA6D38"/>
    <w:rsid w:val="00CA6E86"/>
    <w:rsid w:val="00CA7504"/>
    <w:rsid w:val="00CB02BC"/>
    <w:rsid w:val="00CB0838"/>
    <w:rsid w:val="00CB086E"/>
    <w:rsid w:val="00CB1263"/>
    <w:rsid w:val="00CB1598"/>
    <w:rsid w:val="00CB1AE7"/>
    <w:rsid w:val="00CB2BDF"/>
    <w:rsid w:val="00CB2C24"/>
    <w:rsid w:val="00CB2E20"/>
    <w:rsid w:val="00CB32AD"/>
    <w:rsid w:val="00CB359D"/>
    <w:rsid w:val="00CB367B"/>
    <w:rsid w:val="00CB36DE"/>
    <w:rsid w:val="00CB3E98"/>
    <w:rsid w:val="00CB4186"/>
    <w:rsid w:val="00CB42BD"/>
    <w:rsid w:val="00CB4D85"/>
    <w:rsid w:val="00CB5253"/>
    <w:rsid w:val="00CB5F45"/>
    <w:rsid w:val="00CC054E"/>
    <w:rsid w:val="00CC0550"/>
    <w:rsid w:val="00CC0986"/>
    <w:rsid w:val="00CC1762"/>
    <w:rsid w:val="00CC1B1E"/>
    <w:rsid w:val="00CC41D3"/>
    <w:rsid w:val="00CC4392"/>
    <w:rsid w:val="00CC446E"/>
    <w:rsid w:val="00CC4851"/>
    <w:rsid w:val="00CC4F6D"/>
    <w:rsid w:val="00CC5B39"/>
    <w:rsid w:val="00CC7166"/>
    <w:rsid w:val="00CC7448"/>
    <w:rsid w:val="00CD0184"/>
    <w:rsid w:val="00CD0272"/>
    <w:rsid w:val="00CD0678"/>
    <w:rsid w:val="00CD06B5"/>
    <w:rsid w:val="00CD0890"/>
    <w:rsid w:val="00CD0D44"/>
    <w:rsid w:val="00CD111E"/>
    <w:rsid w:val="00CD1153"/>
    <w:rsid w:val="00CD11BF"/>
    <w:rsid w:val="00CD19AD"/>
    <w:rsid w:val="00CD1D04"/>
    <w:rsid w:val="00CD1DEE"/>
    <w:rsid w:val="00CD28EF"/>
    <w:rsid w:val="00CD35E0"/>
    <w:rsid w:val="00CD4203"/>
    <w:rsid w:val="00CD5308"/>
    <w:rsid w:val="00CD5738"/>
    <w:rsid w:val="00CD58B9"/>
    <w:rsid w:val="00CD689D"/>
    <w:rsid w:val="00CE0B63"/>
    <w:rsid w:val="00CE14AC"/>
    <w:rsid w:val="00CE1787"/>
    <w:rsid w:val="00CE1CD6"/>
    <w:rsid w:val="00CE1E1F"/>
    <w:rsid w:val="00CE1EFE"/>
    <w:rsid w:val="00CE254A"/>
    <w:rsid w:val="00CE2D3F"/>
    <w:rsid w:val="00CE307A"/>
    <w:rsid w:val="00CE3386"/>
    <w:rsid w:val="00CE3D1A"/>
    <w:rsid w:val="00CE3DD1"/>
    <w:rsid w:val="00CE4B27"/>
    <w:rsid w:val="00CE64AD"/>
    <w:rsid w:val="00CE667E"/>
    <w:rsid w:val="00CE692A"/>
    <w:rsid w:val="00CE6C2B"/>
    <w:rsid w:val="00CE6D73"/>
    <w:rsid w:val="00CE7472"/>
    <w:rsid w:val="00CE75D6"/>
    <w:rsid w:val="00CE7900"/>
    <w:rsid w:val="00CF03F0"/>
    <w:rsid w:val="00CF089A"/>
    <w:rsid w:val="00CF09C0"/>
    <w:rsid w:val="00CF1039"/>
    <w:rsid w:val="00CF1B4C"/>
    <w:rsid w:val="00CF1D73"/>
    <w:rsid w:val="00CF1D90"/>
    <w:rsid w:val="00CF3AF5"/>
    <w:rsid w:val="00CF3F47"/>
    <w:rsid w:val="00CF406C"/>
    <w:rsid w:val="00CF4633"/>
    <w:rsid w:val="00CF4CE1"/>
    <w:rsid w:val="00CF550C"/>
    <w:rsid w:val="00CF5793"/>
    <w:rsid w:val="00CF57D6"/>
    <w:rsid w:val="00CF59C3"/>
    <w:rsid w:val="00CF5F28"/>
    <w:rsid w:val="00CF5F29"/>
    <w:rsid w:val="00CF60FD"/>
    <w:rsid w:val="00CF66A5"/>
    <w:rsid w:val="00CF6739"/>
    <w:rsid w:val="00CF77B0"/>
    <w:rsid w:val="00CF7933"/>
    <w:rsid w:val="00D00413"/>
    <w:rsid w:val="00D0066D"/>
    <w:rsid w:val="00D007EE"/>
    <w:rsid w:val="00D009C8"/>
    <w:rsid w:val="00D01160"/>
    <w:rsid w:val="00D01693"/>
    <w:rsid w:val="00D031F0"/>
    <w:rsid w:val="00D0336C"/>
    <w:rsid w:val="00D039F4"/>
    <w:rsid w:val="00D03F54"/>
    <w:rsid w:val="00D042D0"/>
    <w:rsid w:val="00D05B68"/>
    <w:rsid w:val="00D0609C"/>
    <w:rsid w:val="00D0717A"/>
    <w:rsid w:val="00D078E8"/>
    <w:rsid w:val="00D07BAE"/>
    <w:rsid w:val="00D07DC7"/>
    <w:rsid w:val="00D100B7"/>
    <w:rsid w:val="00D10883"/>
    <w:rsid w:val="00D115A0"/>
    <w:rsid w:val="00D1164E"/>
    <w:rsid w:val="00D11C02"/>
    <w:rsid w:val="00D12689"/>
    <w:rsid w:val="00D1344A"/>
    <w:rsid w:val="00D13C8E"/>
    <w:rsid w:val="00D14BBD"/>
    <w:rsid w:val="00D15314"/>
    <w:rsid w:val="00D158FA"/>
    <w:rsid w:val="00D16137"/>
    <w:rsid w:val="00D17810"/>
    <w:rsid w:val="00D1790E"/>
    <w:rsid w:val="00D20282"/>
    <w:rsid w:val="00D2045B"/>
    <w:rsid w:val="00D206E4"/>
    <w:rsid w:val="00D20891"/>
    <w:rsid w:val="00D20A7B"/>
    <w:rsid w:val="00D20CC3"/>
    <w:rsid w:val="00D20EA6"/>
    <w:rsid w:val="00D212FC"/>
    <w:rsid w:val="00D21BA9"/>
    <w:rsid w:val="00D21EBC"/>
    <w:rsid w:val="00D22E66"/>
    <w:rsid w:val="00D230D4"/>
    <w:rsid w:val="00D231DD"/>
    <w:rsid w:val="00D2321B"/>
    <w:rsid w:val="00D23891"/>
    <w:rsid w:val="00D241C2"/>
    <w:rsid w:val="00D24560"/>
    <w:rsid w:val="00D24C10"/>
    <w:rsid w:val="00D24C7F"/>
    <w:rsid w:val="00D2510A"/>
    <w:rsid w:val="00D25334"/>
    <w:rsid w:val="00D25563"/>
    <w:rsid w:val="00D257BB"/>
    <w:rsid w:val="00D25DBE"/>
    <w:rsid w:val="00D273D5"/>
    <w:rsid w:val="00D30FD7"/>
    <w:rsid w:val="00D31549"/>
    <w:rsid w:val="00D319DE"/>
    <w:rsid w:val="00D323CD"/>
    <w:rsid w:val="00D335B5"/>
    <w:rsid w:val="00D33D0C"/>
    <w:rsid w:val="00D341C5"/>
    <w:rsid w:val="00D3420F"/>
    <w:rsid w:val="00D3435F"/>
    <w:rsid w:val="00D345A3"/>
    <w:rsid w:val="00D3521B"/>
    <w:rsid w:val="00D35853"/>
    <w:rsid w:val="00D36422"/>
    <w:rsid w:val="00D379BE"/>
    <w:rsid w:val="00D37B45"/>
    <w:rsid w:val="00D37D30"/>
    <w:rsid w:val="00D37EA8"/>
    <w:rsid w:val="00D41F88"/>
    <w:rsid w:val="00D42C2A"/>
    <w:rsid w:val="00D42CCC"/>
    <w:rsid w:val="00D4364D"/>
    <w:rsid w:val="00D439DA"/>
    <w:rsid w:val="00D43B65"/>
    <w:rsid w:val="00D441F4"/>
    <w:rsid w:val="00D44841"/>
    <w:rsid w:val="00D44D70"/>
    <w:rsid w:val="00D44DEA"/>
    <w:rsid w:val="00D452ED"/>
    <w:rsid w:val="00D4564F"/>
    <w:rsid w:val="00D45893"/>
    <w:rsid w:val="00D46B02"/>
    <w:rsid w:val="00D474A3"/>
    <w:rsid w:val="00D50DF6"/>
    <w:rsid w:val="00D50F31"/>
    <w:rsid w:val="00D510F6"/>
    <w:rsid w:val="00D5127D"/>
    <w:rsid w:val="00D51884"/>
    <w:rsid w:val="00D518A6"/>
    <w:rsid w:val="00D51F66"/>
    <w:rsid w:val="00D52089"/>
    <w:rsid w:val="00D53139"/>
    <w:rsid w:val="00D53179"/>
    <w:rsid w:val="00D533B8"/>
    <w:rsid w:val="00D540DA"/>
    <w:rsid w:val="00D54257"/>
    <w:rsid w:val="00D54D32"/>
    <w:rsid w:val="00D54F5D"/>
    <w:rsid w:val="00D5554A"/>
    <w:rsid w:val="00D5606E"/>
    <w:rsid w:val="00D565B0"/>
    <w:rsid w:val="00D56B47"/>
    <w:rsid w:val="00D56EF7"/>
    <w:rsid w:val="00D570E2"/>
    <w:rsid w:val="00D57CC7"/>
    <w:rsid w:val="00D60819"/>
    <w:rsid w:val="00D609A8"/>
    <w:rsid w:val="00D61048"/>
    <w:rsid w:val="00D61710"/>
    <w:rsid w:val="00D61B9B"/>
    <w:rsid w:val="00D61E9E"/>
    <w:rsid w:val="00D61F18"/>
    <w:rsid w:val="00D62141"/>
    <w:rsid w:val="00D623BC"/>
    <w:rsid w:val="00D62D53"/>
    <w:rsid w:val="00D6390B"/>
    <w:rsid w:val="00D63B75"/>
    <w:rsid w:val="00D644E7"/>
    <w:rsid w:val="00D6485A"/>
    <w:rsid w:val="00D64C4E"/>
    <w:rsid w:val="00D652F0"/>
    <w:rsid w:val="00D65758"/>
    <w:rsid w:val="00D6575A"/>
    <w:rsid w:val="00D66346"/>
    <w:rsid w:val="00D668D7"/>
    <w:rsid w:val="00D66CB4"/>
    <w:rsid w:val="00D7066F"/>
    <w:rsid w:val="00D70884"/>
    <w:rsid w:val="00D709F7"/>
    <w:rsid w:val="00D70A2B"/>
    <w:rsid w:val="00D70F6B"/>
    <w:rsid w:val="00D7196D"/>
    <w:rsid w:val="00D71A2B"/>
    <w:rsid w:val="00D71EAD"/>
    <w:rsid w:val="00D72291"/>
    <w:rsid w:val="00D7279C"/>
    <w:rsid w:val="00D72FE2"/>
    <w:rsid w:val="00D7306F"/>
    <w:rsid w:val="00D730DF"/>
    <w:rsid w:val="00D73267"/>
    <w:rsid w:val="00D73CB8"/>
    <w:rsid w:val="00D7478F"/>
    <w:rsid w:val="00D74CD6"/>
    <w:rsid w:val="00D76BC6"/>
    <w:rsid w:val="00D76D5A"/>
    <w:rsid w:val="00D76DC6"/>
    <w:rsid w:val="00D76E19"/>
    <w:rsid w:val="00D77070"/>
    <w:rsid w:val="00D8070D"/>
    <w:rsid w:val="00D822E6"/>
    <w:rsid w:val="00D82A92"/>
    <w:rsid w:val="00D82C77"/>
    <w:rsid w:val="00D82C80"/>
    <w:rsid w:val="00D835FC"/>
    <w:rsid w:val="00D836C8"/>
    <w:rsid w:val="00D83A2B"/>
    <w:rsid w:val="00D842BB"/>
    <w:rsid w:val="00D84525"/>
    <w:rsid w:val="00D84E97"/>
    <w:rsid w:val="00D85783"/>
    <w:rsid w:val="00D85BAA"/>
    <w:rsid w:val="00D861F6"/>
    <w:rsid w:val="00D864A1"/>
    <w:rsid w:val="00D86AC4"/>
    <w:rsid w:val="00D86F26"/>
    <w:rsid w:val="00D9083E"/>
    <w:rsid w:val="00D908FD"/>
    <w:rsid w:val="00D90F20"/>
    <w:rsid w:val="00D91A6C"/>
    <w:rsid w:val="00D91B52"/>
    <w:rsid w:val="00D91C2B"/>
    <w:rsid w:val="00D92CDB"/>
    <w:rsid w:val="00D93979"/>
    <w:rsid w:val="00D940F6"/>
    <w:rsid w:val="00D94F7D"/>
    <w:rsid w:val="00D950CE"/>
    <w:rsid w:val="00D95700"/>
    <w:rsid w:val="00D958D3"/>
    <w:rsid w:val="00D95A75"/>
    <w:rsid w:val="00D95C6C"/>
    <w:rsid w:val="00D96BCF"/>
    <w:rsid w:val="00D96BFC"/>
    <w:rsid w:val="00D9764E"/>
    <w:rsid w:val="00D97889"/>
    <w:rsid w:val="00D978E3"/>
    <w:rsid w:val="00D97B3D"/>
    <w:rsid w:val="00DA02A5"/>
    <w:rsid w:val="00DA17F2"/>
    <w:rsid w:val="00DA1C4C"/>
    <w:rsid w:val="00DA2A4C"/>
    <w:rsid w:val="00DA2AB5"/>
    <w:rsid w:val="00DA3123"/>
    <w:rsid w:val="00DA332E"/>
    <w:rsid w:val="00DA382D"/>
    <w:rsid w:val="00DA38FC"/>
    <w:rsid w:val="00DA3AD1"/>
    <w:rsid w:val="00DA3B75"/>
    <w:rsid w:val="00DA3F4A"/>
    <w:rsid w:val="00DA40B0"/>
    <w:rsid w:val="00DA5BB2"/>
    <w:rsid w:val="00DA5D0C"/>
    <w:rsid w:val="00DA6084"/>
    <w:rsid w:val="00DA6913"/>
    <w:rsid w:val="00DA6977"/>
    <w:rsid w:val="00DA6D55"/>
    <w:rsid w:val="00DB008B"/>
    <w:rsid w:val="00DB06BC"/>
    <w:rsid w:val="00DB1112"/>
    <w:rsid w:val="00DB1473"/>
    <w:rsid w:val="00DB1ECE"/>
    <w:rsid w:val="00DB1ED2"/>
    <w:rsid w:val="00DB30F0"/>
    <w:rsid w:val="00DB328F"/>
    <w:rsid w:val="00DB4D78"/>
    <w:rsid w:val="00DB6613"/>
    <w:rsid w:val="00DB6659"/>
    <w:rsid w:val="00DB7240"/>
    <w:rsid w:val="00DB72EA"/>
    <w:rsid w:val="00DB7AD5"/>
    <w:rsid w:val="00DB7C89"/>
    <w:rsid w:val="00DC096C"/>
    <w:rsid w:val="00DC1269"/>
    <w:rsid w:val="00DC15D3"/>
    <w:rsid w:val="00DC188B"/>
    <w:rsid w:val="00DC2553"/>
    <w:rsid w:val="00DC2784"/>
    <w:rsid w:val="00DC2EAE"/>
    <w:rsid w:val="00DC36B2"/>
    <w:rsid w:val="00DC39ED"/>
    <w:rsid w:val="00DC4A71"/>
    <w:rsid w:val="00DC4A7E"/>
    <w:rsid w:val="00DC5176"/>
    <w:rsid w:val="00DC53CD"/>
    <w:rsid w:val="00DC574E"/>
    <w:rsid w:val="00DC6823"/>
    <w:rsid w:val="00DC683A"/>
    <w:rsid w:val="00DC6C0E"/>
    <w:rsid w:val="00DC6D13"/>
    <w:rsid w:val="00DC78C0"/>
    <w:rsid w:val="00DD010B"/>
    <w:rsid w:val="00DD0B81"/>
    <w:rsid w:val="00DD0CD4"/>
    <w:rsid w:val="00DD1365"/>
    <w:rsid w:val="00DD1BC7"/>
    <w:rsid w:val="00DD24BA"/>
    <w:rsid w:val="00DD40D3"/>
    <w:rsid w:val="00DD426F"/>
    <w:rsid w:val="00DD44DC"/>
    <w:rsid w:val="00DD4AB0"/>
    <w:rsid w:val="00DD4B0A"/>
    <w:rsid w:val="00DD55A0"/>
    <w:rsid w:val="00DD5CC7"/>
    <w:rsid w:val="00DD5EAA"/>
    <w:rsid w:val="00DD6C8C"/>
    <w:rsid w:val="00DD7B16"/>
    <w:rsid w:val="00DD7BB3"/>
    <w:rsid w:val="00DE1770"/>
    <w:rsid w:val="00DE23BD"/>
    <w:rsid w:val="00DE2446"/>
    <w:rsid w:val="00DE2A3E"/>
    <w:rsid w:val="00DE2CF1"/>
    <w:rsid w:val="00DE48E3"/>
    <w:rsid w:val="00DE6165"/>
    <w:rsid w:val="00DE6D11"/>
    <w:rsid w:val="00DE74A2"/>
    <w:rsid w:val="00DE7532"/>
    <w:rsid w:val="00DE7CE0"/>
    <w:rsid w:val="00DF0EF0"/>
    <w:rsid w:val="00DF1724"/>
    <w:rsid w:val="00DF1836"/>
    <w:rsid w:val="00DF1B30"/>
    <w:rsid w:val="00DF1E98"/>
    <w:rsid w:val="00DF22D8"/>
    <w:rsid w:val="00DF22E6"/>
    <w:rsid w:val="00DF2C24"/>
    <w:rsid w:val="00DF2EDB"/>
    <w:rsid w:val="00DF32F6"/>
    <w:rsid w:val="00DF353B"/>
    <w:rsid w:val="00DF3EE6"/>
    <w:rsid w:val="00DF445B"/>
    <w:rsid w:val="00DF4C8A"/>
    <w:rsid w:val="00DF4D27"/>
    <w:rsid w:val="00DF59D3"/>
    <w:rsid w:val="00DF5CC3"/>
    <w:rsid w:val="00DF6162"/>
    <w:rsid w:val="00DF61E4"/>
    <w:rsid w:val="00DF71BA"/>
    <w:rsid w:val="00DF7CF6"/>
    <w:rsid w:val="00E004B6"/>
    <w:rsid w:val="00E0099D"/>
    <w:rsid w:val="00E00E28"/>
    <w:rsid w:val="00E015C6"/>
    <w:rsid w:val="00E018C2"/>
    <w:rsid w:val="00E01F9D"/>
    <w:rsid w:val="00E0239E"/>
    <w:rsid w:val="00E02A88"/>
    <w:rsid w:val="00E03BCB"/>
    <w:rsid w:val="00E04599"/>
    <w:rsid w:val="00E05C8C"/>
    <w:rsid w:val="00E0603D"/>
    <w:rsid w:val="00E070B4"/>
    <w:rsid w:val="00E07D31"/>
    <w:rsid w:val="00E1012D"/>
    <w:rsid w:val="00E1056E"/>
    <w:rsid w:val="00E1058C"/>
    <w:rsid w:val="00E10BA8"/>
    <w:rsid w:val="00E1100C"/>
    <w:rsid w:val="00E11026"/>
    <w:rsid w:val="00E11877"/>
    <w:rsid w:val="00E11B3D"/>
    <w:rsid w:val="00E12844"/>
    <w:rsid w:val="00E12ABC"/>
    <w:rsid w:val="00E12AF6"/>
    <w:rsid w:val="00E136D5"/>
    <w:rsid w:val="00E13C07"/>
    <w:rsid w:val="00E13EB8"/>
    <w:rsid w:val="00E13FBB"/>
    <w:rsid w:val="00E15332"/>
    <w:rsid w:val="00E15372"/>
    <w:rsid w:val="00E156BD"/>
    <w:rsid w:val="00E15F34"/>
    <w:rsid w:val="00E16A62"/>
    <w:rsid w:val="00E16BD7"/>
    <w:rsid w:val="00E16DCE"/>
    <w:rsid w:val="00E171CC"/>
    <w:rsid w:val="00E176B1"/>
    <w:rsid w:val="00E204C8"/>
    <w:rsid w:val="00E208F1"/>
    <w:rsid w:val="00E2092B"/>
    <w:rsid w:val="00E20978"/>
    <w:rsid w:val="00E21170"/>
    <w:rsid w:val="00E211CE"/>
    <w:rsid w:val="00E214EA"/>
    <w:rsid w:val="00E21D5B"/>
    <w:rsid w:val="00E21D73"/>
    <w:rsid w:val="00E22227"/>
    <w:rsid w:val="00E22C16"/>
    <w:rsid w:val="00E2387A"/>
    <w:rsid w:val="00E23F85"/>
    <w:rsid w:val="00E23FBA"/>
    <w:rsid w:val="00E241B2"/>
    <w:rsid w:val="00E2444F"/>
    <w:rsid w:val="00E2459E"/>
    <w:rsid w:val="00E2462A"/>
    <w:rsid w:val="00E2475C"/>
    <w:rsid w:val="00E2582A"/>
    <w:rsid w:val="00E2610D"/>
    <w:rsid w:val="00E26365"/>
    <w:rsid w:val="00E26EED"/>
    <w:rsid w:val="00E272E3"/>
    <w:rsid w:val="00E27379"/>
    <w:rsid w:val="00E302D8"/>
    <w:rsid w:val="00E309AA"/>
    <w:rsid w:val="00E30DB5"/>
    <w:rsid w:val="00E316AA"/>
    <w:rsid w:val="00E32301"/>
    <w:rsid w:val="00E329E1"/>
    <w:rsid w:val="00E33987"/>
    <w:rsid w:val="00E33DAF"/>
    <w:rsid w:val="00E343D8"/>
    <w:rsid w:val="00E3566B"/>
    <w:rsid w:val="00E35815"/>
    <w:rsid w:val="00E35986"/>
    <w:rsid w:val="00E35B83"/>
    <w:rsid w:val="00E36666"/>
    <w:rsid w:val="00E401F3"/>
    <w:rsid w:val="00E403FB"/>
    <w:rsid w:val="00E415FC"/>
    <w:rsid w:val="00E41679"/>
    <w:rsid w:val="00E4232C"/>
    <w:rsid w:val="00E4233F"/>
    <w:rsid w:val="00E426F2"/>
    <w:rsid w:val="00E42B86"/>
    <w:rsid w:val="00E43751"/>
    <w:rsid w:val="00E4433F"/>
    <w:rsid w:val="00E4452A"/>
    <w:rsid w:val="00E446C9"/>
    <w:rsid w:val="00E44FCD"/>
    <w:rsid w:val="00E465EC"/>
    <w:rsid w:val="00E47E25"/>
    <w:rsid w:val="00E502EE"/>
    <w:rsid w:val="00E505E9"/>
    <w:rsid w:val="00E51129"/>
    <w:rsid w:val="00E518F1"/>
    <w:rsid w:val="00E518FE"/>
    <w:rsid w:val="00E519A6"/>
    <w:rsid w:val="00E5280B"/>
    <w:rsid w:val="00E52AC2"/>
    <w:rsid w:val="00E530B9"/>
    <w:rsid w:val="00E53716"/>
    <w:rsid w:val="00E53E43"/>
    <w:rsid w:val="00E54444"/>
    <w:rsid w:val="00E54729"/>
    <w:rsid w:val="00E55018"/>
    <w:rsid w:val="00E553B8"/>
    <w:rsid w:val="00E55A35"/>
    <w:rsid w:val="00E567C5"/>
    <w:rsid w:val="00E57845"/>
    <w:rsid w:val="00E57BFF"/>
    <w:rsid w:val="00E60068"/>
    <w:rsid w:val="00E61109"/>
    <w:rsid w:val="00E61455"/>
    <w:rsid w:val="00E616BB"/>
    <w:rsid w:val="00E61F97"/>
    <w:rsid w:val="00E6245E"/>
    <w:rsid w:val="00E62922"/>
    <w:rsid w:val="00E6298C"/>
    <w:rsid w:val="00E63393"/>
    <w:rsid w:val="00E63A50"/>
    <w:rsid w:val="00E64362"/>
    <w:rsid w:val="00E64660"/>
    <w:rsid w:val="00E6492C"/>
    <w:rsid w:val="00E653F2"/>
    <w:rsid w:val="00E6555A"/>
    <w:rsid w:val="00E66769"/>
    <w:rsid w:val="00E6689E"/>
    <w:rsid w:val="00E67539"/>
    <w:rsid w:val="00E6789E"/>
    <w:rsid w:val="00E67A79"/>
    <w:rsid w:val="00E67B18"/>
    <w:rsid w:val="00E67DEE"/>
    <w:rsid w:val="00E7108F"/>
    <w:rsid w:val="00E71512"/>
    <w:rsid w:val="00E71B2D"/>
    <w:rsid w:val="00E72E9B"/>
    <w:rsid w:val="00E733DE"/>
    <w:rsid w:val="00E7351E"/>
    <w:rsid w:val="00E73921"/>
    <w:rsid w:val="00E74C75"/>
    <w:rsid w:val="00E74F2D"/>
    <w:rsid w:val="00E75B60"/>
    <w:rsid w:val="00E75D59"/>
    <w:rsid w:val="00E762A7"/>
    <w:rsid w:val="00E769A4"/>
    <w:rsid w:val="00E76D22"/>
    <w:rsid w:val="00E7709A"/>
    <w:rsid w:val="00E773A8"/>
    <w:rsid w:val="00E8020C"/>
    <w:rsid w:val="00E807DE"/>
    <w:rsid w:val="00E8103B"/>
    <w:rsid w:val="00E8133C"/>
    <w:rsid w:val="00E81E6D"/>
    <w:rsid w:val="00E82177"/>
    <w:rsid w:val="00E849B3"/>
    <w:rsid w:val="00E84F97"/>
    <w:rsid w:val="00E85090"/>
    <w:rsid w:val="00E85E0A"/>
    <w:rsid w:val="00E85E0B"/>
    <w:rsid w:val="00E85E94"/>
    <w:rsid w:val="00E8612C"/>
    <w:rsid w:val="00E864C1"/>
    <w:rsid w:val="00E864FF"/>
    <w:rsid w:val="00E86A2B"/>
    <w:rsid w:val="00E86DF0"/>
    <w:rsid w:val="00E87597"/>
    <w:rsid w:val="00E875AA"/>
    <w:rsid w:val="00E875EE"/>
    <w:rsid w:val="00E87747"/>
    <w:rsid w:val="00E87806"/>
    <w:rsid w:val="00E879B8"/>
    <w:rsid w:val="00E87BF7"/>
    <w:rsid w:val="00E907BD"/>
    <w:rsid w:val="00E90F2B"/>
    <w:rsid w:val="00E9106F"/>
    <w:rsid w:val="00E9113A"/>
    <w:rsid w:val="00E92811"/>
    <w:rsid w:val="00E92BA2"/>
    <w:rsid w:val="00E93FA2"/>
    <w:rsid w:val="00E9449A"/>
    <w:rsid w:val="00E94645"/>
    <w:rsid w:val="00E94CA7"/>
    <w:rsid w:val="00E95793"/>
    <w:rsid w:val="00E95FA4"/>
    <w:rsid w:val="00E96CBA"/>
    <w:rsid w:val="00E96CE0"/>
    <w:rsid w:val="00E97020"/>
    <w:rsid w:val="00E97263"/>
    <w:rsid w:val="00E97421"/>
    <w:rsid w:val="00EA00D3"/>
    <w:rsid w:val="00EA0686"/>
    <w:rsid w:val="00EA1392"/>
    <w:rsid w:val="00EA13FE"/>
    <w:rsid w:val="00EA16B0"/>
    <w:rsid w:val="00EA1876"/>
    <w:rsid w:val="00EA20FF"/>
    <w:rsid w:val="00EA2E86"/>
    <w:rsid w:val="00EA4014"/>
    <w:rsid w:val="00EA42C1"/>
    <w:rsid w:val="00EA46CF"/>
    <w:rsid w:val="00EA509D"/>
    <w:rsid w:val="00EA5614"/>
    <w:rsid w:val="00EA576F"/>
    <w:rsid w:val="00EA63E3"/>
    <w:rsid w:val="00EA6A80"/>
    <w:rsid w:val="00EA6E4C"/>
    <w:rsid w:val="00EA7848"/>
    <w:rsid w:val="00EA7A31"/>
    <w:rsid w:val="00EA7B80"/>
    <w:rsid w:val="00EA7D30"/>
    <w:rsid w:val="00EA7FF4"/>
    <w:rsid w:val="00EB05B4"/>
    <w:rsid w:val="00EB0C3B"/>
    <w:rsid w:val="00EB11F2"/>
    <w:rsid w:val="00EB2832"/>
    <w:rsid w:val="00EB3BF3"/>
    <w:rsid w:val="00EB44BB"/>
    <w:rsid w:val="00EB66C5"/>
    <w:rsid w:val="00EB76D4"/>
    <w:rsid w:val="00EB7994"/>
    <w:rsid w:val="00EB7BAA"/>
    <w:rsid w:val="00EB7D51"/>
    <w:rsid w:val="00EB7E3D"/>
    <w:rsid w:val="00EC06C0"/>
    <w:rsid w:val="00EC10AD"/>
    <w:rsid w:val="00EC1122"/>
    <w:rsid w:val="00EC23E3"/>
    <w:rsid w:val="00EC31BE"/>
    <w:rsid w:val="00EC47CA"/>
    <w:rsid w:val="00EC48D7"/>
    <w:rsid w:val="00EC54A4"/>
    <w:rsid w:val="00EC589F"/>
    <w:rsid w:val="00EC5C6A"/>
    <w:rsid w:val="00EC677F"/>
    <w:rsid w:val="00EC708A"/>
    <w:rsid w:val="00EC7878"/>
    <w:rsid w:val="00EC7FC1"/>
    <w:rsid w:val="00EC7FE7"/>
    <w:rsid w:val="00ED0685"/>
    <w:rsid w:val="00ED08AA"/>
    <w:rsid w:val="00ED0958"/>
    <w:rsid w:val="00ED0B38"/>
    <w:rsid w:val="00ED1966"/>
    <w:rsid w:val="00ED220C"/>
    <w:rsid w:val="00ED2339"/>
    <w:rsid w:val="00ED2603"/>
    <w:rsid w:val="00ED34DA"/>
    <w:rsid w:val="00ED4C34"/>
    <w:rsid w:val="00ED59C7"/>
    <w:rsid w:val="00ED5DD1"/>
    <w:rsid w:val="00ED6A5D"/>
    <w:rsid w:val="00ED7333"/>
    <w:rsid w:val="00ED7B6E"/>
    <w:rsid w:val="00EE0239"/>
    <w:rsid w:val="00EE0AAE"/>
    <w:rsid w:val="00EE0FEB"/>
    <w:rsid w:val="00EE1047"/>
    <w:rsid w:val="00EE1866"/>
    <w:rsid w:val="00EE2E49"/>
    <w:rsid w:val="00EE34B5"/>
    <w:rsid w:val="00EE3729"/>
    <w:rsid w:val="00EE39E6"/>
    <w:rsid w:val="00EE3E64"/>
    <w:rsid w:val="00EE455E"/>
    <w:rsid w:val="00EE463D"/>
    <w:rsid w:val="00EE46CA"/>
    <w:rsid w:val="00EE4997"/>
    <w:rsid w:val="00EE4DE7"/>
    <w:rsid w:val="00EE581A"/>
    <w:rsid w:val="00EE588A"/>
    <w:rsid w:val="00EE617C"/>
    <w:rsid w:val="00EE6B60"/>
    <w:rsid w:val="00EE6ECA"/>
    <w:rsid w:val="00EE712C"/>
    <w:rsid w:val="00EE7351"/>
    <w:rsid w:val="00EE7752"/>
    <w:rsid w:val="00EE7EE7"/>
    <w:rsid w:val="00EF0D67"/>
    <w:rsid w:val="00EF10F0"/>
    <w:rsid w:val="00EF24A0"/>
    <w:rsid w:val="00EF2CAC"/>
    <w:rsid w:val="00EF362F"/>
    <w:rsid w:val="00EF370E"/>
    <w:rsid w:val="00EF3788"/>
    <w:rsid w:val="00EF4143"/>
    <w:rsid w:val="00EF4313"/>
    <w:rsid w:val="00EF4798"/>
    <w:rsid w:val="00EF4E94"/>
    <w:rsid w:val="00EF53C2"/>
    <w:rsid w:val="00EF54D7"/>
    <w:rsid w:val="00EF580D"/>
    <w:rsid w:val="00EF6419"/>
    <w:rsid w:val="00EF75AC"/>
    <w:rsid w:val="00EF781D"/>
    <w:rsid w:val="00EF7D2C"/>
    <w:rsid w:val="00F00B0D"/>
    <w:rsid w:val="00F00C4F"/>
    <w:rsid w:val="00F00CAB"/>
    <w:rsid w:val="00F00D69"/>
    <w:rsid w:val="00F01EF4"/>
    <w:rsid w:val="00F0369D"/>
    <w:rsid w:val="00F03A7C"/>
    <w:rsid w:val="00F03D99"/>
    <w:rsid w:val="00F0434E"/>
    <w:rsid w:val="00F0438A"/>
    <w:rsid w:val="00F05589"/>
    <w:rsid w:val="00F05E03"/>
    <w:rsid w:val="00F062BF"/>
    <w:rsid w:val="00F0684E"/>
    <w:rsid w:val="00F06AF4"/>
    <w:rsid w:val="00F06EB9"/>
    <w:rsid w:val="00F07133"/>
    <w:rsid w:val="00F07715"/>
    <w:rsid w:val="00F116A3"/>
    <w:rsid w:val="00F117E4"/>
    <w:rsid w:val="00F11A2A"/>
    <w:rsid w:val="00F11D7F"/>
    <w:rsid w:val="00F123AB"/>
    <w:rsid w:val="00F12AD0"/>
    <w:rsid w:val="00F12B6A"/>
    <w:rsid w:val="00F132FB"/>
    <w:rsid w:val="00F1330C"/>
    <w:rsid w:val="00F133C0"/>
    <w:rsid w:val="00F1398B"/>
    <w:rsid w:val="00F13E41"/>
    <w:rsid w:val="00F14432"/>
    <w:rsid w:val="00F15895"/>
    <w:rsid w:val="00F16164"/>
    <w:rsid w:val="00F161BA"/>
    <w:rsid w:val="00F17175"/>
    <w:rsid w:val="00F204F9"/>
    <w:rsid w:val="00F20844"/>
    <w:rsid w:val="00F215E1"/>
    <w:rsid w:val="00F21B7B"/>
    <w:rsid w:val="00F21CFB"/>
    <w:rsid w:val="00F21D7B"/>
    <w:rsid w:val="00F21E2C"/>
    <w:rsid w:val="00F22117"/>
    <w:rsid w:val="00F2215E"/>
    <w:rsid w:val="00F22B2A"/>
    <w:rsid w:val="00F22CF0"/>
    <w:rsid w:val="00F24096"/>
    <w:rsid w:val="00F2444C"/>
    <w:rsid w:val="00F24903"/>
    <w:rsid w:val="00F24F61"/>
    <w:rsid w:val="00F2570A"/>
    <w:rsid w:val="00F25D88"/>
    <w:rsid w:val="00F25E06"/>
    <w:rsid w:val="00F25EB3"/>
    <w:rsid w:val="00F26B74"/>
    <w:rsid w:val="00F26B9A"/>
    <w:rsid w:val="00F26CAA"/>
    <w:rsid w:val="00F27F36"/>
    <w:rsid w:val="00F308C8"/>
    <w:rsid w:val="00F308ED"/>
    <w:rsid w:val="00F30BE5"/>
    <w:rsid w:val="00F317F4"/>
    <w:rsid w:val="00F31AEF"/>
    <w:rsid w:val="00F32D87"/>
    <w:rsid w:val="00F33D6A"/>
    <w:rsid w:val="00F34041"/>
    <w:rsid w:val="00F34320"/>
    <w:rsid w:val="00F345CF"/>
    <w:rsid w:val="00F34EB7"/>
    <w:rsid w:val="00F34FE9"/>
    <w:rsid w:val="00F3518F"/>
    <w:rsid w:val="00F351F4"/>
    <w:rsid w:val="00F36706"/>
    <w:rsid w:val="00F369C3"/>
    <w:rsid w:val="00F36B68"/>
    <w:rsid w:val="00F37E5C"/>
    <w:rsid w:val="00F37F44"/>
    <w:rsid w:val="00F407F4"/>
    <w:rsid w:val="00F41759"/>
    <w:rsid w:val="00F422E6"/>
    <w:rsid w:val="00F425CE"/>
    <w:rsid w:val="00F4287C"/>
    <w:rsid w:val="00F42ED2"/>
    <w:rsid w:val="00F4303D"/>
    <w:rsid w:val="00F4401E"/>
    <w:rsid w:val="00F44571"/>
    <w:rsid w:val="00F4476F"/>
    <w:rsid w:val="00F44D2C"/>
    <w:rsid w:val="00F44DB9"/>
    <w:rsid w:val="00F44DCE"/>
    <w:rsid w:val="00F453EC"/>
    <w:rsid w:val="00F455F1"/>
    <w:rsid w:val="00F456C9"/>
    <w:rsid w:val="00F465E9"/>
    <w:rsid w:val="00F46A01"/>
    <w:rsid w:val="00F46E49"/>
    <w:rsid w:val="00F474C1"/>
    <w:rsid w:val="00F47B3A"/>
    <w:rsid w:val="00F50083"/>
    <w:rsid w:val="00F504F9"/>
    <w:rsid w:val="00F518B7"/>
    <w:rsid w:val="00F52028"/>
    <w:rsid w:val="00F52335"/>
    <w:rsid w:val="00F52DAA"/>
    <w:rsid w:val="00F53140"/>
    <w:rsid w:val="00F53579"/>
    <w:rsid w:val="00F54BDF"/>
    <w:rsid w:val="00F54C8B"/>
    <w:rsid w:val="00F5561B"/>
    <w:rsid w:val="00F557AE"/>
    <w:rsid w:val="00F55874"/>
    <w:rsid w:val="00F5656A"/>
    <w:rsid w:val="00F56685"/>
    <w:rsid w:val="00F56B19"/>
    <w:rsid w:val="00F5791A"/>
    <w:rsid w:val="00F579D6"/>
    <w:rsid w:val="00F601F8"/>
    <w:rsid w:val="00F60571"/>
    <w:rsid w:val="00F60897"/>
    <w:rsid w:val="00F60A24"/>
    <w:rsid w:val="00F60FED"/>
    <w:rsid w:val="00F61550"/>
    <w:rsid w:val="00F61A32"/>
    <w:rsid w:val="00F63265"/>
    <w:rsid w:val="00F633DA"/>
    <w:rsid w:val="00F64EAD"/>
    <w:rsid w:val="00F65EF0"/>
    <w:rsid w:val="00F667AB"/>
    <w:rsid w:val="00F67505"/>
    <w:rsid w:val="00F67768"/>
    <w:rsid w:val="00F70236"/>
    <w:rsid w:val="00F702FD"/>
    <w:rsid w:val="00F70A78"/>
    <w:rsid w:val="00F7271C"/>
    <w:rsid w:val="00F73033"/>
    <w:rsid w:val="00F73263"/>
    <w:rsid w:val="00F7342C"/>
    <w:rsid w:val="00F73960"/>
    <w:rsid w:val="00F7475D"/>
    <w:rsid w:val="00F747B2"/>
    <w:rsid w:val="00F748C7"/>
    <w:rsid w:val="00F749B5"/>
    <w:rsid w:val="00F74B4F"/>
    <w:rsid w:val="00F74C32"/>
    <w:rsid w:val="00F762C7"/>
    <w:rsid w:val="00F76934"/>
    <w:rsid w:val="00F773CB"/>
    <w:rsid w:val="00F77588"/>
    <w:rsid w:val="00F77748"/>
    <w:rsid w:val="00F77B0E"/>
    <w:rsid w:val="00F77B1A"/>
    <w:rsid w:val="00F77B45"/>
    <w:rsid w:val="00F77D2A"/>
    <w:rsid w:val="00F77DF0"/>
    <w:rsid w:val="00F803D0"/>
    <w:rsid w:val="00F809A8"/>
    <w:rsid w:val="00F81FA1"/>
    <w:rsid w:val="00F8227C"/>
    <w:rsid w:val="00F82872"/>
    <w:rsid w:val="00F82A23"/>
    <w:rsid w:val="00F83497"/>
    <w:rsid w:val="00F835EC"/>
    <w:rsid w:val="00F8410B"/>
    <w:rsid w:val="00F84252"/>
    <w:rsid w:val="00F84419"/>
    <w:rsid w:val="00F85874"/>
    <w:rsid w:val="00F85C9E"/>
    <w:rsid w:val="00F85FA7"/>
    <w:rsid w:val="00F864F3"/>
    <w:rsid w:val="00F86AD0"/>
    <w:rsid w:val="00F8716C"/>
    <w:rsid w:val="00F87657"/>
    <w:rsid w:val="00F87747"/>
    <w:rsid w:val="00F878F1"/>
    <w:rsid w:val="00F87926"/>
    <w:rsid w:val="00F90A77"/>
    <w:rsid w:val="00F91748"/>
    <w:rsid w:val="00F92013"/>
    <w:rsid w:val="00F9425D"/>
    <w:rsid w:val="00F95025"/>
    <w:rsid w:val="00F9539C"/>
    <w:rsid w:val="00F95581"/>
    <w:rsid w:val="00F957AB"/>
    <w:rsid w:val="00F95852"/>
    <w:rsid w:val="00F95CED"/>
    <w:rsid w:val="00F961CC"/>
    <w:rsid w:val="00F96550"/>
    <w:rsid w:val="00F97343"/>
    <w:rsid w:val="00F9738A"/>
    <w:rsid w:val="00F97741"/>
    <w:rsid w:val="00FA0AFA"/>
    <w:rsid w:val="00FA0C3F"/>
    <w:rsid w:val="00FA15CB"/>
    <w:rsid w:val="00FA1874"/>
    <w:rsid w:val="00FA1FA5"/>
    <w:rsid w:val="00FA2217"/>
    <w:rsid w:val="00FA252D"/>
    <w:rsid w:val="00FA258E"/>
    <w:rsid w:val="00FA27E4"/>
    <w:rsid w:val="00FA28FB"/>
    <w:rsid w:val="00FA3306"/>
    <w:rsid w:val="00FA5054"/>
    <w:rsid w:val="00FA5DF7"/>
    <w:rsid w:val="00FA6139"/>
    <w:rsid w:val="00FA65BD"/>
    <w:rsid w:val="00FA673C"/>
    <w:rsid w:val="00FA6D9C"/>
    <w:rsid w:val="00FA6EAC"/>
    <w:rsid w:val="00FA70E7"/>
    <w:rsid w:val="00FB0470"/>
    <w:rsid w:val="00FB07A9"/>
    <w:rsid w:val="00FB090D"/>
    <w:rsid w:val="00FB0FBE"/>
    <w:rsid w:val="00FB1815"/>
    <w:rsid w:val="00FB2C5B"/>
    <w:rsid w:val="00FB2F4E"/>
    <w:rsid w:val="00FB3149"/>
    <w:rsid w:val="00FB328F"/>
    <w:rsid w:val="00FB364D"/>
    <w:rsid w:val="00FB3678"/>
    <w:rsid w:val="00FB4942"/>
    <w:rsid w:val="00FB4C7D"/>
    <w:rsid w:val="00FB4E6D"/>
    <w:rsid w:val="00FB4FCC"/>
    <w:rsid w:val="00FB55CB"/>
    <w:rsid w:val="00FB5B6E"/>
    <w:rsid w:val="00FB618A"/>
    <w:rsid w:val="00FB65F1"/>
    <w:rsid w:val="00FB67DE"/>
    <w:rsid w:val="00FB7485"/>
    <w:rsid w:val="00FB74D2"/>
    <w:rsid w:val="00FC141A"/>
    <w:rsid w:val="00FC1670"/>
    <w:rsid w:val="00FC16A8"/>
    <w:rsid w:val="00FC1A72"/>
    <w:rsid w:val="00FC1C95"/>
    <w:rsid w:val="00FC29D7"/>
    <w:rsid w:val="00FC3BC6"/>
    <w:rsid w:val="00FC438C"/>
    <w:rsid w:val="00FC45BE"/>
    <w:rsid w:val="00FC4755"/>
    <w:rsid w:val="00FC4CD2"/>
    <w:rsid w:val="00FC59B2"/>
    <w:rsid w:val="00FC5A00"/>
    <w:rsid w:val="00FC5ACD"/>
    <w:rsid w:val="00FC66B6"/>
    <w:rsid w:val="00FC697A"/>
    <w:rsid w:val="00FC6AFB"/>
    <w:rsid w:val="00FC714F"/>
    <w:rsid w:val="00FD0274"/>
    <w:rsid w:val="00FD08B9"/>
    <w:rsid w:val="00FD0983"/>
    <w:rsid w:val="00FD0D00"/>
    <w:rsid w:val="00FD0D6D"/>
    <w:rsid w:val="00FD0E1A"/>
    <w:rsid w:val="00FD15EE"/>
    <w:rsid w:val="00FD1BB1"/>
    <w:rsid w:val="00FD2018"/>
    <w:rsid w:val="00FD22A6"/>
    <w:rsid w:val="00FD2748"/>
    <w:rsid w:val="00FD2870"/>
    <w:rsid w:val="00FD2DC2"/>
    <w:rsid w:val="00FD2FC0"/>
    <w:rsid w:val="00FD349B"/>
    <w:rsid w:val="00FD374C"/>
    <w:rsid w:val="00FD38B8"/>
    <w:rsid w:val="00FD3C1E"/>
    <w:rsid w:val="00FD4D88"/>
    <w:rsid w:val="00FD4E1D"/>
    <w:rsid w:val="00FD5672"/>
    <w:rsid w:val="00FD6000"/>
    <w:rsid w:val="00FD747E"/>
    <w:rsid w:val="00FD75C5"/>
    <w:rsid w:val="00FD75E3"/>
    <w:rsid w:val="00FD79EF"/>
    <w:rsid w:val="00FD7C5A"/>
    <w:rsid w:val="00FE054A"/>
    <w:rsid w:val="00FE0AD3"/>
    <w:rsid w:val="00FE11ED"/>
    <w:rsid w:val="00FE1C4C"/>
    <w:rsid w:val="00FE28E4"/>
    <w:rsid w:val="00FE2FEC"/>
    <w:rsid w:val="00FE32E2"/>
    <w:rsid w:val="00FE366D"/>
    <w:rsid w:val="00FE4051"/>
    <w:rsid w:val="00FE429C"/>
    <w:rsid w:val="00FE4E6C"/>
    <w:rsid w:val="00FE51B0"/>
    <w:rsid w:val="00FE5349"/>
    <w:rsid w:val="00FE534B"/>
    <w:rsid w:val="00FE5465"/>
    <w:rsid w:val="00FE5BCF"/>
    <w:rsid w:val="00FE5D06"/>
    <w:rsid w:val="00FE6407"/>
    <w:rsid w:val="00FE69F5"/>
    <w:rsid w:val="00FE6AD6"/>
    <w:rsid w:val="00FE75DD"/>
    <w:rsid w:val="00FF0AB7"/>
    <w:rsid w:val="00FF171B"/>
    <w:rsid w:val="00FF18A9"/>
    <w:rsid w:val="00FF2263"/>
    <w:rsid w:val="00FF227E"/>
    <w:rsid w:val="00FF281D"/>
    <w:rsid w:val="00FF378E"/>
    <w:rsid w:val="00FF425A"/>
    <w:rsid w:val="00FF4372"/>
    <w:rsid w:val="00FF4601"/>
    <w:rsid w:val="00FF4631"/>
    <w:rsid w:val="00FF4796"/>
    <w:rsid w:val="00FF4F74"/>
    <w:rsid w:val="00FF62F3"/>
    <w:rsid w:val="00FF7023"/>
    <w:rsid w:val="00FF7565"/>
    <w:rsid w:val="00FF7B72"/>
    <w:rsid w:val="00FF7C8E"/>
    <w:rsid w:val="31006DC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C8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sto MT" w:eastAsiaTheme="minorEastAsia" w:hAnsi="Calisto MT" w:cs="Times New Roman"/>
        <w:sz w:val="21"/>
        <w:szCs w:val="21"/>
        <w:lang w:val="en-AU" w:eastAsia="en-AU" w:bidi="ar-SA"/>
      </w:rPr>
    </w:rPrDefault>
    <w:pPrDefault>
      <w:pPr>
        <w:spacing w:before="140" w:line="280" w:lineRule="atLeast"/>
      </w:pPr>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0" w:qFormat="1"/>
    <w:lsdException w:name="heading 4" w:uiPriority="0" w:unhideWhenUsed="1" w:qFormat="1"/>
    <w:lsdException w:name="heading 5" w:uiPriority="0" w:unhideWhenUsed="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lsdException w:name="annotation text" w:uiPriority="49" w:unhideWhenUsed="1"/>
    <w:lsdException w:name="header" w:unhideWhenUsed="1"/>
    <w:lsdException w:name="footer"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uiPriority="0" w:unhideWhenUsed="1"/>
    <w:lsdException w:name="annotation reference" w:uiPriority="4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uiPriority="2" w:unhideWhenUsed="1"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uiPriority="2" w:unhideWhenUsed="1"/>
    <w:lsdException w:name="List Bullet 3" w:uiPriority="2" w:unhideWhenUsed="1"/>
    <w:lsdException w:name="List Bullet 4" w:semiHidden="1" w:unhideWhenUsed="1"/>
    <w:lsdException w:name="List Bullet 5" w:semiHidden="1" w:unhideWhenUsed="1"/>
    <w:lsdException w:name="List Number 2" w:uiPriority="0" w:unhideWhenUsed="1"/>
    <w:lsdException w:name="List Number 3" w:semiHidden="1" w:unhideWhenUsed="1"/>
    <w:lsdException w:name="List Number 4" w:semiHidden="1" w:unhideWhenUsed="1"/>
    <w:lsdException w:name="List Number 5" w:semiHidden="1" w:unhideWhenUsed="1"/>
    <w:lsdException w:name="Title" w:uiPriority="29" w:qFormat="1"/>
    <w:lsdException w:name="Closing" w:semiHidden="1" w:unhideWhenUsed="1"/>
    <w:lsdException w:name="Signature" w:semiHidden="1" w:unhideWhenUsed="1"/>
    <w:lsdException w:name="Default Paragraph Font" w:semiHidden="1" w:uiPriority="1" w:unhideWhenUsed="1"/>
    <w:lsdException w:name="Body Text"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0" w:qFormat="1"/>
    <w:lsdException w:name="Salutation" w:semiHidden="1" w:unhideWhenUsed="1"/>
    <w:lsdException w:name="Date" w:uiPriority="33"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3"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unhideWhenUsed="1"/>
    <w:lsdException w:name="Intense Emphasis" w:uiPriority="21" w:unhideWhenUsed="1"/>
    <w:lsdException w:name="Subtle Reference" w:uiPriority="31" w:unhideWhenUsed="1"/>
    <w:lsdException w:name="Intense Reference" w:uiPriority="32"/>
    <w:lsdException w:name="Book Title" w:semiHidden="1" w:uiPriority="33" w:qFormat="1"/>
    <w:lsdException w:name="Bibliography" w:semiHidden="1" w:uiPriority="37"/>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7C6812"/>
    <w:pPr>
      <w:spacing w:before="0"/>
    </w:pPr>
  </w:style>
  <w:style w:type="paragraph" w:styleId="Heading1">
    <w:name w:val="heading 1"/>
    <w:aliases w:val="h1,EOI - Heading 1 (Low),Heading 1 (low),Para1,h11,h12,ChapterHeadingNumber,Top 1,ParaLevel1,Level 1 Para,Level 1 Para1,Level 1 Para2,Level 1 Para3,Level 1 Para4,Level 1 Para11,Level 1 Para21,Level 1 Para31,Level 1 Para5,Level 1 Para12,L1,1,RF"/>
    <w:basedOn w:val="BodyText"/>
    <w:next w:val="BodyText"/>
    <w:link w:val="Heading1Char"/>
    <w:qFormat/>
    <w:rsid w:val="007C6812"/>
    <w:pPr>
      <w:keepNext/>
      <w:pageBreakBefore/>
      <w:numPr>
        <w:numId w:val="5"/>
      </w:numPr>
      <w:spacing w:before="0" w:after="1560" w:line="440" w:lineRule="atLeast"/>
      <w:outlineLvl w:val="0"/>
    </w:pPr>
    <w:rPr>
      <w:rFonts w:asciiTheme="majorHAnsi" w:hAnsiTheme="majorHAnsi"/>
      <w:i/>
      <w:kern w:val="28"/>
      <w:sz w:val="36"/>
      <w:szCs w:val="32"/>
    </w:rPr>
  </w:style>
  <w:style w:type="paragraph" w:styleId="Heading2">
    <w:name w:val="heading 2"/>
    <w:aliases w:val="Para2,h2,BT-Legal Numbering,Head hdbk,Top 2,H2,h2 main heading,B Sub/Bold,B Sub/Bold1,B Sub/Bold2,B Sub/Bold11,h2 main heading1,h2 main heading2,B Sub/Bold3,B Sub/Bold12,h2 main heading3,B Sub/Bold4,B Sub/Bold13,SubPara,Para 2,2,new heading tw"/>
    <w:basedOn w:val="Heading1"/>
    <w:next w:val="BodyText"/>
    <w:link w:val="Heading2Char"/>
    <w:qFormat/>
    <w:rsid w:val="007C6812"/>
    <w:pPr>
      <w:pageBreakBefore w:val="0"/>
      <w:numPr>
        <w:ilvl w:val="1"/>
      </w:numPr>
      <w:spacing w:before="560" w:after="0" w:line="340" w:lineRule="atLeast"/>
      <w:outlineLvl w:val="1"/>
    </w:pPr>
    <w:rPr>
      <w:b/>
      <w:color w:val="F61D12" w:themeColor="accent2"/>
      <w:sz w:val="30"/>
      <w:szCs w:val="26"/>
    </w:rPr>
  </w:style>
  <w:style w:type="paragraph" w:styleId="Heading3">
    <w:name w:val="heading 3"/>
    <w:aliases w:val="Normal + num,Level 1 - 2,h3,EOI - Heading 3,h3 sub heading,Para3,Paragraph (heading 3),BTL Numbered,L3,3,Level 1 - 1,Report Heading 3,d,Tempo Heading 3,H3,C Sub-Sub/Italic,Head 3,Head 31,Head 32,C Sub-Sub/Italic1,Sub2Para,BOD 1,BOD 0,h31,h32,H"/>
    <w:basedOn w:val="Heading2"/>
    <w:next w:val="BodyText"/>
    <w:link w:val="Heading3Char"/>
    <w:qFormat/>
    <w:rsid w:val="007C6812"/>
    <w:pPr>
      <w:numPr>
        <w:ilvl w:val="2"/>
      </w:numPr>
      <w:spacing w:before="440" w:line="280" w:lineRule="atLeast"/>
      <w:outlineLvl w:val="2"/>
    </w:pPr>
    <w:rPr>
      <w:rFonts w:ascii="Calisto MT" w:hAnsi="Calisto MT"/>
      <w:color w:val="auto"/>
      <w:sz w:val="25"/>
      <w:szCs w:val="22"/>
    </w:rPr>
  </w:style>
  <w:style w:type="paragraph" w:styleId="Heading4">
    <w:name w:val="heading 4"/>
    <w:aliases w:val="h4,L4,Level 2 - a,sd,Standard H3,h41,Titre 4,1.1.1.1,bullet,bl,bb,h4 sub sub heading,Level 2 - (a),4,Org Heading 2,Sub3Para,proj4,proj41,proj42,proj43,proj44,proj45,proj46,proj47,proj48,proj49,proj410,proj411,proj412,proj421,proj431,proj441,41"/>
    <w:basedOn w:val="Heading3"/>
    <w:next w:val="BodyText"/>
    <w:link w:val="Heading4Char"/>
    <w:qFormat/>
    <w:rsid w:val="007C6812"/>
    <w:pPr>
      <w:numPr>
        <w:ilvl w:val="3"/>
      </w:numPr>
      <w:spacing w:before="400" w:line="260" w:lineRule="atLeast"/>
      <w:outlineLvl w:val="3"/>
    </w:pPr>
    <w:rPr>
      <w:color w:val="6F6652" w:themeColor="text2"/>
      <w:sz w:val="21"/>
    </w:rPr>
  </w:style>
  <w:style w:type="paragraph" w:styleId="Heading5">
    <w:name w:val="heading 5"/>
    <w:aliases w:val="h5,L5,Level 3 - i,L51,Para5,i.,H1,subsubpara,1.1.1.1.1,H11,3rd sub-clause,h51,h52,5,H111,VS5,remove 5,-25.,DO NOT USE 5,Further Points,Further Points1,Further Points2,Further Points3,Further Points4,Further Points5,Further Points6,Appendix"/>
    <w:basedOn w:val="Heading4"/>
    <w:next w:val="BodyText"/>
    <w:link w:val="Heading5Char"/>
    <w:rsid w:val="007C6812"/>
    <w:pPr>
      <w:numPr>
        <w:ilvl w:val="4"/>
      </w:numPr>
      <w:outlineLvl w:val="4"/>
    </w:pPr>
    <w:rPr>
      <w:rFonts w:asciiTheme="minorHAnsi" w:hAnsiTheme="minorHAnsi"/>
      <w:b w:val="0"/>
    </w:rPr>
  </w:style>
  <w:style w:type="paragraph" w:styleId="Heading6">
    <w:name w:val="heading 6"/>
    <w:aliases w:val="Square Bullet list,Sub5Para,L1 PIP,a,b,H6,Heading 6(unused),Heading 6(unused)1,VS6,Main,DO NOT USE 6,Points in Text,Points in Text1,Points in Text2,Points in Text3,Points in Text4,Points in Text5,Points in Text6,Points in Text7,not Kinhill,I"/>
    <w:basedOn w:val="Heading1"/>
    <w:next w:val="BodyText"/>
    <w:link w:val="Heading6Char"/>
    <w:qFormat/>
    <w:rsid w:val="007C6812"/>
    <w:pPr>
      <w:numPr>
        <w:ilvl w:val="5"/>
      </w:numPr>
      <w:outlineLvl w:val="5"/>
    </w:pPr>
    <w:rPr>
      <w:bCs/>
    </w:rPr>
  </w:style>
  <w:style w:type="paragraph" w:styleId="Heading7">
    <w:name w:val="heading 7"/>
    <w:aliases w:val="Indented hyphen,L2 PIP,H7,Heading 7(unused),Heading 7(unused)1,DO NOT USE 7,Legal Level 1.1.,not Kinhill1"/>
    <w:basedOn w:val="Heading2"/>
    <w:next w:val="BodyText"/>
    <w:link w:val="Heading7Char"/>
    <w:qFormat/>
    <w:rsid w:val="007C6812"/>
    <w:pPr>
      <w:numPr>
        <w:ilvl w:val="6"/>
      </w:numPr>
      <w:outlineLvl w:val="6"/>
    </w:pPr>
    <w:rPr>
      <w:rFonts w:ascii="Calisto MT" w:hAnsi="Calisto MT"/>
    </w:rPr>
  </w:style>
  <w:style w:type="paragraph" w:styleId="Heading8">
    <w:name w:val="heading 8"/>
    <w:aliases w:val="L3 PIP,H8,Heading 8(unused),Heading 8(unused)1,DO NOT USE,DO NOT USE 8,Legal Level 1.1.1."/>
    <w:basedOn w:val="Heading3"/>
    <w:next w:val="BodyText"/>
    <w:link w:val="Heading8Char"/>
    <w:qFormat/>
    <w:rsid w:val="007C6812"/>
    <w:pPr>
      <w:numPr>
        <w:ilvl w:val="7"/>
      </w:numPr>
      <w:outlineLvl w:val="7"/>
    </w:pPr>
  </w:style>
  <w:style w:type="paragraph" w:styleId="Heading9">
    <w:name w:val="heading 9"/>
    <w:aliases w:val="Spare5,H9,Heading 9(unused),Heading 9(unused)1,DO NOT USE 9,Legal Level 1.1.1.1."/>
    <w:basedOn w:val="Heading4"/>
    <w:next w:val="BodyText"/>
    <w:link w:val="Heading9Char"/>
    <w:qFormat/>
    <w:rsid w:val="007C6812"/>
    <w:pPr>
      <w:numPr>
        <w:ilvl w:val="8"/>
      </w:numPr>
      <w:outlineLvl w:val="8"/>
    </w:pPr>
    <w:rPr>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Bullets">
    <w:name w:val="ListBullets"/>
    <w:uiPriority w:val="99"/>
    <w:rsid w:val="007C6812"/>
    <w:pPr>
      <w:numPr>
        <w:numId w:val="11"/>
      </w:numPr>
    </w:pPr>
  </w:style>
  <w:style w:type="paragraph" w:styleId="ListBullet3">
    <w:name w:val="List Bullet 3"/>
    <w:basedOn w:val="ListBullet2"/>
    <w:uiPriority w:val="2"/>
    <w:rsid w:val="007C6812"/>
    <w:pPr>
      <w:numPr>
        <w:ilvl w:val="2"/>
      </w:numPr>
    </w:pPr>
  </w:style>
  <w:style w:type="paragraph" w:styleId="ListNumber">
    <w:name w:val="List Number"/>
    <w:basedOn w:val="BodyText"/>
    <w:uiPriority w:val="2"/>
    <w:qFormat/>
    <w:rsid w:val="007C6812"/>
    <w:pPr>
      <w:numPr>
        <w:numId w:val="33"/>
      </w:numPr>
      <w:spacing w:before="70"/>
    </w:pPr>
  </w:style>
  <w:style w:type="paragraph" w:styleId="ListBullet">
    <w:name w:val="List Bullet"/>
    <w:aliases w:val="Char,|BCS| ul 1,PA List Bullet"/>
    <w:basedOn w:val="BodyText"/>
    <w:link w:val="ListBulletChar"/>
    <w:uiPriority w:val="2"/>
    <w:qFormat/>
    <w:rsid w:val="007C6812"/>
    <w:pPr>
      <w:numPr>
        <w:numId w:val="11"/>
      </w:numPr>
      <w:spacing w:before="70"/>
    </w:pPr>
  </w:style>
  <w:style w:type="paragraph" w:customStyle="1" w:styleId="Contents">
    <w:name w:val="Contents"/>
    <w:basedOn w:val="Heading1"/>
    <w:next w:val="TOC1"/>
    <w:uiPriority w:val="99"/>
    <w:rsid w:val="007C6812"/>
    <w:pPr>
      <w:pageBreakBefore w:val="0"/>
      <w:numPr>
        <w:numId w:val="0"/>
      </w:numPr>
    </w:pPr>
  </w:style>
  <w:style w:type="paragraph" w:customStyle="1" w:styleId="RecommendationNumber2">
    <w:name w:val="Recommendation Number 2"/>
    <w:basedOn w:val="RecommendationNumber"/>
    <w:uiPriority w:val="28"/>
    <w:rsid w:val="007C6812"/>
    <w:pPr>
      <w:numPr>
        <w:ilvl w:val="1"/>
      </w:numPr>
    </w:pPr>
  </w:style>
  <w:style w:type="paragraph" w:customStyle="1" w:styleId="RecommendationHeading">
    <w:name w:val="Recommendation Heading"/>
    <w:basedOn w:val="BodyText"/>
    <w:next w:val="RecommendationNumber"/>
    <w:uiPriority w:val="28"/>
    <w:unhideWhenUsed/>
    <w:rsid w:val="007C6812"/>
    <w:pPr>
      <w:spacing w:before="280"/>
    </w:pPr>
    <w:rPr>
      <w:rFonts w:ascii="Franklin Gothic Demi" w:hAnsi="Franklin Gothic Demi"/>
      <w:caps/>
      <w:color w:val="6F6652" w:themeColor="text2"/>
      <w:spacing w:val="10"/>
    </w:rPr>
  </w:style>
  <w:style w:type="paragraph" w:customStyle="1" w:styleId="Subtitlebox">
    <w:name w:val="Subtitle box"/>
    <w:aliases w:val="chart,table"/>
    <w:basedOn w:val="Caption"/>
    <w:uiPriority w:val="5"/>
    <w:rsid w:val="007C6812"/>
    <w:pPr>
      <w:spacing w:before="0"/>
    </w:pPr>
    <w:rPr>
      <w:rFonts w:ascii="Franklin Gothic Book" w:hAnsi="Franklin Gothic Book"/>
      <w:sz w:val="17"/>
    </w:rPr>
  </w:style>
  <w:style w:type="paragraph" w:styleId="BodyText">
    <w:name w:val="Body Text"/>
    <w:aliases w:val="bt,Concepto,Body Text - Level 2,Body Text Char2 Char,Body Text Char Char1 Char,Body Text Char1 Char Char Char,Body Text Char Char Char Char Char,Body Text Char1 Char1 Char,Body Text Char Char Char1 Char,Body Text Char2 Char Char Char,body text"/>
    <w:basedOn w:val="Normal"/>
    <w:link w:val="BodyTextChar"/>
    <w:uiPriority w:val="2"/>
    <w:qFormat/>
    <w:rsid w:val="007C6812"/>
    <w:pPr>
      <w:spacing w:before="140"/>
    </w:pPr>
    <w:rPr>
      <w:rFonts w:asciiTheme="minorHAnsi" w:eastAsia="Times New Roman" w:hAnsiTheme="minorHAnsi"/>
    </w:rPr>
  </w:style>
  <w:style w:type="paragraph" w:styleId="ListNumber2">
    <w:name w:val="List Number 2"/>
    <w:basedOn w:val="BodyText"/>
    <w:uiPriority w:val="2"/>
    <w:rsid w:val="007C6812"/>
    <w:pPr>
      <w:numPr>
        <w:ilvl w:val="1"/>
        <w:numId w:val="33"/>
      </w:numPr>
      <w:spacing w:before="40"/>
    </w:pPr>
  </w:style>
  <w:style w:type="character" w:customStyle="1" w:styleId="BodyTextChar">
    <w:name w:val="Body Text Char"/>
    <w:aliases w:val="bt Char,Concepto Char,Body Text - Level 2 Char,Body Text Char2 Char Char,Body Text Char Char1 Char Char,Body Text Char1 Char Char Char Char,Body Text Char Char Char Char Char Char,Body Text Char1 Char1 Char Char,body text Char"/>
    <w:link w:val="BodyText"/>
    <w:uiPriority w:val="2"/>
    <w:rsid w:val="007C6812"/>
    <w:rPr>
      <w:rFonts w:asciiTheme="minorHAnsi" w:eastAsia="Times New Roman" w:hAnsiTheme="minorHAnsi"/>
    </w:rPr>
  </w:style>
  <w:style w:type="paragraph" w:styleId="Caption">
    <w:name w:val="caption"/>
    <w:basedOn w:val="BodyText"/>
    <w:next w:val="Subtitlebox"/>
    <w:link w:val="CaptionChar"/>
    <w:uiPriority w:val="99"/>
    <w:unhideWhenUsed/>
    <w:rsid w:val="007C6812"/>
    <w:pPr>
      <w:keepNext/>
      <w:spacing w:before="360" w:after="80" w:line="260" w:lineRule="atLeast"/>
    </w:pPr>
    <w:rPr>
      <w:rFonts w:ascii="Franklin Gothic Demi" w:hAnsi="Franklin Gothic Demi"/>
      <w:szCs w:val="20"/>
    </w:rPr>
  </w:style>
  <w:style w:type="paragraph" w:customStyle="1" w:styleId="BoxHeading1">
    <w:name w:val="Box Heading 1"/>
    <w:basedOn w:val="Heading4"/>
    <w:next w:val="BodyText"/>
    <w:uiPriority w:val="9"/>
    <w:rsid w:val="007C6812"/>
    <w:pPr>
      <w:spacing w:before="240"/>
    </w:pPr>
    <w:rPr>
      <w:rFonts w:ascii="Franklin Gothic Demi" w:hAnsi="Franklin Gothic Demi"/>
      <w:b w:val="0"/>
      <w:i w:val="0"/>
      <w:color w:val="F61D12" w:themeColor="accent2"/>
    </w:rPr>
  </w:style>
  <w:style w:type="paragraph" w:customStyle="1" w:styleId="BoxHeading2">
    <w:name w:val="Box Heading 2"/>
    <w:basedOn w:val="BoxHeading1"/>
    <w:next w:val="BodyText"/>
    <w:uiPriority w:val="9"/>
    <w:rsid w:val="007C6812"/>
    <w:pPr>
      <w:spacing w:before="200"/>
    </w:pPr>
    <w:rPr>
      <w:rFonts w:ascii="Franklin Gothic Medium" w:hAnsi="Franklin Gothic Medium"/>
      <w:szCs w:val="20"/>
    </w:rPr>
  </w:style>
  <w:style w:type="paragraph" w:customStyle="1" w:styleId="ChartText">
    <w:name w:val="Chart Text"/>
    <w:basedOn w:val="TableTextEntries"/>
    <w:link w:val="ChartTextChar"/>
    <w:uiPriority w:val="23"/>
    <w:rsid w:val="007C6812"/>
    <w:pPr>
      <w:spacing w:before="0" w:after="0"/>
    </w:pPr>
    <w:rPr>
      <w:rFonts w:ascii="Franklin Gothic Medium" w:hAnsi="Franklin Gothic Medium"/>
    </w:rPr>
  </w:style>
  <w:style w:type="character" w:customStyle="1" w:styleId="ChartTextChar">
    <w:name w:val="Chart Text Char"/>
    <w:link w:val="ChartText"/>
    <w:uiPriority w:val="23"/>
    <w:rsid w:val="007C6812"/>
    <w:rPr>
      <w:rFonts w:ascii="Franklin Gothic Medium" w:eastAsia="Times New Roman" w:hAnsi="Franklin Gothic Medium"/>
      <w:sz w:val="16"/>
      <w:szCs w:val="18"/>
      <w:lang w:eastAsia="en-US"/>
    </w:rPr>
  </w:style>
  <w:style w:type="paragraph" w:customStyle="1" w:styleId="ChartBoldText">
    <w:name w:val="Chart Bold Text"/>
    <w:basedOn w:val="ChartText"/>
    <w:next w:val="ChartText"/>
    <w:uiPriority w:val="23"/>
    <w:rsid w:val="007C6812"/>
    <w:pPr>
      <w:jc w:val="center"/>
    </w:pPr>
    <w:rPr>
      <w:rFonts w:ascii="Franklin Gothic Demi" w:hAnsi="Franklin Gothic Demi"/>
      <w:szCs w:val="17"/>
    </w:rPr>
  </w:style>
  <w:style w:type="paragraph" w:customStyle="1" w:styleId="ChartHighlight">
    <w:name w:val="Chart Highlight"/>
    <w:basedOn w:val="ChartBoldText"/>
    <w:uiPriority w:val="22"/>
    <w:rsid w:val="007C6812"/>
    <w:pPr>
      <w:spacing w:line="220" w:lineRule="atLeast"/>
    </w:pPr>
    <w:rPr>
      <w:caps/>
      <w:sz w:val="20"/>
    </w:rPr>
  </w:style>
  <w:style w:type="paragraph" w:customStyle="1" w:styleId="Client">
    <w:name w:val="Client"/>
    <w:basedOn w:val="BodyText"/>
    <w:uiPriority w:val="32"/>
    <w:rsid w:val="007C6812"/>
    <w:pPr>
      <w:spacing w:before="0"/>
    </w:pPr>
    <w:rPr>
      <w:i/>
      <w:sz w:val="25"/>
    </w:rPr>
  </w:style>
  <w:style w:type="character" w:styleId="CommentReference">
    <w:name w:val="annotation reference"/>
    <w:basedOn w:val="BodyTextChar"/>
    <w:uiPriority w:val="49"/>
    <w:semiHidden/>
    <w:rsid w:val="007C6812"/>
    <w:rPr>
      <w:rFonts w:ascii="Franklin Gothic Demi" w:eastAsia="Times New Roman" w:hAnsi="Franklin Gothic Demi" w:cs="Times New Roman"/>
      <w:b w:val="0"/>
      <w:vanish/>
      <w:color w:val="FF00FF"/>
      <w:sz w:val="18"/>
      <w:szCs w:val="16"/>
    </w:rPr>
  </w:style>
  <w:style w:type="paragraph" w:styleId="CommentText">
    <w:name w:val="annotation text"/>
    <w:basedOn w:val="BodyText"/>
    <w:link w:val="CommentTextChar"/>
    <w:uiPriority w:val="49"/>
    <w:rsid w:val="007C6812"/>
    <w:pPr>
      <w:spacing w:before="80" w:line="240" w:lineRule="atLeast"/>
    </w:pPr>
    <w:rPr>
      <w:sz w:val="20"/>
      <w:szCs w:val="20"/>
    </w:rPr>
  </w:style>
  <w:style w:type="character" w:customStyle="1" w:styleId="CommentTextChar">
    <w:name w:val="Comment Text Char"/>
    <w:basedOn w:val="DefaultParagraphFont"/>
    <w:link w:val="CommentText"/>
    <w:uiPriority w:val="49"/>
    <w:rsid w:val="007C6812"/>
    <w:rPr>
      <w:rFonts w:asciiTheme="minorHAnsi" w:eastAsia="Times New Roman" w:hAnsiTheme="minorHAnsi"/>
      <w:sz w:val="20"/>
      <w:szCs w:val="20"/>
    </w:rPr>
  </w:style>
  <w:style w:type="numbering" w:customStyle="1" w:styleId="ChartListBullets">
    <w:name w:val="ChartListBullets"/>
    <w:uiPriority w:val="99"/>
    <w:rsid w:val="007C6812"/>
    <w:pPr>
      <w:numPr>
        <w:numId w:val="3"/>
      </w:numPr>
    </w:pPr>
  </w:style>
  <w:style w:type="paragraph" w:customStyle="1" w:styleId="TableTextEntries">
    <w:name w:val="Table Text Entries"/>
    <w:basedOn w:val="BodyText"/>
    <w:link w:val="TableTextEntriesChar"/>
    <w:uiPriority w:val="13"/>
    <w:rsid w:val="007C6812"/>
    <w:pPr>
      <w:keepLines/>
      <w:spacing w:before="80" w:after="80" w:line="200" w:lineRule="atLeast"/>
    </w:pPr>
    <w:rPr>
      <w:rFonts w:ascii="Franklin Gothic Book" w:hAnsi="Franklin Gothic Book"/>
      <w:sz w:val="16"/>
      <w:szCs w:val="18"/>
      <w:lang w:eastAsia="en-US"/>
    </w:rPr>
  </w:style>
  <w:style w:type="paragraph" w:customStyle="1" w:styleId="Note">
    <w:name w:val="Note"/>
    <w:basedOn w:val="TableTextEntries"/>
    <w:next w:val="Source"/>
    <w:link w:val="NoteCharChar"/>
    <w:uiPriority w:val="15"/>
    <w:rsid w:val="007C6812"/>
    <w:pPr>
      <w:spacing w:before="40" w:after="0" w:line="180" w:lineRule="atLeast"/>
    </w:pPr>
    <w:rPr>
      <w:sz w:val="14"/>
      <w:szCs w:val="16"/>
    </w:rPr>
  </w:style>
  <w:style w:type="character" w:customStyle="1" w:styleId="NoteCharChar">
    <w:name w:val="Note Char Char"/>
    <w:link w:val="Note"/>
    <w:uiPriority w:val="15"/>
    <w:rsid w:val="007C6812"/>
    <w:rPr>
      <w:rFonts w:ascii="Franklin Gothic Book" w:eastAsia="Times New Roman" w:hAnsi="Franklin Gothic Book"/>
      <w:sz w:val="14"/>
      <w:szCs w:val="16"/>
      <w:lang w:eastAsia="en-US"/>
    </w:rPr>
  </w:style>
  <w:style w:type="paragraph" w:customStyle="1" w:styleId="Source">
    <w:name w:val="Source"/>
    <w:basedOn w:val="Note"/>
    <w:next w:val="BodyText"/>
    <w:link w:val="SourceChar"/>
    <w:uiPriority w:val="16"/>
    <w:rsid w:val="007C6812"/>
    <w:pPr>
      <w:spacing w:after="60"/>
    </w:pPr>
  </w:style>
  <w:style w:type="paragraph" w:customStyle="1" w:styleId="Continued">
    <w:name w:val="Continued"/>
    <w:basedOn w:val="Source"/>
    <w:next w:val="BodyText"/>
    <w:link w:val="ContinuedChar"/>
    <w:uiPriority w:val="17"/>
    <w:rsid w:val="007C6812"/>
    <w:pPr>
      <w:jc w:val="right"/>
    </w:pPr>
  </w:style>
  <w:style w:type="paragraph" w:styleId="Title">
    <w:name w:val="Title"/>
    <w:basedOn w:val="Normal"/>
    <w:next w:val="Subtitle"/>
    <w:link w:val="TitleChar"/>
    <w:uiPriority w:val="29"/>
    <w:rsid w:val="007C6812"/>
    <w:pPr>
      <w:spacing w:line="500" w:lineRule="atLeast"/>
    </w:pPr>
    <w:rPr>
      <w:rFonts w:asciiTheme="majorHAnsi" w:eastAsia="Times New Roman" w:hAnsiTheme="majorHAnsi"/>
      <w:spacing w:val="-2"/>
      <w:kern w:val="28"/>
      <w:sz w:val="44"/>
      <w:szCs w:val="48"/>
    </w:rPr>
  </w:style>
  <w:style w:type="character" w:customStyle="1" w:styleId="TitleChar">
    <w:name w:val="Title Char"/>
    <w:basedOn w:val="DefaultParagraphFont"/>
    <w:link w:val="Title"/>
    <w:uiPriority w:val="29"/>
    <w:rsid w:val="007C6812"/>
    <w:rPr>
      <w:rFonts w:asciiTheme="majorHAnsi" w:eastAsia="Times New Roman" w:hAnsiTheme="majorHAnsi"/>
      <w:spacing w:val="-2"/>
      <w:kern w:val="28"/>
      <w:sz w:val="44"/>
      <w:szCs w:val="48"/>
    </w:rPr>
  </w:style>
  <w:style w:type="paragraph" w:styleId="Subtitle">
    <w:name w:val="Subtitle"/>
    <w:basedOn w:val="Title"/>
    <w:link w:val="SubtitleChar"/>
    <w:uiPriority w:val="30"/>
    <w:rsid w:val="007C6812"/>
    <w:pPr>
      <w:spacing w:before="280" w:line="320" w:lineRule="atLeast"/>
    </w:pPr>
    <w:rPr>
      <w:sz w:val="25"/>
      <w:szCs w:val="28"/>
    </w:rPr>
  </w:style>
  <w:style w:type="character" w:customStyle="1" w:styleId="SubtitleChar">
    <w:name w:val="Subtitle Char"/>
    <w:basedOn w:val="DefaultParagraphFont"/>
    <w:link w:val="Subtitle"/>
    <w:uiPriority w:val="30"/>
    <w:rsid w:val="007C6812"/>
    <w:rPr>
      <w:rFonts w:asciiTheme="majorHAnsi" w:eastAsia="Times New Roman" w:hAnsiTheme="majorHAnsi"/>
      <w:spacing w:val="-2"/>
      <w:kern w:val="28"/>
      <w:sz w:val="25"/>
      <w:szCs w:val="28"/>
    </w:rPr>
  </w:style>
  <w:style w:type="paragraph" w:styleId="Date">
    <w:name w:val="Date"/>
    <w:basedOn w:val="Subtitle"/>
    <w:link w:val="DateChar"/>
    <w:uiPriority w:val="33"/>
    <w:rsid w:val="007C6812"/>
    <w:pPr>
      <w:spacing w:before="140" w:line="280" w:lineRule="atLeast"/>
    </w:pPr>
    <w:rPr>
      <w:i/>
      <w:color w:val="6F6652" w:themeColor="text2"/>
      <w:spacing w:val="0"/>
    </w:rPr>
  </w:style>
  <w:style w:type="character" w:customStyle="1" w:styleId="DateChar">
    <w:name w:val="Date Char"/>
    <w:basedOn w:val="DefaultParagraphFont"/>
    <w:link w:val="Date"/>
    <w:uiPriority w:val="33"/>
    <w:rsid w:val="007C6812"/>
    <w:rPr>
      <w:rFonts w:asciiTheme="majorHAnsi" w:eastAsia="Times New Roman" w:hAnsiTheme="majorHAnsi"/>
      <w:i/>
      <w:color w:val="6F6652" w:themeColor="text2"/>
      <w:kern w:val="28"/>
      <w:sz w:val="25"/>
      <w:szCs w:val="28"/>
    </w:rPr>
  </w:style>
  <w:style w:type="character" w:customStyle="1" w:styleId="DraftingNote">
    <w:name w:val="Drafting Note"/>
    <w:uiPriority w:val="2"/>
    <w:rsid w:val="007C6812"/>
    <w:rPr>
      <w:rFonts w:asciiTheme="minorHAnsi" w:hAnsiTheme="minorHAnsi"/>
      <w:b/>
      <w:color w:val="0070C0"/>
      <w:u w:val="dotted"/>
    </w:rPr>
  </w:style>
  <w:style w:type="paragraph" w:styleId="Footer">
    <w:name w:val="footer"/>
    <w:basedOn w:val="BodyText"/>
    <w:link w:val="FooterChar"/>
    <w:uiPriority w:val="99"/>
    <w:rsid w:val="007C6812"/>
    <w:pPr>
      <w:spacing w:before="0" w:line="200" w:lineRule="atLeast"/>
    </w:pPr>
    <w:rPr>
      <w:i/>
      <w:color w:val="6F6652" w:themeColor="text2"/>
      <w:sz w:val="16"/>
      <w:szCs w:val="14"/>
    </w:rPr>
  </w:style>
  <w:style w:type="character" w:customStyle="1" w:styleId="FooterChar">
    <w:name w:val="Footer Char"/>
    <w:basedOn w:val="DefaultParagraphFont"/>
    <w:link w:val="Footer"/>
    <w:uiPriority w:val="99"/>
    <w:rsid w:val="007C6812"/>
    <w:rPr>
      <w:rFonts w:asciiTheme="minorHAnsi" w:eastAsia="Times New Roman" w:hAnsiTheme="minorHAnsi"/>
      <w:i/>
      <w:color w:val="6F6652" w:themeColor="text2"/>
      <w:sz w:val="16"/>
      <w:szCs w:val="14"/>
    </w:rPr>
  </w:style>
  <w:style w:type="character" w:styleId="FootnoteReference">
    <w:name w:val="footnote reference"/>
    <w:aliases w:val="(NECG) Footnote Reference,(NECG) Footnote Reference1,(NECG) Footnote Reference2,o,fr,Style 3,Style 12,Appel note de bas de p,Style 124,Appel n,Footnote Reference 1,Appel note de bas de p + 11 pt,Italic,Footnote,Appel note de bas de p1"/>
    <w:uiPriority w:val="25"/>
    <w:unhideWhenUsed/>
    <w:rsid w:val="007C6812"/>
    <w:rPr>
      <w:rFonts w:ascii="Calisto MT" w:hAnsi="Calisto MT"/>
      <w:b w:val="0"/>
      <w:i w:val="0"/>
      <w:color w:val="auto"/>
      <w:w w:val="100"/>
      <w:position w:val="4"/>
      <w:sz w:val="18"/>
      <w:szCs w:val="21"/>
      <w:vertAlign w:val="baseline"/>
    </w:rPr>
  </w:style>
  <w:style w:type="paragraph" w:styleId="FootnoteText">
    <w:name w:val="footnote text"/>
    <w:aliases w:val="ALTS FOOTNOTE,(NECG) Footnote Text,Footnote text,AR Footnote Text,Footnote Text Char2,Footnote Text Char Char1,Footnote Text Char1 Char Char,Footnote Text Char Char Char Char,Footnote Text Char1 Char Char Char Char,Footnote Text Char Char"/>
    <w:basedOn w:val="BodyText"/>
    <w:link w:val="FootnoteTextChar"/>
    <w:uiPriority w:val="25"/>
    <w:unhideWhenUsed/>
    <w:rsid w:val="007C6812"/>
    <w:pPr>
      <w:spacing w:before="80" w:line="240" w:lineRule="atLeast"/>
      <w:ind w:left="284" w:hanging="284"/>
    </w:pPr>
    <w:rPr>
      <w:sz w:val="19"/>
      <w:szCs w:val="18"/>
    </w:rPr>
  </w:style>
  <w:style w:type="character" w:customStyle="1" w:styleId="FootnoteTextChar">
    <w:name w:val="Footnote Text Char"/>
    <w:aliases w:val="ALTS FOOTNOTE Char,(NECG) Footnote Text Char,Footnote text Char,AR Footnote Text Char,Footnote Text Char2 Char,Footnote Text Char Char1 Char,Footnote Text Char1 Char Char Char,Footnote Text Char Char Char Char Char"/>
    <w:basedOn w:val="DefaultParagraphFont"/>
    <w:link w:val="FootnoteText"/>
    <w:uiPriority w:val="25"/>
    <w:rsid w:val="007C6812"/>
    <w:rPr>
      <w:rFonts w:asciiTheme="minorHAnsi" w:eastAsia="Times New Roman" w:hAnsiTheme="minorHAnsi"/>
      <w:sz w:val="19"/>
      <w:szCs w:val="18"/>
    </w:rPr>
  </w:style>
  <w:style w:type="paragraph" w:styleId="Header">
    <w:name w:val="header"/>
    <w:basedOn w:val="BodyText"/>
    <w:link w:val="HeaderChar"/>
    <w:uiPriority w:val="99"/>
    <w:rsid w:val="007C6812"/>
    <w:pPr>
      <w:tabs>
        <w:tab w:val="left" w:pos="-567"/>
        <w:tab w:val="left" w:pos="0"/>
        <w:tab w:val="right" w:pos="7938"/>
        <w:tab w:val="right" w:pos="8505"/>
      </w:tabs>
      <w:spacing w:before="0" w:line="240" w:lineRule="auto"/>
      <w:ind w:left="-2268" w:right="-2268"/>
    </w:pPr>
    <w:rPr>
      <w:rFonts w:ascii="Franklin Gothic Medium" w:hAnsi="Franklin Gothic Medium"/>
      <w:sz w:val="14"/>
      <w:szCs w:val="14"/>
    </w:rPr>
  </w:style>
  <w:style w:type="character" w:customStyle="1" w:styleId="HeaderChar">
    <w:name w:val="Header Char"/>
    <w:basedOn w:val="DefaultParagraphFont"/>
    <w:link w:val="Header"/>
    <w:uiPriority w:val="99"/>
    <w:rsid w:val="007C6812"/>
    <w:rPr>
      <w:rFonts w:ascii="Franklin Gothic Medium" w:eastAsia="Times New Roman" w:hAnsi="Franklin Gothic Medium"/>
      <w:sz w:val="14"/>
      <w:szCs w:val="14"/>
    </w:rPr>
  </w:style>
  <w:style w:type="character" w:customStyle="1" w:styleId="Heading1Char">
    <w:name w:val="Heading 1 Char"/>
    <w:aliases w:val="h1 Char,EOI - Heading 1 (Low) Char,Heading 1 (low) Char,Para1 Char,h11 Char,h12 Char,ChapterHeadingNumber Char,Top 1 Char,ParaLevel1 Char,Level 1 Para Char,Level 1 Para1 Char,Level 1 Para2 Char,Level 1 Para3 Char,Level 1 Para4 Char,1 Char"/>
    <w:basedOn w:val="DefaultParagraphFont"/>
    <w:link w:val="Heading1"/>
    <w:rsid w:val="007C6812"/>
    <w:rPr>
      <w:rFonts w:asciiTheme="majorHAnsi" w:eastAsia="Times New Roman" w:hAnsiTheme="majorHAnsi"/>
      <w:i/>
      <w:kern w:val="28"/>
      <w:sz w:val="36"/>
      <w:szCs w:val="32"/>
    </w:rPr>
  </w:style>
  <w:style w:type="character" w:customStyle="1" w:styleId="Heading2Char">
    <w:name w:val="Heading 2 Char"/>
    <w:aliases w:val="Para2 Char,h2 Char,BT-Legal Numbering Char,Head hdbk Char,Top 2 Char,H2 Char,h2 main heading Char,B Sub/Bold Char,B Sub/Bold1 Char,B Sub/Bold2 Char,B Sub/Bold11 Char,h2 main heading1 Char,h2 main heading2 Char,B Sub/Bold3 Char,Para 2 Char"/>
    <w:basedOn w:val="DefaultParagraphFont"/>
    <w:link w:val="Heading2"/>
    <w:rsid w:val="007C6812"/>
    <w:rPr>
      <w:rFonts w:asciiTheme="majorHAnsi" w:eastAsia="Times New Roman" w:hAnsiTheme="majorHAnsi"/>
      <w:b/>
      <w:i/>
      <w:color w:val="F61D12" w:themeColor="accent2"/>
      <w:kern w:val="28"/>
      <w:sz w:val="30"/>
      <w:szCs w:val="26"/>
    </w:rPr>
  </w:style>
  <w:style w:type="paragraph" w:styleId="ListBullet2">
    <w:name w:val="List Bullet 2"/>
    <w:basedOn w:val="ListBullet"/>
    <w:link w:val="ListBullet2Char"/>
    <w:uiPriority w:val="2"/>
    <w:rsid w:val="007C6812"/>
    <w:pPr>
      <w:numPr>
        <w:ilvl w:val="1"/>
      </w:numPr>
      <w:spacing w:before="40"/>
      <w:ind w:left="568" w:hanging="284"/>
    </w:pPr>
  </w:style>
  <w:style w:type="character" w:customStyle="1" w:styleId="Heading3Char">
    <w:name w:val="Heading 3 Char"/>
    <w:aliases w:val="Normal + num Char,Level 1 - 2 Char,h3 Char,EOI - Heading 3 Char,h3 sub heading Char,Para3 Char,Paragraph (heading 3) Char,BTL Numbered Char,L3 Char,3 Char,Level 1 - 1 Char,Report Heading 3 Char,d Char,Tempo Heading 3 Char,H3 Char,h31 Char"/>
    <w:basedOn w:val="DefaultParagraphFont"/>
    <w:link w:val="Heading3"/>
    <w:rsid w:val="007C6812"/>
    <w:rPr>
      <w:rFonts w:eastAsia="Times New Roman"/>
      <w:b/>
      <w:i/>
      <w:kern w:val="28"/>
      <w:sz w:val="25"/>
      <w:szCs w:val="22"/>
    </w:rPr>
  </w:style>
  <w:style w:type="character" w:customStyle="1" w:styleId="Heading4Char">
    <w:name w:val="Heading 4 Char"/>
    <w:aliases w:val="h4 Char,L4 Char,Level 2 - a Char,sd Char,Standard H3 Char,h41 Char,Titre 4 Char,1.1.1.1 Char,bullet Char,bl Char,bb Char,h4 sub sub heading Char,Level 2 - (a) Char,4 Char,Org Heading 2 Char,Sub3Para Char,proj4 Char,proj41 Char,proj42 Char"/>
    <w:basedOn w:val="DefaultParagraphFont"/>
    <w:link w:val="Heading4"/>
    <w:rsid w:val="007C6812"/>
    <w:rPr>
      <w:rFonts w:eastAsia="Times New Roman"/>
      <w:b/>
      <w:i/>
      <w:color w:val="6F6652" w:themeColor="text2"/>
      <w:kern w:val="28"/>
      <w:szCs w:val="22"/>
    </w:rPr>
  </w:style>
  <w:style w:type="character" w:customStyle="1" w:styleId="Heading5Char">
    <w:name w:val="Heading 5 Char"/>
    <w:aliases w:val="h5 Char,L5 Char,Level 3 - i Char,L51 Char,Para5 Char,i. Char,H1 Char,subsubpara Char,1.1.1.1.1 Char,H11 Char,3rd sub-clause Char,h51 Char,h52 Char,5 Char,H111 Char,VS5 Char,remove 5 Char,-25. Char,DO NOT USE 5 Char,Further Points Char"/>
    <w:basedOn w:val="DefaultParagraphFont"/>
    <w:link w:val="Heading5"/>
    <w:rsid w:val="007C6812"/>
    <w:rPr>
      <w:rFonts w:asciiTheme="minorHAnsi" w:eastAsia="Times New Roman" w:hAnsiTheme="minorHAnsi"/>
      <w:i/>
      <w:color w:val="6F6652" w:themeColor="text2"/>
      <w:kern w:val="28"/>
      <w:szCs w:val="22"/>
    </w:rPr>
  </w:style>
  <w:style w:type="character" w:customStyle="1" w:styleId="Heading6Char">
    <w:name w:val="Heading 6 Char"/>
    <w:aliases w:val="Square Bullet list Char,Sub5Para Char,L1 PIP Char,a Char,b Char,H6 Char,Heading 6(unused) Char,Heading 6(unused)1 Char,VS6 Char,Main Char,DO NOT USE 6 Char,Points in Text Char,Points in Text1 Char,Points in Text2 Char,Points in Text3 Char"/>
    <w:basedOn w:val="DefaultParagraphFont"/>
    <w:link w:val="Heading6"/>
    <w:rsid w:val="007C6812"/>
    <w:rPr>
      <w:rFonts w:asciiTheme="majorHAnsi" w:eastAsia="Times New Roman" w:hAnsiTheme="majorHAnsi"/>
      <w:bCs/>
      <w:i/>
      <w:kern w:val="28"/>
      <w:sz w:val="36"/>
      <w:szCs w:val="32"/>
    </w:rPr>
  </w:style>
  <w:style w:type="character" w:customStyle="1" w:styleId="Heading7Char">
    <w:name w:val="Heading 7 Char"/>
    <w:aliases w:val="Indented hyphen Char,L2 PIP Char,H7 Char,Heading 7(unused) Char,Heading 7(unused)1 Char,DO NOT USE 7 Char,Legal Level 1.1. Char,not Kinhill1 Char"/>
    <w:basedOn w:val="DefaultParagraphFont"/>
    <w:link w:val="Heading7"/>
    <w:rsid w:val="007C6812"/>
    <w:rPr>
      <w:rFonts w:eastAsia="Times New Roman"/>
      <w:b/>
      <w:i/>
      <w:color w:val="F61D12" w:themeColor="accent2"/>
      <w:kern w:val="28"/>
      <w:sz w:val="30"/>
      <w:szCs w:val="26"/>
    </w:rPr>
  </w:style>
  <w:style w:type="character" w:customStyle="1" w:styleId="Heading8Char">
    <w:name w:val="Heading 8 Char"/>
    <w:aliases w:val="L3 PIP Char,H8 Char,Heading 8(unused) Char,Heading 8(unused)1 Char,DO NOT USE Char,DO NOT USE 8 Char,Legal Level 1.1.1. Char"/>
    <w:basedOn w:val="DefaultParagraphFont"/>
    <w:link w:val="Heading8"/>
    <w:rsid w:val="007C6812"/>
    <w:rPr>
      <w:rFonts w:eastAsia="Times New Roman"/>
      <w:b/>
      <w:i/>
      <w:kern w:val="28"/>
      <w:sz w:val="25"/>
      <w:szCs w:val="22"/>
    </w:rPr>
  </w:style>
  <w:style w:type="character" w:customStyle="1" w:styleId="Heading9Char">
    <w:name w:val="Heading 9 Char"/>
    <w:aliases w:val="Spare5 Char,H9 Char,Heading 9(unused) Char,Heading 9(unused)1 Char,DO NOT USE 9 Char,Legal Level 1.1.1.1. Char"/>
    <w:basedOn w:val="DefaultParagraphFont"/>
    <w:link w:val="Heading9"/>
    <w:rsid w:val="007C6812"/>
    <w:rPr>
      <w:rFonts w:eastAsia="Times New Roman"/>
      <w:b/>
      <w:i/>
      <w:kern w:val="28"/>
      <w:szCs w:val="22"/>
    </w:rPr>
  </w:style>
  <w:style w:type="character" w:styleId="Hyperlink">
    <w:name w:val="Hyperlink"/>
    <w:uiPriority w:val="99"/>
    <w:rsid w:val="007C6812"/>
    <w:rPr>
      <w:b w:val="0"/>
      <w:i w:val="0"/>
      <w:color w:val="6F6652" w:themeColor="text2"/>
      <w:u w:val="none"/>
    </w:rPr>
  </w:style>
  <w:style w:type="paragraph" w:customStyle="1" w:styleId="Invisiblepara">
    <w:name w:val="Invisible para"/>
    <w:basedOn w:val="Normal"/>
    <w:uiPriority w:val="99"/>
    <w:rsid w:val="007C6812"/>
    <w:pPr>
      <w:keepNext/>
      <w:spacing w:before="320" w:line="80" w:lineRule="exact"/>
    </w:pPr>
    <w:rPr>
      <w:rFonts w:eastAsia="Times New Roman"/>
      <w:szCs w:val="20"/>
    </w:rPr>
  </w:style>
  <w:style w:type="character" w:customStyle="1" w:styleId="NoteLabel">
    <w:name w:val="Note Label"/>
    <w:uiPriority w:val="15"/>
    <w:rsid w:val="007C6812"/>
    <w:rPr>
      <w:rFonts w:ascii="Franklin Gothic Demi" w:hAnsi="Franklin Gothic Demi"/>
      <w:b w:val="0"/>
      <w:i w:val="0"/>
      <w:color w:val="9B917E" w:themeColor="accent4"/>
      <w:position w:val="4"/>
      <w:sz w:val="14"/>
      <w:szCs w:val="16"/>
    </w:rPr>
  </w:style>
  <w:style w:type="character" w:styleId="PageNumber">
    <w:name w:val="page number"/>
    <w:uiPriority w:val="99"/>
    <w:rsid w:val="007C6812"/>
    <w:rPr>
      <w:rFonts w:ascii="Franklin Gothic Demi" w:hAnsi="Franklin Gothic Demi"/>
      <w:b w:val="0"/>
      <w:color w:val="006B7A" w:themeColor="accent1"/>
      <w:sz w:val="20"/>
      <w:szCs w:val="20"/>
    </w:rPr>
  </w:style>
  <w:style w:type="paragraph" w:styleId="Quote">
    <w:name w:val="Quote"/>
    <w:basedOn w:val="BodyText"/>
    <w:next w:val="BodyText"/>
    <w:link w:val="QuoteChar"/>
    <w:uiPriority w:val="3"/>
    <w:qFormat/>
    <w:rsid w:val="007C6812"/>
    <w:pPr>
      <w:spacing w:before="70" w:line="260" w:lineRule="atLeast"/>
      <w:ind w:left="284"/>
    </w:pPr>
    <w:rPr>
      <w:sz w:val="19"/>
      <w:szCs w:val="20"/>
    </w:rPr>
  </w:style>
  <w:style w:type="character" w:customStyle="1" w:styleId="QuoteChar">
    <w:name w:val="Quote Char"/>
    <w:basedOn w:val="DefaultParagraphFont"/>
    <w:link w:val="Quote"/>
    <w:uiPriority w:val="3"/>
    <w:rsid w:val="007C6812"/>
    <w:rPr>
      <w:rFonts w:asciiTheme="minorHAnsi" w:eastAsia="Times New Roman" w:hAnsiTheme="minorHAnsi"/>
      <w:sz w:val="19"/>
      <w:szCs w:val="20"/>
    </w:rPr>
  </w:style>
  <w:style w:type="paragraph" w:customStyle="1" w:styleId="RecommendationNumber">
    <w:name w:val="Recommendation Number"/>
    <w:basedOn w:val="BodyText"/>
    <w:next w:val="RecommendationNumber2"/>
    <w:uiPriority w:val="28"/>
    <w:rsid w:val="007C6812"/>
    <w:pPr>
      <w:numPr>
        <w:numId w:val="10"/>
      </w:numPr>
      <w:spacing w:before="80"/>
    </w:pPr>
    <w:rPr>
      <w:rFonts w:ascii="Franklin Gothic Book" w:eastAsia="MS Mincho" w:hAnsi="Franklin Gothic Book" w:cs="MS Mincho"/>
    </w:rPr>
  </w:style>
  <w:style w:type="paragraph" w:customStyle="1" w:styleId="Reference">
    <w:name w:val="Reference"/>
    <w:basedOn w:val="BodyText"/>
    <w:uiPriority w:val="3"/>
    <w:rsid w:val="007C6812"/>
    <w:pPr>
      <w:spacing w:before="70" w:line="260" w:lineRule="atLeast"/>
      <w:ind w:left="284" w:hanging="284"/>
    </w:pPr>
    <w:rPr>
      <w:sz w:val="19"/>
      <w:szCs w:val="20"/>
    </w:rPr>
  </w:style>
  <w:style w:type="paragraph" w:customStyle="1" w:styleId="Reporttype">
    <w:name w:val="Report type"/>
    <w:basedOn w:val="Date"/>
    <w:next w:val="Title"/>
    <w:uiPriority w:val="31"/>
    <w:rsid w:val="007C6812"/>
    <w:pPr>
      <w:spacing w:before="0" w:after="280" w:line="260" w:lineRule="atLeast"/>
    </w:pPr>
    <w:rPr>
      <w:rFonts w:ascii="Franklin Gothic Demi" w:hAnsi="Franklin Gothic Demi"/>
      <w:i w:val="0"/>
      <w:caps/>
      <w:color w:val="F61D12" w:themeColor="accent2"/>
      <w:spacing w:val="44"/>
      <w:sz w:val="22"/>
    </w:rPr>
  </w:style>
  <w:style w:type="paragraph" w:customStyle="1" w:styleId="TableDataEntries">
    <w:name w:val="Table Data Entries"/>
    <w:basedOn w:val="TableTextEntries"/>
    <w:uiPriority w:val="11"/>
    <w:rsid w:val="007C6812"/>
    <w:pPr>
      <w:spacing w:before="40" w:after="40"/>
      <w:jc w:val="right"/>
    </w:pPr>
  </w:style>
  <w:style w:type="paragraph" w:customStyle="1" w:styleId="TableDataColumnHeading">
    <w:name w:val="Table Data Column Heading"/>
    <w:basedOn w:val="TableDataEntries"/>
    <w:uiPriority w:val="11"/>
    <w:rsid w:val="007C6812"/>
    <w:pPr>
      <w:keepNext/>
      <w:spacing w:before="80" w:after="80"/>
    </w:pPr>
    <w:rPr>
      <w:rFonts w:ascii="Franklin Gothic Demi" w:hAnsi="Franklin Gothic Demi"/>
      <w:color w:val="FFFFFF"/>
    </w:rPr>
  </w:style>
  <w:style w:type="paragraph" w:customStyle="1" w:styleId="TableHeading1">
    <w:name w:val="Table Heading 1"/>
    <w:basedOn w:val="TableTextEntries"/>
    <w:next w:val="TableTextEntries"/>
    <w:uiPriority w:val="10"/>
    <w:rsid w:val="007C6812"/>
    <w:pPr>
      <w:spacing w:before="140"/>
    </w:pPr>
    <w:rPr>
      <w:rFonts w:ascii="Franklin Gothic Demi" w:hAnsi="Franklin Gothic Demi"/>
      <w:color w:val="6F6652" w:themeColor="text2"/>
    </w:rPr>
  </w:style>
  <w:style w:type="paragraph" w:customStyle="1" w:styleId="TableHeading2">
    <w:name w:val="Table Heading 2"/>
    <w:basedOn w:val="TableHeading1"/>
    <w:next w:val="TableTextEntries"/>
    <w:uiPriority w:val="10"/>
    <w:rsid w:val="007C6812"/>
    <w:pPr>
      <w:spacing w:before="80"/>
    </w:pPr>
    <w:rPr>
      <w:rFonts w:ascii="Franklin Gothic Medium" w:hAnsi="Franklin Gothic Medium"/>
    </w:rPr>
  </w:style>
  <w:style w:type="paragraph" w:customStyle="1" w:styleId="TableTextColumnHeading">
    <w:name w:val="Table Text Column Heading"/>
    <w:basedOn w:val="TableDataColumnHeading"/>
    <w:uiPriority w:val="13"/>
    <w:rsid w:val="007C6812"/>
    <w:pPr>
      <w:jc w:val="left"/>
    </w:pPr>
  </w:style>
  <w:style w:type="paragraph" w:customStyle="1" w:styleId="TableUnit">
    <w:name w:val="Table Unit"/>
    <w:basedOn w:val="TableDataColumnHeading"/>
    <w:next w:val="TableDataEntries"/>
    <w:uiPriority w:val="11"/>
    <w:rsid w:val="007C6812"/>
    <w:rPr>
      <w:rFonts w:ascii="Franklin Gothic Book" w:hAnsi="Franklin Gothic Book"/>
      <w:color w:val="auto"/>
      <w:szCs w:val="17"/>
    </w:rPr>
  </w:style>
  <w:style w:type="paragraph" w:styleId="TOC1">
    <w:name w:val="toc 1"/>
    <w:basedOn w:val="BodyText"/>
    <w:next w:val="TOC2"/>
    <w:uiPriority w:val="39"/>
    <w:rsid w:val="007C6812"/>
    <w:pPr>
      <w:tabs>
        <w:tab w:val="left" w:pos="340"/>
        <w:tab w:val="right" w:pos="7938"/>
      </w:tabs>
      <w:spacing w:line="260" w:lineRule="atLeast"/>
      <w:ind w:right="567"/>
    </w:pPr>
    <w:rPr>
      <w:rFonts w:ascii="Franklin Gothic Demi" w:hAnsi="Franklin Gothic Demi"/>
      <w:szCs w:val="24"/>
    </w:rPr>
  </w:style>
  <w:style w:type="paragraph" w:styleId="TOC2">
    <w:name w:val="toc 2"/>
    <w:basedOn w:val="TOC1"/>
    <w:uiPriority w:val="39"/>
    <w:rsid w:val="007C6812"/>
    <w:pPr>
      <w:tabs>
        <w:tab w:val="clear" w:pos="340"/>
      </w:tabs>
      <w:spacing w:before="60"/>
      <w:ind w:left="340"/>
    </w:pPr>
    <w:rPr>
      <w:rFonts w:ascii="Calisto MT" w:hAnsi="Calisto MT"/>
    </w:rPr>
  </w:style>
  <w:style w:type="paragraph" w:styleId="TOC3">
    <w:name w:val="toc 3"/>
    <w:basedOn w:val="TOC2"/>
    <w:next w:val="BodyText"/>
    <w:uiPriority w:val="39"/>
    <w:semiHidden/>
    <w:rsid w:val="007C6812"/>
    <w:pPr>
      <w:ind w:left="680"/>
    </w:pPr>
  </w:style>
  <w:style w:type="paragraph" w:styleId="TOC6">
    <w:name w:val="toc 6"/>
    <w:basedOn w:val="BodyText"/>
    <w:next w:val="BodyText"/>
    <w:uiPriority w:val="39"/>
    <w:semiHidden/>
    <w:rsid w:val="007C6812"/>
    <w:pPr>
      <w:tabs>
        <w:tab w:val="left" w:pos="284"/>
        <w:tab w:val="right" w:pos="7655"/>
      </w:tabs>
      <w:ind w:left="284" w:right="567" w:hanging="284"/>
    </w:pPr>
  </w:style>
  <w:style w:type="paragraph" w:styleId="TOC7">
    <w:name w:val="toc 7"/>
    <w:basedOn w:val="TOC6"/>
    <w:next w:val="TOC1"/>
    <w:uiPriority w:val="39"/>
    <w:semiHidden/>
    <w:rsid w:val="007C6812"/>
    <w:pPr>
      <w:tabs>
        <w:tab w:val="left" w:pos="1418"/>
      </w:tabs>
      <w:spacing w:before="80"/>
      <w:ind w:left="709" w:hanging="425"/>
    </w:pPr>
  </w:style>
  <w:style w:type="numbering" w:customStyle="1" w:styleId="HeadingNumbers">
    <w:name w:val="HeadingNumbers"/>
    <w:uiPriority w:val="99"/>
    <w:rsid w:val="007C6812"/>
    <w:pPr>
      <w:numPr>
        <w:numId w:val="5"/>
      </w:numPr>
    </w:pPr>
  </w:style>
  <w:style w:type="paragraph" w:customStyle="1" w:styleId="TableListBullet">
    <w:name w:val="Table List Bullet"/>
    <w:basedOn w:val="TableTextEntries"/>
    <w:uiPriority w:val="14"/>
    <w:rsid w:val="007C6812"/>
    <w:pPr>
      <w:numPr>
        <w:numId w:val="9"/>
      </w:numPr>
      <w:spacing w:line="210" w:lineRule="atLeast"/>
    </w:pPr>
    <w:rPr>
      <w:szCs w:val="19"/>
    </w:rPr>
  </w:style>
  <w:style w:type="paragraph" w:customStyle="1" w:styleId="TableListBullet2">
    <w:name w:val="Table List Bullet 2"/>
    <w:basedOn w:val="TableListBullet"/>
    <w:uiPriority w:val="14"/>
    <w:rsid w:val="007C6812"/>
    <w:pPr>
      <w:numPr>
        <w:ilvl w:val="1"/>
      </w:numPr>
    </w:pPr>
  </w:style>
  <w:style w:type="paragraph" w:customStyle="1" w:styleId="TableListNumber">
    <w:name w:val="Table List Number"/>
    <w:basedOn w:val="TableTextEntries"/>
    <w:uiPriority w:val="14"/>
    <w:rsid w:val="007C6812"/>
    <w:pPr>
      <w:numPr>
        <w:numId w:val="1"/>
      </w:numPr>
      <w:spacing w:before="40" w:after="40"/>
    </w:pPr>
    <w:rPr>
      <w:szCs w:val="19"/>
    </w:rPr>
  </w:style>
  <w:style w:type="paragraph" w:customStyle="1" w:styleId="TableListNumber2">
    <w:name w:val="Table List Number 2"/>
    <w:basedOn w:val="TableListNumber"/>
    <w:uiPriority w:val="14"/>
    <w:rsid w:val="007C6812"/>
    <w:pPr>
      <w:numPr>
        <w:ilvl w:val="1"/>
      </w:numPr>
    </w:pPr>
  </w:style>
  <w:style w:type="numbering" w:customStyle="1" w:styleId="TableListBullets">
    <w:name w:val="TableListBullets"/>
    <w:uiPriority w:val="99"/>
    <w:rsid w:val="007C6812"/>
    <w:pPr>
      <w:numPr>
        <w:numId w:val="2"/>
      </w:numPr>
    </w:pPr>
  </w:style>
  <w:style w:type="numbering" w:customStyle="1" w:styleId="TableListNumbers">
    <w:name w:val="TableListNumbers"/>
    <w:uiPriority w:val="99"/>
    <w:rsid w:val="007C6812"/>
    <w:pPr>
      <w:numPr>
        <w:numId w:val="1"/>
      </w:numPr>
    </w:pPr>
  </w:style>
  <w:style w:type="character" w:styleId="PlaceholderText">
    <w:name w:val="Placeholder Text"/>
    <w:basedOn w:val="DefaultParagraphFont"/>
    <w:uiPriority w:val="99"/>
    <w:semiHidden/>
    <w:rsid w:val="007C6812"/>
    <w:rPr>
      <w:color w:val="808080"/>
    </w:rPr>
  </w:style>
  <w:style w:type="paragraph" w:customStyle="1" w:styleId="ChartListBullet">
    <w:name w:val="Chart List Bullet"/>
    <w:basedOn w:val="TableListBullet"/>
    <w:uiPriority w:val="24"/>
    <w:rsid w:val="007C6812"/>
    <w:pPr>
      <w:numPr>
        <w:numId w:val="3"/>
      </w:numPr>
      <w:spacing w:before="50" w:after="0" w:line="200" w:lineRule="atLeast"/>
    </w:pPr>
    <w:rPr>
      <w:rFonts w:ascii="Franklin Gothic Medium" w:hAnsi="Franklin Gothic Medium"/>
      <w:szCs w:val="18"/>
    </w:rPr>
  </w:style>
  <w:style w:type="paragraph" w:customStyle="1" w:styleId="ChartListBullet2">
    <w:name w:val="Chart List Bullet 2"/>
    <w:basedOn w:val="ChartText"/>
    <w:uiPriority w:val="24"/>
    <w:rsid w:val="007C6812"/>
    <w:pPr>
      <w:numPr>
        <w:ilvl w:val="1"/>
        <w:numId w:val="3"/>
      </w:numPr>
      <w:spacing w:before="30"/>
    </w:pPr>
  </w:style>
  <w:style w:type="paragraph" w:customStyle="1" w:styleId="ChartListNumber0">
    <w:name w:val="Chart List Number"/>
    <w:basedOn w:val="ChartText"/>
    <w:uiPriority w:val="24"/>
    <w:rsid w:val="007C6812"/>
    <w:pPr>
      <w:numPr>
        <w:numId w:val="4"/>
      </w:numPr>
      <w:spacing w:before="60"/>
    </w:pPr>
  </w:style>
  <w:style w:type="numbering" w:customStyle="1" w:styleId="ChartListNumber">
    <w:name w:val="ChartListNumber"/>
    <w:uiPriority w:val="99"/>
    <w:rsid w:val="007C6812"/>
    <w:pPr>
      <w:numPr>
        <w:numId w:val="4"/>
      </w:numPr>
    </w:pPr>
  </w:style>
  <w:style w:type="numbering" w:customStyle="1" w:styleId="RecommendationNumbers">
    <w:name w:val="RecommendationNumbers"/>
    <w:uiPriority w:val="99"/>
    <w:rsid w:val="007C6812"/>
    <w:pPr>
      <w:numPr>
        <w:numId w:val="6"/>
      </w:numPr>
    </w:pPr>
  </w:style>
  <w:style w:type="paragraph" w:customStyle="1" w:styleId="Abbreviation">
    <w:name w:val="Abbreviation"/>
    <w:basedOn w:val="BodyText"/>
    <w:uiPriority w:val="3"/>
    <w:rsid w:val="007C6812"/>
    <w:pPr>
      <w:ind w:left="1134" w:hanging="1134"/>
    </w:pPr>
  </w:style>
  <w:style w:type="paragraph" w:styleId="TableofFigures">
    <w:name w:val="table of figures"/>
    <w:basedOn w:val="BodyText"/>
    <w:next w:val="BodyText"/>
    <w:uiPriority w:val="99"/>
    <w:rsid w:val="007C6812"/>
    <w:pPr>
      <w:tabs>
        <w:tab w:val="left" w:pos="510"/>
        <w:tab w:val="right" w:pos="7938"/>
      </w:tabs>
      <w:spacing w:before="60" w:line="260" w:lineRule="atLeast"/>
      <w:ind w:left="510" w:right="567" w:hanging="510"/>
    </w:pPr>
  </w:style>
  <w:style w:type="table" w:styleId="TableGrid">
    <w:name w:val="Table Grid"/>
    <w:aliases w:val="none,ICB Table,PB Table,1TableGrid,McLL Table General Text,SGS Numeric Table,GTA,EP Table Grid,CV table,EY Table,EY Question Table,EYTable,CV1,new tab,Equifax table,Header Table,Format for the table,Header Table Grid,E&amp;P Style 5,AEMO,UDP Grid"/>
    <w:basedOn w:val="TableNormal"/>
    <w:uiPriority w:val="59"/>
    <w:rsid w:val="007C6812"/>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C6812"/>
    <w:rPr>
      <w:color w:val="9B917E" w:themeColor="followedHyperlink"/>
      <w:u w:val="single"/>
    </w:rPr>
  </w:style>
  <w:style w:type="paragraph" w:styleId="NoSpacing">
    <w:name w:val="No Spacing"/>
    <w:basedOn w:val="Normal"/>
    <w:uiPriority w:val="1"/>
    <w:qFormat/>
    <w:rsid w:val="007C6812"/>
    <w:pPr>
      <w:spacing w:line="240" w:lineRule="auto"/>
    </w:pPr>
    <w:rPr>
      <w:rFonts w:asciiTheme="minorHAnsi" w:eastAsiaTheme="minorHAnsi" w:hAnsiTheme="minorHAnsi"/>
      <w:color w:val="000000" w:themeColor="text1"/>
      <w:szCs w:val="20"/>
      <w:lang w:val="en-US" w:eastAsia="ja-JP"/>
    </w:rPr>
  </w:style>
  <w:style w:type="paragraph" w:styleId="CommentSubject">
    <w:name w:val="annotation subject"/>
    <w:basedOn w:val="CommentText"/>
    <w:next w:val="CommentText"/>
    <w:link w:val="CommentSubjectChar"/>
    <w:uiPriority w:val="99"/>
    <w:semiHidden/>
    <w:rsid w:val="007C6812"/>
    <w:pPr>
      <w:spacing w:before="0" w:line="240" w:lineRule="auto"/>
    </w:pPr>
    <w:rPr>
      <w:rFonts w:ascii="Calibri" w:hAnsi="Calibri" w:cstheme="minorBidi"/>
      <w:b/>
      <w:bCs/>
    </w:rPr>
  </w:style>
  <w:style w:type="character" w:customStyle="1" w:styleId="CommentSubjectChar">
    <w:name w:val="Comment Subject Char"/>
    <w:basedOn w:val="CommentTextChar"/>
    <w:link w:val="CommentSubject"/>
    <w:uiPriority w:val="99"/>
    <w:semiHidden/>
    <w:rsid w:val="007C6812"/>
    <w:rPr>
      <w:rFonts w:ascii="Calibri" w:eastAsia="Times New Roman" w:hAnsi="Calibri" w:cstheme="minorBidi"/>
      <w:b/>
      <w:bCs/>
      <w:sz w:val="20"/>
      <w:szCs w:val="20"/>
    </w:rPr>
  </w:style>
  <w:style w:type="paragraph" w:styleId="Revision">
    <w:name w:val="Revision"/>
    <w:hidden/>
    <w:uiPriority w:val="99"/>
    <w:semiHidden/>
    <w:rsid w:val="007C6812"/>
    <w:pPr>
      <w:spacing w:before="0" w:line="240" w:lineRule="auto"/>
    </w:pPr>
  </w:style>
  <w:style w:type="paragraph" w:styleId="BalloonText">
    <w:name w:val="Balloon Text"/>
    <w:basedOn w:val="Normal"/>
    <w:link w:val="BalloonTextChar"/>
    <w:semiHidden/>
    <w:unhideWhenUsed/>
    <w:rsid w:val="007C6812"/>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7C6812"/>
    <w:rPr>
      <w:rFonts w:ascii="Tahoma" w:hAnsi="Tahoma" w:cs="Tahoma"/>
      <w:sz w:val="16"/>
      <w:szCs w:val="16"/>
    </w:rPr>
  </w:style>
  <w:style w:type="paragraph" w:customStyle="1" w:styleId="HighlightMessage">
    <w:name w:val="Highlight Message"/>
    <w:basedOn w:val="BodyText"/>
    <w:next w:val="BodyText"/>
    <w:rsid w:val="007C6812"/>
    <w:pPr>
      <w:keepNext/>
      <w:spacing w:before="360" w:line="260" w:lineRule="atLeast"/>
      <w:ind w:right="1701"/>
    </w:pPr>
    <w:rPr>
      <w:rFonts w:ascii="Franklin Gothic Heavy" w:hAnsi="Franklin Gothic Heavy"/>
      <w:color w:val="F61D12" w:themeColor="accent2"/>
      <w:szCs w:val="16"/>
      <w:lang w:eastAsia="en-US"/>
    </w:rPr>
  </w:style>
  <w:style w:type="paragraph" w:customStyle="1" w:styleId="Chart">
    <w:name w:val="Chart"/>
    <w:basedOn w:val="BodyText"/>
    <w:uiPriority w:val="99"/>
    <w:unhideWhenUsed/>
    <w:rsid w:val="007C6812"/>
    <w:pPr>
      <w:spacing w:before="0" w:line="200" w:lineRule="atLeast"/>
    </w:pPr>
    <w:rPr>
      <w:lang w:eastAsia="en-US"/>
    </w:rPr>
  </w:style>
  <w:style w:type="paragraph" w:customStyle="1" w:styleId="KeyPoint">
    <w:name w:val="Key Point"/>
    <w:basedOn w:val="BodyText"/>
    <w:uiPriority w:val="1"/>
    <w:rsid w:val="007C6812"/>
    <w:pPr>
      <w:numPr>
        <w:numId w:val="13"/>
      </w:numPr>
    </w:pPr>
    <w:rPr>
      <w:rFonts w:ascii="Franklin Gothic Demi" w:hAnsi="Franklin Gothic Demi"/>
      <w:color w:val="6F6652" w:themeColor="text2"/>
      <w:szCs w:val="20"/>
      <w:lang w:eastAsia="en-US"/>
    </w:rPr>
  </w:style>
  <w:style w:type="paragraph" w:customStyle="1" w:styleId="ChapterSummary">
    <w:name w:val="Chapter Summary"/>
    <w:basedOn w:val="KeyPoint"/>
    <w:uiPriority w:val="1"/>
    <w:rsid w:val="007C6812"/>
    <w:pPr>
      <w:numPr>
        <w:numId w:val="0"/>
      </w:numPr>
    </w:pPr>
  </w:style>
  <w:style w:type="paragraph" w:customStyle="1" w:styleId="ChapterIntroduction">
    <w:name w:val="Chapter Introduction"/>
    <w:basedOn w:val="ChapterSummary"/>
    <w:next w:val="BodyText"/>
    <w:uiPriority w:val="1"/>
    <w:rsid w:val="007C6812"/>
    <w:pPr>
      <w:pBdr>
        <w:top w:val="single" w:sz="4" w:space="4" w:color="9B917E" w:themeColor="accent4"/>
        <w:bottom w:val="single" w:sz="4" w:space="6" w:color="9B917E" w:themeColor="accent4"/>
      </w:pBdr>
      <w:spacing w:after="180"/>
    </w:pPr>
    <w:rPr>
      <w:rFonts w:asciiTheme="minorHAnsi" w:hAnsiTheme="minorHAnsi"/>
      <w:b/>
      <w:i/>
      <w:color w:val="006B7A" w:themeColor="accent1"/>
      <w:sz w:val="22"/>
    </w:rPr>
  </w:style>
  <w:style w:type="paragraph" w:customStyle="1" w:styleId="Confidential">
    <w:name w:val="Confidential"/>
    <w:basedOn w:val="Reporttype"/>
    <w:uiPriority w:val="31"/>
    <w:rsid w:val="007C6812"/>
    <w:pPr>
      <w:spacing w:after="0"/>
    </w:pPr>
    <w:rPr>
      <w:rFonts w:ascii="Franklin Gothic Book" w:hAnsi="Franklin Gothic Book"/>
      <w:color w:val="auto"/>
      <w:spacing w:val="10"/>
    </w:rPr>
  </w:style>
  <w:style w:type="numbering" w:customStyle="1" w:styleId="ListNumbers">
    <w:name w:val="ListNumbers"/>
    <w:next w:val="NoList"/>
    <w:uiPriority w:val="99"/>
    <w:rsid w:val="007C6812"/>
    <w:pPr>
      <w:numPr>
        <w:numId w:val="12"/>
      </w:numPr>
    </w:pPr>
  </w:style>
  <w:style w:type="paragraph" w:customStyle="1" w:styleId="PartNumber">
    <w:name w:val="Part Number"/>
    <w:basedOn w:val="Reporttype"/>
    <w:uiPriority w:val="34"/>
    <w:semiHidden/>
    <w:rsid w:val="007C6812"/>
  </w:style>
  <w:style w:type="paragraph" w:customStyle="1" w:styleId="PartTitle">
    <w:name w:val="Part Title"/>
    <w:basedOn w:val="Title"/>
    <w:link w:val="PartTitleChar"/>
    <w:uiPriority w:val="34"/>
    <w:semiHidden/>
    <w:rsid w:val="007C6812"/>
    <w:pPr>
      <w:spacing w:line="440" w:lineRule="atLeast"/>
    </w:pPr>
    <w:rPr>
      <w:sz w:val="36"/>
    </w:rPr>
  </w:style>
  <w:style w:type="character" w:customStyle="1" w:styleId="PartTitleChar">
    <w:name w:val="Part Title Char"/>
    <w:basedOn w:val="TitleChar"/>
    <w:link w:val="PartTitle"/>
    <w:uiPriority w:val="34"/>
    <w:semiHidden/>
    <w:rsid w:val="007C6812"/>
    <w:rPr>
      <w:rFonts w:asciiTheme="majorHAnsi" w:eastAsia="Times New Roman" w:hAnsiTheme="majorHAnsi"/>
      <w:spacing w:val="-2"/>
      <w:kern w:val="28"/>
      <w:sz w:val="36"/>
      <w:szCs w:val="48"/>
    </w:rPr>
  </w:style>
  <w:style w:type="character" w:customStyle="1" w:styleId="ListBulletChar">
    <w:name w:val="List Bullet Char"/>
    <w:aliases w:val="Char Char,|BCS| ul 1 Char,PA List Bullet Char"/>
    <w:link w:val="ListBullet"/>
    <w:uiPriority w:val="2"/>
    <w:locked/>
    <w:rsid w:val="007C6812"/>
    <w:rPr>
      <w:rFonts w:asciiTheme="minorHAnsi" w:eastAsia="Times New Roman" w:hAnsiTheme="minorHAnsi"/>
    </w:rPr>
  </w:style>
  <w:style w:type="paragraph" w:styleId="TOC4">
    <w:name w:val="toc 4"/>
    <w:basedOn w:val="TOC1"/>
    <w:next w:val="TOC1"/>
    <w:uiPriority w:val="39"/>
    <w:semiHidden/>
    <w:rsid w:val="007C6812"/>
    <w:pPr>
      <w:spacing w:before="360"/>
      <w:ind w:right="0"/>
    </w:pPr>
    <w:rPr>
      <w:caps/>
      <w:color w:val="9B917E" w:themeColor="accent4"/>
      <w:spacing w:val="10"/>
      <w:sz w:val="22"/>
    </w:rPr>
  </w:style>
  <w:style w:type="paragraph" w:styleId="TOCHeading">
    <w:name w:val="TOC Heading"/>
    <w:basedOn w:val="Heading4"/>
    <w:next w:val="TableofFigures"/>
    <w:uiPriority w:val="39"/>
    <w:semiHidden/>
    <w:rsid w:val="007C6812"/>
    <w:pPr>
      <w:keepLines/>
      <w:numPr>
        <w:ilvl w:val="0"/>
        <w:numId w:val="0"/>
      </w:numPr>
      <w:outlineLvl w:val="9"/>
    </w:pPr>
    <w:rPr>
      <w:rFonts w:ascii="Franklin Gothic Demi" w:eastAsiaTheme="majorEastAsia" w:hAnsi="Franklin Gothic Demi" w:cstheme="majorBidi"/>
      <w:b w:val="0"/>
      <w:bCs/>
      <w:i w:val="0"/>
      <w:caps/>
      <w:color w:val="006B7A" w:themeColor="accent1"/>
      <w:spacing w:val="10"/>
      <w:sz w:val="22"/>
      <w:szCs w:val="28"/>
    </w:rPr>
  </w:style>
  <w:style w:type="character" w:customStyle="1" w:styleId="ContinuedChar">
    <w:name w:val="Continued Char"/>
    <w:basedOn w:val="DefaultParagraphFont"/>
    <w:link w:val="Continued"/>
    <w:uiPriority w:val="17"/>
    <w:rsid w:val="007C6812"/>
    <w:rPr>
      <w:rFonts w:ascii="Franklin Gothic Book" w:eastAsia="Times New Roman" w:hAnsi="Franklin Gothic Book"/>
      <w:sz w:val="14"/>
      <w:szCs w:val="16"/>
      <w:lang w:eastAsia="en-US"/>
    </w:rPr>
  </w:style>
  <w:style w:type="paragraph" w:styleId="ListParagraph">
    <w:name w:val="List Paragraph"/>
    <w:basedOn w:val="Normal"/>
    <w:uiPriority w:val="34"/>
    <w:qFormat/>
    <w:rsid w:val="007C6812"/>
    <w:pPr>
      <w:ind w:left="720"/>
      <w:contextualSpacing/>
    </w:pPr>
  </w:style>
  <w:style w:type="character" w:customStyle="1" w:styleId="CaptionChar">
    <w:name w:val="Caption Char"/>
    <w:basedOn w:val="BodyTextChar"/>
    <w:link w:val="Caption"/>
    <w:uiPriority w:val="99"/>
    <w:rsid w:val="007C6812"/>
    <w:rPr>
      <w:rFonts w:ascii="Franklin Gothic Demi" w:eastAsia="Times New Roman" w:hAnsi="Franklin Gothic Demi"/>
      <w:szCs w:val="20"/>
    </w:rPr>
  </w:style>
  <w:style w:type="paragraph" w:customStyle="1" w:styleId="Summary2">
    <w:name w:val="Summary 2"/>
    <w:basedOn w:val="Heading2"/>
    <w:next w:val="BodyText"/>
    <w:rsid w:val="007C6812"/>
  </w:style>
  <w:style w:type="paragraph" w:customStyle="1" w:styleId="Summary3">
    <w:name w:val="Summary 3"/>
    <w:basedOn w:val="Heading3"/>
    <w:next w:val="BodyText"/>
    <w:rsid w:val="007C6812"/>
  </w:style>
  <w:style w:type="paragraph" w:customStyle="1" w:styleId="Summary4">
    <w:name w:val="Summary 4"/>
    <w:basedOn w:val="Heading4"/>
    <w:next w:val="BodyText"/>
    <w:rsid w:val="007C6812"/>
  </w:style>
  <w:style w:type="paragraph" w:customStyle="1" w:styleId="KeyPoint2">
    <w:name w:val="Key Point 2"/>
    <w:basedOn w:val="KeyPoint"/>
    <w:next w:val="BodyText"/>
    <w:uiPriority w:val="1"/>
    <w:rsid w:val="007C6812"/>
    <w:pPr>
      <w:numPr>
        <w:ilvl w:val="1"/>
      </w:numPr>
      <w:spacing w:before="80"/>
    </w:pPr>
  </w:style>
  <w:style w:type="paragraph" w:customStyle="1" w:styleId="KeyPoint3">
    <w:name w:val="Key Point 3"/>
    <w:basedOn w:val="KeyPoint2"/>
    <w:next w:val="BodyText"/>
    <w:uiPriority w:val="1"/>
    <w:rsid w:val="007C6812"/>
    <w:pPr>
      <w:numPr>
        <w:ilvl w:val="2"/>
      </w:numPr>
      <w:spacing w:before="60"/>
    </w:pPr>
  </w:style>
  <w:style w:type="numbering" w:customStyle="1" w:styleId="KeyPointBullets">
    <w:name w:val="KeyPointBullets"/>
    <w:basedOn w:val="ListBullets"/>
    <w:uiPriority w:val="99"/>
    <w:rsid w:val="007C6812"/>
    <w:pPr>
      <w:numPr>
        <w:numId w:val="13"/>
      </w:numPr>
    </w:pPr>
  </w:style>
  <w:style w:type="numbering" w:customStyle="1" w:styleId="NoteListNumber">
    <w:name w:val="NoteListNumber"/>
    <w:uiPriority w:val="99"/>
    <w:rsid w:val="007C6812"/>
    <w:pPr>
      <w:numPr>
        <w:numId w:val="14"/>
      </w:numPr>
    </w:pPr>
  </w:style>
  <w:style w:type="paragraph" w:styleId="NormalWeb">
    <w:name w:val="Normal (Web)"/>
    <w:basedOn w:val="Normal"/>
    <w:uiPriority w:val="99"/>
    <w:semiHidden/>
    <w:unhideWhenUsed/>
    <w:rsid w:val="007C6812"/>
    <w:pPr>
      <w:spacing w:before="100" w:beforeAutospacing="1" w:after="100" w:afterAutospacing="1" w:line="240" w:lineRule="auto"/>
    </w:pPr>
    <w:rPr>
      <w:rFonts w:ascii="Times New Roman" w:hAnsi="Times New Roman"/>
      <w:sz w:val="24"/>
      <w:szCs w:val="24"/>
    </w:rPr>
  </w:style>
  <w:style w:type="paragraph" w:customStyle="1" w:styleId="NoteNumber">
    <w:name w:val="Note Number"/>
    <w:basedOn w:val="Note"/>
    <w:uiPriority w:val="15"/>
    <w:rsid w:val="007C6812"/>
    <w:pPr>
      <w:numPr>
        <w:ilvl w:val="1"/>
        <w:numId w:val="19"/>
      </w:numPr>
    </w:pPr>
    <w:rPr>
      <w:szCs w:val="15"/>
    </w:rPr>
  </w:style>
  <w:style w:type="table" w:customStyle="1" w:styleId="LayoutGrid">
    <w:name w:val="Layout Grid"/>
    <w:basedOn w:val="TableNormal"/>
    <w:uiPriority w:val="99"/>
    <w:rsid w:val="007C6812"/>
    <w:pPr>
      <w:spacing w:before="0" w:line="240" w:lineRule="auto"/>
    </w:pPr>
    <w:tblPr>
      <w:tblCellMar>
        <w:left w:w="0" w:type="dxa"/>
        <w:right w:w="0" w:type="dxa"/>
      </w:tblCellMar>
    </w:tblPr>
  </w:style>
  <w:style w:type="paragraph" w:customStyle="1" w:styleId="Customtabletitle">
    <w:name w:val="Custom table title"/>
    <w:rsid w:val="007C6812"/>
    <w:pPr>
      <w:keepNext/>
      <w:spacing w:before="360" w:after="80" w:line="260" w:lineRule="atLeast"/>
    </w:pPr>
    <w:rPr>
      <w:rFonts w:ascii="Franklin Gothic Demi" w:eastAsia="Times New Roman" w:hAnsi="Franklin Gothic Demi"/>
      <w:szCs w:val="20"/>
    </w:rPr>
  </w:style>
  <w:style w:type="paragraph" w:customStyle="1" w:styleId="SenderAddress">
    <w:name w:val="Sender Address"/>
    <w:basedOn w:val="BodyText"/>
    <w:rsid w:val="007C6812"/>
    <w:pPr>
      <w:tabs>
        <w:tab w:val="left" w:pos="1134"/>
      </w:tabs>
      <w:spacing w:before="0" w:after="120" w:line="260" w:lineRule="atLeast"/>
    </w:pPr>
    <w:rPr>
      <w:sz w:val="19"/>
    </w:rPr>
  </w:style>
  <w:style w:type="paragraph" w:customStyle="1" w:styleId="Disclaimer">
    <w:name w:val="Disclaimer"/>
    <w:basedOn w:val="Normal"/>
    <w:rsid w:val="007C6812"/>
    <w:pPr>
      <w:spacing w:before="140"/>
    </w:pPr>
  </w:style>
  <w:style w:type="paragraph" w:customStyle="1" w:styleId="DisclaimerHeading">
    <w:name w:val="Disclaimer Heading"/>
    <w:basedOn w:val="BodyText"/>
    <w:rsid w:val="007C6812"/>
    <w:pPr>
      <w:spacing w:before="2840"/>
    </w:pPr>
    <w:rPr>
      <w:rFonts w:ascii="Franklin Gothic Demi" w:hAnsi="Franklin Gothic Demi"/>
      <w:caps/>
      <w:spacing w:val="10"/>
      <w:szCs w:val="22"/>
    </w:rPr>
  </w:style>
  <w:style w:type="paragraph" w:customStyle="1" w:styleId="Heading1NotNumbered">
    <w:name w:val="Heading 1 NotNumbered"/>
    <w:basedOn w:val="Heading1"/>
    <w:next w:val="BodyText"/>
    <w:rsid w:val="007C6812"/>
    <w:pPr>
      <w:numPr>
        <w:numId w:val="0"/>
      </w:numPr>
    </w:pPr>
    <w:rPr>
      <w:lang w:bidi="fa-IR"/>
    </w:rPr>
  </w:style>
  <w:style w:type="paragraph" w:customStyle="1" w:styleId="ShortReportCoverTagline">
    <w:name w:val="ShortReportCoverTagline"/>
    <w:basedOn w:val="BodyText"/>
    <w:rsid w:val="007C6812"/>
    <w:pPr>
      <w:spacing w:before="0" w:line="240" w:lineRule="auto"/>
    </w:pPr>
    <w:rPr>
      <w:rFonts w:ascii="Franklin Gothic Medium" w:hAnsi="Franklin Gothic Medium"/>
      <w:caps/>
      <w:color w:val="6F6652" w:themeColor="text2"/>
      <w:spacing w:val="10"/>
      <w:sz w:val="20"/>
    </w:rPr>
  </w:style>
  <w:style w:type="character" w:customStyle="1" w:styleId="SourceChar">
    <w:name w:val="Source Char"/>
    <w:basedOn w:val="DefaultParagraphFont"/>
    <w:link w:val="Source"/>
    <w:uiPriority w:val="16"/>
    <w:locked/>
    <w:rsid w:val="00767FC0"/>
    <w:rPr>
      <w:rFonts w:ascii="Franklin Gothic Book" w:eastAsia="Times New Roman" w:hAnsi="Franklin Gothic Book"/>
      <w:sz w:val="14"/>
      <w:szCs w:val="16"/>
      <w:lang w:eastAsia="en-US"/>
    </w:rPr>
  </w:style>
  <w:style w:type="character" w:customStyle="1" w:styleId="TableTextEntriesChar">
    <w:name w:val="Table Text Entries Char"/>
    <w:link w:val="TableTextEntries"/>
    <w:uiPriority w:val="13"/>
    <w:locked/>
    <w:rsid w:val="00767FC0"/>
    <w:rPr>
      <w:rFonts w:ascii="Franklin Gothic Book" w:eastAsia="Times New Roman" w:hAnsi="Franklin Gothic Book"/>
      <w:sz w:val="16"/>
      <w:szCs w:val="18"/>
      <w:lang w:eastAsia="en-US"/>
    </w:rPr>
  </w:style>
  <w:style w:type="character" w:customStyle="1" w:styleId="ListBullet2Char">
    <w:name w:val="List Bullet 2 Char"/>
    <w:basedOn w:val="DefaultParagraphFont"/>
    <w:link w:val="ListBullet2"/>
    <w:uiPriority w:val="2"/>
    <w:locked/>
    <w:rsid w:val="006E5BA6"/>
    <w:rPr>
      <w:rFonts w:asciiTheme="minorHAnsi" w:eastAsia="Times New Roman" w:hAnsiTheme="minorHAnsi"/>
    </w:rPr>
  </w:style>
  <w:style w:type="character" w:styleId="UnresolvedMention">
    <w:name w:val="Unresolved Mention"/>
    <w:basedOn w:val="DefaultParagraphFont"/>
    <w:uiPriority w:val="99"/>
    <w:semiHidden/>
    <w:unhideWhenUsed/>
    <w:rsid w:val="006E5BA6"/>
    <w:rPr>
      <w:color w:val="605E5C"/>
      <w:shd w:val="clear" w:color="auto" w:fill="E1DFDD"/>
    </w:rPr>
  </w:style>
  <w:style w:type="character" w:styleId="Mention">
    <w:name w:val="Mention"/>
    <w:basedOn w:val="DefaultParagraphFont"/>
    <w:uiPriority w:val="99"/>
    <w:unhideWhenUsed/>
    <w:rsid w:val="006E5BA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961375">
      <w:bodyDiv w:val="1"/>
      <w:marLeft w:val="0"/>
      <w:marRight w:val="0"/>
      <w:marTop w:val="0"/>
      <w:marBottom w:val="0"/>
      <w:divBdr>
        <w:top w:val="none" w:sz="0" w:space="0" w:color="auto"/>
        <w:left w:val="none" w:sz="0" w:space="0" w:color="auto"/>
        <w:bottom w:val="none" w:sz="0" w:space="0" w:color="auto"/>
        <w:right w:val="none" w:sz="0" w:space="0" w:color="auto"/>
      </w:divBdr>
    </w:div>
    <w:div w:id="686180482">
      <w:bodyDiv w:val="1"/>
      <w:marLeft w:val="0"/>
      <w:marRight w:val="0"/>
      <w:marTop w:val="0"/>
      <w:marBottom w:val="0"/>
      <w:divBdr>
        <w:top w:val="none" w:sz="0" w:space="0" w:color="auto"/>
        <w:left w:val="none" w:sz="0" w:space="0" w:color="auto"/>
        <w:bottom w:val="none" w:sz="0" w:space="0" w:color="auto"/>
        <w:right w:val="none" w:sz="0" w:space="0" w:color="auto"/>
      </w:divBdr>
    </w:div>
    <w:div w:id="915242328">
      <w:bodyDiv w:val="1"/>
      <w:marLeft w:val="0"/>
      <w:marRight w:val="0"/>
      <w:marTop w:val="0"/>
      <w:marBottom w:val="0"/>
      <w:divBdr>
        <w:top w:val="none" w:sz="0" w:space="0" w:color="auto"/>
        <w:left w:val="none" w:sz="0" w:space="0" w:color="auto"/>
        <w:bottom w:val="none" w:sz="0" w:space="0" w:color="auto"/>
        <w:right w:val="none" w:sz="0" w:space="0" w:color="auto"/>
      </w:divBdr>
    </w:div>
    <w:div w:id="1298536351">
      <w:bodyDiv w:val="1"/>
      <w:marLeft w:val="0"/>
      <w:marRight w:val="0"/>
      <w:marTop w:val="0"/>
      <w:marBottom w:val="0"/>
      <w:divBdr>
        <w:top w:val="none" w:sz="0" w:space="0" w:color="auto"/>
        <w:left w:val="none" w:sz="0" w:space="0" w:color="auto"/>
        <w:bottom w:val="none" w:sz="0" w:space="0" w:color="auto"/>
        <w:right w:val="none" w:sz="0" w:space="0" w:color="auto"/>
      </w:divBdr>
    </w:div>
    <w:div w:id="194827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emf"/><Relationship Id="rId21" Type="http://schemas.openxmlformats.org/officeDocument/2006/relationships/footer" Target="footer6.xml"/><Relationship Id="rId42" Type="http://schemas.openxmlformats.org/officeDocument/2006/relationships/image" Target="media/image22.png"/><Relationship Id="rId47" Type="http://schemas.openxmlformats.org/officeDocument/2006/relationships/hyperlink" Target="https://aemo.com.au/en/energy-systems/electricity/national-electricity-market-nem/data-nem/data-dashboard-nem" TargetMode="External"/><Relationship Id="rId63" Type="http://schemas.openxmlformats.org/officeDocument/2006/relationships/image" Target="media/image34.emf"/><Relationship Id="rId68" Type="http://schemas.openxmlformats.org/officeDocument/2006/relationships/image" Target="media/image39.emf"/><Relationship Id="rId84" Type="http://schemas.openxmlformats.org/officeDocument/2006/relationships/hyperlink" Target="https://www.cbd.gov.au/about-cbd-program/performance-program/download-cbd-program-data" TargetMode="External"/><Relationship Id="rId89" Type="http://schemas.openxmlformats.org/officeDocument/2006/relationships/image" Target="media/image51.emf"/><Relationship Id="rId112" Type="http://schemas.openxmlformats.org/officeDocument/2006/relationships/footer" Target="footer8.xml"/><Relationship Id="rId16" Type="http://schemas.openxmlformats.org/officeDocument/2006/relationships/footer" Target="footer3.xml"/><Relationship Id="rId107" Type="http://schemas.openxmlformats.org/officeDocument/2006/relationships/image" Target="media/image69.emf"/><Relationship Id="rId11" Type="http://schemas.openxmlformats.org/officeDocument/2006/relationships/footer" Target="footer2.xml"/><Relationship Id="rId32" Type="http://schemas.openxmlformats.org/officeDocument/2006/relationships/image" Target="media/image12.emf"/><Relationship Id="rId37" Type="http://schemas.openxmlformats.org/officeDocument/2006/relationships/image" Target="media/image17.png"/><Relationship Id="rId53" Type="http://schemas.openxmlformats.org/officeDocument/2006/relationships/hyperlink" Target="https://data.wa.aemo.com.au/" TargetMode="External"/><Relationship Id="rId58" Type="http://schemas.openxmlformats.org/officeDocument/2006/relationships/image" Target="media/image31.emf"/><Relationship Id="rId74" Type="http://schemas.openxmlformats.org/officeDocument/2006/relationships/image" Target="media/image45.emf"/><Relationship Id="rId79" Type="http://schemas.openxmlformats.org/officeDocument/2006/relationships/hyperlink" Target="https://www.cbd.gov.au/sites/default/files/2020-09/cbd_review_cie_report_draft.pdf" TargetMode="External"/><Relationship Id="rId102" Type="http://schemas.openxmlformats.org/officeDocument/2006/relationships/image" Target="media/image64.emf"/><Relationship Id="rId5" Type="http://schemas.openxmlformats.org/officeDocument/2006/relationships/footnotes" Target="footnotes.xml"/><Relationship Id="rId90" Type="http://schemas.openxmlformats.org/officeDocument/2006/relationships/image" Target="media/image52.emf"/><Relationship Id="rId95" Type="http://schemas.openxmlformats.org/officeDocument/2006/relationships/image" Target="media/image57.emf"/><Relationship Id="rId22" Type="http://schemas.openxmlformats.org/officeDocument/2006/relationships/image" Target="media/image2.emf"/><Relationship Id="rId27" Type="http://schemas.openxmlformats.org/officeDocument/2006/relationships/image" Target="media/image7.emf"/><Relationship Id="rId43" Type="http://schemas.openxmlformats.org/officeDocument/2006/relationships/image" Target="media/image23.png"/><Relationship Id="rId48" Type="http://schemas.openxmlformats.org/officeDocument/2006/relationships/image" Target="media/image26.emf"/><Relationship Id="rId64" Type="http://schemas.openxmlformats.org/officeDocument/2006/relationships/image" Target="media/image35.emf"/><Relationship Id="rId69" Type="http://schemas.openxmlformats.org/officeDocument/2006/relationships/image" Target="media/image40.emf"/><Relationship Id="rId113" Type="http://schemas.openxmlformats.org/officeDocument/2006/relationships/fontTable" Target="fontTable.xml"/><Relationship Id="rId80" Type="http://schemas.openxmlformats.org/officeDocument/2006/relationships/image" Target="media/image46.emf"/><Relationship Id="rId85" Type="http://schemas.openxmlformats.org/officeDocument/2006/relationships/image" Target="media/image48.tmp"/><Relationship Id="rId12" Type="http://schemas.openxmlformats.org/officeDocument/2006/relationships/hyperlink" Target="mailto:ciesyd@TheCIE.com.au" TargetMode="External"/><Relationship Id="rId17" Type="http://schemas.openxmlformats.org/officeDocument/2006/relationships/footer" Target="footer4.xml"/><Relationship Id="rId33" Type="http://schemas.openxmlformats.org/officeDocument/2006/relationships/image" Target="media/image13.emf"/><Relationship Id="rId38" Type="http://schemas.openxmlformats.org/officeDocument/2006/relationships/image" Target="media/image18.png"/><Relationship Id="rId59" Type="http://schemas.openxmlformats.org/officeDocument/2006/relationships/hyperlink" Target="https://aemo.com.au/en/energy-systems/electricity/national-electricity-market-nem/data-nem/data-dashboard-nem" TargetMode="External"/><Relationship Id="rId103" Type="http://schemas.openxmlformats.org/officeDocument/2006/relationships/image" Target="media/image65.emf"/><Relationship Id="rId108" Type="http://schemas.openxmlformats.org/officeDocument/2006/relationships/image" Target="media/image70.emf"/><Relationship Id="rId54" Type="http://schemas.openxmlformats.org/officeDocument/2006/relationships/image" Target="media/image29.emf"/><Relationship Id="rId70" Type="http://schemas.openxmlformats.org/officeDocument/2006/relationships/image" Target="media/image41.emf"/><Relationship Id="rId75" Type="http://schemas.openxmlformats.org/officeDocument/2006/relationships/hyperlink" Target="https://www.cbd.gov.au/sites/default/files/2020-09/cbd_review_cie_report_draft.pdf" TargetMode="External"/><Relationship Id="rId91" Type="http://schemas.openxmlformats.org/officeDocument/2006/relationships/image" Target="media/image53.emf"/><Relationship Id="rId96" Type="http://schemas.openxmlformats.org/officeDocument/2006/relationships/image" Target="media/image58.e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image" Target="media/image3.emf"/><Relationship Id="rId28" Type="http://schemas.openxmlformats.org/officeDocument/2006/relationships/image" Target="media/image8.emf"/><Relationship Id="rId36" Type="http://schemas.openxmlformats.org/officeDocument/2006/relationships/image" Target="media/image16.emf"/><Relationship Id="rId49" Type="http://schemas.openxmlformats.org/officeDocument/2006/relationships/hyperlink" Target="https://aemo.com.au/en/energy-systems/electricity/national-electricity-market-nem/data-nem/data-dashboard-nem" TargetMode="External"/><Relationship Id="rId57" Type="http://schemas.openxmlformats.org/officeDocument/2006/relationships/hyperlink" Target="https://aemo.com.au/en/energy-systems/electricity/national-electricity-market-nem/data-nem/data-dashboard-nem" TargetMode="External"/><Relationship Id="rId106" Type="http://schemas.openxmlformats.org/officeDocument/2006/relationships/image" Target="media/image68.emf"/><Relationship Id="rId114"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11.emf"/><Relationship Id="rId44" Type="http://schemas.openxmlformats.org/officeDocument/2006/relationships/image" Target="media/image24.png"/><Relationship Id="rId52" Type="http://schemas.openxmlformats.org/officeDocument/2006/relationships/image" Target="media/image28.emf"/><Relationship Id="rId60" Type="http://schemas.openxmlformats.org/officeDocument/2006/relationships/image" Target="media/image32.emf"/><Relationship Id="rId65" Type="http://schemas.openxmlformats.org/officeDocument/2006/relationships/image" Target="media/image36.emf"/><Relationship Id="rId73" Type="http://schemas.openxmlformats.org/officeDocument/2006/relationships/image" Target="media/image44.emf"/><Relationship Id="rId78" Type="http://schemas.openxmlformats.org/officeDocument/2006/relationships/hyperlink" Target="http://www.npi.gov.au/npi-data/latest-data" TargetMode="External"/><Relationship Id="rId81" Type="http://schemas.openxmlformats.org/officeDocument/2006/relationships/image" Target="media/image47.png"/><Relationship Id="rId86" Type="http://schemas.openxmlformats.org/officeDocument/2006/relationships/hyperlink" Target="https://www.abcb.gov.au/sites/default/files/resources/2022/Climate-zone-map-aust.pdf" TargetMode="External"/><Relationship Id="rId94" Type="http://schemas.openxmlformats.org/officeDocument/2006/relationships/image" Target="media/image56.emf"/><Relationship Id="rId99" Type="http://schemas.openxmlformats.org/officeDocument/2006/relationships/image" Target="media/image61.emf"/><Relationship Id="rId101" Type="http://schemas.openxmlformats.org/officeDocument/2006/relationships/image" Target="media/image63.emf"/><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hyperlink" Target="http://www.TheCIE.com.au" TargetMode="External"/><Relationship Id="rId18" Type="http://schemas.openxmlformats.org/officeDocument/2006/relationships/header" Target="header5.xml"/><Relationship Id="rId39" Type="http://schemas.openxmlformats.org/officeDocument/2006/relationships/image" Target="media/image19.png"/><Relationship Id="rId109" Type="http://schemas.openxmlformats.org/officeDocument/2006/relationships/header" Target="header7.xml"/><Relationship Id="rId34" Type="http://schemas.openxmlformats.org/officeDocument/2006/relationships/image" Target="media/image14.emf"/><Relationship Id="rId50" Type="http://schemas.openxmlformats.org/officeDocument/2006/relationships/image" Target="media/image27.emf"/><Relationship Id="rId55" Type="http://schemas.openxmlformats.org/officeDocument/2006/relationships/hyperlink" Target="https://aemo.com.au/en/energy-systems/electricity/national-electricity-market-nem/data-nem/data-dashboard-nem" TargetMode="External"/><Relationship Id="rId76" Type="http://schemas.openxmlformats.org/officeDocument/2006/relationships/hyperlink" Target="https://www.climatechange.vic.gov.au/__data/assets/pdf_file/0022/421717/Final_Health-costs-of-air-pollution-in-Victoria.pdf" TargetMode="External"/><Relationship Id="rId97" Type="http://schemas.openxmlformats.org/officeDocument/2006/relationships/image" Target="media/image59.emf"/><Relationship Id="rId104" Type="http://schemas.openxmlformats.org/officeDocument/2006/relationships/image" Target="media/image66.emf"/><Relationship Id="rId7" Type="http://schemas.openxmlformats.org/officeDocument/2006/relationships/image" Target="media/image1.png"/><Relationship Id="rId71" Type="http://schemas.openxmlformats.org/officeDocument/2006/relationships/image" Target="media/image42.emf"/><Relationship Id="rId92" Type="http://schemas.openxmlformats.org/officeDocument/2006/relationships/image" Target="media/image54.emf"/><Relationship Id="rId2" Type="http://schemas.openxmlformats.org/officeDocument/2006/relationships/styles" Target="styles.xml"/><Relationship Id="rId29" Type="http://schemas.openxmlformats.org/officeDocument/2006/relationships/image" Target="media/image9.emf"/><Relationship Id="rId24" Type="http://schemas.openxmlformats.org/officeDocument/2006/relationships/image" Target="media/image4.emf"/><Relationship Id="rId40" Type="http://schemas.openxmlformats.org/officeDocument/2006/relationships/image" Target="media/image20.png"/><Relationship Id="rId45" Type="http://schemas.openxmlformats.org/officeDocument/2006/relationships/hyperlink" Target="https://www.iea.org/publications/freepublications/publication/mind_the_gap.pdf" TargetMode="External"/><Relationship Id="rId66" Type="http://schemas.openxmlformats.org/officeDocument/2006/relationships/image" Target="media/image37.emf"/><Relationship Id="rId87" Type="http://schemas.openxmlformats.org/officeDocument/2006/relationships/image" Target="media/image49.emf"/><Relationship Id="rId110" Type="http://schemas.openxmlformats.org/officeDocument/2006/relationships/header" Target="header8.xml"/><Relationship Id="rId61" Type="http://schemas.openxmlformats.org/officeDocument/2006/relationships/hyperlink" Target="https://ntesmo.com.au/data/daily-trading/historical-daily-trading-data" TargetMode="External"/><Relationship Id="rId82" Type="http://schemas.openxmlformats.org/officeDocument/2006/relationships/hyperlink" Target="https://maxcapgroup.com.au/wp-content/uploads/2022/05/MAXCAP_HOTEL_UPDATE_2022_FINAL.pdf" TargetMode="External"/><Relationship Id="rId19" Type="http://schemas.openxmlformats.org/officeDocument/2006/relationships/header" Target="header6.xml"/><Relationship Id="rId14" Type="http://schemas.openxmlformats.org/officeDocument/2006/relationships/header" Target="header3.xml"/><Relationship Id="rId30" Type="http://schemas.openxmlformats.org/officeDocument/2006/relationships/image" Target="media/image10.emf"/><Relationship Id="rId35" Type="http://schemas.openxmlformats.org/officeDocument/2006/relationships/image" Target="media/image15.emf"/><Relationship Id="rId56" Type="http://schemas.openxmlformats.org/officeDocument/2006/relationships/image" Target="media/image30.emf"/><Relationship Id="rId77" Type="http://schemas.openxmlformats.org/officeDocument/2006/relationships/hyperlink" Target="https://www.cbd.gov.au/sites/default/files/2020-09/cbd_review_cie_report_draft.pdf" TargetMode="External"/><Relationship Id="rId100" Type="http://schemas.openxmlformats.org/officeDocument/2006/relationships/image" Target="media/image62.emf"/><Relationship Id="rId105" Type="http://schemas.openxmlformats.org/officeDocument/2006/relationships/image" Target="media/image67.emf"/><Relationship Id="rId8" Type="http://schemas.openxmlformats.org/officeDocument/2006/relationships/header" Target="header1.xml"/><Relationship Id="rId51" Type="http://schemas.openxmlformats.org/officeDocument/2006/relationships/hyperlink" Target="https://aemo.com.au/en/energy-systems/electricity/national-electricity-market-nem/data-nem/data-dashboard-nem" TargetMode="External"/><Relationship Id="rId72" Type="http://schemas.openxmlformats.org/officeDocument/2006/relationships/image" Target="media/image43.emf"/><Relationship Id="rId93" Type="http://schemas.openxmlformats.org/officeDocument/2006/relationships/image" Target="media/image55.emf"/><Relationship Id="rId98" Type="http://schemas.openxmlformats.org/officeDocument/2006/relationships/image" Target="media/image60.emf"/><Relationship Id="rId3" Type="http://schemas.openxmlformats.org/officeDocument/2006/relationships/settings" Target="settings.xml"/><Relationship Id="rId25" Type="http://schemas.openxmlformats.org/officeDocument/2006/relationships/image" Target="media/image5.emf"/><Relationship Id="rId46" Type="http://schemas.openxmlformats.org/officeDocument/2006/relationships/image" Target="media/image25.emf"/><Relationship Id="rId67" Type="http://schemas.openxmlformats.org/officeDocument/2006/relationships/image" Target="media/image38.emf"/><Relationship Id="rId20" Type="http://schemas.openxmlformats.org/officeDocument/2006/relationships/footer" Target="footer5.xml"/><Relationship Id="rId41" Type="http://schemas.openxmlformats.org/officeDocument/2006/relationships/image" Target="media/image21.png"/><Relationship Id="rId62" Type="http://schemas.openxmlformats.org/officeDocument/2006/relationships/image" Target="media/image33.emf"/><Relationship Id="rId83" Type="http://schemas.openxmlformats.org/officeDocument/2006/relationships/hyperlink" Target="https://maxcapgroup.com.au/wp-content/uploads/2022/05/MAXCAP_HOTEL_UPDATE_2022_FINAL.pdf" TargetMode="External"/><Relationship Id="rId88" Type="http://schemas.openxmlformats.org/officeDocument/2006/relationships/image" Target="media/image50.emf"/><Relationship Id="rId111" Type="http://schemas.openxmlformats.org/officeDocument/2006/relationships/footer" Target="footer7.xml"/></Relationships>
</file>

<file path=word/_rels/footnotes.xml.rels><?xml version="1.0" encoding="UTF-8" standalone="yes"?>
<Relationships xmlns="http://schemas.openxmlformats.org/package/2006/relationships"><Relationship Id="rId26" Type="http://schemas.openxmlformats.org/officeDocument/2006/relationships/hyperlink" Target="https://www.energy.vic.gov.au/__data/assets/pdf_file/0027/691119/Victorias-Gas-Substitution-Roadmap-Update.pdf" TargetMode="External"/><Relationship Id="rId21" Type="http://schemas.openxmlformats.org/officeDocument/2006/relationships/hyperlink" Target="https://www.finance.gov.au/government/climate-action-government-operations/aps-net-zero-emissions-2030" TargetMode="External"/><Relationship Id="rId42" Type="http://schemas.openxmlformats.org/officeDocument/2006/relationships/hyperlink" Target="https://www.governmentnews.com.au/nsw-reconsiders-ev-road-user-charge-after-high-court-decision/" TargetMode="External"/><Relationship Id="rId47" Type="http://schemas.openxmlformats.org/officeDocument/2006/relationships/hyperlink" Target="https://oia.pmc.gov.au/sites/default/files/2023-06/regulatory-impact-analysis-guide.pdf" TargetMode="External"/><Relationship Id="rId63" Type="http://schemas.openxmlformats.org/officeDocument/2006/relationships/hyperlink" Target="https://www.thecie.com.au/publications-archive/demand-for-electric-vehicles" TargetMode="External"/><Relationship Id="rId68" Type="http://schemas.openxmlformats.org/officeDocument/2006/relationships/hyperlink" Target="https://acsi.org.au/research-reports/promises-pathways-and-performance-climate-change-disclosure-in-the-asx200/" TargetMode="External"/><Relationship Id="rId84" Type="http://schemas.openxmlformats.org/officeDocument/2006/relationships/hyperlink" Target="https://www.aer.gov.au/system/files/Default%20market%20offer%20prices%202023-24%20final%20determination.pdf" TargetMode="External"/><Relationship Id="rId89" Type="http://schemas.openxmlformats.org/officeDocument/2006/relationships/hyperlink" Target="https://territoryrenewableenergy.nt.gov.au/programs" TargetMode="External"/><Relationship Id="rId16" Type="http://schemas.openxmlformats.org/officeDocument/2006/relationships/hyperlink" Target="https://www.wa.gov.au/service/environment/business-and-community-assistance/government-emissions-interim-target" TargetMode="External"/><Relationship Id="rId11" Type="http://schemas.openxmlformats.org/officeDocument/2006/relationships/hyperlink" Target="https://www.dcceew.gov.au/climate-change/emissions-reduction/net-zero" TargetMode="External"/><Relationship Id="rId32" Type="http://schemas.openxmlformats.org/officeDocument/2006/relationships/hyperlink" Target="https://www.accesscanberra.act.gov.au/driving-transport-and-parking/registration/incentives-for-low-and-zero-emissions-vehicles" TargetMode="External"/><Relationship Id="rId37" Type="http://schemas.openxmlformats.org/officeDocument/2006/relationships/hyperlink" Target="https://www.racq.com.au/articles/evs/2022/11/incentives-make-electric-cars-more-affordable" TargetMode="External"/><Relationship Id="rId53" Type="http://schemas.openxmlformats.org/officeDocument/2006/relationships/hyperlink" Target="https://aemo.com.au/-/media/files/learn/fact-sheets/2024/minimum-operational-demand-fact-sheet.pdf?la=en" TargetMode="External"/><Relationship Id="rId58" Type="http://schemas.openxmlformats.org/officeDocument/2006/relationships/hyperlink" Target="https://www.theguardian.com/environment/2022/may/26/ban-on-new-gas-connections-will-help-transition-victoria-away-from-fossil-fuels-inquiry-finds" TargetMode="External"/><Relationship Id="rId74" Type="http://schemas.openxmlformats.org/officeDocument/2006/relationships/hyperlink" Target="https://ntesmo.com.au/data/daily-trading/historical-daily-trading-data" TargetMode="External"/><Relationship Id="rId79" Type="http://schemas.openxmlformats.org/officeDocument/2006/relationships/hyperlink" Target="https://media.powercor.com.au/wp-content/uploads/2023/05/17152236/Powercor_2023-2024_Pricing_Proposal.pdf" TargetMode="External"/><Relationship Id="rId102" Type="http://schemas.openxmlformats.org/officeDocument/2006/relationships/hyperlink" Target="https://www.thecie.com.au/s/CIE-AAA-EV-choice-final-report-public.pdf" TargetMode="External"/><Relationship Id="rId5" Type="http://schemas.openxmlformats.org/officeDocument/2006/relationships/hyperlink" Target="https://aemo.com.au/-/media/files/stakeholder_consultation/consultations/nem-consultations/2022/2023-inputs-assumptions-and-scenarios-consultation/supporting-materials-for-2023/csiro-2022-electric-vehicles-projections-report.pdf?la=en" TargetMode="External"/><Relationship Id="rId90" Type="http://schemas.openxmlformats.org/officeDocument/2006/relationships/hyperlink" Target="https://www.aer.gov.au/system/files/2023-12/Ausgrid%20-%20Revised%20proposal%20-%20Att.%208.14%20-%20Small%20customer%20export%20tariff%20fact%20sheet%20-%2030%20Nov%202023%20-%20Public.pdf" TargetMode="External"/><Relationship Id="rId95" Type="http://schemas.openxmlformats.org/officeDocument/2006/relationships/hyperlink" Target="https://aemo.com.au/en/energy-systems/gas/gas-forecasting-and-planning/gas-statement-of-opportunities-gsoo" TargetMode="External"/><Relationship Id="rId22" Type="http://schemas.openxmlformats.org/officeDocument/2006/relationships/hyperlink" Target="https://www.nabers.gov.au/about/what-nabers" TargetMode="External"/><Relationship Id="rId27" Type="http://schemas.openxmlformats.org/officeDocument/2006/relationships/hyperlink" Target="https://www.revenue.nsw.gov.au/grants-schemes/electric-vehicle-rebate" TargetMode="External"/><Relationship Id="rId43" Type="http://schemas.openxmlformats.org/officeDocument/2006/relationships/hyperlink" Target="https://www.ato.gov.au/businesses-and-organisations/hiring-and-paying-your-workers/fringe-benefits-tax/types-of-fringe-benefits/fbt-on-cars-other-vehicles-parking-and-tolls/electric-cars-exemption" TargetMode="External"/><Relationship Id="rId48" Type="http://schemas.openxmlformats.org/officeDocument/2006/relationships/hyperlink" Target="https://www.dcceew.gov.au/sites/default/files/documents/australias-emissions-projections-2023.pdf" TargetMode="External"/><Relationship Id="rId64" Type="http://schemas.openxmlformats.org/officeDocument/2006/relationships/hyperlink" Target="https://theconversation.com/electric-vehicle-fires-are-very-rare-the-risk-for-petrol-and-diesel-vehicles-is-at-least-20-times-higher-213468" TargetMode="External"/><Relationship Id="rId69" Type="http://schemas.openxmlformats.org/officeDocument/2006/relationships/hyperlink" Target="http://cbd.gov.au/overview-of-the-program/what-is-cbd" TargetMode="External"/><Relationship Id="rId80" Type="http://schemas.openxmlformats.org/officeDocument/2006/relationships/hyperlink" Target="https://www.aer.gov.au/system/files/Argyle%20Consulting%20and%20Endgame%20Economics%20-%20Battery%20tariffs%20-%20Network%20tariffs%20for%20the%20DER%20future_0.pdf" TargetMode="External"/><Relationship Id="rId85" Type="http://schemas.openxmlformats.org/officeDocument/2006/relationships/hyperlink" Target="https://www.ipart.nsw.gov.au/sites/default/files/cm9_documents/Information-Paper-Solar-feed-in-tariff-benchmark-ranges-February-2024.PDF" TargetMode="External"/><Relationship Id="rId12" Type="http://schemas.openxmlformats.org/officeDocument/2006/relationships/hyperlink" Target="https://www.soe.epa.nsw.gov.au/all-themes/climate-and-air/net-zero-plan-stage-1-2020-2030" TargetMode="External"/><Relationship Id="rId17" Type="http://schemas.openxmlformats.org/officeDocument/2006/relationships/hyperlink" Target="https://recfit.tas.gov.au/climate/climate_change_action_plan" TargetMode="External"/><Relationship Id="rId25" Type="http://schemas.openxmlformats.org/officeDocument/2006/relationships/hyperlink" Target="https://www.planning.vic.gov.au/guides-and-resources/strategies-and-initiatives/victorias-gas-substitution-roadmap" TargetMode="External"/><Relationship Id="rId33" Type="http://schemas.openxmlformats.org/officeDocument/2006/relationships/hyperlink" Target="https://nt.gov.au/driving/rego/getting-an-nt-registration/get-electric-vehicle-registration-and-stamp-duty-concessions" TargetMode="External"/><Relationship Id="rId38" Type="http://schemas.openxmlformats.org/officeDocument/2006/relationships/hyperlink" Target="https://www.climatechoices.act.gov.au/policy-programs/sustainable-household-scheme" TargetMode="External"/><Relationship Id="rId46" Type="http://schemas.openxmlformats.org/officeDocument/2006/relationships/hyperlink" Target="https://www.abcb.gov.au/sites/default/files/resources/2023/NCC-2022-Housing-energy-efficiency-handbook-fa.pdf" TargetMode="External"/><Relationship Id="rId59" Type="http://schemas.openxmlformats.org/officeDocument/2006/relationships/hyperlink" Target="https://www.planning.vic.gov.au/guides-and-resources/strategies-and-initiatives/victorias-gas-substitution-roadmap" TargetMode="External"/><Relationship Id="rId67" Type="http://schemas.openxmlformats.org/officeDocument/2006/relationships/hyperlink" Target="https://aemo.com.au/newsroom/media-release/aemo-releases-30-year-electricity-market-roadmap" TargetMode="External"/><Relationship Id="rId20" Type="http://schemas.openxmlformats.org/officeDocument/2006/relationships/hyperlink" Target="https://www.climatechangeauthority.gov.au/parliament-refers-sectoral-pathways-review-climate-change-authority" TargetMode="External"/><Relationship Id="rId41" Type="http://schemas.openxmlformats.org/officeDocument/2006/relationships/hyperlink" Target="https://www.businessnews.com.au/article/Vic-court-ruling-could-scupper-WA-EV-road-tax" TargetMode="External"/><Relationship Id="rId54" Type="http://schemas.openxmlformats.org/officeDocument/2006/relationships/hyperlink" Target="https://www.aer.gov.au/system/files/2023-12/Ausgrid%20-%20Revised%20proposal%20-%20Att.%208.14%20-%20Small%20customer%20export%20tariff%20fact%20sheet%20-%2030%20Nov%202023%20-%20Public.pdf" TargetMode="External"/><Relationship Id="rId62" Type="http://schemas.openxmlformats.org/officeDocument/2006/relationships/hyperlink" Target="https://www.dcceew.gov.au/energy/transport" TargetMode="External"/><Relationship Id="rId70" Type="http://schemas.openxmlformats.org/officeDocument/2006/relationships/hyperlink" Target="https://www.cbre.com.au/insights/viewpoints/asia-pacific-viewpoint-the-green-building-premium-does-it-exist" TargetMode="External"/><Relationship Id="rId75" Type="http://schemas.openxmlformats.org/officeDocument/2006/relationships/hyperlink" Target="https://www.aer.gov.au/networks-pipelines/determinations-access-arrangements/pricing-proposals-tariffs" TargetMode="External"/><Relationship Id="rId83" Type="http://schemas.openxmlformats.org/officeDocument/2006/relationships/hyperlink" Target="https://www.aer.gov.au/system/files/AER%20-%20Default%20Market%20Offer-%20Price%20determination%202022-23%20-%20Final%20Determination%20-%2026%20May%202022.pdf" TargetMode="External"/><Relationship Id="rId88" Type="http://schemas.openxmlformats.org/officeDocument/2006/relationships/hyperlink" Target="https://www.wa.gov.au/organisation/energy-policy-wa/energy-buyback-schemes" TargetMode="External"/><Relationship Id="rId91" Type="http://schemas.openxmlformats.org/officeDocument/2006/relationships/hyperlink" Target="https://www.aer.gov.au/wholesale-markets/performance-reporting/wholesale-markets-quarterly-q1-2023" TargetMode="External"/><Relationship Id="rId96" Type="http://schemas.openxmlformats.org/officeDocument/2006/relationships/hyperlink" Target="https://envirojustice.org.au/legal-work/ending-pollution/the-burden-of-coal-fired-power-in-nsw/" TargetMode="External"/><Relationship Id="rId1" Type="http://schemas.openxmlformats.org/officeDocument/2006/relationships/hyperlink" Target="https://www.energy.gov.au/publications/commercial-buildings-energy-consumption-baseline-study-2022" TargetMode="External"/><Relationship Id="rId6" Type="http://schemas.openxmlformats.org/officeDocument/2006/relationships/hyperlink" Target="https://www.abcb.gov.au/sites/default/files/resources/2022/Final-RIS-energy-efficiency-of-commercial-buildings.pdf" TargetMode="External"/><Relationship Id="rId15" Type="http://schemas.openxmlformats.org/officeDocument/2006/relationships/hyperlink" Target="https://www.qtc.com.au/queenslands-sustainability-initiatives/" TargetMode="External"/><Relationship Id="rId23" Type="http://schemas.openxmlformats.org/officeDocument/2006/relationships/hyperlink" Target="https://www.nabers.gov.au/ratings/our-ratings/nabers-energy" TargetMode="External"/><Relationship Id="rId28" Type="http://schemas.openxmlformats.org/officeDocument/2006/relationships/hyperlink" Target="https://www.solar.vic.gov.au/zero-emissions-vehicle-subsidy" TargetMode="External"/><Relationship Id="rId36" Type="http://schemas.openxmlformats.org/officeDocument/2006/relationships/hyperlink" Target="https://www.nsw.gov.au/driving-boating-and-transport/nsw-governments-electric-vehicle-strategy/abolish-stamp-duty" TargetMode="External"/><Relationship Id="rId49" Type="http://schemas.openxmlformats.org/officeDocument/2006/relationships/hyperlink" Target="https://www.cleanenergyregulator.gov.au/Infohub/Markets/Pages/qcmr/march-quarter-2023/Australian-Carbon-Credit-Units.aspx" TargetMode="External"/><Relationship Id="rId57" Type="http://schemas.openxmlformats.org/officeDocument/2006/relationships/hyperlink" Target="https://yoursayconversations.act.gov.au/pathway-to-electrification/help-inform-regulation-prevent-new-gas-connections" TargetMode="External"/><Relationship Id="rId10" Type="http://schemas.openxmlformats.org/officeDocument/2006/relationships/hyperlink" Target="https://www.hks.harvard.edu/sites/default/files/centers/mrcbg/files/mrcbg.fwp.2015-04.Stavins.efficiency.pdf" TargetMode="External"/><Relationship Id="rId31" Type="http://schemas.openxmlformats.org/officeDocument/2006/relationships/hyperlink" Target="https://www.transport.wa.gov.au/projects/zero-emission-vehicle-zev-rebate.asp" TargetMode="External"/><Relationship Id="rId44" Type="http://schemas.openxmlformats.org/officeDocument/2006/relationships/hyperlink" Target="https://www.infrastructure.gov.au/infrastructure-transport-vehicles/vehicles/australian-fuel-efficiency-standard-cleaner-cars-australia" TargetMode="External"/><Relationship Id="rId52" Type="http://schemas.openxmlformats.org/officeDocument/2006/relationships/hyperlink" Target="https://www.dcceew.gov.au/sites/default/files/documents/use-%20renewable-energy-%20trade-off-ee-requirements-section-j-national-construction-code.pdf" TargetMode="External"/><Relationship Id="rId60" Type="http://schemas.openxmlformats.org/officeDocument/2006/relationships/hyperlink" Target="https://www.energy.vic.gov.au/__data/assets/pdf_file/0027/691119/Victorias-Gas-Substitution-Roadmap-Update.pdf" TargetMode="External"/><Relationship Id="rId65" Type="http://schemas.openxmlformats.org/officeDocument/2006/relationships/hyperlink" Target="https://aemo.com.au/-/media/files/stakeholder_consultation/consultations/nem-consultations/2022/2023-inputs-assumptions-and-scenarios-consultation/supporting-materials-for-2023/csiro-2022-electric-vehicles-projections-report.pdf?la=en" TargetMode="External"/><Relationship Id="rId73" Type="http://schemas.openxmlformats.org/officeDocument/2006/relationships/hyperlink" Target="https://data.wa.aemo.com.au/" TargetMode="External"/><Relationship Id="rId78" Type="http://schemas.openxmlformats.org/officeDocument/2006/relationships/hyperlink" Target="https://www.aer.gov.au/communication/aer-approves-sa-power-networks-jurisdictional-scheme-application" TargetMode="External"/><Relationship Id="rId81" Type="http://schemas.openxmlformats.org/officeDocument/2006/relationships/hyperlink" Target="https://www.ausgrid.com.au/Your-energy-use/Meters/Time-of-use-pricing" TargetMode="External"/><Relationship Id="rId86" Type="http://schemas.openxmlformats.org/officeDocument/2006/relationships/hyperlink" Target="https://engage.vic.gov.au/minimum-feed-in-tariff-review-202425" TargetMode="External"/><Relationship Id="rId94" Type="http://schemas.openxmlformats.org/officeDocument/2006/relationships/hyperlink" Target="http://forecasting.aemo.com.au/Electricity/AnnualConsumption/Operational" TargetMode="External"/><Relationship Id="rId99" Type="http://schemas.openxmlformats.org/officeDocument/2006/relationships/hyperlink" Target="https://www.cbd.gov.au/sites/default/files/2020-09/cbd_review_cie_report_draft.pdf" TargetMode="External"/><Relationship Id="rId101" Type="http://schemas.openxmlformats.org/officeDocument/2006/relationships/hyperlink" Target="https://racefor2030.com.au/wp-content/uploads/2023/05/H2-OA-0199-Final-Report_.pdf" TargetMode="External"/><Relationship Id="rId4" Type="http://schemas.openxmlformats.org/officeDocument/2006/relationships/hyperlink" Target="https://www.aer.gov.au/industry/networks/pricing-proposals/ausgrid-2024-25-pricing-proposal" TargetMode="External"/><Relationship Id="rId9" Type="http://schemas.openxmlformats.org/officeDocument/2006/relationships/hyperlink" Target="https://unfccc.int/process-and-meetings/the-paris-agreement" TargetMode="External"/><Relationship Id="rId13" Type="http://schemas.openxmlformats.org/officeDocument/2006/relationships/hyperlink" Target="https://www.environment.sa.gov.au/topics/climate-change/net-zero-pathway" TargetMode="External"/><Relationship Id="rId18" Type="http://schemas.openxmlformats.org/officeDocument/2006/relationships/hyperlink" Target="https://territoryrenewableenergy.nt.gov.au/" TargetMode="External"/><Relationship Id="rId39" Type="http://schemas.openxmlformats.org/officeDocument/2006/relationships/hyperlink" Target="https://www.vicroads.vic.gov.au/online-services/help-centre/partner-help-centre/zlev-road-user-charge" TargetMode="External"/><Relationship Id="rId34" Type="http://schemas.openxmlformats.org/officeDocument/2006/relationships/hyperlink" Target="https://www.qld.gov.au/transport/projects/electricvehicles/hitting-the-road" TargetMode="External"/><Relationship Id="rId50" Type="http://schemas.openxmlformats.org/officeDocument/2006/relationships/hyperlink" Target="https://www.epa.gov/system/files/documents/2023-12/epa_scghg_2023_report_final.pdf" TargetMode="External"/><Relationship Id="rId55" Type="http://schemas.openxmlformats.org/officeDocument/2006/relationships/hyperlink" Target="https://energy.act.gov.au/" TargetMode="External"/><Relationship Id="rId76" Type="http://schemas.openxmlformats.org/officeDocument/2006/relationships/hyperlink" Target="https://www.westernpower.com.au/about/regulation/network-access-prices/" TargetMode="External"/><Relationship Id="rId97" Type="http://schemas.openxmlformats.org/officeDocument/2006/relationships/hyperlink" Target="https://www.eesi.org/papers/view/fact-sheet-climate-environmental-and-health-impacts-of-fossil-fuels-2021" TargetMode="External"/><Relationship Id="rId7" Type="http://schemas.openxmlformats.org/officeDocument/2006/relationships/hyperlink" Target="https://www.ipcc.ch/report/ar6/syr/downloads/report/IPCC_AR6_SYR_LongerReport.pdf" TargetMode="External"/><Relationship Id="rId71" Type="http://schemas.openxmlformats.org/officeDocument/2006/relationships/hyperlink" Target="https://www.knightfrank.com/research/article/2021-09-29-green-building-value-do-greenrated-buildings-add-a-premium-to-sales-price" TargetMode="External"/><Relationship Id="rId92" Type="http://schemas.openxmlformats.org/officeDocument/2006/relationships/hyperlink" Target="https://www.aer.gov.au/wholesale-markets/performance-reporting/wholesale-markets-quarterly-q4-2022" TargetMode="External"/><Relationship Id="rId2" Type="http://schemas.openxmlformats.org/officeDocument/2006/relationships/hyperlink" Target="https://www.energy.gov.au/sites/default/files/baseline-energy-consumption-part_1-report-2012.pdf" TargetMode="External"/><Relationship Id="rId29" Type="http://schemas.openxmlformats.org/officeDocument/2006/relationships/hyperlink" Target="https://www.qrida.qld.gov.au/program/queensland-zero-emission-vehicle-rebate-scheme" TargetMode="External"/><Relationship Id="rId24" Type="http://schemas.openxmlformats.org/officeDocument/2006/relationships/hyperlink" Target="https://energy.act.gov.au/" TargetMode="External"/><Relationship Id="rId40" Type="http://schemas.openxmlformats.org/officeDocument/2006/relationships/hyperlink" Target="https://www.theguardian.com/environment/2023/oct/18/victoria-electric-vehicle-tax-high-court-ruling-could-impact-nsw-wa-western-australia" TargetMode="External"/><Relationship Id="rId45" Type="http://schemas.openxmlformats.org/officeDocument/2006/relationships/hyperlink" Target="https://www.nature.com/articles/s41467-023-41888-1" TargetMode="External"/><Relationship Id="rId66" Type="http://schemas.openxmlformats.org/officeDocument/2006/relationships/hyperlink" Target="https://www.energy.gov.au/publications/commercial-buildings-energy-consumption-baseline-study-2022" TargetMode="External"/><Relationship Id="rId87" Type="http://schemas.openxmlformats.org/officeDocument/2006/relationships/hyperlink" Target="https://www.energymadeeasy.gov.au/" TargetMode="External"/><Relationship Id="rId61" Type="http://schemas.openxmlformats.org/officeDocument/2006/relationships/hyperlink" Target="https://cityswitch.net.au/" TargetMode="External"/><Relationship Id="rId82" Type="http://schemas.openxmlformats.org/officeDocument/2006/relationships/hyperlink" Target="https://www.vedantu.com/physics/relation-between-kva-and-kw" TargetMode="External"/><Relationship Id="rId19" Type="http://schemas.openxmlformats.org/officeDocument/2006/relationships/hyperlink" Target="https://www.climatechoices.act.gov.au/policy-programs/act-climate-change-strategy" TargetMode="External"/><Relationship Id="rId14" Type="http://schemas.openxmlformats.org/officeDocument/2006/relationships/hyperlink" Target="https://www.climatechange.vic.gov.au/climate-action-targets" TargetMode="External"/><Relationship Id="rId30" Type="http://schemas.openxmlformats.org/officeDocument/2006/relationships/hyperlink" Target="https://www.treasury.sa.gov.au/Growing-South-Australia/incentives-for-electric-vehicles" TargetMode="External"/><Relationship Id="rId35" Type="http://schemas.openxmlformats.org/officeDocument/2006/relationships/hyperlink" Target="https://www.vicroads.vic.gov.au/registration/registration-fees/concessions-and-discounts/hybrid-vehicle-registration-discount" TargetMode="External"/><Relationship Id="rId56" Type="http://schemas.openxmlformats.org/officeDocument/2006/relationships/hyperlink" Target="https://www.abc.net.au/news/2022-08-04/act-no-new-gas-connections-from-2023-new-homes/101299552" TargetMode="External"/><Relationship Id="rId77" Type="http://schemas.openxmlformats.org/officeDocument/2006/relationships/hyperlink" Target="https://www.aer.gov.au/networks-pipelines/determinations-access-arrangements/pricing-proposals-tariffs/ausgrid-annual-pricing-2023%E2%80%9324" TargetMode="External"/><Relationship Id="rId100" Type="http://schemas.openxmlformats.org/officeDocument/2006/relationships/hyperlink" Target="https://aemo.com.au/-/media/files/major-publications/isp/2022/2022-documents/2022-integrated-system-plan-isp.pdf" TargetMode="External"/><Relationship Id="rId8" Type="http://schemas.openxmlformats.org/officeDocument/2006/relationships/hyperlink" Target="https://unfccc.int/process/the-paris-agreement/status-of-ratification" TargetMode="External"/><Relationship Id="rId51" Type="http://schemas.openxmlformats.org/officeDocument/2006/relationships/hyperlink" Target="https://content.knightfrank.com/research/1801/documents/en/active-capital-the-report-2021-8447.pdf" TargetMode="External"/><Relationship Id="rId72" Type="http://schemas.openxmlformats.org/officeDocument/2006/relationships/hyperlink" Target="https://www.ctc-n.org/sites/www.ctc-n.org/files/resources/mind_the_gap.pdf" TargetMode="External"/><Relationship Id="rId93" Type="http://schemas.openxmlformats.org/officeDocument/2006/relationships/hyperlink" Target="https://www.dmp.wa.gov.au/About-Us-Careers/Latest-Statistics-Release-4081.aspx" TargetMode="External"/><Relationship Id="rId98" Type="http://schemas.openxmlformats.org/officeDocument/2006/relationships/hyperlink" Target="https://www.climatechange.vic.gov.au/__data/assets/pdf_file/0022/421717/Final_Health-costs-of-air-pollution-in-Victoria.pdf" TargetMode="External"/><Relationship Id="rId3" Type="http://schemas.openxmlformats.org/officeDocument/2006/relationships/hyperlink" Target="https://www.dcceew.gov.au/sites/default/files/documents/use-%20renewable-energy-%20trade-off-ee-requirements-section-j-national-construction-code.pdf" TargetMode="External"/></Relationships>
</file>

<file path=word/theme/theme1.xml><?xml version="1.0" encoding="utf-8"?>
<a:theme xmlns:a="http://schemas.openxmlformats.org/drawingml/2006/main" name="TheCIE">
  <a:themeElements>
    <a:clrScheme name="TheCIE">
      <a:dk1>
        <a:sysClr val="windowText" lastClr="000000"/>
      </a:dk1>
      <a:lt1>
        <a:sysClr val="window" lastClr="FFFFFF"/>
      </a:lt1>
      <a:dk2>
        <a:srgbClr val="6F6652"/>
      </a:dk2>
      <a:lt2>
        <a:srgbClr val="E9E8E5"/>
      </a:lt2>
      <a:accent1>
        <a:srgbClr val="006B7A"/>
      </a:accent1>
      <a:accent2>
        <a:srgbClr val="F61D12"/>
      </a:accent2>
      <a:accent3>
        <a:srgbClr val="C6BFAB"/>
      </a:accent3>
      <a:accent4>
        <a:srgbClr val="9B917E"/>
      </a:accent4>
      <a:accent5>
        <a:srgbClr val="6F6652"/>
      </a:accent5>
      <a:accent6>
        <a:srgbClr val="9AC2C4"/>
      </a:accent6>
      <a:hlink>
        <a:srgbClr val="6F6652"/>
      </a:hlink>
      <a:folHlink>
        <a:srgbClr val="9B917E"/>
      </a:folHlink>
    </a:clrScheme>
    <a:fontScheme name="TheCIE">
      <a:majorFont>
        <a:latin typeface="Calisto MT"/>
        <a:ea typeface=""/>
        <a:cs typeface=""/>
      </a:majorFont>
      <a:minorFont>
        <a:latin typeface="Calisto M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ce1483ae-17d1-40b0-9515-e03b22939689}" enabled="1" method="Standar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75045</Words>
  <Characters>427758</Characters>
  <Application>Microsoft Office Word</Application>
  <DocSecurity>0</DocSecurity>
  <Lines>3564</Lines>
  <Paragraphs>1003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2026-10-06T23:49:00Z</dcterms:created>
  <dcterms:modified xsi:type="dcterms:W3CDTF">2026-10-06T23:49:00Z</dcterms:modified>
  <cp:category/>
</cp:coreProperties>
</file>