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B3069" w14:textId="7FAEF0B8" w:rsidR="00A62EF3" w:rsidRPr="00892D49" w:rsidRDefault="005D7C45" w:rsidP="002356F8">
      <w:pPr>
        <w:pStyle w:val="Title"/>
        <w:spacing w:after="120"/>
        <w:rPr>
          <w:sz w:val="44"/>
          <w:szCs w:val="52"/>
        </w:rPr>
      </w:pPr>
      <w:bookmarkStart w:id="0" w:name="_Toc96326909"/>
      <w:r w:rsidRPr="00892D49">
        <w:rPr>
          <w:sz w:val="44"/>
          <w:szCs w:val="52"/>
        </w:rPr>
        <w:t xml:space="preserve">Dashboard </w:t>
      </w:r>
      <w:r w:rsidR="00936C83">
        <w:rPr>
          <w:sz w:val="44"/>
          <w:szCs w:val="52"/>
        </w:rPr>
        <w:t>I</w:t>
      </w:r>
      <w:r w:rsidR="00936C83" w:rsidRPr="00892D49">
        <w:rPr>
          <w:sz w:val="44"/>
          <w:szCs w:val="52"/>
        </w:rPr>
        <w:t xml:space="preserve">mpact </w:t>
      </w:r>
      <w:r w:rsidR="00936C83">
        <w:rPr>
          <w:sz w:val="44"/>
          <w:szCs w:val="52"/>
        </w:rPr>
        <w:t>A</w:t>
      </w:r>
      <w:r w:rsidR="00936C83" w:rsidRPr="00892D49">
        <w:rPr>
          <w:sz w:val="44"/>
          <w:szCs w:val="52"/>
        </w:rPr>
        <w:t xml:space="preserve">nalysis </w:t>
      </w:r>
      <w:r w:rsidR="00232964" w:rsidRPr="00892D49">
        <w:rPr>
          <w:sz w:val="44"/>
          <w:szCs w:val="52"/>
        </w:rPr>
        <w:t xml:space="preserve">(IA) </w:t>
      </w:r>
      <w:r w:rsidR="005F66F9" w:rsidRPr="00892D49">
        <w:rPr>
          <w:sz w:val="44"/>
          <w:szCs w:val="52"/>
        </w:rPr>
        <w:t xml:space="preserve">– </w:t>
      </w:r>
      <w:r w:rsidR="005E4F7E">
        <w:rPr>
          <w:sz w:val="44"/>
          <w:szCs w:val="52"/>
        </w:rPr>
        <w:t>Gas Market Review – Domestic Gas Reservation</w:t>
      </w:r>
      <w:r w:rsidR="00743090">
        <w:rPr>
          <w:sz w:val="44"/>
          <w:szCs w:val="52"/>
        </w:rPr>
        <w:t xml:space="preserve"> Scheme</w:t>
      </w:r>
    </w:p>
    <w:p w14:paraId="6D3CDE92" w14:textId="11D98D11" w:rsidR="00A62EF3" w:rsidRPr="00892D49" w:rsidRDefault="006C7E16" w:rsidP="0091141A">
      <w:pPr>
        <w:pStyle w:val="Subtitle"/>
        <w:rPr>
          <w:sz w:val="24"/>
          <w:szCs w:val="28"/>
        </w:rPr>
      </w:pPr>
      <w:r w:rsidRPr="00892D49">
        <w:rPr>
          <w:sz w:val="24"/>
          <w:szCs w:val="28"/>
        </w:rPr>
        <w:t>Department</w:t>
      </w:r>
      <w:r w:rsidR="005E4F7E">
        <w:rPr>
          <w:sz w:val="24"/>
          <w:szCs w:val="28"/>
        </w:rPr>
        <w:t xml:space="preserve"> of Industry, Science and Resources</w:t>
      </w:r>
      <w:r w:rsidRPr="00892D49">
        <w:rPr>
          <w:sz w:val="24"/>
          <w:szCs w:val="28"/>
        </w:rPr>
        <w:t xml:space="preserve"> </w:t>
      </w:r>
    </w:p>
    <w:bookmarkEnd w:id="0"/>
    <w:p w14:paraId="767FB93E" w14:textId="620585FD" w:rsidR="00A62EF3" w:rsidRPr="0091141A" w:rsidRDefault="006C7E16" w:rsidP="0026634E">
      <w:pPr>
        <w:pStyle w:val="Heading1"/>
      </w:pPr>
      <w:r w:rsidRPr="0091141A">
        <w:t xml:space="preserve">The proposed policy approach and policy problem </w:t>
      </w:r>
      <w:r w:rsidR="006C7B08">
        <w:t xml:space="preserve">being </w:t>
      </w:r>
      <w:r w:rsidRPr="00283EB0">
        <w:t>address</w:t>
      </w:r>
      <w:r w:rsidR="006C7B08">
        <w:t>ed</w:t>
      </w:r>
    </w:p>
    <w:p w14:paraId="1CF26EDF" w14:textId="77777777" w:rsidR="001B2C89" w:rsidRDefault="005F3B45" w:rsidP="001B2C89">
      <w:pPr>
        <w:pStyle w:val="Heading2"/>
      </w:pPr>
      <w:r w:rsidRPr="005F3B45">
        <w:t>Proposed approach</w:t>
      </w:r>
    </w:p>
    <w:p w14:paraId="458356B1" w14:textId="1AF5CC2C" w:rsidR="00F238BC" w:rsidRDefault="006819B3" w:rsidP="006819B3">
      <w:r>
        <w:t xml:space="preserve">In 2025, the Australian Government </w:t>
      </w:r>
      <w:r w:rsidR="00F91E82">
        <w:t xml:space="preserve">reviewed </w:t>
      </w:r>
      <w:r w:rsidR="00D71428">
        <w:t xml:space="preserve">key gas market </w:t>
      </w:r>
      <w:r w:rsidR="003D27C5">
        <w:t xml:space="preserve">regulatory frameworks </w:t>
      </w:r>
      <w:r w:rsidR="00D71428">
        <w:t>and policy set</w:t>
      </w:r>
      <w:r w:rsidR="003D27C5">
        <w:t>t</w:t>
      </w:r>
      <w:r w:rsidR="00D71428">
        <w:t>ings</w:t>
      </w:r>
      <w:r w:rsidR="005B50BB">
        <w:t xml:space="preserve"> including </w:t>
      </w:r>
      <w:r>
        <w:t xml:space="preserve">the Australian Domestic Gas Security Mechanism (ADGSM), Gas Market Code (the Code) and the Heads of Agreement with east coast LNG exporters (the </w:t>
      </w:r>
      <w:proofErr w:type="spellStart"/>
      <w:r>
        <w:t>HoA</w:t>
      </w:r>
      <w:proofErr w:type="spellEnd"/>
      <w:r>
        <w:t xml:space="preserve">). The Gas Market Review Report </w:t>
      </w:r>
      <w:r w:rsidR="00A02034">
        <w:t>(the Review Report)</w:t>
      </w:r>
      <w:r>
        <w:t xml:space="preserve"> was released on 22 December 2025</w:t>
      </w:r>
      <w:r w:rsidR="00F238BC">
        <w:t>.</w:t>
      </w:r>
    </w:p>
    <w:p w14:paraId="7F13EB0B" w14:textId="523653F5" w:rsidR="00A77808" w:rsidRPr="00A37EFE" w:rsidRDefault="00A77808" w:rsidP="00A77808">
      <w:r w:rsidRPr="00415640">
        <w:t xml:space="preserve">The Review </w:t>
      </w:r>
      <w:r>
        <w:t xml:space="preserve">Report </w:t>
      </w:r>
      <w:r w:rsidRPr="00415640">
        <w:t>found that the existing mechanisms were primarily designed to respond to short-term supply and price pressures and were not sufficient to provide enduring domestic supply security and investment certainty.</w:t>
      </w:r>
      <w:r>
        <w:t xml:space="preserve"> </w:t>
      </w:r>
      <w:r w:rsidRPr="00A37EFE">
        <w:t xml:space="preserve">As a result, the </w:t>
      </w:r>
      <w:r>
        <w:t>Review R</w:t>
      </w:r>
      <w:r w:rsidRPr="00283EB0">
        <w:t>eport</w:t>
      </w:r>
      <w:r w:rsidRPr="00A37EFE">
        <w:t xml:space="preserve"> recommended fundamental reform of domestic gas policy settings including </w:t>
      </w:r>
      <w:r w:rsidR="00B32A36">
        <w:t xml:space="preserve">the establishment of </w:t>
      </w:r>
      <w:r w:rsidRPr="00A37EFE">
        <w:t xml:space="preserve">a </w:t>
      </w:r>
      <w:r w:rsidR="00E55D1E">
        <w:t xml:space="preserve">Domestic </w:t>
      </w:r>
      <w:r w:rsidR="00D756DB">
        <w:t>Gas Reservation Scheme (</w:t>
      </w:r>
      <w:r>
        <w:t>DGRS</w:t>
      </w:r>
      <w:r w:rsidR="00D756DB">
        <w:t>)</w:t>
      </w:r>
      <w:r>
        <w:t xml:space="preserve"> and supporting market reforms</w:t>
      </w:r>
      <w:r w:rsidRPr="00A37EFE">
        <w:t xml:space="preserve">. </w:t>
      </w:r>
      <w:r w:rsidR="00E65C81">
        <w:t xml:space="preserve">The </w:t>
      </w:r>
      <w:r w:rsidR="008528A7">
        <w:t xml:space="preserve">government </w:t>
      </w:r>
      <w:r w:rsidR="0019287E">
        <w:t xml:space="preserve">accepted all recommendations of the </w:t>
      </w:r>
      <w:r w:rsidR="00304AF6">
        <w:t xml:space="preserve">Review Report </w:t>
      </w:r>
      <w:r w:rsidR="00422E9F">
        <w:t xml:space="preserve">and announced </w:t>
      </w:r>
      <w:r w:rsidR="00782C04">
        <w:t>its intention to</w:t>
      </w:r>
      <w:r w:rsidR="00304AF6">
        <w:t xml:space="preserve"> implement </w:t>
      </w:r>
      <w:r w:rsidR="001204E3">
        <w:t xml:space="preserve">a DGRS. </w:t>
      </w:r>
    </w:p>
    <w:p w14:paraId="62ECDCD2" w14:textId="7013D88B" w:rsidR="006819B3" w:rsidRPr="00283EB0" w:rsidRDefault="00F655B7" w:rsidP="006819B3">
      <w:r>
        <w:t xml:space="preserve">This </w:t>
      </w:r>
      <w:r w:rsidR="00BE7488">
        <w:t xml:space="preserve">Impact Analysis dashboard </w:t>
      </w:r>
      <w:r w:rsidR="001E5F63">
        <w:t xml:space="preserve">provides </w:t>
      </w:r>
      <w:r w:rsidR="00BE7488">
        <w:t>supplemen</w:t>
      </w:r>
      <w:r w:rsidR="001E5F63">
        <w:t xml:space="preserve">tary analysis </w:t>
      </w:r>
      <w:r w:rsidR="008A53A8">
        <w:t>to the Review Report</w:t>
      </w:r>
      <w:r w:rsidR="00ED436F">
        <w:t xml:space="preserve"> </w:t>
      </w:r>
      <w:r w:rsidR="009300B4">
        <w:t xml:space="preserve">to reflect the final policy </w:t>
      </w:r>
      <w:r w:rsidR="00E54BE1">
        <w:t>decision</w:t>
      </w:r>
      <w:r w:rsidR="005719C4">
        <w:t>s</w:t>
      </w:r>
      <w:r w:rsidR="00E54BE1">
        <w:t xml:space="preserve"> taken by Government</w:t>
      </w:r>
      <w:r w:rsidR="00523D6F">
        <w:t xml:space="preserve"> since</w:t>
      </w:r>
      <w:r w:rsidR="00AC5B5B">
        <w:t xml:space="preserve"> 22 December 2025</w:t>
      </w:r>
      <w:r w:rsidR="008A53A8">
        <w:t>.</w:t>
      </w:r>
    </w:p>
    <w:p w14:paraId="78E3101D" w14:textId="69159A46" w:rsidR="0069129A" w:rsidRPr="00283EB0" w:rsidRDefault="009D16AA" w:rsidP="0069129A">
      <w:r>
        <w:t>T</w:t>
      </w:r>
      <w:r w:rsidR="04A0478B">
        <w:t xml:space="preserve">hrough the Review Report, government considered three reform options: </w:t>
      </w:r>
    </w:p>
    <w:p w14:paraId="6CD03024" w14:textId="666E350D" w:rsidR="0069129A" w:rsidRPr="00283EB0" w:rsidRDefault="04A0478B" w:rsidP="773DD962">
      <w:pPr>
        <w:pStyle w:val="ListParagraph"/>
        <w:numPr>
          <w:ilvl w:val="0"/>
          <w:numId w:val="54"/>
        </w:numPr>
      </w:pPr>
      <w:r>
        <w:t xml:space="preserve">Status quo: </w:t>
      </w:r>
      <w:r w:rsidR="00155AE8">
        <w:t>retain existing</w:t>
      </w:r>
      <w:r>
        <w:t xml:space="preserve"> policy </w:t>
      </w:r>
      <w:r w:rsidR="00155AE8">
        <w:t>settings</w:t>
      </w:r>
      <w:r w:rsidR="009A6C84">
        <w:t>.</w:t>
      </w:r>
    </w:p>
    <w:p w14:paraId="2427E466" w14:textId="479DB837" w:rsidR="0069129A" w:rsidRPr="00283EB0" w:rsidRDefault="04A0478B" w:rsidP="773DD962">
      <w:pPr>
        <w:pStyle w:val="ListParagraph"/>
        <w:numPr>
          <w:ilvl w:val="0"/>
          <w:numId w:val="54"/>
        </w:numPr>
      </w:pPr>
      <w:r>
        <w:t xml:space="preserve">Incremental reform: make targeted improvements to </w:t>
      </w:r>
      <w:r w:rsidR="009A6C84" w:rsidRPr="009A6C84">
        <w:t>existing</w:t>
      </w:r>
      <w:r>
        <w:t xml:space="preserve"> policy settings</w:t>
      </w:r>
      <w:r w:rsidR="009A6C84">
        <w:t xml:space="preserve">. </w:t>
      </w:r>
      <w:r>
        <w:t xml:space="preserve"> </w:t>
      </w:r>
    </w:p>
    <w:p w14:paraId="1797B036" w14:textId="1867A686" w:rsidR="0069129A" w:rsidRPr="00283EB0" w:rsidRDefault="04A0478B" w:rsidP="773DD962">
      <w:pPr>
        <w:pStyle w:val="ListParagraph"/>
        <w:numPr>
          <w:ilvl w:val="0"/>
          <w:numId w:val="54"/>
        </w:numPr>
      </w:pPr>
      <w:r>
        <w:t xml:space="preserve">Fundamental reform: replace </w:t>
      </w:r>
      <w:r w:rsidR="009A6C84" w:rsidRPr="009A6C84">
        <w:t>existing</w:t>
      </w:r>
      <w:r>
        <w:t xml:space="preserve"> settings with a national DGRS and complementary market reforms.</w:t>
      </w:r>
    </w:p>
    <w:p w14:paraId="2133DA2C" w14:textId="251B08FA" w:rsidR="00342D2A" w:rsidRPr="00283EB0" w:rsidRDefault="00342D2A" w:rsidP="00342D2A">
      <w:r>
        <w:t xml:space="preserve">On 7 May 2026 </w:t>
      </w:r>
      <w:r w:rsidRPr="00283EB0">
        <w:t xml:space="preserve">the Australian Government announced </w:t>
      </w:r>
      <w:r>
        <w:t xml:space="preserve">its intention to </w:t>
      </w:r>
      <w:r w:rsidRPr="00283EB0">
        <w:t xml:space="preserve">introduce new legislation to </w:t>
      </w:r>
      <w:r>
        <w:t xml:space="preserve">establish a DGRS. The DGRS is designed to </w:t>
      </w:r>
      <w:r w:rsidRPr="00A37EFE">
        <w:t xml:space="preserve">provide </w:t>
      </w:r>
      <w:r>
        <w:t>national</w:t>
      </w:r>
      <w:r w:rsidRPr="00A37EFE">
        <w:t xml:space="preserve"> long-term </w:t>
      </w:r>
      <w:r>
        <w:t xml:space="preserve">supply and energy </w:t>
      </w:r>
      <w:r w:rsidRPr="00A37EFE">
        <w:t xml:space="preserve">security, </w:t>
      </w:r>
      <w:r>
        <w:t xml:space="preserve">put </w:t>
      </w:r>
      <w:r w:rsidRPr="00A37EFE">
        <w:t xml:space="preserve">downward pressure on domestic prices and </w:t>
      </w:r>
      <w:r>
        <w:t>support</w:t>
      </w:r>
      <w:r w:rsidRPr="00A37EFE">
        <w:t xml:space="preserve"> investment without impacting existing long-term contracts.</w:t>
      </w:r>
      <w:r>
        <w:t xml:space="preserve"> It requires liquefied natural gas (</w:t>
      </w:r>
      <w:r w:rsidRPr="00283EB0">
        <w:t>LNG</w:t>
      </w:r>
      <w:r>
        <w:t>)</w:t>
      </w:r>
      <w:r w:rsidRPr="00283EB0">
        <w:t xml:space="preserve"> exporters to supply the domestic market with a volume of gas </w:t>
      </w:r>
      <w:r>
        <w:t>up to</w:t>
      </w:r>
      <w:r w:rsidRPr="00283EB0">
        <w:t xml:space="preserve"> </w:t>
      </w:r>
      <w:r w:rsidR="00A866CA">
        <w:t xml:space="preserve">the equivalent of </w:t>
      </w:r>
      <w:r w:rsidRPr="00283EB0">
        <w:t>20 per cent of their LNG exports, referred to as the domestic supply obligation (DSO).</w:t>
      </w:r>
    </w:p>
    <w:p w14:paraId="567B8ED9" w14:textId="11F47962" w:rsidR="0041435D" w:rsidRDefault="0041435D" w:rsidP="006819B3">
      <w:r w:rsidRPr="0027652F">
        <w:t xml:space="preserve">The development of the </w:t>
      </w:r>
      <w:r w:rsidR="007C6CD8">
        <w:t>DGRS</w:t>
      </w:r>
      <w:r w:rsidRPr="0027652F">
        <w:t xml:space="preserve"> has been informed by </w:t>
      </w:r>
      <w:r w:rsidR="00BB27C2">
        <w:t>extensive</w:t>
      </w:r>
      <w:r w:rsidR="00BB27C2" w:rsidRPr="00283EB0">
        <w:t xml:space="preserve"> </w:t>
      </w:r>
      <w:r w:rsidRPr="0027652F">
        <w:t>consultation, including opportunities to make formal public submissions. Consultation to inform the Gas Market Review</w:t>
      </w:r>
      <w:r w:rsidR="00684337">
        <w:t xml:space="preserve"> </w:t>
      </w:r>
      <w:r w:rsidRPr="0027652F">
        <w:t xml:space="preserve">commenced in June 2025. Consultation to inform detailed design of the </w:t>
      </w:r>
      <w:r w:rsidR="007C6CD8">
        <w:t>DGRS</w:t>
      </w:r>
      <w:r w:rsidRPr="0027652F">
        <w:t xml:space="preserve"> has continued </w:t>
      </w:r>
      <w:r w:rsidRPr="0027652F">
        <w:lastRenderedPageBreak/>
        <w:t xml:space="preserve">throughout 2026 and has included two formal public consultation processes commencing in February and May 2026. </w:t>
      </w:r>
      <w:r w:rsidR="003654CF">
        <w:t xml:space="preserve">The </w:t>
      </w:r>
      <w:r w:rsidR="00623226">
        <w:t>g</w:t>
      </w:r>
      <w:r w:rsidR="003654CF">
        <w:t>overnment released an exposure draft of the legislative reform package</w:t>
      </w:r>
      <w:r w:rsidR="00D5493A">
        <w:t>,</w:t>
      </w:r>
      <w:r w:rsidR="003654CF">
        <w:t xml:space="preserve"> </w:t>
      </w:r>
      <w:r w:rsidR="007D4B1E">
        <w:t>between</w:t>
      </w:r>
      <w:r w:rsidR="003654CF">
        <w:t xml:space="preserve"> 10</w:t>
      </w:r>
      <w:r w:rsidR="00BC796E">
        <w:t xml:space="preserve"> </w:t>
      </w:r>
      <w:r w:rsidR="009E0DBC">
        <w:t>-</w:t>
      </w:r>
      <w:r w:rsidR="00BC796E">
        <w:t xml:space="preserve"> </w:t>
      </w:r>
      <w:r w:rsidR="007D4B1E">
        <w:t>24</w:t>
      </w:r>
      <w:r w:rsidR="003654CF">
        <w:t xml:space="preserve"> September</w:t>
      </w:r>
      <w:r w:rsidR="00F96420">
        <w:t xml:space="preserve"> 2026</w:t>
      </w:r>
      <w:r w:rsidR="00D5493A">
        <w:t>,</w:t>
      </w:r>
      <w:r w:rsidR="007D4B1E">
        <w:t xml:space="preserve"> and incorporated feedback</w:t>
      </w:r>
      <w:r w:rsidR="00F91BDC">
        <w:t xml:space="preserve"> to inform the final </w:t>
      </w:r>
      <w:r w:rsidR="00754213">
        <w:t xml:space="preserve">policy and </w:t>
      </w:r>
      <w:r w:rsidR="00F91BDC">
        <w:t>legislative settings.</w:t>
      </w:r>
    </w:p>
    <w:p w14:paraId="170F82C7" w14:textId="0BE60C5E" w:rsidR="00A4246D" w:rsidRPr="00A4246D" w:rsidRDefault="00A4246D" w:rsidP="00A4246D">
      <w:r w:rsidRPr="00A4246D">
        <w:t xml:space="preserve">In addition to the </w:t>
      </w:r>
      <w:r w:rsidR="00214BBA">
        <w:t>DGRS</w:t>
      </w:r>
      <w:r w:rsidRPr="00A4246D">
        <w:t xml:space="preserve">, the </w:t>
      </w:r>
      <w:r w:rsidR="00AC7392">
        <w:t>g</w:t>
      </w:r>
      <w:r w:rsidRPr="00A4246D">
        <w:t xml:space="preserve">overnment will progress a broader package of reforms arising from the Gas Market Review. These reforms are aimed at addressing structural market inefficiencies, improving transparency and market information, strengthening governance and compliance arrangements, and supporting the efficient functioning of domestic gas markets. </w:t>
      </w:r>
    </w:p>
    <w:p w14:paraId="315DB7DE" w14:textId="77777777" w:rsidR="006819B3" w:rsidRPr="00A37EFE" w:rsidRDefault="006819B3" w:rsidP="006819B3">
      <w:pPr>
        <w:pStyle w:val="Heading2"/>
      </w:pPr>
      <w:r w:rsidRPr="00A37EFE">
        <w:t>Policy problem</w:t>
      </w:r>
    </w:p>
    <w:p w14:paraId="5B09D8A8" w14:textId="77777777" w:rsidR="00A16116" w:rsidRPr="00A16116" w:rsidRDefault="00A16116" w:rsidP="00A16116">
      <w:r w:rsidRPr="00A16116">
        <w:t>Australia’s gas markets face prospective supply shortfalls, continued exposure to international price volatility and fragmented domestic supply arrangements. The Australian Energy Market Operator forecasts emerging supply risks from 2030, although the timing and nature of these risks differ between the east and west coast markets.</w:t>
      </w:r>
    </w:p>
    <w:p w14:paraId="23C97941" w14:textId="77777777" w:rsidR="00A16116" w:rsidRPr="00A16116" w:rsidRDefault="00A16116" w:rsidP="00A16116">
      <w:r w:rsidRPr="00A16116">
        <w:t>Existing Commonwealth measures—the Australian Domestic Gas Security Mechanism, Gas Market Code and Heads of Agreement with east coast LNG exporters—have helped address short-term supply and price pressures. However, they do not provide an enduring, nationally consistent mechanism to secure sufficient domestic supply over the medium to long term. The measures operate differently, apply to different market participants and rely substantially on reactive interventions or negotiated commitments.</w:t>
      </w:r>
    </w:p>
    <w:p w14:paraId="23BEDA3C" w14:textId="129E7756" w:rsidR="00A16116" w:rsidRDefault="00A16116" w:rsidP="00ED07C1">
      <w:r w:rsidRPr="00A16116">
        <w:t>Without reform, domestic users would remain exposed to prospective supply shortfalls and international price volatility. This could increase energy costs and uncertainty for households, electricity generators and gas-using businesses, while weakening investment certainty and the competitiveness of gas-intensive industries.</w:t>
      </w:r>
    </w:p>
    <w:p w14:paraId="7377EE6D" w14:textId="6628C6CE" w:rsidR="00B521D1" w:rsidRDefault="00B521D1" w:rsidP="00ED07C1">
      <w:r w:rsidRPr="00B521D1">
        <w:t>Government intervention is intended to establish a durable framework that secures sufficient gas for Australian users while recognising existing state arrangements, preserving existing long-term contracts and limiting adverse effects on investment and export markets.</w:t>
      </w:r>
    </w:p>
    <w:p w14:paraId="4EE48381" w14:textId="0DE9E83E" w:rsidR="006819B3" w:rsidRPr="00A37EFE" w:rsidRDefault="00F0100A" w:rsidP="006819B3">
      <w:pPr>
        <w:pStyle w:val="Heading1"/>
      </w:pPr>
      <w:r>
        <w:t>I</w:t>
      </w:r>
      <w:r w:rsidR="006819B3" w:rsidRPr="00A37EFE">
        <w:t xml:space="preserve">mpacts and methodology </w:t>
      </w:r>
    </w:p>
    <w:p w14:paraId="63A8852B" w14:textId="05738EAD" w:rsidR="00045971" w:rsidRDefault="00045971" w:rsidP="0092782B">
      <w:r>
        <w:t>To support an assessment of policy options</w:t>
      </w:r>
      <w:r w:rsidR="00045AE1">
        <w:t>,</w:t>
      </w:r>
      <w:r>
        <w:t xml:space="preserve"> a multi-criteria analysis approach was used to evaluate the net impact of each option on achieving the policy objectives. Each policy option was assessed against four indicators: supply, price, investment and trade, and competition. Fundamental </w:t>
      </w:r>
      <w:proofErr w:type="gramStart"/>
      <w:r>
        <w:t xml:space="preserve">reform </w:t>
      </w:r>
      <w:r w:rsidR="006A0D33">
        <w:t xml:space="preserve"> </w:t>
      </w:r>
      <w:r>
        <w:t>was</w:t>
      </w:r>
      <w:proofErr w:type="gramEnd"/>
      <w:r>
        <w:t xml:space="preserve"> recommended as it addresses structural shortfalls, market power dynamics, and provides adequate assurance and </w:t>
      </w:r>
      <w:r w:rsidR="009E0B76">
        <w:t>long-term</w:t>
      </w:r>
      <w:r>
        <w:t xml:space="preserve"> regulatory certainty. </w:t>
      </w:r>
    </w:p>
    <w:p w14:paraId="03C3DFB1" w14:textId="58532610" w:rsidR="00B840A4" w:rsidRPr="00B840A4" w:rsidRDefault="0092782B" w:rsidP="004A5806">
      <w:r w:rsidRPr="0092782B">
        <w:t>The Review Report assessed the status quo, incremental reform and fundamental reform. It found that incremental reform could provide limited improvements but would not adequately address structural supply risks or the shortcomings of existing regulatory settings. The table below therefore compares the preferred</w:t>
      </w:r>
      <w:r w:rsidR="005C6271">
        <w:t>,</w:t>
      </w:r>
      <w:r w:rsidRPr="0092782B">
        <w:t xml:space="preserve"> fundamental reform option</w:t>
      </w:r>
      <w:r w:rsidR="005C6271">
        <w:t>,</w:t>
      </w:r>
      <w:r w:rsidRPr="0092782B">
        <w:t xml:space="preserve"> with the status quo</w:t>
      </w:r>
      <w:r w:rsidR="00357602">
        <w:t xml:space="preserve"> (</w:t>
      </w:r>
      <w:r w:rsidR="0016544A">
        <w:t xml:space="preserve">Regulator Cost </w:t>
      </w:r>
      <w:r w:rsidR="0016544A">
        <w:lastRenderedPageBreak/>
        <w:t>Assumptions provided in the Review Report refers)</w:t>
      </w:r>
      <w:r w:rsidR="00B22CB4">
        <w:t>.</w:t>
      </w:r>
      <w:r w:rsidRPr="0092782B">
        <w:t xml:space="preserve"> Further analysis of all three options is provided in the Review Report and </w:t>
      </w:r>
      <w:r w:rsidR="00BC02EC">
        <w:t xml:space="preserve">this </w:t>
      </w:r>
      <w:r w:rsidR="00294BF1">
        <w:t>dashboard</w:t>
      </w:r>
      <w:r w:rsidRPr="0092782B">
        <w:t>.</w:t>
      </w:r>
    </w:p>
    <w:tbl>
      <w:tblPr>
        <w:tblStyle w:val="Style1"/>
        <w:tblpPr w:leftFromText="180" w:rightFromText="180" w:vertAnchor="text" w:tblpY="1"/>
        <w:tblOverlap w:val="never"/>
        <w:tblW w:w="5000" w:type="pct"/>
        <w:tblBorders>
          <w:top w:val="single" w:sz="8" w:space="0" w:color="0F1F35" w:themeColor="text2"/>
          <w:left w:val="single" w:sz="8" w:space="0" w:color="0F1F35" w:themeColor="text2"/>
          <w:bottom w:val="single" w:sz="8" w:space="0" w:color="0F1F35" w:themeColor="text2"/>
          <w:right w:val="single" w:sz="8" w:space="0" w:color="0F1F35" w:themeColor="text2"/>
          <w:insideH w:val="single" w:sz="8" w:space="0" w:color="0F1F35" w:themeColor="text2"/>
          <w:insideV w:val="single" w:sz="8" w:space="0" w:color="0F1F35" w:themeColor="text2"/>
        </w:tblBorders>
        <w:tblCellMar>
          <w:left w:w="85" w:type="dxa"/>
          <w:right w:w="85" w:type="dxa"/>
        </w:tblCellMar>
        <w:tblLook w:val="0620" w:firstRow="1" w:lastRow="0" w:firstColumn="0" w:lastColumn="0" w:noHBand="1" w:noVBand="1"/>
      </w:tblPr>
      <w:tblGrid>
        <w:gridCol w:w="1430"/>
        <w:gridCol w:w="1929"/>
        <w:gridCol w:w="1929"/>
        <w:gridCol w:w="1929"/>
        <w:gridCol w:w="2401"/>
      </w:tblGrid>
      <w:tr w:rsidR="006819B3" w:rsidRPr="00A37EFE" w14:paraId="5FB32C69" w14:textId="77777777" w:rsidTr="00696C4C">
        <w:trPr>
          <w:cnfStyle w:val="100000000000" w:firstRow="1" w:lastRow="0" w:firstColumn="0" w:lastColumn="0" w:oddVBand="0" w:evenVBand="0" w:oddHBand="0" w:evenHBand="0" w:firstRowFirstColumn="0" w:firstRowLastColumn="0" w:lastRowFirstColumn="0" w:lastRowLastColumn="0"/>
          <w:tblHeader/>
        </w:trPr>
        <w:tc>
          <w:tcPr>
            <w:tcW w:w="743" w:type="pct"/>
            <w:shd w:val="clear" w:color="auto" w:fill="0F1F35" w:themeFill="text2"/>
          </w:tcPr>
          <w:p w14:paraId="2F95CC4C" w14:textId="77777777" w:rsidR="006819B3" w:rsidRPr="00A37EFE" w:rsidRDefault="006819B3" w:rsidP="004A5806">
            <w:pPr>
              <w:pStyle w:val="TBLText"/>
              <w:spacing w:after="0"/>
              <w:jc w:val="center"/>
              <w:rPr>
                <w:color w:val="FFFFFF" w:themeColor="background1"/>
              </w:rPr>
            </w:pPr>
            <w:r w:rsidRPr="00A37EFE">
              <w:rPr>
                <w:color w:val="FFFFFF" w:themeColor="background1"/>
              </w:rPr>
              <w:t>Option</w:t>
            </w:r>
          </w:p>
        </w:tc>
        <w:tc>
          <w:tcPr>
            <w:tcW w:w="1003" w:type="pct"/>
            <w:shd w:val="clear" w:color="auto" w:fill="0F1F35" w:themeFill="text2"/>
          </w:tcPr>
          <w:p w14:paraId="20CB50AF" w14:textId="7D6F37E2" w:rsidR="006819B3" w:rsidRPr="00A37EFE" w:rsidRDefault="006819B3" w:rsidP="004A5806">
            <w:pPr>
              <w:pStyle w:val="TBLText"/>
              <w:spacing w:after="0"/>
              <w:jc w:val="center"/>
              <w:rPr>
                <w:color w:val="FFFFFF" w:themeColor="background1"/>
              </w:rPr>
            </w:pPr>
            <w:r w:rsidRPr="00A37EFE">
              <w:rPr>
                <w:color w:val="FFFFFF" w:themeColor="background1"/>
              </w:rPr>
              <w:t>Benefits</w:t>
            </w:r>
          </w:p>
        </w:tc>
        <w:tc>
          <w:tcPr>
            <w:tcW w:w="1003" w:type="pct"/>
            <w:shd w:val="clear" w:color="auto" w:fill="0F1F35" w:themeFill="text2"/>
          </w:tcPr>
          <w:p w14:paraId="32E31195" w14:textId="46D0BC9A" w:rsidR="006819B3" w:rsidRPr="00A37EFE" w:rsidRDefault="006819B3" w:rsidP="004A5806">
            <w:pPr>
              <w:pStyle w:val="TBLText"/>
              <w:spacing w:after="0"/>
              <w:jc w:val="center"/>
              <w:rPr>
                <w:color w:val="FFFFFF" w:themeColor="background1"/>
              </w:rPr>
            </w:pPr>
            <w:r w:rsidRPr="00A37EFE">
              <w:rPr>
                <w:color w:val="FFFFFF" w:themeColor="background1"/>
              </w:rPr>
              <w:t>Other</w:t>
            </w:r>
            <w:r w:rsidR="008657DB">
              <w:rPr>
                <w:color w:val="FFFFFF" w:themeColor="background1"/>
              </w:rPr>
              <w:t>*</w:t>
            </w:r>
            <w:r w:rsidRPr="00A37EFE">
              <w:rPr>
                <w:color w:val="FFFFFF" w:themeColor="background1"/>
              </w:rPr>
              <w:t xml:space="preserve"> costs</w:t>
            </w:r>
          </w:p>
        </w:tc>
        <w:tc>
          <w:tcPr>
            <w:tcW w:w="1003" w:type="pct"/>
            <w:shd w:val="clear" w:color="auto" w:fill="0F1F35" w:themeFill="text2"/>
          </w:tcPr>
          <w:p w14:paraId="4C2649F5" w14:textId="7E4F7607" w:rsidR="006819B3" w:rsidRPr="00A37EFE" w:rsidRDefault="006819B3" w:rsidP="004A5806">
            <w:pPr>
              <w:pStyle w:val="TBLText"/>
              <w:spacing w:after="0"/>
              <w:jc w:val="center"/>
              <w:rPr>
                <w:color w:val="FFFFFF" w:themeColor="background1"/>
              </w:rPr>
            </w:pPr>
            <w:r w:rsidRPr="00A37EFE">
              <w:rPr>
                <w:color w:val="FFFFFF" w:themeColor="background1"/>
              </w:rPr>
              <w:t xml:space="preserve">Net impact </w:t>
            </w:r>
            <w:r>
              <w:br/>
            </w:r>
          </w:p>
        </w:tc>
        <w:tc>
          <w:tcPr>
            <w:tcW w:w="1248" w:type="pct"/>
            <w:shd w:val="clear" w:color="auto" w:fill="0F1F35" w:themeFill="text2"/>
          </w:tcPr>
          <w:p w14:paraId="73F02B1F" w14:textId="4843BE0A" w:rsidR="006819B3" w:rsidRPr="00A37EFE" w:rsidRDefault="006819B3" w:rsidP="004A5806">
            <w:pPr>
              <w:pStyle w:val="TBLText"/>
              <w:spacing w:after="0"/>
              <w:jc w:val="center"/>
              <w:rPr>
                <w:color w:val="FFFFFF" w:themeColor="background1"/>
              </w:rPr>
            </w:pPr>
            <w:r w:rsidRPr="00A37EFE">
              <w:rPr>
                <w:color w:val="FFFFFF" w:themeColor="background1"/>
              </w:rPr>
              <w:t xml:space="preserve">Regulatory burden </w:t>
            </w:r>
            <w:r w:rsidRPr="00A37EFE">
              <w:rPr>
                <w:color w:val="FFFFFF" w:themeColor="background1"/>
              </w:rPr>
              <w:br/>
            </w:r>
          </w:p>
        </w:tc>
      </w:tr>
      <w:tr w:rsidR="006819B3" w:rsidRPr="00A37EFE" w14:paraId="4271E644" w14:textId="77777777" w:rsidTr="00696C4C">
        <w:trPr>
          <w:trHeight w:val="1029"/>
        </w:trPr>
        <w:tc>
          <w:tcPr>
            <w:tcW w:w="743" w:type="pct"/>
          </w:tcPr>
          <w:p w14:paraId="77BBA490" w14:textId="77777777" w:rsidR="006819B3" w:rsidRPr="00A37EFE" w:rsidRDefault="006819B3" w:rsidP="00696C4C">
            <w:pPr>
              <w:pStyle w:val="TBLText"/>
              <w:rPr>
                <w:b/>
                <w:bCs/>
              </w:rPr>
            </w:pPr>
            <w:r w:rsidRPr="00A37EFE">
              <w:rPr>
                <w:b/>
                <w:bCs/>
              </w:rPr>
              <w:t>Fundamental Reform / Domestic Gas Reservation:</w:t>
            </w:r>
          </w:p>
        </w:tc>
        <w:tc>
          <w:tcPr>
            <w:tcW w:w="1003" w:type="pct"/>
          </w:tcPr>
          <w:p w14:paraId="73C9E7C6" w14:textId="304DCF1B" w:rsidR="00866671" w:rsidRPr="004A5806" w:rsidRDefault="007A0AD8" w:rsidP="00696C4C">
            <w:pPr>
              <w:pStyle w:val="TBLText"/>
            </w:pPr>
            <w:r>
              <w:t>Is expected to</w:t>
            </w:r>
            <w:r w:rsidR="00F94F7C">
              <w:t xml:space="preserve"> improve supply security and</w:t>
            </w:r>
            <w:r w:rsidR="00B003AC" w:rsidRPr="004A5806">
              <w:t xml:space="preserve"> </w:t>
            </w:r>
            <w:r w:rsidR="009660C5" w:rsidRPr="004A5806">
              <w:t xml:space="preserve">put </w:t>
            </w:r>
            <w:r w:rsidR="00B003AC" w:rsidRPr="004A5806">
              <w:t>downward pressure on d</w:t>
            </w:r>
            <w:r w:rsidR="00671CFB" w:rsidRPr="004A5806">
              <w:t xml:space="preserve">omestic gas prices. </w:t>
            </w:r>
          </w:p>
          <w:p w14:paraId="64A2E6AF" w14:textId="340F1640" w:rsidR="00671CFB" w:rsidRDefault="0077601A" w:rsidP="00696C4C">
            <w:pPr>
              <w:pStyle w:val="TBLText"/>
            </w:pPr>
            <w:r>
              <w:t>Lower domestic gas prices</w:t>
            </w:r>
            <w:r w:rsidR="00671CFB" w:rsidRPr="004A5806">
              <w:t xml:space="preserve"> </w:t>
            </w:r>
            <w:r w:rsidR="007A0AD8">
              <w:t xml:space="preserve">would </w:t>
            </w:r>
            <w:r w:rsidR="00671CFB" w:rsidRPr="004A5806">
              <w:t>benefit end use</w:t>
            </w:r>
            <w:r w:rsidR="004F0398">
              <w:t>r</w:t>
            </w:r>
            <w:r w:rsidR="00671CFB" w:rsidRPr="004A5806">
              <w:t>s of gas, including households and businesses.</w:t>
            </w:r>
          </w:p>
          <w:p w14:paraId="56CB398F" w14:textId="77777777" w:rsidR="00664CFC" w:rsidRPr="00664CFC" w:rsidRDefault="00664CFC" w:rsidP="00664CFC">
            <w:pPr>
              <w:pStyle w:val="TBLText"/>
            </w:pPr>
            <w:r w:rsidRPr="00664CFC">
              <w:t>Industrial gas users (manufacturers) benefit from lower gas prices, which has flow on benefits for Australia’s resilience to supply chain disruptions and labour market.</w:t>
            </w:r>
          </w:p>
          <w:p w14:paraId="74A52225" w14:textId="0210A569" w:rsidR="00723765" w:rsidRPr="00A37EFE" w:rsidRDefault="00723765" w:rsidP="00696C4C">
            <w:pPr>
              <w:pStyle w:val="TBLText"/>
            </w:pPr>
          </w:p>
        </w:tc>
        <w:tc>
          <w:tcPr>
            <w:tcW w:w="1003" w:type="pct"/>
          </w:tcPr>
          <w:p w14:paraId="01003D53" w14:textId="77777777" w:rsidR="00316775" w:rsidRPr="00316775" w:rsidRDefault="00316775" w:rsidP="00316775">
            <w:pPr>
              <w:pStyle w:val="TBLText"/>
            </w:pPr>
            <w:r w:rsidRPr="00316775">
              <w:t>Costs will be borne by the gas industry. Costs are highly sensitive to market conditions (especially the international LNG price) and how market participants respond to the policy.</w:t>
            </w:r>
          </w:p>
          <w:p w14:paraId="6704B380" w14:textId="41215D43" w:rsidR="00732FBF" w:rsidRPr="00142798" w:rsidRDefault="009E2CF2" w:rsidP="00732FBF">
            <w:pPr>
              <w:pStyle w:val="TBLText"/>
            </w:pPr>
            <w:r w:rsidRPr="009E2CF2">
              <w:t xml:space="preserve">Some higher-cost </w:t>
            </w:r>
            <w:r>
              <w:t xml:space="preserve">gas </w:t>
            </w:r>
            <w:r w:rsidRPr="009E2CF2">
              <w:t xml:space="preserve">production may become uneconomic </w:t>
            </w:r>
            <w:r w:rsidR="001F34E6">
              <w:t>due to downward pressure on gas prices</w:t>
            </w:r>
            <w:r w:rsidRPr="009E2CF2">
              <w:t>, which could reduce production</w:t>
            </w:r>
            <w:r w:rsidR="00CF7C51">
              <w:t xml:space="preserve"> and investment in the gas sector</w:t>
            </w:r>
            <w:r w:rsidR="00957401">
              <w:t>,</w:t>
            </w:r>
            <w:r w:rsidRPr="009E2CF2">
              <w:t xml:space="preserve"> relative to the </w:t>
            </w:r>
            <w:r>
              <w:t>status quo</w:t>
            </w:r>
            <w:r w:rsidRPr="009E2CF2">
              <w:t>.</w:t>
            </w:r>
          </w:p>
          <w:p w14:paraId="7E1BCCC4" w14:textId="6C2B7731" w:rsidR="0044004F" w:rsidRPr="00A37EFE" w:rsidRDefault="003D36CD" w:rsidP="00696C4C">
            <w:pPr>
              <w:pStyle w:val="TBLText"/>
            </w:pPr>
            <w:r w:rsidRPr="003D36CD">
              <w:t>LNG exports may be lower than under the status quo</w:t>
            </w:r>
            <w:r w:rsidR="001E6E3D">
              <w:t xml:space="preserve">. </w:t>
            </w:r>
          </w:p>
        </w:tc>
        <w:tc>
          <w:tcPr>
            <w:tcW w:w="1003" w:type="pct"/>
          </w:tcPr>
          <w:p w14:paraId="7E5C03D5" w14:textId="32D64B25" w:rsidR="006819B3" w:rsidRDefault="00AA157B" w:rsidP="00696C4C">
            <w:pPr>
              <w:pStyle w:val="TBLText"/>
            </w:pPr>
            <w:r w:rsidRPr="004A5806">
              <w:t xml:space="preserve">The net impact </w:t>
            </w:r>
            <w:r w:rsidR="00083EE7" w:rsidRPr="004A5806">
              <w:t xml:space="preserve">is </w:t>
            </w:r>
            <w:r w:rsidR="00AA5F4D" w:rsidRPr="004A5806">
              <w:t xml:space="preserve">a transfer of </w:t>
            </w:r>
            <w:r w:rsidR="00DC46E8" w:rsidRPr="004A5806">
              <w:t xml:space="preserve">value from </w:t>
            </w:r>
            <w:r w:rsidR="007F26AB" w:rsidRPr="004A5806">
              <w:t xml:space="preserve">gas producers </w:t>
            </w:r>
            <w:r w:rsidR="00EB07FC" w:rsidRPr="004A5806">
              <w:t>to domestic users of gas</w:t>
            </w:r>
            <w:r w:rsidR="002C2AA3" w:rsidRPr="004A5806">
              <w:t xml:space="preserve"> through </w:t>
            </w:r>
            <w:r w:rsidR="00566DD0" w:rsidRPr="004A5806">
              <w:t>downward pressure on domestic gas prices.</w:t>
            </w:r>
          </w:p>
          <w:p w14:paraId="0B8B67A1" w14:textId="5566154B" w:rsidR="0044004F" w:rsidRPr="00A37EFE" w:rsidRDefault="0044004F" w:rsidP="00006E11">
            <w:pPr>
              <w:pStyle w:val="TBLText"/>
            </w:pPr>
          </w:p>
        </w:tc>
        <w:tc>
          <w:tcPr>
            <w:tcW w:w="1248" w:type="pct"/>
          </w:tcPr>
          <w:p w14:paraId="6AA8D261" w14:textId="291BC05D" w:rsidR="006819B3" w:rsidRDefault="00DB62CF" w:rsidP="00142798">
            <w:pPr>
              <w:pStyle w:val="TBLText"/>
            </w:pPr>
            <w:r w:rsidRPr="004A5806">
              <w:t>$</w:t>
            </w:r>
            <w:r w:rsidR="00EF5239">
              <w:t>134</w:t>
            </w:r>
            <w:r w:rsidR="00EF5239" w:rsidRPr="004A5806">
              <w:t xml:space="preserve"> </w:t>
            </w:r>
            <w:r w:rsidR="006819B3" w:rsidRPr="004A5806">
              <w:t>million over 10 years</w:t>
            </w:r>
            <w:r w:rsidR="006D57A0">
              <w:t xml:space="preserve"> </w:t>
            </w:r>
          </w:p>
          <w:p w14:paraId="7E1338AB" w14:textId="63FA0CE4" w:rsidR="00C76A2A" w:rsidRPr="00A37EFE" w:rsidRDefault="00C76A2A" w:rsidP="00696C4C">
            <w:pPr>
              <w:pStyle w:val="TBLText"/>
              <w:jc w:val="right"/>
            </w:pPr>
          </w:p>
        </w:tc>
      </w:tr>
      <w:tr w:rsidR="00AC7B58" w:rsidRPr="00A37EFE" w14:paraId="3CFB4F35" w14:textId="77777777" w:rsidTr="00AD5994">
        <w:trPr>
          <w:trHeight w:val="283"/>
        </w:trPr>
        <w:tc>
          <w:tcPr>
            <w:tcW w:w="743" w:type="pct"/>
          </w:tcPr>
          <w:p w14:paraId="675F6A66" w14:textId="5C3F7F95" w:rsidR="00AC7B58" w:rsidRPr="004A5806" w:rsidRDefault="00AC7B58" w:rsidP="00696C4C">
            <w:pPr>
              <w:pStyle w:val="TBLText"/>
              <w:rPr>
                <w:b/>
              </w:rPr>
            </w:pPr>
            <w:r w:rsidRPr="004A5806">
              <w:rPr>
                <w:b/>
              </w:rPr>
              <w:t>Status Quo:</w:t>
            </w:r>
          </w:p>
        </w:tc>
        <w:tc>
          <w:tcPr>
            <w:tcW w:w="1003" w:type="pct"/>
          </w:tcPr>
          <w:p w14:paraId="5281C377" w14:textId="28AF729F" w:rsidR="00AC7B58" w:rsidRPr="004A5806" w:rsidDel="003C0F47" w:rsidRDefault="000D3133" w:rsidP="00A5148F">
            <w:pPr>
              <w:pStyle w:val="TBLText"/>
            </w:pPr>
            <w:r>
              <w:t>Retain</w:t>
            </w:r>
            <w:r w:rsidR="00A44D43">
              <w:t>ing</w:t>
            </w:r>
            <w:r>
              <w:t xml:space="preserve"> current policy settings</w:t>
            </w:r>
            <w:r w:rsidR="00A44D43">
              <w:t xml:space="preserve"> would provide greater certainty to market participants in the short term.</w:t>
            </w:r>
          </w:p>
        </w:tc>
        <w:tc>
          <w:tcPr>
            <w:tcW w:w="1003" w:type="pct"/>
          </w:tcPr>
          <w:p w14:paraId="57348219" w14:textId="49944F03" w:rsidR="00AC7B58" w:rsidRPr="00142798" w:rsidDel="003C0F47" w:rsidRDefault="00881386" w:rsidP="00696C4C">
            <w:pPr>
              <w:pStyle w:val="TBLText"/>
            </w:pPr>
            <w:r>
              <w:t>Retaining</w:t>
            </w:r>
            <w:r w:rsidR="00795D48">
              <w:t xml:space="preserve"> c</w:t>
            </w:r>
            <w:r w:rsidR="00757625">
              <w:t xml:space="preserve">urrent </w:t>
            </w:r>
            <w:r w:rsidR="00795D48">
              <w:t>policy settings</w:t>
            </w:r>
            <w:r w:rsidR="00757625">
              <w:t xml:space="preserve"> </w:t>
            </w:r>
            <w:r>
              <w:t xml:space="preserve">would not </w:t>
            </w:r>
            <w:r w:rsidR="00093B21">
              <w:t>deliver</w:t>
            </w:r>
            <w:r w:rsidR="00402F40">
              <w:t xml:space="preserve"> Australia’s </w:t>
            </w:r>
            <w:r w:rsidR="007435F4">
              <w:t>energy security</w:t>
            </w:r>
            <w:r w:rsidR="00B674F9">
              <w:t xml:space="preserve"> </w:t>
            </w:r>
            <w:r w:rsidR="00757625">
              <w:t xml:space="preserve">and </w:t>
            </w:r>
            <w:r w:rsidR="00AC1452">
              <w:t>would not</w:t>
            </w:r>
            <w:r w:rsidR="00757625">
              <w:t xml:space="preserve"> provide sufficient </w:t>
            </w:r>
            <w:r w:rsidR="0024026D">
              <w:t>long-term</w:t>
            </w:r>
            <w:r w:rsidR="00757625">
              <w:t xml:space="preserve"> certainty for investment and supply to gas market</w:t>
            </w:r>
            <w:r w:rsidR="00795D48">
              <w:t xml:space="preserve"> </w:t>
            </w:r>
            <w:r w:rsidR="00757625">
              <w:t>participants.</w:t>
            </w:r>
          </w:p>
        </w:tc>
        <w:tc>
          <w:tcPr>
            <w:tcW w:w="1003" w:type="pct"/>
          </w:tcPr>
          <w:p w14:paraId="146FD911" w14:textId="02176AD1" w:rsidR="00AC7B58" w:rsidRPr="004A5806" w:rsidDel="00BB33B7" w:rsidRDefault="00586850" w:rsidP="00696C4C">
            <w:pPr>
              <w:pStyle w:val="TBLText"/>
            </w:pPr>
            <w:r>
              <w:t xml:space="preserve">The net impact of retaining current policy settings </w:t>
            </w:r>
            <w:r w:rsidR="00A54D9F">
              <w:t>would</w:t>
            </w:r>
            <w:r w:rsidR="0048601C">
              <w:t xml:space="preserve"> leave</w:t>
            </w:r>
            <w:r w:rsidR="00A54D9F">
              <w:t xml:space="preserve"> </w:t>
            </w:r>
            <w:r w:rsidR="0048601C" w:rsidRPr="00A16116">
              <w:t>domestic users exposed to prospective supply shortfalls and international price volatility</w:t>
            </w:r>
            <w:r w:rsidR="00171F04">
              <w:t>.</w:t>
            </w:r>
          </w:p>
        </w:tc>
        <w:tc>
          <w:tcPr>
            <w:tcW w:w="1248" w:type="pct"/>
          </w:tcPr>
          <w:p w14:paraId="21E72ECE" w14:textId="3F7BBDA0" w:rsidR="00AC7B58" w:rsidRPr="004A5806" w:rsidRDefault="00DC5778" w:rsidP="00AD5994">
            <w:pPr>
              <w:pStyle w:val="TBLText"/>
            </w:pPr>
            <w:r w:rsidRPr="004A5806">
              <w:t>$</w:t>
            </w:r>
            <w:r w:rsidR="003957B9" w:rsidRPr="004A5806">
              <w:t>5</w:t>
            </w:r>
            <w:r w:rsidR="00AD5994">
              <w:t>9</w:t>
            </w:r>
            <w:r w:rsidR="003957B9" w:rsidRPr="004A5806">
              <w:t xml:space="preserve"> million over 10 </w:t>
            </w:r>
            <w:r w:rsidR="005419D1" w:rsidRPr="004A5806">
              <w:t>years</w:t>
            </w:r>
            <w:r w:rsidR="006D57A0">
              <w:t xml:space="preserve"> </w:t>
            </w:r>
          </w:p>
        </w:tc>
      </w:tr>
    </w:tbl>
    <w:p w14:paraId="171E3907" w14:textId="2F9E89C0" w:rsidR="004B793A" w:rsidRPr="00076FB7" w:rsidRDefault="008657DB" w:rsidP="004939E0">
      <w:pPr>
        <w:rPr>
          <w:sz w:val="18"/>
          <w:szCs w:val="18"/>
        </w:rPr>
      </w:pPr>
      <w:r w:rsidRPr="00076FB7">
        <w:rPr>
          <w:sz w:val="18"/>
          <w:szCs w:val="18"/>
        </w:rPr>
        <w:t>*</w:t>
      </w:r>
      <w:r w:rsidR="0089595B">
        <w:rPr>
          <w:sz w:val="18"/>
          <w:szCs w:val="18"/>
        </w:rPr>
        <w:t>Other</w:t>
      </w:r>
      <w:r w:rsidR="0089595B" w:rsidRPr="00076FB7">
        <w:rPr>
          <w:sz w:val="18"/>
          <w:szCs w:val="18"/>
        </w:rPr>
        <w:t xml:space="preserve"> </w:t>
      </w:r>
      <w:r w:rsidR="0081538C" w:rsidRPr="00076FB7">
        <w:rPr>
          <w:sz w:val="18"/>
          <w:szCs w:val="18"/>
        </w:rPr>
        <w:t xml:space="preserve">costs cover non-regulatory burden </w:t>
      </w:r>
      <w:r w:rsidR="00076FB7" w:rsidRPr="00076FB7">
        <w:rPr>
          <w:sz w:val="18"/>
          <w:szCs w:val="18"/>
        </w:rPr>
        <w:t>costs</w:t>
      </w:r>
      <w:r w:rsidRPr="00076FB7">
        <w:rPr>
          <w:sz w:val="18"/>
          <w:szCs w:val="18"/>
        </w:rPr>
        <w:t xml:space="preserve"> </w:t>
      </w:r>
    </w:p>
    <w:p w14:paraId="5E7DFE76" w14:textId="576987C6" w:rsidR="004939E0" w:rsidRPr="004A5806" w:rsidRDefault="004939E0" w:rsidP="004939E0">
      <w:pPr>
        <w:rPr>
          <w:rFonts w:ascii="Segoe UI" w:hAnsi="Segoe UI" w:cs="Segoe UI"/>
        </w:rPr>
      </w:pPr>
      <w:r w:rsidRPr="004A5806">
        <w:rPr>
          <w:rFonts w:ascii="Segoe UI" w:hAnsi="Segoe UI" w:cs="Segoe UI"/>
        </w:rPr>
        <w:t xml:space="preserve">The extent of the DGRS's impacts will depend on future market conditions, including international LNG prices. By placing downward pressure on domestic gas prices and calibrating reserved volumes to domestic demand, the scheme is expected to support more reliable supply </w:t>
      </w:r>
      <w:r w:rsidR="00D66B21" w:rsidRPr="004A5806">
        <w:rPr>
          <w:rFonts w:ascii="Segoe UI" w:hAnsi="Segoe UI" w:cs="Segoe UI"/>
        </w:rPr>
        <w:t xml:space="preserve">while </w:t>
      </w:r>
      <w:r w:rsidRPr="004A5806">
        <w:rPr>
          <w:rFonts w:ascii="Segoe UI" w:hAnsi="Segoe UI" w:cs="Segoe UI"/>
        </w:rPr>
        <w:t>limit</w:t>
      </w:r>
      <w:r w:rsidR="00D66B21" w:rsidRPr="004A5806">
        <w:rPr>
          <w:rFonts w:ascii="Segoe UI" w:hAnsi="Segoe UI" w:cs="Segoe UI"/>
        </w:rPr>
        <w:t>ing</w:t>
      </w:r>
      <w:r w:rsidRPr="004A5806">
        <w:rPr>
          <w:rFonts w:ascii="Segoe UI" w:hAnsi="Segoe UI" w:cs="Segoe UI"/>
        </w:rPr>
        <w:t xml:space="preserve"> impacts on investment in the gas sector.</w:t>
      </w:r>
    </w:p>
    <w:p w14:paraId="6A4646CE" w14:textId="7EDA61EB" w:rsidR="00BC021D" w:rsidRPr="004A5806" w:rsidRDefault="00BC021D" w:rsidP="00BC021D">
      <w:pPr>
        <w:rPr>
          <w:rFonts w:ascii="Segoe UI" w:hAnsi="Segoe UI" w:cs="Segoe UI"/>
        </w:rPr>
      </w:pPr>
      <w:r w:rsidRPr="004A5806">
        <w:rPr>
          <w:rFonts w:ascii="Segoe UI" w:hAnsi="Segoe UI" w:cs="Segoe UI"/>
        </w:rPr>
        <w:t xml:space="preserve">Some higher-cost gas production may become uneconomic over time, reducing total gas production relative to what would otherwise occur. LNG exports </w:t>
      </w:r>
      <w:r w:rsidR="00CA2074">
        <w:rPr>
          <w:rFonts w:ascii="Segoe UI" w:hAnsi="Segoe UI" w:cs="Segoe UI"/>
        </w:rPr>
        <w:t>may</w:t>
      </w:r>
      <w:r w:rsidR="00CA2074" w:rsidRPr="004A5806">
        <w:rPr>
          <w:rFonts w:ascii="Segoe UI" w:hAnsi="Segoe UI" w:cs="Segoe UI"/>
        </w:rPr>
        <w:t xml:space="preserve"> </w:t>
      </w:r>
      <w:r w:rsidRPr="004A5806">
        <w:rPr>
          <w:rFonts w:ascii="Segoe UI" w:hAnsi="Segoe UI" w:cs="Segoe UI"/>
        </w:rPr>
        <w:t>also decline</w:t>
      </w:r>
      <w:r w:rsidR="00EF2061">
        <w:rPr>
          <w:rFonts w:ascii="Segoe UI" w:hAnsi="Segoe UI" w:cs="Segoe UI"/>
        </w:rPr>
        <w:t xml:space="preserve"> relative to the status quo</w:t>
      </w:r>
      <w:r w:rsidR="009F7AC0">
        <w:rPr>
          <w:rFonts w:ascii="Segoe UI" w:hAnsi="Segoe UI" w:cs="Segoe UI"/>
        </w:rPr>
        <w:t>.</w:t>
      </w:r>
      <w:r w:rsidRPr="004A5806">
        <w:rPr>
          <w:rFonts w:ascii="Segoe UI" w:hAnsi="Segoe UI" w:cs="Segoe UI"/>
        </w:rPr>
        <w:t xml:space="preserve"> Domestic gas availability is expected to increase</w:t>
      </w:r>
      <w:r w:rsidR="00172088">
        <w:rPr>
          <w:rFonts w:ascii="Segoe UI" w:hAnsi="Segoe UI" w:cs="Segoe UI"/>
        </w:rPr>
        <w:t>.</w:t>
      </w:r>
    </w:p>
    <w:p w14:paraId="251735F6" w14:textId="1AEB7C12" w:rsidR="00BC021D" w:rsidRPr="004A5806" w:rsidRDefault="00BC021D" w:rsidP="00BC021D">
      <w:pPr>
        <w:rPr>
          <w:rFonts w:ascii="Segoe UI" w:hAnsi="Segoe UI" w:cs="Segoe UI"/>
        </w:rPr>
      </w:pPr>
      <w:r w:rsidRPr="004A5806">
        <w:rPr>
          <w:rFonts w:ascii="Segoe UI" w:hAnsi="Segoe UI" w:cs="Segoe UI"/>
        </w:rPr>
        <w:t xml:space="preserve">By improving supply certainty and placing downward pressure on domestic gas prices, the DGRS is expected to benefit a broad range of gas users. Lower energy costs </w:t>
      </w:r>
      <w:r w:rsidR="00D7423C" w:rsidRPr="6F097625">
        <w:rPr>
          <w:rFonts w:ascii="Segoe UI" w:hAnsi="Segoe UI" w:cs="Segoe UI"/>
        </w:rPr>
        <w:t>may</w:t>
      </w:r>
      <w:r w:rsidRPr="004A5806">
        <w:rPr>
          <w:rFonts w:ascii="Segoe UI" w:hAnsi="Segoe UI" w:cs="Segoe UI"/>
        </w:rPr>
        <w:t xml:space="preserve"> improve the</w:t>
      </w:r>
      <w:r w:rsidR="004379B8">
        <w:rPr>
          <w:rFonts w:ascii="Segoe UI" w:hAnsi="Segoe UI" w:cs="Segoe UI"/>
        </w:rPr>
        <w:t xml:space="preserve"> </w:t>
      </w:r>
      <w:r w:rsidRPr="004A5806">
        <w:rPr>
          <w:rFonts w:ascii="Segoe UI" w:hAnsi="Segoe UI" w:cs="Segoe UI"/>
        </w:rPr>
        <w:lastRenderedPageBreak/>
        <w:t>competitiveness of gas-</w:t>
      </w:r>
      <w:r w:rsidR="00042E63" w:rsidRPr="6F097625">
        <w:rPr>
          <w:rFonts w:ascii="Segoe UI" w:hAnsi="Segoe UI" w:cs="Segoe UI"/>
        </w:rPr>
        <w:t>intensive</w:t>
      </w:r>
      <w:r w:rsidRPr="004A5806">
        <w:rPr>
          <w:rFonts w:ascii="Segoe UI" w:hAnsi="Segoe UI" w:cs="Segoe UI"/>
        </w:rPr>
        <w:t xml:space="preserve"> industries, support investment</w:t>
      </w:r>
      <w:r w:rsidR="00E10AC9" w:rsidRPr="6F097625">
        <w:rPr>
          <w:rFonts w:ascii="Segoe UI" w:hAnsi="Segoe UI" w:cs="Segoe UI"/>
        </w:rPr>
        <w:t xml:space="preserve"> by gas users</w:t>
      </w:r>
      <w:r w:rsidRPr="004A5806">
        <w:rPr>
          <w:rFonts w:ascii="Segoe UI" w:hAnsi="Segoe UI" w:cs="Segoe UI"/>
        </w:rPr>
        <w:t xml:space="preserve">, </w:t>
      </w:r>
      <w:r w:rsidR="0048601C">
        <w:rPr>
          <w:rFonts w:ascii="Segoe UI" w:hAnsi="Segoe UI" w:cs="Segoe UI"/>
        </w:rPr>
        <w:t xml:space="preserve">enable </w:t>
      </w:r>
      <w:r w:rsidRPr="004A5806">
        <w:rPr>
          <w:rFonts w:ascii="Segoe UI" w:hAnsi="Segoe UI" w:cs="Segoe UI"/>
        </w:rPr>
        <w:t xml:space="preserve">innovation and productivity improvements, and enable businesses to expand output where market conditions permit. These benefits are likely to be </w:t>
      </w:r>
      <w:r w:rsidR="00CA34B2" w:rsidRPr="6F097625">
        <w:rPr>
          <w:rFonts w:ascii="Segoe UI" w:hAnsi="Segoe UI" w:cs="Segoe UI"/>
        </w:rPr>
        <w:t>greatest</w:t>
      </w:r>
      <w:r w:rsidRPr="004A5806">
        <w:rPr>
          <w:rFonts w:ascii="Segoe UI" w:hAnsi="Segoe UI" w:cs="Segoe UI"/>
        </w:rPr>
        <w:t xml:space="preserve"> in </w:t>
      </w:r>
      <w:r w:rsidR="009C4EFA" w:rsidRPr="6F097625">
        <w:rPr>
          <w:rFonts w:ascii="Segoe UI" w:hAnsi="Segoe UI" w:cs="Segoe UI"/>
        </w:rPr>
        <w:t>sectors</w:t>
      </w:r>
      <w:r w:rsidRPr="004A5806">
        <w:rPr>
          <w:rFonts w:ascii="Segoe UI" w:hAnsi="Segoe UI" w:cs="Segoe UI"/>
        </w:rPr>
        <w:t xml:space="preserve"> that </w:t>
      </w:r>
      <w:r w:rsidR="00946DE7" w:rsidRPr="6F097625">
        <w:rPr>
          <w:rFonts w:ascii="Segoe UI" w:hAnsi="Segoe UI" w:cs="Segoe UI"/>
        </w:rPr>
        <w:t>use gas intensively</w:t>
      </w:r>
      <w:r w:rsidRPr="004A5806">
        <w:rPr>
          <w:rFonts w:ascii="Segoe UI" w:hAnsi="Segoe UI" w:cs="Segoe UI"/>
        </w:rPr>
        <w:t xml:space="preserve"> as an energy source or feedstock, including </w:t>
      </w:r>
      <w:r w:rsidR="0035108D" w:rsidRPr="004A5806">
        <w:rPr>
          <w:rFonts w:ascii="Segoe UI" w:hAnsi="Segoe UI" w:cs="Segoe UI"/>
        </w:rPr>
        <w:t xml:space="preserve">metals manufacturing, chemical </w:t>
      </w:r>
      <w:r w:rsidR="00A80784">
        <w:rPr>
          <w:rFonts w:ascii="Segoe UI" w:hAnsi="Segoe UI" w:cs="Segoe UI"/>
        </w:rPr>
        <w:t xml:space="preserve">and fertiliser </w:t>
      </w:r>
      <w:r w:rsidR="0035108D" w:rsidRPr="004A5806">
        <w:rPr>
          <w:rFonts w:ascii="Segoe UI" w:hAnsi="Segoe UI" w:cs="Segoe UI"/>
        </w:rPr>
        <w:t xml:space="preserve">production, </w:t>
      </w:r>
      <w:r w:rsidRPr="004A5806">
        <w:rPr>
          <w:rFonts w:ascii="Segoe UI" w:hAnsi="Segoe UI" w:cs="Segoe UI"/>
        </w:rPr>
        <w:t xml:space="preserve">electricity generation, </w:t>
      </w:r>
      <w:r w:rsidR="0035108D" w:rsidRPr="004A5806">
        <w:rPr>
          <w:rFonts w:ascii="Segoe UI" w:hAnsi="Segoe UI" w:cs="Segoe UI"/>
        </w:rPr>
        <w:t>and</w:t>
      </w:r>
      <w:r w:rsidRPr="004A5806">
        <w:rPr>
          <w:rFonts w:ascii="Segoe UI" w:hAnsi="Segoe UI" w:cs="Segoe UI"/>
        </w:rPr>
        <w:t xml:space="preserve"> mining.</w:t>
      </w:r>
    </w:p>
    <w:p w14:paraId="3C5CF098" w14:textId="77777777" w:rsidR="008231C4" w:rsidRPr="004A5806" w:rsidRDefault="00BC021D" w:rsidP="00BC021D">
      <w:pPr>
        <w:rPr>
          <w:rFonts w:ascii="Segoe UI" w:hAnsi="Segoe UI" w:cs="Segoe UI"/>
        </w:rPr>
      </w:pPr>
      <w:r w:rsidRPr="004A5806">
        <w:rPr>
          <w:rFonts w:ascii="Segoe UI" w:hAnsi="Segoe UI" w:cs="Segoe UI"/>
        </w:rPr>
        <w:t xml:space="preserve">Stakeholders consulted as part of the Gas Market Review identified high and volatile gas prices as a significant constraint on investment, production and employment in gas-using sectors. </w:t>
      </w:r>
    </w:p>
    <w:p w14:paraId="59746AB4" w14:textId="790F13DD" w:rsidR="4FA35704" w:rsidRDefault="056A0781" w:rsidP="3B3CFE79">
      <w:pPr>
        <w:rPr>
          <w:rFonts w:ascii="Segoe UI" w:eastAsia="Aptos" w:hAnsi="Segoe UI" w:cs="Segoe UI"/>
          <w:color w:val="auto"/>
          <w:lang w:eastAsia="en-AU"/>
        </w:rPr>
      </w:pPr>
      <w:r w:rsidRPr="00892A3D">
        <w:rPr>
          <w:rFonts w:ascii="Segoe UI" w:eastAsia="Aptos" w:hAnsi="Segoe UI" w:cs="Segoe UI"/>
          <w:color w:val="auto"/>
          <w:lang w:eastAsia="en-AU"/>
        </w:rPr>
        <w:t>Lower domestic gas prices could also support Australia's net zero transition by improving the economics of emerging industries such as green iron</w:t>
      </w:r>
      <w:r w:rsidR="007922A1">
        <w:rPr>
          <w:rFonts w:ascii="Segoe UI" w:eastAsia="Aptos" w:hAnsi="Segoe UI" w:cs="Segoe UI"/>
          <w:color w:val="auto"/>
          <w:lang w:eastAsia="en-AU"/>
        </w:rPr>
        <w:t xml:space="preserve"> from</w:t>
      </w:r>
      <w:r w:rsidRPr="00892A3D">
        <w:rPr>
          <w:rFonts w:ascii="Segoe UI" w:eastAsia="Aptos" w:hAnsi="Segoe UI" w:cs="Segoe UI"/>
          <w:color w:val="auto"/>
          <w:lang w:eastAsia="en-AU"/>
        </w:rPr>
        <w:t xml:space="preserve"> </w:t>
      </w:r>
      <w:r w:rsidR="4E0E25A9" w:rsidRPr="5311E81C">
        <w:rPr>
          <w:rFonts w:ascii="Segoe UI" w:eastAsia="Aptos" w:hAnsi="Segoe UI" w:cs="Segoe UI"/>
          <w:color w:val="auto"/>
          <w:lang w:eastAsia="en-AU"/>
        </w:rPr>
        <w:t>g</w:t>
      </w:r>
      <w:r w:rsidRPr="00892A3D">
        <w:rPr>
          <w:rFonts w:ascii="Segoe UI" w:eastAsia="Aptos" w:hAnsi="Segoe UI" w:cs="Segoe UI"/>
          <w:color w:val="auto"/>
          <w:lang w:eastAsia="en-AU"/>
        </w:rPr>
        <w:t>as-based direct reduced iron (DRI)</w:t>
      </w:r>
      <w:r w:rsidR="007922A1">
        <w:rPr>
          <w:rFonts w:ascii="Segoe UI" w:eastAsia="Aptos" w:hAnsi="Segoe UI" w:cs="Segoe UI"/>
          <w:color w:val="auto"/>
          <w:lang w:eastAsia="en-AU"/>
        </w:rPr>
        <w:t>. DRI</w:t>
      </w:r>
      <w:r w:rsidRPr="00892A3D">
        <w:rPr>
          <w:rFonts w:ascii="Segoe UI" w:eastAsia="Aptos" w:hAnsi="Segoe UI" w:cs="Segoe UI"/>
          <w:color w:val="auto"/>
          <w:lang w:eastAsia="en-AU"/>
        </w:rPr>
        <w:t xml:space="preserve"> can reduce emissions by around 69 per cent compared with traditional blast furnace </w:t>
      </w:r>
      <w:proofErr w:type="gramStart"/>
      <w:r w:rsidRPr="00892A3D">
        <w:rPr>
          <w:rFonts w:ascii="Segoe UI" w:eastAsia="Aptos" w:hAnsi="Segoe UI" w:cs="Segoe UI"/>
          <w:color w:val="auto"/>
          <w:lang w:eastAsia="en-AU"/>
        </w:rPr>
        <w:t>production</w:t>
      </w:r>
      <w:r w:rsidR="4A0F7E79" w:rsidRPr="480C42FA">
        <w:rPr>
          <w:rFonts w:ascii="Segoe UI" w:eastAsia="Aptos" w:hAnsi="Segoe UI" w:cs="Segoe UI"/>
          <w:color w:val="auto"/>
          <w:lang w:eastAsia="en-AU"/>
        </w:rPr>
        <w:t>, and</w:t>
      </w:r>
      <w:proofErr w:type="gramEnd"/>
      <w:r w:rsidR="4A0F7E79" w:rsidRPr="480C42FA">
        <w:rPr>
          <w:rFonts w:ascii="Segoe UI" w:eastAsia="Aptos" w:hAnsi="Segoe UI" w:cs="Segoe UI"/>
          <w:color w:val="auto"/>
          <w:lang w:eastAsia="en-AU"/>
        </w:rPr>
        <w:t xml:space="preserve"> </w:t>
      </w:r>
      <w:r w:rsidR="4A0F7E79" w:rsidRPr="2594DDBA">
        <w:rPr>
          <w:rFonts w:ascii="Segoe UI" w:eastAsia="Aptos" w:hAnsi="Segoe UI" w:cs="Segoe UI"/>
          <w:color w:val="auto"/>
          <w:lang w:eastAsia="en-AU"/>
        </w:rPr>
        <w:t xml:space="preserve">be </w:t>
      </w:r>
      <w:r w:rsidR="4A0F7E79" w:rsidRPr="17CDB2D9">
        <w:rPr>
          <w:rFonts w:ascii="Segoe UI" w:eastAsia="Aptos" w:hAnsi="Segoe UI" w:cs="Segoe UI"/>
          <w:color w:val="auto"/>
          <w:lang w:eastAsia="en-AU"/>
        </w:rPr>
        <w:t xml:space="preserve">used as </w:t>
      </w:r>
      <w:r w:rsidR="3D8DD82F" w:rsidRPr="17CDB2D9">
        <w:rPr>
          <w:rFonts w:ascii="Segoe UI" w:eastAsia="Aptos" w:hAnsi="Segoe UI" w:cs="Segoe UI"/>
          <w:color w:val="auto"/>
          <w:lang w:eastAsia="en-AU"/>
        </w:rPr>
        <w:t>a transition</w:t>
      </w:r>
      <w:r w:rsidR="4A0F7E79" w:rsidRPr="2594DDBA">
        <w:rPr>
          <w:rFonts w:ascii="Segoe UI" w:eastAsia="Aptos" w:hAnsi="Segoe UI" w:cs="Segoe UI"/>
          <w:color w:val="auto"/>
          <w:lang w:eastAsia="en-AU"/>
        </w:rPr>
        <w:t xml:space="preserve"> </w:t>
      </w:r>
      <w:r w:rsidR="3D8DD82F" w:rsidRPr="1F94FCFA">
        <w:rPr>
          <w:rFonts w:ascii="Segoe UI" w:eastAsia="Aptos" w:hAnsi="Segoe UI" w:cs="Segoe UI"/>
          <w:color w:val="auto"/>
          <w:lang w:eastAsia="en-AU"/>
        </w:rPr>
        <w:t>fuel</w:t>
      </w:r>
      <w:r w:rsidR="7A702572" w:rsidRPr="1F94FCFA">
        <w:rPr>
          <w:rFonts w:ascii="Segoe UI" w:eastAsia="Aptos" w:hAnsi="Segoe UI" w:cs="Segoe UI"/>
          <w:color w:val="auto"/>
          <w:lang w:eastAsia="en-AU"/>
        </w:rPr>
        <w:t xml:space="preserve"> on</w:t>
      </w:r>
      <w:r w:rsidR="7A702572" w:rsidRPr="761700EC">
        <w:rPr>
          <w:rFonts w:ascii="Segoe UI" w:eastAsia="Aptos" w:hAnsi="Segoe UI" w:cs="Segoe UI"/>
          <w:color w:val="auto"/>
          <w:lang w:eastAsia="en-AU"/>
        </w:rPr>
        <w:t xml:space="preserve"> the</w:t>
      </w:r>
      <w:r w:rsidR="4A0F7E79" w:rsidRPr="480C42FA">
        <w:rPr>
          <w:rFonts w:ascii="Segoe UI" w:eastAsia="Aptos" w:hAnsi="Segoe UI" w:cs="Segoe UI"/>
          <w:color w:val="auto"/>
          <w:lang w:eastAsia="en-AU"/>
        </w:rPr>
        <w:t xml:space="preserve"> </w:t>
      </w:r>
      <w:r w:rsidR="4A0F7E79" w:rsidRPr="10897B68">
        <w:rPr>
          <w:rFonts w:ascii="Segoe UI" w:eastAsia="Aptos" w:hAnsi="Segoe UI" w:cs="Segoe UI"/>
          <w:color w:val="auto"/>
          <w:lang w:eastAsia="en-AU"/>
        </w:rPr>
        <w:t>pathway</w:t>
      </w:r>
      <w:r w:rsidR="4A0F7E79" w:rsidRPr="67EB0874">
        <w:rPr>
          <w:rFonts w:ascii="Segoe UI" w:eastAsia="Aptos" w:hAnsi="Segoe UI" w:cs="Segoe UI"/>
          <w:color w:val="auto"/>
          <w:lang w:eastAsia="en-AU"/>
        </w:rPr>
        <w:t xml:space="preserve"> to </w:t>
      </w:r>
      <w:r w:rsidR="407478CA" w:rsidRPr="75C5AF23">
        <w:rPr>
          <w:rFonts w:ascii="Segoe UI" w:eastAsia="Aptos" w:hAnsi="Segoe UI" w:cs="Segoe UI"/>
          <w:color w:val="auto"/>
          <w:lang w:eastAsia="en-AU"/>
        </w:rPr>
        <w:t xml:space="preserve">net </w:t>
      </w:r>
      <w:r w:rsidR="407478CA" w:rsidRPr="3FA696D9">
        <w:rPr>
          <w:rFonts w:ascii="Segoe UI" w:eastAsia="Aptos" w:hAnsi="Segoe UI" w:cs="Segoe UI"/>
          <w:color w:val="auto"/>
          <w:lang w:eastAsia="en-AU"/>
        </w:rPr>
        <w:t>zero</w:t>
      </w:r>
      <w:r w:rsidRPr="3FA696D9">
        <w:rPr>
          <w:rFonts w:ascii="Segoe UI" w:eastAsia="Aptos" w:hAnsi="Segoe UI" w:cs="Segoe UI"/>
          <w:color w:val="auto"/>
          <w:lang w:eastAsia="en-AU"/>
        </w:rPr>
        <w:t>.</w:t>
      </w:r>
      <w:r w:rsidR="005A4CEF">
        <w:rPr>
          <w:rFonts w:ascii="Segoe UI" w:eastAsia="Aptos" w:hAnsi="Segoe UI" w:cs="Segoe UI"/>
          <w:color w:val="auto"/>
          <w:lang w:eastAsia="en-AU"/>
        </w:rPr>
        <w:t xml:space="preserve"> </w:t>
      </w:r>
      <w:r w:rsidR="00B64397" w:rsidRPr="00B64397">
        <w:rPr>
          <w:rFonts w:ascii="Segoe UI" w:eastAsia="Aptos" w:hAnsi="Segoe UI" w:cs="Segoe UI"/>
          <w:color w:val="auto"/>
          <w:lang w:eastAsia="en-AU"/>
        </w:rPr>
        <w:t>Low gas prices can also free capital for investment in low emissions technologies.</w:t>
      </w:r>
    </w:p>
    <w:p w14:paraId="75527CF2" w14:textId="5B4FEF24" w:rsidR="4FA35704" w:rsidRDefault="50C13A3B" w:rsidP="3B3CFE79">
      <w:pPr>
        <w:rPr>
          <w:rFonts w:ascii="Segoe UI" w:eastAsia="Aptos" w:hAnsi="Segoe UI" w:cs="Segoe UI"/>
          <w:color w:val="auto"/>
          <w:lang w:eastAsia="en-AU"/>
        </w:rPr>
      </w:pPr>
      <w:r w:rsidRPr="00892A3D">
        <w:rPr>
          <w:rFonts w:ascii="Segoe UI" w:eastAsia="Aptos" w:hAnsi="Segoe UI" w:cs="Segoe UI"/>
          <w:color w:val="auto"/>
          <w:lang w:eastAsia="en-AU"/>
        </w:rPr>
        <w:t>The closure of east coast urea and methanol production highlights the risks of uncompetitive gas prices</w:t>
      </w:r>
      <w:r w:rsidRPr="7C44AF4A">
        <w:rPr>
          <w:rFonts w:ascii="Segoe UI" w:eastAsia="Aptos" w:hAnsi="Segoe UI" w:cs="Segoe UI"/>
          <w:color w:val="auto"/>
          <w:lang w:eastAsia="en-AU"/>
        </w:rPr>
        <w:t>.</w:t>
      </w:r>
      <w:r w:rsidRPr="00892A3D">
        <w:rPr>
          <w:rFonts w:ascii="Segoe UI" w:eastAsia="Aptos" w:hAnsi="Segoe UI" w:cs="Segoe UI"/>
          <w:color w:val="auto"/>
          <w:lang w:eastAsia="en-AU"/>
        </w:rPr>
        <w:t xml:space="preserve"> More affordable gas could support the return of these industries</w:t>
      </w:r>
      <w:r w:rsidR="60CBE6F4" w:rsidRPr="2223E7E6">
        <w:rPr>
          <w:rFonts w:ascii="Segoe UI" w:eastAsia="Aptos" w:hAnsi="Segoe UI" w:cs="Segoe UI"/>
          <w:color w:val="auto"/>
          <w:lang w:eastAsia="en-AU"/>
        </w:rPr>
        <w:t xml:space="preserve"> and </w:t>
      </w:r>
      <w:r w:rsidR="0048601C">
        <w:rPr>
          <w:rFonts w:ascii="Segoe UI" w:eastAsia="Aptos" w:hAnsi="Segoe UI" w:cs="Segoe UI"/>
          <w:color w:val="auto"/>
          <w:lang w:eastAsia="en-AU"/>
        </w:rPr>
        <w:t xml:space="preserve">the retention of </w:t>
      </w:r>
      <w:r w:rsidR="60CBE6F4" w:rsidRPr="44A5A677">
        <w:rPr>
          <w:rFonts w:ascii="Segoe UI" w:eastAsia="Aptos" w:hAnsi="Segoe UI" w:cs="Segoe UI"/>
          <w:color w:val="auto"/>
          <w:lang w:eastAsia="en-AU"/>
        </w:rPr>
        <w:t xml:space="preserve">existing industrial </w:t>
      </w:r>
      <w:r w:rsidR="60CBE6F4" w:rsidRPr="4B69EE4B">
        <w:rPr>
          <w:rFonts w:ascii="Segoe UI" w:eastAsia="Aptos" w:hAnsi="Segoe UI" w:cs="Segoe UI"/>
          <w:color w:val="auto"/>
          <w:lang w:eastAsia="en-AU"/>
        </w:rPr>
        <w:t>capability</w:t>
      </w:r>
      <w:r w:rsidRPr="00892A3D">
        <w:rPr>
          <w:rFonts w:ascii="Segoe UI" w:eastAsia="Aptos" w:hAnsi="Segoe UI" w:cs="Segoe UI"/>
          <w:color w:val="auto"/>
          <w:lang w:eastAsia="en-AU"/>
        </w:rPr>
        <w:t xml:space="preserve">, </w:t>
      </w:r>
      <w:r w:rsidR="0048601C">
        <w:rPr>
          <w:rFonts w:ascii="Segoe UI" w:eastAsia="Aptos" w:hAnsi="Segoe UI" w:cs="Segoe UI"/>
          <w:color w:val="auto"/>
          <w:lang w:eastAsia="en-AU"/>
        </w:rPr>
        <w:t xml:space="preserve">which are important contributions to </w:t>
      </w:r>
      <w:r w:rsidRPr="00892A3D">
        <w:rPr>
          <w:rFonts w:ascii="Segoe UI" w:eastAsia="Aptos" w:hAnsi="Segoe UI" w:cs="Segoe UI"/>
          <w:color w:val="auto"/>
          <w:lang w:eastAsia="en-AU"/>
        </w:rPr>
        <w:t xml:space="preserve">rebuilding domestic manufacturing </w:t>
      </w:r>
      <w:r w:rsidR="00723BFA">
        <w:rPr>
          <w:rFonts w:ascii="Segoe UI" w:eastAsia="Aptos" w:hAnsi="Segoe UI" w:cs="Segoe UI"/>
          <w:color w:val="auto"/>
          <w:lang w:eastAsia="en-AU"/>
        </w:rPr>
        <w:t>capacity</w:t>
      </w:r>
      <w:r w:rsidRPr="00892A3D">
        <w:rPr>
          <w:rFonts w:ascii="Segoe UI" w:eastAsia="Aptos" w:hAnsi="Segoe UI" w:cs="Segoe UI"/>
          <w:color w:val="auto"/>
          <w:lang w:eastAsia="en-AU"/>
        </w:rPr>
        <w:t xml:space="preserve">, strengthening supply chains </w:t>
      </w:r>
      <w:r w:rsidRPr="1954F59B">
        <w:rPr>
          <w:rFonts w:ascii="Segoe UI" w:eastAsia="Aptos" w:hAnsi="Segoe UI" w:cs="Segoe UI"/>
          <w:color w:val="auto"/>
          <w:lang w:eastAsia="en-AU"/>
        </w:rPr>
        <w:t>and</w:t>
      </w:r>
      <w:r w:rsidRPr="00892A3D">
        <w:rPr>
          <w:rFonts w:ascii="Segoe UI" w:eastAsia="Aptos" w:hAnsi="Segoe UI" w:cs="Segoe UI"/>
          <w:color w:val="auto"/>
          <w:lang w:eastAsia="en-AU"/>
        </w:rPr>
        <w:t xml:space="preserve"> reducing import dependence.</w:t>
      </w:r>
    </w:p>
    <w:p w14:paraId="39D5BEED" w14:textId="63C07DF4" w:rsidR="006819B3" w:rsidRPr="00A37EFE" w:rsidRDefault="002C6B59" w:rsidP="006819B3">
      <w:pPr>
        <w:pStyle w:val="Heading2"/>
      </w:pPr>
      <w:r>
        <w:t>Summary of e</w:t>
      </w:r>
      <w:r w:rsidR="006819B3" w:rsidRPr="00A37EFE">
        <w:t>conomic and social impacts</w:t>
      </w:r>
    </w:p>
    <w:tbl>
      <w:tblPr>
        <w:tblStyle w:val="Style1"/>
        <w:tblW w:w="9634" w:type="dxa"/>
        <w:tblBorders>
          <w:top w:val="single" w:sz="4" w:space="0" w:color="0F1F35" w:themeColor="text2"/>
          <w:left w:val="single" w:sz="4" w:space="0" w:color="0F1F35" w:themeColor="text2"/>
          <w:bottom w:val="single" w:sz="4" w:space="0" w:color="0F1F35" w:themeColor="text2"/>
          <w:right w:val="single" w:sz="4" w:space="0" w:color="0F1F35" w:themeColor="text2"/>
          <w:insideH w:val="single" w:sz="4" w:space="0" w:color="0F1F35" w:themeColor="text2"/>
          <w:insideV w:val="single" w:sz="4" w:space="0" w:color="0F1F35" w:themeColor="text2"/>
        </w:tblBorders>
        <w:tblCellMar>
          <w:left w:w="85" w:type="dxa"/>
          <w:right w:w="85" w:type="dxa"/>
        </w:tblCellMar>
        <w:tblLook w:val="0620" w:firstRow="1" w:lastRow="0" w:firstColumn="0" w:lastColumn="0" w:noHBand="1" w:noVBand="1"/>
      </w:tblPr>
      <w:tblGrid>
        <w:gridCol w:w="4178"/>
        <w:gridCol w:w="5456"/>
      </w:tblGrid>
      <w:tr w:rsidR="006819B3" w:rsidRPr="00A37EFE" w14:paraId="796293B7" w14:textId="77777777" w:rsidTr="5AD09D3B">
        <w:trPr>
          <w:cnfStyle w:val="100000000000" w:firstRow="1" w:lastRow="0" w:firstColumn="0" w:lastColumn="0" w:oddVBand="0" w:evenVBand="0" w:oddHBand="0" w:evenHBand="0" w:firstRowFirstColumn="0" w:firstRowLastColumn="0" w:lastRowFirstColumn="0" w:lastRowLastColumn="0"/>
          <w:tblHeader/>
        </w:trPr>
        <w:tc>
          <w:tcPr>
            <w:tcW w:w="4178" w:type="dxa"/>
            <w:tcBorders>
              <w:bottom w:val="single" w:sz="8" w:space="0" w:color="0F1F35" w:themeColor="text2"/>
            </w:tcBorders>
            <w:shd w:val="clear" w:color="auto" w:fill="0F1F35" w:themeFill="text2"/>
          </w:tcPr>
          <w:p w14:paraId="580A6715" w14:textId="77777777" w:rsidR="006819B3" w:rsidRPr="00A37EFE" w:rsidRDefault="006819B3">
            <w:pPr>
              <w:pStyle w:val="TBLText"/>
              <w:spacing w:after="0"/>
              <w:rPr>
                <w:color w:val="FFFFFF" w:themeColor="background1"/>
              </w:rPr>
            </w:pPr>
            <w:r w:rsidRPr="00A37EFE">
              <w:rPr>
                <w:color w:val="FFFFFF" w:themeColor="background1"/>
              </w:rPr>
              <w:t>Status quo</w:t>
            </w:r>
          </w:p>
        </w:tc>
        <w:tc>
          <w:tcPr>
            <w:tcW w:w="5456" w:type="dxa"/>
            <w:tcBorders>
              <w:bottom w:val="single" w:sz="8" w:space="0" w:color="0F1F35" w:themeColor="text2"/>
            </w:tcBorders>
            <w:shd w:val="clear" w:color="auto" w:fill="0F1F35" w:themeFill="text2"/>
          </w:tcPr>
          <w:p w14:paraId="22217A6E" w14:textId="77777777" w:rsidR="006819B3" w:rsidRPr="00A37EFE" w:rsidRDefault="006819B3">
            <w:pPr>
              <w:pStyle w:val="TBLText"/>
              <w:spacing w:after="0"/>
              <w:rPr>
                <w:color w:val="FFFFFF" w:themeColor="background1"/>
              </w:rPr>
            </w:pPr>
            <w:r w:rsidRPr="00A37EFE">
              <w:rPr>
                <w:color w:val="FFFFFF" w:themeColor="background1"/>
              </w:rPr>
              <w:t>Proposed option</w:t>
            </w:r>
          </w:p>
        </w:tc>
      </w:tr>
      <w:tr w:rsidR="006819B3" w:rsidRPr="00A37EFE" w14:paraId="32C2A09D" w14:textId="77777777" w:rsidTr="5AD09D3B">
        <w:tc>
          <w:tcPr>
            <w:tcW w:w="4178" w:type="dxa"/>
            <w:tcBorders>
              <w:top w:val="single" w:sz="8" w:space="0" w:color="0F1F35" w:themeColor="text2"/>
              <w:left w:val="single" w:sz="8" w:space="0" w:color="0F1F35" w:themeColor="text2"/>
              <w:bottom w:val="single" w:sz="8" w:space="0" w:color="0F1F35" w:themeColor="text2"/>
              <w:right w:val="single" w:sz="8" w:space="0" w:color="0F1F35" w:themeColor="text2"/>
            </w:tcBorders>
          </w:tcPr>
          <w:p w14:paraId="55C9D7CE" w14:textId="77777777" w:rsidR="006819B3" w:rsidRPr="00A37EFE" w:rsidRDefault="006819B3">
            <w:pPr>
              <w:pStyle w:val="TBLText"/>
            </w:pPr>
            <w:r w:rsidRPr="00A37EFE">
              <w:rPr>
                <w:b/>
                <w:bCs/>
              </w:rPr>
              <w:t>Assessment of existing economic impacts on:</w:t>
            </w:r>
          </w:p>
          <w:p w14:paraId="7BEBF7C8" w14:textId="77777777" w:rsidR="00213AA8" w:rsidRPr="004A5806" w:rsidRDefault="006819B3" w:rsidP="00B10029">
            <w:pPr>
              <w:pStyle w:val="TBLBulletedList"/>
              <w:numPr>
                <w:ilvl w:val="0"/>
                <w:numId w:val="0"/>
              </w:numPr>
              <w:ind w:left="720" w:hanging="360"/>
            </w:pPr>
            <w:r w:rsidRPr="00A37EFE">
              <w:rPr>
                <w:b/>
                <w:bCs/>
              </w:rPr>
              <w:t xml:space="preserve">People </w:t>
            </w:r>
          </w:p>
          <w:p w14:paraId="3B68CB49" w14:textId="39F117F2" w:rsidR="006819B3" w:rsidRPr="00A37EFE" w:rsidRDefault="006819B3">
            <w:pPr>
              <w:pStyle w:val="TBLBulletedList"/>
            </w:pPr>
            <w:r w:rsidRPr="00A37EFE">
              <w:t xml:space="preserve">Continued </w:t>
            </w:r>
            <w:r w:rsidR="0088363E">
              <w:t xml:space="preserve">upwards pressure on </w:t>
            </w:r>
            <w:r w:rsidRPr="00A37EFE">
              <w:t xml:space="preserve">wholesale gas prices </w:t>
            </w:r>
            <w:r w:rsidR="0088363E">
              <w:t xml:space="preserve">that are </w:t>
            </w:r>
            <w:r w:rsidRPr="00A37EFE">
              <w:t xml:space="preserve">passed through to consumers by retailers. May incentivise electrification for those who can afford it, while adding to cost-of-living pressures </w:t>
            </w:r>
            <w:r w:rsidR="00E8244B">
              <w:t xml:space="preserve">and the financial barriers to electrification </w:t>
            </w:r>
            <w:r>
              <w:t>for</w:t>
            </w:r>
            <w:r w:rsidRPr="00A37EFE">
              <w:t xml:space="preserve"> those who can’t. </w:t>
            </w:r>
          </w:p>
          <w:p w14:paraId="3E4B7401" w14:textId="77777777" w:rsidR="006819B3" w:rsidRPr="00A37EFE" w:rsidRDefault="006819B3" w:rsidP="00B10029">
            <w:pPr>
              <w:pStyle w:val="TBLBulletedList"/>
              <w:numPr>
                <w:ilvl w:val="0"/>
                <w:numId w:val="0"/>
              </w:numPr>
              <w:ind w:left="720" w:hanging="360"/>
            </w:pPr>
            <w:r w:rsidRPr="00A37EFE">
              <w:rPr>
                <w:b/>
                <w:bCs/>
              </w:rPr>
              <w:t xml:space="preserve">Businesses </w:t>
            </w:r>
          </w:p>
          <w:p w14:paraId="6FAE24F3" w14:textId="77777777" w:rsidR="006819B3" w:rsidRPr="00A37EFE" w:rsidRDefault="006819B3">
            <w:pPr>
              <w:pStyle w:val="TBLBulletedList"/>
              <w:numPr>
                <w:ilvl w:val="0"/>
                <w:numId w:val="43"/>
              </w:numPr>
            </w:pPr>
            <w:r w:rsidRPr="00A37EFE">
              <w:t>LNG exporters – risk of further regulatory intervention through ADGSM and continued uncertainty.</w:t>
            </w:r>
          </w:p>
          <w:p w14:paraId="06CC6F46" w14:textId="23435501" w:rsidR="006819B3" w:rsidRPr="00A37EFE" w:rsidRDefault="006819B3" w:rsidP="2EB804BF">
            <w:pPr>
              <w:pStyle w:val="TBLBulletedList"/>
            </w:pPr>
            <w:r w:rsidRPr="00A37EFE">
              <w:t xml:space="preserve">Gas users continue to be exposed to </w:t>
            </w:r>
            <w:r w:rsidR="2577545E">
              <w:t xml:space="preserve">high and </w:t>
            </w:r>
            <w:r w:rsidRPr="00A37EFE">
              <w:t xml:space="preserve">volatile international gas prices, decreased manufacturing output affecting commercial viability and employment. </w:t>
            </w:r>
          </w:p>
          <w:p w14:paraId="78B3B2A4" w14:textId="147610D1" w:rsidR="006819B3" w:rsidRPr="00A37EFE" w:rsidRDefault="006819B3">
            <w:pPr>
              <w:pStyle w:val="TBLText"/>
            </w:pPr>
            <w:r w:rsidRPr="00A37EFE">
              <w:rPr>
                <w:b/>
                <w:bCs/>
              </w:rPr>
              <w:t>Stakeholder views:</w:t>
            </w:r>
            <w:r w:rsidRPr="00A37EFE">
              <w:t xml:space="preserve"> </w:t>
            </w:r>
            <w:r w:rsidR="00FE7436">
              <w:t>Stakeholders have reported that t</w:t>
            </w:r>
            <w:r w:rsidRPr="00283EB0">
              <w:t>he current</w:t>
            </w:r>
            <w:r w:rsidR="00FE7436">
              <w:t xml:space="preserve"> </w:t>
            </w:r>
            <w:r w:rsidRPr="00A37EFE">
              <w:t xml:space="preserve">instruments (Code, </w:t>
            </w:r>
            <w:proofErr w:type="spellStart"/>
            <w:r w:rsidRPr="00A37EFE">
              <w:t>HoA</w:t>
            </w:r>
            <w:proofErr w:type="spellEnd"/>
            <w:r w:rsidRPr="00A37EFE">
              <w:t xml:space="preserve">, ADGSM) have provided short-term stability but have not resolved the structural supply issues in </w:t>
            </w:r>
            <w:r w:rsidR="005C0094">
              <w:t>Australia’s gas markets</w:t>
            </w:r>
            <w:r w:rsidR="001E627E">
              <w:t xml:space="preserve">. The </w:t>
            </w:r>
            <w:r w:rsidR="00BB1C59" w:rsidRPr="00A37EFE">
              <w:t>current</w:t>
            </w:r>
            <w:r w:rsidR="001E627E">
              <w:t xml:space="preserve"> </w:t>
            </w:r>
            <w:r w:rsidR="00AF7A57">
              <w:t>instruments</w:t>
            </w:r>
            <w:r w:rsidR="005C0094">
              <w:t xml:space="preserve"> </w:t>
            </w:r>
            <w:r w:rsidRPr="00A37EFE">
              <w:t xml:space="preserve">are having unintended effects on contracting and investment. </w:t>
            </w:r>
            <w:r w:rsidR="00FF7131">
              <w:t xml:space="preserve">Gas market policy should </w:t>
            </w:r>
            <w:r w:rsidRPr="00A37EFE">
              <w:t xml:space="preserve">transition away from </w:t>
            </w:r>
            <w:r w:rsidR="0068245E">
              <w:t xml:space="preserve">the </w:t>
            </w:r>
            <w:r w:rsidRPr="00A37EFE">
              <w:lastRenderedPageBreak/>
              <w:t xml:space="preserve">existing price cap/exemption model and ADGSM to a new framework that can support longer term clarity. </w:t>
            </w:r>
          </w:p>
        </w:tc>
        <w:tc>
          <w:tcPr>
            <w:tcW w:w="5456" w:type="dxa"/>
            <w:tcBorders>
              <w:top w:val="single" w:sz="8" w:space="0" w:color="0F1F35" w:themeColor="text2"/>
              <w:left w:val="single" w:sz="8" w:space="0" w:color="0F1F35" w:themeColor="text2"/>
              <w:bottom w:val="single" w:sz="8" w:space="0" w:color="0F1F35" w:themeColor="text2"/>
              <w:right w:val="single" w:sz="8" w:space="0" w:color="0F1F35" w:themeColor="text2"/>
            </w:tcBorders>
          </w:tcPr>
          <w:p w14:paraId="20D932FE" w14:textId="77777777" w:rsidR="006819B3" w:rsidRPr="00A37EFE" w:rsidRDefault="006819B3">
            <w:pPr>
              <w:pStyle w:val="TBLText"/>
              <w:rPr>
                <w:b/>
                <w:bCs/>
              </w:rPr>
            </w:pPr>
            <w:r w:rsidRPr="00A37EFE">
              <w:rPr>
                <w:b/>
                <w:bCs/>
              </w:rPr>
              <w:lastRenderedPageBreak/>
              <w:t>Economic and social impacts on:</w:t>
            </w:r>
          </w:p>
          <w:p w14:paraId="43DEAF9F" w14:textId="77777777" w:rsidR="00213AA8" w:rsidRDefault="006819B3" w:rsidP="00B10029">
            <w:pPr>
              <w:pStyle w:val="TBLBulletedList"/>
              <w:numPr>
                <w:ilvl w:val="0"/>
                <w:numId w:val="0"/>
              </w:numPr>
              <w:ind w:left="720" w:hanging="360"/>
            </w:pPr>
            <w:r w:rsidRPr="00A37EFE">
              <w:rPr>
                <w:b/>
                <w:bCs/>
              </w:rPr>
              <w:t xml:space="preserve">People </w:t>
            </w:r>
          </w:p>
          <w:p w14:paraId="47860607" w14:textId="73CF8CCC" w:rsidR="006819B3" w:rsidRPr="00A37EFE" w:rsidRDefault="006819B3">
            <w:pPr>
              <w:pStyle w:val="TBLBulletedList"/>
            </w:pPr>
            <w:r w:rsidRPr="00A37EFE">
              <w:t xml:space="preserve">A </w:t>
            </w:r>
            <w:r w:rsidR="00241345">
              <w:t>DGRS</w:t>
            </w:r>
            <w:r w:rsidRPr="00A37EFE">
              <w:t xml:space="preserve"> would deliver flow-on benefits</w:t>
            </w:r>
            <w:r w:rsidR="001D2D0C">
              <w:t xml:space="preserve"> to</w:t>
            </w:r>
            <w:r w:rsidRPr="00A37EFE">
              <w:t xml:space="preserve"> domestic consumers</w:t>
            </w:r>
            <w:r w:rsidR="00D35D62">
              <w:t xml:space="preserve"> through downward pressure on </w:t>
            </w:r>
            <w:r w:rsidR="00D1480A">
              <w:t>wholesale gas prices</w:t>
            </w:r>
            <w:r w:rsidRPr="00A37EFE">
              <w:t xml:space="preserve">, </w:t>
            </w:r>
            <w:r w:rsidR="002268D8">
              <w:t xml:space="preserve">this may benefit </w:t>
            </w:r>
            <w:r w:rsidRPr="00A37EFE">
              <w:t>households</w:t>
            </w:r>
            <w:r w:rsidR="00190CD4">
              <w:t xml:space="preserve"> who use natural gas to cook and heat their homes</w:t>
            </w:r>
            <w:r w:rsidRPr="00A37EFE">
              <w:t xml:space="preserve">. </w:t>
            </w:r>
            <w:r w:rsidR="008A1C5A">
              <w:t xml:space="preserve">Households may also benefit </w:t>
            </w:r>
            <w:r w:rsidR="005269C8">
              <w:t>indirectly</w:t>
            </w:r>
            <w:r w:rsidR="004427E9">
              <w:t>,</w:t>
            </w:r>
            <w:r w:rsidR="005269C8">
              <w:t xml:space="preserve"> where cost savings </w:t>
            </w:r>
            <w:r w:rsidR="00F55030">
              <w:t xml:space="preserve">are passed on by businesses that use gas as an input, such as </w:t>
            </w:r>
            <w:r w:rsidR="00A84087">
              <w:t>manufacturers</w:t>
            </w:r>
            <w:r w:rsidR="00F55030">
              <w:t xml:space="preserve"> or</w:t>
            </w:r>
            <w:r w:rsidR="008A1C5A">
              <w:t xml:space="preserve"> </w:t>
            </w:r>
            <w:r w:rsidR="00BD67E9" w:rsidRPr="00A37EFE">
              <w:t>gas-powered</w:t>
            </w:r>
            <w:r w:rsidRPr="00A37EFE">
              <w:t xml:space="preserve"> </w:t>
            </w:r>
            <w:r w:rsidR="00211084">
              <w:t xml:space="preserve">electricity </w:t>
            </w:r>
            <w:r w:rsidRPr="00A37EFE">
              <w:t>generat</w:t>
            </w:r>
            <w:r w:rsidR="00CA7D64">
              <w:t>ors</w:t>
            </w:r>
            <w:r w:rsidRPr="00A37EFE">
              <w:t xml:space="preserve">. </w:t>
            </w:r>
          </w:p>
          <w:p w14:paraId="7BA20684" w14:textId="77777777" w:rsidR="006819B3" w:rsidRPr="00A37EFE" w:rsidRDefault="006819B3" w:rsidP="00B10029">
            <w:pPr>
              <w:pStyle w:val="TBLBulletedList"/>
              <w:numPr>
                <w:ilvl w:val="0"/>
                <w:numId w:val="0"/>
              </w:numPr>
              <w:ind w:left="720" w:hanging="360"/>
            </w:pPr>
            <w:r w:rsidRPr="00A37EFE">
              <w:rPr>
                <w:b/>
                <w:bCs/>
              </w:rPr>
              <w:t xml:space="preserve">Businesses  </w:t>
            </w:r>
          </w:p>
          <w:p w14:paraId="6DFC7859" w14:textId="3DD13992" w:rsidR="00254EB1" w:rsidRPr="00254EB1" w:rsidRDefault="00F12C04" w:rsidP="05BD9A96">
            <w:pPr>
              <w:pStyle w:val="TBLBulletedList"/>
            </w:pPr>
            <w:r>
              <w:t xml:space="preserve">Gas using </w:t>
            </w:r>
            <w:r w:rsidR="00054A02">
              <w:t>industries</w:t>
            </w:r>
            <w:r w:rsidR="006365F7">
              <w:t xml:space="preserve"> </w:t>
            </w:r>
            <w:r w:rsidR="00267F63" w:rsidRPr="00267F63">
              <w:t>will benefit from a strengthened bargaining position to secure long-term contracts</w:t>
            </w:r>
            <w:r w:rsidR="00C17956">
              <w:t xml:space="preserve"> at favourable terms</w:t>
            </w:r>
            <w:r w:rsidR="00267F63" w:rsidRPr="00267F63">
              <w:t>. The</w:t>
            </w:r>
            <w:r w:rsidR="005645AE">
              <w:t xml:space="preserve"> </w:t>
            </w:r>
            <w:r w:rsidR="009866F9">
              <w:t>DSO</w:t>
            </w:r>
            <w:r w:rsidR="00267F63" w:rsidRPr="00267F63">
              <w:t xml:space="preserve"> will place downward pressure on domestic gas prices and improve resilience to international price volatility</w:t>
            </w:r>
            <w:r w:rsidR="003D765F">
              <w:t>,</w:t>
            </w:r>
            <w:r w:rsidR="00A16C95">
              <w:t xml:space="preserve"> s</w:t>
            </w:r>
            <w:r w:rsidR="00C17D06">
              <w:t xml:space="preserve">upporting </w:t>
            </w:r>
            <w:r w:rsidR="00A16C95">
              <w:t xml:space="preserve">current and future </w:t>
            </w:r>
            <w:r w:rsidR="00270708">
              <w:t>business viability</w:t>
            </w:r>
            <w:r w:rsidR="00A16C95">
              <w:t>.</w:t>
            </w:r>
            <w:r w:rsidR="00270708">
              <w:t xml:space="preserve"> </w:t>
            </w:r>
          </w:p>
          <w:p w14:paraId="7F5E621E" w14:textId="27A3DDF9" w:rsidR="006819B3" w:rsidRPr="00A37EFE" w:rsidRDefault="00CB55AA" w:rsidP="00212A19">
            <w:pPr>
              <w:pStyle w:val="TBLBulletedList"/>
              <w:numPr>
                <w:ilvl w:val="0"/>
                <w:numId w:val="43"/>
              </w:numPr>
            </w:pPr>
            <w:r w:rsidRPr="00CB55AA">
              <w:t xml:space="preserve">The gas industry is likely to be less profitable than under an unrestricted export scenario, as LNG exporters may redirect gas from export markets to domestic sales. Producers may also receive lower revenues from domestic supply </w:t>
            </w:r>
            <w:r>
              <w:t xml:space="preserve">as </w:t>
            </w:r>
            <w:r w:rsidRPr="00CB55AA">
              <w:t>the DGRS places downward pressure on domestic gas prices.</w:t>
            </w:r>
          </w:p>
          <w:p w14:paraId="3326860E" w14:textId="77777777" w:rsidR="00B56DE9" w:rsidRPr="002A5B5D" w:rsidRDefault="006819B3" w:rsidP="00B10029">
            <w:pPr>
              <w:pStyle w:val="TBLBulletedList"/>
              <w:numPr>
                <w:ilvl w:val="0"/>
                <w:numId w:val="0"/>
              </w:numPr>
              <w:ind w:left="720" w:hanging="360"/>
            </w:pPr>
            <w:r w:rsidRPr="7DF3AAD6">
              <w:rPr>
                <w:b/>
                <w:bCs/>
              </w:rPr>
              <w:t xml:space="preserve">Others </w:t>
            </w:r>
          </w:p>
          <w:p w14:paraId="57252755" w14:textId="77DEEBB8" w:rsidR="006819B3" w:rsidRDefault="383DD228" w:rsidP="009A2715">
            <w:pPr>
              <w:pStyle w:val="TBLBulletedList"/>
              <w:numPr>
                <w:ilvl w:val="0"/>
                <w:numId w:val="43"/>
              </w:numPr>
            </w:pPr>
            <w:r>
              <w:t xml:space="preserve">Some international stakeholders may perceive the scheme as increasing regulatory uncertainty, particularly </w:t>
            </w:r>
            <w:r>
              <w:lastRenderedPageBreak/>
              <w:t xml:space="preserve">during transition to a new regulatory regime. The government </w:t>
            </w:r>
            <w:r w:rsidR="00C603EF">
              <w:t>is planning to</w:t>
            </w:r>
            <w:r w:rsidR="003D3B04">
              <w:t xml:space="preserve"> issue guidance </w:t>
            </w:r>
            <w:r>
              <w:t xml:space="preserve">to mitigate these </w:t>
            </w:r>
            <w:r w:rsidR="4622D9B9">
              <w:t>concerns,</w:t>
            </w:r>
            <w:r>
              <w:t xml:space="preserve"> </w:t>
            </w:r>
            <w:r w:rsidR="3A151073">
              <w:t>and these reforms are expected to provide greater certainty in the long</w:t>
            </w:r>
            <w:r w:rsidR="000E457C">
              <w:t xml:space="preserve"> </w:t>
            </w:r>
            <w:r w:rsidR="3A151073">
              <w:t xml:space="preserve">term. </w:t>
            </w:r>
          </w:p>
          <w:p w14:paraId="6E082EC9" w14:textId="683A6935" w:rsidR="00B56DE9" w:rsidRPr="00A37EFE" w:rsidRDefault="00616F14" w:rsidP="48D94E7D">
            <w:pPr>
              <w:pStyle w:val="TBLBulletedList"/>
            </w:pPr>
            <w:r w:rsidRPr="48D94E7D">
              <w:t xml:space="preserve">The policy </w:t>
            </w:r>
            <w:r w:rsidR="004B7EDD">
              <w:t>may</w:t>
            </w:r>
            <w:r w:rsidR="7B3A3019" w:rsidRPr="02A00229">
              <w:t xml:space="preserve"> </w:t>
            </w:r>
            <w:r w:rsidR="7B3A3019" w:rsidRPr="1BB299C9">
              <w:t>support</w:t>
            </w:r>
            <w:r w:rsidR="7B3A3019" w:rsidRPr="5A594C09">
              <w:t xml:space="preserve"> </w:t>
            </w:r>
            <w:r w:rsidR="004B7EDD">
              <w:t>the use of</w:t>
            </w:r>
            <w:r w:rsidR="7B3A3019" w:rsidRPr="1BB299C9">
              <w:t xml:space="preserve"> </w:t>
            </w:r>
            <w:r w:rsidRPr="48D94E7D">
              <w:t xml:space="preserve">gas as a </w:t>
            </w:r>
            <w:r w:rsidR="0A2D4DA3">
              <w:t>transition fuel</w:t>
            </w:r>
            <w:r w:rsidR="002E3FC1">
              <w:t>, for example</w:t>
            </w:r>
            <w:r>
              <w:t xml:space="preserve"> </w:t>
            </w:r>
            <w:r w:rsidR="00DA040C">
              <w:t>DRI</w:t>
            </w:r>
            <w:r w:rsidRPr="48D94E7D">
              <w:t xml:space="preserve"> </w:t>
            </w:r>
            <w:r w:rsidR="00407DC2">
              <w:t>production of</w:t>
            </w:r>
            <w:r w:rsidRPr="48D94E7D">
              <w:t xml:space="preserve"> green steel.</w:t>
            </w:r>
          </w:p>
          <w:p w14:paraId="4762C23E" w14:textId="456ED351" w:rsidR="00A86310" w:rsidRPr="00A37EFE" w:rsidRDefault="006819B3">
            <w:pPr>
              <w:pStyle w:val="TBLText"/>
            </w:pPr>
            <w:r w:rsidRPr="00A37EFE">
              <w:rPr>
                <w:b/>
                <w:bCs/>
              </w:rPr>
              <w:t>Stakeholder views:</w:t>
            </w:r>
            <w:r w:rsidRPr="00A37EFE">
              <w:t xml:space="preserve"> </w:t>
            </w:r>
            <w:r w:rsidR="009F5EDC" w:rsidRPr="009F5EDC">
              <w:t>Stakeholders broadly supported the policy objective but raised concerns about unintended consequences and whether the proposed settings would achieve the objectives in practice.</w:t>
            </w:r>
          </w:p>
        </w:tc>
      </w:tr>
    </w:tbl>
    <w:p w14:paraId="6F986393" w14:textId="77777777" w:rsidR="006819B3" w:rsidRPr="00A37EFE" w:rsidRDefault="006819B3" w:rsidP="006819B3">
      <w:pPr>
        <w:pStyle w:val="Heading2"/>
      </w:pPr>
      <w:r w:rsidRPr="00A37EFE">
        <w:lastRenderedPageBreak/>
        <w:t>Regulatory burden</w:t>
      </w:r>
    </w:p>
    <w:tbl>
      <w:tblPr>
        <w:tblStyle w:val="Style1"/>
        <w:tblW w:w="9634" w:type="dxa"/>
        <w:tblBorders>
          <w:top w:val="single" w:sz="4" w:space="0" w:color="0F1F35" w:themeColor="text2"/>
          <w:left w:val="single" w:sz="4" w:space="0" w:color="0F1F35" w:themeColor="text2"/>
          <w:bottom w:val="single" w:sz="4" w:space="0" w:color="0F1F35" w:themeColor="text2"/>
          <w:right w:val="single" w:sz="4" w:space="0" w:color="0F1F35" w:themeColor="text2"/>
          <w:insideH w:val="single" w:sz="4" w:space="0" w:color="0F1F35" w:themeColor="text2"/>
          <w:insideV w:val="single" w:sz="4" w:space="0" w:color="0F1F35" w:themeColor="text2"/>
        </w:tblBorders>
        <w:tblCellMar>
          <w:left w:w="85" w:type="dxa"/>
          <w:right w:w="85" w:type="dxa"/>
        </w:tblCellMar>
        <w:tblLook w:val="0620" w:firstRow="1" w:lastRow="0" w:firstColumn="0" w:lastColumn="0" w:noHBand="1" w:noVBand="1"/>
      </w:tblPr>
      <w:tblGrid>
        <w:gridCol w:w="4178"/>
        <w:gridCol w:w="5456"/>
      </w:tblGrid>
      <w:tr w:rsidR="006819B3" w:rsidRPr="00A37EFE" w14:paraId="57EB2090" w14:textId="77777777">
        <w:trPr>
          <w:cnfStyle w:val="100000000000" w:firstRow="1" w:lastRow="0" w:firstColumn="0" w:lastColumn="0" w:oddVBand="0" w:evenVBand="0" w:oddHBand="0" w:evenHBand="0" w:firstRowFirstColumn="0" w:firstRowLastColumn="0" w:lastRowFirstColumn="0" w:lastRowLastColumn="0"/>
          <w:trHeight w:val="200"/>
          <w:tblHeader/>
        </w:trPr>
        <w:tc>
          <w:tcPr>
            <w:tcW w:w="4178" w:type="dxa"/>
            <w:shd w:val="clear" w:color="auto" w:fill="0F1F35" w:themeFill="text2"/>
          </w:tcPr>
          <w:p w14:paraId="4430F59D" w14:textId="77777777" w:rsidR="006819B3" w:rsidRPr="00A37EFE" w:rsidRDefault="006819B3">
            <w:pPr>
              <w:pStyle w:val="TBLText"/>
              <w:spacing w:after="0"/>
              <w:rPr>
                <w:color w:val="FFFFFF" w:themeColor="background1"/>
              </w:rPr>
            </w:pPr>
            <w:r w:rsidRPr="00A37EFE">
              <w:rPr>
                <w:color w:val="FFFFFF" w:themeColor="background1"/>
              </w:rPr>
              <w:t>Status quo</w:t>
            </w:r>
          </w:p>
        </w:tc>
        <w:tc>
          <w:tcPr>
            <w:tcW w:w="5456" w:type="dxa"/>
            <w:shd w:val="clear" w:color="auto" w:fill="0F1F35" w:themeFill="text2"/>
          </w:tcPr>
          <w:p w14:paraId="254B6194" w14:textId="77777777" w:rsidR="006819B3" w:rsidRPr="00A37EFE" w:rsidRDefault="006819B3">
            <w:pPr>
              <w:pStyle w:val="TBLText"/>
              <w:spacing w:after="0"/>
              <w:rPr>
                <w:color w:val="FFFFFF" w:themeColor="background1"/>
              </w:rPr>
            </w:pPr>
            <w:r w:rsidRPr="00A37EFE">
              <w:rPr>
                <w:color w:val="FFFFFF" w:themeColor="background1"/>
              </w:rPr>
              <w:t>Proposed option</w:t>
            </w:r>
          </w:p>
        </w:tc>
      </w:tr>
      <w:tr w:rsidR="006819B3" w:rsidRPr="00A37EFE" w14:paraId="732CB431" w14:textId="77777777">
        <w:tc>
          <w:tcPr>
            <w:tcW w:w="4178" w:type="dxa"/>
          </w:tcPr>
          <w:p w14:paraId="724D1E2F" w14:textId="77777777" w:rsidR="006819B3" w:rsidRPr="00A37EFE" w:rsidRDefault="006819B3">
            <w:pPr>
              <w:pStyle w:val="TBLText"/>
            </w:pPr>
            <w:r w:rsidRPr="00A37EFE">
              <w:rPr>
                <w:b/>
                <w:bCs/>
              </w:rPr>
              <w:t>Assessment of any existing compliance and/or delay costs facing:</w:t>
            </w:r>
          </w:p>
          <w:p w14:paraId="138BE42B" w14:textId="77777777" w:rsidR="006819B3" w:rsidRPr="00A37EFE" w:rsidRDefault="006819B3">
            <w:pPr>
              <w:pStyle w:val="TBLBulletedList"/>
            </w:pPr>
            <w:r w:rsidRPr="00A37EFE">
              <w:rPr>
                <w:b/>
                <w:bCs/>
              </w:rPr>
              <w:t xml:space="preserve">People - </w:t>
            </w:r>
            <w:r w:rsidRPr="00A37EFE">
              <w:t>Nil</w:t>
            </w:r>
          </w:p>
          <w:p w14:paraId="78BCF918" w14:textId="7618892B" w:rsidR="006819B3" w:rsidRPr="00A37EFE" w:rsidRDefault="006819B3">
            <w:pPr>
              <w:pStyle w:val="TBLBulletedList"/>
            </w:pPr>
            <w:r w:rsidRPr="00A37EFE">
              <w:rPr>
                <w:b/>
                <w:bCs/>
              </w:rPr>
              <w:t xml:space="preserve">Businesses – </w:t>
            </w:r>
            <w:r w:rsidRPr="00A37EFE">
              <w:t xml:space="preserve">Continued costs for </w:t>
            </w:r>
            <w:r w:rsidR="00E376BF">
              <w:t>e</w:t>
            </w:r>
            <w:r w:rsidR="00D66D90">
              <w:t>as</w:t>
            </w:r>
            <w:r w:rsidR="00684B14">
              <w:t>t</w:t>
            </w:r>
            <w:r w:rsidR="00D66D90">
              <w:t xml:space="preserve"> </w:t>
            </w:r>
            <w:r w:rsidR="00E376BF">
              <w:t>c</w:t>
            </w:r>
            <w:r w:rsidR="00D66D90">
              <w:t>oast</w:t>
            </w:r>
            <w:r w:rsidRPr="00A37EFE">
              <w:t xml:space="preserve"> LNG exporters to comply with the ADGSM and </w:t>
            </w:r>
            <w:proofErr w:type="spellStart"/>
            <w:r w:rsidRPr="00A37EFE">
              <w:t>HoA</w:t>
            </w:r>
            <w:proofErr w:type="spellEnd"/>
            <w:r w:rsidRPr="00A37EFE">
              <w:t xml:space="preserve">, and </w:t>
            </w:r>
            <w:r w:rsidR="009E3C35">
              <w:t xml:space="preserve">domestic gas producers for </w:t>
            </w:r>
            <w:r w:rsidRPr="00A37EFE">
              <w:t>pricing and supply elements of the Gas Market Code.</w:t>
            </w:r>
            <w:r w:rsidR="007A3552">
              <w:t xml:space="preserve"> This includes</w:t>
            </w:r>
            <w:r w:rsidR="009565F2">
              <w:t xml:space="preserve"> </w:t>
            </w:r>
            <w:r w:rsidR="00FC10C6">
              <w:t xml:space="preserve">west coast LNG exporters for </w:t>
            </w:r>
            <w:r w:rsidR="009565F2">
              <w:t>the</w:t>
            </w:r>
            <w:r w:rsidR="007A3552">
              <w:t xml:space="preserve"> ADGSM.</w:t>
            </w:r>
          </w:p>
          <w:p w14:paraId="04AD05C2" w14:textId="77777777" w:rsidR="006819B3" w:rsidRPr="00A37EFE" w:rsidRDefault="006819B3">
            <w:pPr>
              <w:pStyle w:val="TBLBulletedList"/>
            </w:pPr>
            <w:r w:rsidRPr="00A37EFE">
              <w:rPr>
                <w:b/>
                <w:bCs/>
              </w:rPr>
              <w:t xml:space="preserve">Others – </w:t>
            </w:r>
            <w:r w:rsidRPr="00A37EFE">
              <w:t>Nil</w:t>
            </w:r>
          </w:p>
          <w:p w14:paraId="7CC296A6" w14:textId="77777777" w:rsidR="006819B3" w:rsidRPr="00A37EFE" w:rsidRDefault="006819B3">
            <w:pPr>
              <w:pStyle w:val="TBLText"/>
            </w:pPr>
            <w:r w:rsidRPr="00A37EFE">
              <w:rPr>
                <w:b/>
                <w:bCs/>
              </w:rPr>
              <w:t>Stakeholder views:</w:t>
            </w:r>
            <w:r w:rsidRPr="00A37EFE">
              <w:t xml:space="preserve"> Compliance costs have increased in recent years since the implementation of the Australian Government’s gas market reforms in 2022. Additional reporting requirements have duplicated, expanded and overlapped with existing regulatory compliance. </w:t>
            </w:r>
          </w:p>
        </w:tc>
        <w:tc>
          <w:tcPr>
            <w:tcW w:w="5456" w:type="dxa"/>
          </w:tcPr>
          <w:p w14:paraId="501A60D4" w14:textId="77777777" w:rsidR="006819B3" w:rsidRPr="00A37EFE" w:rsidRDefault="006819B3">
            <w:pPr>
              <w:pStyle w:val="TBLText"/>
            </w:pPr>
            <w:r w:rsidRPr="00A37EFE">
              <w:rPr>
                <w:b/>
                <w:bCs/>
              </w:rPr>
              <w:t>Change in the regulatory burden for:</w:t>
            </w:r>
          </w:p>
          <w:p w14:paraId="1F018F0B" w14:textId="77777777" w:rsidR="006819B3" w:rsidRPr="00A37EFE" w:rsidRDefault="006819B3">
            <w:pPr>
              <w:pStyle w:val="TBLBulletedList"/>
            </w:pPr>
            <w:r w:rsidRPr="00A37EFE">
              <w:rPr>
                <w:b/>
                <w:bCs/>
              </w:rPr>
              <w:t xml:space="preserve">People – </w:t>
            </w:r>
            <w:r w:rsidRPr="00A37EFE">
              <w:t>Nil</w:t>
            </w:r>
          </w:p>
          <w:p w14:paraId="19D94D4C" w14:textId="1AE7E147" w:rsidR="006819B3" w:rsidRPr="00A37EFE" w:rsidRDefault="006819B3">
            <w:pPr>
              <w:pStyle w:val="TBLBulletedList"/>
            </w:pPr>
            <w:r w:rsidRPr="00A37EFE">
              <w:rPr>
                <w:b/>
                <w:bCs/>
              </w:rPr>
              <w:t>Businesses –</w:t>
            </w:r>
            <w:r w:rsidR="000C6A33">
              <w:rPr>
                <w:b/>
                <w:bCs/>
              </w:rPr>
              <w:t xml:space="preserve"> </w:t>
            </w:r>
            <w:r w:rsidRPr="00A37EFE">
              <w:t xml:space="preserve">Costs for all Australian LNG exporters to comply with </w:t>
            </w:r>
            <w:r w:rsidR="00241345">
              <w:t>DGRS</w:t>
            </w:r>
            <w:r w:rsidRPr="00A37EFE">
              <w:t xml:space="preserve"> rules and requirements.</w:t>
            </w:r>
            <w:r w:rsidR="0091433F">
              <w:t xml:space="preserve"> Minimal costs</w:t>
            </w:r>
            <w:r w:rsidR="00067F8E">
              <w:t xml:space="preserve"> </w:t>
            </w:r>
            <w:r w:rsidR="00A37343">
              <w:t xml:space="preserve">may </w:t>
            </w:r>
            <w:r w:rsidR="00D66A04">
              <w:t xml:space="preserve">also </w:t>
            </w:r>
            <w:r w:rsidR="00A37343">
              <w:t>apply to domestic gas producers under the policy.</w:t>
            </w:r>
            <w:r w:rsidRPr="00A37EFE">
              <w:t xml:space="preserve"> </w:t>
            </w:r>
          </w:p>
          <w:p w14:paraId="40772E35" w14:textId="77777777" w:rsidR="006819B3" w:rsidRPr="00A37EFE" w:rsidRDefault="006819B3">
            <w:pPr>
              <w:pStyle w:val="TBLBulletedList"/>
            </w:pPr>
            <w:r w:rsidRPr="00A37EFE">
              <w:rPr>
                <w:b/>
                <w:bCs/>
              </w:rPr>
              <w:t>Others –</w:t>
            </w:r>
            <w:r w:rsidRPr="00A37EFE">
              <w:t xml:space="preserve"> Nil</w:t>
            </w:r>
          </w:p>
          <w:p w14:paraId="373479AD" w14:textId="1162F149" w:rsidR="006819B3" w:rsidRPr="00A37EFE" w:rsidRDefault="006819B3">
            <w:pPr>
              <w:pStyle w:val="TBLText"/>
            </w:pPr>
            <w:r w:rsidRPr="00A37EFE">
              <w:rPr>
                <w:b/>
                <w:bCs/>
              </w:rPr>
              <w:t>Stakeholder views:</w:t>
            </w:r>
            <w:r w:rsidRPr="00A37EFE">
              <w:t xml:space="preserve"> Concern that the DGR</w:t>
            </w:r>
            <w:r w:rsidR="00E35DFF">
              <w:t>S</w:t>
            </w:r>
            <w:r w:rsidRPr="00A37EFE">
              <w:t xml:space="preserve"> would increase compliance and reporting burden, particularly </w:t>
            </w:r>
            <w:r w:rsidR="002B4267">
              <w:t>if</w:t>
            </w:r>
            <w:r w:rsidRPr="00A37EFE">
              <w:t xml:space="preserve"> obligations overlap with existing frameworks (</w:t>
            </w:r>
            <w:r w:rsidR="00C87428">
              <w:t>for example, Western Australia</w:t>
            </w:r>
            <w:r w:rsidRPr="00A37EFE">
              <w:t>) while noting any reduction in complexity will depend on effective streamlining and clear design.</w:t>
            </w:r>
          </w:p>
        </w:tc>
      </w:tr>
    </w:tbl>
    <w:p w14:paraId="1ED2F76E" w14:textId="77777777" w:rsidR="006819B3" w:rsidRPr="00A37EFE" w:rsidRDefault="006819B3" w:rsidP="006819B3">
      <w:pPr>
        <w:pStyle w:val="Heading2"/>
      </w:pPr>
      <w:r w:rsidRPr="00A37EFE">
        <w:t>Other considerations and implementation</w:t>
      </w:r>
    </w:p>
    <w:p w14:paraId="1E6B026B" w14:textId="23B13865" w:rsidR="006819B3" w:rsidRPr="00A37EFE" w:rsidRDefault="006819B3" w:rsidP="006819B3">
      <w:r w:rsidRPr="00A37EFE">
        <w:t>Incremental reform was a</w:t>
      </w:r>
      <w:r w:rsidR="00DF02E8">
        <w:t>n</w:t>
      </w:r>
      <w:r w:rsidRPr="00A37EFE">
        <w:t xml:space="preserve"> option considered where the existing instruments (</w:t>
      </w:r>
      <w:r w:rsidR="00DF02E8">
        <w:t>ADGSM</w:t>
      </w:r>
      <w:r w:rsidRPr="00A37EFE">
        <w:t xml:space="preserve">, </w:t>
      </w:r>
      <w:proofErr w:type="spellStart"/>
      <w:r w:rsidRPr="00A37EFE">
        <w:t>HoA</w:t>
      </w:r>
      <w:proofErr w:type="spellEnd"/>
      <w:r w:rsidRPr="00A37EFE">
        <w:t xml:space="preserve"> and the Code) would be maintained but updated to improve their effectiveness. It was concluded that incremental reform could provide a marginal benefit but </w:t>
      </w:r>
      <w:r>
        <w:t>would</w:t>
      </w:r>
      <w:r w:rsidRPr="00A37EFE">
        <w:t xml:space="preserve"> not sufficiently address the structural shortfalls and shortcomings of current gas market regulatory settings. Non-regulatory policy options, such as continuing the </w:t>
      </w:r>
      <w:proofErr w:type="spellStart"/>
      <w:r w:rsidRPr="00A37EFE">
        <w:t>HoA</w:t>
      </w:r>
      <w:proofErr w:type="spellEnd"/>
      <w:r w:rsidRPr="00A37EFE">
        <w:t xml:space="preserve"> or negotiating contracts with individual exporters to supply the domestic market were considered but found to be inequitable and not fit for purpose for long-term security of domestic gas supply. </w:t>
      </w:r>
    </w:p>
    <w:p w14:paraId="0A4872FB" w14:textId="77777777" w:rsidR="006819B3" w:rsidRPr="00A37EFE" w:rsidRDefault="006819B3" w:rsidP="006819B3">
      <w:pPr>
        <w:pStyle w:val="Heading3"/>
      </w:pPr>
      <w:r w:rsidRPr="00A37EFE">
        <w:t>What success looks like</w:t>
      </w:r>
    </w:p>
    <w:p w14:paraId="4CE45822" w14:textId="615CAF1E" w:rsidR="00A8475D" w:rsidRPr="00A8475D" w:rsidRDefault="006819B3" w:rsidP="00A8475D">
      <w:r w:rsidRPr="00A37EFE">
        <w:t xml:space="preserve">Over the medium to long term, success will be reflected </w:t>
      </w:r>
      <w:r w:rsidR="00F61176" w:rsidRPr="00F61176">
        <w:t>by achieving domestic gas supply sufficiency</w:t>
      </w:r>
      <w:r w:rsidR="004937D6">
        <w:t>,</w:t>
      </w:r>
      <w:r w:rsidR="00F61176" w:rsidRPr="00F61176">
        <w:t xml:space="preserve"> </w:t>
      </w:r>
      <w:r w:rsidRPr="00A37EFE">
        <w:t xml:space="preserve">sustained downward pressure on domestic gas prices relative to international </w:t>
      </w:r>
      <w:r w:rsidRPr="00A37EFE">
        <w:lastRenderedPageBreak/>
        <w:t xml:space="preserve">benchmarks, </w:t>
      </w:r>
      <w:r w:rsidR="007E32FC">
        <w:t>and</w:t>
      </w:r>
      <w:r w:rsidRPr="00A37EFE">
        <w:t xml:space="preserve"> reduced exposure of domestic </w:t>
      </w:r>
      <w:r w:rsidR="007F6DCC">
        <w:t>gas markets</w:t>
      </w:r>
      <w:r w:rsidR="007F6DCC" w:rsidRPr="00A37EFE">
        <w:t xml:space="preserve"> </w:t>
      </w:r>
      <w:r w:rsidRPr="00A37EFE">
        <w:t>to global price volatility</w:t>
      </w:r>
      <w:r w:rsidR="007E32FC">
        <w:t xml:space="preserve">. </w:t>
      </w:r>
      <w:r w:rsidRPr="00A37EFE">
        <w:t xml:space="preserve"> </w:t>
      </w:r>
      <w:r w:rsidR="00A8475D" w:rsidRPr="00A8475D">
        <w:t>These outcomes are also expected to improve economic outcomes for Australia by supporting increased investment and competitiveness among gas-using businesses, while contributing to lower consumer costs and increased demand, production and employment across the economy.</w:t>
      </w:r>
    </w:p>
    <w:p w14:paraId="6F15FBB9" w14:textId="04B761A7" w:rsidR="00A8475D" w:rsidRPr="00A8475D" w:rsidRDefault="00A8475D" w:rsidP="00A8475D">
      <w:r w:rsidRPr="00A8475D">
        <w:t>Indicators of a successful reform could include whether domestic gas supply is sufficient to meet demand, change in domestic gas prices and their volatility, the number and volume of long-term gas supply contracts with domestic business and household users, and business perceptions of gas availability, affordability and security of supply. While broader economic benefits are anticipated, they are likely to be difficult to measure and attribute to the reform.</w:t>
      </w:r>
    </w:p>
    <w:p w14:paraId="0F1F90AD" w14:textId="0ACF0D54" w:rsidR="006819B3" w:rsidRPr="00A37EFE" w:rsidRDefault="00A8475D" w:rsidP="006819B3">
      <w:r w:rsidRPr="00A8475D">
        <w:t xml:space="preserve">A key </w:t>
      </w:r>
      <w:r w:rsidR="00A02003">
        <w:t>variable</w:t>
      </w:r>
      <w:r w:rsidR="00A02003" w:rsidRPr="00A8475D">
        <w:t xml:space="preserve"> </w:t>
      </w:r>
      <w:r w:rsidRPr="00A8475D">
        <w:t>is that investment in Australian gas production and supporting infrastructure remains sufficient to meet future domestic demand. This could be monitored through trends in investment levels over time, using current investment as the baseline and assessing whether investment is keeping pace with projected demand.</w:t>
      </w:r>
    </w:p>
    <w:p w14:paraId="48FDFA37" w14:textId="77777777" w:rsidR="006819B3" w:rsidRPr="00A37EFE" w:rsidRDefault="006819B3" w:rsidP="006819B3">
      <w:pPr>
        <w:pStyle w:val="Heading3"/>
      </w:pPr>
      <w:r w:rsidRPr="00A37EFE">
        <w:t>Implementation approach</w:t>
      </w:r>
    </w:p>
    <w:p w14:paraId="5274E0C1" w14:textId="2DCE1B3D" w:rsidR="006819B3" w:rsidRPr="00A37EFE" w:rsidRDefault="006819B3" w:rsidP="006819B3">
      <w:r w:rsidRPr="00A37EFE">
        <w:t xml:space="preserve">Legislation enacting the </w:t>
      </w:r>
      <w:r w:rsidR="00241345">
        <w:t>DGRS</w:t>
      </w:r>
      <w:r w:rsidRPr="00A37EFE">
        <w:t xml:space="preserve"> is intended to commence </w:t>
      </w:r>
      <w:r w:rsidR="0086552C">
        <w:t xml:space="preserve">on 1 January </w:t>
      </w:r>
      <w:r w:rsidRPr="00A37EFE">
        <w:t xml:space="preserve">2027, with the DSO taking effect from </w:t>
      </w:r>
      <w:r w:rsidR="00105D95">
        <w:t>1 January 2028</w:t>
      </w:r>
      <w:r w:rsidR="00AA6516">
        <w:t>.</w:t>
      </w:r>
      <w:r w:rsidRPr="00A37EFE">
        <w:t xml:space="preserve"> Decision-making will be led by the Minister for Resources with agreement from the Minister for </w:t>
      </w:r>
      <w:r>
        <w:t xml:space="preserve">Climate Change and </w:t>
      </w:r>
      <w:r w:rsidRPr="00A37EFE">
        <w:t xml:space="preserve">Energy and </w:t>
      </w:r>
      <w:r w:rsidR="00AA6516">
        <w:t xml:space="preserve">in consultation with </w:t>
      </w:r>
      <w:r w:rsidRPr="00A37EFE">
        <w:t>the Minister for Industry</w:t>
      </w:r>
      <w:r>
        <w:t xml:space="preserve"> and Innovation</w:t>
      </w:r>
      <w:r w:rsidR="00AA6516">
        <w:t>. T</w:t>
      </w:r>
      <w:r w:rsidRPr="00A37EFE">
        <w:t>he Australian Energy Regulator (AER)</w:t>
      </w:r>
      <w:r w:rsidR="00E2123B">
        <w:t xml:space="preserve"> will be the regulator of the scheme</w:t>
      </w:r>
      <w:r w:rsidR="00447DF5">
        <w:t xml:space="preserve">, </w:t>
      </w:r>
      <w:r w:rsidR="0066548A">
        <w:t>monitor</w:t>
      </w:r>
      <w:r w:rsidR="00D53282">
        <w:t xml:space="preserve"> </w:t>
      </w:r>
      <w:r w:rsidR="0016373F">
        <w:t>compliance</w:t>
      </w:r>
      <w:r w:rsidR="0066548A">
        <w:t>, undertake</w:t>
      </w:r>
      <w:r w:rsidR="0016373F">
        <w:t xml:space="preserve"> enforcement</w:t>
      </w:r>
      <w:r w:rsidR="00E2123B" w:rsidRPr="00283EB0">
        <w:t xml:space="preserve"> and </w:t>
      </w:r>
      <w:r w:rsidR="0066548A">
        <w:t xml:space="preserve">advise </w:t>
      </w:r>
      <w:r w:rsidR="00645BC3">
        <w:t xml:space="preserve">the Minister for Resources </w:t>
      </w:r>
      <w:r w:rsidR="00447DF5">
        <w:t xml:space="preserve">on </w:t>
      </w:r>
      <w:r w:rsidR="0066548A">
        <w:t xml:space="preserve">relevant statutory </w:t>
      </w:r>
      <w:r w:rsidR="00447DF5" w:rsidRPr="00283EB0">
        <w:t>decisions</w:t>
      </w:r>
      <w:r w:rsidRPr="00283EB0">
        <w:t>.</w:t>
      </w:r>
      <w:r w:rsidRPr="00A37EFE">
        <w:t xml:space="preserve"> The </w:t>
      </w:r>
      <w:r w:rsidR="00241345">
        <w:t>DGRS</w:t>
      </w:r>
      <w:r w:rsidRPr="00A37EFE">
        <w:t xml:space="preserve"> will apply nationally, with consultation with state and territory governments to ensure the policy objectives of the </w:t>
      </w:r>
      <w:r w:rsidR="00241345">
        <w:t>DGRS</w:t>
      </w:r>
      <w:r w:rsidRPr="00A37EFE">
        <w:t xml:space="preserve"> will be achieved while respecting regulatory frameworks already in place to ensure domestic gas supply.  </w:t>
      </w:r>
    </w:p>
    <w:p w14:paraId="68DF1E9B" w14:textId="79B17F72" w:rsidR="006819B3" w:rsidRPr="00A37EFE" w:rsidRDefault="006819B3" w:rsidP="006819B3">
      <w:r w:rsidRPr="00A37EFE">
        <w:t>The </w:t>
      </w:r>
      <w:r w:rsidR="00241345">
        <w:t>DGRS</w:t>
      </w:r>
      <w:r w:rsidRPr="00A37EFE">
        <w:t> will be implemented through new primary legislation</w:t>
      </w:r>
      <w:r w:rsidR="00012EBD">
        <w:t>, a</w:t>
      </w:r>
      <w:r w:rsidR="008E2080">
        <w:t xml:space="preserve"> Levy Bill</w:t>
      </w:r>
      <w:r w:rsidRPr="00A37EFE">
        <w:t>, subordinate legislation (enabled by the new Act) and </w:t>
      </w:r>
      <w:r w:rsidR="00FA0069">
        <w:t>amendments</w:t>
      </w:r>
      <w:r w:rsidR="00FA0069" w:rsidRPr="00283EB0">
        <w:t xml:space="preserve"> </w:t>
      </w:r>
      <w:r w:rsidRPr="00A37EFE">
        <w:t>to the Gas Market Code (enabled by Part IVBB of the </w:t>
      </w:r>
      <w:r w:rsidRPr="00A37EFE">
        <w:rPr>
          <w:i/>
          <w:iCs/>
        </w:rPr>
        <w:t>Competition and Consumer Act 2010</w:t>
      </w:r>
      <w:r w:rsidR="00F41D0F">
        <w:t xml:space="preserve"> and the new primary legislation</w:t>
      </w:r>
      <w:r w:rsidRPr="00A37EFE">
        <w:t xml:space="preserve">).  The AER will </w:t>
      </w:r>
      <w:r w:rsidR="00A13D60">
        <w:t xml:space="preserve">administer and </w:t>
      </w:r>
      <w:r w:rsidR="00E10615">
        <w:t>enforce</w:t>
      </w:r>
      <w:r w:rsidR="00A13D60">
        <w:t xml:space="preserve"> the scheme under</w:t>
      </w:r>
      <w:r w:rsidRPr="00A37EFE">
        <w:t xml:space="preserve"> the new legislation and the amended Gas Market Code. </w:t>
      </w:r>
    </w:p>
    <w:p w14:paraId="4A25F42B" w14:textId="77777777" w:rsidR="006819B3" w:rsidRPr="00A37EFE" w:rsidRDefault="006819B3" w:rsidP="006819B3">
      <w:pPr>
        <w:pStyle w:val="Heading3"/>
      </w:pPr>
      <w:r w:rsidRPr="00A37EFE">
        <w:t>Planned evaluation</w:t>
      </w:r>
    </w:p>
    <w:p w14:paraId="26973805" w14:textId="3FD17E68" w:rsidR="006819B3" w:rsidRPr="00A37EFE" w:rsidRDefault="006819B3" w:rsidP="00B50095">
      <w:r w:rsidRPr="00A37EFE">
        <w:t>An internal evaluation plan will be developed to monitor and evaluate the scheme and market indicators.</w:t>
      </w:r>
      <w:r w:rsidR="00ED658A">
        <w:t xml:space="preserve"> </w:t>
      </w:r>
      <w:r w:rsidR="00E30C34" w:rsidRPr="00283EB0">
        <w:t xml:space="preserve">The </w:t>
      </w:r>
      <w:r w:rsidR="00EB6F55">
        <w:t xml:space="preserve">evaluation </w:t>
      </w:r>
      <w:r w:rsidR="00E30C34" w:rsidRPr="00E30C34">
        <w:t xml:space="preserve">plan </w:t>
      </w:r>
      <w:r w:rsidR="001520CD">
        <w:t>will</w:t>
      </w:r>
      <w:r w:rsidR="00E30C34" w:rsidRPr="00E30C34">
        <w:t xml:space="preserve"> outline </w:t>
      </w:r>
      <w:r w:rsidR="00C73535">
        <w:t>evaluation</w:t>
      </w:r>
      <w:r w:rsidR="00F40E63">
        <w:t xml:space="preserve"> arra</w:t>
      </w:r>
      <w:r w:rsidR="00D50287">
        <w:t xml:space="preserve">ngements, </w:t>
      </w:r>
      <w:r w:rsidR="00E30C34" w:rsidRPr="00E30C34">
        <w:t>data collection, reporting and evaluation activities, including their timing.</w:t>
      </w:r>
    </w:p>
    <w:p w14:paraId="15B504BE" w14:textId="07CA6F41" w:rsidR="006819B3" w:rsidRPr="00A37EFE" w:rsidRDefault="006819B3" w:rsidP="00B50095">
      <w:r w:rsidRPr="00A37EFE">
        <w:br w:type="page"/>
      </w:r>
    </w:p>
    <w:p w14:paraId="5C83AB10" w14:textId="77777777" w:rsidR="006819B3" w:rsidRPr="00A37EFE" w:rsidRDefault="006819B3" w:rsidP="006819B3">
      <w:pPr>
        <w:pStyle w:val="Heading1"/>
      </w:pPr>
      <w:r w:rsidRPr="00A37EFE">
        <w:lastRenderedPageBreak/>
        <w:t>Statement of Sufficiency</w:t>
      </w:r>
    </w:p>
    <w:p w14:paraId="42466DF0" w14:textId="2F0B41F0" w:rsidR="006819B3" w:rsidRPr="00A37EFE" w:rsidRDefault="006819B3" w:rsidP="006819B3">
      <w:r w:rsidRPr="00A37EFE">
        <w:t xml:space="preserve">I confirm that this Dashboard Impact Analysis (IA) prepared for </w:t>
      </w:r>
      <w:r>
        <w:rPr>
          <w:b/>
          <w:bCs/>
        </w:rPr>
        <w:t>the Gas Market Review – Domestic Gas Reservation</w:t>
      </w:r>
      <w:r w:rsidRPr="00A37EFE">
        <w:t xml:space="preserve"> meets the requirements set out in the </w:t>
      </w:r>
      <w:r w:rsidRPr="00A37EFE">
        <w:rPr>
          <w:i/>
          <w:iCs/>
        </w:rPr>
        <w:t xml:space="preserve">Australian Government </w:t>
      </w:r>
      <w:r w:rsidRPr="00A37EFE">
        <w:rPr>
          <w:i/>
        </w:rPr>
        <w:t>Impact Analysis Framework.</w:t>
      </w:r>
    </w:p>
    <w:p w14:paraId="22F463F6" w14:textId="77777777" w:rsidR="006819B3" w:rsidRPr="00A37EFE" w:rsidRDefault="006819B3" w:rsidP="006819B3">
      <w:r w:rsidRPr="00A37EFE">
        <w:t xml:space="preserve">I confirm that the level of analysis is proportionate to the policy issue being considered. </w:t>
      </w:r>
    </w:p>
    <w:p w14:paraId="14AB8AB1" w14:textId="77777777" w:rsidR="006819B3" w:rsidRPr="00A37EFE" w:rsidRDefault="006819B3" w:rsidP="006819B3">
      <w:pPr>
        <w:spacing w:after="0"/>
      </w:pPr>
      <w:r w:rsidRPr="00A37EFE">
        <w:t>I note the Dashboard IA provides analysis of the impacts of the proposal using the 7 IA questions and:</w:t>
      </w:r>
    </w:p>
    <w:p w14:paraId="13F4763B" w14:textId="77777777" w:rsidR="006819B3" w:rsidRPr="00370EA1" w:rsidRDefault="006819B3" w:rsidP="006819B3">
      <w:pPr>
        <w:pStyle w:val="BulletedList-Level1"/>
      </w:pPr>
      <w:r w:rsidRPr="00A37EFE">
        <w:t>a high-level summary of costs and benefits and an estimate in the change in the regulatory burden, of the policy options under consideration</w:t>
      </w:r>
      <w:r>
        <w:t xml:space="preserve"> </w:t>
      </w:r>
    </w:p>
    <w:p w14:paraId="24686551" w14:textId="77777777" w:rsidR="006819B3" w:rsidRPr="00370EA1" w:rsidRDefault="006819B3" w:rsidP="006819B3">
      <w:pPr>
        <w:pStyle w:val="BulletedList-Level1"/>
      </w:pPr>
      <w:r w:rsidRPr="00370EA1">
        <w:t xml:space="preserve">high-level analysis of the policy option against the </w:t>
      </w:r>
      <w:r>
        <w:t>g</w:t>
      </w:r>
      <w:r w:rsidRPr="00370EA1">
        <w:t>overnment’s key strategic priorities</w:t>
      </w:r>
    </w:p>
    <w:p w14:paraId="54038A86" w14:textId="5BDC2F66" w:rsidR="006819B3" w:rsidRPr="00370EA1" w:rsidRDefault="006819B3" w:rsidP="006819B3">
      <w:pPr>
        <w:pStyle w:val="BulletedList-Level1"/>
      </w:pPr>
      <w:r w:rsidRPr="00370EA1">
        <w:t xml:space="preserve">a summary of </w:t>
      </w:r>
      <w:r>
        <w:t>relevant</w:t>
      </w:r>
      <w:r w:rsidRPr="00370EA1">
        <w:t xml:space="preserve"> distributional effects</w:t>
      </w:r>
      <w:r>
        <w:t xml:space="preserve"> and evidence of </w:t>
      </w:r>
      <w:r w:rsidRPr="007114AC">
        <w:t>key stakeholder feedback incorporated into the policy design</w:t>
      </w:r>
      <w:r w:rsidR="00B67A8C">
        <w:t>, and</w:t>
      </w:r>
    </w:p>
    <w:p w14:paraId="26E61611" w14:textId="77777777" w:rsidR="006819B3" w:rsidRDefault="006819B3" w:rsidP="006819B3">
      <w:pPr>
        <w:pStyle w:val="BulletedList-Level1"/>
        <w:spacing w:after="600"/>
      </w:pPr>
      <w:r w:rsidRPr="00370EA1">
        <w:t>other details required to understand and assess the proposal.</w:t>
      </w:r>
    </w:p>
    <w:p w14:paraId="758FB1B2" w14:textId="77777777" w:rsidR="00A222B7" w:rsidRDefault="00A222B7" w:rsidP="00A222B7">
      <w:pPr>
        <w:pStyle w:val="BulletedList-Level1"/>
        <w:numPr>
          <w:ilvl w:val="0"/>
          <w:numId w:val="0"/>
        </w:numPr>
        <w:spacing w:after="600"/>
      </w:pPr>
    </w:p>
    <w:p w14:paraId="73974403" w14:textId="2E131F25" w:rsidR="00FB2CBF" w:rsidRPr="00370EA1" w:rsidRDefault="00F3252A" w:rsidP="00A222B7">
      <w:pPr>
        <w:pStyle w:val="BulletedList-Level1"/>
        <w:numPr>
          <w:ilvl w:val="0"/>
          <w:numId w:val="0"/>
        </w:numPr>
        <w:spacing w:after="600"/>
      </w:pPr>
      <w:r w:rsidRPr="00F3252A">
        <w:rPr>
          <w:noProof/>
        </w:rPr>
        <w:drawing>
          <wp:inline distT="0" distB="0" distL="0" distR="0" wp14:anchorId="2E9EA476" wp14:editId="02D4C1AF">
            <wp:extent cx="3286125" cy="1822569"/>
            <wp:effectExtent l="0" t="0" r="0" b="6350"/>
            <wp:docPr id="1594327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327253" name=""/>
                    <pic:cNvPicPr/>
                  </pic:nvPicPr>
                  <pic:blipFill rotWithShape="1">
                    <a:blip r:embed="rId7"/>
                    <a:srcRect l="4297"/>
                    <a:stretch>
                      <a:fillRect/>
                    </a:stretch>
                  </pic:blipFill>
                  <pic:spPr bwMode="auto">
                    <a:xfrm>
                      <a:off x="0" y="0"/>
                      <a:ext cx="3314425" cy="1838265"/>
                    </a:xfrm>
                    <a:prstGeom prst="rect">
                      <a:avLst/>
                    </a:prstGeom>
                    <a:ln>
                      <a:noFill/>
                    </a:ln>
                    <a:extLst>
                      <a:ext uri="{53640926-AAD7-44D8-BBD7-CCE9431645EC}">
                        <a14:shadowObscured xmlns:a14="http://schemas.microsoft.com/office/drawing/2010/main"/>
                      </a:ext>
                    </a:extLst>
                  </pic:spPr>
                </pic:pic>
              </a:graphicData>
            </a:graphic>
          </wp:inline>
        </w:drawing>
      </w:r>
    </w:p>
    <w:p w14:paraId="3EABC71D" w14:textId="0C48E103" w:rsidR="005C32EF" w:rsidRPr="005C32EF" w:rsidRDefault="005C32EF" w:rsidP="006819B3"/>
    <w:sectPr w:rsidR="005C32EF" w:rsidRPr="005C32EF" w:rsidSect="002356F8">
      <w:headerReference w:type="even" r:id="rId8"/>
      <w:headerReference w:type="default" r:id="rId9"/>
      <w:footerReference w:type="even" r:id="rId10"/>
      <w:footerReference w:type="default" r:id="rId11"/>
      <w:headerReference w:type="first" r:id="rId12"/>
      <w:footerReference w:type="first" r:id="rId13"/>
      <w:pgSz w:w="11906" w:h="16838"/>
      <w:pgMar w:top="1701" w:right="1134" w:bottom="1134" w:left="1134" w:header="992"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CFC0D" w14:textId="77777777" w:rsidR="00C70ADF" w:rsidRDefault="00C70ADF" w:rsidP="00F957C6">
      <w:pPr>
        <w:spacing w:after="0" w:line="240" w:lineRule="auto"/>
      </w:pPr>
      <w:r>
        <w:separator/>
      </w:r>
    </w:p>
  </w:endnote>
  <w:endnote w:type="continuationSeparator" w:id="0">
    <w:p w14:paraId="64CD146A" w14:textId="77777777" w:rsidR="00C70ADF" w:rsidRDefault="00C70ADF" w:rsidP="00F95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rdo">
    <w:altName w:val="Times New Roman"/>
    <w:charset w:val="00"/>
    <w:family w:val="roman"/>
    <w:pitch w:val="variable"/>
    <w:sig w:usb0="E40008FF" w:usb1="5201E0FB" w:usb2="04608000" w:usb3="00000000" w:csb0="000000BB"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emilight">
    <w:panose1 w:val="020B0402040204020203"/>
    <w:charset w:val="00"/>
    <w:family w:val="swiss"/>
    <w:pitch w:val="variable"/>
    <w:sig w:usb0="E4002EFF" w:usb1="C000E47F" w:usb2="00000009" w:usb3="00000000" w:csb0="000001FF" w:csb1="00000000"/>
  </w:font>
  <w:font w:name="Yu Mincho Light">
    <w:panose1 w:val="00000000000000000000"/>
    <w:charset w:val="00"/>
    <w:family w:val="roman"/>
    <w:notTrueType/>
    <w:pitch w:val="default"/>
  </w:font>
  <w:font w:name="Inter Light">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30005" w14:textId="17CC0EEA" w:rsidR="007E50D8" w:rsidRDefault="003A00FF">
    <w:pPr>
      <w:pStyle w:val="Footer"/>
    </w:pPr>
    <w:r>
      <w:rPr>
        <w:noProof/>
      </w:rPr>
      <mc:AlternateContent>
        <mc:Choice Requires="wps">
          <w:drawing>
            <wp:anchor distT="0" distB="0" distL="0" distR="0" simplePos="0" relativeHeight="251658242" behindDoc="0" locked="0" layoutInCell="1" allowOverlap="1" wp14:anchorId="0A64D697" wp14:editId="36C51A81">
              <wp:simplePos x="635" y="635"/>
              <wp:positionH relativeFrom="page">
                <wp:align>center</wp:align>
              </wp:positionH>
              <wp:positionV relativeFrom="page">
                <wp:align>bottom</wp:align>
              </wp:positionV>
              <wp:extent cx="622300" cy="394970"/>
              <wp:effectExtent l="0" t="0" r="6350" b="0"/>
              <wp:wrapNone/>
              <wp:docPr id="1710059285"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4970"/>
                      </a:xfrm>
                      <a:prstGeom prst="rect">
                        <a:avLst/>
                      </a:prstGeom>
                      <a:noFill/>
                      <a:ln>
                        <a:noFill/>
                      </a:ln>
                    </wps:spPr>
                    <wps:txbx>
                      <w:txbxContent>
                        <w:p w14:paraId="7C8821EA" w14:textId="0D8A157B" w:rsidR="003A00FF" w:rsidRPr="003A00FF" w:rsidRDefault="003A00FF" w:rsidP="003A00FF">
                          <w:pPr>
                            <w:spacing w:after="0"/>
                            <w:rPr>
                              <w:rFonts w:ascii="Aptos" w:eastAsia="Aptos" w:hAnsi="Aptos" w:cs="Aptos"/>
                              <w:noProof/>
                              <w:color w:val="C00000"/>
                              <w:sz w:val="24"/>
                              <w:szCs w:val="24"/>
                            </w:rPr>
                          </w:pPr>
                          <w:r w:rsidRPr="003A00FF">
                            <w:rPr>
                              <w:rFonts w:ascii="Aptos" w:eastAsia="Aptos" w:hAnsi="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64D697" id="_x0000_t202" coordsize="21600,21600" o:spt="202" path="m,l,21600r21600,l21600,xe">
              <v:stroke joinstyle="miter"/>
              <v:path gradientshapeok="t" o:connecttype="rect"/>
            </v:shapetype>
            <v:shape id="Text Box 11" o:spid="_x0000_s1027" type="#_x0000_t202" alt="OFFICIAL" style="position:absolute;margin-left:0;margin-top:0;width:49pt;height:31.1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" filled="f" stroked="f">
              <v:textbox style="mso-fit-shape-to-text:t" inset="0,0,0,15pt">
                <w:txbxContent>
                  <w:p w14:paraId="7C8821EA" w14:textId="0D8A157B" w:rsidR="003A00FF" w:rsidRPr="003A00FF" w:rsidRDefault="003A00FF" w:rsidP="003A00FF">
                    <w:pPr>
                      <w:spacing w:after="0"/>
                      <w:rPr>
                        <w:rFonts w:ascii="Aptos" w:eastAsia="Aptos" w:hAnsi="Aptos" w:cs="Aptos"/>
                        <w:noProof/>
                        <w:color w:val="C00000"/>
                        <w:sz w:val="24"/>
                        <w:szCs w:val="24"/>
                      </w:rPr>
                    </w:pPr>
                    <w:r w:rsidRPr="003A00FF">
                      <w:rPr>
                        <w:rFonts w:ascii="Aptos" w:eastAsia="Aptos" w:hAnsi="Aptos" w:cs="Aptos"/>
                        <w:noProof/>
                        <w:color w:val="C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1655B" w14:textId="492AB210" w:rsidR="00D10635" w:rsidRPr="00F86700" w:rsidRDefault="00D10635" w:rsidP="00F86700">
    <w:pPr>
      <w:pStyle w:val="CLASSIFICATION"/>
    </w:pPr>
  </w:p>
  <w:p w14:paraId="4F6A3923" w14:textId="3D7C2C94" w:rsidR="00037513" w:rsidRPr="00852F35" w:rsidRDefault="00936C83" w:rsidP="00936C83">
    <w:pPr>
      <w:pStyle w:val="Header"/>
      <w:rPr>
        <w:rFonts w:ascii="Segoe UI" w:hAnsi="Segoe UI" w:cs="Segoe UI"/>
        <w:color w:val="6E6E6E"/>
        <w:sz w:val="18"/>
      </w:rPr>
    </w:pPr>
    <w:r>
      <w:rPr>
        <w:color w:val="6E6E6E"/>
        <w:sz w:val="18"/>
        <w:szCs w:val="18"/>
      </w:rPr>
      <w:t xml:space="preserve">Australian Government </w:t>
    </w:r>
    <w:r w:rsidRPr="00852F35">
      <w:rPr>
        <w:color w:val="6E6E6E"/>
        <w:sz w:val="18"/>
        <w:szCs w:val="18"/>
      </w:rPr>
      <w:t xml:space="preserve">| </w:t>
    </w:r>
    <w:r>
      <w:rPr>
        <w:color w:val="6E6E6E"/>
        <w:sz w:val="18"/>
        <w:szCs w:val="18"/>
      </w:rPr>
      <w:t xml:space="preserve">Dashboard Impact Analysis (IA) – </w:t>
    </w:r>
    <w:r w:rsidR="008A3E23">
      <w:rPr>
        <w:color w:val="6E6E6E"/>
        <w:sz w:val="18"/>
        <w:szCs w:val="18"/>
      </w:rPr>
      <w:t xml:space="preserve">Gas Market Review – Domestic Gas Reservation </w:t>
    </w:r>
    <w:r w:rsidRPr="00852F35">
      <w:rPr>
        <w:color w:val="6E6E6E"/>
      </w:rPr>
      <w:ptab w:relativeTo="margin" w:alignment="right" w:leader="none"/>
    </w:r>
    <w:r w:rsidRPr="00852F35">
      <w:rPr>
        <w:rFonts w:ascii="Segoe UI" w:hAnsi="Segoe UI" w:cs="Segoe UI"/>
        <w:color w:val="6E6E6E"/>
        <w:sz w:val="18"/>
      </w:rPr>
      <w:fldChar w:fldCharType="begin"/>
    </w:r>
    <w:r w:rsidRPr="00852F35">
      <w:rPr>
        <w:rFonts w:ascii="Segoe UI" w:hAnsi="Segoe UI" w:cs="Segoe UI"/>
        <w:color w:val="6E6E6E"/>
        <w:sz w:val="18"/>
      </w:rPr>
      <w:instrText xml:space="preserve"> PAGE   \* MERGEFORMAT </w:instrText>
    </w:r>
    <w:r w:rsidRPr="00852F35">
      <w:rPr>
        <w:rFonts w:ascii="Segoe UI" w:hAnsi="Segoe UI" w:cs="Segoe UI"/>
        <w:color w:val="6E6E6E"/>
        <w:sz w:val="18"/>
      </w:rPr>
      <w:fldChar w:fldCharType="separate"/>
    </w:r>
    <w:r>
      <w:rPr>
        <w:rFonts w:ascii="Segoe UI" w:hAnsi="Segoe UI" w:cs="Segoe UI"/>
        <w:color w:val="6E6E6E"/>
        <w:sz w:val="18"/>
      </w:rPr>
      <w:t>1</w:t>
    </w:r>
    <w:r w:rsidRPr="00852F35">
      <w:rPr>
        <w:rFonts w:ascii="Segoe UI" w:hAnsi="Segoe UI" w:cs="Segoe UI"/>
        <w:noProof/>
        <w:color w:val="6E6E6E"/>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645FE" w14:textId="4227F31F" w:rsidR="00464D89" w:rsidRDefault="00464D89" w:rsidP="00464D89">
    <w:pPr>
      <w:pStyle w:val="Header"/>
      <w:jc w:val="center"/>
    </w:pPr>
  </w:p>
  <w:p w14:paraId="7A5823B8" w14:textId="77777777" w:rsidR="006E7551" w:rsidRDefault="006E7551" w:rsidP="00BB1526">
    <w:pPr>
      <w:pStyle w:val="Header"/>
      <w:rPr>
        <w:color w:val="6E6E6E"/>
        <w:sz w:val="18"/>
        <w:szCs w:val="18"/>
      </w:rPr>
    </w:pPr>
  </w:p>
  <w:p w14:paraId="225F5330" w14:textId="659322C5" w:rsidR="00464D89" w:rsidRPr="00BB1526" w:rsidRDefault="005A3632" w:rsidP="00BB1526">
    <w:pPr>
      <w:pStyle w:val="Header"/>
      <w:rPr>
        <w:rFonts w:ascii="Segoe UI" w:hAnsi="Segoe UI" w:cs="Segoe UI"/>
        <w:color w:val="6E6E6E"/>
        <w:sz w:val="18"/>
      </w:rPr>
    </w:pPr>
    <w:r>
      <w:rPr>
        <w:color w:val="6E6E6E"/>
        <w:sz w:val="18"/>
        <w:szCs w:val="18"/>
      </w:rPr>
      <w:t xml:space="preserve">Australian Government </w:t>
    </w:r>
    <w:r w:rsidRPr="00852F35">
      <w:rPr>
        <w:color w:val="6E6E6E"/>
        <w:sz w:val="18"/>
        <w:szCs w:val="18"/>
      </w:rPr>
      <w:t>|</w:t>
    </w:r>
    <w:r w:rsidR="00BB1526" w:rsidRPr="00852F35">
      <w:rPr>
        <w:color w:val="6E6E6E"/>
        <w:sz w:val="18"/>
        <w:szCs w:val="18"/>
      </w:rPr>
      <w:t xml:space="preserve"> </w:t>
    </w:r>
    <w:r w:rsidR="005D7C45">
      <w:rPr>
        <w:color w:val="6E6E6E"/>
        <w:sz w:val="18"/>
        <w:szCs w:val="18"/>
      </w:rPr>
      <w:t xml:space="preserve">Dashboard Impact Analysis (IA) – </w:t>
    </w:r>
    <w:r w:rsidR="00B52B84">
      <w:rPr>
        <w:color w:val="6E6E6E"/>
        <w:sz w:val="18"/>
        <w:szCs w:val="18"/>
      </w:rPr>
      <w:t xml:space="preserve">Gas Market Review </w:t>
    </w:r>
    <w:r w:rsidR="003D6495">
      <w:rPr>
        <w:color w:val="6E6E6E"/>
        <w:sz w:val="18"/>
        <w:szCs w:val="18"/>
      </w:rPr>
      <w:t>–</w:t>
    </w:r>
    <w:r w:rsidR="00B52B84">
      <w:rPr>
        <w:color w:val="6E6E6E"/>
        <w:sz w:val="18"/>
        <w:szCs w:val="18"/>
      </w:rPr>
      <w:t xml:space="preserve"> </w:t>
    </w:r>
    <w:r w:rsidR="003D6495">
      <w:rPr>
        <w:color w:val="6E6E6E"/>
        <w:sz w:val="18"/>
        <w:szCs w:val="18"/>
      </w:rPr>
      <w:t>Domestic Gas Reservation</w:t>
    </w:r>
    <w:r w:rsidR="00BB1526" w:rsidRPr="00852F35">
      <w:rPr>
        <w:color w:val="6E6E6E"/>
      </w:rPr>
      <w:ptab w:relativeTo="margin" w:alignment="right" w:leader="none"/>
    </w:r>
    <w:r w:rsidR="00BB1526" w:rsidRPr="00852F35">
      <w:rPr>
        <w:rFonts w:ascii="Segoe UI" w:hAnsi="Segoe UI" w:cs="Segoe UI"/>
        <w:color w:val="6E6E6E"/>
        <w:sz w:val="18"/>
      </w:rPr>
      <w:fldChar w:fldCharType="begin"/>
    </w:r>
    <w:r w:rsidR="00BB1526" w:rsidRPr="00852F35">
      <w:rPr>
        <w:rFonts w:ascii="Segoe UI" w:hAnsi="Segoe UI" w:cs="Segoe UI"/>
        <w:color w:val="6E6E6E"/>
        <w:sz w:val="18"/>
      </w:rPr>
      <w:instrText xml:space="preserve"> PAGE   \* MERGEFORMAT </w:instrText>
    </w:r>
    <w:r w:rsidR="00BB1526" w:rsidRPr="00852F35">
      <w:rPr>
        <w:rFonts w:ascii="Segoe UI" w:hAnsi="Segoe UI" w:cs="Segoe UI"/>
        <w:color w:val="6E6E6E"/>
        <w:sz w:val="18"/>
      </w:rPr>
      <w:fldChar w:fldCharType="separate"/>
    </w:r>
    <w:r w:rsidR="00E155C1">
      <w:rPr>
        <w:rFonts w:ascii="Segoe UI" w:hAnsi="Segoe UI" w:cs="Segoe UI"/>
        <w:noProof/>
        <w:color w:val="6E6E6E"/>
        <w:sz w:val="18"/>
      </w:rPr>
      <w:t>1</w:t>
    </w:r>
    <w:r w:rsidR="00BB1526" w:rsidRPr="00852F35">
      <w:rPr>
        <w:rFonts w:ascii="Segoe UI" w:hAnsi="Segoe UI" w:cs="Segoe UI"/>
        <w:noProof/>
        <w:color w:val="6E6E6E"/>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CBAE0" w14:textId="77777777" w:rsidR="00C70ADF" w:rsidRDefault="00C70ADF" w:rsidP="00F957C6">
      <w:pPr>
        <w:spacing w:after="0" w:line="240" w:lineRule="auto"/>
      </w:pPr>
      <w:r>
        <w:separator/>
      </w:r>
    </w:p>
  </w:footnote>
  <w:footnote w:type="continuationSeparator" w:id="0">
    <w:p w14:paraId="3CB99309" w14:textId="77777777" w:rsidR="00C70ADF" w:rsidRDefault="00C70ADF" w:rsidP="00F957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248A0" w14:textId="37DD89E7" w:rsidR="007E50D8" w:rsidRDefault="003A00FF">
    <w:pPr>
      <w:pStyle w:val="Header"/>
    </w:pPr>
    <w:r>
      <w:rPr>
        <w:noProof/>
      </w:rPr>
      <mc:AlternateContent>
        <mc:Choice Requires="wps">
          <w:drawing>
            <wp:anchor distT="0" distB="0" distL="0" distR="0" simplePos="0" relativeHeight="251658241" behindDoc="0" locked="0" layoutInCell="1" allowOverlap="1" wp14:anchorId="4900272D" wp14:editId="7FDF268E">
              <wp:simplePos x="635" y="635"/>
              <wp:positionH relativeFrom="page">
                <wp:align>center</wp:align>
              </wp:positionH>
              <wp:positionV relativeFrom="page">
                <wp:align>top</wp:align>
              </wp:positionV>
              <wp:extent cx="622300" cy="394970"/>
              <wp:effectExtent l="0" t="0" r="6350" b="5080"/>
              <wp:wrapNone/>
              <wp:docPr id="997761505"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4970"/>
                      </a:xfrm>
                      <a:prstGeom prst="rect">
                        <a:avLst/>
                      </a:prstGeom>
                      <a:noFill/>
                      <a:ln>
                        <a:noFill/>
                      </a:ln>
                    </wps:spPr>
                    <wps:txbx>
                      <w:txbxContent>
                        <w:p w14:paraId="63665AAE" w14:textId="68B1C0FE" w:rsidR="003A00FF" w:rsidRPr="003A00FF" w:rsidRDefault="003A00FF" w:rsidP="003A00FF">
                          <w:pPr>
                            <w:spacing w:after="0"/>
                            <w:rPr>
                              <w:rFonts w:ascii="Aptos" w:eastAsia="Aptos" w:hAnsi="Aptos" w:cs="Aptos"/>
                              <w:noProof/>
                              <w:color w:val="C00000"/>
                              <w:sz w:val="24"/>
                              <w:szCs w:val="24"/>
                            </w:rPr>
                          </w:pPr>
                          <w:r w:rsidRPr="003A00FF">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00272D" id="_x0000_t202" coordsize="21600,21600" o:spt="202" path="m,l,21600r21600,l21600,xe">
              <v:stroke joinstyle="miter"/>
              <v:path gradientshapeok="t" o:connecttype="rect"/>
            </v:shapetype>
            <v:shape id="Text Box 8" o:spid="_x0000_s1026" type="#_x0000_t202" alt="OFFICIAL" style="position:absolute;margin-left:0;margin-top:0;width:49pt;height:31.1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" filled="f" stroked="f">
              <v:textbox style="mso-fit-shape-to-text:t" inset="0,15pt,0,0">
                <w:txbxContent>
                  <w:p w14:paraId="63665AAE" w14:textId="68B1C0FE" w:rsidR="003A00FF" w:rsidRPr="003A00FF" w:rsidRDefault="003A00FF" w:rsidP="003A00FF">
                    <w:pPr>
                      <w:spacing w:after="0"/>
                      <w:rPr>
                        <w:rFonts w:ascii="Aptos" w:eastAsia="Aptos" w:hAnsi="Aptos" w:cs="Aptos"/>
                        <w:noProof/>
                        <w:color w:val="C00000"/>
                        <w:sz w:val="24"/>
                        <w:szCs w:val="24"/>
                      </w:rPr>
                    </w:pPr>
                    <w:r w:rsidRPr="003A00FF">
                      <w:rPr>
                        <w:rFonts w:ascii="Aptos" w:eastAsia="Aptos" w:hAnsi="Aptos" w:cs="Aptos"/>
                        <w:noProof/>
                        <w:color w:val="C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D4001" w14:textId="552F87BC" w:rsidR="00037513" w:rsidRPr="00D10635" w:rsidRDefault="00037513" w:rsidP="00464D8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44FED" w14:textId="7D4CFA03" w:rsidR="0026634E" w:rsidRDefault="0026634E" w:rsidP="0026634E">
    <w:pPr>
      <w:pStyle w:val="Header"/>
      <w:jc w:val="center"/>
      <w:rPr>
        <w:rStyle w:val="CLASSIFICATIONChar"/>
      </w:rPr>
    </w:pPr>
    <w:r>
      <w:rPr>
        <w:rStyle w:val="CLASSIFICATIONChar"/>
        <w:noProof/>
        <w:lang w:eastAsia="en-AU"/>
      </w:rPr>
      <w:drawing>
        <wp:anchor distT="0" distB="0" distL="114300" distR="114300" simplePos="0" relativeHeight="251658240" behindDoc="1" locked="0" layoutInCell="1" allowOverlap="1" wp14:anchorId="0BAD895F" wp14:editId="0D203F4D">
          <wp:simplePos x="0" y="0"/>
          <wp:positionH relativeFrom="column">
            <wp:posOffset>-46990</wp:posOffset>
          </wp:positionH>
          <wp:positionV relativeFrom="paragraph">
            <wp:posOffset>-217805</wp:posOffset>
          </wp:positionV>
          <wp:extent cx="2322830" cy="621665"/>
          <wp:effectExtent l="0" t="0" r="1270" b="6985"/>
          <wp:wrapNone/>
          <wp:docPr id="16" name="Picture 16" descr="Australian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ustralian Govern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2830" cy="621665"/>
                  </a:xfrm>
                  <a:prstGeom prst="rect">
                    <a:avLst/>
                  </a:prstGeom>
                  <a:noFill/>
                </pic:spPr>
              </pic:pic>
            </a:graphicData>
          </a:graphic>
        </wp:anchor>
      </w:drawing>
    </w:r>
  </w:p>
  <w:p w14:paraId="50AB3966" w14:textId="77777777" w:rsidR="0026634E" w:rsidRDefault="0026634E" w:rsidP="0026634E">
    <w:pPr>
      <w:pStyle w:val="Header"/>
      <w:jc w:val="center"/>
      <w:rPr>
        <w:rStyle w:val="CLASSIFICATIONChar"/>
      </w:rPr>
    </w:pPr>
  </w:p>
  <w:p w14:paraId="53C5D319" w14:textId="77777777" w:rsidR="0026634E" w:rsidRDefault="0026634E" w:rsidP="0026634E">
    <w:pPr>
      <w:pStyle w:val="Header"/>
      <w:jc w:val="center"/>
      <w:rPr>
        <w:rStyle w:val="CLASSIFICATIONChar"/>
      </w:rPr>
    </w:pPr>
  </w:p>
  <w:p w14:paraId="67404623" w14:textId="77777777" w:rsidR="0026634E" w:rsidRDefault="0026634E" w:rsidP="0026634E">
    <w:pPr>
      <w:pStyle w:val="Header"/>
      <w:jc w:val="center"/>
      <w:rPr>
        <w:rStyle w:val="CLASSIFICATIONChar"/>
      </w:rPr>
    </w:pPr>
  </w:p>
  <w:p w14:paraId="27CFA7AD" w14:textId="70AE913C" w:rsidR="0026634E" w:rsidRDefault="0026634E" w:rsidP="0026634E">
    <w:pPr>
      <w:pStyle w:val="Header"/>
      <w:jc w:val="center"/>
    </w:pPr>
  </w:p>
  <w:p w14:paraId="64604E18" w14:textId="77777777" w:rsidR="00037513" w:rsidRPr="0026634E" w:rsidRDefault="00037513" w:rsidP="002663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004592A"/>
    <w:lvl w:ilvl="0">
      <w:start w:val="1"/>
      <w:numFmt w:val="decimal"/>
      <w:lvlText w:val="%1."/>
      <w:lvlJc w:val="left"/>
      <w:pPr>
        <w:tabs>
          <w:tab w:val="num" w:pos="2060"/>
        </w:tabs>
        <w:ind w:left="2060" w:hanging="360"/>
      </w:pPr>
    </w:lvl>
  </w:abstractNum>
  <w:abstractNum w:abstractNumId="1" w15:restartNumberingAfterBreak="0">
    <w:nsid w:val="FFFFFF7D"/>
    <w:multiLevelType w:val="singleLevel"/>
    <w:tmpl w:val="35487F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450D9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3D612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71469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F017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FE08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89813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0620C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4281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B75033"/>
    <w:multiLevelType w:val="hybridMultilevel"/>
    <w:tmpl w:val="C6DC8A2C"/>
    <w:lvl w:ilvl="0" w:tplc="458A1C2C">
      <w:start w:val="1"/>
      <w:numFmt w:val="bullet"/>
      <w:pStyle w:val="TBL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B014CCD"/>
    <w:multiLevelType w:val="hybridMultilevel"/>
    <w:tmpl w:val="D0E0AE74"/>
    <w:lvl w:ilvl="0" w:tplc="42CAA44A">
      <w:start w:val="1"/>
      <w:numFmt w:val="bullet"/>
      <w:pStyle w:val="BOXBulletedList"/>
      <w:lvlText w:val=""/>
      <w:lvlJc w:val="left"/>
      <w:pPr>
        <w:ind w:left="284" w:hanging="284"/>
      </w:pPr>
      <w:rPr>
        <w:rFonts w:ascii="Symbol" w:hAnsi="Symbol" w:hint="default"/>
      </w:rPr>
    </w:lvl>
    <w:lvl w:ilvl="1" w:tplc="AFD06412">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FAF6F03"/>
    <w:multiLevelType w:val="hybridMultilevel"/>
    <w:tmpl w:val="4CF49542"/>
    <w:lvl w:ilvl="0" w:tplc="6C069990">
      <w:start w:val="1"/>
      <w:numFmt w:val="bullet"/>
      <w:pStyle w:val="BulletedList-Level3"/>
      <w:lvlText w:val="o"/>
      <w:lvlJc w:val="left"/>
      <w:pPr>
        <w:ind w:left="1134" w:hanging="283"/>
      </w:pPr>
      <w:rPr>
        <w:rFonts w:ascii="Courier New" w:hAnsi="Courier New"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3" w15:restartNumberingAfterBreak="0">
    <w:nsid w:val="13A3105B"/>
    <w:multiLevelType w:val="hybridMultilevel"/>
    <w:tmpl w:val="2F88CC68"/>
    <w:lvl w:ilvl="0" w:tplc="93300146">
      <w:start w:val="1"/>
      <w:numFmt w:val="decimal"/>
      <w:pStyle w:val="BoxDark-NumberedList"/>
      <w:lvlText w:val="%1."/>
      <w:lvlJc w:val="left"/>
      <w:pPr>
        <w:ind w:left="947" w:hanging="360"/>
      </w:pPr>
    </w:lvl>
    <w:lvl w:ilvl="1" w:tplc="0C090019" w:tentative="1">
      <w:start w:val="1"/>
      <w:numFmt w:val="lowerLetter"/>
      <w:lvlText w:val="%2."/>
      <w:lvlJc w:val="left"/>
      <w:pPr>
        <w:ind w:left="1667" w:hanging="360"/>
      </w:pPr>
    </w:lvl>
    <w:lvl w:ilvl="2" w:tplc="0C09001B" w:tentative="1">
      <w:start w:val="1"/>
      <w:numFmt w:val="lowerRoman"/>
      <w:lvlText w:val="%3."/>
      <w:lvlJc w:val="right"/>
      <w:pPr>
        <w:ind w:left="2387" w:hanging="180"/>
      </w:pPr>
    </w:lvl>
    <w:lvl w:ilvl="3" w:tplc="0C09000F" w:tentative="1">
      <w:start w:val="1"/>
      <w:numFmt w:val="decimal"/>
      <w:lvlText w:val="%4."/>
      <w:lvlJc w:val="left"/>
      <w:pPr>
        <w:ind w:left="3107" w:hanging="360"/>
      </w:pPr>
    </w:lvl>
    <w:lvl w:ilvl="4" w:tplc="0C090019" w:tentative="1">
      <w:start w:val="1"/>
      <w:numFmt w:val="lowerLetter"/>
      <w:lvlText w:val="%5."/>
      <w:lvlJc w:val="left"/>
      <w:pPr>
        <w:ind w:left="3827" w:hanging="360"/>
      </w:pPr>
    </w:lvl>
    <w:lvl w:ilvl="5" w:tplc="0C09001B" w:tentative="1">
      <w:start w:val="1"/>
      <w:numFmt w:val="lowerRoman"/>
      <w:lvlText w:val="%6."/>
      <w:lvlJc w:val="right"/>
      <w:pPr>
        <w:ind w:left="4547" w:hanging="180"/>
      </w:pPr>
    </w:lvl>
    <w:lvl w:ilvl="6" w:tplc="0C09000F" w:tentative="1">
      <w:start w:val="1"/>
      <w:numFmt w:val="decimal"/>
      <w:lvlText w:val="%7."/>
      <w:lvlJc w:val="left"/>
      <w:pPr>
        <w:ind w:left="5267" w:hanging="360"/>
      </w:pPr>
    </w:lvl>
    <w:lvl w:ilvl="7" w:tplc="0C090019" w:tentative="1">
      <w:start w:val="1"/>
      <w:numFmt w:val="lowerLetter"/>
      <w:lvlText w:val="%8."/>
      <w:lvlJc w:val="left"/>
      <w:pPr>
        <w:ind w:left="5987" w:hanging="360"/>
      </w:pPr>
    </w:lvl>
    <w:lvl w:ilvl="8" w:tplc="0C09001B" w:tentative="1">
      <w:start w:val="1"/>
      <w:numFmt w:val="lowerRoman"/>
      <w:lvlText w:val="%9."/>
      <w:lvlJc w:val="right"/>
      <w:pPr>
        <w:ind w:left="6707" w:hanging="180"/>
      </w:pPr>
    </w:lvl>
  </w:abstractNum>
  <w:abstractNum w:abstractNumId="14" w15:restartNumberingAfterBreak="0">
    <w:nsid w:val="19F33BBA"/>
    <w:multiLevelType w:val="hybridMultilevel"/>
    <w:tmpl w:val="0812E2DE"/>
    <w:lvl w:ilvl="0" w:tplc="E1AE5D66">
      <w:start w:val="1"/>
      <w:numFmt w:val="decimal"/>
      <w:pStyle w:val="Figure"/>
      <w:suff w:val="space"/>
      <w:lvlText w:val="Figure %1."/>
      <w:lvlJc w:val="left"/>
      <w:pPr>
        <w:ind w:left="567" w:hanging="56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E1E1DE4"/>
    <w:multiLevelType w:val="hybridMultilevel"/>
    <w:tmpl w:val="D0CEF0F0"/>
    <w:lvl w:ilvl="0" w:tplc="D3B44538">
      <w:numFmt w:val="bullet"/>
      <w:lvlText w:val="-"/>
      <w:lvlJc w:val="left"/>
      <w:pPr>
        <w:ind w:left="564" w:hanging="360"/>
      </w:pPr>
      <w:rPr>
        <w:rFonts w:ascii="Segoe UI" w:eastAsiaTheme="minorEastAsia" w:hAnsi="Segoe UI" w:cs="Segoe UI" w:hint="default"/>
      </w:rPr>
    </w:lvl>
    <w:lvl w:ilvl="1" w:tplc="0C090003" w:tentative="1">
      <w:start w:val="1"/>
      <w:numFmt w:val="bullet"/>
      <w:lvlText w:val="o"/>
      <w:lvlJc w:val="left"/>
      <w:pPr>
        <w:ind w:left="1284" w:hanging="360"/>
      </w:pPr>
      <w:rPr>
        <w:rFonts w:ascii="Courier New" w:hAnsi="Courier New" w:cs="Courier New" w:hint="default"/>
      </w:rPr>
    </w:lvl>
    <w:lvl w:ilvl="2" w:tplc="0C090005" w:tentative="1">
      <w:start w:val="1"/>
      <w:numFmt w:val="bullet"/>
      <w:lvlText w:val=""/>
      <w:lvlJc w:val="left"/>
      <w:pPr>
        <w:ind w:left="2004" w:hanging="360"/>
      </w:pPr>
      <w:rPr>
        <w:rFonts w:ascii="Wingdings" w:hAnsi="Wingdings" w:hint="default"/>
      </w:rPr>
    </w:lvl>
    <w:lvl w:ilvl="3" w:tplc="0C090001" w:tentative="1">
      <w:start w:val="1"/>
      <w:numFmt w:val="bullet"/>
      <w:lvlText w:val=""/>
      <w:lvlJc w:val="left"/>
      <w:pPr>
        <w:ind w:left="2724" w:hanging="360"/>
      </w:pPr>
      <w:rPr>
        <w:rFonts w:ascii="Symbol" w:hAnsi="Symbol" w:hint="default"/>
      </w:rPr>
    </w:lvl>
    <w:lvl w:ilvl="4" w:tplc="0C090003" w:tentative="1">
      <w:start w:val="1"/>
      <w:numFmt w:val="bullet"/>
      <w:lvlText w:val="o"/>
      <w:lvlJc w:val="left"/>
      <w:pPr>
        <w:ind w:left="3444" w:hanging="360"/>
      </w:pPr>
      <w:rPr>
        <w:rFonts w:ascii="Courier New" w:hAnsi="Courier New" w:cs="Courier New" w:hint="default"/>
      </w:rPr>
    </w:lvl>
    <w:lvl w:ilvl="5" w:tplc="0C090005" w:tentative="1">
      <w:start w:val="1"/>
      <w:numFmt w:val="bullet"/>
      <w:lvlText w:val=""/>
      <w:lvlJc w:val="left"/>
      <w:pPr>
        <w:ind w:left="4164" w:hanging="360"/>
      </w:pPr>
      <w:rPr>
        <w:rFonts w:ascii="Wingdings" w:hAnsi="Wingdings" w:hint="default"/>
      </w:rPr>
    </w:lvl>
    <w:lvl w:ilvl="6" w:tplc="0C090001" w:tentative="1">
      <w:start w:val="1"/>
      <w:numFmt w:val="bullet"/>
      <w:lvlText w:val=""/>
      <w:lvlJc w:val="left"/>
      <w:pPr>
        <w:ind w:left="4884" w:hanging="360"/>
      </w:pPr>
      <w:rPr>
        <w:rFonts w:ascii="Symbol" w:hAnsi="Symbol" w:hint="default"/>
      </w:rPr>
    </w:lvl>
    <w:lvl w:ilvl="7" w:tplc="0C090003" w:tentative="1">
      <w:start w:val="1"/>
      <w:numFmt w:val="bullet"/>
      <w:lvlText w:val="o"/>
      <w:lvlJc w:val="left"/>
      <w:pPr>
        <w:ind w:left="5604" w:hanging="360"/>
      </w:pPr>
      <w:rPr>
        <w:rFonts w:ascii="Courier New" w:hAnsi="Courier New" w:cs="Courier New" w:hint="default"/>
      </w:rPr>
    </w:lvl>
    <w:lvl w:ilvl="8" w:tplc="0C090005" w:tentative="1">
      <w:start w:val="1"/>
      <w:numFmt w:val="bullet"/>
      <w:lvlText w:val=""/>
      <w:lvlJc w:val="left"/>
      <w:pPr>
        <w:ind w:left="6324" w:hanging="360"/>
      </w:pPr>
      <w:rPr>
        <w:rFonts w:ascii="Wingdings" w:hAnsi="Wingdings" w:hint="default"/>
      </w:rPr>
    </w:lvl>
  </w:abstractNum>
  <w:abstractNum w:abstractNumId="16" w15:restartNumberingAfterBreak="0">
    <w:nsid w:val="1F507AC4"/>
    <w:multiLevelType w:val="hybridMultilevel"/>
    <w:tmpl w:val="6FFA548C"/>
    <w:lvl w:ilvl="0" w:tplc="E7066796">
      <w:start w:val="1"/>
      <w:numFmt w:val="bullet"/>
      <w:pStyle w:val="BulletedList-Level2"/>
      <w:lvlText w:val="−"/>
      <w:lvlJc w:val="left"/>
      <w:pPr>
        <w:ind w:left="851" w:hanging="284"/>
      </w:pPr>
      <w:rPr>
        <w:rFonts w:ascii="Cardo" w:hAnsi="Cardo"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7" w15:restartNumberingAfterBreak="0">
    <w:nsid w:val="26DF05D0"/>
    <w:multiLevelType w:val="hybridMultilevel"/>
    <w:tmpl w:val="361C27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7854A54"/>
    <w:multiLevelType w:val="hybridMultilevel"/>
    <w:tmpl w:val="253E2E62"/>
    <w:lvl w:ilvl="0" w:tplc="B2AA9F56">
      <w:start w:val="1"/>
      <w:numFmt w:val="bullet"/>
      <w:pStyle w:val="BulletedList-Level1"/>
      <w:lvlText w:val=""/>
      <w:lvlJc w:val="left"/>
      <w:pPr>
        <w:ind w:left="425" w:hanging="283"/>
      </w:pPr>
      <w:rPr>
        <w:rFonts w:ascii="Symbol" w:hAnsi="Symbol" w:hint="default"/>
      </w:rPr>
    </w:lvl>
    <w:lvl w:ilvl="1" w:tplc="4BB4D094">
      <w:start w:val="1"/>
      <w:numFmt w:val="bullet"/>
      <w:lvlText w:val="o"/>
      <w:lvlJc w:val="left"/>
      <w:pPr>
        <w:ind w:left="709" w:hanging="28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1EFC13BC">
      <w:start w:val="1"/>
      <w:numFmt w:val="bullet"/>
      <w:lvlText w:val=""/>
      <w:lvlJc w:val="left"/>
      <w:pPr>
        <w:ind w:left="992" w:hanging="283"/>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19" w15:restartNumberingAfterBreak="0">
    <w:nsid w:val="29F2D1D3"/>
    <w:multiLevelType w:val="hybridMultilevel"/>
    <w:tmpl w:val="F86A82BA"/>
    <w:lvl w:ilvl="0" w:tplc="9FA4ECBA">
      <w:start w:val="1"/>
      <w:numFmt w:val="bullet"/>
      <w:lvlText w:val=""/>
      <w:lvlJc w:val="left"/>
      <w:pPr>
        <w:ind w:left="720" w:hanging="360"/>
      </w:pPr>
      <w:rPr>
        <w:rFonts w:ascii="Symbol" w:hAnsi="Symbol" w:hint="default"/>
      </w:rPr>
    </w:lvl>
    <w:lvl w:ilvl="1" w:tplc="5156AB20">
      <w:start w:val="1"/>
      <w:numFmt w:val="bullet"/>
      <w:lvlText w:val="o"/>
      <w:lvlJc w:val="left"/>
      <w:pPr>
        <w:ind w:left="1440" w:hanging="360"/>
      </w:pPr>
      <w:rPr>
        <w:rFonts w:ascii="Courier New" w:hAnsi="Courier New" w:hint="default"/>
      </w:rPr>
    </w:lvl>
    <w:lvl w:ilvl="2" w:tplc="9758776C">
      <w:start w:val="1"/>
      <w:numFmt w:val="bullet"/>
      <w:lvlText w:val=""/>
      <w:lvlJc w:val="left"/>
      <w:pPr>
        <w:ind w:left="2160" w:hanging="360"/>
      </w:pPr>
      <w:rPr>
        <w:rFonts w:ascii="Wingdings" w:hAnsi="Wingdings" w:hint="default"/>
      </w:rPr>
    </w:lvl>
    <w:lvl w:ilvl="3" w:tplc="EB607880">
      <w:start w:val="1"/>
      <w:numFmt w:val="bullet"/>
      <w:lvlText w:val=""/>
      <w:lvlJc w:val="left"/>
      <w:pPr>
        <w:ind w:left="2880" w:hanging="360"/>
      </w:pPr>
      <w:rPr>
        <w:rFonts w:ascii="Symbol" w:hAnsi="Symbol" w:hint="default"/>
      </w:rPr>
    </w:lvl>
    <w:lvl w:ilvl="4" w:tplc="2F5C2F16">
      <w:start w:val="1"/>
      <w:numFmt w:val="bullet"/>
      <w:lvlText w:val="o"/>
      <w:lvlJc w:val="left"/>
      <w:pPr>
        <w:ind w:left="3600" w:hanging="360"/>
      </w:pPr>
      <w:rPr>
        <w:rFonts w:ascii="Courier New" w:hAnsi="Courier New" w:hint="default"/>
      </w:rPr>
    </w:lvl>
    <w:lvl w:ilvl="5" w:tplc="DC565D48">
      <w:start w:val="1"/>
      <w:numFmt w:val="bullet"/>
      <w:lvlText w:val=""/>
      <w:lvlJc w:val="left"/>
      <w:pPr>
        <w:ind w:left="4320" w:hanging="360"/>
      </w:pPr>
      <w:rPr>
        <w:rFonts w:ascii="Wingdings" w:hAnsi="Wingdings" w:hint="default"/>
      </w:rPr>
    </w:lvl>
    <w:lvl w:ilvl="6" w:tplc="055AB08A">
      <w:start w:val="1"/>
      <w:numFmt w:val="bullet"/>
      <w:lvlText w:val=""/>
      <w:lvlJc w:val="left"/>
      <w:pPr>
        <w:ind w:left="5040" w:hanging="360"/>
      </w:pPr>
      <w:rPr>
        <w:rFonts w:ascii="Symbol" w:hAnsi="Symbol" w:hint="default"/>
      </w:rPr>
    </w:lvl>
    <w:lvl w:ilvl="7" w:tplc="34283004">
      <w:start w:val="1"/>
      <w:numFmt w:val="bullet"/>
      <w:lvlText w:val="o"/>
      <w:lvlJc w:val="left"/>
      <w:pPr>
        <w:ind w:left="5760" w:hanging="360"/>
      </w:pPr>
      <w:rPr>
        <w:rFonts w:ascii="Courier New" w:hAnsi="Courier New" w:hint="default"/>
      </w:rPr>
    </w:lvl>
    <w:lvl w:ilvl="8" w:tplc="98403C18">
      <w:start w:val="1"/>
      <w:numFmt w:val="bullet"/>
      <w:lvlText w:val=""/>
      <w:lvlJc w:val="left"/>
      <w:pPr>
        <w:ind w:left="6480" w:hanging="360"/>
      </w:pPr>
      <w:rPr>
        <w:rFonts w:ascii="Wingdings" w:hAnsi="Wingdings" w:hint="default"/>
      </w:rPr>
    </w:lvl>
  </w:abstractNum>
  <w:abstractNum w:abstractNumId="20" w15:restartNumberingAfterBreak="0">
    <w:nsid w:val="3A43634D"/>
    <w:multiLevelType w:val="hybridMultilevel"/>
    <w:tmpl w:val="BCB85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96C7FF6"/>
    <w:multiLevelType w:val="hybridMultilevel"/>
    <w:tmpl w:val="4D4A750C"/>
    <w:lvl w:ilvl="0" w:tplc="D6643B58">
      <w:start w:val="1"/>
      <w:numFmt w:val="decimal"/>
      <w:pStyle w:val="BOXNumberedList"/>
      <w:lvlText w:val="%1."/>
      <w:lvlJc w:val="left"/>
      <w:pPr>
        <w:ind w:left="840" w:hanging="360"/>
      </w:pPr>
    </w:lvl>
    <w:lvl w:ilvl="1" w:tplc="0C090019" w:tentative="1">
      <w:start w:val="1"/>
      <w:numFmt w:val="lowerLetter"/>
      <w:lvlText w:val="%2."/>
      <w:lvlJc w:val="left"/>
      <w:pPr>
        <w:ind w:left="1560" w:hanging="360"/>
      </w:pPr>
    </w:lvl>
    <w:lvl w:ilvl="2" w:tplc="0C09001B" w:tentative="1">
      <w:start w:val="1"/>
      <w:numFmt w:val="lowerRoman"/>
      <w:lvlText w:val="%3."/>
      <w:lvlJc w:val="right"/>
      <w:pPr>
        <w:ind w:left="2280" w:hanging="180"/>
      </w:pPr>
    </w:lvl>
    <w:lvl w:ilvl="3" w:tplc="0C09000F" w:tentative="1">
      <w:start w:val="1"/>
      <w:numFmt w:val="decimal"/>
      <w:lvlText w:val="%4."/>
      <w:lvlJc w:val="left"/>
      <w:pPr>
        <w:ind w:left="3000" w:hanging="360"/>
      </w:pPr>
    </w:lvl>
    <w:lvl w:ilvl="4" w:tplc="0C090019" w:tentative="1">
      <w:start w:val="1"/>
      <w:numFmt w:val="lowerLetter"/>
      <w:lvlText w:val="%5."/>
      <w:lvlJc w:val="left"/>
      <w:pPr>
        <w:ind w:left="3720" w:hanging="360"/>
      </w:pPr>
    </w:lvl>
    <w:lvl w:ilvl="5" w:tplc="0C09001B" w:tentative="1">
      <w:start w:val="1"/>
      <w:numFmt w:val="lowerRoman"/>
      <w:lvlText w:val="%6."/>
      <w:lvlJc w:val="right"/>
      <w:pPr>
        <w:ind w:left="4440" w:hanging="180"/>
      </w:pPr>
    </w:lvl>
    <w:lvl w:ilvl="6" w:tplc="0C09000F" w:tentative="1">
      <w:start w:val="1"/>
      <w:numFmt w:val="decimal"/>
      <w:lvlText w:val="%7."/>
      <w:lvlJc w:val="left"/>
      <w:pPr>
        <w:ind w:left="5160" w:hanging="360"/>
      </w:pPr>
    </w:lvl>
    <w:lvl w:ilvl="7" w:tplc="0C090019" w:tentative="1">
      <w:start w:val="1"/>
      <w:numFmt w:val="lowerLetter"/>
      <w:lvlText w:val="%8."/>
      <w:lvlJc w:val="left"/>
      <w:pPr>
        <w:ind w:left="5880" w:hanging="360"/>
      </w:pPr>
    </w:lvl>
    <w:lvl w:ilvl="8" w:tplc="0C09001B" w:tentative="1">
      <w:start w:val="1"/>
      <w:numFmt w:val="lowerRoman"/>
      <w:lvlText w:val="%9."/>
      <w:lvlJc w:val="right"/>
      <w:pPr>
        <w:ind w:left="6600" w:hanging="180"/>
      </w:pPr>
    </w:lvl>
  </w:abstractNum>
  <w:abstractNum w:abstractNumId="22" w15:restartNumberingAfterBreak="0">
    <w:nsid w:val="4E781EDD"/>
    <w:multiLevelType w:val="hybridMultilevel"/>
    <w:tmpl w:val="6B225E28"/>
    <w:lvl w:ilvl="0" w:tplc="1B58674C">
      <w:start w:val="1"/>
      <w:numFmt w:val="bullet"/>
      <w:lvlText w:val="–"/>
      <w:lvlJc w:val="left"/>
      <w:pPr>
        <w:ind w:left="851" w:hanging="284"/>
      </w:pPr>
      <w:rPr>
        <w:rFonts w:ascii="Arial Black" w:hAnsi="Arial Black"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61135143"/>
    <w:multiLevelType w:val="hybridMultilevel"/>
    <w:tmpl w:val="7D8C0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ABF0286"/>
    <w:multiLevelType w:val="hybridMultilevel"/>
    <w:tmpl w:val="70C6C990"/>
    <w:lvl w:ilvl="0" w:tplc="56D0C196">
      <w:start w:val="1"/>
      <w:numFmt w:val="decimal"/>
      <w:lvlText w:val="%1."/>
      <w:lvlJc w:val="left"/>
      <w:pPr>
        <w:ind w:left="284" w:hanging="284"/>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EE51B32"/>
    <w:multiLevelType w:val="hybridMultilevel"/>
    <w:tmpl w:val="F2CE71E2"/>
    <w:lvl w:ilvl="0" w:tplc="5E348A7E">
      <w:start w:val="1"/>
      <w:numFmt w:val="decimal"/>
      <w:pStyle w:val="TBLNumberedList"/>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3AF3F40"/>
    <w:multiLevelType w:val="hybridMultilevel"/>
    <w:tmpl w:val="6470B5C4"/>
    <w:lvl w:ilvl="0" w:tplc="0C090001">
      <w:start w:val="1"/>
      <w:numFmt w:val="bullet"/>
      <w:lvlText w:val=""/>
      <w:lvlJc w:val="left"/>
      <w:pPr>
        <w:ind w:left="720" w:hanging="360"/>
      </w:pPr>
      <w:rPr>
        <w:rFonts w:ascii="Symbol" w:hAnsi="Symbol"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81170D5"/>
    <w:multiLevelType w:val="hybridMultilevel"/>
    <w:tmpl w:val="38E03EE6"/>
    <w:lvl w:ilvl="0" w:tplc="9C7CCF60">
      <w:start w:val="1"/>
      <w:numFmt w:val="decimal"/>
      <w:pStyle w:val="NumberedList-Level1"/>
      <w:lvlText w:val="%1."/>
      <w:lvlJc w:val="left"/>
      <w:pPr>
        <w:ind w:left="567" w:hanging="283"/>
      </w:pPr>
      <w:rPr>
        <w:rFonts w:hint="default"/>
      </w:rPr>
    </w:lvl>
    <w:lvl w:ilvl="1" w:tplc="1FAA0FEC">
      <w:start w:val="1"/>
      <w:numFmt w:val="lowerLetter"/>
      <w:pStyle w:val="NumberedList-level2"/>
      <w:lvlText w:val="%2."/>
      <w:lvlJc w:val="left"/>
      <w:pPr>
        <w:ind w:left="851" w:hanging="284"/>
      </w:pPr>
      <w:rPr>
        <w:rFonts w:hint="default"/>
      </w:rPr>
    </w:lvl>
    <w:lvl w:ilvl="2" w:tplc="65FAA32A">
      <w:start w:val="1"/>
      <w:numFmt w:val="lowerRoman"/>
      <w:pStyle w:val="NumberedList-Level3"/>
      <w:lvlText w:val="%3."/>
      <w:lvlJc w:val="right"/>
      <w:pPr>
        <w:ind w:left="1134" w:hanging="170"/>
      </w:pPr>
      <w:rPr>
        <w:rFonts w:hint="default"/>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F040924"/>
    <w:multiLevelType w:val="hybridMultilevel"/>
    <w:tmpl w:val="B102445A"/>
    <w:lvl w:ilvl="0" w:tplc="0C09000F">
      <w:start w:val="1"/>
      <w:numFmt w:val="decimal"/>
      <w:lvlText w:val="%1."/>
      <w:lvlJc w:val="left"/>
      <w:pPr>
        <w:ind w:left="784" w:hanging="360"/>
      </w:pPr>
      <w:rPr>
        <w:rFonts w:hint="default"/>
      </w:rPr>
    </w:lvl>
    <w:lvl w:ilvl="1" w:tplc="0C090019" w:tentative="1">
      <w:start w:val="1"/>
      <w:numFmt w:val="lowerLetter"/>
      <w:lvlText w:val="%2."/>
      <w:lvlJc w:val="left"/>
      <w:pPr>
        <w:ind w:left="1504" w:hanging="360"/>
      </w:pPr>
    </w:lvl>
    <w:lvl w:ilvl="2" w:tplc="0C09001B" w:tentative="1">
      <w:start w:val="1"/>
      <w:numFmt w:val="lowerRoman"/>
      <w:lvlText w:val="%3."/>
      <w:lvlJc w:val="right"/>
      <w:pPr>
        <w:ind w:left="2224" w:hanging="180"/>
      </w:pPr>
    </w:lvl>
    <w:lvl w:ilvl="3" w:tplc="0C09000F" w:tentative="1">
      <w:start w:val="1"/>
      <w:numFmt w:val="decimal"/>
      <w:lvlText w:val="%4."/>
      <w:lvlJc w:val="left"/>
      <w:pPr>
        <w:ind w:left="2944" w:hanging="360"/>
      </w:pPr>
    </w:lvl>
    <w:lvl w:ilvl="4" w:tplc="0C090019" w:tentative="1">
      <w:start w:val="1"/>
      <w:numFmt w:val="lowerLetter"/>
      <w:lvlText w:val="%5."/>
      <w:lvlJc w:val="left"/>
      <w:pPr>
        <w:ind w:left="3664" w:hanging="360"/>
      </w:pPr>
    </w:lvl>
    <w:lvl w:ilvl="5" w:tplc="0C09001B" w:tentative="1">
      <w:start w:val="1"/>
      <w:numFmt w:val="lowerRoman"/>
      <w:lvlText w:val="%6."/>
      <w:lvlJc w:val="right"/>
      <w:pPr>
        <w:ind w:left="4384" w:hanging="180"/>
      </w:pPr>
    </w:lvl>
    <w:lvl w:ilvl="6" w:tplc="0C09000F" w:tentative="1">
      <w:start w:val="1"/>
      <w:numFmt w:val="decimal"/>
      <w:lvlText w:val="%7."/>
      <w:lvlJc w:val="left"/>
      <w:pPr>
        <w:ind w:left="5104" w:hanging="360"/>
      </w:pPr>
    </w:lvl>
    <w:lvl w:ilvl="7" w:tplc="0C090019" w:tentative="1">
      <w:start w:val="1"/>
      <w:numFmt w:val="lowerLetter"/>
      <w:lvlText w:val="%8."/>
      <w:lvlJc w:val="left"/>
      <w:pPr>
        <w:ind w:left="5824" w:hanging="360"/>
      </w:pPr>
    </w:lvl>
    <w:lvl w:ilvl="8" w:tplc="0C09001B" w:tentative="1">
      <w:start w:val="1"/>
      <w:numFmt w:val="lowerRoman"/>
      <w:lvlText w:val="%9."/>
      <w:lvlJc w:val="right"/>
      <w:pPr>
        <w:ind w:left="6544" w:hanging="180"/>
      </w:pPr>
    </w:lvl>
  </w:abstractNum>
  <w:num w:numId="1" w16cid:durableId="435174432">
    <w:abstractNumId w:val="19"/>
  </w:num>
  <w:num w:numId="2" w16cid:durableId="1625884965">
    <w:abstractNumId w:val="11"/>
  </w:num>
  <w:num w:numId="3" w16cid:durableId="404568253">
    <w:abstractNumId w:val="9"/>
  </w:num>
  <w:num w:numId="4" w16cid:durableId="504319927">
    <w:abstractNumId w:val="7"/>
  </w:num>
  <w:num w:numId="5" w16cid:durableId="302465916">
    <w:abstractNumId w:val="6"/>
  </w:num>
  <w:num w:numId="6" w16cid:durableId="1197698854">
    <w:abstractNumId w:val="5"/>
  </w:num>
  <w:num w:numId="7" w16cid:durableId="680863680">
    <w:abstractNumId w:val="4"/>
  </w:num>
  <w:num w:numId="8" w16cid:durableId="255748006">
    <w:abstractNumId w:val="8"/>
  </w:num>
  <w:num w:numId="9" w16cid:durableId="1137651052">
    <w:abstractNumId w:val="3"/>
  </w:num>
  <w:num w:numId="10" w16cid:durableId="96338727">
    <w:abstractNumId w:val="2"/>
  </w:num>
  <w:num w:numId="11" w16cid:durableId="372266075">
    <w:abstractNumId w:val="1"/>
  </w:num>
  <w:num w:numId="12" w16cid:durableId="888490440">
    <w:abstractNumId w:val="0"/>
  </w:num>
  <w:num w:numId="13" w16cid:durableId="1815296940">
    <w:abstractNumId w:val="10"/>
  </w:num>
  <w:num w:numId="14" w16cid:durableId="1560096658">
    <w:abstractNumId w:val="25"/>
  </w:num>
  <w:num w:numId="15" w16cid:durableId="219633512">
    <w:abstractNumId w:val="18"/>
  </w:num>
  <w:num w:numId="16" w16cid:durableId="590897300">
    <w:abstractNumId w:val="18"/>
    <w:lvlOverride w:ilvl="0">
      <w:startOverride w:val="1"/>
    </w:lvlOverride>
  </w:num>
  <w:num w:numId="17" w16cid:durableId="534200502">
    <w:abstractNumId w:val="18"/>
    <w:lvlOverride w:ilvl="0">
      <w:startOverride w:val="1"/>
    </w:lvlOverride>
  </w:num>
  <w:num w:numId="18" w16cid:durableId="2023972854">
    <w:abstractNumId w:val="18"/>
    <w:lvlOverride w:ilvl="0">
      <w:startOverride w:val="1"/>
    </w:lvlOverride>
  </w:num>
  <w:num w:numId="19" w16cid:durableId="564725321">
    <w:abstractNumId w:val="18"/>
    <w:lvlOverride w:ilvl="0">
      <w:startOverride w:val="1"/>
    </w:lvlOverride>
  </w:num>
  <w:num w:numId="20" w16cid:durableId="224335938">
    <w:abstractNumId w:val="22"/>
  </w:num>
  <w:num w:numId="21" w16cid:durableId="1190410526">
    <w:abstractNumId w:val="22"/>
    <w:lvlOverride w:ilvl="0">
      <w:startOverride w:val="1"/>
    </w:lvlOverride>
  </w:num>
  <w:num w:numId="22" w16cid:durableId="1408385144">
    <w:abstractNumId w:val="27"/>
  </w:num>
  <w:num w:numId="23" w16cid:durableId="1652633785">
    <w:abstractNumId w:val="24"/>
  </w:num>
  <w:num w:numId="24" w16cid:durableId="1863855379">
    <w:abstractNumId w:val="11"/>
    <w:lvlOverride w:ilvl="0">
      <w:startOverride w:val="1"/>
    </w:lvlOverride>
  </w:num>
  <w:num w:numId="25" w16cid:durableId="1004935679">
    <w:abstractNumId w:val="27"/>
    <w:lvlOverride w:ilvl="0">
      <w:startOverride w:val="1"/>
    </w:lvlOverride>
  </w:num>
  <w:num w:numId="26" w16cid:durableId="556090353">
    <w:abstractNumId w:val="24"/>
    <w:lvlOverride w:ilvl="0">
      <w:startOverride w:val="1"/>
    </w:lvlOverride>
  </w:num>
  <w:num w:numId="27" w16cid:durableId="1451320037">
    <w:abstractNumId w:val="24"/>
    <w:lvlOverride w:ilvl="0">
      <w:startOverride w:val="1"/>
    </w:lvlOverride>
  </w:num>
  <w:num w:numId="28" w16cid:durableId="343560202">
    <w:abstractNumId w:val="14"/>
  </w:num>
  <w:num w:numId="29" w16cid:durableId="183137696">
    <w:abstractNumId w:val="21"/>
  </w:num>
  <w:num w:numId="30" w16cid:durableId="1159925919">
    <w:abstractNumId w:val="13"/>
  </w:num>
  <w:num w:numId="31" w16cid:durableId="506991561">
    <w:abstractNumId w:val="16"/>
  </w:num>
  <w:num w:numId="32" w16cid:durableId="762264085">
    <w:abstractNumId w:val="12"/>
  </w:num>
  <w:num w:numId="33" w16cid:durableId="1275554476">
    <w:abstractNumId w:val="27"/>
    <w:lvlOverride w:ilvl="0">
      <w:startOverride w:val="1"/>
    </w:lvlOverride>
  </w:num>
  <w:num w:numId="34" w16cid:durableId="22633587">
    <w:abstractNumId w:val="27"/>
    <w:lvlOverride w:ilvl="0">
      <w:startOverride w:val="1"/>
    </w:lvlOverride>
  </w:num>
  <w:num w:numId="35" w16cid:durableId="1153646539">
    <w:abstractNumId w:val="27"/>
    <w:lvlOverride w:ilvl="0">
      <w:startOverride w:val="1"/>
    </w:lvlOverride>
  </w:num>
  <w:num w:numId="36" w16cid:durableId="162401463">
    <w:abstractNumId w:val="25"/>
    <w:lvlOverride w:ilvl="0">
      <w:startOverride w:val="1"/>
    </w:lvlOverride>
  </w:num>
  <w:num w:numId="37" w16cid:durableId="450367212">
    <w:abstractNumId w:val="25"/>
    <w:lvlOverride w:ilvl="0">
      <w:startOverride w:val="1"/>
    </w:lvlOverride>
  </w:num>
  <w:num w:numId="38" w16cid:durableId="1187674628">
    <w:abstractNumId w:val="25"/>
    <w:lvlOverride w:ilvl="0">
      <w:startOverride w:val="1"/>
    </w:lvlOverride>
  </w:num>
  <w:num w:numId="39" w16cid:durableId="246689910">
    <w:abstractNumId w:val="23"/>
  </w:num>
  <w:num w:numId="40" w16cid:durableId="1755778916">
    <w:abstractNumId w:val="17"/>
  </w:num>
  <w:num w:numId="41" w16cid:durableId="307176929">
    <w:abstractNumId w:val="20"/>
  </w:num>
  <w:num w:numId="42" w16cid:durableId="362556541">
    <w:abstractNumId w:val="15"/>
  </w:num>
  <w:num w:numId="43" w16cid:durableId="245114573">
    <w:abstractNumId w:val="26"/>
  </w:num>
  <w:num w:numId="44" w16cid:durableId="1908760469">
    <w:abstractNumId w:val="10"/>
  </w:num>
  <w:num w:numId="45" w16cid:durableId="1979798957">
    <w:abstractNumId w:val="10"/>
  </w:num>
  <w:num w:numId="46" w16cid:durableId="1395082051">
    <w:abstractNumId w:val="10"/>
  </w:num>
  <w:num w:numId="47" w16cid:durableId="1943566016">
    <w:abstractNumId w:val="10"/>
  </w:num>
  <w:num w:numId="48" w16cid:durableId="1601257155">
    <w:abstractNumId w:val="10"/>
  </w:num>
  <w:num w:numId="49" w16cid:durableId="1576015333">
    <w:abstractNumId w:val="10"/>
  </w:num>
  <w:num w:numId="50" w16cid:durableId="522479046">
    <w:abstractNumId w:val="10"/>
  </w:num>
  <w:num w:numId="51" w16cid:durableId="596255192">
    <w:abstractNumId w:val="10"/>
  </w:num>
  <w:num w:numId="52" w16cid:durableId="943150240">
    <w:abstractNumId w:val="10"/>
  </w:num>
  <w:num w:numId="53" w16cid:durableId="1768229352">
    <w:abstractNumId w:val="10"/>
  </w:num>
  <w:num w:numId="54" w16cid:durableId="377781866">
    <w:abstractNumId w:val="28"/>
  </w:num>
  <w:num w:numId="55" w16cid:durableId="268395168">
    <w:abstractNumId w:val="10"/>
  </w:num>
  <w:num w:numId="56" w16cid:durableId="1167554725">
    <w:abstractNumId w:val="10"/>
  </w:num>
  <w:num w:numId="57" w16cid:durableId="128018778">
    <w:abstractNumId w:val="10"/>
  </w:num>
  <w:num w:numId="58" w16cid:durableId="246890319">
    <w:abstractNumId w:val="10"/>
  </w:num>
  <w:num w:numId="59" w16cid:durableId="1731995543">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AU"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0D8"/>
    <w:rsid w:val="00000005"/>
    <w:rsid w:val="000003AA"/>
    <w:rsid w:val="000004C5"/>
    <w:rsid w:val="00000706"/>
    <w:rsid w:val="000007DF"/>
    <w:rsid w:val="00000A8B"/>
    <w:rsid w:val="00000F28"/>
    <w:rsid w:val="00000FA7"/>
    <w:rsid w:val="00001517"/>
    <w:rsid w:val="00001696"/>
    <w:rsid w:val="00001786"/>
    <w:rsid w:val="000017BE"/>
    <w:rsid w:val="0000229A"/>
    <w:rsid w:val="0000242B"/>
    <w:rsid w:val="00002660"/>
    <w:rsid w:val="00002777"/>
    <w:rsid w:val="00003144"/>
    <w:rsid w:val="000032A6"/>
    <w:rsid w:val="000033E0"/>
    <w:rsid w:val="00003567"/>
    <w:rsid w:val="00003643"/>
    <w:rsid w:val="00003BC2"/>
    <w:rsid w:val="000044F5"/>
    <w:rsid w:val="00004756"/>
    <w:rsid w:val="0000488C"/>
    <w:rsid w:val="00005395"/>
    <w:rsid w:val="00005420"/>
    <w:rsid w:val="0000544B"/>
    <w:rsid w:val="00005C21"/>
    <w:rsid w:val="00005D92"/>
    <w:rsid w:val="00006155"/>
    <w:rsid w:val="00006670"/>
    <w:rsid w:val="00006B18"/>
    <w:rsid w:val="00006E11"/>
    <w:rsid w:val="000071CB"/>
    <w:rsid w:val="00007587"/>
    <w:rsid w:val="000075C9"/>
    <w:rsid w:val="00007A93"/>
    <w:rsid w:val="000102CD"/>
    <w:rsid w:val="00010476"/>
    <w:rsid w:val="00010559"/>
    <w:rsid w:val="0001073F"/>
    <w:rsid w:val="000108AD"/>
    <w:rsid w:val="000109F5"/>
    <w:rsid w:val="0001143B"/>
    <w:rsid w:val="0001190F"/>
    <w:rsid w:val="00011A39"/>
    <w:rsid w:val="00011BE2"/>
    <w:rsid w:val="000122C1"/>
    <w:rsid w:val="000125EC"/>
    <w:rsid w:val="00012B6F"/>
    <w:rsid w:val="00012DC1"/>
    <w:rsid w:val="00012EBD"/>
    <w:rsid w:val="00013113"/>
    <w:rsid w:val="000132FE"/>
    <w:rsid w:val="00013510"/>
    <w:rsid w:val="00013C9E"/>
    <w:rsid w:val="00013DF7"/>
    <w:rsid w:val="00014990"/>
    <w:rsid w:val="00015101"/>
    <w:rsid w:val="00015DCB"/>
    <w:rsid w:val="00015F0E"/>
    <w:rsid w:val="000163AD"/>
    <w:rsid w:val="0001641A"/>
    <w:rsid w:val="0001694F"/>
    <w:rsid w:val="000169AE"/>
    <w:rsid w:val="00016E25"/>
    <w:rsid w:val="000170D4"/>
    <w:rsid w:val="00017518"/>
    <w:rsid w:val="000176BD"/>
    <w:rsid w:val="00017EA9"/>
    <w:rsid w:val="000201F5"/>
    <w:rsid w:val="00020D7F"/>
    <w:rsid w:val="00020ED9"/>
    <w:rsid w:val="00021267"/>
    <w:rsid w:val="000214D5"/>
    <w:rsid w:val="0002161E"/>
    <w:rsid w:val="0002176E"/>
    <w:rsid w:val="00021B4C"/>
    <w:rsid w:val="000221F3"/>
    <w:rsid w:val="000223B1"/>
    <w:rsid w:val="000225CF"/>
    <w:rsid w:val="00022957"/>
    <w:rsid w:val="00022A25"/>
    <w:rsid w:val="00022D89"/>
    <w:rsid w:val="00023010"/>
    <w:rsid w:val="000231BB"/>
    <w:rsid w:val="000232FF"/>
    <w:rsid w:val="00024437"/>
    <w:rsid w:val="000246A4"/>
    <w:rsid w:val="000249D8"/>
    <w:rsid w:val="00024E2E"/>
    <w:rsid w:val="00024F9D"/>
    <w:rsid w:val="00025225"/>
    <w:rsid w:val="0002530F"/>
    <w:rsid w:val="000256CD"/>
    <w:rsid w:val="000256F4"/>
    <w:rsid w:val="0002587E"/>
    <w:rsid w:val="0002597E"/>
    <w:rsid w:val="00025BC8"/>
    <w:rsid w:val="000267DD"/>
    <w:rsid w:val="00026F0C"/>
    <w:rsid w:val="00026F7A"/>
    <w:rsid w:val="00027038"/>
    <w:rsid w:val="00027254"/>
    <w:rsid w:val="0003027F"/>
    <w:rsid w:val="0003076B"/>
    <w:rsid w:val="000308B0"/>
    <w:rsid w:val="00030E0A"/>
    <w:rsid w:val="0003154E"/>
    <w:rsid w:val="000315AB"/>
    <w:rsid w:val="00031747"/>
    <w:rsid w:val="00031C3A"/>
    <w:rsid w:val="000320CF"/>
    <w:rsid w:val="0003234C"/>
    <w:rsid w:val="000328DF"/>
    <w:rsid w:val="00032C09"/>
    <w:rsid w:val="00032C72"/>
    <w:rsid w:val="00032DBC"/>
    <w:rsid w:val="0003306D"/>
    <w:rsid w:val="00033188"/>
    <w:rsid w:val="00033B86"/>
    <w:rsid w:val="00033FE0"/>
    <w:rsid w:val="00034057"/>
    <w:rsid w:val="00034393"/>
    <w:rsid w:val="00034739"/>
    <w:rsid w:val="00034913"/>
    <w:rsid w:val="0003511A"/>
    <w:rsid w:val="0003531B"/>
    <w:rsid w:val="000356B8"/>
    <w:rsid w:val="00035963"/>
    <w:rsid w:val="000359A4"/>
    <w:rsid w:val="00035A39"/>
    <w:rsid w:val="00035C80"/>
    <w:rsid w:val="00036162"/>
    <w:rsid w:val="00036586"/>
    <w:rsid w:val="0003682B"/>
    <w:rsid w:val="00036BA7"/>
    <w:rsid w:val="00037149"/>
    <w:rsid w:val="000371BC"/>
    <w:rsid w:val="000374DF"/>
    <w:rsid w:val="00037513"/>
    <w:rsid w:val="0003768B"/>
    <w:rsid w:val="000376BF"/>
    <w:rsid w:val="00037D6A"/>
    <w:rsid w:val="00037E01"/>
    <w:rsid w:val="00040069"/>
    <w:rsid w:val="00040675"/>
    <w:rsid w:val="000408D1"/>
    <w:rsid w:val="0004092A"/>
    <w:rsid w:val="00040DCE"/>
    <w:rsid w:val="0004122F"/>
    <w:rsid w:val="000412B9"/>
    <w:rsid w:val="00041836"/>
    <w:rsid w:val="000418F9"/>
    <w:rsid w:val="00042114"/>
    <w:rsid w:val="000423E9"/>
    <w:rsid w:val="0004246F"/>
    <w:rsid w:val="0004269B"/>
    <w:rsid w:val="00042916"/>
    <w:rsid w:val="00042CB0"/>
    <w:rsid w:val="00042E63"/>
    <w:rsid w:val="00042E88"/>
    <w:rsid w:val="000434F6"/>
    <w:rsid w:val="000436A8"/>
    <w:rsid w:val="000437C0"/>
    <w:rsid w:val="000442B3"/>
    <w:rsid w:val="00044935"/>
    <w:rsid w:val="00044A65"/>
    <w:rsid w:val="00044C34"/>
    <w:rsid w:val="00044E0B"/>
    <w:rsid w:val="00044EC7"/>
    <w:rsid w:val="00045266"/>
    <w:rsid w:val="000455AB"/>
    <w:rsid w:val="00045971"/>
    <w:rsid w:val="00045AE1"/>
    <w:rsid w:val="000460E8"/>
    <w:rsid w:val="000464C6"/>
    <w:rsid w:val="00046A45"/>
    <w:rsid w:val="00047758"/>
    <w:rsid w:val="000478D9"/>
    <w:rsid w:val="0004795D"/>
    <w:rsid w:val="00047AE6"/>
    <w:rsid w:val="00047D1C"/>
    <w:rsid w:val="000502BD"/>
    <w:rsid w:val="00050330"/>
    <w:rsid w:val="00050866"/>
    <w:rsid w:val="00050B75"/>
    <w:rsid w:val="00050E9A"/>
    <w:rsid w:val="0005134D"/>
    <w:rsid w:val="0005156A"/>
    <w:rsid w:val="0005186C"/>
    <w:rsid w:val="00051F7C"/>
    <w:rsid w:val="000520E4"/>
    <w:rsid w:val="000523BF"/>
    <w:rsid w:val="00052612"/>
    <w:rsid w:val="00052DD6"/>
    <w:rsid w:val="0005343B"/>
    <w:rsid w:val="00053F17"/>
    <w:rsid w:val="0005405A"/>
    <w:rsid w:val="0005464A"/>
    <w:rsid w:val="00054673"/>
    <w:rsid w:val="00054A02"/>
    <w:rsid w:val="00054A1C"/>
    <w:rsid w:val="00054B9E"/>
    <w:rsid w:val="00054F50"/>
    <w:rsid w:val="0005510F"/>
    <w:rsid w:val="000554F9"/>
    <w:rsid w:val="000555FA"/>
    <w:rsid w:val="0005637B"/>
    <w:rsid w:val="00056528"/>
    <w:rsid w:val="00056616"/>
    <w:rsid w:val="00056ADB"/>
    <w:rsid w:val="00056BD0"/>
    <w:rsid w:val="00056D4B"/>
    <w:rsid w:val="00057006"/>
    <w:rsid w:val="0005759C"/>
    <w:rsid w:val="00057763"/>
    <w:rsid w:val="00057C71"/>
    <w:rsid w:val="00057D97"/>
    <w:rsid w:val="00057EEF"/>
    <w:rsid w:val="00057FAF"/>
    <w:rsid w:val="00060657"/>
    <w:rsid w:val="00060DCF"/>
    <w:rsid w:val="000610EB"/>
    <w:rsid w:val="00061307"/>
    <w:rsid w:val="00061A03"/>
    <w:rsid w:val="00061ED0"/>
    <w:rsid w:val="000622F1"/>
    <w:rsid w:val="0006274A"/>
    <w:rsid w:val="000629BB"/>
    <w:rsid w:val="00062FEB"/>
    <w:rsid w:val="00063078"/>
    <w:rsid w:val="00063193"/>
    <w:rsid w:val="000632BC"/>
    <w:rsid w:val="0006348D"/>
    <w:rsid w:val="000638E5"/>
    <w:rsid w:val="00063B2E"/>
    <w:rsid w:val="00063BF9"/>
    <w:rsid w:val="00063CCA"/>
    <w:rsid w:val="000649C3"/>
    <w:rsid w:val="0006528B"/>
    <w:rsid w:val="00065377"/>
    <w:rsid w:val="0006549F"/>
    <w:rsid w:val="00065C38"/>
    <w:rsid w:val="000660C3"/>
    <w:rsid w:val="000661C8"/>
    <w:rsid w:val="0006627F"/>
    <w:rsid w:val="000663DF"/>
    <w:rsid w:val="000667C7"/>
    <w:rsid w:val="000669E0"/>
    <w:rsid w:val="00067526"/>
    <w:rsid w:val="000675CE"/>
    <w:rsid w:val="00067B21"/>
    <w:rsid w:val="00067D86"/>
    <w:rsid w:val="00067F8E"/>
    <w:rsid w:val="000708E9"/>
    <w:rsid w:val="000711E4"/>
    <w:rsid w:val="0007147B"/>
    <w:rsid w:val="00071523"/>
    <w:rsid w:val="0007158F"/>
    <w:rsid w:val="00071592"/>
    <w:rsid w:val="0007179E"/>
    <w:rsid w:val="000717A3"/>
    <w:rsid w:val="00071B6A"/>
    <w:rsid w:val="00071BD0"/>
    <w:rsid w:val="00071BE5"/>
    <w:rsid w:val="00071C37"/>
    <w:rsid w:val="00071E09"/>
    <w:rsid w:val="000720DF"/>
    <w:rsid w:val="0007260A"/>
    <w:rsid w:val="00072661"/>
    <w:rsid w:val="0007298C"/>
    <w:rsid w:val="00072BA0"/>
    <w:rsid w:val="00073362"/>
    <w:rsid w:val="0007359A"/>
    <w:rsid w:val="0007368A"/>
    <w:rsid w:val="00073AD3"/>
    <w:rsid w:val="00073B60"/>
    <w:rsid w:val="00073F6D"/>
    <w:rsid w:val="000742E3"/>
    <w:rsid w:val="000747C4"/>
    <w:rsid w:val="00074CCB"/>
    <w:rsid w:val="00075268"/>
    <w:rsid w:val="000753D6"/>
    <w:rsid w:val="000758E3"/>
    <w:rsid w:val="00075D02"/>
    <w:rsid w:val="00075E5B"/>
    <w:rsid w:val="00075E65"/>
    <w:rsid w:val="00075FAD"/>
    <w:rsid w:val="0007641F"/>
    <w:rsid w:val="00076CA1"/>
    <w:rsid w:val="00076D5D"/>
    <w:rsid w:val="00076DA2"/>
    <w:rsid w:val="00076F2E"/>
    <w:rsid w:val="00076FB7"/>
    <w:rsid w:val="00077230"/>
    <w:rsid w:val="00077235"/>
    <w:rsid w:val="00077240"/>
    <w:rsid w:val="0007741D"/>
    <w:rsid w:val="00077A90"/>
    <w:rsid w:val="00077A95"/>
    <w:rsid w:val="00077AA6"/>
    <w:rsid w:val="00077C9D"/>
    <w:rsid w:val="00077D21"/>
    <w:rsid w:val="00077EAC"/>
    <w:rsid w:val="000802F8"/>
    <w:rsid w:val="00080934"/>
    <w:rsid w:val="00080E60"/>
    <w:rsid w:val="00081421"/>
    <w:rsid w:val="000817D2"/>
    <w:rsid w:val="000818AA"/>
    <w:rsid w:val="00081ACE"/>
    <w:rsid w:val="000825D5"/>
    <w:rsid w:val="00082B8D"/>
    <w:rsid w:val="00082CF2"/>
    <w:rsid w:val="00083001"/>
    <w:rsid w:val="0008325A"/>
    <w:rsid w:val="000835AE"/>
    <w:rsid w:val="00083EE7"/>
    <w:rsid w:val="00084177"/>
    <w:rsid w:val="00084452"/>
    <w:rsid w:val="00084529"/>
    <w:rsid w:val="000847FF"/>
    <w:rsid w:val="00084922"/>
    <w:rsid w:val="000849A3"/>
    <w:rsid w:val="000849A6"/>
    <w:rsid w:val="00084EBA"/>
    <w:rsid w:val="00085399"/>
    <w:rsid w:val="0008549D"/>
    <w:rsid w:val="00086FAA"/>
    <w:rsid w:val="00087287"/>
    <w:rsid w:val="00087BFA"/>
    <w:rsid w:val="00087D4C"/>
    <w:rsid w:val="00087D83"/>
    <w:rsid w:val="00090215"/>
    <w:rsid w:val="00090638"/>
    <w:rsid w:val="00090671"/>
    <w:rsid w:val="00090EFB"/>
    <w:rsid w:val="0009136F"/>
    <w:rsid w:val="000917B5"/>
    <w:rsid w:val="00091F04"/>
    <w:rsid w:val="0009248C"/>
    <w:rsid w:val="000926DA"/>
    <w:rsid w:val="00092BF7"/>
    <w:rsid w:val="00092CEB"/>
    <w:rsid w:val="00093009"/>
    <w:rsid w:val="00093458"/>
    <w:rsid w:val="000937E6"/>
    <w:rsid w:val="0009398E"/>
    <w:rsid w:val="000939E2"/>
    <w:rsid w:val="00093B21"/>
    <w:rsid w:val="00093CF3"/>
    <w:rsid w:val="00093F64"/>
    <w:rsid w:val="00094ECC"/>
    <w:rsid w:val="000954C5"/>
    <w:rsid w:val="0009603B"/>
    <w:rsid w:val="0009613D"/>
    <w:rsid w:val="0009622F"/>
    <w:rsid w:val="00096983"/>
    <w:rsid w:val="00096CC5"/>
    <w:rsid w:val="000971C0"/>
    <w:rsid w:val="0009722F"/>
    <w:rsid w:val="000979E4"/>
    <w:rsid w:val="00097BE2"/>
    <w:rsid w:val="00097C24"/>
    <w:rsid w:val="00097CD4"/>
    <w:rsid w:val="000A0145"/>
    <w:rsid w:val="000A11F9"/>
    <w:rsid w:val="000A12E5"/>
    <w:rsid w:val="000A14BA"/>
    <w:rsid w:val="000A1FD7"/>
    <w:rsid w:val="000A249A"/>
    <w:rsid w:val="000A27E4"/>
    <w:rsid w:val="000A2C53"/>
    <w:rsid w:val="000A36C1"/>
    <w:rsid w:val="000A46DB"/>
    <w:rsid w:val="000A46EB"/>
    <w:rsid w:val="000A4F87"/>
    <w:rsid w:val="000A52DB"/>
    <w:rsid w:val="000A56CF"/>
    <w:rsid w:val="000A579B"/>
    <w:rsid w:val="000A6001"/>
    <w:rsid w:val="000A61DE"/>
    <w:rsid w:val="000A68F8"/>
    <w:rsid w:val="000A6995"/>
    <w:rsid w:val="000A6ACA"/>
    <w:rsid w:val="000A73A8"/>
    <w:rsid w:val="000A7504"/>
    <w:rsid w:val="000A7909"/>
    <w:rsid w:val="000A7E76"/>
    <w:rsid w:val="000B02F4"/>
    <w:rsid w:val="000B07D4"/>
    <w:rsid w:val="000B0E21"/>
    <w:rsid w:val="000B1262"/>
    <w:rsid w:val="000B1A26"/>
    <w:rsid w:val="000B1C5F"/>
    <w:rsid w:val="000B1F82"/>
    <w:rsid w:val="000B1F88"/>
    <w:rsid w:val="000B2213"/>
    <w:rsid w:val="000B229D"/>
    <w:rsid w:val="000B24A4"/>
    <w:rsid w:val="000B2CB5"/>
    <w:rsid w:val="000B318D"/>
    <w:rsid w:val="000B3417"/>
    <w:rsid w:val="000B3F2A"/>
    <w:rsid w:val="000B464E"/>
    <w:rsid w:val="000B4BCD"/>
    <w:rsid w:val="000B4BD6"/>
    <w:rsid w:val="000B5163"/>
    <w:rsid w:val="000B5B5E"/>
    <w:rsid w:val="000B5C35"/>
    <w:rsid w:val="000B6334"/>
    <w:rsid w:val="000B63C7"/>
    <w:rsid w:val="000B6A28"/>
    <w:rsid w:val="000B6CD0"/>
    <w:rsid w:val="000B6DD6"/>
    <w:rsid w:val="000B748F"/>
    <w:rsid w:val="000B7FE5"/>
    <w:rsid w:val="000C00F3"/>
    <w:rsid w:val="000C03AC"/>
    <w:rsid w:val="000C0568"/>
    <w:rsid w:val="000C0A4B"/>
    <w:rsid w:val="000C1113"/>
    <w:rsid w:val="000C17F8"/>
    <w:rsid w:val="000C1CFA"/>
    <w:rsid w:val="000C20B0"/>
    <w:rsid w:val="000C23E2"/>
    <w:rsid w:val="000C2669"/>
    <w:rsid w:val="000C3A9E"/>
    <w:rsid w:val="000C49C6"/>
    <w:rsid w:val="000C4D8F"/>
    <w:rsid w:val="000C4F27"/>
    <w:rsid w:val="000C57B8"/>
    <w:rsid w:val="000C5C06"/>
    <w:rsid w:val="000C608C"/>
    <w:rsid w:val="000C669B"/>
    <w:rsid w:val="000C688C"/>
    <w:rsid w:val="000C6A33"/>
    <w:rsid w:val="000C7286"/>
    <w:rsid w:val="000C747A"/>
    <w:rsid w:val="000C756C"/>
    <w:rsid w:val="000C776E"/>
    <w:rsid w:val="000D00CC"/>
    <w:rsid w:val="000D028D"/>
    <w:rsid w:val="000D07AA"/>
    <w:rsid w:val="000D092A"/>
    <w:rsid w:val="000D0E5B"/>
    <w:rsid w:val="000D0FF4"/>
    <w:rsid w:val="000D16AF"/>
    <w:rsid w:val="000D16D1"/>
    <w:rsid w:val="000D1D58"/>
    <w:rsid w:val="000D1ED4"/>
    <w:rsid w:val="000D2116"/>
    <w:rsid w:val="000D25A1"/>
    <w:rsid w:val="000D2974"/>
    <w:rsid w:val="000D2A3A"/>
    <w:rsid w:val="000D2BAA"/>
    <w:rsid w:val="000D2E57"/>
    <w:rsid w:val="000D3133"/>
    <w:rsid w:val="000D3479"/>
    <w:rsid w:val="000D349B"/>
    <w:rsid w:val="000D3693"/>
    <w:rsid w:val="000D4815"/>
    <w:rsid w:val="000D492A"/>
    <w:rsid w:val="000D5373"/>
    <w:rsid w:val="000D582F"/>
    <w:rsid w:val="000D5FC1"/>
    <w:rsid w:val="000D6324"/>
    <w:rsid w:val="000D6455"/>
    <w:rsid w:val="000D6673"/>
    <w:rsid w:val="000D6C99"/>
    <w:rsid w:val="000D6CCA"/>
    <w:rsid w:val="000D6F5F"/>
    <w:rsid w:val="000D71B1"/>
    <w:rsid w:val="000D7331"/>
    <w:rsid w:val="000D73BA"/>
    <w:rsid w:val="000D749D"/>
    <w:rsid w:val="000E05F2"/>
    <w:rsid w:val="000E0A07"/>
    <w:rsid w:val="000E0B66"/>
    <w:rsid w:val="000E0E7A"/>
    <w:rsid w:val="000E0EB3"/>
    <w:rsid w:val="000E0EE1"/>
    <w:rsid w:val="000E1172"/>
    <w:rsid w:val="000E16B4"/>
    <w:rsid w:val="000E1E16"/>
    <w:rsid w:val="000E2062"/>
    <w:rsid w:val="000E2079"/>
    <w:rsid w:val="000E20CC"/>
    <w:rsid w:val="000E23AC"/>
    <w:rsid w:val="000E27BD"/>
    <w:rsid w:val="000E2C44"/>
    <w:rsid w:val="000E2CD1"/>
    <w:rsid w:val="000E313D"/>
    <w:rsid w:val="000E31AC"/>
    <w:rsid w:val="000E31B7"/>
    <w:rsid w:val="000E3646"/>
    <w:rsid w:val="000E3815"/>
    <w:rsid w:val="000E3A05"/>
    <w:rsid w:val="000E43BB"/>
    <w:rsid w:val="000E457C"/>
    <w:rsid w:val="000E4D15"/>
    <w:rsid w:val="000E526F"/>
    <w:rsid w:val="000E5637"/>
    <w:rsid w:val="000E564A"/>
    <w:rsid w:val="000E59A9"/>
    <w:rsid w:val="000E5B4B"/>
    <w:rsid w:val="000E5CEA"/>
    <w:rsid w:val="000E5DE9"/>
    <w:rsid w:val="000E60EA"/>
    <w:rsid w:val="000E6141"/>
    <w:rsid w:val="000E646A"/>
    <w:rsid w:val="000E684A"/>
    <w:rsid w:val="000E6A24"/>
    <w:rsid w:val="000E6A6B"/>
    <w:rsid w:val="000E757B"/>
    <w:rsid w:val="000E7A27"/>
    <w:rsid w:val="000E7A40"/>
    <w:rsid w:val="000F0340"/>
    <w:rsid w:val="000F0919"/>
    <w:rsid w:val="000F0B13"/>
    <w:rsid w:val="000F0E9E"/>
    <w:rsid w:val="000F10FC"/>
    <w:rsid w:val="000F1626"/>
    <w:rsid w:val="000F16DF"/>
    <w:rsid w:val="000F18C7"/>
    <w:rsid w:val="000F1934"/>
    <w:rsid w:val="000F1D06"/>
    <w:rsid w:val="000F214F"/>
    <w:rsid w:val="000F2874"/>
    <w:rsid w:val="000F2E6A"/>
    <w:rsid w:val="000F3773"/>
    <w:rsid w:val="000F3981"/>
    <w:rsid w:val="000F3F99"/>
    <w:rsid w:val="000F4CBB"/>
    <w:rsid w:val="000F5256"/>
    <w:rsid w:val="000F54FB"/>
    <w:rsid w:val="000F59B3"/>
    <w:rsid w:val="000F5BC7"/>
    <w:rsid w:val="000F676E"/>
    <w:rsid w:val="000F6B21"/>
    <w:rsid w:val="000F73CA"/>
    <w:rsid w:val="000F740F"/>
    <w:rsid w:val="000F758D"/>
    <w:rsid w:val="000F77AC"/>
    <w:rsid w:val="000F7AB5"/>
    <w:rsid w:val="000F7CFF"/>
    <w:rsid w:val="001000BE"/>
    <w:rsid w:val="00100176"/>
    <w:rsid w:val="0010017A"/>
    <w:rsid w:val="00100287"/>
    <w:rsid w:val="001002DE"/>
    <w:rsid w:val="00101036"/>
    <w:rsid w:val="00101162"/>
    <w:rsid w:val="001013E3"/>
    <w:rsid w:val="00101474"/>
    <w:rsid w:val="001016BD"/>
    <w:rsid w:val="0010194E"/>
    <w:rsid w:val="00102512"/>
    <w:rsid w:val="00102705"/>
    <w:rsid w:val="00102724"/>
    <w:rsid w:val="001032AB"/>
    <w:rsid w:val="001038C5"/>
    <w:rsid w:val="001040D2"/>
    <w:rsid w:val="00104B97"/>
    <w:rsid w:val="00104BDA"/>
    <w:rsid w:val="00104C7B"/>
    <w:rsid w:val="00104E6D"/>
    <w:rsid w:val="00105581"/>
    <w:rsid w:val="00105736"/>
    <w:rsid w:val="0010577B"/>
    <w:rsid w:val="001057EF"/>
    <w:rsid w:val="00105D95"/>
    <w:rsid w:val="0010638F"/>
    <w:rsid w:val="001076B5"/>
    <w:rsid w:val="00107816"/>
    <w:rsid w:val="001079FF"/>
    <w:rsid w:val="00110832"/>
    <w:rsid w:val="00110A9E"/>
    <w:rsid w:val="00110BF5"/>
    <w:rsid w:val="00110F2D"/>
    <w:rsid w:val="00111C3F"/>
    <w:rsid w:val="001121B0"/>
    <w:rsid w:val="00112A09"/>
    <w:rsid w:val="00112BFF"/>
    <w:rsid w:val="00112F5D"/>
    <w:rsid w:val="00112FA6"/>
    <w:rsid w:val="001131DA"/>
    <w:rsid w:val="001131E7"/>
    <w:rsid w:val="00113439"/>
    <w:rsid w:val="00113D72"/>
    <w:rsid w:val="001144CD"/>
    <w:rsid w:val="0011496E"/>
    <w:rsid w:val="00114CF1"/>
    <w:rsid w:val="00115230"/>
    <w:rsid w:val="00115264"/>
    <w:rsid w:val="001152F6"/>
    <w:rsid w:val="00115996"/>
    <w:rsid w:val="00115C04"/>
    <w:rsid w:val="00115FDB"/>
    <w:rsid w:val="00116190"/>
    <w:rsid w:val="00116B9E"/>
    <w:rsid w:val="00116C38"/>
    <w:rsid w:val="00116F0E"/>
    <w:rsid w:val="00117134"/>
    <w:rsid w:val="0011713A"/>
    <w:rsid w:val="0011730C"/>
    <w:rsid w:val="00117338"/>
    <w:rsid w:val="0011741F"/>
    <w:rsid w:val="0011753D"/>
    <w:rsid w:val="00117784"/>
    <w:rsid w:val="00117A77"/>
    <w:rsid w:val="00117BEE"/>
    <w:rsid w:val="001202F2"/>
    <w:rsid w:val="001204E3"/>
    <w:rsid w:val="00120628"/>
    <w:rsid w:val="001207A0"/>
    <w:rsid w:val="00121153"/>
    <w:rsid w:val="00121181"/>
    <w:rsid w:val="00121223"/>
    <w:rsid w:val="00121649"/>
    <w:rsid w:val="001216AB"/>
    <w:rsid w:val="001216DB"/>
    <w:rsid w:val="00121ABD"/>
    <w:rsid w:val="00121B17"/>
    <w:rsid w:val="00121BEB"/>
    <w:rsid w:val="00122136"/>
    <w:rsid w:val="001222E0"/>
    <w:rsid w:val="00122A2C"/>
    <w:rsid w:val="00122D87"/>
    <w:rsid w:val="001230D8"/>
    <w:rsid w:val="00123701"/>
    <w:rsid w:val="00123B13"/>
    <w:rsid w:val="00123D64"/>
    <w:rsid w:val="0012473E"/>
    <w:rsid w:val="00124847"/>
    <w:rsid w:val="00124D46"/>
    <w:rsid w:val="0012534B"/>
    <w:rsid w:val="00125355"/>
    <w:rsid w:val="001254E3"/>
    <w:rsid w:val="001255AA"/>
    <w:rsid w:val="00125758"/>
    <w:rsid w:val="00125866"/>
    <w:rsid w:val="00125BFE"/>
    <w:rsid w:val="00125E15"/>
    <w:rsid w:val="00125FE5"/>
    <w:rsid w:val="00126115"/>
    <w:rsid w:val="00126345"/>
    <w:rsid w:val="0012644A"/>
    <w:rsid w:val="00127537"/>
    <w:rsid w:val="00127936"/>
    <w:rsid w:val="001279D8"/>
    <w:rsid w:val="00127A17"/>
    <w:rsid w:val="00127DCC"/>
    <w:rsid w:val="00127F2E"/>
    <w:rsid w:val="001301F7"/>
    <w:rsid w:val="00130291"/>
    <w:rsid w:val="00130572"/>
    <w:rsid w:val="001309AA"/>
    <w:rsid w:val="00130E21"/>
    <w:rsid w:val="00130FB6"/>
    <w:rsid w:val="001312FF"/>
    <w:rsid w:val="00131406"/>
    <w:rsid w:val="001317CC"/>
    <w:rsid w:val="00131974"/>
    <w:rsid w:val="00131AD1"/>
    <w:rsid w:val="00131C30"/>
    <w:rsid w:val="00132084"/>
    <w:rsid w:val="001322D6"/>
    <w:rsid w:val="001324AF"/>
    <w:rsid w:val="001324B4"/>
    <w:rsid w:val="0013260A"/>
    <w:rsid w:val="001329CC"/>
    <w:rsid w:val="00132B05"/>
    <w:rsid w:val="00132B27"/>
    <w:rsid w:val="00133357"/>
    <w:rsid w:val="001338E0"/>
    <w:rsid w:val="001343E5"/>
    <w:rsid w:val="001346A0"/>
    <w:rsid w:val="0013488F"/>
    <w:rsid w:val="00134A6A"/>
    <w:rsid w:val="001353D0"/>
    <w:rsid w:val="00135A65"/>
    <w:rsid w:val="00135A95"/>
    <w:rsid w:val="0013626F"/>
    <w:rsid w:val="001364A6"/>
    <w:rsid w:val="0013671C"/>
    <w:rsid w:val="00136DA6"/>
    <w:rsid w:val="00136F06"/>
    <w:rsid w:val="00137717"/>
    <w:rsid w:val="00137723"/>
    <w:rsid w:val="00137D9A"/>
    <w:rsid w:val="0014049C"/>
    <w:rsid w:val="00140EFF"/>
    <w:rsid w:val="001411CD"/>
    <w:rsid w:val="00141458"/>
    <w:rsid w:val="001418CD"/>
    <w:rsid w:val="00141B4F"/>
    <w:rsid w:val="00142077"/>
    <w:rsid w:val="00142416"/>
    <w:rsid w:val="001424FE"/>
    <w:rsid w:val="00142798"/>
    <w:rsid w:val="00142A6E"/>
    <w:rsid w:val="00142B9F"/>
    <w:rsid w:val="00142D80"/>
    <w:rsid w:val="00142D87"/>
    <w:rsid w:val="001431F8"/>
    <w:rsid w:val="00143B82"/>
    <w:rsid w:val="00143E24"/>
    <w:rsid w:val="00143FFA"/>
    <w:rsid w:val="00144444"/>
    <w:rsid w:val="00144551"/>
    <w:rsid w:val="001446A3"/>
    <w:rsid w:val="0014475C"/>
    <w:rsid w:val="00144773"/>
    <w:rsid w:val="00144C1F"/>
    <w:rsid w:val="00144CF7"/>
    <w:rsid w:val="00145779"/>
    <w:rsid w:val="00145F77"/>
    <w:rsid w:val="001462F8"/>
    <w:rsid w:val="0014651A"/>
    <w:rsid w:val="001467E2"/>
    <w:rsid w:val="001468BE"/>
    <w:rsid w:val="00146914"/>
    <w:rsid w:val="001469B7"/>
    <w:rsid w:val="001474D3"/>
    <w:rsid w:val="00147754"/>
    <w:rsid w:val="00147813"/>
    <w:rsid w:val="001502A8"/>
    <w:rsid w:val="00151171"/>
    <w:rsid w:val="0015126D"/>
    <w:rsid w:val="001517E2"/>
    <w:rsid w:val="00151C54"/>
    <w:rsid w:val="00151F37"/>
    <w:rsid w:val="001520CD"/>
    <w:rsid w:val="00152841"/>
    <w:rsid w:val="00152E31"/>
    <w:rsid w:val="001530C4"/>
    <w:rsid w:val="00153340"/>
    <w:rsid w:val="00153482"/>
    <w:rsid w:val="001535E6"/>
    <w:rsid w:val="00153682"/>
    <w:rsid w:val="0015386C"/>
    <w:rsid w:val="001538AD"/>
    <w:rsid w:val="00153918"/>
    <w:rsid w:val="00153B13"/>
    <w:rsid w:val="00153CC7"/>
    <w:rsid w:val="00153DF2"/>
    <w:rsid w:val="001546B3"/>
    <w:rsid w:val="00154CCC"/>
    <w:rsid w:val="00155678"/>
    <w:rsid w:val="00155AE8"/>
    <w:rsid w:val="00155B29"/>
    <w:rsid w:val="00155DB2"/>
    <w:rsid w:val="00156390"/>
    <w:rsid w:val="001565EB"/>
    <w:rsid w:val="00156C4B"/>
    <w:rsid w:val="00156F95"/>
    <w:rsid w:val="0016040B"/>
    <w:rsid w:val="00160787"/>
    <w:rsid w:val="001608D5"/>
    <w:rsid w:val="001611BF"/>
    <w:rsid w:val="00161232"/>
    <w:rsid w:val="00161B08"/>
    <w:rsid w:val="00161C48"/>
    <w:rsid w:val="001620B2"/>
    <w:rsid w:val="0016295A"/>
    <w:rsid w:val="0016295B"/>
    <w:rsid w:val="00162988"/>
    <w:rsid w:val="00162B04"/>
    <w:rsid w:val="00162DB0"/>
    <w:rsid w:val="00162FE7"/>
    <w:rsid w:val="0016315D"/>
    <w:rsid w:val="001632EF"/>
    <w:rsid w:val="001634B2"/>
    <w:rsid w:val="0016373F"/>
    <w:rsid w:val="001637FC"/>
    <w:rsid w:val="00163A23"/>
    <w:rsid w:val="00163A7A"/>
    <w:rsid w:val="00163BCE"/>
    <w:rsid w:val="00163BD8"/>
    <w:rsid w:val="0016425F"/>
    <w:rsid w:val="00165393"/>
    <w:rsid w:val="0016544A"/>
    <w:rsid w:val="0016652C"/>
    <w:rsid w:val="00166760"/>
    <w:rsid w:val="001669DF"/>
    <w:rsid w:val="00166D22"/>
    <w:rsid w:val="001670DB"/>
    <w:rsid w:val="0016795E"/>
    <w:rsid w:val="001679AA"/>
    <w:rsid w:val="00167D69"/>
    <w:rsid w:val="001704EE"/>
    <w:rsid w:val="0017057D"/>
    <w:rsid w:val="001705AA"/>
    <w:rsid w:val="00170981"/>
    <w:rsid w:val="001709D1"/>
    <w:rsid w:val="00170EA4"/>
    <w:rsid w:val="00171569"/>
    <w:rsid w:val="001715F7"/>
    <w:rsid w:val="001718D7"/>
    <w:rsid w:val="00171F04"/>
    <w:rsid w:val="00171FAB"/>
    <w:rsid w:val="00172088"/>
    <w:rsid w:val="00172A27"/>
    <w:rsid w:val="00172DFF"/>
    <w:rsid w:val="00172E18"/>
    <w:rsid w:val="0017335D"/>
    <w:rsid w:val="00173A8A"/>
    <w:rsid w:val="00173C03"/>
    <w:rsid w:val="00173C4D"/>
    <w:rsid w:val="0017436A"/>
    <w:rsid w:val="00174603"/>
    <w:rsid w:val="0017483B"/>
    <w:rsid w:val="00174F95"/>
    <w:rsid w:val="00175A8C"/>
    <w:rsid w:val="00175F1A"/>
    <w:rsid w:val="00175F2E"/>
    <w:rsid w:val="0017614B"/>
    <w:rsid w:val="001769B7"/>
    <w:rsid w:val="00176C32"/>
    <w:rsid w:val="001770DD"/>
    <w:rsid w:val="00177196"/>
    <w:rsid w:val="001777A3"/>
    <w:rsid w:val="00177B6C"/>
    <w:rsid w:val="00177B79"/>
    <w:rsid w:val="00177BC5"/>
    <w:rsid w:val="00177C1F"/>
    <w:rsid w:val="00177CB2"/>
    <w:rsid w:val="001807BE"/>
    <w:rsid w:val="00180DFC"/>
    <w:rsid w:val="001813B5"/>
    <w:rsid w:val="00181893"/>
    <w:rsid w:val="00181A06"/>
    <w:rsid w:val="0018208C"/>
    <w:rsid w:val="001826A9"/>
    <w:rsid w:val="001828CE"/>
    <w:rsid w:val="00182B7C"/>
    <w:rsid w:val="00182C6D"/>
    <w:rsid w:val="00182CC3"/>
    <w:rsid w:val="001833DF"/>
    <w:rsid w:val="001834C6"/>
    <w:rsid w:val="001839BF"/>
    <w:rsid w:val="00183C12"/>
    <w:rsid w:val="00183F73"/>
    <w:rsid w:val="0018423C"/>
    <w:rsid w:val="001848D6"/>
    <w:rsid w:val="00184C16"/>
    <w:rsid w:val="001859BE"/>
    <w:rsid w:val="00185B08"/>
    <w:rsid w:val="00186466"/>
    <w:rsid w:val="00186904"/>
    <w:rsid w:val="001874C3"/>
    <w:rsid w:val="0018778C"/>
    <w:rsid w:val="00187A1A"/>
    <w:rsid w:val="00187BB2"/>
    <w:rsid w:val="00187EC4"/>
    <w:rsid w:val="0019006E"/>
    <w:rsid w:val="00190395"/>
    <w:rsid w:val="001905F9"/>
    <w:rsid w:val="00190CD4"/>
    <w:rsid w:val="00190D6C"/>
    <w:rsid w:val="001915D1"/>
    <w:rsid w:val="00191607"/>
    <w:rsid w:val="00192831"/>
    <w:rsid w:val="0019287E"/>
    <w:rsid w:val="00192A65"/>
    <w:rsid w:val="00192A9F"/>
    <w:rsid w:val="00193375"/>
    <w:rsid w:val="001934CE"/>
    <w:rsid w:val="001934E8"/>
    <w:rsid w:val="0019370E"/>
    <w:rsid w:val="00193944"/>
    <w:rsid w:val="00193A2C"/>
    <w:rsid w:val="00193C03"/>
    <w:rsid w:val="001941FB"/>
    <w:rsid w:val="001943C0"/>
    <w:rsid w:val="0019450C"/>
    <w:rsid w:val="001945BE"/>
    <w:rsid w:val="001946C4"/>
    <w:rsid w:val="001947ED"/>
    <w:rsid w:val="00194FBC"/>
    <w:rsid w:val="00195350"/>
    <w:rsid w:val="001954B4"/>
    <w:rsid w:val="00195674"/>
    <w:rsid w:val="001965C3"/>
    <w:rsid w:val="001973BE"/>
    <w:rsid w:val="00197B1C"/>
    <w:rsid w:val="00197C51"/>
    <w:rsid w:val="001A0156"/>
    <w:rsid w:val="001A07F6"/>
    <w:rsid w:val="001A148B"/>
    <w:rsid w:val="001A150B"/>
    <w:rsid w:val="001A1D26"/>
    <w:rsid w:val="001A1D6A"/>
    <w:rsid w:val="001A1DF7"/>
    <w:rsid w:val="001A1EA9"/>
    <w:rsid w:val="001A201C"/>
    <w:rsid w:val="001A2071"/>
    <w:rsid w:val="001A20DB"/>
    <w:rsid w:val="001A25E6"/>
    <w:rsid w:val="001A2BD7"/>
    <w:rsid w:val="001A2BE2"/>
    <w:rsid w:val="001A3BE8"/>
    <w:rsid w:val="001A3D1D"/>
    <w:rsid w:val="001A3DD4"/>
    <w:rsid w:val="001A4054"/>
    <w:rsid w:val="001A4724"/>
    <w:rsid w:val="001A4E08"/>
    <w:rsid w:val="001A5012"/>
    <w:rsid w:val="001A5542"/>
    <w:rsid w:val="001A5D5B"/>
    <w:rsid w:val="001A5F10"/>
    <w:rsid w:val="001A61F8"/>
    <w:rsid w:val="001A62A9"/>
    <w:rsid w:val="001A63DB"/>
    <w:rsid w:val="001A6CB5"/>
    <w:rsid w:val="001A7640"/>
    <w:rsid w:val="001A7B01"/>
    <w:rsid w:val="001A7B9A"/>
    <w:rsid w:val="001A7DDB"/>
    <w:rsid w:val="001B0B3B"/>
    <w:rsid w:val="001B0BB1"/>
    <w:rsid w:val="001B0DD4"/>
    <w:rsid w:val="001B0DEB"/>
    <w:rsid w:val="001B19EA"/>
    <w:rsid w:val="001B2971"/>
    <w:rsid w:val="001B2C89"/>
    <w:rsid w:val="001B2D56"/>
    <w:rsid w:val="001B304B"/>
    <w:rsid w:val="001B36CC"/>
    <w:rsid w:val="001B3752"/>
    <w:rsid w:val="001B37AF"/>
    <w:rsid w:val="001B38AB"/>
    <w:rsid w:val="001B39F0"/>
    <w:rsid w:val="001B3E78"/>
    <w:rsid w:val="001B403F"/>
    <w:rsid w:val="001B41E4"/>
    <w:rsid w:val="001B4645"/>
    <w:rsid w:val="001B4A0B"/>
    <w:rsid w:val="001B4DF2"/>
    <w:rsid w:val="001B50A5"/>
    <w:rsid w:val="001B548E"/>
    <w:rsid w:val="001B59AA"/>
    <w:rsid w:val="001B5B47"/>
    <w:rsid w:val="001B5CBC"/>
    <w:rsid w:val="001B602E"/>
    <w:rsid w:val="001B6095"/>
    <w:rsid w:val="001B612B"/>
    <w:rsid w:val="001B6683"/>
    <w:rsid w:val="001B6D8A"/>
    <w:rsid w:val="001B7068"/>
    <w:rsid w:val="001B73E2"/>
    <w:rsid w:val="001B7BE4"/>
    <w:rsid w:val="001B7E79"/>
    <w:rsid w:val="001C0265"/>
    <w:rsid w:val="001C0479"/>
    <w:rsid w:val="001C0480"/>
    <w:rsid w:val="001C08D7"/>
    <w:rsid w:val="001C0B42"/>
    <w:rsid w:val="001C0C4A"/>
    <w:rsid w:val="001C0D0D"/>
    <w:rsid w:val="001C1142"/>
    <w:rsid w:val="001C1762"/>
    <w:rsid w:val="001C19F0"/>
    <w:rsid w:val="001C1B5E"/>
    <w:rsid w:val="001C2095"/>
    <w:rsid w:val="001C20B7"/>
    <w:rsid w:val="001C2174"/>
    <w:rsid w:val="001C25F9"/>
    <w:rsid w:val="001C2CE0"/>
    <w:rsid w:val="001C2EBB"/>
    <w:rsid w:val="001C2F2B"/>
    <w:rsid w:val="001C302E"/>
    <w:rsid w:val="001C3163"/>
    <w:rsid w:val="001C3591"/>
    <w:rsid w:val="001C35FB"/>
    <w:rsid w:val="001C39A5"/>
    <w:rsid w:val="001C3CC1"/>
    <w:rsid w:val="001C3DE0"/>
    <w:rsid w:val="001C4693"/>
    <w:rsid w:val="001C497E"/>
    <w:rsid w:val="001C4D8C"/>
    <w:rsid w:val="001C51B7"/>
    <w:rsid w:val="001C5C27"/>
    <w:rsid w:val="001C5C82"/>
    <w:rsid w:val="001C5EB8"/>
    <w:rsid w:val="001C65B2"/>
    <w:rsid w:val="001C6D0F"/>
    <w:rsid w:val="001C710A"/>
    <w:rsid w:val="001C7118"/>
    <w:rsid w:val="001C71BE"/>
    <w:rsid w:val="001C729C"/>
    <w:rsid w:val="001C7CFD"/>
    <w:rsid w:val="001C7E52"/>
    <w:rsid w:val="001C7F3A"/>
    <w:rsid w:val="001D00A2"/>
    <w:rsid w:val="001D017A"/>
    <w:rsid w:val="001D03F8"/>
    <w:rsid w:val="001D040D"/>
    <w:rsid w:val="001D0696"/>
    <w:rsid w:val="001D0812"/>
    <w:rsid w:val="001D0AFB"/>
    <w:rsid w:val="001D155F"/>
    <w:rsid w:val="001D188C"/>
    <w:rsid w:val="001D1917"/>
    <w:rsid w:val="001D1C19"/>
    <w:rsid w:val="001D1C4A"/>
    <w:rsid w:val="001D2097"/>
    <w:rsid w:val="001D2282"/>
    <w:rsid w:val="001D2BA2"/>
    <w:rsid w:val="001D2D0C"/>
    <w:rsid w:val="001D2F06"/>
    <w:rsid w:val="001D3A35"/>
    <w:rsid w:val="001D3DB1"/>
    <w:rsid w:val="001D3E64"/>
    <w:rsid w:val="001D40D5"/>
    <w:rsid w:val="001D42E5"/>
    <w:rsid w:val="001D43DC"/>
    <w:rsid w:val="001D4B9D"/>
    <w:rsid w:val="001D4C5C"/>
    <w:rsid w:val="001D4C83"/>
    <w:rsid w:val="001D4D7D"/>
    <w:rsid w:val="001D5480"/>
    <w:rsid w:val="001D59F8"/>
    <w:rsid w:val="001D5AB8"/>
    <w:rsid w:val="001D60A4"/>
    <w:rsid w:val="001D6299"/>
    <w:rsid w:val="001D65C6"/>
    <w:rsid w:val="001D6A65"/>
    <w:rsid w:val="001D6CC0"/>
    <w:rsid w:val="001D70E6"/>
    <w:rsid w:val="001D7897"/>
    <w:rsid w:val="001D791F"/>
    <w:rsid w:val="001D7A3C"/>
    <w:rsid w:val="001D7C0D"/>
    <w:rsid w:val="001D7E55"/>
    <w:rsid w:val="001D7F4D"/>
    <w:rsid w:val="001E023B"/>
    <w:rsid w:val="001E030A"/>
    <w:rsid w:val="001E0361"/>
    <w:rsid w:val="001E0619"/>
    <w:rsid w:val="001E095F"/>
    <w:rsid w:val="001E09D4"/>
    <w:rsid w:val="001E0FA2"/>
    <w:rsid w:val="001E0FC4"/>
    <w:rsid w:val="001E1384"/>
    <w:rsid w:val="001E13E0"/>
    <w:rsid w:val="001E152A"/>
    <w:rsid w:val="001E18D9"/>
    <w:rsid w:val="001E23EB"/>
    <w:rsid w:val="001E24BF"/>
    <w:rsid w:val="001E277B"/>
    <w:rsid w:val="001E2785"/>
    <w:rsid w:val="001E2B43"/>
    <w:rsid w:val="001E2CE0"/>
    <w:rsid w:val="001E3433"/>
    <w:rsid w:val="001E3732"/>
    <w:rsid w:val="001E3A17"/>
    <w:rsid w:val="001E3ADF"/>
    <w:rsid w:val="001E42A5"/>
    <w:rsid w:val="001E44F8"/>
    <w:rsid w:val="001E49B6"/>
    <w:rsid w:val="001E4D34"/>
    <w:rsid w:val="001E501F"/>
    <w:rsid w:val="001E50B0"/>
    <w:rsid w:val="001E544B"/>
    <w:rsid w:val="001E5938"/>
    <w:rsid w:val="001E59C7"/>
    <w:rsid w:val="001E5CC8"/>
    <w:rsid w:val="001E5D31"/>
    <w:rsid w:val="001E5F63"/>
    <w:rsid w:val="001E627E"/>
    <w:rsid w:val="001E6687"/>
    <w:rsid w:val="001E6CE2"/>
    <w:rsid w:val="001E6DB1"/>
    <w:rsid w:val="001E6E3D"/>
    <w:rsid w:val="001E6EB1"/>
    <w:rsid w:val="001E6F2E"/>
    <w:rsid w:val="001E7647"/>
    <w:rsid w:val="001E7B5A"/>
    <w:rsid w:val="001F0094"/>
    <w:rsid w:val="001F0603"/>
    <w:rsid w:val="001F0B08"/>
    <w:rsid w:val="001F0D96"/>
    <w:rsid w:val="001F0EA0"/>
    <w:rsid w:val="001F1025"/>
    <w:rsid w:val="001F15CC"/>
    <w:rsid w:val="001F16F2"/>
    <w:rsid w:val="001F27F8"/>
    <w:rsid w:val="001F28A2"/>
    <w:rsid w:val="001F28A5"/>
    <w:rsid w:val="001F324C"/>
    <w:rsid w:val="001F336E"/>
    <w:rsid w:val="001F34E6"/>
    <w:rsid w:val="001F3B89"/>
    <w:rsid w:val="001F3D37"/>
    <w:rsid w:val="001F3EBA"/>
    <w:rsid w:val="001F4581"/>
    <w:rsid w:val="001F4B81"/>
    <w:rsid w:val="001F50E9"/>
    <w:rsid w:val="001F523A"/>
    <w:rsid w:val="001F5381"/>
    <w:rsid w:val="001F5735"/>
    <w:rsid w:val="001F5DC1"/>
    <w:rsid w:val="001F5ECA"/>
    <w:rsid w:val="001F6307"/>
    <w:rsid w:val="001F6426"/>
    <w:rsid w:val="001F6B18"/>
    <w:rsid w:val="001F75BB"/>
    <w:rsid w:val="001F78ED"/>
    <w:rsid w:val="001F796D"/>
    <w:rsid w:val="001F7DE7"/>
    <w:rsid w:val="00200017"/>
    <w:rsid w:val="002002CB"/>
    <w:rsid w:val="002002DA"/>
    <w:rsid w:val="002003DA"/>
    <w:rsid w:val="002006A1"/>
    <w:rsid w:val="002006AB"/>
    <w:rsid w:val="00200862"/>
    <w:rsid w:val="002015C4"/>
    <w:rsid w:val="002017A0"/>
    <w:rsid w:val="0020287F"/>
    <w:rsid w:val="00202E5D"/>
    <w:rsid w:val="00203982"/>
    <w:rsid w:val="00203D9E"/>
    <w:rsid w:val="00203EA7"/>
    <w:rsid w:val="00204458"/>
    <w:rsid w:val="0020465F"/>
    <w:rsid w:val="002046C8"/>
    <w:rsid w:val="00204F22"/>
    <w:rsid w:val="0020534C"/>
    <w:rsid w:val="00205A5F"/>
    <w:rsid w:val="00206995"/>
    <w:rsid w:val="00206AE1"/>
    <w:rsid w:val="00207193"/>
    <w:rsid w:val="00207250"/>
    <w:rsid w:val="0020727B"/>
    <w:rsid w:val="002075E8"/>
    <w:rsid w:val="00207723"/>
    <w:rsid w:val="00207746"/>
    <w:rsid w:val="00207F18"/>
    <w:rsid w:val="002107FA"/>
    <w:rsid w:val="00210C17"/>
    <w:rsid w:val="00210C7E"/>
    <w:rsid w:val="00211084"/>
    <w:rsid w:val="0021173F"/>
    <w:rsid w:val="00212015"/>
    <w:rsid w:val="00212443"/>
    <w:rsid w:val="00212835"/>
    <w:rsid w:val="00212A19"/>
    <w:rsid w:val="00212ADD"/>
    <w:rsid w:val="00212AE9"/>
    <w:rsid w:val="00212B1B"/>
    <w:rsid w:val="00212EA0"/>
    <w:rsid w:val="002135E0"/>
    <w:rsid w:val="00213650"/>
    <w:rsid w:val="00213AA8"/>
    <w:rsid w:val="00214078"/>
    <w:rsid w:val="00214394"/>
    <w:rsid w:val="00214BBA"/>
    <w:rsid w:val="00214C7B"/>
    <w:rsid w:val="002155C0"/>
    <w:rsid w:val="002159FD"/>
    <w:rsid w:val="00215F56"/>
    <w:rsid w:val="0021629B"/>
    <w:rsid w:val="00216A1B"/>
    <w:rsid w:val="00216BAA"/>
    <w:rsid w:val="00216CDF"/>
    <w:rsid w:val="00217303"/>
    <w:rsid w:val="0021745D"/>
    <w:rsid w:val="0021754F"/>
    <w:rsid w:val="00217817"/>
    <w:rsid w:val="00217A6F"/>
    <w:rsid w:val="00217B23"/>
    <w:rsid w:val="00217F76"/>
    <w:rsid w:val="0022020F"/>
    <w:rsid w:val="00220B6C"/>
    <w:rsid w:val="00220DDA"/>
    <w:rsid w:val="00220FF8"/>
    <w:rsid w:val="0022152B"/>
    <w:rsid w:val="00221FCA"/>
    <w:rsid w:val="002223C2"/>
    <w:rsid w:val="00223210"/>
    <w:rsid w:val="00223843"/>
    <w:rsid w:val="00223858"/>
    <w:rsid w:val="002239B4"/>
    <w:rsid w:val="002239BE"/>
    <w:rsid w:val="002239FE"/>
    <w:rsid w:val="00223D11"/>
    <w:rsid w:val="002241EE"/>
    <w:rsid w:val="00224AE2"/>
    <w:rsid w:val="00224C43"/>
    <w:rsid w:val="00224E8D"/>
    <w:rsid w:val="00225029"/>
    <w:rsid w:val="00225311"/>
    <w:rsid w:val="002255CC"/>
    <w:rsid w:val="002256D9"/>
    <w:rsid w:val="002257DE"/>
    <w:rsid w:val="0022586D"/>
    <w:rsid w:val="002259D1"/>
    <w:rsid w:val="002266DF"/>
    <w:rsid w:val="002267DB"/>
    <w:rsid w:val="002268D8"/>
    <w:rsid w:val="002269FD"/>
    <w:rsid w:val="00226BE5"/>
    <w:rsid w:val="00226D45"/>
    <w:rsid w:val="00227561"/>
    <w:rsid w:val="00227722"/>
    <w:rsid w:val="00227A10"/>
    <w:rsid w:val="00227B2D"/>
    <w:rsid w:val="00227BDF"/>
    <w:rsid w:val="00227D6C"/>
    <w:rsid w:val="00227DB5"/>
    <w:rsid w:val="00230340"/>
    <w:rsid w:val="002304B4"/>
    <w:rsid w:val="002308B3"/>
    <w:rsid w:val="00230949"/>
    <w:rsid w:val="00230BF2"/>
    <w:rsid w:val="00231415"/>
    <w:rsid w:val="002315CE"/>
    <w:rsid w:val="002319E2"/>
    <w:rsid w:val="002319F6"/>
    <w:rsid w:val="002321EF"/>
    <w:rsid w:val="00232399"/>
    <w:rsid w:val="00232710"/>
    <w:rsid w:val="00232964"/>
    <w:rsid w:val="002330AB"/>
    <w:rsid w:val="002332B0"/>
    <w:rsid w:val="0023374E"/>
    <w:rsid w:val="0023392F"/>
    <w:rsid w:val="00233D3F"/>
    <w:rsid w:val="00233E19"/>
    <w:rsid w:val="00233F66"/>
    <w:rsid w:val="00233FDA"/>
    <w:rsid w:val="002340BE"/>
    <w:rsid w:val="002340F5"/>
    <w:rsid w:val="002347ED"/>
    <w:rsid w:val="00235066"/>
    <w:rsid w:val="00235133"/>
    <w:rsid w:val="00235175"/>
    <w:rsid w:val="00235226"/>
    <w:rsid w:val="0023553B"/>
    <w:rsid w:val="002356A5"/>
    <w:rsid w:val="002356F8"/>
    <w:rsid w:val="0023584A"/>
    <w:rsid w:val="0023593B"/>
    <w:rsid w:val="00235B9D"/>
    <w:rsid w:val="00237101"/>
    <w:rsid w:val="002373D8"/>
    <w:rsid w:val="00237584"/>
    <w:rsid w:val="002377C4"/>
    <w:rsid w:val="0023786D"/>
    <w:rsid w:val="00237AF5"/>
    <w:rsid w:val="00237C1E"/>
    <w:rsid w:val="00237EC5"/>
    <w:rsid w:val="0024026D"/>
    <w:rsid w:val="00240932"/>
    <w:rsid w:val="00240B69"/>
    <w:rsid w:val="00241345"/>
    <w:rsid w:val="00241428"/>
    <w:rsid w:val="002420B0"/>
    <w:rsid w:val="002420FA"/>
    <w:rsid w:val="00242217"/>
    <w:rsid w:val="0024272D"/>
    <w:rsid w:val="00242CF9"/>
    <w:rsid w:val="0024321B"/>
    <w:rsid w:val="00243602"/>
    <w:rsid w:val="00243D83"/>
    <w:rsid w:val="00244184"/>
    <w:rsid w:val="002443DC"/>
    <w:rsid w:val="00244794"/>
    <w:rsid w:val="0024479B"/>
    <w:rsid w:val="00244A02"/>
    <w:rsid w:val="00244C52"/>
    <w:rsid w:val="00244FB5"/>
    <w:rsid w:val="00245E38"/>
    <w:rsid w:val="002462A5"/>
    <w:rsid w:val="002462B6"/>
    <w:rsid w:val="002465EE"/>
    <w:rsid w:val="00246ACE"/>
    <w:rsid w:val="00246AF8"/>
    <w:rsid w:val="00246F4A"/>
    <w:rsid w:val="00247B6B"/>
    <w:rsid w:val="00247BA9"/>
    <w:rsid w:val="00247CBE"/>
    <w:rsid w:val="00247DCA"/>
    <w:rsid w:val="0025065C"/>
    <w:rsid w:val="00250843"/>
    <w:rsid w:val="00250FB8"/>
    <w:rsid w:val="00251C8C"/>
    <w:rsid w:val="00251CA6"/>
    <w:rsid w:val="00251CF0"/>
    <w:rsid w:val="00251E5E"/>
    <w:rsid w:val="00252D77"/>
    <w:rsid w:val="00253562"/>
    <w:rsid w:val="002538AA"/>
    <w:rsid w:val="00253AA7"/>
    <w:rsid w:val="00253D2E"/>
    <w:rsid w:val="00253E67"/>
    <w:rsid w:val="00253E9E"/>
    <w:rsid w:val="00253F1F"/>
    <w:rsid w:val="00254222"/>
    <w:rsid w:val="002545EE"/>
    <w:rsid w:val="00254C11"/>
    <w:rsid w:val="00254DE7"/>
    <w:rsid w:val="00254EB1"/>
    <w:rsid w:val="00255131"/>
    <w:rsid w:val="00255219"/>
    <w:rsid w:val="00255620"/>
    <w:rsid w:val="00255800"/>
    <w:rsid w:val="00255B4A"/>
    <w:rsid w:val="00255B91"/>
    <w:rsid w:val="00256134"/>
    <w:rsid w:val="002568EC"/>
    <w:rsid w:val="002569F4"/>
    <w:rsid w:val="00257212"/>
    <w:rsid w:val="00257457"/>
    <w:rsid w:val="00257AE7"/>
    <w:rsid w:val="0026060E"/>
    <w:rsid w:val="002606FE"/>
    <w:rsid w:val="002617FE"/>
    <w:rsid w:val="00261CE3"/>
    <w:rsid w:val="002627AB"/>
    <w:rsid w:val="00262B65"/>
    <w:rsid w:val="00262D5B"/>
    <w:rsid w:val="002630F6"/>
    <w:rsid w:val="002631B1"/>
    <w:rsid w:val="002634E4"/>
    <w:rsid w:val="002634E8"/>
    <w:rsid w:val="002636D0"/>
    <w:rsid w:val="00263938"/>
    <w:rsid w:val="00263B7D"/>
    <w:rsid w:val="00263C9A"/>
    <w:rsid w:val="0026528E"/>
    <w:rsid w:val="0026536D"/>
    <w:rsid w:val="00265477"/>
    <w:rsid w:val="002654D8"/>
    <w:rsid w:val="002656AC"/>
    <w:rsid w:val="00265872"/>
    <w:rsid w:val="00265BA7"/>
    <w:rsid w:val="00265FDF"/>
    <w:rsid w:val="0026604D"/>
    <w:rsid w:val="0026634E"/>
    <w:rsid w:val="0026648E"/>
    <w:rsid w:val="002669A4"/>
    <w:rsid w:val="002669FF"/>
    <w:rsid w:val="00266CCC"/>
    <w:rsid w:val="00266E06"/>
    <w:rsid w:val="00266EEA"/>
    <w:rsid w:val="00267842"/>
    <w:rsid w:val="00267A12"/>
    <w:rsid w:val="00267CC2"/>
    <w:rsid w:val="00267EFD"/>
    <w:rsid w:val="00267F63"/>
    <w:rsid w:val="002701E1"/>
    <w:rsid w:val="002706A0"/>
    <w:rsid w:val="00270708"/>
    <w:rsid w:val="00270A10"/>
    <w:rsid w:val="00271170"/>
    <w:rsid w:val="0027171B"/>
    <w:rsid w:val="002718E2"/>
    <w:rsid w:val="0027196A"/>
    <w:rsid w:val="002719C5"/>
    <w:rsid w:val="00271CC1"/>
    <w:rsid w:val="00271DC6"/>
    <w:rsid w:val="002721D4"/>
    <w:rsid w:val="0027222B"/>
    <w:rsid w:val="002724B9"/>
    <w:rsid w:val="0027262F"/>
    <w:rsid w:val="002728E8"/>
    <w:rsid w:val="0027340D"/>
    <w:rsid w:val="00273719"/>
    <w:rsid w:val="0027376D"/>
    <w:rsid w:val="00273C30"/>
    <w:rsid w:val="00273FB8"/>
    <w:rsid w:val="0027403B"/>
    <w:rsid w:val="002743D1"/>
    <w:rsid w:val="00274AE2"/>
    <w:rsid w:val="00274AEE"/>
    <w:rsid w:val="00274D42"/>
    <w:rsid w:val="00275386"/>
    <w:rsid w:val="002754E2"/>
    <w:rsid w:val="0027582B"/>
    <w:rsid w:val="0027652F"/>
    <w:rsid w:val="00276716"/>
    <w:rsid w:val="002767DC"/>
    <w:rsid w:val="00276A6A"/>
    <w:rsid w:val="00276D67"/>
    <w:rsid w:val="00276DC0"/>
    <w:rsid w:val="0027764C"/>
    <w:rsid w:val="00277F43"/>
    <w:rsid w:val="00280739"/>
    <w:rsid w:val="002807D0"/>
    <w:rsid w:val="002807FA"/>
    <w:rsid w:val="00280903"/>
    <w:rsid w:val="002810AE"/>
    <w:rsid w:val="0028126C"/>
    <w:rsid w:val="0028126E"/>
    <w:rsid w:val="0028127B"/>
    <w:rsid w:val="00281445"/>
    <w:rsid w:val="00281CDD"/>
    <w:rsid w:val="00281F61"/>
    <w:rsid w:val="00282049"/>
    <w:rsid w:val="00282545"/>
    <w:rsid w:val="0028266A"/>
    <w:rsid w:val="00282944"/>
    <w:rsid w:val="00282DDF"/>
    <w:rsid w:val="00282E82"/>
    <w:rsid w:val="0028305B"/>
    <w:rsid w:val="002833FA"/>
    <w:rsid w:val="0028346A"/>
    <w:rsid w:val="00283517"/>
    <w:rsid w:val="002839EE"/>
    <w:rsid w:val="00283EB0"/>
    <w:rsid w:val="00283EBE"/>
    <w:rsid w:val="0028432F"/>
    <w:rsid w:val="00284366"/>
    <w:rsid w:val="002844FD"/>
    <w:rsid w:val="00284574"/>
    <w:rsid w:val="00284765"/>
    <w:rsid w:val="00284A5B"/>
    <w:rsid w:val="00284E35"/>
    <w:rsid w:val="0028567F"/>
    <w:rsid w:val="002858FA"/>
    <w:rsid w:val="00285934"/>
    <w:rsid w:val="00285CAF"/>
    <w:rsid w:val="00286467"/>
    <w:rsid w:val="002867BE"/>
    <w:rsid w:val="00286A9B"/>
    <w:rsid w:val="00286D00"/>
    <w:rsid w:val="00286D5F"/>
    <w:rsid w:val="00287335"/>
    <w:rsid w:val="002873C4"/>
    <w:rsid w:val="002876A5"/>
    <w:rsid w:val="0028789F"/>
    <w:rsid w:val="00290230"/>
    <w:rsid w:val="002905B9"/>
    <w:rsid w:val="00290885"/>
    <w:rsid w:val="002910ED"/>
    <w:rsid w:val="0029121C"/>
    <w:rsid w:val="00291658"/>
    <w:rsid w:val="00291682"/>
    <w:rsid w:val="00291E0D"/>
    <w:rsid w:val="0029231D"/>
    <w:rsid w:val="00292513"/>
    <w:rsid w:val="00292DD3"/>
    <w:rsid w:val="00293221"/>
    <w:rsid w:val="00293A23"/>
    <w:rsid w:val="00293A68"/>
    <w:rsid w:val="0029415D"/>
    <w:rsid w:val="0029419A"/>
    <w:rsid w:val="00294367"/>
    <w:rsid w:val="002945EC"/>
    <w:rsid w:val="00294701"/>
    <w:rsid w:val="0029481A"/>
    <w:rsid w:val="002948AC"/>
    <w:rsid w:val="00294BF1"/>
    <w:rsid w:val="00294D23"/>
    <w:rsid w:val="00294D7C"/>
    <w:rsid w:val="00294DC3"/>
    <w:rsid w:val="00295648"/>
    <w:rsid w:val="0029564A"/>
    <w:rsid w:val="00295916"/>
    <w:rsid w:val="002959E8"/>
    <w:rsid w:val="00295EED"/>
    <w:rsid w:val="002963B1"/>
    <w:rsid w:val="00296AFF"/>
    <w:rsid w:val="00296E81"/>
    <w:rsid w:val="0029700C"/>
    <w:rsid w:val="0029712C"/>
    <w:rsid w:val="00297491"/>
    <w:rsid w:val="00297B06"/>
    <w:rsid w:val="00297C90"/>
    <w:rsid w:val="00297E04"/>
    <w:rsid w:val="002A02F5"/>
    <w:rsid w:val="002A039D"/>
    <w:rsid w:val="002A1420"/>
    <w:rsid w:val="002A147C"/>
    <w:rsid w:val="002A1927"/>
    <w:rsid w:val="002A1EA9"/>
    <w:rsid w:val="002A1F09"/>
    <w:rsid w:val="002A2799"/>
    <w:rsid w:val="002A28A8"/>
    <w:rsid w:val="002A3915"/>
    <w:rsid w:val="002A3C97"/>
    <w:rsid w:val="002A3CD5"/>
    <w:rsid w:val="002A3CDC"/>
    <w:rsid w:val="002A3F30"/>
    <w:rsid w:val="002A4434"/>
    <w:rsid w:val="002A4768"/>
    <w:rsid w:val="002A4866"/>
    <w:rsid w:val="002A55BD"/>
    <w:rsid w:val="002A56BD"/>
    <w:rsid w:val="002A5B5D"/>
    <w:rsid w:val="002A6001"/>
    <w:rsid w:val="002A61BC"/>
    <w:rsid w:val="002A65EC"/>
    <w:rsid w:val="002A7228"/>
    <w:rsid w:val="002A75FB"/>
    <w:rsid w:val="002A7B3D"/>
    <w:rsid w:val="002A7BE5"/>
    <w:rsid w:val="002A7CFB"/>
    <w:rsid w:val="002A7D14"/>
    <w:rsid w:val="002A7F1B"/>
    <w:rsid w:val="002B019F"/>
    <w:rsid w:val="002B068F"/>
    <w:rsid w:val="002B08C3"/>
    <w:rsid w:val="002B0D4D"/>
    <w:rsid w:val="002B0D8C"/>
    <w:rsid w:val="002B13BD"/>
    <w:rsid w:val="002B19DA"/>
    <w:rsid w:val="002B1BF7"/>
    <w:rsid w:val="002B1CBE"/>
    <w:rsid w:val="002B1D7B"/>
    <w:rsid w:val="002B2276"/>
    <w:rsid w:val="002B24BC"/>
    <w:rsid w:val="002B2606"/>
    <w:rsid w:val="002B2A8D"/>
    <w:rsid w:val="002B2D6D"/>
    <w:rsid w:val="002B2E0B"/>
    <w:rsid w:val="002B32EC"/>
    <w:rsid w:val="002B3594"/>
    <w:rsid w:val="002B3958"/>
    <w:rsid w:val="002B3D01"/>
    <w:rsid w:val="002B41C9"/>
    <w:rsid w:val="002B4267"/>
    <w:rsid w:val="002B4950"/>
    <w:rsid w:val="002B4B6A"/>
    <w:rsid w:val="002B4D1C"/>
    <w:rsid w:val="002B5716"/>
    <w:rsid w:val="002B59B9"/>
    <w:rsid w:val="002B5ACC"/>
    <w:rsid w:val="002B5E81"/>
    <w:rsid w:val="002B60F0"/>
    <w:rsid w:val="002B62EE"/>
    <w:rsid w:val="002B661A"/>
    <w:rsid w:val="002B68F2"/>
    <w:rsid w:val="002B6950"/>
    <w:rsid w:val="002B73DA"/>
    <w:rsid w:val="002B79FA"/>
    <w:rsid w:val="002B7FC9"/>
    <w:rsid w:val="002C005C"/>
    <w:rsid w:val="002C035B"/>
    <w:rsid w:val="002C03B2"/>
    <w:rsid w:val="002C0973"/>
    <w:rsid w:val="002C0CDA"/>
    <w:rsid w:val="002C1169"/>
    <w:rsid w:val="002C1514"/>
    <w:rsid w:val="002C15CE"/>
    <w:rsid w:val="002C1A4F"/>
    <w:rsid w:val="002C25C4"/>
    <w:rsid w:val="002C28E4"/>
    <w:rsid w:val="002C2A94"/>
    <w:rsid w:val="002C2AA3"/>
    <w:rsid w:val="002C2CC9"/>
    <w:rsid w:val="002C31A2"/>
    <w:rsid w:val="002C3245"/>
    <w:rsid w:val="002C3E91"/>
    <w:rsid w:val="002C4131"/>
    <w:rsid w:val="002C413D"/>
    <w:rsid w:val="002C4255"/>
    <w:rsid w:val="002C46CA"/>
    <w:rsid w:val="002C48EC"/>
    <w:rsid w:val="002C4D21"/>
    <w:rsid w:val="002C535C"/>
    <w:rsid w:val="002C5607"/>
    <w:rsid w:val="002C59A9"/>
    <w:rsid w:val="002C59D3"/>
    <w:rsid w:val="002C5A92"/>
    <w:rsid w:val="002C6258"/>
    <w:rsid w:val="002C64BA"/>
    <w:rsid w:val="002C65E6"/>
    <w:rsid w:val="002C684F"/>
    <w:rsid w:val="002C68A7"/>
    <w:rsid w:val="002C6B59"/>
    <w:rsid w:val="002C73A7"/>
    <w:rsid w:val="002C73D5"/>
    <w:rsid w:val="002C76C8"/>
    <w:rsid w:val="002C795C"/>
    <w:rsid w:val="002C7A05"/>
    <w:rsid w:val="002D053E"/>
    <w:rsid w:val="002D0AF6"/>
    <w:rsid w:val="002D1A3A"/>
    <w:rsid w:val="002D2166"/>
    <w:rsid w:val="002D2453"/>
    <w:rsid w:val="002D24F6"/>
    <w:rsid w:val="002D2AC1"/>
    <w:rsid w:val="002D2B56"/>
    <w:rsid w:val="002D2DEF"/>
    <w:rsid w:val="002D2E95"/>
    <w:rsid w:val="002D4155"/>
    <w:rsid w:val="002D43B4"/>
    <w:rsid w:val="002D4E5D"/>
    <w:rsid w:val="002D4E8D"/>
    <w:rsid w:val="002D4F21"/>
    <w:rsid w:val="002D526E"/>
    <w:rsid w:val="002D55FD"/>
    <w:rsid w:val="002D56B3"/>
    <w:rsid w:val="002D61AE"/>
    <w:rsid w:val="002D68C4"/>
    <w:rsid w:val="002D690D"/>
    <w:rsid w:val="002D6B3D"/>
    <w:rsid w:val="002D6E5A"/>
    <w:rsid w:val="002D739F"/>
    <w:rsid w:val="002D74AD"/>
    <w:rsid w:val="002D7CA1"/>
    <w:rsid w:val="002E0050"/>
    <w:rsid w:val="002E0369"/>
    <w:rsid w:val="002E1275"/>
    <w:rsid w:val="002E1422"/>
    <w:rsid w:val="002E18C8"/>
    <w:rsid w:val="002E1968"/>
    <w:rsid w:val="002E1FE4"/>
    <w:rsid w:val="002E201C"/>
    <w:rsid w:val="002E25D7"/>
    <w:rsid w:val="002E272D"/>
    <w:rsid w:val="002E2877"/>
    <w:rsid w:val="002E2C0C"/>
    <w:rsid w:val="002E2C91"/>
    <w:rsid w:val="002E38A2"/>
    <w:rsid w:val="002E39F7"/>
    <w:rsid w:val="002E3C21"/>
    <w:rsid w:val="002E3E8F"/>
    <w:rsid w:val="002E3FC1"/>
    <w:rsid w:val="002E479D"/>
    <w:rsid w:val="002E4ABB"/>
    <w:rsid w:val="002E4BDA"/>
    <w:rsid w:val="002E4D4C"/>
    <w:rsid w:val="002E547A"/>
    <w:rsid w:val="002E561F"/>
    <w:rsid w:val="002E569B"/>
    <w:rsid w:val="002E5916"/>
    <w:rsid w:val="002E5B67"/>
    <w:rsid w:val="002E65B1"/>
    <w:rsid w:val="002E6F2B"/>
    <w:rsid w:val="002E70B4"/>
    <w:rsid w:val="002E77C1"/>
    <w:rsid w:val="002E7B19"/>
    <w:rsid w:val="002E7CA6"/>
    <w:rsid w:val="002E7F71"/>
    <w:rsid w:val="002F0523"/>
    <w:rsid w:val="002F0872"/>
    <w:rsid w:val="002F0C24"/>
    <w:rsid w:val="002F26F4"/>
    <w:rsid w:val="002F2ED2"/>
    <w:rsid w:val="002F3595"/>
    <w:rsid w:val="002F35B4"/>
    <w:rsid w:val="002F3663"/>
    <w:rsid w:val="002F382B"/>
    <w:rsid w:val="002F3B5D"/>
    <w:rsid w:val="002F3BBE"/>
    <w:rsid w:val="002F3CB5"/>
    <w:rsid w:val="002F3DF4"/>
    <w:rsid w:val="002F3E39"/>
    <w:rsid w:val="002F3EFC"/>
    <w:rsid w:val="002F3F07"/>
    <w:rsid w:val="002F4186"/>
    <w:rsid w:val="002F4416"/>
    <w:rsid w:val="002F4CBF"/>
    <w:rsid w:val="002F4EEF"/>
    <w:rsid w:val="002F4EFF"/>
    <w:rsid w:val="002F51CF"/>
    <w:rsid w:val="002F534A"/>
    <w:rsid w:val="002F54AA"/>
    <w:rsid w:val="002F606F"/>
    <w:rsid w:val="002F63E3"/>
    <w:rsid w:val="002F6AAD"/>
    <w:rsid w:val="002F6B99"/>
    <w:rsid w:val="002F767D"/>
    <w:rsid w:val="002F7DD3"/>
    <w:rsid w:val="0030053E"/>
    <w:rsid w:val="00300885"/>
    <w:rsid w:val="00300EF8"/>
    <w:rsid w:val="00301396"/>
    <w:rsid w:val="0030169C"/>
    <w:rsid w:val="00301BEB"/>
    <w:rsid w:val="00302263"/>
    <w:rsid w:val="00302BB2"/>
    <w:rsid w:val="003030E1"/>
    <w:rsid w:val="0030332C"/>
    <w:rsid w:val="0030347F"/>
    <w:rsid w:val="00303BDD"/>
    <w:rsid w:val="00303C55"/>
    <w:rsid w:val="00304240"/>
    <w:rsid w:val="00304AF6"/>
    <w:rsid w:val="00304F0A"/>
    <w:rsid w:val="003051F8"/>
    <w:rsid w:val="0030542E"/>
    <w:rsid w:val="003057E7"/>
    <w:rsid w:val="003062E8"/>
    <w:rsid w:val="003067AA"/>
    <w:rsid w:val="00306DBC"/>
    <w:rsid w:val="00307465"/>
    <w:rsid w:val="0030774B"/>
    <w:rsid w:val="00307AD4"/>
    <w:rsid w:val="00307C0A"/>
    <w:rsid w:val="00307DDA"/>
    <w:rsid w:val="003102CC"/>
    <w:rsid w:val="0031043A"/>
    <w:rsid w:val="00310770"/>
    <w:rsid w:val="00310B00"/>
    <w:rsid w:val="00310D4A"/>
    <w:rsid w:val="00310F12"/>
    <w:rsid w:val="003114AE"/>
    <w:rsid w:val="003116AD"/>
    <w:rsid w:val="00311C2D"/>
    <w:rsid w:val="0031248C"/>
    <w:rsid w:val="0031252A"/>
    <w:rsid w:val="0031310C"/>
    <w:rsid w:val="0031339F"/>
    <w:rsid w:val="003134BB"/>
    <w:rsid w:val="003145DA"/>
    <w:rsid w:val="00314779"/>
    <w:rsid w:val="003152D5"/>
    <w:rsid w:val="00315776"/>
    <w:rsid w:val="003158A2"/>
    <w:rsid w:val="00315B1F"/>
    <w:rsid w:val="00315CB9"/>
    <w:rsid w:val="003160F5"/>
    <w:rsid w:val="00316303"/>
    <w:rsid w:val="0031639D"/>
    <w:rsid w:val="00316775"/>
    <w:rsid w:val="00316E77"/>
    <w:rsid w:val="00316F3E"/>
    <w:rsid w:val="00317030"/>
    <w:rsid w:val="00317583"/>
    <w:rsid w:val="00317709"/>
    <w:rsid w:val="00317729"/>
    <w:rsid w:val="00317A4E"/>
    <w:rsid w:val="00320100"/>
    <w:rsid w:val="00320604"/>
    <w:rsid w:val="00320A05"/>
    <w:rsid w:val="00320CBC"/>
    <w:rsid w:val="00320DA4"/>
    <w:rsid w:val="00321618"/>
    <w:rsid w:val="003217B8"/>
    <w:rsid w:val="003218D3"/>
    <w:rsid w:val="003219E8"/>
    <w:rsid w:val="00321ECE"/>
    <w:rsid w:val="00322534"/>
    <w:rsid w:val="00322912"/>
    <w:rsid w:val="00322DF8"/>
    <w:rsid w:val="00322EEC"/>
    <w:rsid w:val="00322FF1"/>
    <w:rsid w:val="0032333E"/>
    <w:rsid w:val="003233EC"/>
    <w:rsid w:val="003237D2"/>
    <w:rsid w:val="00323A11"/>
    <w:rsid w:val="0032401B"/>
    <w:rsid w:val="00324E30"/>
    <w:rsid w:val="003256A4"/>
    <w:rsid w:val="00325DAC"/>
    <w:rsid w:val="00326754"/>
    <w:rsid w:val="00326C9A"/>
    <w:rsid w:val="00326D68"/>
    <w:rsid w:val="00326E90"/>
    <w:rsid w:val="003270AD"/>
    <w:rsid w:val="003271B6"/>
    <w:rsid w:val="003272DD"/>
    <w:rsid w:val="00327582"/>
    <w:rsid w:val="00327610"/>
    <w:rsid w:val="00327820"/>
    <w:rsid w:val="00330213"/>
    <w:rsid w:val="00330D67"/>
    <w:rsid w:val="00331147"/>
    <w:rsid w:val="003313A4"/>
    <w:rsid w:val="0033170C"/>
    <w:rsid w:val="00331A12"/>
    <w:rsid w:val="00331BA9"/>
    <w:rsid w:val="00331C32"/>
    <w:rsid w:val="003325D5"/>
    <w:rsid w:val="00332AC6"/>
    <w:rsid w:val="00333585"/>
    <w:rsid w:val="00333957"/>
    <w:rsid w:val="003345D5"/>
    <w:rsid w:val="00334743"/>
    <w:rsid w:val="00334931"/>
    <w:rsid w:val="0033506F"/>
    <w:rsid w:val="00336449"/>
    <w:rsid w:val="003364F0"/>
    <w:rsid w:val="0033798B"/>
    <w:rsid w:val="00337BA9"/>
    <w:rsid w:val="00340C1B"/>
    <w:rsid w:val="00340CEF"/>
    <w:rsid w:val="003417AD"/>
    <w:rsid w:val="00341A53"/>
    <w:rsid w:val="00341B41"/>
    <w:rsid w:val="00341C37"/>
    <w:rsid w:val="00341CB8"/>
    <w:rsid w:val="00342506"/>
    <w:rsid w:val="0034273B"/>
    <w:rsid w:val="003427CB"/>
    <w:rsid w:val="003427DC"/>
    <w:rsid w:val="00342972"/>
    <w:rsid w:val="00342C74"/>
    <w:rsid w:val="00342D2A"/>
    <w:rsid w:val="00342F2F"/>
    <w:rsid w:val="00342F4B"/>
    <w:rsid w:val="00343B4F"/>
    <w:rsid w:val="00343C19"/>
    <w:rsid w:val="00344709"/>
    <w:rsid w:val="00344FE7"/>
    <w:rsid w:val="003455B0"/>
    <w:rsid w:val="0034573A"/>
    <w:rsid w:val="00345AF4"/>
    <w:rsid w:val="00345DB5"/>
    <w:rsid w:val="003464E5"/>
    <w:rsid w:val="003469FF"/>
    <w:rsid w:val="00347083"/>
    <w:rsid w:val="0034769B"/>
    <w:rsid w:val="00347CEA"/>
    <w:rsid w:val="003505DD"/>
    <w:rsid w:val="00350A3C"/>
    <w:rsid w:val="00350BE4"/>
    <w:rsid w:val="00350EE1"/>
    <w:rsid w:val="0035108D"/>
    <w:rsid w:val="0035119C"/>
    <w:rsid w:val="00351400"/>
    <w:rsid w:val="00351642"/>
    <w:rsid w:val="003518F1"/>
    <w:rsid w:val="003528D1"/>
    <w:rsid w:val="00352A25"/>
    <w:rsid w:val="00353142"/>
    <w:rsid w:val="003536E8"/>
    <w:rsid w:val="00353E5E"/>
    <w:rsid w:val="00354160"/>
    <w:rsid w:val="0035438E"/>
    <w:rsid w:val="00354609"/>
    <w:rsid w:val="00354EB3"/>
    <w:rsid w:val="00354EC8"/>
    <w:rsid w:val="003557ED"/>
    <w:rsid w:val="00355A75"/>
    <w:rsid w:val="00355CBB"/>
    <w:rsid w:val="00355CF7"/>
    <w:rsid w:val="003565BF"/>
    <w:rsid w:val="00356C3C"/>
    <w:rsid w:val="00356E2D"/>
    <w:rsid w:val="00357602"/>
    <w:rsid w:val="00357C07"/>
    <w:rsid w:val="00357DFB"/>
    <w:rsid w:val="00357F75"/>
    <w:rsid w:val="00357F7E"/>
    <w:rsid w:val="00360014"/>
    <w:rsid w:val="0036034D"/>
    <w:rsid w:val="00360905"/>
    <w:rsid w:val="00360C5C"/>
    <w:rsid w:val="00361020"/>
    <w:rsid w:val="0036120C"/>
    <w:rsid w:val="0036176F"/>
    <w:rsid w:val="003624A4"/>
    <w:rsid w:val="0036298D"/>
    <w:rsid w:val="00362FB3"/>
    <w:rsid w:val="00363362"/>
    <w:rsid w:val="0036352E"/>
    <w:rsid w:val="003635F5"/>
    <w:rsid w:val="0036367D"/>
    <w:rsid w:val="0036390B"/>
    <w:rsid w:val="00363B87"/>
    <w:rsid w:val="00363CB0"/>
    <w:rsid w:val="00363D31"/>
    <w:rsid w:val="003640AD"/>
    <w:rsid w:val="0036426E"/>
    <w:rsid w:val="0036440D"/>
    <w:rsid w:val="0036442C"/>
    <w:rsid w:val="00364435"/>
    <w:rsid w:val="003645D8"/>
    <w:rsid w:val="00364788"/>
    <w:rsid w:val="0036479A"/>
    <w:rsid w:val="00364D89"/>
    <w:rsid w:val="00364FF8"/>
    <w:rsid w:val="003654CF"/>
    <w:rsid w:val="003657B6"/>
    <w:rsid w:val="00365A11"/>
    <w:rsid w:val="0036638C"/>
    <w:rsid w:val="0036643B"/>
    <w:rsid w:val="00366C93"/>
    <w:rsid w:val="003678D8"/>
    <w:rsid w:val="00367935"/>
    <w:rsid w:val="00367A41"/>
    <w:rsid w:val="00370E16"/>
    <w:rsid w:val="00370F79"/>
    <w:rsid w:val="00371781"/>
    <w:rsid w:val="00371BF4"/>
    <w:rsid w:val="00371D98"/>
    <w:rsid w:val="00371FD0"/>
    <w:rsid w:val="003732C1"/>
    <w:rsid w:val="00373309"/>
    <w:rsid w:val="00373398"/>
    <w:rsid w:val="003734A7"/>
    <w:rsid w:val="00373591"/>
    <w:rsid w:val="00373653"/>
    <w:rsid w:val="0037365C"/>
    <w:rsid w:val="003739A0"/>
    <w:rsid w:val="00373D21"/>
    <w:rsid w:val="003740AF"/>
    <w:rsid w:val="00374268"/>
    <w:rsid w:val="003748F2"/>
    <w:rsid w:val="003748FB"/>
    <w:rsid w:val="00374ABD"/>
    <w:rsid w:val="00374D2A"/>
    <w:rsid w:val="0037525D"/>
    <w:rsid w:val="003756AA"/>
    <w:rsid w:val="0037581D"/>
    <w:rsid w:val="00375C3D"/>
    <w:rsid w:val="00375E2F"/>
    <w:rsid w:val="0037686B"/>
    <w:rsid w:val="00376A23"/>
    <w:rsid w:val="00376E56"/>
    <w:rsid w:val="00376FE6"/>
    <w:rsid w:val="003770BC"/>
    <w:rsid w:val="003776AB"/>
    <w:rsid w:val="00377BC7"/>
    <w:rsid w:val="003809E6"/>
    <w:rsid w:val="00380A85"/>
    <w:rsid w:val="00380AD8"/>
    <w:rsid w:val="00380C67"/>
    <w:rsid w:val="00380CD6"/>
    <w:rsid w:val="00381341"/>
    <w:rsid w:val="003818BD"/>
    <w:rsid w:val="00381CF0"/>
    <w:rsid w:val="00382279"/>
    <w:rsid w:val="0038246B"/>
    <w:rsid w:val="003825B7"/>
    <w:rsid w:val="00382C34"/>
    <w:rsid w:val="0038320B"/>
    <w:rsid w:val="003836CE"/>
    <w:rsid w:val="00383E47"/>
    <w:rsid w:val="00384048"/>
    <w:rsid w:val="003840AC"/>
    <w:rsid w:val="00384271"/>
    <w:rsid w:val="003842CC"/>
    <w:rsid w:val="003844D7"/>
    <w:rsid w:val="0038465F"/>
    <w:rsid w:val="00384DF4"/>
    <w:rsid w:val="00384F55"/>
    <w:rsid w:val="0038501A"/>
    <w:rsid w:val="003853FE"/>
    <w:rsid w:val="00385904"/>
    <w:rsid w:val="00385BD5"/>
    <w:rsid w:val="003863D0"/>
    <w:rsid w:val="003864EF"/>
    <w:rsid w:val="00386D65"/>
    <w:rsid w:val="00386DB5"/>
    <w:rsid w:val="00386DCC"/>
    <w:rsid w:val="00386F6D"/>
    <w:rsid w:val="00387343"/>
    <w:rsid w:val="00387DA3"/>
    <w:rsid w:val="00387DA5"/>
    <w:rsid w:val="00387F49"/>
    <w:rsid w:val="0039007B"/>
    <w:rsid w:val="0039007E"/>
    <w:rsid w:val="0039014E"/>
    <w:rsid w:val="00390161"/>
    <w:rsid w:val="0039029B"/>
    <w:rsid w:val="00390709"/>
    <w:rsid w:val="0039074F"/>
    <w:rsid w:val="00390898"/>
    <w:rsid w:val="003909C3"/>
    <w:rsid w:val="00390A9F"/>
    <w:rsid w:val="00390B0A"/>
    <w:rsid w:val="00390D83"/>
    <w:rsid w:val="00390DDB"/>
    <w:rsid w:val="00390F8D"/>
    <w:rsid w:val="0039118C"/>
    <w:rsid w:val="00391332"/>
    <w:rsid w:val="003915C8"/>
    <w:rsid w:val="0039162C"/>
    <w:rsid w:val="00391782"/>
    <w:rsid w:val="0039185B"/>
    <w:rsid w:val="00391D29"/>
    <w:rsid w:val="00392101"/>
    <w:rsid w:val="003925AF"/>
    <w:rsid w:val="00392711"/>
    <w:rsid w:val="00392BD2"/>
    <w:rsid w:val="00392D67"/>
    <w:rsid w:val="00392F7F"/>
    <w:rsid w:val="0039344E"/>
    <w:rsid w:val="00393F4E"/>
    <w:rsid w:val="0039424D"/>
    <w:rsid w:val="0039523E"/>
    <w:rsid w:val="003953B3"/>
    <w:rsid w:val="00395474"/>
    <w:rsid w:val="003957B9"/>
    <w:rsid w:val="00395A13"/>
    <w:rsid w:val="0039614F"/>
    <w:rsid w:val="003961AE"/>
    <w:rsid w:val="00396292"/>
    <w:rsid w:val="003965BD"/>
    <w:rsid w:val="00396775"/>
    <w:rsid w:val="00396A54"/>
    <w:rsid w:val="00396C62"/>
    <w:rsid w:val="00396C8F"/>
    <w:rsid w:val="00396D3B"/>
    <w:rsid w:val="00397435"/>
    <w:rsid w:val="00397573"/>
    <w:rsid w:val="00397A92"/>
    <w:rsid w:val="00397CCC"/>
    <w:rsid w:val="00397EB9"/>
    <w:rsid w:val="003A00FF"/>
    <w:rsid w:val="003A02F9"/>
    <w:rsid w:val="003A04E6"/>
    <w:rsid w:val="003A073A"/>
    <w:rsid w:val="003A0F44"/>
    <w:rsid w:val="003A112F"/>
    <w:rsid w:val="003A12D5"/>
    <w:rsid w:val="003A1466"/>
    <w:rsid w:val="003A1781"/>
    <w:rsid w:val="003A185E"/>
    <w:rsid w:val="003A19C5"/>
    <w:rsid w:val="003A1A42"/>
    <w:rsid w:val="003A20AD"/>
    <w:rsid w:val="003A25C6"/>
    <w:rsid w:val="003A2BDA"/>
    <w:rsid w:val="003A2E3D"/>
    <w:rsid w:val="003A2E83"/>
    <w:rsid w:val="003A2EBD"/>
    <w:rsid w:val="003A2F22"/>
    <w:rsid w:val="003A33B6"/>
    <w:rsid w:val="003A3B4C"/>
    <w:rsid w:val="003A3B86"/>
    <w:rsid w:val="003A3FC5"/>
    <w:rsid w:val="003A40F9"/>
    <w:rsid w:val="003A414B"/>
    <w:rsid w:val="003A4D35"/>
    <w:rsid w:val="003A539D"/>
    <w:rsid w:val="003A5CA0"/>
    <w:rsid w:val="003A5CFD"/>
    <w:rsid w:val="003A5D72"/>
    <w:rsid w:val="003A5F91"/>
    <w:rsid w:val="003A62C3"/>
    <w:rsid w:val="003A67DD"/>
    <w:rsid w:val="003A6824"/>
    <w:rsid w:val="003A6B3D"/>
    <w:rsid w:val="003A6E7D"/>
    <w:rsid w:val="003A703E"/>
    <w:rsid w:val="003A7155"/>
    <w:rsid w:val="003A7590"/>
    <w:rsid w:val="003A797F"/>
    <w:rsid w:val="003A7B9E"/>
    <w:rsid w:val="003A7EFA"/>
    <w:rsid w:val="003B0C28"/>
    <w:rsid w:val="003B1365"/>
    <w:rsid w:val="003B172A"/>
    <w:rsid w:val="003B29BA"/>
    <w:rsid w:val="003B2B16"/>
    <w:rsid w:val="003B2D2D"/>
    <w:rsid w:val="003B3745"/>
    <w:rsid w:val="003B3DB1"/>
    <w:rsid w:val="003B4164"/>
    <w:rsid w:val="003B455F"/>
    <w:rsid w:val="003B4748"/>
    <w:rsid w:val="003B4DB6"/>
    <w:rsid w:val="003B4E65"/>
    <w:rsid w:val="003B5397"/>
    <w:rsid w:val="003B59B8"/>
    <w:rsid w:val="003B5C7D"/>
    <w:rsid w:val="003B657F"/>
    <w:rsid w:val="003B6DF8"/>
    <w:rsid w:val="003B6F7C"/>
    <w:rsid w:val="003B798F"/>
    <w:rsid w:val="003C00CB"/>
    <w:rsid w:val="003C0158"/>
    <w:rsid w:val="003C066F"/>
    <w:rsid w:val="003C0861"/>
    <w:rsid w:val="003C098A"/>
    <w:rsid w:val="003C0BF0"/>
    <w:rsid w:val="003C0F47"/>
    <w:rsid w:val="003C181D"/>
    <w:rsid w:val="003C223B"/>
    <w:rsid w:val="003C2875"/>
    <w:rsid w:val="003C2996"/>
    <w:rsid w:val="003C2DE6"/>
    <w:rsid w:val="003C3786"/>
    <w:rsid w:val="003C37FE"/>
    <w:rsid w:val="003C3813"/>
    <w:rsid w:val="003C3F35"/>
    <w:rsid w:val="003C405D"/>
    <w:rsid w:val="003C4118"/>
    <w:rsid w:val="003C41E2"/>
    <w:rsid w:val="003C427A"/>
    <w:rsid w:val="003C42EB"/>
    <w:rsid w:val="003C4721"/>
    <w:rsid w:val="003C4E01"/>
    <w:rsid w:val="003C51A7"/>
    <w:rsid w:val="003C539E"/>
    <w:rsid w:val="003C557D"/>
    <w:rsid w:val="003C5663"/>
    <w:rsid w:val="003C5782"/>
    <w:rsid w:val="003C5915"/>
    <w:rsid w:val="003C5929"/>
    <w:rsid w:val="003C59CB"/>
    <w:rsid w:val="003C5EFF"/>
    <w:rsid w:val="003C60A7"/>
    <w:rsid w:val="003C60E4"/>
    <w:rsid w:val="003C6606"/>
    <w:rsid w:val="003C6677"/>
    <w:rsid w:val="003C6697"/>
    <w:rsid w:val="003C732C"/>
    <w:rsid w:val="003C78B9"/>
    <w:rsid w:val="003C7C1C"/>
    <w:rsid w:val="003C7DD3"/>
    <w:rsid w:val="003C7EF1"/>
    <w:rsid w:val="003D03D4"/>
    <w:rsid w:val="003D0520"/>
    <w:rsid w:val="003D09EF"/>
    <w:rsid w:val="003D0A80"/>
    <w:rsid w:val="003D1573"/>
    <w:rsid w:val="003D1671"/>
    <w:rsid w:val="003D18A2"/>
    <w:rsid w:val="003D1AAE"/>
    <w:rsid w:val="003D1B61"/>
    <w:rsid w:val="003D1D9E"/>
    <w:rsid w:val="003D2644"/>
    <w:rsid w:val="003D27C5"/>
    <w:rsid w:val="003D2A4F"/>
    <w:rsid w:val="003D2AAB"/>
    <w:rsid w:val="003D2EA4"/>
    <w:rsid w:val="003D2F8E"/>
    <w:rsid w:val="003D3149"/>
    <w:rsid w:val="003D36CD"/>
    <w:rsid w:val="003D375F"/>
    <w:rsid w:val="003D3B04"/>
    <w:rsid w:val="003D3BC9"/>
    <w:rsid w:val="003D4739"/>
    <w:rsid w:val="003D4D61"/>
    <w:rsid w:val="003D5241"/>
    <w:rsid w:val="003D5513"/>
    <w:rsid w:val="003D551C"/>
    <w:rsid w:val="003D59DB"/>
    <w:rsid w:val="003D5DFA"/>
    <w:rsid w:val="003D6446"/>
    <w:rsid w:val="003D6495"/>
    <w:rsid w:val="003D661A"/>
    <w:rsid w:val="003D676D"/>
    <w:rsid w:val="003D6931"/>
    <w:rsid w:val="003D6AE3"/>
    <w:rsid w:val="003D6B6D"/>
    <w:rsid w:val="003D6BB1"/>
    <w:rsid w:val="003D765F"/>
    <w:rsid w:val="003D7A38"/>
    <w:rsid w:val="003E0259"/>
    <w:rsid w:val="003E06A7"/>
    <w:rsid w:val="003E0AE2"/>
    <w:rsid w:val="003E0BA9"/>
    <w:rsid w:val="003E1370"/>
    <w:rsid w:val="003E13E1"/>
    <w:rsid w:val="003E1AB8"/>
    <w:rsid w:val="003E224E"/>
    <w:rsid w:val="003E24F8"/>
    <w:rsid w:val="003E30BB"/>
    <w:rsid w:val="003E37AD"/>
    <w:rsid w:val="003E3DB1"/>
    <w:rsid w:val="003E40C8"/>
    <w:rsid w:val="003E4309"/>
    <w:rsid w:val="003E44BB"/>
    <w:rsid w:val="003E4572"/>
    <w:rsid w:val="003E4C93"/>
    <w:rsid w:val="003E4D9D"/>
    <w:rsid w:val="003E56A6"/>
    <w:rsid w:val="003E580C"/>
    <w:rsid w:val="003E59C9"/>
    <w:rsid w:val="003E5A9C"/>
    <w:rsid w:val="003E5AC1"/>
    <w:rsid w:val="003E6155"/>
    <w:rsid w:val="003E6362"/>
    <w:rsid w:val="003E6961"/>
    <w:rsid w:val="003E6C77"/>
    <w:rsid w:val="003E6D75"/>
    <w:rsid w:val="003E78BF"/>
    <w:rsid w:val="003E7F62"/>
    <w:rsid w:val="003F0298"/>
    <w:rsid w:val="003F0465"/>
    <w:rsid w:val="003F0796"/>
    <w:rsid w:val="003F07A4"/>
    <w:rsid w:val="003F0BD7"/>
    <w:rsid w:val="003F1258"/>
    <w:rsid w:val="003F1283"/>
    <w:rsid w:val="003F163A"/>
    <w:rsid w:val="003F1B10"/>
    <w:rsid w:val="003F1E8A"/>
    <w:rsid w:val="003F1EFE"/>
    <w:rsid w:val="003F21BA"/>
    <w:rsid w:val="003F23E9"/>
    <w:rsid w:val="003F2FD7"/>
    <w:rsid w:val="003F3035"/>
    <w:rsid w:val="003F3833"/>
    <w:rsid w:val="003F3C01"/>
    <w:rsid w:val="003F3C08"/>
    <w:rsid w:val="003F3DE6"/>
    <w:rsid w:val="003F4020"/>
    <w:rsid w:val="003F444E"/>
    <w:rsid w:val="003F4B55"/>
    <w:rsid w:val="003F50B6"/>
    <w:rsid w:val="003F5484"/>
    <w:rsid w:val="003F550F"/>
    <w:rsid w:val="003F58D5"/>
    <w:rsid w:val="003F58DC"/>
    <w:rsid w:val="003F5AFC"/>
    <w:rsid w:val="003F5C5B"/>
    <w:rsid w:val="003F6550"/>
    <w:rsid w:val="003F6A17"/>
    <w:rsid w:val="003F6E07"/>
    <w:rsid w:val="003F6FFB"/>
    <w:rsid w:val="003F7E10"/>
    <w:rsid w:val="00400A22"/>
    <w:rsid w:val="004016F9"/>
    <w:rsid w:val="00401A0F"/>
    <w:rsid w:val="00401A99"/>
    <w:rsid w:val="00401AD7"/>
    <w:rsid w:val="00401B9C"/>
    <w:rsid w:val="00401C7D"/>
    <w:rsid w:val="00402076"/>
    <w:rsid w:val="0040218D"/>
    <w:rsid w:val="00402F40"/>
    <w:rsid w:val="004030C4"/>
    <w:rsid w:val="00403982"/>
    <w:rsid w:val="00403E63"/>
    <w:rsid w:val="00403F9D"/>
    <w:rsid w:val="00404692"/>
    <w:rsid w:val="00404AB2"/>
    <w:rsid w:val="00404E1F"/>
    <w:rsid w:val="00404E3E"/>
    <w:rsid w:val="00405064"/>
    <w:rsid w:val="00405105"/>
    <w:rsid w:val="00405757"/>
    <w:rsid w:val="00405798"/>
    <w:rsid w:val="00405B72"/>
    <w:rsid w:val="00405BD8"/>
    <w:rsid w:val="00405EB7"/>
    <w:rsid w:val="004065AD"/>
    <w:rsid w:val="00406C70"/>
    <w:rsid w:val="00406D45"/>
    <w:rsid w:val="0040750F"/>
    <w:rsid w:val="004078CD"/>
    <w:rsid w:val="00407DC2"/>
    <w:rsid w:val="00410055"/>
    <w:rsid w:val="004101FA"/>
    <w:rsid w:val="004103B6"/>
    <w:rsid w:val="00410705"/>
    <w:rsid w:val="00410A48"/>
    <w:rsid w:val="00410B32"/>
    <w:rsid w:val="00410C43"/>
    <w:rsid w:val="004112E9"/>
    <w:rsid w:val="00411318"/>
    <w:rsid w:val="004116DF"/>
    <w:rsid w:val="00411759"/>
    <w:rsid w:val="00411768"/>
    <w:rsid w:val="004117E0"/>
    <w:rsid w:val="00411B9B"/>
    <w:rsid w:val="00411CB2"/>
    <w:rsid w:val="00412105"/>
    <w:rsid w:val="00412A40"/>
    <w:rsid w:val="00412AC4"/>
    <w:rsid w:val="00412DA0"/>
    <w:rsid w:val="00413C34"/>
    <w:rsid w:val="004140C6"/>
    <w:rsid w:val="004141BD"/>
    <w:rsid w:val="0041435D"/>
    <w:rsid w:val="004147D1"/>
    <w:rsid w:val="00414931"/>
    <w:rsid w:val="00414AF6"/>
    <w:rsid w:val="00414B59"/>
    <w:rsid w:val="004151F3"/>
    <w:rsid w:val="00415640"/>
    <w:rsid w:val="0041579E"/>
    <w:rsid w:val="00415B76"/>
    <w:rsid w:val="00415E52"/>
    <w:rsid w:val="004164CD"/>
    <w:rsid w:val="00416C3A"/>
    <w:rsid w:val="00416DCD"/>
    <w:rsid w:val="00416E6C"/>
    <w:rsid w:val="0041795D"/>
    <w:rsid w:val="00417D0F"/>
    <w:rsid w:val="00417DF4"/>
    <w:rsid w:val="004204D0"/>
    <w:rsid w:val="00420777"/>
    <w:rsid w:val="004207FC"/>
    <w:rsid w:val="00420E3D"/>
    <w:rsid w:val="004216AD"/>
    <w:rsid w:val="00421AB0"/>
    <w:rsid w:val="00421DA4"/>
    <w:rsid w:val="004220E7"/>
    <w:rsid w:val="00422609"/>
    <w:rsid w:val="0042273D"/>
    <w:rsid w:val="00422E9F"/>
    <w:rsid w:val="00423029"/>
    <w:rsid w:val="004238E1"/>
    <w:rsid w:val="00423A1D"/>
    <w:rsid w:val="00423AAD"/>
    <w:rsid w:val="00423AFB"/>
    <w:rsid w:val="00423B06"/>
    <w:rsid w:val="00423E44"/>
    <w:rsid w:val="00424145"/>
    <w:rsid w:val="00424359"/>
    <w:rsid w:val="004245EF"/>
    <w:rsid w:val="004246B4"/>
    <w:rsid w:val="00424989"/>
    <w:rsid w:val="00424ED4"/>
    <w:rsid w:val="00425F15"/>
    <w:rsid w:val="004263B7"/>
    <w:rsid w:val="004263C4"/>
    <w:rsid w:val="00426867"/>
    <w:rsid w:val="00426AA1"/>
    <w:rsid w:val="00427622"/>
    <w:rsid w:val="004278C7"/>
    <w:rsid w:val="004279F6"/>
    <w:rsid w:val="00427CFF"/>
    <w:rsid w:val="0043025B"/>
    <w:rsid w:val="00430360"/>
    <w:rsid w:val="00430483"/>
    <w:rsid w:val="00430764"/>
    <w:rsid w:val="00430C64"/>
    <w:rsid w:val="00431132"/>
    <w:rsid w:val="0043159B"/>
    <w:rsid w:val="00432105"/>
    <w:rsid w:val="00432287"/>
    <w:rsid w:val="00432302"/>
    <w:rsid w:val="00432398"/>
    <w:rsid w:val="004324F3"/>
    <w:rsid w:val="00433477"/>
    <w:rsid w:val="004335DE"/>
    <w:rsid w:val="00433654"/>
    <w:rsid w:val="00433768"/>
    <w:rsid w:val="00433830"/>
    <w:rsid w:val="00433BE4"/>
    <w:rsid w:val="00434510"/>
    <w:rsid w:val="0043469A"/>
    <w:rsid w:val="0043478C"/>
    <w:rsid w:val="00434F20"/>
    <w:rsid w:val="0043511A"/>
    <w:rsid w:val="0043558A"/>
    <w:rsid w:val="0043588D"/>
    <w:rsid w:val="00435A40"/>
    <w:rsid w:val="00435ABC"/>
    <w:rsid w:val="00435DEC"/>
    <w:rsid w:val="00436437"/>
    <w:rsid w:val="0043737A"/>
    <w:rsid w:val="004373A2"/>
    <w:rsid w:val="0043778F"/>
    <w:rsid w:val="004379B8"/>
    <w:rsid w:val="00437F25"/>
    <w:rsid w:val="0044004F"/>
    <w:rsid w:val="00440196"/>
    <w:rsid w:val="0044063E"/>
    <w:rsid w:val="00440DE5"/>
    <w:rsid w:val="00440E7F"/>
    <w:rsid w:val="004413AC"/>
    <w:rsid w:val="004416C3"/>
    <w:rsid w:val="00441CD6"/>
    <w:rsid w:val="00441E9D"/>
    <w:rsid w:val="004420FE"/>
    <w:rsid w:val="004425AA"/>
    <w:rsid w:val="004425C1"/>
    <w:rsid w:val="004427E9"/>
    <w:rsid w:val="00442C50"/>
    <w:rsid w:val="00442CB7"/>
    <w:rsid w:val="004434B2"/>
    <w:rsid w:val="004434C3"/>
    <w:rsid w:val="004436E4"/>
    <w:rsid w:val="00443946"/>
    <w:rsid w:val="00443993"/>
    <w:rsid w:val="00443DF9"/>
    <w:rsid w:val="00443F97"/>
    <w:rsid w:val="004441F7"/>
    <w:rsid w:val="0044439F"/>
    <w:rsid w:val="0044449A"/>
    <w:rsid w:val="004447A7"/>
    <w:rsid w:val="00444B6C"/>
    <w:rsid w:val="00444EB7"/>
    <w:rsid w:val="0044525C"/>
    <w:rsid w:val="00445492"/>
    <w:rsid w:val="0044592E"/>
    <w:rsid w:val="00445AA6"/>
    <w:rsid w:val="00445BF4"/>
    <w:rsid w:val="00445C09"/>
    <w:rsid w:val="00445F43"/>
    <w:rsid w:val="004460BF"/>
    <w:rsid w:val="004460CD"/>
    <w:rsid w:val="004465BD"/>
    <w:rsid w:val="0044697B"/>
    <w:rsid w:val="00446D66"/>
    <w:rsid w:val="00446E72"/>
    <w:rsid w:val="00446F3E"/>
    <w:rsid w:val="004471DD"/>
    <w:rsid w:val="004478A5"/>
    <w:rsid w:val="004479B4"/>
    <w:rsid w:val="00447DF5"/>
    <w:rsid w:val="00450457"/>
    <w:rsid w:val="004504B2"/>
    <w:rsid w:val="004509F2"/>
    <w:rsid w:val="0045125F"/>
    <w:rsid w:val="0045132B"/>
    <w:rsid w:val="0045168B"/>
    <w:rsid w:val="00451B5A"/>
    <w:rsid w:val="004522BF"/>
    <w:rsid w:val="00453517"/>
    <w:rsid w:val="00453767"/>
    <w:rsid w:val="00453E64"/>
    <w:rsid w:val="0045462F"/>
    <w:rsid w:val="0045534D"/>
    <w:rsid w:val="00455543"/>
    <w:rsid w:val="00455855"/>
    <w:rsid w:val="00455AB3"/>
    <w:rsid w:val="00455F8C"/>
    <w:rsid w:val="00456775"/>
    <w:rsid w:val="00456A28"/>
    <w:rsid w:val="00457007"/>
    <w:rsid w:val="004573B4"/>
    <w:rsid w:val="00457595"/>
    <w:rsid w:val="0046033B"/>
    <w:rsid w:val="00460687"/>
    <w:rsid w:val="00460A3E"/>
    <w:rsid w:val="00460BEF"/>
    <w:rsid w:val="00460F2E"/>
    <w:rsid w:val="004614D5"/>
    <w:rsid w:val="00461B08"/>
    <w:rsid w:val="00461CB2"/>
    <w:rsid w:val="00461F8F"/>
    <w:rsid w:val="00461FC3"/>
    <w:rsid w:val="004621BB"/>
    <w:rsid w:val="0046267D"/>
    <w:rsid w:val="00462904"/>
    <w:rsid w:val="00463A25"/>
    <w:rsid w:val="00463A91"/>
    <w:rsid w:val="00463DAE"/>
    <w:rsid w:val="00464090"/>
    <w:rsid w:val="004641B6"/>
    <w:rsid w:val="00464CA0"/>
    <w:rsid w:val="00464CFC"/>
    <w:rsid w:val="00464D89"/>
    <w:rsid w:val="00465743"/>
    <w:rsid w:val="00465748"/>
    <w:rsid w:val="004659B3"/>
    <w:rsid w:val="00465B2B"/>
    <w:rsid w:val="00465E38"/>
    <w:rsid w:val="00465E99"/>
    <w:rsid w:val="00466043"/>
    <w:rsid w:val="00466595"/>
    <w:rsid w:val="00466621"/>
    <w:rsid w:val="00466648"/>
    <w:rsid w:val="004667F4"/>
    <w:rsid w:val="00466BC0"/>
    <w:rsid w:val="004674C0"/>
    <w:rsid w:val="00467B2F"/>
    <w:rsid w:val="00467B99"/>
    <w:rsid w:val="004700C8"/>
    <w:rsid w:val="004702F4"/>
    <w:rsid w:val="0047042B"/>
    <w:rsid w:val="00470631"/>
    <w:rsid w:val="0047087D"/>
    <w:rsid w:val="004708FD"/>
    <w:rsid w:val="00470F83"/>
    <w:rsid w:val="00471038"/>
    <w:rsid w:val="00471F47"/>
    <w:rsid w:val="00472000"/>
    <w:rsid w:val="00472060"/>
    <w:rsid w:val="004720F8"/>
    <w:rsid w:val="00472382"/>
    <w:rsid w:val="0047246B"/>
    <w:rsid w:val="00472693"/>
    <w:rsid w:val="00472B41"/>
    <w:rsid w:val="00472BD8"/>
    <w:rsid w:val="00473172"/>
    <w:rsid w:val="004734CB"/>
    <w:rsid w:val="004735DF"/>
    <w:rsid w:val="00473BA5"/>
    <w:rsid w:val="00473F5D"/>
    <w:rsid w:val="00473FD9"/>
    <w:rsid w:val="004742A9"/>
    <w:rsid w:val="00474407"/>
    <w:rsid w:val="00474556"/>
    <w:rsid w:val="004745FD"/>
    <w:rsid w:val="004749CC"/>
    <w:rsid w:val="00474BE1"/>
    <w:rsid w:val="004752D6"/>
    <w:rsid w:val="00475727"/>
    <w:rsid w:val="004758DE"/>
    <w:rsid w:val="00475A06"/>
    <w:rsid w:val="00475A7A"/>
    <w:rsid w:val="00476200"/>
    <w:rsid w:val="004764EB"/>
    <w:rsid w:val="004766DA"/>
    <w:rsid w:val="0047698B"/>
    <w:rsid w:val="00476AB9"/>
    <w:rsid w:val="00476B27"/>
    <w:rsid w:val="00477183"/>
    <w:rsid w:val="004773A4"/>
    <w:rsid w:val="00477465"/>
    <w:rsid w:val="00477469"/>
    <w:rsid w:val="00477CD2"/>
    <w:rsid w:val="00480569"/>
    <w:rsid w:val="00480645"/>
    <w:rsid w:val="004807F9"/>
    <w:rsid w:val="00480943"/>
    <w:rsid w:val="00480A86"/>
    <w:rsid w:val="0048129F"/>
    <w:rsid w:val="00481415"/>
    <w:rsid w:val="004815BC"/>
    <w:rsid w:val="0048181F"/>
    <w:rsid w:val="004819D1"/>
    <w:rsid w:val="00481A03"/>
    <w:rsid w:val="00482510"/>
    <w:rsid w:val="00482554"/>
    <w:rsid w:val="004826DD"/>
    <w:rsid w:val="00482BC2"/>
    <w:rsid w:val="004836D9"/>
    <w:rsid w:val="00483B30"/>
    <w:rsid w:val="00483BEF"/>
    <w:rsid w:val="00483D34"/>
    <w:rsid w:val="00484297"/>
    <w:rsid w:val="00484526"/>
    <w:rsid w:val="004846A3"/>
    <w:rsid w:val="004849F6"/>
    <w:rsid w:val="00484CED"/>
    <w:rsid w:val="00484E6F"/>
    <w:rsid w:val="004850B8"/>
    <w:rsid w:val="00485419"/>
    <w:rsid w:val="00485498"/>
    <w:rsid w:val="00485950"/>
    <w:rsid w:val="00485AC6"/>
    <w:rsid w:val="00485E05"/>
    <w:rsid w:val="00485E94"/>
    <w:rsid w:val="0048601C"/>
    <w:rsid w:val="004860CC"/>
    <w:rsid w:val="0048667A"/>
    <w:rsid w:val="00486988"/>
    <w:rsid w:val="004869A9"/>
    <w:rsid w:val="004873B0"/>
    <w:rsid w:val="004873B9"/>
    <w:rsid w:val="0048758F"/>
    <w:rsid w:val="00487702"/>
    <w:rsid w:val="004878D3"/>
    <w:rsid w:val="00487B33"/>
    <w:rsid w:val="00487C37"/>
    <w:rsid w:val="0049010E"/>
    <w:rsid w:val="004902EC"/>
    <w:rsid w:val="004903E0"/>
    <w:rsid w:val="00490498"/>
    <w:rsid w:val="00490B25"/>
    <w:rsid w:val="00490B90"/>
    <w:rsid w:val="00490BEA"/>
    <w:rsid w:val="00490E32"/>
    <w:rsid w:val="0049117A"/>
    <w:rsid w:val="00491237"/>
    <w:rsid w:val="0049143A"/>
    <w:rsid w:val="0049154F"/>
    <w:rsid w:val="004918F6"/>
    <w:rsid w:val="00491DF2"/>
    <w:rsid w:val="00491E68"/>
    <w:rsid w:val="0049264A"/>
    <w:rsid w:val="004926B7"/>
    <w:rsid w:val="004926D9"/>
    <w:rsid w:val="00492A89"/>
    <w:rsid w:val="00492FB6"/>
    <w:rsid w:val="004934A2"/>
    <w:rsid w:val="004935D8"/>
    <w:rsid w:val="004937D6"/>
    <w:rsid w:val="00493808"/>
    <w:rsid w:val="00493811"/>
    <w:rsid w:val="004939E0"/>
    <w:rsid w:val="00493DC4"/>
    <w:rsid w:val="00494B22"/>
    <w:rsid w:val="00495115"/>
    <w:rsid w:val="004955CD"/>
    <w:rsid w:val="004958F2"/>
    <w:rsid w:val="00495904"/>
    <w:rsid w:val="00495B51"/>
    <w:rsid w:val="00496211"/>
    <w:rsid w:val="0049638F"/>
    <w:rsid w:val="00496448"/>
    <w:rsid w:val="004965B0"/>
    <w:rsid w:val="0049661B"/>
    <w:rsid w:val="00496858"/>
    <w:rsid w:val="00496EAE"/>
    <w:rsid w:val="00497113"/>
    <w:rsid w:val="00497C15"/>
    <w:rsid w:val="00497F2D"/>
    <w:rsid w:val="00497F39"/>
    <w:rsid w:val="004A0343"/>
    <w:rsid w:val="004A05C9"/>
    <w:rsid w:val="004A05EA"/>
    <w:rsid w:val="004A0E43"/>
    <w:rsid w:val="004A0F09"/>
    <w:rsid w:val="004A18E1"/>
    <w:rsid w:val="004A18E3"/>
    <w:rsid w:val="004A263E"/>
    <w:rsid w:val="004A2713"/>
    <w:rsid w:val="004A2A6D"/>
    <w:rsid w:val="004A4250"/>
    <w:rsid w:val="004A4AA4"/>
    <w:rsid w:val="004A4EC7"/>
    <w:rsid w:val="004A55D8"/>
    <w:rsid w:val="004A5671"/>
    <w:rsid w:val="004A5806"/>
    <w:rsid w:val="004A583D"/>
    <w:rsid w:val="004A5A28"/>
    <w:rsid w:val="004A5D0E"/>
    <w:rsid w:val="004A5EAA"/>
    <w:rsid w:val="004A5FD2"/>
    <w:rsid w:val="004A61F9"/>
    <w:rsid w:val="004A6D90"/>
    <w:rsid w:val="004A6E15"/>
    <w:rsid w:val="004A6E9F"/>
    <w:rsid w:val="004A7096"/>
    <w:rsid w:val="004A7097"/>
    <w:rsid w:val="004A710B"/>
    <w:rsid w:val="004A7408"/>
    <w:rsid w:val="004A7EA2"/>
    <w:rsid w:val="004B06D6"/>
    <w:rsid w:val="004B0D6B"/>
    <w:rsid w:val="004B0EFB"/>
    <w:rsid w:val="004B0F5F"/>
    <w:rsid w:val="004B1394"/>
    <w:rsid w:val="004B13A6"/>
    <w:rsid w:val="004B17C8"/>
    <w:rsid w:val="004B2039"/>
    <w:rsid w:val="004B2412"/>
    <w:rsid w:val="004B25B7"/>
    <w:rsid w:val="004B2BE0"/>
    <w:rsid w:val="004B2C90"/>
    <w:rsid w:val="004B2CDB"/>
    <w:rsid w:val="004B2F0E"/>
    <w:rsid w:val="004B2F9E"/>
    <w:rsid w:val="004B3226"/>
    <w:rsid w:val="004B38F2"/>
    <w:rsid w:val="004B39AD"/>
    <w:rsid w:val="004B3D59"/>
    <w:rsid w:val="004B3E26"/>
    <w:rsid w:val="004B48CC"/>
    <w:rsid w:val="004B4B43"/>
    <w:rsid w:val="004B53A4"/>
    <w:rsid w:val="004B64AC"/>
    <w:rsid w:val="004B6686"/>
    <w:rsid w:val="004B6D52"/>
    <w:rsid w:val="004B72F3"/>
    <w:rsid w:val="004B78CA"/>
    <w:rsid w:val="004B793A"/>
    <w:rsid w:val="004B796E"/>
    <w:rsid w:val="004B7989"/>
    <w:rsid w:val="004B79C5"/>
    <w:rsid w:val="004B7A3D"/>
    <w:rsid w:val="004B7C9B"/>
    <w:rsid w:val="004B7DB5"/>
    <w:rsid w:val="004B7EDD"/>
    <w:rsid w:val="004B7F49"/>
    <w:rsid w:val="004C09AA"/>
    <w:rsid w:val="004C0F3E"/>
    <w:rsid w:val="004C0F4F"/>
    <w:rsid w:val="004C101E"/>
    <w:rsid w:val="004C11B1"/>
    <w:rsid w:val="004C16E0"/>
    <w:rsid w:val="004C179D"/>
    <w:rsid w:val="004C17DE"/>
    <w:rsid w:val="004C205B"/>
    <w:rsid w:val="004C2635"/>
    <w:rsid w:val="004C27DA"/>
    <w:rsid w:val="004C281F"/>
    <w:rsid w:val="004C29CA"/>
    <w:rsid w:val="004C2E1A"/>
    <w:rsid w:val="004C2EF8"/>
    <w:rsid w:val="004C308B"/>
    <w:rsid w:val="004C3427"/>
    <w:rsid w:val="004C38B0"/>
    <w:rsid w:val="004C38CD"/>
    <w:rsid w:val="004C3C3A"/>
    <w:rsid w:val="004C3EFC"/>
    <w:rsid w:val="004C404D"/>
    <w:rsid w:val="004C4418"/>
    <w:rsid w:val="004C4932"/>
    <w:rsid w:val="004C4BD2"/>
    <w:rsid w:val="004C4C25"/>
    <w:rsid w:val="004C4DC8"/>
    <w:rsid w:val="004C54A4"/>
    <w:rsid w:val="004C5B2E"/>
    <w:rsid w:val="004C5CA3"/>
    <w:rsid w:val="004C6235"/>
    <w:rsid w:val="004C6336"/>
    <w:rsid w:val="004C6385"/>
    <w:rsid w:val="004C63F4"/>
    <w:rsid w:val="004C65A0"/>
    <w:rsid w:val="004C6AAC"/>
    <w:rsid w:val="004C6BB9"/>
    <w:rsid w:val="004C6D38"/>
    <w:rsid w:val="004C6D6D"/>
    <w:rsid w:val="004C7253"/>
    <w:rsid w:val="004C75D5"/>
    <w:rsid w:val="004D008C"/>
    <w:rsid w:val="004D00DD"/>
    <w:rsid w:val="004D0610"/>
    <w:rsid w:val="004D0DFB"/>
    <w:rsid w:val="004D123C"/>
    <w:rsid w:val="004D1509"/>
    <w:rsid w:val="004D19C0"/>
    <w:rsid w:val="004D1CB0"/>
    <w:rsid w:val="004D1D24"/>
    <w:rsid w:val="004D1F15"/>
    <w:rsid w:val="004D2EA8"/>
    <w:rsid w:val="004D3335"/>
    <w:rsid w:val="004D3941"/>
    <w:rsid w:val="004D3D77"/>
    <w:rsid w:val="004D3ED8"/>
    <w:rsid w:val="004D450B"/>
    <w:rsid w:val="004D4877"/>
    <w:rsid w:val="004D48F7"/>
    <w:rsid w:val="004D53D8"/>
    <w:rsid w:val="004D5FED"/>
    <w:rsid w:val="004D60F7"/>
    <w:rsid w:val="004D6718"/>
    <w:rsid w:val="004D6B65"/>
    <w:rsid w:val="004D6B7C"/>
    <w:rsid w:val="004D6D28"/>
    <w:rsid w:val="004D6E40"/>
    <w:rsid w:val="004E0676"/>
    <w:rsid w:val="004E06DF"/>
    <w:rsid w:val="004E08C8"/>
    <w:rsid w:val="004E0C63"/>
    <w:rsid w:val="004E0CA1"/>
    <w:rsid w:val="004E16B4"/>
    <w:rsid w:val="004E16B5"/>
    <w:rsid w:val="004E1D44"/>
    <w:rsid w:val="004E22A6"/>
    <w:rsid w:val="004E26E2"/>
    <w:rsid w:val="004E2719"/>
    <w:rsid w:val="004E29A3"/>
    <w:rsid w:val="004E2A03"/>
    <w:rsid w:val="004E3969"/>
    <w:rsid w:val="004E3BCD"/>
    <w:rsid w:val="004E3DF1"/>
    <w:rsid w:val="004E4BBB"/>
    <w:rsid w:val="004E4C42"/>
    <w:rsid w:val="004E559A"/>
    <w:rsid w:val="004E5FAD"/>
    <w:rsid w:val="004E62F1"/>
    <w:rsid w:val="004E659A"/>
    <w:rsid w:val="004E6AC3"/>
    <w:rsid w:val="004E6AD3"/>
    <w:rsid w:val="004E6E65"/>
    <w:rsid w:val="004E6F33"/>
    <w:rsid w:val="004E6FC9"/>
    <w:rsid w:val="004E71DD"/>
    <w:rsid w:val="004E73B5"/>
    <w:rsid w:val="004E76CC"/>
    <w:rsid w:val="004E77FA"/>
    <w:rsid w:val="004E7854"/>
    <w:rsid w:val="004F0398"/>
    <w:rsid w:val="004F0DFF"/>
    <w:rsid w:val="004F1105"/>
    <w:rsid w:val="004F13D9"/>
    <w:rsid w:val="004F13DF"/>
    <w:rsid w:val="004F163D"/>
    <w:rsid w:val="004F1D93"/>
    <w:rsid w:val="004F2080"/>
    <w:rsid w:val="004F22E1"/>
    <w:rsid w:val="004F2305"/>
    <w:rsid w:val="004F23BF"/>
    <w:rsid w:val="004F2688"/>
    <w:rsid w:val="004F2BE5"/>
    <w:rsid w:val="004F3087"/>
    <w:rsid w:val="004F375F"/>
    <w:rsid w:val="004F4C4F"/>
    <w:rsid w:val="004F4D77"/>
    <w:rsid w:val="004F4D8B"/>
    <w:rsid w:val="004F4ED1"/>
    <w:rsid w:val="004F5D20"/>
    <w:rsid w:val="004F6230"/>
    <w:rsid w:val="004F6548"/>
    <w:rsid w:val="004F694B"/>
    <w:rsid w:val="004F69D0"/>
    <w:rsid w:val="004F6B0F"/>
    <w:rsid w:val="004F6B50"/>
    <w:rsid w:val="004F713E"/>
    <w:rsid w:val="004F7381"/>
    <w:rsid w:val="004F73C7"/>
    <w:rsid w:val="004F7CBC"/>
    <w:rsid w:val="00501295"/>
    <w:rsid w:val="00501655"/>
    <w:rsid w:val="00501768"/>
    <w:rsid w:val="0050180F"/>
    <w:rsid w:val="00501F7B"/>
    <w:rsid w:val="0050294A"/>
    <w:rsid w:val="00502CE7"/>
    <w:rsid w:val="00502FFF"/>
    <w:rsid w:val="00503150"/>
    <w:rsid w:val="00503591"/>
    <w:rsid w:val="005037D1"/>
    <w:rsid w:val="00503951"/>
    <w:rsid w:val="00503977"/>
    <w:rsid w:val="00503A7A"/>
    <w:rsid w:val="00503C52"/>
    <w:rsid w:val="00504077"/>
    <w:rsid w:val="00504705"/>
    <w:rsid w:val="00504900"/>
    <w:rsid w:val="00505082"/>
    <w:rsid w:val="005051BF"/>
    <w:rsid w:val="005057F9"/>
    <w:rsid w:val="00505A55"/>
    <w:rsid w:val="00505F33"/>
    <w:rsid w:val="00506357"/>
    <w:rsid w:val="00506741"/>
    <w:rsid w:val="00506E95"/>
    <w:rsid w:val="005072D3"/>
    <w:rsid w:val="00507861"/>
    <w:rsid w:val="00507B31"/>
    <w:rsid w:val="00507E87"/>
    <w:rsid w:val="0051001A"/>
    <w:rsid w:val="005107A0"/>
    <w:rsid w:val="0051165C"/>
    <w:rsid w:val="0051169C"/>
    <w:rsid w:val="00511983"/>
    <w:rsid w:val="00511984"/>
    <w:rsid w:val="00511B93"/>
    <w:rsid w:val="00511BAE"/>
    <w:rsid w:val="00511EA9"/>
    <w:rsid w:val="00511FD1"/>
    <w:rsid w:val="00512037"/>
    <w:rsid w:val="005122D0"/>
    <w:rsid w:val="005124A5"/>
    <w:rsid w:val="005126ED"/>
    <w:rsid w:val="00512C37"/>
    <w:rsid w:val="00513103"/>
    <w:rsid w:val="00513636"/>
    <w:rsid w:val="005138E8"/>
    <w:rsid w:val="0051414A"/>
    <w:rsid w:val="00514332"/>
    <w:rsid w:val="00514525"/>
    <w:rsid w:val="00514684"/>
    <w:rsid w:val="00514B17"/>
    <w:rsid w:val="00514DC5"/>
    <w:rsid w:val="005154F5"/>
    <w:rsid w:val="005158C9"/>
    <w:rsid w:val="00515A04"/>
    <w:rsid w:val="00515A7A"/>
    <w:rsid w:val="00515C6E"/>
    <w:rsid w:val="00515E64"/>
    <w:rsid w:val="005160C2"/>
    <w:rsid w:val="005164D8"/>
    <w:rsid w:val="0051680E"/>
    <w:rsid w:val="00516DBD"/>
    <w:rsid w:val="00517D00"/>
    <w:rsid w:val="00517D27"/>
    <w:rsid w:val="00517E75"/>
    <w:rsid w:val="00517F6F"/>
    <w:rsid w:val="005202BA"/>
    <w:rsid w:val="005203CF"/>
    <w:rsid w:val="00520478"/>
    <w:rsid w:val="005206F1"/>
    <w:rsid w:val="00520DB6"/>
    <w:rsid w:val="00520EA1"/>
    <w:rsid w:val="00520FA3"/>
    <w:rsid w:val="0052144F"/>
    <w:rsid w:val="005214E9"/>
    <w:rsid w:val="00521673"/>
    <w:rsid w:val="0052170A"/>
    <w:rsid w:val="0052186C"/>
    <w:rsid w:val="00521922"/>
    <w:rsid w:val="00521B97"/>
    <w:rsid w:val="00521EDC"/>
    <w:rsid w:val="00521F7A"/>
    <w:rsid w:val="005224FF"/>
    <w:rsid w:val="005226B9"/>
    <w:rsid w:val="00522B7D"/>
    <w:rsid w:val="00522D9C"/>
    <w:rsid w:val="00523141"/>
    <w:rsid w:val="00523263"/>
    <w:rsid w:val="0052333E"/>
    <w:rsid w:val="0052366A"/>
    <w:rsid w:val="005236BB"/>
    <w:rsid w:val="00523D6F"/>
    <w:rsid w:val="00524031"/>
    <w:rsid w:val="00524087"/>
    <w:rsid w:val="00524182"/>
    <w:rsid w:val="0052505A"/>
    <w:rsid w:val="00525406"/>
    <w:rsid w:val="00525B85"/>
    <w:rsid w:val="00525BA6"/>
    <w:rsid w:val="00525E08"/>
    <w:rsid w:val="00525EB4"/>
    <w:rsid w:val="00526595"/>
    <w:rsid w:val="005269C8"/>
    <w:rsid w:val="00527044"/>
    <w:rsid w:val="0052779A"/>
    <w:rsid w:val="00527A37"/>
    <w:rsid w:val="00527E61"/>
    <w:rsid w:val="005301AF"/>
    <w:rsid w:val="00530887"/>
    <w:rsid w:val="0053111E"/>
    <w:rsid w:val="00531240"/>
    <w:rsid w:val="0053132A"/>
    <w:rsid w:val="005317F7"/>
    <w:rsid w:val="0053189D"/>
    <w:rsid w:val="005318BA"/>
    <w:rsid w:val="00531C8A"/>
    <w:rsid w:val="005321CA"/>
    <w:rsid w:val="005321E6"/>
    <w:rsid w:val="005323C7"/>
    <w:rsid w:val="00532859"/>
    <w:rsid w:val="00532B0A"/>
    <w:rsid w:val="005333F7"/>
    <w:rsid w:val="005334A3"/>
    <w:rsid w:val="005335B2"/>
    <w:rsid w:val="00533C05"/>
    <w:rsid w:val="00533C80"/>
    <w:rsid w:val="0053458C"/>
    <w:rsid w:val="00534683"/>
    <w:rsid w:val="0053496D"/>
    <w:rsid w:val="00534AC1"/>
    <w:rsid w:val="00535837"/>
    <w:rsid w:val="00535A9C"/>
    <w:rsid w:val="00535B6C"/>
    <w:rsid w:val="00535E4E"/>
    <w:rsid w:val="00536221"/>
    <w:rsid w:val="00536236"/>
    <w:rsid w:val="005362D0"/>
    <w:rsid w:val="005369D4"/>
    <w:rsid w:val="00536AFA"/>
    <w:rsid w:val="00537015"/>
    <w:rsid w:val="00537246"/>
    <w:rsid w:val="00537397"/>
    <w:rsid w:val="0053747F"/>
    <w:rsid w:val="00537772"/>
    <w:rsid w:val="0053790E"/>
    <w:rsid w:val="005408A8"/>
    <w:rsid w:val="005408B0"/>
    <w:rsid w:val="00540B3E"/>
    <w:rsid w:val="00540CE8"/>
    <w:rsid w:val="00541097"/>
    <w:rsid w:val="005410AD"/>
    <w:rsid w:val="005419D1"/>
    <w:rsid w:val="005421FB"/>
    <w:rsid w:val="00542349"/>
    <w:rsid w:val="0054261D"/>
    <w:rsid w:val="00542649"/>
    <w:rsid w:val="00542C34"/>
    <w:rsid w:val="00542EA7"/>
    <w:rsid w:val="00542ECD"/>
    <w:rsid w:val="00542FFD"/>
    <w:rsid w:val="005431E1"/>
    <w:rsid w:val="00543C86"/>
    <w:rsid w:val="00543E91"/>
    <w:rsid w:val="00545187"/>
    <w:rsid w:val="00545789"/>
    <w:rsid w:val="005458CD"/>
    <w:rsid w:val="00545E28"/>
    <w:rsid w:val="00546939"/>
    <w:rsid w:val="0054786A"/>
    <w:rsid w:val="005478FE"/>
    <w:rsid w:val="00547A6B"/>
    <w:rsid w:val="00547CBA"/>
    <w:rsid w:val="00547F8A"/>
    <w:rsid w:val="0055059B"/>
    <w:rsid w:val="005505D7"/>
    <w:rsid w:val="00550F36"/>
    <w:rsid w:val="00551314"/>
    <w:rsid w:val="00551402"/>
    <w:rsid w:val="00551C73"/>
    <w:rsid w:val="005522A4"/>
    <w:rsid w:val="00552B21"/>
    <w:rsid w:val="00552B5F"/>
    <w:rsid w:val="00552B9B"/>
    <w:rsid w:val="00552FE5"/>
    <w:rsid w:val="0055310E"/>
    <w:rsid w:val="00553978"/>
    <w:rsid w:val="00553B75"/>
    <w:rsid w:val="00553D30"/>
    <w:rsid w:val="00553E1D"/>
    <w:rsid w:val="005540CE"/>
    <w:rsid w:val="00554271"/>
    <w:rsid w:val="0055451B"/>
    <w:rsid w:val="0055486A"/>
    <w:rsid w:val="005548CB"/>
    <w:rsid w:val="00555215"/>
    <w:rsid w:val="0055539C"/>
    <w:rsid w:val="005554B8"/>
    <w:rsid w:val="005555ED"/>
    <w:rsid w:val="00555A46"/>
    <w:rsid w:val="00556938"/>
    <w:rsid w:val="00556CA9"/>
    <w:rsid w:val="00557972"/>
    <w:rsid w:val="00557B0E"/>
    <w:rsid w:val="00557B96"/>
    <w:rsid w:val="00557BF3"/>
    <w:rsid w:val="00557FB5"/>
    <w:rsid w:val="00557FB7"/>
    <w:rsid w:val="005605A1"/>
    <w:rsid w:val="005609B6"/>
    <w:rsid w:val="00560EBB"/>
    <w:rsid w:val="00560FCA"/>
    <w:rsid w:val="005611A5"/>
    <w:rsid w:val="005613AC"/>
    <w:rsid w:val="00561717"/>
    <w:rsid w:val="005618EC"/>
    <w:rsid w:val="00561D39"/>
    <w:rsid w:val="00561FB9"/>
    <w:rsid w:val="00562340"/>
    <w:rsid w:val="005626A8"/>
    <w:rsid w:val="005627F0"/>
    <w:rsid w:val="00562A22"/>
    <w:rsid w:val="00562A9C"/>
    <w:rsid w:val="00562B64"/>
    <w:rsid w:val="00562D2B"/>
    <w:rsid w:val="00563000"/>
    <w:rsid w:val="00563028"/>
    <w:rsid w:val="00563088"/>
    <w:rsid w:val="005631A7"/>
    <w:rsid w:val="00563251"/>
    <w:rsid w:val="005638FD"/>
    <w:rsid w:val="00563F35"/>
    <w:rsid w:val="00563FD1"/>
    <w:rsid w:val="005645AE"/>
    <w:rsid w:val="005645B7"/>
    <w:rsid w:val="005647ED"/>
    <w:rsid w:val="00564D92"/>
    <w:rsid w:val="0056519A"/>
    <w:rsid w:val="005651E2"/>
    <w:rsid w:val="00565516"/>
    <w:rsid w:val="00565DEA"/>
    <w:rsid w:val="005660E1"/>
    <w:rsid w:val="0056617E"/>
    <w:rsid w:val="005666C8"/>
    <w:rsid w:val="00566BE9"/>
    <w:rsid w:val="00566DD0"/>
    <w:rsid w:val="00566FF8"/>
    <w:rsid w:val="005670D8"/>
    <w:rsid w:val="00567305"/>
    <w:rsid w:val="00567FF9"/>
    <w:rsid w:val="00570361"/>
    <w:rsid w:val="00571076"/>
    <w:rsid w:val="00571321"/>
    <w:rsid w:val="00571466"/>
    <w:rsid w:val="005719C4"/>
    <w:rsid w:val="00571B66"/>
    <w:rsid w:val="00571D06"/>
    <w:rsid w:val="005723EC"/>
    <w:rsid w:val="00572584"/>
    <w:rsid w:val="00572B12"/>
    <w:rsid w:val="0057339A"/>
    <w:rsid w:val="00573451"/>
    <w:rsid w:val="005735F4"/>
    <w:rsid w:val="00573721"/>
    <w:rsid w:val="005738B4"/>
    <w:rsid w:val="00573974"/>
    <w:rsid w:val="00573A06"/>
    <w:rsid w:val="0057411B"/>
    <w:rsid w:val="00574242"/>
    <w:rsid w:val="005743D8"/>
    <w:rsid w:val="005745A8"/>
    <w:rsid w:val="00574ADD"/>
    <w:rsid w:val="00574FB9"/>
    <w:rsid w:val="00575275"/>
    <w:rsid w:val="005755D6"/>
    <w:rsid w:val="00575E5D"/>
    <w:rsid w:val="005761C2"/>
    <w:rsid w:val="0057638E"/>
    <w:rsid w:val="00576553"/>
    <w:rsid w:val="00576572"/>
    <w:rsid w:val="005767BC"/>
    <w:rsid w:val="00576ACA"/>
    <w:rsid w:val="00576EC5"/>
    <w:rsid w:val="00577506"/>
    <w:rsid w:val="005777EF"/>
    <w:rsid w:val="005778DD"/>
    <w:rsid w:val="00577A4B"/>
    <w:rsid w:val="00577BBE"/>
    <w:rsid w:val="00577C61"/>
    <w:rsid w:val="00577EBB"/>
    <w:rsid w:val="00577FBB"/>
    <w:rsid w:val="00580BE3"/>
    <w:rsid w:val="00580CF2"/>
    <w:rsid w:val="00580D4E"/>
    <w:rsid w:val="005812B9"/>
    <w:rsid w:val="005818AA"/>
    <w:rsid w:val="00581E63"/>
    <w:rsid w:val="00581EDE"/>
    <w:rsid w:val="00582489"/>
    <w:rsid w:val="005828EE"/>
    <w:rsid w:val="00582A15"/>
    <w:rsid w:val="00583481"/>
    <w:rsid w:val="005834A0"/>
    <w:rsid w:val="00583556"/>
    <w:rsid w:val="0058373E"/>
    <w:rsid w:val="0058385D"/>
    <w:rsid w:val="00583B23"/>
    <w:rsid w:val="00583B48"/>
    <w:rsid w:val="00583B72"/>
    <w:rsid w:val="00583D42"/>
    <w:rsid w:val="00584523"/>
    <w:rsid w:val="00584C18"/>
    <w:rsid w:val="00584D63"/>
    <w:rsid w:val="0058517F"/>
    <w:rsid w:val="005856AB"/>
    <w:rsid w:val="00585897"/>
    <w:rsid w:val="00585A43"/>
    <w:rsid w:val="005860B3"/>
    <w:rsid w:val="00586850"/>
    <w:rsid w:val="00586AA2"/>
    <w:rsid w:val="00586F54"/>
    <w:rsid w:val="005874D7"/>
    <w:rsid w:val="0058774B"/>
    <w:rsid w:val="0058776A"/>
    <w:rsid w:val="005878B1"/>
    <w:rsid w:val="0058795F"/>
    <w:rsid w:val="00587CB8"/>
    <w:rsid w:val="00587E27"/>
    <w:rsid w:val="00590866"/>
    <w:rsid w:val="00590D1D"/>
    <w:rsid w:val="00591288"/>
    <w:rsid w:val="005917FD"/>
    <w:rsid w:val="00591C22"/>
    <w:rsid w:val="00591EBB"/>
    <w:rsid w:val="0059249E"/>
    <w:rsid w:val="0059255E"/>
    <w:rsid w:val="00592794"/>
    <w:rsid w:val="00592B38"/>
    <w:rsid w:val="00592F30"/>
    <w:rsid w:val="00593305"/>
    <w:rsid w:val="005934DC"/>
    <w:rsid w:val="00593634"/>
    <w:rsid w:val="00593843"/>
    <w:rsid w:val="00593AB2"/>
    <w:rsid w:val="00593F8D"/>
    <w:rsid w:val="0059482A"/>
    <w:rsid w:val="005948F2"/>
    <w:rsid w:val="00594CAD"/>
    <w:rsid w:val="00594CCB"/>
    <w:rsid w:val="00594CE8"/>
    <w:rsid w:val="00594F3A"/>
    <w:rsid w:val="00595082"/>
    <w:rsid w:val="0059541A"/>
    <w:rsid w:val="00595A07"/>
    <w:rsid w:val="00595EA8"/>
    <w:rsid w:val="00596569"/>
    <w:rsid w:val="00596D61"/>
    <w:rsid w:val="00596EA3"/>
    <w:rsid w:val="00597CB1"/>
    <w:rsid w:val="005A0278"/>
    <w:rsid w:val="005A0C19"/>
    <w:rsid w:val="005A1175"/>
    <w:rsid w:val="005A132F"/>
    <w:rsid w:val="005A149C"/>
    <w:rsid w:val="005A1673"/>
    <w:rsid w:val="005A1BAA"/>
    <w:rsid w:val="005A2639"/>
    <w:rsid w:val="005A2A95"/>
    <w:rsid w:val="005A317A"/>
    <w:rsid w:val="005A3499"/>
    <w:rsid w:val="005A3632"/>
    <w:rsid w:val="005A3729"/>
    <w:rsid w:val="005A396E"/>
    <w:rsid w:val="005A4214"/>
    <w:rsid w:val="005A4662"/>
    <w:rsid w:val="005A4889"/>
    <w:rsid w:val="005A48F5"/>
    <w:rsid w:val="005A4AA1"/>
    <w:rsid w:val="005A4CEF"/>
    <w:rsid w:val="005A4D19"/>
    <w:rsid w:val="005A4F41"/>
    <w:rsid w:val="005A5075"/>
    <w:rsid w:val="005A51AD"/>
    <w:rsid w:val="005A547B"/>
    <w:rsid w:val="005A5DDB"/>
    <w:rsid w:val="005A5E07"/>
    <w:rsid w:val="005A5EF1"/>
    <w:rsid w:val="005A6150"/>
    <w:rsid w:val="005A6517"/>
    <w:rsid w:val="005A683C"/>
    <w:rsid w:val="005A699D"/>
    <w:rsid w:val="005A6B52"/>
    <w:rsid w:val="005A6C07"/>
    <w:rsid w:val="005A6C5B"/>
    <w:rsid w:val="005A6F09"/>
    <w:rsid w:val="005A70CA"/>
    <w:rsid w:val="005A7241"/>
    <w:rsid w:val="005A79BE"/>
    <w:rsid w:val="005A7DB5"/>
    <w:rsid w:val="005A7FD6"/>
    <w:rsid w:val="005B037C"/>
    <w:rsid w:val="005B10CB"/>
    <w:rsid w:val="005B131B"/>
    <w:rsid w:val="005B1F3C"/>
    <w:rsid w:val="005B2311"/>
    <w:rsid w:val="005B2750"/>
    <w:rsid w:val="005B27E7"/>
    <w:rsid w:val="005B2977"/>
    <w:rsid w:val="005B3126"/>
    <w:rsid w:val="005B331D"/>
    <w:rsid w:val="005B3358"/>
    <w:rsid w:val="005B33A4"/>
    <w:rsid w:val="005B377C"/>
    <w:rsid w:val="005B397F"/>
    <w:rsid w:val="005B4121"/>
    <w:rsid w:val="005B419F"/>
    <w:rsid w:val="005B420C"/>
    <w:rsid w:val="005B490E"/>
    <w:rsid w:val="005B4E29"/>
    <w:rsid w:val="005B50BB"/>
    <w:rsid w:val="005B53BE"/>
    <w:rsid w:val="005B550C"/>
    <w:rsid w:val="005B5A57"/>
    <w:rsid w:val="005B5B4E"/>
    <w:rsid w:val="005B5CC3"/>
    <w:rsid w:val="005B629B"/>
    <w:rsid w:val="005B67BF"/>
    <w:rsid w:val="005B6850"/>
    <w:rsid w:val="005B6A29"/>
    <w:rsid w:val="005B6B2C"/>
    <w:rsid w:val="005B6DBC"/>
    <w:rsid w:val="005B6F1C"/>
    <w:rsid w:val="005B719F"/>
    <w:rsid w:val="005B71D2"/>
    <w:rsid w:val="005B731C"/>
    <w:rsid w:val="005B7357"/>
    <w:rsid w:val="005B735C"/>
    <w:rsid w:val="005B73B7"/>
    <w:rsid w:val="005B740E"/>
    <w:rsid w:val="005B7928"/>
    <w:rsid w:val="005C0043"/>
    <w:rsid w:val="005C0094"/>
    <w:rsid w:val="005C04C0"/>
    <w:rsid w:val="005C08A0"/>
    <w:rsid w:val="005C09C3"/>
    <w:rsid w:val="005C0F15"/>
    <w:rsid w:val="005C12C9"/>
    <w:rsid w:val="005C1338"/>
    <w:rsid w:val="005C136D"/>
    <w:rsid w:val="005C1629"/>
    <w:rsid w:val="005C1688"/>
    <w:rsid w:val="005C1B89"/>
    <w:rsid w:val="005C1F37"/>
    <w:rsid w:val="005C1F5E"/>
    <w:rsid w:val="005C22A7"/>
    <w:rsid w:val="005C23C4"/>
    <w:rsid w:val="005C2AEE"/>
    <w:rsid w:val="005C3211"/>
    <w:rsid w:val="005C3228"/>
    <w:rsid w:val="005C32EF"/>
    <w:rsid w:val="005C3A31"/>
    <w:rsid w:val="005C3A36"/>
    <w:rsid w:val="005C3C13"/>
    <w:rsid w:val="005C43F4"/>
    <w:rsid w:val="005C4A62"/>
    <w:rsid w:val="005C50B7"/>
    <w:rsid w:val="005C50C8"/>
    <w:rsid w:val="005C51E0"/>
    <w:rsid w:val="005C54E3"/>
    <w:rsid w:val="005C55AC"/>
    <w:rsid w:val="005C57CE"/>
    <w:rsid w:val="005C584A"/>
    <w:rsid w:val="005C5D18"/>
    <w:rsid w:val="005C6271"/>
    <w:rsid w:val="005C6707"/>
    <w:rsid w:val="005C6774"/>
    <w:rsid w:val="005C6906"/>
    <w:rsid w:val="005C6BFA"/>
    <w:rsid w:val="005C76D4"/>
    <w:rsid w:val="005C7FD9"/>
    <w:rsid w:val="005D00E4"/>
    <w:rsid w:val="005D0381"/>
    <w:rsid w:val="005D0457"/>
    <w:rsid w:val="005D07B2"/>
    <w:rsid w:val="005D0895"/>
    <w:rsid w:val="005D0F8D"/>
    <w:rsid w:val="005D1237"/>
    <w:rsid w:val="005D1433"/>
    <w:rsid w:val="005D1666"/>
    <w:rsid w:val="005D191D"/>
    <w:rsid w:val="005D1A49"/>
    <w:rsid w:val="005D3A4A"/>
    <w:rsid w:val="005D3D46"/>
    <w:rsid w:val="005D3DFB"/>
    <w:rsid w:val="005D4706"/>
    <w:rsid w:val="005D476B"/>
    <w:rsid w:val="005D4A58"/>
    <w:rsid w:val="005D4B37"/>
    <w:rsid w:val="005D5525"/>
    <w:rsid w:val="005D56A0"/>
    <w:rsid w:val="005D5C1F"/>
    <w:rsid w:val="005D5E1E"/>
    <w:rsid w:val="005D5EC5"/>
    <w:rsid w:val="005D5F5E"/>
    <w:rsid w:val="005D60AC"/>
    <w:rsid w:val="005D6505"/>
    <w:rsid w:val="005D6B30"/>
    <w:rsid w:val="005D7532"/>
    <w:rsid w:val="005D7618"/>
    <w:rsid w:val="005D785E"/>
    <w:rsid w:val="005D7A38"/>
    <w:rsid w:val="005D7C45"/>
    <w:rsid w:val="005D7CB3"/>
    <w:rsid w:val="005D7CC3"/>
    <w:rsid w:val="005D7CF5"/>
    <w:rsid w:val="005D7FAC"/>
    <w:rsid w:val="005E046C"/>
    <w:rsid w:val="005E05EC"/>
    <w:rsid w:val="005E076B"/>
    <w:rsid w:val="005E1C4C"/>
    <w:rsid w:val="005E1C4F"/>
    <w:rsid w:val="005E218F"/>
    <w:rsid w:val="005E27B1"/>
    <w:rsid w:val="005E3199"/>
    <w:rsid w:val="005E3226"/>
    <w:rsid w:val="005E32AA"/>
    <w:rsid w:val="005E32DB"/>
    <w:rsid w:val="005E360B"/>
    <w:rsid w:val="005E385E"/>
    <w:rsid w:val="005E3A72"/>
    <w:rsid w:val="005E3D48"/>
    <w:rsid w:val="005E421C"/>
    <w:rsid w:val="005E468C"/>
    <w:rsid w:val="005E4C7F"/>
    <w:rsid w:val="005E4D99"/>
    <w:rsid w:val="005E4F7E"/>
    <w:rsid w:val="005E4FD7"/>
    <w:rsid w:val="005E5026"/>
    <w:rsid w:val="005E56CE"/>
    <w:rsid w:val="005E6209"/>
    <w:rsid w:val="005E630F"/>
    <w:rsid w:val="005E63FA"/>
    <w:rsid w:val="005E6C12"/>
    <w:rsid w:val="005E713C"/>
    <w:rsid w:val="005E72BE"/>
    <w:rsid w:val="005E77F2"/>
    <w:rsid w:val="005E7ABE"/>
    <w:rsid w:val="005E7B6D"/>
    <w:rsid w:val="005E7D9D"/>
    <w:rsid w:val="005E7D9E"/>
    <w:rsid w:val="005F071E"/>
    <w:rsid w:val="005F0740"/>
    <w:rsid w:val="005F085D"/>
    <w:rsid w:val="005F099B"/>
    <w:rsid w:val="005F1273"/>
    <w:rsid w:val="005F163E"/>
    <w:rsid w:val="005F19E8"/>
    <w:rsid w:val="005F1A25"/>
    <w:rsid w:val="005F1DB2"/>
    <w:rsid w:val="005F2CE9"/>
    <w:rsid w:val="005F35C0"/>
    <w:rsid w:val="005F36EE"/>
    <w:rsid w:val="005F3B45"/>
    <w:rsid w:val="005F3B86"/>
    <w:rsid w:val="005F3B8B"/>
    <w:rsid w:val="005F3CBE"/>
    <w:rsid w:val="005F3F72"/>
    <w:rsid w:val="005F472E"/>
    <w:rsid w:val="005F4E82"/>
    <w:rsid w:val="005F5200"/>
    <w:rsid w:val="005F563F"/>
    <w:rsid w:val="005F5843"/>
    <w:rsid w:val="005F59B7"/>
    <w:rsid w:val="005F5B09"/>
    <w:rsid w:val="005F5FEE"/>
    <w:rsid w:val="005F66F9"/>
    <w:rsid w:val="005F6CE1"/>
    <w:rsid w:val="005F700E"/>
    <w:rsid w:val="005F75C5"/>
    <w:rsid w:val="005F76DF"/>
    <w:rsid w:val="005F787B"/>
    <w:rsid w:val="005F7A26"/>
    <w:rsid w:val="006003FD"/>
    <w:rsid w:val="00600770"/>
    <w:rsid w:val="00600CD5"/>
    <w:rsid w:val="00601443"/>
    <w:rsid w:val="00601499"/>
    <w:rsid w:val="0060162E"/>
    <w:rsid w:val="00601A7B"/>
    <w:rsid w:val="00601B29"/>
    <w:rsid w:val="00601C64"/>
    <w:rsid w:val="006025A8"/>
    <w:rsid w:val="006025D9"/>
    <w:rsid w:val="00602B3C"/>
    <w:rsid w:val="00603250"/>
    <w:rsid w:val="006033FA"/>
    <w:rsid w:val="00603545"/>
    <w:rsid w:val="00603AE8"/>
    <w:rsid w:val="00603F00"/>
    <w:rsid w:val="006046D7"/>
    <w:rsid w:val="006048BE"/>
    <w:rsid w:val="00604F35"/>
    <w:rsid w:val="00605851"/>
    <w:rsid w:val="00605965"/>
    <w:rsid w:val="00605FBE"/>
    <w:rsid w:val="00606308"/>
    <w:rsid w:val="0060663D"/>
    <w:rsid w:val="0060696A"/>
    <w:rsid w:val="00606CF1"/>
    <w:rsid w:val="00606F24"/>
    <w:rsid w:val="0060701F"/>
    <w:rsid w:val="006074C0"/>
    <w:rsid w:val="006074F9"/>
    <w:rsid w:val="0061061E"/>
    <w:rsid w:val="0061100A"/>
    <w:rsid w:val="006111A1"/>
    <w:rsid w:val="0061185C"/>
    <w:rsid w:val="00611900"/>
    <w:rsid w:val="00612566"/>
    <w:rsid w:val="00612764"/>
    <w:rsid w:val="00612BF1"/>
    <w:rsid w:val="0061339E"/>
    <w:rsid w:val="00613631"/>
    <w:rsid w:val="00613C57"/>
    <w:rsid w:val="00613F08"/>
    <w:rsid w:val="0061408D"/>
    <w:rsid w:val="0061409F"/>
    <w:rsid w:val="006140C3"/>
    <w:rsid w:val="0061423C"/>
    <w:rsid w:val="006147EB"/>
    <w:rsid w:val="00614A87"/>
    <w:rsid w:val="00614BB6"/>
    <w:rsid w:val="00615094"/>
    <w:rsid w:val="00615144"/>
    <w:rsid w:val="00615B58"/>
    <w:rsid w:val="00615D11"/>
    <w:rsid w:val="00615D7B"/>
    <w:rsid w:val="00615FA5"/>
    <w:rsid w:val="0061641C"/>
    <w:rsid w:val="00616B9C"/>
    <w:rsid w:val="00616C5A"/>
    <w:rsid w:val="00616E46"/>
    <w:rsid w:val="00616F14"/>
    <w:rsid w:val="00617BF4"/>
    <w:rsid w:val="006200EB"/>
    <w:rsid w:val="00620187"/>
    <w:rsid w:val="00620279"/>
    <w:rsid w:val="00620500"/>
    <w:rsid w:val="006208EF"/>
    <w:rsid w:val="00620945"/>
    <w:rsid w:val="0062184E"/>
    <w:rsid w:val="00621CE2"/>
    <w:rsid w:val="00621EA3"/>
    <w:rsid w:val="00621FFA"/>
    <w:rsid w:val="006223C1"/>
    <w:rsid w:val="0062276B"/>
    <w:rsid w:val="00622B73"/>
    <w:rsid w:val="00622E6C"/>
    <w:rsid w:val="00623226"/>
    <w:rsid w:val="00623292"/>
    <w:rsid w:val="006236DE"/>
    <w:rsid w:val="006237D9"/>
    <w:rsid w:val="00623876"/>
    <w:rsid w:val="006239D1"/>
    <w:rsid w:val="006242EA"/>
    <w:rsid w:val="0062465E"/>
    <w:rsid w:val="00624B21"/>
    <w:rsid w:val="00625031"/>
    <w:rsid w:val="00626108"/>
    <w:rsid w:val="006266EA"/>
    <w:rsid w:val="00627034"/>
    <w:rsid w:val="006271A9"/>
    <w:rsid w:val="006271DF"/>
    <w:rsid w:val="006278CF"/>
    <w:rsid w:val="00630B03"/>
    <w:rsid w:val="006312B5"/>
    <w:rsid w:val="00631668"/>
    <w:rsid w:val="00631F45"/>
    <w:rsid w:val="00632123"/>
    <w:rsid w:val="006321DB"/>
    <w:rsid w:val="00632541"/>
    <w:rsid w:val="006326E2"/>
    <w:rsid w:val="006331A9"/>
    <w:rsid w:val="006336EB"/>
    <w:rsid w:val="00633A62"/>
    <w:rsid w:val="00633AE5"/>
    <w:rsid w:val="006341B0"/>
    <w:rsid w:val="0063441E"/>
    <w:rsid w:val="00634D57"/>
    <w:rsid w:val="00634ED7"/>
    <w:rsid w:val="006353AA"/>
    <w:rsid w:val="006356DB"/>
    <w:rsid w:val="00635843"/>
    <w:rsid w:val="006358E1"/>
    <w:rsid w:val="00635A09"/>
    <w:rsid w:val="00635BC0"/>
    <w:rsid w:val="006360C7"/>
    <w:rsid w:val="006360D5"/>
    <w:rsid w:val="00636364"/>
    <w:rsid w:val="006365F7"/>
    <w:rsid w:val="0063671D"/>
    <w:rsid w:val="00636831"/>
    <w:rsid w:val="00637400"/>
    <w:rsid w:val="006378B7"/>
    <w:rsid w:val="0064015A"/>
    <w:rsid w:val="00640234"/>
    <w:rsid w:val="00640875"/>
    <w:rsid w:val="00640DF4"/>
    <w:rsid w:val="0064115D"/>
    <w:rsid w:val="00641487"/>
    <w:rsid w:val="00641EC4"/>
    <w:rsid w:val="00642624"/>
    <w:rsid w:val="00642758"/>
    <w:rsid w:val="00642831"/>
    <w:rsid w:val="00642D1C"/>
    <w:rsid w:val="00642D6A"/>
    <w:rsid w:val="00643222"/>
    <w:rsid w:val="006433B4"/>
    <w:rsid w:val="006433BA"/>
    <w:rsid w:val="0064343A"/>
    <w:rsid w:val="006435E1"/>
    <w:rsid w:val="0064363B"/>
    <w:rsid w:val="00643851"/>
    <w:rsid w:val="00643FB0"/>
    <w:rsid w:val="0064494D"/>
    <w:rsid w:val="00644B92"/>
    <w:rsid w:val="00644CE6"/>
    <w:rsid w:val="00645093"/>
    <w:rsid w:val="00645511"/>
    <w:rsid w:val="006457A2"/>
    <w:rsid w:val="00645BC3"/>
    <w:rsid w:val="00645E08"/>
    <w:rsid w:val="006468F2"/>
    <w:rsid w:val="00646A23"/>
    <w:rsid w:val="00646C5C"/>
    <w:rsid w:val="00646EC5"/>
    <w:rsid w:val="0064719F"/>
    <w:rsid w:val="006477AE"/>
    <w:rsid w:val="00647D24"/>
    <w:rsid w:val="00651096"/>
    <w:rsid w:val="00651349"/>
    <w:rsid w:val="006520A4"/>
    <w:rsid w:val="00652395"/>
    <w:rsid w:val="006523AC"/>
    <w:rsid w:val="006523AE"/>
    <w:rsid w:val="006526AD"/>
    <w:rsid w:val="00652C05"/>
    <w:rsid w:val="006530DA"/>
    <w:rsid w:val="0065333D"/>
    <w:rsid w:val="006537B5"/>
    <w:rsid w:val="00653832"/>
    <w:rsid w:val="00653E77"/>
    <w:rsid w:val="006545A8"/>
    <w:rsid w:val="00654904"/>
    <w:rsid w:val="00654AC0"/>
    <w:rsid w:val="00654EB8"/>
    <w:rsid w:val="006555BF"/>
    <w:rsid w:val="00655E95"/>
    <w:rsid w:val="00655F05"/>
    <w:rsid w:val="00655F2E"/>
    <w:rsid w:val="00656927"/>
    <w:rsid w:val="00656A2A"/>
    <w:rsid w:val="00657182"/>
    <w:rsid w:val="006574B9"/>
    <w:rsid w:val="00657BC5"/>
    <w:rsid w:val="00660079"/>
    <w:rsid w:val="006600B6"/>
    <w:rsid w:val="00660105"/>
    <w:rsid w:val="006601F2"/>
    <w:rsid w:val="006604B4"/>
    <w:rsid w:val="00660697"/>
    <w:rsid w:val="00660BC5"/>
    <w:rsid w:val="00660E10"/>
    <w:rsid w:val="00661019"/>
    <w:rsid w:val="00661223"/>
    <w:rsid w:val="0066129A"/>
    <w:rsid w:val="00661A91"/>
    <w:rsid w:val="00661AC1"/>
    <w:rsid w:val="00661D41"/>
    <w:rsid w:val="00662192"/>
    <w:rsid w:val="00662DE7"/>
    <w:rsid w:val="00662EAC"/>
    <w:rsid w:val="006638E7"/>
    <w:rsid w:val="00663FF0"/>
    <w:rsid w:val="0066407D"/>
    <w:rsid w:val="00664250"/>
    <w:rsid w:val="006648DD"/>
    <w:rsid w:val="00664960"/>
    <w:rsid w:val="00664CFC"/>
    <w:rsid w:val="00664FE9"/>
    <w:rsid w:val="00665048"/>
    <w:rsid w:val="006650FD"/>
    <w:rsid w:val="00665457"/>
    <w:rsid w:val="0066548A"/>
    <w:rsid w:val="006654D6"/>
    <w:rsid w:val="00665666"/>
    <w:rsid w:val="00665A5F"/>
    <w:rsid w:val="00665A7C"/>
    <w:rsid w:val="00665B61"/>
    <w:rsid w:val="00665CC2"/>
    <w:rsid w:val="00665DE0"/>
    <w:rsid w:val="00665FB6"/>
    <w:rsid w:val="00666000"/>
    <w:rsid w:val="00666B1E"/>
    <w:rsid w:val="00666DC5"/>
    <w:rsid w:val="00666F7A"/>
    <w:rsid w:val="00666FF4"/>
    <w:rsid w:val="00667349"/>
    <w:rsid w:val="0066735C"/>
    <w:rsid w:val="00667458"/>
    <w:rsid w:val="0066795F"/>
    <w:rsid w:val="00667AAA"/>
    <w:rsid w:val="00667DBC"/>
    <w:rsid w:val="00670321"/>
    <w:rsid w:val="006707D3"/>
    <w:rsid w:val="006711ED"/>
    <w:rsid w:val="00671421"/>
    <w:rsid w:val="00671CFB"/>
    <w:rsid w:val="00671CFE"/>
    <w:rsid w:val="006721B9"/>
    <w:rsid w:val="0067277D"/>
    <w:rsid w:val="00672A66"/>
    <w:rsid w:val="00672E51"/>
    <w:rsid w:val="00673489"/>
    <w:rsid w:val="00673972"/>
    <w:rsid w:val="0067467A"/>
    <w:rsid w:val="006747AB"/>
    <w:rsid w:val="00674E60"/>
    <w:rsid w:val="006750C4"/>
    <w:rsid w:val="006756F9"/>
    <w:rsid w:val="006759B0"/>
    <w:rsid w:val="00675A5A"/>
    <w:rsid w:val="00676218"/>
    <w:rsid w:val="00676505"/>
    <w:rsid w:val="006766E8"/>
    <w:rsid w:val="00676EA3"/>
    <w:rsid w:val="0067734F"/>
    <w:rsid w:val="00677634"/>
    <w:rsid w:val="006800A2"/>
    <w:rsid w:val="00680138"/>
    <w:rsid w:val="00680218"/>
    <w:rsid w:val="0068051F"/>
    <w:rsid w:val="006808D5"/>
    <w:rsid w:val="00680BC9"/>
    <w:rsid w:val="0068113B"/>
    <w:rsid w:val="0068119C"/>
    <w:rsid w:val="006813C6"/>
    <w:rsid w:val="006814F5"/>
    <w:rsid w:val="006815E6"/>
    <w:rsid w:val="006816A5"/>
    <w:rsid w:val="006819B3"/>
    <w:rsid w:val="00681B4A"/>
    <w:rsid w:val="00681DFA"/>
    <w:rsid w:val="0068200A"/>
    <w:rsid w:val="0068202A"/>
    <w:rsid w:val="0068225A"/>
    <w:rsid w:val="0068245E"/>
    <w:rsid w:val="006829BB"/>
    <w:rsid w:val="00682DEE"/>
    <w:rsid w:val="00683F0C"/>
    <w:rsid w:val="00684337"/>
    <w:rsid w:val="00684651"/>
    <w:rsid w:val="00684786"/>
    <w:rsid w:val="00684816"/>
    <w:rsid w:val="00684AE7"/>
    <w:rsid w:val="00684B14"/>
    <w:rsid w:val="00684D56"/>
    <w:rsid w:val="00685146"/>
    <w:rsid w:val="006853D0"/>
    <w:rsid w:val="006857F8"/>
    <w:rsid w:val="006858A8"/>
    <w:rsid w:val="00685929"/>
    <w:rsid w:val="00685DA1"/>
    <w:rsid w:val="00685E6D"/>
    <w:rsid w:val="00685F63"/>
    <w:rsid w:val="00685FAF"/>
    <w:rsid w:val="00686DCF"/>
    <w:rsid w:val="00686E49"/>
    <w:rsid w:val="0069001A"/>
    <w:rsid w:val="0069023C"/>
    <w:rsid w:val="0069092C"/>
    <w:rsid w:val="00690A8C"/>
    <w:rsid w:val="0069100A"/>
    <w:rsid w:val="0069129A"/>
    <w:rsid w:val="00691C50"/>
    <w:rsid w:val="00691C6D"/>
    <w:rsid w:val="00691C82"/>
    <w:rsid w:val="00691D90"/>
    <w:rsid w:val="006920B9"/>
    <w:rsid w:val="00692744"/>
    <w:rsid w:val="006928E7"/>
    <w:rsid w:val="00692CB6"/>
    <w:rsid w:val="00692EEB"/>
    <w:rsid w:val="00692F42"/>
    <w:rsid w:val="00692FA2"/>
    <w:rsid w:val="00692FAB"/>
    <w:rsid w:val="006933F3"/>
    <w:rsid w:val="00693640"/>
    <w:rsid w:val="006938F9"/>
    <w:rsid w:val="00693AA7"/>
    <w:rsid w:val="00693E29"/>
    <w:rsid w:val="0069401F"/>
    <w:rsid w:val="00694059"/>
    <w:rsid w:val="006940E6"/>
    <w:rsid w:val="0069450A"/>
    <w:rsid w:val="0069454B"/>
    <w:rsid w:val="006945A3"/>
    <w:rsid w:val="00694867"/>
    <w:rsid w:val="006949C9"/>
    <w:rsid w:val="00694BD4"/>
    <w:rsid w:val="00694D46"/>
    <w:rsid w:val="00694F87"/>
    <w:rsid w:val="006950D4"/>
    <w:rsid w:val="00695827"/>
    <w:rsid w:val="00695CB5"/>
    <w:rsid w:val="006966A8"/>
    <w:rsid w:val="00696747"/>
    <w:rsid w:val="00696822"/>
    <w:rsid w:val="00696A4D"/>
    <w:rsid w:val="00696C4C"/>
    <w:rsid w:val="00697124"/>
    <w:rsid w:val="00697484"/>
    <w:rsid w:val="00697590"/>
    <w:rsid w:val="0069773C"/>
    <w:rsid w:val="00697899"/>
    <w:rsid w:val="006A008F"/>
    <w:rsid w:val="006A04B9"/>
    <w:rsid w:val="006A058E"/>
    <w:rsid w:val="006A0CF8"/>
    <w:rsid w:val="006A0D33"/>
    <w:rsid w:val="006A15B1"/>
    <w:rsid w:val="006A1BDC"/>
    <w:rsid w:val="006A1DF3"/>
    <w:rsid w:val="006A2321"/>
    <w:rsid w:val="006A2789"/>
    <w:rsid w:val="006A2BF4"/>
    <w:rsid w:val="006A2C9F"/>
    <w:rsid w:val="006A4C75"/>
    <w:rsid w:val="006A4D03"/>
    <w:rsid w:val="006A4E97"/>
    <w:rsid w:val="006A5215"/>
    <w:rsid w:val="006A5AA6"/>
    <w:rsid w:val="006A6027"/>
    <w:rsid w:val="006A6218"/>
    <w:rsid w:val="006A72C5"/>
    <w:rsid w:val="006A7873"/>
    <w:rsid w:val="006A7D4A"/>
    <w:rsid w:val="006A7DF6"/>
    <w:rsid w:val="006A7EF1"/>
    <w:rsid w:val="006B0D1B"/>
    <w:rsid w:val="006B107C"/>
    <w:rsid w:val="006B1530"/>
    <w:rsid w:val="006B1CAF"/>
    <w:rsid w:val="006B1F64"/>
    <w:rsid w:val="006B1F84"/>
    <w:rsid w:val="006B21A8"/>
    <w:rsid w:val="006B26C8"/>
    <w:rsid w:val="006B27C1"/>
    <w:rsid w:val="006B29AA"/>
    <w:rsid w:val="006B2A2A"/>
    <w:rsid w:val="006B2E1E"/>
    <w:rsid w:val="006B326A"/>
    <w:rsid w:val="006B3835"/>
    <w:rsid w:val="006B4BB2"/>
    <w:rsid w:val="006B5229"/>
    <w:rsid w:val="006B528D"/>
    <w:rsid w:val="006B57B0"/>
    <w:rsid w:val="006B59F1"/>
    <w:rsid w:val="006B5AC9"/>
    <w:rsid w:val="006B619C"/>
    <w:rsid w:val="006B6B21"/>
    <w:rsid w:val="006B6D07"/>
    <w:rsid w:val="006B75A4"/>
    <w:rsid w:val="006B79BB"/>
    <w:rsid w:val="006B7B2C"/>
    <w:rsid w:val="006B7B36"/>
    <w:rsid w:val="006C003F"/>
    <w:rsid w:val="006C00C9"/>
    <w:rsid w:val="006C028D"/>
    <w:rsid w:val="006C0627"/>
    <w:rsid w:val="006C0825"/>
    <w:rsid w:val="006C159D"/>
    <w:rsid w:val="006C17D3"/>
    <w:rsid w:val="006C1A5E"/>
    <w:rsid w:val="006C21EC"/>
    <w:rsid w:val="006C27BE"/>
    <w:rsid w:val="006C2970"/>
    <w:rsid w:val="006C2DF0"/>
    <w:rsid w:val="006C386B"/>
    <w:rsid w:val="006C432C"/>
    <w:rsid w:val="006C4474"/>
    <w:rsid w:val="006C4484"/>
    <w:rsid w:val="006C48C8"/>
    <w:rsid w:val="006C505B"/>
    <w:rsid w:val="006C5270"/>
    <w:rsid w:val="006C5573"/>
    <w:rsid w:val="006C5624"/>
    <w:rsid w:val="006C5853"/>
    <w:rsid w:val="006C5AAC"/>
    <w:rsid w:val="006C5B1E"/>
    <w:rsid w:val="006C5D16"/>
    <w:rsid w:val="006C62B2"/>
    <w:rsid w:val="006C62B9"/>
    <w:rsid w:val="006C6649"/>
    <w:rsid w:val="006C69B2"/>
    <w:rsid w:val="006C6D11"/>
    <w:rsid w:val="006C6F79"/>
    <w:rsid w:val="006C6FE5"/>
    <w:rsid w:val="006C737A"/>
    <w:rsid w:val="006C7555"/>
    <w:rsid w:val="006C7585"/>
    <w:rsid w:val="006C7687"/>
    <w:rsid w:val="006C7B08"/>
    <w:rsid w:val="006C7C47"/>
    <w:rsid w:val="006C7E16"/>
    <w:rsid w:val="006D01B9"/>
    <w:rsid w:val="006D075E"/>
    <w:rsid w:val="006D0869"/>
    <w:rsid w:val="006D0987"/>
    <w:rsid w:val="006D0A06"/>
    <w:rsid w:val="006D0ACF"/>
    <w:rsid w:val="006D0C5E"/>
    <w:rsid w:val="006D0FF7"/>
    <w:rsid w:val="006D124E"/>
    <w:rsid w:val="006D15D5"/>
    <w:rsid w:val="006D18B9"/>
    <w:rsid w:val="006D1B3C"/>
    <w:rsid w:val="006D1D5E"/>
    <w:rsid w:val="006D202D"/>
    <w:rsid w:val="006D2B80"/>
    <w:rsid w:val="006D2E95"/>
    <w:rsid w:val="006D2EB4"/>
    <w:rsid w:val="006D30F4"/>
    <w:rsid w:val="006D4043"/>
    <w:rsid w:val="006D412C"/>
    <w:rsid w:val="006D4826"/>
    <w:rsid w:val="006D4C23"/>
    <w:rsid w:val="006D54F4"/>
    <w:rsid w:val="006D567B"/>
    <w:rsid w:val="006D5724"/>
    <w:rsid w:val="006D57A0"/>
    <w:rsid w:val="006D5A65"/>
    <w:rsid w:val="006D5E9E"/>
    <w:rsid w:val="006D5F8B"/>
    <w:rsid w:val="006D654E"/>
    <w:rsid w:val="006D65BE"/>
    <w:rsid w:val="006D7F06"/>
    <w:rsid w:val="006E01EC"/>
    <w:rsid w:val="006E0661"/>
    <w:rsid w:val="006E077A"/>
    <w:rsid w:val="006E0846"/>
    <w:rsid w:val="006E1422"/>
    <w:rsid w:val="006E170D"/>
    <w:rsid w:val="006E2476"/>
    <w:rsid w:val="006E2AAE"/>
    <w:rsid w:val="006E2C00"/>
    <w:rsid w:val="006E2D43"/>
    <w:rsid w:val="006E32F5"/>
    <w:rsid w:val="006E3315"/>
    <w:rsid w:val="006E3368"/>
    <w:rsid w:val="006E3ED8"/>
    <w:rsid w:val="006E40C7"/>
    <w:rsid w:val="006E423E"/>
    <w:rsid w:val="006E4261"/>
    <w:rsid w:val="006E466D"/>
    <w:rsid w:val="006E5178"/>
    <w:rsid w:val="006E5D6C"/>
    <w:rsid w:val="006E5E83"/>
    <w:rsid w:val="006E6018"/>
    <w:rsid w:val="006E63C0"/>
    <w:rsid w:val="006E674B"/>
    <w:rsid w:val="006E6757"/>
    <w:rsid w:val="006E6900"/>
    <w:rsid w:val="006E698B"/>
    <w:rsid w:val="006E69DC"/>
    <w:rsid w:val="006E724C"/>
    <w:rsid w:val="006E7551"/>
    <w:rsid w:val="006E78D5"/>
    <w:rsid w:val="006E7BF4"/>
    <w:rsid w:val="006F00EB"/>
    <w:rsid w:val="006F0132"/>
    <w:rsid w:val="006F09A5"/>
    <w:rsid w:val="006F0E5F"/>
    <w:rsid w:val="006F0EED"/>
    <w:rsid w:val="006F124B"/>
    <w:rsid w:val="006F152C"/>
    <w:rsid w:val="006F17C9"/>
    <w:rsid w:val="006F1AFF"/>
    <w:rsid w:val="006F1C3D"/>
    <w:rsid w:val="006F1FAE"/>
    <w:rsid w:val="006F2BC8"/>
    <w:rsid w:val="006F2D08"/>
    <w:rsid w:val="006F2E98"/>
    <w:rsid w:val="006F2F1C"/>
    <w:rsid w:val="006F405D"/>
    <w:rsid w:val="006F473B"/>
    <w:rsid w:val="006F4BA1"/>
    <w:rsid w:val="006F4D0C"/>
    <w:rsid w:val="006F54D6"/>
    <w:rsid w:val="006F55BC"/>
    <w:rsid w:val="006F6402"/>
    <w:rsid w:val="006F731F"/>
    <w:rsid w:val="006F7416"/>
    <w:rsid w:val="006F79D1"/>
    <w:rsid w:val="006F7AD4"/>
    <w:rsid w:val="006F7DD4"/>
    <w:rsid w:val="006F7EFE"/>
    <w:rsid w:val="006F7FB1"/>
    <w:rsid w:val="007003E8"/>
    <w:rsid w:val="007004C6"/>
    <w:rsid w:val="007006B1"/>
    <w:rsid w:val="007011F5"/>
    <w:rsid w:val="007019F6"/>
    <w:rsid w:val="00701A79"/>
    <w:rsid w:val="00701C6B"/>
    <w:rsid w:val="00702155"/>
    <w:rsid w:val="00702244"/>
    <w:rsid w:val="00702988"/>
    <w:rsid w:val="00702B41"/>
    <w:rsid w:val="00702CBD"/>
    <w:rsid w:val="00702D0A"/>
    <w:rsid w:val="00702E8C"/>
    <w:rsid w:val="0070310F"/>
    <w:rsid w:val="007031AB"/>
    <w:rsid w:val="00703356"/>
    <w:rsid w:val="007036EB"/>
    <w:rsid w:val="007039C3"/>
    <w:rsid w:val="00704246"/>
    <w:rsid w:val="00704681"/>
    <w:rsid w:val="007047E5"/>
    <w:rsid w:val="0070544E"/>
    <w:rsid w:val="007055B7"/>
    <w:rsid w:val="007057C8"/>
    <w:rsid w:val="0070613C"/>
    <w:rsid w:val="00706B75"/>
    <w:rsid w:val="00706C5E"/>
    <w:rsid w:val="0070757D"/>
    <w:rsid w:val="007078E0"/>
    <w:rsid w:val="0070792F"/>
    <w:rsid w:val="00707FEC"/>
    <w:rsid w:val="00710080"/>
    <w:rsid w:val="0071068D"/>
    <w:rsid w:val="007109B9"/>
    <w:rsid w:val="00710D70"/>
    <w:rsid w:val="00710EE3"/>
    <w:rsid w:val="007114AC"/>
    <w:rsid w:val="00711601"/>
    <w:rsid w:val="0071177B"/>
    <w:rsid w:val="00711954"/>
    <w:rsid w:val="00711F3E"/>
    <w:rsid w:val="007120DD"/>
    <w:rsid w:val="0071221A"/>
    <w:rsid w:val="0071283A"/>
    <w:rsid w:val="007129C7"/>
    <w:rsid w:val="00712EAB"/>
    <w:rsid w:val="007132E9"/>
    <w:rsid w:val="00713AC9"/>
    <w:rsid w:val="00713C4D"/>
    <w:rsid w:val="00713D52"/>
    <w:rsid w:val="00713EBB"/>
    <w:rsid w:val="007145BC"/>
    <w:rsid w:val="00714D06"/>
    <w:rsid w:val="007151E9"/>
    <w:rsid w:val="0071548B"/>
    <w:rsid w:val="00715639"/>
    <w:rsid w:val="007157A9"/>
    <w:rsid w:val="00715952"/>
    <w:rsid w:val="00715CF3"/>
    <w:rsid w:val="00715DF0"/>
    <w:rsid w:val="00716718"/>
    <w:rsid w:val="00716846"/>
    <w:rsid w:val="00716CA0"/>
    <w:rsid w:val="00716D3D"/>
    <w:rsid w:val="00717747"/>
    <w:rsid w:val="00717A17"/>
    <w:rsid w:val="00717FB1"/>
    <w:rsid w:val="007200BF"/>
    <w:rsid w:val="007203AC"/>
    <w:rsid w:val="007203C8"/>
    <w:rsid w:val="007203E4"/>
    <w:rsid w:val="007204A9"/>
    <w:rsid w:val="007204FA"/>
    <w:rsid w:val="00720A17"/>
    <w:rsid w:val="00720BFB"/>
    <w:rsid w:val="00720DAB"/>
    <w:rsid w:val="0072163A"/>
    <w:rsid w:val="007217F4"/>
    <w:rsid w:val="00721829"/>
    <w:rsid w:val="007218C9"/>
    <w:rsid w:val="00721AD0"/>
    <w:rsid w:val="00722426"/>
    <w:rsid w:val="00722712"/>
    <w:rsid w:val="0072281B"/>
    <w:rsid w:val="00722D12"/>
    <w:rsid w:val="0072362D"/>
    <w:rsid w:val="00723765"/>
    <w:rsid w:val="00723A76"/>
    <w:rsid w:val="00723BB3"/>
    <w:rsid w:val="00723BFA"/>
    <w:rsid w:val="007240CA"/>
    <w:rsid w:val="007241B8"/>
    <w:rsid w:val="00724497"/>
    <w:rsid w:val="007245E0"/>
    <w:rsid w:val="0072497F"/>
    <w:rsid w:val="00724F08"/>
    <w:rsid w:val="00725194"/>
    <w:rsid w:val="007252DF"/>
    <w:rsid w:val="0072542F"/>
    <w:rsid w:val="007255B5"/>
    <w:rsid w:val="007258D7"/>
    <w:rsid w:val="00726224"/>
    <w:rsid w:val="00726363"/>
    <w:rsid w:val="00726880"/>
    <w:rsid w:val="00726C56"/>
    <w:rsid w:val="00726E49"/>
    <w:rsid w:val="007273CE"/>
    <w:rsid w:val="00727524"/>
    <w:rsid w:val="00727A93"/>
    <w:rsid w:val="00727EFA"/>
    <w:rsid w:val="0073004A"/>
    <w:rsid w:val="0073078B"/>
    <w:rsid w:val="0073078C"/>
    <w:rsid w:val="007309FF"/>
    <w:rsid w:val="00730B51"/>
    <w:rsid w:val="00730BDA"/>
    <w:rsid w:val="00730DB6"/>
    <w:rsid w:val="00731477"/>
    <w:rsid w:val="007314D8"/>
    <w:rsid w:val="00731513"/>
    <w:rsid w:val="007316C2"/>
    <w:rsid w:val="00732081"/>
    <w:rsid w:val="00732E65"/>
    <w:rsid w:val="00732FBF"/>
    <w:rsid w:val="0073375C"/>
    <w:rsid w:val="0073396B"/>
    <w:rsid w:val="00733FF7"/>
    <w:rsid w:val="0073440E"/>
    <w:rsid w:val="00734D36"/>
    <w:rsid w:val="007350FA"/>
    <w:rsid w:val="00735332"/>
    <w:rsid w:val="007357ED"/>
    <w:rsid w:val="0073652E"/>
    <w:rsid w:val="00736A6F"/>
    <w:rsid w:val="00736B13"/>
    <w:rsid w:val="00736F0A"/>
    <w:rsid w:val="0073733C"/>
    <w:rsid w:val="007373F5"/>
    <w:rsid w:val="007376DB"/>
    <w:rsid w:val="00737F00"/>
    <w:rsid w:val="00740204"/>
    <w:rsid w:val="0074050A"/>
    <w:rsid w:val="00740FE9"/>
    <w:rsid w:val="00741A71"/>
    <w:rsid w:val="00741E89"/>
    <w:rsid w:val="00741F59"/>
    <w:rsid w:val="007423E1"/>
    <w:rsid w:val="00742808"/>
    <w:rsid w:val="00742B4B"/>
    <w:rsid w:val="00742DD2"/>
    <w:rsid w:val="00743090"/>
    <w:rsid w:val="007435F4"/>
    <w:rsid w:val="0074364D"/>
    <w:rsid w:val="00743B31"/>
    <w:rsid w:val="00744F76"/>
    <w:rsid w:val="0074515F"/>
    <w:rsid w:val="0074565F"/>
    <w:rsid w:val="00745E21"/>
    <w:rsid w:val="00745F83"/>
    <w:rsid w:val="007461E0"/>
    <w:rsid w:val="007461F3"/>
    <w:rsid w:val="00746250"/>
    <w:rsid w:val="0074669F"/>
    <w:rsid w:val="0074728C"/>
    <w:rsid w:val="00747A76"/>
    <w:rsid w:val="00747FDE"/>
    <w:rsid w:val="0075002D"/>
    <w:rsid w:val="00750473"/>
    <w:rsid w:val="0075061A"/>
    <w:rsid w:val="00750824"/>
    <w:rsid w:val="0075177B"/>
    <w:rsid w:val="007519E4"/>
    <w:rsid w:val="00751FCA"/>
    <w:rsid w:val="007529D9"/>
    <w:rsid w:val="00752A3D"/>
    <w:rsid w:val="00753E97"/>
    <w:rsid w:val="007540A7"/>
    <w:rsid w:val="00754213"/>
    <w:rsid w:val="007544B4"/>
    <w:rsid w:val="00754877"/>
    <w:rsid w:val="00754959"/>
    <w:rsid w:val="00754966"/>
    <w:rsid w:val="00754F14"/>
    <w:rsid w:val="00755476"/>
    <w:rsid w:val="00756369"/>
    <w:rsid w:val="00756929"/>
    <w:rsid w:val="00756D66"/>
    <w:rsid w:val="00756ED6"/>
    <w:rsid w:val="00756F9C"/>
    <w:rsid w:val="00757325"/>
    <w:rsid w:val="007573FE"/>
    <w:rsid w:val="00757625"/>
    <w:rsid w:val="00757690"/>
    <w:rsid w:val="00757A3B"/>
    <w:rsid w:val="007603BC"/>
    <w:rsid w:val="00760529"/>
    <w:rsid w:val="00761854"/>
    <w:rsid w:val="00761DE9"/>
    <w:rsid w:val="0076219C"/>
    <w:rsid w:val="007624A9"/>
    <w:rsid w:val="007626A3"/>
    <w:rsid w:val="007628C7"/>
    <w:rsid w:val="00762BC7"/>
    <w:rsid w:val="00762CAF"/>
    <w:rsid w:val="00762CC1"/>
    <w:rsid w:val="00762D60"/>
    <w:rsid w:val="0076304B"/>
    <w:rsid w:val="007634DB"/>
    <w:rsid w:val="0076392E"/>
    <w:rsid w:val="00763D39"/>
    <w:rsid w:val="0076428D"/>
    <w:rsid w:val="0076438F"/>
    <w:rsid w:val="007646E9"/>
    <w:rsid w:val="00764908"/>
    <w:rsid w:val="0076494D"/>
    <w:rsid w:val="00764BE8"/>
    <w:rsid w:val="00764ED4"/>
    <w:rsid w:val="007653EB"/>
    <w:rsid w:val="00765942"/>
    <w:rsid w:val="00765B33"/>
    <w:rsid w:val="00765B53"/>
    <w:rsid w:val="00765EAA"/>
    <w:rsid w:val="0076603F"/>
    <w:rsid w:val="00766264"/>
    <w:rsid w:val="00766389"/>
    <w:rsid w:val="00766628"/>
    <w:rsid w:val="00766FC9"/>
    <w:rsid w:val="007670DF"/>
    <w:rsid w:val="00767568"/>
    <w:rsid w:val="00767A9C"/>
    <w:rsid w:val="00767DBB"/>
    <w:rsid w:val="00770313"/>
    <w:rsid w:val="00770409"/>
    <w:rsid w:val="00770BA5"/>
    <w:rsid w:val="00771572"/>
    <w:rsid w:val="0077160E"/>
    <w:rsid w:val="00771909"/>
    <w:rsid w:val="00771BF9"/>
    <w:rsid w:val="00771CCB"/>
    <w:rsid w:val="0077206D"/>
    <w:rsid w:val="00772218"/>
    <w:rsid w:val="0077296D"/>
    <w:rsid w:val="00772BC7"/>
    <w:rsid w:val="00772DDE"/>
    <w:rsid w:val="007730CA"/>
    <w:rsid w:val="007731DD"/>
    <w:rsid w:val="00773276"/>
    <w:rsid w:val="0077349D"/>
    <w:rsid w:val="00773894"/>
    <w:rsid w:val="00774646"/>
    <w:rsid w:val="00774838"/>
    <w:rsid w:val="00774C17"/>
    <w:rsid w:val="0077530A"/>
    <w:rsid w:val="00775863"/>
    <w:rsid w:val="00775D3A"/>
    <w:rsid w:val="0077601A"/>
    <w:rsid w:val="0077607D"/>
    <w:rsid w:val="00776333"/>
    <w:rsid w:val="007764BD"/>
    <w:rsid w:val="007768CE"/>
    <w:rsid w:val="00776C5A"/>
    <w:rsid w:val="00776D82"/>
    <w:rsid w:val="007771E0"/>
    <w:rsid w:val="00777A1D"/>
    <w:rsid w:val="00777DE5"/>
    <w:rsid w:val="0078008F"/>
    <w:rsid w:val="007800BB"/>
    <w:rsid w:val="00780557"/>
    <w:rsid w:val="007805FE"/>
    <w:rsid w:val="00780A81"/>
    <w:rsid w:val="0078139C"/>
    <w:rsid w:val="00781695"/>
    <w:rsid w:val="007816BA"/>
    <w:rsid w:val="007820F5"/>
    <w:rsid w:val="007821A5"/>
    <w:rsid w:val="00782A9D"/>
    <w:rsid w:val="00782C04"/>
    <w:rsid w:val="00782E14"/>
    <w:rsid w:val="00782F00"/>
    <w:rsid w:val="00783271"/>
    <w:rsid w:val="007837FE"/>
    <w:rsid w:val="00783C8A"/>
    <w:rsid w:val="00783EA1"/>
    <w:rsid w:val="00783FE7"/>
    <w:rsid w:val="00784985"/>
    <w:rsid w:val="00784B74"/>
    <w:rsid w:val="00784DA0"/>
    <w:rsid w:val="00784E43"/>
    <w:rsid w:val="00785023"/>
    <w:rsid w:val="007857C3"/>
    <w:rsid w:val="00785A06"/>
    <w:rsid w:val="00785BCF"/>
    <w:rsid w:val="00785C79"/>
    <w:rsid w:val="00786237"/>
    <w:rsid w:val="00786260"/>
    <w:rsid w:val="007865BB"/>
    <w:rsid w:val="0078668E"/>
    <w:rsid w:val="00786B24"/>
    <w:rsid w:val="00786CE6"/>
    <w:rsid w:val="00786DE0"/>
    <w:rsid w:val="0078739D"/>
    <w:rsid w:val="00787CD8"/>
    <w:rsid w:val="00787F8E"/>
    <w:rsid w:val="0079093E"/>
    <w:rsid w:val="0079098B"/>
    <w:rsid w:val="007909A2"/>
    <w:rsid w:val="00790F57"/>
    <w:rsid w:val="00791576"/>
    <w:rsid w:val="00791E10"/>
    <w:rsid w:val="00791FF8"/>
    <w:rsid w:val="007922A1"/>
    <w:rsid w:val="0079261F"/>
    <w:rsid w:val="00792DCE"/>
    <w:rsid w:val="00792DFF"/>
    <w:rsid w:val="00792F3A"/>
    <w:rsid w:val="007933B8"/>
    <w:rsid w:val="007934C4"/>
    <w:rsid w:val="007936F7"/>
    <w:rsid w:val="00793723"/>
    <w:rsid w:val="00793856"/>
    <w:rsid w:val="00793A4D"/>
    <w:rsid w:val="00793FA6"/>
    <w:rsid w:val="007945E0"/>
    <w:rsid w:val="00794E7D"/>
    <w:rsid w:val="00794F1F"/>
    <w:rsid w:val="007952B2"/>
    <w:rsid w:val="00795890"/>
    <w:rsid w:val="00795C25"/>
    <w:rsid w:val="00795D48"/>
    <w:rsid w:val="00796139"/>
    <w:rsid w:val="00796586"/>
    <w:rsid w:val="007965C8"/>
    <w:rsid w:val="00796816"/>
    <w:rsid w:val="0079716C"/>
    <w:rsid w:val="007971E4"/>
    <w:rsid w:val="00797604"/>
    <w:rsid w:val="007978E9"/>
    <w:rsid w:val="00797A14"/>
    <w:rsid w:val="007A02A7"/>
    <w:rsid w:val="007A06DF"/>
    <w:rsid w:val="007A08B3"/>
    <w:rsid w:val="007A0965"/>
    <w:rsid w:val="007A0AD8"/>
    <w:rsid w:val="007A0D72"/>
    <w:rsid w:val="007A0FCD"/>
    <w:rsid w:val="007A1920"/>
    <w:rsid w:val="007A1A58"/>
    <w:rsid w:val="007A1EEB"/>
    <w:rsid w:val="007A2267"/>
    <w:rsid w:val="007A23D8"/>
    <w:rsid w:val="007A2730"/>
    <w:rsid w:val="007A2957"/>
    <w:rsid w:val="007A29FC"/>
    <w:rsid w:val="007A3477"/>
    <w:rsid w:val="007A3552"/>
    <w:rsid w:val="007A3722"/>
    <w:rsid w:val="007A380F"/>
    <w:rsid w:val="007A396A"/>
    <w:rsid w:val="007A3C06"/>
    <w:rsid w:val="007A3E85"/>
    <w:rsid w:val="007A4134"/>
    <w:rsid w:val="007A4231"/>
    <w:rsid w:val="007A4413"/>
    <w:rsid w:val="007A4571"/>
    <w:rsid w:val="007A5065"/>
    <w:rsid w:val="007A5116"/>
    <w:rsid w:val="007A5157"/>
    <w:rsid w:val="007A532B"/>
    <w:rsid w:val="007A539D"/>
    <w:rsid w:val="007A53C2"/>
    <w:rsid w:val="007A5687"/>
    <w:rsid w:val="007A5A29"/>
    <w:rsid w:val="007A5CAC"/>
    <w:rsid w:val="007A6386"/>
    <w:rsid w:val="007A6A27"/>
    <w:rsid w:val="007A6EED"/>
    <w:rsid w:val="007A70CF"/>
    <w:rsid w:val="007A73F6"/>
    <w:rsid w:val="007A76E2"/>
    <w:rsid w:val="007A7807"/>
    <w:rsid w:val="007A7C00"/>
    <w:rsid w:val="007A7CD7"/>
    <w:rsid w:val="007A7E5D"/>
    <w:rsid w:val="007A7EE3"/>
    <w:rsid w:val="007B00B6"/>
    <w:rsid w:val="007B100E"/>
    <w:rsid w:val="007B1108"/>
    <w:rsid w:val="007B1428"/>
    <w:rsid w:val="007B1BD0"/>
    <w:rsid w:val="007B1FAC"/>
    <w:rsid w:val="007B24F6"/>
    <w:rsid w:val="007B24FB"/>
    <w:rsid w:val="007B29E6"/>
    <w:rsid w:val="007B2B40"/>
    <w:rsid w:val="007B2D5C"/>
    <w:rsid w:val="007B31BD"/>
    <w:rsid w:val="007B43C7"/>
    <w:rsid w:val="007B4BBC"/>
    <w:rsid w:val="007B5C4A"/>
    <w:rsid w:val="007B5ED4"/>
    <w:rsid w:val="007B609D"/>
    <w:rsid w:val="007B66F1"/>
    <w:rsid w:val="007B67E9"/>
    <w:rsid w:val="007B6A48"/>
    <w:rsid w:val="007B72AF"/>
    <w:rsid w:val="007B7344"/>
    <w:rsid w:val="007B75B5"/>
    <w:rsid w:val="007B7889"/>
    <w:rsid w:val="007B7FED"/>
    <w:rsid w:val="007C00FE"/>
    <w:rsid w:val="007C0298"/>
    <w:rsid w:val="007C031C"/>
    <w:rsid w:val="007C0935"/>
    <w:rsid w:val="007C0967"/>
    <w:rsid w:val="007C0A9A"/>
    <w:rsid w:val="007C0AB6"/>
    <w:rsid w:val="007C0E32"/>
    <w:rsid w:val="007C108E"/>
    <w:rsid w:val="007C118D"/>
    <w:rsid w:val="007C15B2"/>
    <w:rsid w:val="007C1CA7"/>
    <w:rsid w:val="007C1FFB"/>
    <w:rsid w:val="007C20F6"/>
    <w:rsid w:val="007C2B4A"/>
    <w:rsid w:val="007C2F60"/>
    <w:rsid w:val="007C351B"/>
    <w:rsid w:val="007C35A4"/>
    <w:rsid w:val="007C372A"/>
    <w:rsid w:val="007C3BE9"/>
    <w:rsid w:val="007C42B0"/>
    <w:rsid w:val="007C45BB"/>
    <w:rsid w:val="007C4F6E"/>
    <w:rsid w:val="007C4FCA"/>
    <w:rsid w:val="007C5014"/>
    <w:rsid w:val="007C5484"/>
    <w:rsid w:val="007C623E"/>
    <w:rsid w:val="007C66AC"/>
    <w:rsid w:val="007C6CD8"/>
    <w:rsid w:val="007C6FA5"/>
    <w:rsid w:val="007C709D"/>
    <w:rsid w:val="007C7C49"/>
    <w:rsid w:val="007D053D"/>
    <w:rsid w:val="007D05A5"/>
    <w:rsid w:val="007D06C3"/>
    <w:rsid w:val="007D0B0E"/>
    <w:rsid w:val="007D0F7C"/>
    <w:rsid w:val="007D1527"/>
    <w:rsid w:val="007D19F3"/>
    <w:rsid w:val="007D1A5E"/>
    <w:rsid w:val="007D1B28"/>
    <w:rsid w:val="007D1D0A"/>
    <w:rsid w:val="007D26DD"/>
    <w:rsid w:val="007D2DAF"/>
    <w:rsid w:val="007D3279"/>
    <w:rsid w:val="007D32C9"/>
    <w:rsid w:val="007D456C"/>
    <w:rsid w:val="007D4B1E"/>
    <w:rsid w:val="007D4D4A"/>
    <w:rsid w:val="007D4F8A"/>
    <w:rsid w:val="007D625A"/>
    <w:rsid w:val="007D62B8"/>
    <w:rsid w:val="007D62F3"/>
    <w:rsid w:val="007D64B5"/>
    <w:rsid w:val="007D67E3"/>
    <w:rsid w:val="007D6DB4"/>
    <w:rsid w:val="007D775D"/>
    <w:rsid w:val="007D77A7"/>
    <w:rsid w:val="007D7B09"/>
    <w:rsid w:val="007D7BFB"/>
    <w:rsid w:val="007D7CD9"/>
    <w:rsid w:val="007E0133"/>
    <w:rsid w:val="007E0A83"/>
    <w:rsid w:val="007E0F8C"/>
    <w:rsid w:val="007E19BD"/>
    <w:rsid w:val="007E2218"/>
    <w:rsid w:val="007E32FC"/>
    <w:rsid w:val="007E3840"/>
    <w:rsid w:val="007E39FA"/>
    <w:rsid w:val="007E3D5D"/>
    <w:rsid w:val="007E41D4"/>
    <w:rsid w:val="007E42DB"/>
    <w:rsid w:val="007E4954"/>
    <w:rsid w:val="007E49EC"/>
    <w:rsid w:val="007E4A27"/>
    <w:rsid w:val="007E4EBE"/>
    <w:rsid w:val="007E50D8"/>
    <w:rsid w:val="007E596A"/>
    <w:rsid w:val="007E5B25"/>
    <w:rsid w:val="007E5ED9"/>
    <w:rsid w:val="007E6F8D"/>
    <w:rsid w:val="007E716E"/>
    <w:rsid w:val="007E7B68"/>
    <w:rsid w:val="007E7D7D"/>
    <w:rsid w:val="007F02B4"/>
    <w:rsid w:val="007F02DB"/>
    <w:rsid w:val="007F0FCD"/>
    <w:rsid w:val="007F121B"/>
    <w:rsid w:val="007F1656"/>
    <w:rsid w:val="007F17CF"/>
    <w:rsid w:val="007F18B3"/>
    <w:rsid w:val="007F19D5"/>
    <w:rsid w:val="007F19FE"/>
    <w:rsid w:val="007F212D"/>
    <w:rsid w:val="007F21EE"/>
    <w:rsid w:val="007F23FF"/>
    <w:rsid w:val="007F26AB"/>
    <w:rsid w:val="007F26EB"/>
    <w:rsid w:val="007F289B"/>
    <w:rsid w:val="007F2A75"/>
    <w:rsid w:val="007F2A7D"/>
    <w:rsid w:val="007F38B7"/>
    <w:rsid w:val="007F3DB1"/>
    <w:rsid w:val="007F4073"/>
    <w:rsid w:val="007F422E"/>
    <w:rsid w:val="007F426E"/>
    <w:rsid w:val="007F4D07"/>
    <w:rsid w:val="007F4D39"/>
    <w:rsid w:val="007F4E93"/>
    <w:rsid w:val="007F5091"/>
    <w:rsid w:val="007F5841"/>
    <w:rsid w:val="007F586F"/>
    <w:rsid w:val="007F5938"/>
    <w:rsid w:val="007F5FA3"/>
    <w:rsid w:val="007F6393"/>
    <w:rsid w:val="007F6655"/>
    <w:rsid w:val="007F6659"/>
    <w:rsid w:val="007F672B"/>
    <w:rsid w:val="007F67E0"/>
    <w:rsid w:val="007F6B5E"/>
    <w:rsid w:val="007F6DCC"/>
    <w:rsid w:val="007F733D"/>
    <w:rsid w:val="007F7348"/>
    <w:rsid w:val="007F7A29"/>
    <w:rsid w:val="007F7DF4"/>
    <w:rsid w:val="00800A23"/>
    <w:rsid w:val="00800A66"/>
    <w:rsid w:val="00801210"/>
    <w:rsid w:val="008016D8"/>
    <w:rsid w:val="00801C4F"/>
    <w:rsid w:val="00801CBA"/>
    <w:rsid w:val="008024D7"/>
    <w:rsid w:val="008025D5"/>
    <w:rsid w:val="008028D8"/>
    <w:rsid w:val="00802A0F"/>
    <w:rsid w:val="00803110"/>
    <w:rsid w:val="0080393C"/>
    <w:rsid w:val="00803D5A"/>
    <w:rsid w:val="008042B4"/>
    <w:rsid w:val="008046D4"/>
    <w:rsid w:val="00804703"/>
    <w:rsid w:val="00804957"/>
    <w:rsid w:val="008049C9"/>
    <w:rsid w:val="00804B4F"/>
    <w:rsid w:val="00805928"/>
    <w:rsid w:val="00805A5D"/>
    <w:rsid w:val="00805E3B"/>
    <w:rsid w:val="00806133"/>
    <w:rsid w:val="00806DC7"/>
    <w:rsid w:val="0080708A"/>
    <w:rsid w:val="008076DF"/>
    <w:rsid w:val="00807F75"/>
    <w:rsid w:val="008104A1"/>
    <w:rsid w:val="00810547"/>
    <w:rsid w:val="008105C1"/>
    <w:rsid w:val="0081075D"/>
    <w:rsid w:val="00810765"/>
    <w:rsid w:val="0081083E"/>
    <w:rsid w:val="00810E90"/>
    <w:rsid w:val="0081109E"/>
    <w:rsid w:val="0081128B"/>
    <w:rsid w:val="0081133B"/>
    <w:rsid w:val="008115D6"/>
    <w:rsid w:val="00811A51"/>
    <w:rsid w:val="00811E4E"/>
    <w:rsid w:val="00811EAB"/>
    <w:rsid w:val="0081222F"/>
    <w:rsid w:val="00813595"/>
    <w:rsid w:val="00813887"/>
    <w:rsid w:val="00813A0B"/>
    <w:rsid w:val="00813CC6"/>
    <w:rsid w:val="00813CEF"/>
    <w:rsid w:val="00814107"/>
    <w:rsid w:val="00814582"/>
    <w:rsid w:val="00814804"/>
    <w:rsid w:val="00814FA6"/>
    <w:rsid w:val="00814FC3"/>
    <w:rsid w:val="00815273"/>
    <w:rsid w:val="008152BB"/>
    <w:rsid w:val="0081538C"/>
    <w:rsid w:val="008153C8"/>
    <w:rsid w:val="0081550A"/>
    <w:rsid w:val="0081594C"/>
    <w:rsid w:val="00815FA4"/>
    <w:rsid w:val="00815FB3"/>
    <w:rsid w:val="008160A3"/>
    <w:rsid w:val="008160D0"/>
    <w:rsid w:val="0081682C"/>
    <w:rsid w:val="00816CD2"/>
    <w:rsid w:val="00816FE8"/>
    <w:rsid w:val="008170CC"/>
    <w:rsid w:val="00817F8F"/>
    <w:rsid w:val="0082003C"/>
    <w:rsid w:val="00820406"/>
    <w:rsid w:val="00820415"/>
    <w:rsid w:val="008216F5"/>
    <w:rsid w:val="00821DFB"/>
    <w:rsid w:val="0082245A"/>
    <w:rsid w:val="00822657"/>
    <w:rsid w:val="00822963"/>
    <w:rsid w:val="00823006"/>
    <w:rsid w:val="008231C4"/>
    <w:rsid w:val="00823B55"/>
    <w:rsid w:val="00823F98"/>
    <w:rsid w:val="00824C96"/>
    <w:rsid w:val="0082596A"/>
    <w:rsid w:val="00825DED"/>
    <w:rsid w:val="00825E69"/>
    <w:rsid w:val="00826792"/>
    <w:rsid w:val="00826868"/>
    <w:rsid w:val="00826ACE"/>
    <w:rsid w:val="008272FE"/>
    <w:rsid w:val="0082749A"/>
    <w:rsid w:val="0082797F"/>
    <w:rsid w:val="00827A18"/>
    <w:rsid w:val="00827EC4"/>
    <w:rsid w:val="00830D0E"/>
    <w:rsid w:val="00830D57"/>
    <w:rsid w:val="00830E44"/>
    <w:rsid w:val="00831546"/>
    <w:rsid w:val="00831F1E"/>
    <w:rsid w:val="00831F64"/>
    <w:rsid w:val="00831F98"/>
    <w:rsid w:val="00831FB7"/>
    <w:rsid w:val="00832006"/>
    <w:rsid w:val="0083201A"/>
    <w:rsid w:val="008322DD"/>
    <w:rsid w:val="0083244C"/>
    <w:rsid w:val="00832FE6"/>
    <w:rsid w:val="00833228"/>
    <w:rsid w:val="0083356B"/>
    <w:rsid w:val="00833679"/>
    <w:rsid w:val="00833792"/>
    <w:rsid w:val="00833EF9"/>
    <w:rsid w:val="008346B3"/>
    <w:rsid w:val="008347B7"/>
    <w:rsid w:val="00834B46"/>
    <w:rsid w:val="00834E62"/>
    <w:rsid w:val="00835068"/>
    <w:rsid w:val="00835300"/>
    <w:rsid w:val="0083534F"/>
    <w:rsid w:val="008357E8"/>
    <w:rsid w:val="008358F4"/>
    <w:rsid w:val="00835CDA"/>
    <w:rsid w:val="00836DCD"/>
    <w:rsid w:val="00837011"/>
    <w:rsid w:val="008371E3"/>
    <w:rsid w:val="00837488"/>
    <w:rsid w:val="008376ED"/>
    <w:rsid w:val="00837707"/>
    <w:rsid w:val="00837790"/>
    <w:rsid w:val="008379F8"/>
    <w:rsid w:val="0084013A"/>
    <w:rsid w:val="008408EC"/>
    <w:rsid w:val="00840D38"/>
    <w:rsid w:val="00840FC1"/>
    <w:rsid w:val="00841433"/>
    <w:rsid w:val="00841505"/>
    <w:rsid w:val="00841826"/>
    <w:rsid w:val="008419B3"/>
    <w:rsid w:val="00841AFC"/>
    <w:rsid w:val="00841BB1"/>
    <w:rsid w:val="00841BDD"/>
    <w:rsid w:val="00841D7D"/>
    <w:rsid w:val="00842534"/>
    <w:rsid w:val="008425A7"/>
    <w:rsid w:val="00842ACB"/>
    <w:rsid w:val="00843299"/>
    <w:rsid w:val="008434AC"/>
    <w:rsid w:val="008438C8"/>
    <w:rsid w:val="00844412"/>
    <w:rsid w:val="00844730"/>
    <w:rsid w:val="008448A3"/>
    <w:rsid w:val="0084561A"/>
    <w:rsid w:val="00845653"/>
    <w:rsid w:val="00845C7E"/>
    <w:rsid w:val="00845FBA"/>
    <w:rsid w:val="00846743"/>
    <w:rsid w:val="00846814"/>
    <w:rsid w:val="008469DA"/>
    <w:rsid w:val="0084762F"/>
    <w:rsid w:val="00847736"/>
    <w:rsid w:val="008478F3"/>
    <w:rsid w:val="00847A28"/>
    <w:rsid w:val="00847F90"/>
    <w:rsid w:val="008500C0"/>
    <w:rsid w:val="008502CB"/>
    <w:rsid w:val="00850888"/>
    <w:rsid w:val="00850D10"/>
    <w:rsid w:val="00850D4F"/>
    <w:rsid w:val="00850E7A"/>
    <w:rsid w:val="008511BD"/>
    <w:rsid w:val="0085151E"/>
    <w:rsid w:val="0085163C"/>
    <w:rsid w:val="0085177A"/>
    <w:rsid w:val="0085224D"/>
    <w:rsid w:val="008523F9"/>
    <w:rsid w:val="00852687"/>
    <w:rsid w:val="00852852"/>
    <w:rsid w:val="008528A7"/>
    <w:rsid w:val="00852C36"/>
    <w:rsid w:val="00852C5D"/>
    <w:rsid w:val="00852F35"/>
    <w:rsid w:val="008530AE"/>
    <w:rsid w:val="00853611"/>
    <w:rsid w:val="00853CF1"/>
    <w:rsid w:val="00853F4D"/>
    <w:rsid w:val="00853FF7"/>
    <w:rsid w:val="008543BE"/>
    <w:rsid w:val="008549A7"/>
    <w:rsid w:val="00854BC2"/>
    <w:rsid w:val="008550D8"/>
    <w:rsid w:val="0085527A"/>
    <w:rsid w:val="00855563"/>
    <w:rsid w:val="00855920"/>
    <w:rsid w:val="008559D1"/>
    <w:rsid w:val="00855AEC"/>
    <w:rsid w:val="00855BF0"/>
    <w:rsid w:val="008562E3"/>
    <w:rsid w:val="00856306"/>
    <w:rsid w:val="00856935"/>
    <w:rsid w:val="00856B74"/>
    <w:rsid w:val="00856B84"/>
    <w:rsid w:val="00856D31"/>
    <w:rsid w:val="008570F6"/>
    <w:rsid w:val="00857249"/>
    <w:rsid w:val="00857363"/>
    <w:rsid w:val="008575AD"/>
    <w:rsid w:val="00857627"/>
    <w:rsid w:val="00857B03"/>
    <w:rsid w:val="00860018"/>
    <w:rsid w:val="00860167"/>
    <w:rsid w:val="008601A4"/>
    <w:rsid w:val="008605B4"/>
    <w:rsid w:val="008605CD"/>
    <w:rsid w:val="008608B8"/>
    <w:rsid w:val="00860D9E"/>
    <w:rsid w:val="00861128"/>
    <w:rsid w:val="008616DF"/>
    <w:rsid w:val="00861BFD"/>
    <w:rsid w:val="00861C0C"/>
    <w:rsid w:val="00861CA7"/>
    <w:rsid w:val="00861D5F"/>
    <w:rsid w:val="0086207B"/>
    <w:rsid w:val="00862749"/>
    <w:rsid w:val="00862F8B"/>
    <w:rsid w:val="00862FD1"/>
    <w:rsid w:val="00862FE1"/>
    <w:rsid w:val="00863049"/>
    <w:rsid w:val="008630ED"/>
    <w:rsid w:val="00863157"/>
    <w:rsid w:val="008632EB"/>
    <w:rsid w:val="0086381F"/>
    <w:rsid w:val="0086394C"/>
    <w:rsid w:val="00863A75"/>
    <w:rsid w:val="00863A8B"/>
    <w:rsid w:val="00863C87"/>
    <w:rsid w:val="00864378"/>
    <w:rsid w:val="008644EA"/>
    <w:rsid w:val="00864C0D"/>
    <w:rsid w:val="00864DC6"/>
    <w:rsid w:val="00865075"/>
    <w:rsid w:val="0086552C"/>
    <w:rsid w:val="008657DB"/>
    <w:rsid w:val="0086585F"/>
    <w:rsid w:val="008658F5"/>
    <w:rsid w:val="008660BD"/>
    <w:rsid w:val="00866179"/>
    <w:rsid w:val="008663EF"/>
    <w:rsid w:val="00866666"/>
    <w:rsid w:val="00866671"/>
    <w:rsid w:val="008667C4"/>
    <w:rsid w:val="00866C74"/>
    <w:rsid w:val="00867082"/>
    <w:rsid w:val="00867761"/>
    <w:rsid w:val="008677AD"/>
    <w:rsid w:val="00867B52"/>
    <w:rsid w:val="00867E40"/>
    <w:rsid w:val="0087017A"/>
    <w:rsid w:val="0087017F"/>
    <w:rsid w:val="00870921"/>
    <w:rsid w:val="00870F2A"/>
    <w:rsid w:val="00871C68"/>
    <w:rsid w:val="00871DDB"/>
    <w:rsid w:val="00871E79"/>
    <w:rsid w:val="0087265C"/>
    <w:rsid w:val="008726B9"/>
    <w:rsid w:val="0087275C"/>
    <w:rsid w:val="0087282F"/>
    <w:rsid w:val="00872B3D"/>
    <w:rsid w:val="00872CE1"/>
    <w:rsid w:val="00872D64"/>
    <w:rsid w:val="00873AB0"/>
    <w:rsid w:val="00873DF5"/>
    <w:rsid w:val="00873FB9"/>
    <w:rsid w:val="008743E6"/>
    <w:rsid w:val="00874737"/>
    <w:rsid w:val="00874E4B"/>
    <w:rsid w:val="00875002"/>
    <w:rsid w:val="0087570D"/>
    <w:rsid w:val="00875910"/>
    <w:rsid w:val="00875C91"/>
    <w:rsid w:val="0087619F"/>
    <w:rsid w:val="00876330"/>
    <w:rsid w:val="00876335"/>
    <w:rsid w:val="00876A08"/>
    <w:rsid w:val="008770AE"/>
    <w:rsid w:val="008776F0"/>
    <w:rsid w:val="0087792D"/>
    <w:rsid w:val="00877E55"/>
    <w:rsid w:val="00880082"/>
    <w:rsid w:val="008801C1"/>
    <w:rsid w:val="00880485"/>
    <w:rsid w:val="00880B0F"/>
    <w:rsid w:val="00880F55"/>
    <w:rsid w:val="008810AD"/>
    <w:rsid w:val="00881386"/>
    <w:rsid w:val="00881450"/>
    <w:rsid w:val="0088153A"/>
    <w:rsid w:val="00881910"/>
    <w:rsid w:val="00881A82"/>
    <w:rsid w:val="00881EBB"/>
    <w:rsid w:val="0088208B"/>
    <w:rsid w:val="008820B1"/>
    <w:rsid w:val="008823BD"/>
    <w:rsid w:val="00882E77"/>
    <w:rsid w:val="00883219"/>
    <w:rsid w:val="00883248"/>
    <w:rsid w:val="00883276"/>
    <w:rsid w:val="0088363E"/>
    <w:rsid w:val="008836BC"/>
    <w:rsid w:val="00883C82"/>
    <w:rsid w:val="00883FFC"/>
    <w:rsid w:val="008840F6"/>
    <w:rsid w:val="008842FE"/>
    <w:rsid w:val="008843EE"/>
    <w:rsid w:val="0088463A"/>
    <w:rsid w:val="0088499B"/>
    <w:rsid w:val="00884BF7"/>
    <w:rsid w:val="00884D4F"/>
    <w:rsid w:val="00885380"/>
    <w:rsid w:val="00885C26"/>
    <w:rsid w:val="00885F02"/>
    <w:rsid w:val="00885FA6"/>
    <w:rsid w:val="00886440"/>
    <w:rsid w:val="00886A22"/>
    <w:rsid w:val="00887072"/>
    <w:rsid w:val="00887666"/>
    <w:rsid w:val="00887973"/>
    <w:rsid w:val="00887C64"/>
    <w:rsid w:val="00887CA5"/>
    <w:rsid w:val="00890485"/>
    <w:rsid w:val="00890A56"/>
    <w:rsid w:val="00890D44"/>
    <w:rsid w:val="00890DC0"/>
    <w:rsid w:val="008910DD"/>
    <w:rsid w:val="00891537"/>
    <w:rsid w:val="008917AC"/>
    <w:rsid w:val="008921BE"/>
    <w:rsid w:val="008922D0"/>
    <w:rsid w:val="008929C1"/>
    <w:rsid w:val="00892A3D"/>
    <w:rsid w:val="00892A62"/>
    <w:rsid w:val="00892B89"/>
    <w:rsid w:val="00892D49"/>
    <w:rsid w:val="00892D94"/>
    <w:rsid w:val="0089433B"/>
    <w:rsid w:val="008943C5"/>
    <w:rsid w:val="0089465C"/>
    <w:rsid w:val="008947A5"/>
    <w:rsid w:val="00894E69"/>
    <w:rsid w:val="008950CE"/>
    <w:rsid w:val="00895729"/>
    <w:rsid w:val="0089595B"/>
    <w:rsid w:val="00896043"/>
    <w:rsid w:val="00896CB1"/>
    <w:rsid w:val="00896DA8"/>
    <w:rsid w:val="00896DE2"/>
    <w:rsid w:val="00896E01"/>
    <w:rsid w:val="0089710B"/>
    <w:rsid w:val="0089751A"/>
    <w:rsid w:val="0089783F"/>
    <w:rsid w:val="00897D56"/>
    <w:rsid w:val="008A0614"/>
    <w:rsid w:val="008A06C6"/>
    <w:rsid w:val="008A12C6"/>
    <w:rsid w:val="008A138C"/>
    <w:rsid w:val="008A1698"/>
    <w:rsid w:val="008A1929"/>
    <w:rsid w:val="008A1C5A"/>
    <w:rsid w:val="008A1CBD"/>
    <w:rsid w:val="008A20CB"/>
    <w:rsid w:val="008A217C"/>
    <w:rsid w:val="008A283F"/>
    <w:rsid w:val="008A2B50"/>
    <w:rsid w:val="008A2C32"/>
    <w:rsid w:val="008A2D30"/>
    <w:rsid w:val="008A3133"/>
    <w:rsid w:val="008A3E23"/>
    <w:rsid w:val="008A3F6C"/>
    <w:rsid w:val="008A434A"/>
    <w:rsid w:val="008A45F8"/>
    <w:rsid w:val="008A4805"/>
    <w:rsid w:val="008A4941"/>
    <w:rsid w:val="008A4A32"/>
    <w:rsid w:val="008A4DA5"/>
    <w:rsid w:val="008A53A8"/>
    <w:rsid w:val="008A53D3"/>
    <w:rsid w:val="008A55A6"/>
    <w:rsid w:val="008A5C60"/>
    <w:rsid w:val="008A61CD"/>
    <w:rsid w:val="008A69F0"/>
    <w:rsid w:val="008A6BEE"/>
    <w:rsid w:val="008A70E4"/>
    <w:rsid w:val="008A7997"/>
    <w:rsid w:val="008B0100"/>
    <w:rsid w:val="008B0380"/>
    <w:rsid w:val="008B0957"/>
    <w:rsid w:val="008B1910"/>
    <w:rsid w:val="008B1978"/>
    <w:rsid w:val="008B1C33"/>
    <w:rsid w:val="008B252F"/>
    <w:rsid w:val="008B25EA"/>
    <w:rsid w:val="008B28A5"/>
    <w:rsid w:val="008B28D9"/>
    <w:rsid w:val="008B2CF7"/>
    <w:rsid w:val="008B2FE5"/>
    <w:rsid w:val="008B3216"/>
    <w:rsid w:val="008B330D"/>
    <w:rsid w:val="008B44F5"/>
    <w:rsid w:val="008B46A7"/>
    <w:rsid w:val="008B49A8"/>
    <w:rsid w:val="008B4D56"/>
    <w:rsid w:val="008B4DE0"/>
    <w:rsid w:val="008B5445"/>
    <w:rsid w:val="008B5EBC"/>
    <w:rsid w:val="008B61BD"/>
    <w:rsid w:val="008B6681"/>
    <w:rsid w:val="008B67BE"/>
    <w:rsid w:val="008B6F4F"/>
    <w:rsid w:val="008B7410"/>
    <w:rsid w:val="008B7469"/>
    <w:rsid w:val="008B77B2"/>
    <w:rsid w:val="008B7808"/>
    <w:rsid w:val="008B78D1"/>
    <w:rsid w:val="008B7E7E"/>
    <w:rsid w:val="008C0260"/>
    <w:rsid w:val="008C030F"/>
    <w:rsid w:val="008C04E3"/>
    <w:rsid w:val="008C0660"/>
    <w:rsid w:val="008C07F0"/>
    <w:rsid w:val="008C0829"/>
    <w:rsid w:val="008C097B"/>
    <w:rsid w:val="008C1693"/>
    <w:rsid w:val="008C1B69"/>
    <w:rsid w:val="008C1BC7"/>
    <w:rsid w:val="008C1E66"/>
    <w:rsid w:val="008C2519"/>
    <w:rsid w:val="008C26C6"/>
    <w:rsid w:val="008C2A0E"/>
    <w:rsid w:val="008C2B0F"/>
    <w:rsid w:val="008C2C10"/>
    <w:rsid w:val="008C2C1C"/>
    <w:rsid w:val="008C2F4A"/>
    <w:rsid w:val="008C32CF"/>
    <w:rsid w:val="008C3788"/>
    <w:rsid w:val="008C3864"/>
    <w:rsid w:val="008C3B21"/>
    <w:rsid w:val="008C3C25"/>
    <w:rsid w:val="008C3D0C"/>
    <w:rsid w:val="008C3F6F"/>
    <w:rsid w:val="008C423D"/>
    <w:rsid w:val="008C42A9"/>
    <w:rsid w:val="008C45FF"/>
    <w:rsid w:val="008C47A1"/>
    <w:rsid w:val="008C5284"/>
    <w:rsid w:val="008C536A"/>
    <w:rsid w:val="008C59C5"/>
    <w:rsid w:val="008C5C1D"/>
    <w:rsid w:val="008C5DE8"/>
    <w:rsid w:val="008C64CF"/>
    <w:rsid w:val="008C67AC"/>
    <w:rsid w:val="008C6834"/>
    <w:rsid w:val="008C6884"/>
    <w:rsid w:val="008C6E57"/>
    <w:rsid w:val="008C6F9A"/>
    <w:rsid w:val="008C70C0"/>
    <w:rsid w:val="008C70ED"/>
    <w:rsid w:val="008C71D9"/>
    <w:rsid w:val="008C738F"/>
    <w:rsid w:val="008C7528"/>
    <w:rsid w:val="008C7744"/>
    <w:rsid w:val="008C79D1"/>
    <w:rsid w:val="008C7C38"/>
    <w:rsid w:val="008D01E8"/>
    <w:rsid w:val="008D0B38"/>
    <w:rsid w:val="008D112B"/>
    <w:rsid w:val="008D14C0"/>
    <w:rsid w:val="008D183A"/>
    <w:rsid w:val="008D18C1"/>
    <w:rsid w:val="008D221F"/>
    <w:rsid w:val="008D2311"/>
    <w:rsid w:val="008D26C6"/>
    <w:rsid w:val="008D2B0B"/>
    <w:rsid w:val="008D2F65"/>
    <w:rsid w:val="008D3031"/>
    <w:rsid w:val="008D3252"/>
    <w:rsid w:val="008D35B2"/>
    <w:rsid w:val="008D3682"/>
    <w:rsid w:val="008D3CEF"/>
    <w:rsid w:val="008D427E"/>
    <w:rsid w:val="008D4416"/>
    <w:rsid w:val="008D497B"/>
    <w:rsid w:val="008D4F20"/>
    <w:rsid w:val="008D4FAB"/>
    <w:rsid w:val="008D5243"/>
    <w:rsid w:val="008D5BC9"/>
    <w:rsid w:val="008D63ED"/>
    <w:rsid w:val="008D65E6"/>
    <w:rsid w:val="008D6B9E"/>
    <w:rsid w:val="008D72FC"/>
    <w:rsid w:val="008D7363"/>
    <w:rsid w:val="008D7630"/>
    <w:rsid w:val="008D7DC9"/>
    <w:rsid w:val="008E005C"/>
    <w:rsid w:val="008E0F22"/>
    <w:rsid w:val="008E1024"/>
    <w:rsid w:val="008E121D"/>
    <w:rsid w:val="008E1395"/>
    <w:rsid w:val="008E1418"/>
    <w:rsid w:val="008E14EA"/>
    <w:rsid w:val="008E15CF"/>
    <w:rsid w:val="008E1FCD"/>
    <w:rsid w:val="008E2080"/>
    <w:rsid w:val="008E2182"/>
    <w:rsid w:val="008E229E"/>
    <w:rsid w:val="008E2556"/>
    <w:rsid w:val="008E2819"/>
    <w:rsid w:val="008E2EB6"/>
    <w:rsid w:val="008E32A9"/>
    <w:rsid w:val="008E379D"/>
    <w:rsid w:val="008E3B5B"/>
    <w:rsid w:val="008E3C5F"/>
    <w:rsid w:val="008E3CB4"/>
    <w:rsid w:val="008E4C41"/>
    <w:rsid w:val="008E5229"/>
    <w:rsid w:val="008E5613"/>
    <w:rsid w:val="008E582B"/>
    <w:rsid w:val="008E58E8"/>
    <w:rsid w:val="008E60B1"/>
    <w:rsid w:val="008E6119"/>
    <w:rsid w:val="008E641F"/>
    <w:rsid w:val="008E64A1"/>
    <w:rsid w:val="008E673C"/>
    <w:rsid w:val="008E7185"/>
    <w:rsid w:val="008E7372"/>
    <w:rsid w:val="008E7432"/>
    <w:rsid w:val="008E7867"/>
    <w:rsid w:val="008E7B9A"/>
    <w:rsid w:val="008E7D1A"/>
    <w:rsid w:val="008E7F17"/>
    <w:rsid w:val="008F00A5"/>
    <w:rsid w:val="008F049A"/>
    <w:rsid w:val="008F16ED"/>
    <w:rsid w:val="008F1C6A"/>
    <w:rsid w:val="008F1FE0"/>
    <w:rsid w:val="008F2770"/>
    <w:rsid w:val="008F352D"/>
    <w:rsid w:val="008F3CA3"/>
    <w:rsid w:val="008F43AB"/>
    <w:rsid w:val="008F46C9"/>
    <w:rsid w:val="008F48C6"/>
    <w:rsid w:val="008F4AD1"/>
    <w:rsid w:val="008F4C6A"/>
    <w:rsid w:val="008F4FB5"/>
    <w:rsid w:val="008F5517"/>
    <w:rsid w:val="008F5789"/>
    <w:rsid w:val="008F591C"/>
    <w:rsid w:val="008F59AB"/>
    <w:rsid w:val="008F5BE2"/>
    <w:rsid w:val="008F6331"/>
    <w:rsid w:val="008F66C7"/>
    <w:rsid w:val="008F6733"/>
    <w:rsid w:val="008F6BC2"/>
    <w:rsid w:val="008F7E18"/>
    <w:rsid w:val="0090015D"/>
    <w:rsid w:val="00900496"/>
    <w:rsid w:val="00900644"/>
    <w:rsid w:val="009007B3"/>
    <w:rsid w:val="009009EB"/>
    <w:rsid w:val="00900DC2"/>
    <w:rsid w:val="009016E0"/>
    <w:rsid w:val="009017A8"/>
    <w:rsid w:val="00901F52"/>
    <w:rsid w:val="009021BE"/>
    <w:rsid w:val="0090293C"/>
    <w:rsid w:val="00902C08"/>
    <w:rsid w:val="009031B2"/>
    <w:rsid w:val="0090349E"/>
    <w:rsid w:val="009036FE"/>
    <w:rsid w:val="00903C8E"/>
    <w:rsid w:val="00903DA1"/>
    <w:rsid w:val="00904262"/>
    <w:rsid w:val="00904384"/>
    <w:rsid w:val="009045B7"/>
    <w:rsid w:val="00904682"/>
    <w:rsid w:val="0090483C"/>
    <w:rsid w:val="00904C24"/>
    <w:rsid w:val="00904E05"/>
    <w:rsid w:val="00904EC9"/>
    <w:rsid w:val="00904FCB"/>
    <w:rsid w:val="0090549B"/>
    <w:rsid w:val="00905941"/>
    <w:rsid w:val="00905F16"/>
    <w:rsid w:val="00905FAA"/>
    <w:rsid w:val="00906183"/>
    <w:rsid w:val="009061B2"/>
    <w:rsid w:val="009064B3"/>
    <w:rsid w:val="0090668C"/>
    <w:rsid w:val="009069C1"/>
    <w:rsid w:val="00906D25"/>
    <w:rsid w:val="00906D5D"/>
    <w:rsid w:val="00906EE8"/>
    <w:rsid w:val="00906FDC"/>
    <w:rsid w:val="009070A0"/>
    <w:rsid w:val="00907349"/>
    <w:rsid w:val="009074F0"/>
    <w:rsid w:val="00907CE5"/>
    <w:rsid w:val="00907F0B"/>
    <w:rsid w:val="00910092"/>
    <w:rsid w:val="00910A4C"/>
    <w:rsid w:val="00910B29"/>
    <w:rsid w:val="00911156"/>
    <w:rsid w:val="0091141A"/>
    <w:rsid w:val="0091143A"/>
    <w:rsid w:val="00911531"/>
    <w:rsid w:val="0091175F"/>
    <w:rsid w:val="00911906"/>
    <w:rsid w:val="009119AF"/>
    <w:rsid w:val="00911FAA"/>
    <w:rsid w:val="0091248E"/>
    <w:rsid w:val="0091253D"/>
    <w:rsid w:val="0091287E"/>
    <w:rsid w:val="00912B81"/>
    <w:rsid w:val="00912BBB"/>
    <w:rsid w:val="00912C03"/>
    <w:rsid w:val="00912D17"/>
    <w:rsid w:val="009130FC"/>
    <w:rsid w:val="0091347B"/>
    <w:rsid w:val="009134B6"/>
    <w:rsid w:val="009137B6"/>
    <w:rsid w:val="00913DB6"/>
    <w:rsid w:val="00913ED0"/>
    <w:rsid w:val="009142C9"/>
    <w:rsid w:val="00914306"/>
    <w:rsid w:val="0091433F"/>
    <w:rsid w:val="009145E1"/>
    <w:rsid w:val="00914618"/>
    <w:rsid w:val="009146D6"/>
    <w:rsid w:val="00914D07"/>
    <w:rsid w:val="00915325"/>
    <w:rsid w:val="0091547F"/>
    <w:rsid w:val="009158DB"/>
    <w:rsid w:val="00915F09"/>
    <w:rsid w:val="009163ED"/>
    <w:rsid w:val="0091681C"/>
    <w:rsid w:val="00916966"/>
    <w:rsid w:val="0091762A"/>
    <w:rsid w:val="00917870"/>
    <w:rsid w:val="00917CE7"/>
    <w:rsid w:val="009200F3"/>
    <w:rsid w:val="00920D51"/>
    <w:rsid w:val="009216EB"/>
    <w:rsid w:val="00922A55"/>
    <w:rsid w:val="009232AC"/>
    <w:rsid w:val="0092333A"/>
    <w:rsid w:val="00923A58"/>
    <w:rsid w:val="00923DF1"/>
    <w:rsid w:val="00923E82"/>
    <w:rsid w:val="00923ECD"/>
    <w:rsid w:val="0092419D"/>
    <w:rsid w:val="00924205"/>
    <w:rsid w:val="0092422C"/>
    <w:rsid w:val="009243EA"/>
    <w:rsid w:val="00924821"/>
    <w:rsid w:val="00924CC8"/>
    <w:rsid w:val="00924DBC"/>
    <w:rsid w:val="0092557D"/>
    <w:rsid w:val="009255F9"/>
    <w:rsid w:val="00925796"/>
    <w:rsid w:val="009257FA"/>
    <w:rsid w:val="00925E02"/>
    <w:rsid w:val="00926209"/>
    <w:rsid w:val="0092646C"/>
    <w:rsid w:val="009266E0"/>
    <w:rsid w:val="009269DC"/>
    <w:rsid w:val="00926CC3"/>
    <w:rsid w:val="00926E5C"/>
    <w:rsid w:val="00926F8F"/>
    <w:rsid w:val="00927118"/>
    <w:rsid w:val="0092729D"/>
    <w:rsid w:val="00927650"/>
    <w:rsid w:val="0092782B"/>
    <w:rsid w:val="00927A8E"/>
    <w:rsid w:val="00927B41"/>
    <w:rsid w:val="00927FF5"/>
    <w:rsid w:val="009300B4"/>
    <w:rsid w:val="009303EB"/>
    <w:rsid w:val="00930411"/>
    <w:rsid w:val="00930578"/>
    <w:rsid w:val="0093094A"/>
    <w:rsid w:val="00930CA6"/>
    <w:rsid w:val="00930D13"/>
    <w:rsid w:val="00930DD9"/>
    <w:rsid w:val="00931661"/>
    <w:rsid w:val="00931A07"/>
    <w:rsid w:val="00931E2D"/>
    <w:rsid w:val="0093222B"/>
    <w:rsid w:val="0093275E"/>
    <w:rsid w:val="00932A7F"/>
    <w:rsid w:val="00932DE1"/>
    <w:rsid w:val="00932FAB"/>
    <w:rsid w:val="0093303D"/>
    <w:rsid w:val="009335C4"/>
    <w:rsid w:val="009337C4"/>
    <w:rsid w:val="00934199"/>
    <w:rsid w:val="00934205"/>
    <w:rsid w:val="00934C52"/>
    <w:rsid w:val="00935975"/>
    <w:rsid w:val="00935BAD"/>
    <w:rsid w:val="00935D73"/>
    <w:rsid w:val="00935EA5"/>
    <w:rsid w:val="0093654E"/>
    <w:rsid w:val="00936A45"/>
    <w:rsid w:val="00936C31"/>
    <w:rsid w:val="00936C83"/>
    <w:rsid w:val="00936F47"/>
    <w:rsid w:val="00936F73"/>
    <w:rsid w:val="0093787A"/>
    <w:rsid w:val="00937A52"/>
    <w:rsid w:val="00937A57"/>
    <w:rsid w:val="00937B7B"/>
    <w:rsid w:val="0094029B"/>
    <w:rsid w:val="00941129"/>
    <w:rsid w:val="0094175A"/>
    <w:rsid w:val="00941826"/>
    <w:rsid w:val="009418EB"/>
    <w:rsid w:val="00941A92"/>
    <w:rsid w:val="00941B1D"/>
    <w:rsid w:val="00941F1B"/>
    <w:rsid w:val="00942176"/>
    <w:rsid w:val="009421D4"/>
    <w:rsid w:val="009423BE"/>
    <w:rsid w:val="00942472"/>
    <w:rsid w:val="0094263C"/>
    <w:rsid w:val="0094284C"/>
    <w:rsid w:val="00942A97"/>
    <w:rsid w:val="00942AE3"/>
    <w:rsid w:val="00942CB6"/>
    <w:rsid w:val="00942CE9"/>
    <w:rsid w:val="00942D35"/>
    <w:rsid w:val="00942D8D"/>
    <w:rsid w:val="00942E9C"/>
    <w:rsid w:val="009431BF"/>
    <w:rsid w:val="0094327E"/>
    <w:rsid w:val="00943302"/>
    <w:rsid w:val="009433AF"/>
    <w:rsid w:val="0094366C"/>
    <w:rsid w:val="00943C05"/>
    <w:rsid w:val="00943E6F"/>
    <w:rsid w:val="00944A0A"/>
    <w:rsid w:val="00944CCF"/>
    <w:rsid w:val="00945E1B"/>
    <w:rsid w:val="0094616C"/>
    <w:rsid w:val="00946DAB"/>
    <w:rsid w:val="00946DE7"/>
    <w:rsid w:val="0094706A"/>
    <w:rsid w:val="0094726A"/>
    <w:rsid w:val="009500DF"/>
    <w:rsid w:val="00950A1A"/>
    <w:rsid w:val="00950B33"/>
    <w:rsid w:val="00950CB4"/>
    <w:rsid w:val="00950EFC"/>
    <w:rsid w:val="00951776"/>
    <w:rsid w:val="00951AB4"/>
    <w:rsid w:val="009529EF"/>
    <w:rsid w:val="00952CD1"/>
    <w:rsid w:val="00952DDE"/>
    <w:rsid w:val="009530D1"/>
    <w:rsid w:val="009532AB"/>
    <w:rsid w:val="00953520"/>
    <w:rsid w:val="0095371A"/>
    <w:rsid w:val="00954510"/>
    <w:rsid w:val="009546B5"/>
    <w:rsid w:val="00954707"/>
    <w:rsid w:val="00954FF2"/>
    <w:rsid w:val="00955631"/>
    <w:rsid w:val="00955D7A"/>
    <w:rsid w:val="0095601C"/>
    <w:rsid w:val="00956140"/>
    <w:rsid w:val="0095615C"/>
    <w:rsid w:val="00956164"/>
    <w:rsid w:val="009565F2"/>
    <w:rsid w:val="00956EA7"/>
    <w:rsid w:val="00956FF6"/>
    <w:rsid w:val="00957401"/>
    <w:rsid w:val="0095745B"/>
    <w:rsid w:val="00957482"/>
    <w:rsid w:val="00957EBD"/>
    <w:rsid w:val="0096027D"/>
    <w:rsid w:val="009602B6"/>
    <w:rsid w:val="00960D92"/>
    <w:rsid w:val="009615D2"/>
    <w:rsid w:val="00961711"/>
    <w:rsid w:val="00961835"/>
    <w:rsid w:val="00961C09"/>
    <w:rsid w:val="00961ED0"/>
    <w:rsid w:val="009622E6"/>
    <w:rsid w:val="00962584"/>
    <w:rsid w:val="0096259C"/>
    <w:rsid w:val="00962708"/>
    <w:rsid w:val="00962EDE"/>
    <w:rsid w:val="00962EE8"/>
    <w:rsid w:val="009632E0"/>
    <w:rsid w:val="0096383B"/>
    <w:rsid w:val="00963A25"/>
    <w:rsid w:val="00963E95"/>
    <w:rsid w:val="009641FC"/>
    <w:rsid w:val="0096426E"/>
    <w:rsid w:val="00965108"/>
    <w:rsid w:val="00965506"/>
    <w:rsid w:val="0096552B"/>
    <w:rsid w:val="009660C5"/>
    <w:rsid w:val="00966112"/>
    <w:rsid w:val="009663DB"/>
    <w:rsid w:val="009664C8"/>
    <w:rsid w:val="00966715"/>
    <w:rsid w:val="0096675E"/>
    <w:rsid w:val="00966839"/>
    <w:rsid w:val="009668F0"/>
    <w:rsid w:val="00966979"/>
    <w:rsid w:val="00966DB3"/>
    <w:rsid w:val="00967892"/>
    <w:rsid w:val="0097032C"/>
    <w:rsid w:val="00970510"/>
    <w:rsid w:val="00970590"/>
    <w:rsid w:val="00970767"/>
    <w:rsid w:val="00970F4F"/>
    <w:rsid w:val="00971222"/>
    <w:rsid w:val="00971669"/>
    <w:rsid w:val="009725EA"/>
    <w:rsid w:val="00972737"/>
    <w:rsid w:val="00972912"/>
    <w:rsid w:val="00972B31"/>
    <w:rsid w:val="00972C50"/>
    <w:rsid w:val="0097390A"/>
    <w:rsid w:val="00973BFB"/>
    <w:rsid w:val="0097407C"/>
    <w:rsid w:val="009740BC"/>
    <w:rsid w:val="00974423"/>
    <w:rsid w:val="00974666"/>
    <w:rsid w:val="0097491E"/>
    <w:rsid w:val="00974A35"/>
    <w:rsid w:val="00974B52"/>
    <w:rsid w:val="0097547C"/>
    <w:rsid w:val="00975B8F"/>
    <w:rsid w:val="009768E9"/>
    <w:rsid w:val="00976CB1"/>
    <w:rsid w:val="00976E9C"/>
    <w:rsid w:val="00976EE9"/>
    <w:rsid w:val="00976F2A"/>
    <w:rsid w:val="00977420"/>
    <w:rsid w:val="00977A47"/>
    <w:rsid w:val="00977EBA"/>
    <w:rsid w:val="009800F6"/>
    <w:rsid w:val="009804BA"/>
    <w:rsid w:val="00980733"/>
    <w:rsid w:val="00980E3C"/>
    <w:rsid w:val="00981244"/>
    <w:rsid w:val="0098154D"/>
    <w:rsid w:val="00981FE6"/>
    <w:rsid w:val="0098275D"/>
    <w:rsid w:val="009828B4"/>
    <w:rsid w:val="0098292A"/>
    <w:rsid w:val="00983314"/>
    <w:rsid w:val="0098368A"/>
    <w:rsid w:val="0098369D"/>
    <w:rsid w:val="00983C3D"/>
    <w:rsid w:val="00984031"/>
    <w:rsid w:val="00984376"/>
    <w:rsid w:val="00984558"/>
    <w:rsid w:val="009845EA"/>
    <w:rsid w:val="00984ADE"/>
    <w:rsid w:val="00985796"/>
    <w:rsid w:val="00985C97"/>
    <w:rsid w:val="00985E85"/>
    <w:rsid w:val="009863B3"/>
    <w:rsid w:val="009866F9"/>
    <w:rsid w:val="00986EC3"/>
    <w:rsid w:val="0098720D"/>
    <w:rsid w:val="0098733C"/>
    <w:rsid w:val="00987468"/>
    <w:rsid w:val="00987672"/>
    <w:rsid w:val="009876A3"/>
    <w:rsid w:val="00987A3B"/>
    <w:rsid w:val="009901E5"/>
    <w:rsid w:val="009904A9"/>
    <w:rsid w:val="00991110"/>
    <w:rsid w:val="0099127E"/>
    <w:rsid w:val="00991370"/>
    <w:rsid w:val="0099140F"/>
    <w:rsid w:val="009915A8"/>
    <w:rsid w:val="009915D9"/>
    <w:rsid w:val="00991601"/>
    <w:rsid w:val="00991727"/>
    <w:rsid w:val="009917A5"/>
    <w:rsid w:val="00991B43"/>
    <w:rsid w:val="00991C32"/>
    <w:rsid w:val="00991D44"/>
    <w:rsid w:val="00991EC5"/>
    <w:rsid w:val="0099212C"/>
    <w:rsid w:val="009929BB"/>
    <w:rsid w:val="009929D6"/>
    <w:rsid w:val="00992A41"/>
    <w:rsid w:val="00992AAE"/>
    <w:rsid w:val="00992C55"/>
    <w:rsid w:val="00992DA1"/>
    <w:rsid w:val="009933C0"/>
    <w:rsid w:val="00993F4B"/>
    <w:rsid w:val="00994238"/>
    <w:rsid w:val="009945A1"/>
    <w:rsid w:val="009947B3"/>
    <w:rsid w:val="009949E8"/>
    <w:rsid w:val="009964AC"/>
    <w:rsid w:val="0099693A"/>
    <w:rsid w:val="00996CA5"/>
    <w:rsid w:val="00996D71"/>
    <w:rsid w:val="00996FC4"/>
    <w:rsid w:val="00997118"/>
    <w:rsid w:val="009973C0"/>
    <w:rsid w:val="00997AD9"/>
    <w:rsid w:val="00997C3F"/>
    <w:rsid w:val="00997CE8"/>
    <w:rsid w:val="00997CFF"/>
    <w:rsid w:val="00997D95"/>
    <w:rsid w:val="009A02CE"/>
    <w:rsid w:val="009A0718"/>
    <w:rsid w:val="009A08BF"/>
    <w:rsid w:val="009A0ADC"/>
    <w:rsid w:val="009A0C40"/>
    <w:rsid w:val="009A0F77"/>
    <w:rsid w:val="009A18D9"/>
    <w:rsid w:val="009A1E54"/>
    <w:rsid w:val="009A20F7"/>
    <w:rsid w:val="009A2638"/>
    <w:rsid w:val="009A2715"/>
    <w:rsid w:val="009A2751"/>
    <w:rsid w:val="009A290A"/>
    <w:rsid w:val="009A3209"/>
    <w:rsid w:val="009A369A"/>
    <w:rsid w:val="009A371C"/>
    <w:rsid w:val="009A3DAD"/>
    <w:rsid w:val="009A3F4F"/>
    <w:rsid w:val="009A408B"/>
    <w:rsid w:val="009A430C"/>
    <w:rsid w:val="009A43DE"/>
    <w:rsid w:val="009A4427"/>
    <w:rsid w:val="009A45E3"/>
    <w:rsid w:val="009A4C0B"/>
    <w:rsid w:val="009A4CF4"/>
    <w:rsid w:val="009A4D1E"/>
    <w:rsid w:val="009A5EF7"/>
    <w:rsid w:val="009A5F0E"/>
    <w:rsid w:val="009A6062"/>
    <w:rsid w:val="009A60D2"/>
    <w:rsid w:val="009A6120"/>
    <w:rsid w:val="009A632A"/>
    <w:rsid w:val="009A687A"/>
    <w:rsid w:val="009A6C84"/>
    <w:rsid w:val="009A6D9C"/>
    <w:rsid w:val="009A6F48"/>
    <w:rsid w:val="009A731F"/>
    <w:rsid w:val="009A73B9"/>
    <w:rsid w:val="009A7714"/>
    <w:rsid w:val="009A7A01"/>
    <w:rsid w:val="009A7C2C"/>
    <w:rsid w:val="009B0010"/>
    <w:rsid w:val="009B0199"/>
    <w:rsid w:val="009B042B"/>
    <w:rsid w:val="009B05B4"/>
    <w:rsid w:val="009B0961"/>
    <w:rsid w:val="009B0FB0"/>
    <w:rsid w:val="009B1378"/>
    <w:rsid w:val="009B169E"/>
    <w:rsid w:val="009B1760"/>
    <w:rsid w:val="009B1895"/>
    <w:rsid w:val="009B1CB7"/>
    <w:rsid w:val="009B1CBA"/>
    <w:rsid w:val="009B1D0C"/>
    <w:rsid w:val="009B1E2B"/>
    <w:rsid w:val="009B21F5"/>
    <w:rsid w:val="009B25CA"/>
    <w:rsid w:val="009B30BD"/>
    <w:rsid w:val="009B3190"/>
    <w:rsid w:val="009B3488"/>
    <w:rsid w:val="009B35E1"/>
    <w:rsid w:val="009B38CD"/>
    <w:rsid w:val="009B3F50"/>
    <w:rsid w:val="009B4005"/>
    <w:rsid w:val="009B40FF"/>
    <w:rsid w:val="009B455B"/>
    <w:rsid w:val="009B4585"/>
    <w:rsid w:val="009B5278"/>
    <w:rsid w:val="009B570E"/>
    <w:rsid w:val="009B59D4"/>
    <w:rsid w:val="009B5AAB"/>
    <w:rsid w:val="009B5B5A"/>
    <w:rsid w:val="009B5BAB"/>
    <w:rsid w:val="009B5E8E"/>
    <w:rsid w:val="009B6632"/>
    <w:rsid w:val="009B6A2A"/>
    <w:rsid w:val="009B6D6D"/>
    <w:rsid w:val="009B6DE8"/>
    <w:rsid w:val="009B6FFE"/>
    <w:rsid w:val="009B70AE"/>
    <w:rsid w:val="009B7358"/>
    <w:rsid w:val="009B7E2A"/>
    <w:rsid w:val="009C0084"/>
    <w:rsid w:val="009C03B7"/>
    <w:rsid w:val="009C051A"/>
    <w:rsid w:val="009C0663"/>
    <w:rsid w:val="009C08B1"/>
    <w:rsid w:val="009C0B1F"/>
    <w:rsid w:val="009C0D16"/>
    <w:rsid w:val="009C0E70"/>
    <w:rsid w:val="009C1313"/>
    <w:rsid w:val="009C139B"/>
    <w:rsid w:val="009C15A5"/>
    <w:rsid w:val="009C1E27"/>
    <w:rsid w:val="009C1EC5"/>
    <w:rsid w:val="009C1FEB"/>
    <w:rsid w:val="009C2D80"/>
    <w:rsid w:val="009C31A4"/>
    <w:rsid w:val="009C34AB"/>
    <w:rsid w:val="009C395C"/>
    <w:rsid w:val="009C3BE8"/>
    <w:rsid w:val="009C4111"/>
    <w:rsid w:val="009C458A"/>
    <w:rsid w:val="009C475B"/>
    <w:rsid w:val="009C48B8"/>
    <w:rsid w:val="009C4C92"/>
    <w:rsid w:val="009C4EFA"/>
    <w:rsid w:val="009C4F2D"/>
    <w:rsid w:val="009C4F40"/>
    <w:rsid w:val="009C5100"/>
    <w:rsid w:val="009C529C"/>
    <w:rsid w:val="009C549B"/>
    <w:rsid w:val="009C5923"/>
    <w:rsid w:val="009C5966"/>
    <w:rsid w:val="009C5B8C"/>
    <w:rsid w:val="009C60F6"/>
    <w:rsid w:val="009C623A"/>
    <w:rsid w:val="009C67A9"/>
    <w:rsid w:val="009C6B9A"/>
    <w:rsid w:val="009C6EEA"/>
    <w:rsid w:val="009C7270"/>
    <w:rsid w:val="009C754C"/>
    <w:rsid w:val="009C7CEE"/>
    <w:rsid w:val="009C7DB3"/>
    <w:rsid w:val="009D01E4"/>
    <w:rsid w:val="009D1031"/>
    <w:rsid w:val="009D1079"/>
    <w:rsid w:val="009D110A"/>
    <w:rsid w:val="009D127D"/>
    <w:rsid w:val="009D134B"/>
    <w:rsid w:val="009D1367"/>
    <w:rsid w:val="009D16AA"/>
    <w:rsid w:val="009D1A96"/>
    <w:rsid w:val="009D1FE1"/>
    <w:rsid w:val="009D2002"/>
    <w:rsid w:val="009D2232"/>
    <w:rsid w:val="009D22C6"/>
    <w:rsid w:val="009D2706"/>
    <w:rsid w:val="009D2894"/>
    <w:rsid w:val="009D2B6E"/>
    <w:rsid w:val="009D2CE1"/>
    <w:rsid w:val="009D2F36"/>
    <w:rsid w:val="009D3570"/>
    <w:rsid w:val="009D3AEC"/>
    <w:rsid w:val="009D3B9C"/>
    <w:rsid w:val="009D3BAA"/>
    <w:rsid w:val="009D3D73"/>
    <w:rsid w:val="009D4031"/>
    <w:rsid w:val="009D41CB"/>
    <w:rsid w:val="009D4A9E"/>
    <w:rsid w:val="009D4D4E"/>
    <w:rsid w:val="009D501F"/>
    <w:rsid w:val="009D553A"/>
    <w:rsid w:val="009D5EFA"/>
    <w:rsid w:val="009D61A7"/>
    <w:rsid w:val="009D6ABC"/>
    <w:rsid w:val="009D6C7A"/>
    <w:rsid w:val="009D6DDC"/>
    <w:rsid w:val="009D789B"/>
    <w:rsid w:val="009D7ECF"/>
    <w:rsid w:val="009E025E"/>
    <w:rsid w:val="009E0B76"/>
    <w:rsid w:val="009E0DBC"/>
    <w:rsid w:val="009E127E"/>
    <w:rsid w:val="009E12BA"/>
    <w:rsid w:val="009E1484"/>
    <w:rsid w:val="009E1632"/>
    <w:rsid w:val="009E163F"/>
    <w:rsid w:val="009E16B4"/>
    <w:rsid w:val="009E1D7A"/>
    <w:rsid w:val="009E1D83"/>
    <w:rsid w:val="009E21D5"/>
    <w:rsid w:val="009E277A"/>
    <w:rsid w:val="009E281D"/>
    <w:rsid w:val="009E2821"/>
    <w:rsid w:val="009E2A08"/>
    <w:rsid w:val="009E2A20"/>
    <w:rsid w:val="009E2CF2"/>
    <w:rsid w:val="009E2E1E"/>
    <w:rsid w:val="009E2E54"/>
    <w:rsid w:val="009E31B1"/>
    <w:rsid w:val="009E33CA"/>
    <w:rsid w:val="009E3996"/>
    <w:rsid w:val="009E3B69"/>
    <w:rsid w:val="009E3C32"/>
    <w:rsid w:val="009E3C35"/>
    <w:rsid w:val="009E4002"/>
    <w:rsid w:val="009E4152"/>
    <w:rsid w:val="009E42BF"/>
    <w:rsid w:val="009E42FC"/>
    <w:rsid w:val="009E4337"/>
    <w:rsid w:val="009E44E5"/>
    <w:rsid w:val="009E45E1"/>
    <w:rsid w:val="009E4918"/>
    <w:rsid w:val="009E4C5C"/>
    <w:rsid w:val="009E4E66"/>
    <w:rsid w:val="009E5280"/>
    <w:rsid w:val="009E53D2"/>
    <w:rsid w:val="009E55C4"/>
    <w:rsid w:val="009E56A5"/>
    <w:rsid w:val="009E5AC8"/>
    <w:rsid w:val="009E5BD8"/>
    <w:rsid w:val="009E5F46"/>
    <w:rsid w:val="009E6214"/>
    <w:rsid w:val="009E62F3"/>
    <w:rsid w:val="009E6479"/>
    <w:rsid w:val="009E64E8"/>
    <w:rsid w:val="009E6C0F"/>
    <w:rsid w:val="009E6D23"/>
    <w:rsid w:val="009E6F44"/>
    <w:rsid w:val="009E755D"/>
    <w:rsid w:val="009F0889"/>
    <w:rsid w:val="009F14D5"/>
    <w:rsid w:val="009F1F4F"/>
    <w:rsid w:val="009F1FB9"/>
    <w:rsid w:val="009F2200"/>
    <w:rsid w:val="009F26DD"/>
    <w:rsid w:val="009F2785"/>
    <w:rsid w:val="009F2805"/>
    <w:rsid w:val="009F31F8"/>
    <w:rsid w:val="009F3838"/>
    <w:rsid w:val="009F3A37"/>
    <w:rsid w:val="009F471E"/>
    <w:rsid w:val="009F495D"/>
    <w:rsid w:val="009F4F7D"/>
    <w:rsid w:val="009F5058"/>
    <w:rsid w:val="009F5494"/>
    <w:rsid w:val="009F5A1F"/>
    <w:rsid w:val="009F5A34"/>
    <w:rsid w:val="009F5A3F"/>
    <w:rsid w:val="009F5AC8"/>
    <w:rsid w:val="009F5EDC"/>
    <w:rsid w:val="009F6415"/>
    <w:rsid w:val="009F643E"/>
    <w:rsid w:val="009F6762"/>
    <w:rsid w:val="009F69BD"/>
    <w:rsid w:val="009F6A0F"/>
    <w:rsid w:val="009F722A"/>
    <w:rsid w:val="009F7393"/>
    <w:rsid w:val="009F7AC0"/>
    <w:rsid w:val="009F7EA6"/>
    <w:rsid w:val="00A008E6"/>
    <w:rsid w:val="00A008F6"/>
    <w:rsid w:val="00A00AA5"/>
    <w:rsid w:val="00A00B19"/>
    <w:rsid w:val="00A00DE3"/>
    <w:rsid w:val="00A0121F"/>
    <w:rsid w:val="00A01585"/>
    <w:rsid w:val="00A02003"/>
    <w:rsid w:val="00A02034"/>
    <w:rsid w:val="00A0308F"/>
    <w:rsid w:val="00A035F7"/>
    <w:rsid w:val="00A03D04"/>
    <w:rsid w:val="00A03F66"/>
    <w:rsid w:val="00A042A2"/>
    <w:rsid w:val="00A046B5"/>
    <w:rsid w:val="00A050C9"/>
    <w:rsid w:val="00A052F1"/>
    <w:rsid w:val="00A05D85"/>
    <w:rsid w:val="00A05E85"/>
    <w:rsid w:val="00A0631E"/>
    <w:rsid w:val="00A06754"/>
    <w:rsid w:val="00A0675C"/>
    <w:rsid w:val="00A06AD0"/>
    <w:rsid w:val="00A07405"/>
    <w:rsid w:val="00A07407"/>
    <w:rsid w:val="00A1070B"/>
    <w:rsid w:val="00A10917"/>
    <w:rsid w:val="00A10E02"/>
    <w:rsid w:val="00A10E46"/>
    <w:rsid w:val="00A113A5"/>
    <w:rsid w:val="00A113E4"/>
    <w:rsid w:val="00A11B48"/>
    <w:rsid w:val="00A11BE5"/>
    <w:rsid w:val="00A12249"/>
    <w:rsid w:val="00A12AC5"/>
    <w:rsid w:val="00A12BE1"/>
    <w:rsid w:val="00A12C83"/>
    <w:rsid w:val="00A13213"/>
    <w:rsid w:val="00A135B5"/>
    <w:rsid w:val="00A13B46"/>
    <w:rsid w:val="00A13C12"/>
    <w:rsid w:val="00A13C89"/>
    <w:rsid w:val="00A13D3D"/>
    <w:rsid w:val="00A13D60"/>
    <w:rsid w:val="00A13E9F"/>
    <w:rsid w:val="00A14361"/>
    <w:rsid w:val="00A14782"/>
    <w:rsid w:val="00A149E4"/>
    <w:rsid w:val="00A14B4E"/>
    <w:rsid w:val="00A15027"/>
    <w:rsid w:val="00A15629"/>
    <w:rsid w:val="00A15771"/>
    <w:rsid w:val="00A1585F"/>
    <w:rsid w:val="00A158D4"/>
    <w:rsid w:val="00A15AC1"/>
    <w:rsid w:val="00A15C75"/>
    <w:rsid w:val="00A15E1C"/>
    <w:rsid w:val="00A16116"/>
    <w:rsid w:val="00A16996"/>
    <w:rsid w:val="00A16C95"/>
    <w:rsid w:val="00A17097"/>
    <w:rsid w:val="00A17658"/>
    <w:rsid w:val="00A17B79"/>
    <w:rsid w:val="00A20125"/>
    <w:rsid w:val="00A20619"/>
    <w:rsid w:val="00A20973"/>
    <w:rsid w:val="00A217D3"/>
    <w:rsid w:val="00A21BFA"/>
    <w:rsid w:val="00A222B7"/>
    <w:rsid w:val="00A2281C"/>
    <w:rsid w:val="00A2284B"/>
    <w:rsid w:val="00A228FF"/>
    <w:rsid w:val="00A23177"/>
    <w:rsid w:val="00A23ACB"/>
    <w:rsid w:val="00A23C30"/>
    <w:rsid w:val="00A23D70"/>
    <w:rsid w:val="00A24540"/>
    <w:rsid w:val="00A245F8"/>
    <w:rsid w:val="00A24BEC"/>
    <w:rsid w:val="00A2534B"/>
    <w:rsid w:val="00A255C6"/>
    <w:rsid w:val="00A25871"/>
    <w:rsid w:val="00A25BEF"/>
    <w:rsid w:val="00A26047"/>
    <w:rsid w:val="00A26108"/>
    <w:rsid w:val="00A267D2"/>
    <w:rsid w:val="00A269B3"/>
    <w:rsid w:val="00A26A24"/>
    <w:rsid w:val="00A26D73"/>
    <w:rsid w:val="00A26E45"/>
    <w:rsid w:val="00A27270"/>
    <w:rsid w:val="00A2767F"/>
    <w:rsid w:val="00A27F72"/>
    <w:rsid w:val="00A2831C"/>
    <w:rsid w:val="00A300E0"/>
    <w:rsid w:val="00A30A3C"/>
    <w:rsid w:val="00A312F2"/>
    <w:rsid w:val="00A314D6"/>
    <w:rsid w:val="00A31703"/>
    <w:rsid w:val="00A31BEB"/>
    <w:rsid w:val="00A31CD9"/>
    <w:rsid w:val="00A31E86"/>
    <w:rsid w:val="00A32A41"/>
    <w:rsid w:val="00A32D1F"/>
    <w:rsid w:val="00A330EE"/>
    <w:rsid w:val="00A339BA"/>
    <w:rsid w:val="00A33A65"/>
    <w:rsid w:val="00A33D86"/>
    <w:rsid w:val="00A34036"/>
    <w:rsid w:val="00A3440B"/>
    <w:rsid w:val="00A34680"/>
    <w:rsid w:val="00A346C5"/>
    <w:rsid w:val="00A348B6"/>
    <w:rsid w:val="00A34A52"/>
    <w:rsid w:val="00A34D2B"/>
    <w:rsid w:val="00A35D58"/>
    <w:rsid w:val="00A35E13"/>
    <w:rsid w:val="00A3642A"/>
    <w:rsid w:val="00A37343"/>
    <w:rsid w:val="00A37EFE"/>
    <w:rsid w:val="00A37F93"/>
    <w:rsid w:val="00A406BF"/>
    <w:rsid w:val="00A40B73"/>
    <w:rsid w:val="00A41140"/>
    <w:rsid w:val="00A41233"/>
    <w:rsid w:val="00A41688"/>
    <w:rsid w:val="00A418CB"/>
    <w:rsid w:val="00A4195C"/>
    <w:rsid w:val="00A41B6A"/>
    <w:rsid w:val="00A41C73"/>
    <w:rsid w:val="00A4208F"/>
    <w:rsid w:val="00A4246D"/>
    <w:rsid w:val="00A429B6"/>
    <w:rsid w:val="00A429D8"/>
    <w:rsid w:val="00A42AB7"/>
    <w:rsid w:val="00A4300D"/>
    <w:rsid w:val="00A43452"/>
    <w:rsid w:val="00A43A1D"/>
    <w:rsid w:val="00A43DDF"/>
    <w:rsid w:val="00A440ED"/>
    <w:rsid w:val="00A44126"/>
    <w:rsid w:val="00A44134"/>
    <w:rsid w:val="00A44362"/>
    <w:rsid w:val="00A445F5"/>
    <w:rsid w:val="00A44706"/>
    <w:rsid w:val="00A44C5D"/>
    <w:rsid w:val="00A44D43"/>
    <w:rsid w:val="00A44DB5"/>
    <w:rsid w:val="00A44E41"/>
    <w:rsid w:val="00A44F93"/>
    <w:rsid w:val="00A44FA5"/>
    <w:rsid w:val="00A458D9"/>
    <w:rsid w:val="00A461FA"/>
    <w:rsid w:val="00A46811"/>
    <w:rsid w:val="00A46854"/>
    <w:rsid w:val="00A46F87"/>
    <w:rsid w:val="00A47011"/>
    <w:rsid w:val="00A47519"/>
    <w:rsid w:val="00A4761B"/>
    <w:rsid w:val="00A478B8"/>
    <w:rsid w:val="00A47DF7"/>
    <w:rsid w:val="00A5058B"/>
    <w:rsid w:val="00A50D9F"/>
    <w:rsid w:val="00A50E11"/>
    <w:rsid w:val="00A50E3C"/>
    <w:rsid w:val="00A50EB2"/>
    <w:rsid w:val="00A5117A"/>
    <w:rsid w:val="00A5137C"/>
    <w:rsid w:val="00A5148F"/>
    <w:rsid w:val="00A51597"/>
    <w:rsid w:val="00A519D1"/>
    <w:rsid w:val="00A51A6D"/>
    <w:rsid w:val="00A51CB9"/>
    <w:rsid w:val="00A51FC2"/>
    <w:rsid w:val="00A53035"/>
    <w:rsid w:val="00A53226"/>
    <w:rsid w:val="00A53397"/>
    <w:rsid w:val="00A53534"/>
    <w:rsid w:val="00A53944"/>
    <w:rsid w:val="00A53B8B"/>
    <w:rsid w:val="00A53D98"/>
    <w:rsid w:val="00A53FFC"/>
    <w:rsid w:val="00A541A1"/>
    <w:rsid w:val="00A5494A"/>
    <w:rsid w:val="00A549A7"/>
    <w:rsid w:val="00A54D9F"/>
    <w:rsid w:val="00A54E1B"/>
    <w:rsid w:val="00A54F79"/>
    <w:rsid w:val="00A55438"/>
    <w:rsid w:val="00A554BD"/>
    <w:rsid w:val="00A5602F"/>
    <w:rsid w:val="00A5648A"/>
    <w:rsid w:val="00A56C0E"/>
    <w:rsid w:val="00A57820"/>
    <w:rsid w:val="00A57FD2"/>
    <w:rsid w:val="00A60412"/>
    <w:rsid w:val="00A60674"/>
    <w:rsid w:val="00A60B97"/>
    <w:rsid w:val="00A614C3"/>
    <w:rsid w:val="00A6166D"/>
    <w:rsid w:val="00A61C6E"/>
    <w:rsid w:val="00A61CBF"/>
    <w:rsid w:val="00A623D1"/>
    <w:rsid w:val="00A62CFA"/>
    <w:rsid w:val="00A62EF3"/>
    <w:rsid w:val="00A631C0"/>
    <w:rsid w:val="00A63369"/>
    <w:rsid w:val="00A63BBD"/>
    <w:rsid w:val="00A63D92"/>
    <w:rsid w:val="00A6405C"/>
    <w:rsid w:val="00A641E3"/>
    <w:rsid w:val="00A6478C"/>
    <w:rsid w:val="00A6517B"/>
    <w:rsid w:val="00A65AA7"/>
    <w:rsid w:val="00A65BA8"/>
    <w:rsid w:val="00A65C8D"/>
    <w:rsid w:val="00A65E05"/>
    <w:rsid w:val="00A6635E"/>
    <w:rsid w:val="00A66400"/>
    <w:rsid w:val="00A666A1"/>
    <w:rsid w:val="00A66F98"/>
    <w:rsid w:val="00A6746B"/>
    <w:rsid w:val="00A677E8"/>
    <w:rsid w:val="00A67C28"/>
    <w:rsid w:val="00A67EC4"/>
    <w:rsid w:val="00A7011C"/>
    <w:rsid w:val="00A70216"/>
    <w:rsid w:val="00A7033D"/>
    <w:rsid w:val="00A704E3"/>
    <w:rsid w:val="00A70618"/>
    <w:rsid w:val="00A706AF"/>
    <w:rsid w:val="00A70E21"/>
    <w:rsid w:val="00A7106D"/>
    <w:rsid w:val="00A71076"/>
    <w:rsid w:val="00A71166"/>
    <w:rsid w:val="00A711DC"/>
    <w:rsid w:val="00A711FD"/>
    <w:rsid w:val="00A71201"/>
    <w:rsid w:val="00A71346"/>
    <w:rsid w:val="00A71414"/>
    <w:rsid w:val="00A71681"/>
    <w:rsid w:val="00A7193D"/>
    <w:rsid w:val="00A71DDD"/>
    <w:rsid w:val="00A71EA9"/>
    <w:rsid w:val="00A72511"/>
    <w:rsid w:val="00A72786"/>
    <w:rsid w:val="00A7289D"/>
    <w:rsid w:val="00A72B7F"/>
    <w:rsid w:val="00A72C23"/>
    <w:rsid w:val="00A72F89"/>
    <w:rsid w:val="00A730E3"/>
    <w:rsid w:val="00A733B7"/>
    <w:rsid w:val="00A733C6"/>
    <w:rsid w:val="00A734A0"/>
    <w:rsid w:val="00A7369E"/>
    <w:rsid w:val="00A73739"/>
    <w:rsid w:val="00A73D45"/>
    <w:rsid w:val="00A73F5A"/>
    <w:rsid w:val="00A74308"/>
    <w:rsid w:val="00A74AE7"/>
    <w:rsid w:val="00A7531B"/>
    <w:rsid w:val="00A7565B"/>
    <w:rsid w:val="00A75D62"/>
    <w:rsid w:val="00A75FAC"/>
    <w:rsid w:val="00A766FB"/>
    <w:rsid w:val="00A76802"/>
    <w:rsid w:val="00A7689B"/>
    <w:rsid w:val="00A76CFF"/>
    <w:rsid w:val="00A76EDB"/>
    <w:rsid w:val="00A771AD"/>
    <w:rsid w:val="00A771AF"/>
    <w:rsid w:val="00A77808"/>
    <w:rsid w:val="00A77C79"/>
    <w:rsid w:val="00A77CEA"/>
    <w:rsid w:val="00A77FE6"/>
    <w:rsid w:val="00A8028A"/>
    <w:rsid w:val="00A80784"/>
    <w:rsid w:val="00A80A07"/>
    <w:rsid w:val="00A80A29"/>
    <w:rsid w:val="00A80AF9"/>
    <w:rsid w:val="00A80D48"/>
    <w:rsid w:val="00A81F92"/>
    <w:rsid w:val="00A825F2"/>
    <w:rsid w:val="00A82F13"/>
    <w:rsid w:val="00A83234"/>
    <w:rsid w:val="00A83454"/>
    <w:rsid w:val="00A83603"/>
    <w:rsid w:val="00A83655"/>
    <w:rsid w:val="00A84087"/>
    <w:rsid w:val="00A846F9"/>
    <w:rsid w:val="00A8475D"/>
    <w:rsid w:val="00A84CC2"/>
    <w:rsid w:val="00A84CD7"/>
    <w:rsid w:val="00A85042"/>
    <w:rsid w:val="00A85813"/>
    <w:rsid w:val="00A85EC7"/>
    <w:rsid w:val="00A86218"/>
    <w:rsid w:val="00A8622A"/>
    <w:rsid w:val="00A862C8"/>
    <w:rsid w:val="00A86310"/>
    <w:rsid w:val="00A866CA"/>
    <w:rsid w:val="00A8676B"/>
    <w:rsid w:val="00A86ED4"/>
    <w:rsid w:val="00A86F1E"/>
    <w:rsid w:val="00A86F7D"/>
    <w:rsid w:val="00A87193"/>
    <w:rsid w:val="00A87600"/>
    <w:rsid w:val="00A8798A"/>
    <w:rsid w:val="00A87A48"/>
    <w:rsid w:val="00A87DF8"/>
    <w:rsid w:val="00A90EE7"/>
    <w:rsid w:val="00A912F4"/>
    <w:rsid w:val="00A9163F"/>
    <w:rsid w:val="00A918A7"/>
    <w:rsid w:val="00A91CBE"/>
    <w:rsid w:val="00A91FBC"/>
    <w:rsid w:val="00A927FC"/>
    <w:rsid w:val="00A9291B"/>
    <w:rsid w:val="00A92AF0"/>
    <w:rsid w:val="00A93386"/>
    <w:rsid w:val="00A934C4"/>
    <w:rsid w:val="00A939B8"/>
    <w:rsid w:val="00A93B8E"/>
    <w:rsid w:val="00A93D1B"/>
    <w:rsid w:val="00A93F25"/>
    <w:rsid w:val="00A942C3"/>
    <w:rsid w:val="00A94450"/>
    <w:rsid w:val="00A95218"/>
    <w:rsid w:val="00A954CD"/>
    <w:rsid w:val="00A95624"/>
    <w:rsid w:val="00A95931"/>
    <w:rsid w:val="00A95A45"/>
    <w:rsid w:val="00A9606B"/>
    <w:rsid w:val="00A9633C"/>
    <w:rsid w:val="00A96A92"/>
    <w:rsid w:val="00A96AD2"/>
    <w:rsid w:val="00A97047"/>
    <w:rsid w:val="00A97664"/>
    <w:rsid w:val="00A976EE"/>
    <w:rsid w:val="00A97CA8"/>
    <w:rsid w:val="00A97E0D"/>
    <w:rsid w:val="00AA0103"/>
    <w:rsid w:val="00AA012E"/>
    <w:rsid w:val="00AA0316"/>
    <w:rsid w:val="00AA10D4"/>
    <w:rsid w:val="00AA12B6"/>
    <w:rsid w:val="00AA13FC"/>
    <w:rsid w:val="00AA157B"/>
    <w:rsid w:val="00AA1985"/>
    <w:rsid w:val="00AA1B21"/>
    <w:rsid w:val="00AA1C32"/>
    <w:rsid w:val="00AA1CA4"/>
    <w:rsid w:val="00AA1E1D"/>
    <w:rsid w:val="00AA1F82"/>
    <w:rsid w:val="00AA2158"/>
    <w:rsid w:val="00AA2262"/>
    <w:rsid w:val="00AA22FF"/>
    <w:rsid w:val="00AA2DAB"/>
    <w:rsid w:val="00AA2E18"/>
    <w:rsid w:val="00AA3131"/>
    <w:rsid w:val="00AA31F8"/>
    <w:rsid w:val="00AA3389"/>
    <w:rsid w:val="00AA33F7"/>
    <w:rsid w:val="00AA3C64"/>
    <w:rsid w:val="00AA4313"/>
    <w:rsid w:val="00AA4D2A"/>
    <w:rsid w:val="00AA4DBD"/>
    <w:rsid w:val="00AA4E6F"/>
    <w:rsid w:val="00AA5CC7"/>
    <w:rsid w:val="00AA5F0B"/>
    <w:rsid w:val="00AA5F4D"/>
    <w:rsid w:val="00AA60E2"/>
    <w:rsid w:val="00AA6421"/>
    <w:rsid w:val="00AA6516"/>
    <w:rsid w:val="00AA7027"/>
    <w:rsid w:val="00AA705F"/>
    <w:rsid w:val="00AA7862"/>
    <w:rsid w:val="00AA79E6"/>
    <w:rsid w:val="00AA7ECC"/>
    <w:rsid w:val="00AA7F82"/>
    <w:rsid w:val="00AB000C"/>
    <w:rsid w:val="00AB0477"/>
    <w:rsid w:val="00AB0D40"/>
    <w:rsid w:val="00AB1201"/>
    <w:rsid w:val="00AB14C4"/>
    <w:rsid w:val="00AB1515"/>
    <w:rsid w:val="00AB1638"/>
    <w:rsid w:val="00AB1AA3"/>
    <w:rsid w:val="00AB2696"/>
    <w:rsid w:val="00AB2747"/>
    <w:rsid w:val="00AB28DB"/>
    <w:rsid w:val="00AB2A16"/>
    <w:rsid w:val="00AB2B2B"/>
    <w:rsid w:val="00AB2BBD"/>
    <w:rsid w:val="00AB30F8"/>
    <w:rsid w:val="00AB327C"/>
    <w:rsid w:val="00AB37BC"/>
    <w:rsid w:val="00AB3CCC"/>
    <w:rsid w:val="00AB42A1"/>
    <w:rsid w:val="00AB4342"/>
    <w:rsid w:val="00AB4801"/>
    <w:rsid w:val="00AB4D42"/>
    <w:rsid w:val="00AB53DE"/>
    <w:rsid w:val="00AB5555"/>
    <w:rsid w:val="00AB583E"/>
    <w:rsid w:val="00AB5B21"/>
    <w:rsid w:val="00AB5B45"/>
    <w:rsid w:val="00AB6583"/>
    <w:rsid w:val="00AB69C8"/>
    <w:rsid w:val="00AB6B14"/>
    <w:rsid w:val="00AB6B9A"/>
    <w:rsid w:val="00AB6C35"/>
    <w:rsid w:val="00AB7097"/>
    <w:rsid w:val="00AB70B5"/>
    <w:rsid w:val="00AB7116"/>
    <w:rsid w:val="00AB742F"/>
    <w:rsid w:val="00AB75C4"/>
    <w:rsid w:val="00AB7B08"/>
    <w:rsid w:val="00AB7CF7"/>
    <w:rsid w:val="00AB7D7A"/>
    <w:rsid w:val="00AC0198"/>
    <w:rsid w:val="00AC075F"/>
    <w:rsid w:val="00AC0A35"/>
    <w:rsid w:val="00AC1452"/>
    <w:rsid w:val="00AC16FC"/>
    <w:rsid w:val="00AC1938"/>
    <w:rsid w:val="00AC194B"/>
    <w:rsid w:val="00AC19B1"/>
    <w:rsid w:val="00AC1A54"/>
    <w:rsid w:val="00AC1ABE"/>
    <w:rsid w:val="00AC1BC3"/>
    <w:rsid w:val="00AC20E3"/>
    <w:rsid w:val="00AC258D"/>
    <w:rsid w:val="00AC2AD8"/>
    <w:rsid w:val="00AC2BC5"/>
    <w:rsid w:val="00AC2C73"/>
    <w:rsid w:val="00AC2CDC"/>
    <w:rsid w:val="00AC3765"/>
    <w:rsid w:val="00AC3C1F"/>
    <w:rsid w:val="00AC4A0C"/>
    <w:rsid w:val="00AC4AFF"/>
    <w:rsid w:val="00AC4BD3"/>
    <w:rsid w:val="00AC4DC6"/>
    <w:rsid w:val="00AC5304"/>
    <w:rsid w:val="00AC5B5B"/>
    <w:rsid w:val="00AC5CF0"/>
    <w:rsid w:val="00AC60AA"/>
    <w:rsid w:val="00AC618C"/>
    <w:rsid w:val="00AC631D"/>
    <w:rsid w:val="00AC65EF"/>
    <w:rsid w:val="00AC676A"/>
    <w:rsid w:val="00AC736C"/>
    <w:rsid w:val="00AC7392"/>
    <w:rsid w:val="00AC73BF"/>
    <w:rsid w:val="00AC7B58"/>
    <w:rsid w:val="00AC7D0D"/>
    <w:rsid w:val="00AC7E68"/>
    <w:rsid w:val="00AD01FB"/>
    <w:rsid w:val="00AD04FE"/>
    <w:rsid w:val="00AD0560"/>
    <w:rsid w:val="00AD0605"/>
    <w:rsid w:val="00AD064B"/>
    <w:rsid w:val="00AD0694"/>
    <w:rsid w:val="00AD069E"/>
    <w:rsid w:val="00AD06CD"/>
    <w:rsid w:val="00AD0ACA"/>
    <w:rsid w:val="00AD10FA"/>
    <w:rsid w:val="00AD11FB"/>
    <w:rsid w:val="00AD146C"/>
    <w:rsid w:val="00AD18AD"/>
    <w:rsid w:val="00AD1E66"/>
    <w:rsid w:val="00AD2221"/>
    <w:rsid w:val="00AD2C7F"/>
    <w:rsid w:val="00AD2D30"/>
    <w:rsid w:val="00AD3478"/>
    <w:rsid w:val="00AD387B"/>
    <w:rsid w:val="00AD49C5"/>
    <w:rsid w:val="00AD5128"/>
    <w:rsid w:val="00AD5237"/>
    <w:rsid w:val="00AD528A"/>
    <w:rsid w:val="00AD53FD"/>
    <w:rsid w:val="00AD5440"/>
    <w:rsid w:val="00AD5748"/>
    <w:rsid w:val="00AD58B7"/>
    <w:rsid w:val="00AD5994"/>
    <w:rsid w:val="00AD657A"/>
    <w:rsid w:val="00AD7092"/>
    <w:rsid w:val="00AD7805"/>
    <w:rsid w:val="00AD7F61"/>
    <w:rsid w:val="00AE0349"/>
    <w:rsid w:val="00AE03B8"/>
    <w:rsid w:val="00AE0415"/>
    <w:rsid w:val="00AE05CD"/>
    <w:rsid w:val="00AE06C9"/>
    <w:rsid w:val="00AE0817"/>
    <w:rsid w:val="00AE0892"/>
    <w:rsid w:val="00AE0ADA"/>
    <w:rsid w:val="00AE0C6D"/>
    <w:rsid w:val="00AE0FAA"/>
    <w:rsid w:val="00AE108C"/>
    <w:rsid w:val="00AE1140"/>
    <w:rsid w:val="00AE12DF"/>
    <w:rsid w:val="00AE14A2"/>
    <w:rsid w:val="00AE184B"/>
    <w:rsid w:val="00AE1BE6"/>
    <w:rsid w:val="00AE2061"/>
    <w:rsid w:val="00AE20D5"/>
    <w:rsid w:val="00AE2413"/>
    <w:rsid w:val="00AE29E4"/>
    <w:rsid w:val="00AE3076"/>
    <w:rsid w:val="00AE30F6"/>
    <w:rsid w:val="00AE3428"/>
    <w:rsid w:val="00AE3675"/>
    <w:rsid w:val="00AE3913"/>
    <w:rsid w:val="00AE39E1"/>
    <w:rsid w:val="00AE3AB9"/>
    <w:rsid w:val="00AE41CD"/>
    <w:rsid w:val="00AE478D"/>
    <w:rsid w:val="00AE491F"/>
    <w:rsid w:val="00AE4CD3"/>
    <w:rsid w:val="00AE4E07"/>
    <w:rsid w:val="00AE5740"/>
    <w:rsid w:val="00AE6009"/>
    <w:rsid w:val="00AE6AB5"/>
    <w:rsid w:val="00AE6C33"/>
    <w:rsid w:val="00AE6CCB"/>
    <w:rsid w:val="00AE7017"/>
    <w:rsid w:val="00AE777D"/>
    <w:rsid w:val="00AE7E9E"/>
    <w:rsid w:val="00AE7F87"/>
    <w:rsid w:val="00AF0574"/>
    <w:rsid w:val="00AF080A"/>
    <w:rsid w:val="00AF0832"/>
    <w:rsid w:val="00AF0B32"/>
    <w:rsid w:val="00AF0E8A"/>
    <w:rsid w:val="00AF289C"/>
    <w:rsid w:val="00AF352D"/>
    <w:rsid w:val="00AF369D"/>
    <w:rsid w:val="00AF3BFA"/>
    <w:rsid w:val="00AF3C5A"/>
    <w:rsid w:val="00AF3E57"/>
    <w:rsid w:val="00AF3E5B"/>
    <w:rsid w:val="00AF40CE"/>
    <w:rsid w:val="00AF42E6"/>
    <w:rsid w:val="00AF42E7"/>
    <w:rsid w:val="00AF431A"/>
    <w:rsid w:val="00AF4405"/>
    <w:rsid w:val="00AF4688"/>
    <w:rsid w:val="00AF4976"/>
    <w:rsid w:val="00AF503E"/>
    <w:rsid w:val="00AF532F"/>
    <w:rsid w:val="00AF55C1"/>
    <w:rsid w:val="00AF5C2E"/>
    <w:rsid w:val="00AF69F3"/>
    <w:rsid w:val="00AF6A1D"/>
    <w:rsid w:val="00AF7A57"/>
    <w:rsid w:val="00AF7F75"/>
    <w:rsid w:val="00B003AC"/>
    <w:rsid w:val="00B00473"/>
    <w:rsid w:val="00B00BE1"/>
    <w:rsid w:val="00B00DFE"/>
    <w:rsid w:val="00B0129C"/>
    <w:rsid w:val="00B013BF"/>
    <w:rsid w:val="00B016AD"/>
    <w:rsid w:val="00B01C7C"/>
    <w:rsid w:val="00B01F17"/>
    <w:rsid w:val="00B02075"/>
    <w:rsid w:val="00B023B2"/>
    <w:rsid w:val="00B02570"/>
    <w:rsid w:val="00B026FD"/>
    <w:rsid w:val="00B02781"/>
    <w:rsid w:val="00B028DC"/>
    <w:rsid w:val="00B02AF4"/>
    <w:rsid w:val="00B02B47"/>
    <w:rsid w:val="00B02FE2"/>
    <w:rsid w:val="00B0335E"/>
    <w:rsid w:val="00B0382A"/>
    <w:rsid w:val="00B0468C"/>
    <w:rsid w:val="00B04C6C"/>
    <w:rsid w:val="00B04CDA"/>
    <w:rsid w:val="00B0508A"/>
    <w:rsid w:val="00B053AA"/>
    <w:rsid w:val="00B053F6"/>
    <w:rsid w:val="00B05561"/>
    <w:rsid w:val="00B05571"/>
    <w:rsid w:val="00B057B2"/>
    <w:rsid w:val="00B05B9F"/>
    <w:rsid w:val="00B05FFD"/>
    <w:rsid w:val="00B06FFF"/>
    <w:rsid w:val="00B071FC"/>
    <w:rsid w:val="00B07202"/>
    <w:rsid w:val="00B07566"/>
    <w:rsid w:val="00B078D8"/>
    <w:rsid w:val="00B078DC"/>
    <w:rsid w:val="00B10029"/>
    <w:rsid w:val="00B1002A"/>
    <w:rsid w:val="00B10263"/>
    <w:rsid w:val="00B10947"/>
    <w:rsid w:val="00B112C3"/>
    <w:rsid w:val="00B11ADA"/>
    <w:rsid w:val="00B1242D"/>
    <w:rsid w:val="00B126D2"/>
    <w:rsid w:val="00B1282B"/>
    <w:rsid w:val="00B128D4"/>
    <w:rsid w:val="00B12905"/>
    <w:rsid w:val="00B12B38"/>
    <w:rsid w:val="00B1340D"/>
    <w:rsid w:val="00B138C1"/>
    <w:rsid w:val="00B13935"/>
    <w:rsid w:val="00B13CBD"/>
    <w:rsid w:val="00B13DB0"/>
    <w:rsid w:val="00B140A6"/>
    <w:rsid w:val="00B1437D"/>
    <w:rsid w:val="00B1442F"/>
    <w:rsid w:val="00B14444"/>
    <w:rsid w:val="00B148A1"/>
    <w:rsid w:val="00B14BC2"/>
    <w:rsid w:val="00B151E6"/>
    <w:rsid w:val="00B15E22"/>
    <w:rsid w:val="00B16483"/>
    <w:rsid w:val="00B16685"/>
    <w:rsid w:val="00B16882"/>
    <w:rsid w:val="00B16948"/>
    <w:rsid w:val="00B1696D"/>
    <w:rsid w:val="00B16F6E"/>
    <w:rsid w:val="00B17429"/>
    <w:rsid w:val="00B1756C"/>
    <w:rsid w:val="00B175E3"/>
    <w:rsid w:val="00B17A37"/>
    <w:rsid w:val="00B17B5D"/>
    <w:rsid w:val="00B17C79"/>
    <w:rsid w:val="00B17CC6"/>
    <w:rsid w:val="00B2045F"/>
    <w:rsid w:val="00B20782"/>
    <w:rsid w:val="00B20937"/>
    <w:rsid w:val="00B20B2F"/>
    <w:rsid w:val="00B20C67"/>
    <w:rsid w:val="00B211C8"/>
    <w:rsid w:val="00B211F2"/>
    <w:rsid w:val="00B2122D"/>
    <w:rsid w:val="00B2149E"/>
    <w:rsid w:val="00B214F6"/>
    <w:rsid w:val="00B21608"/>
    <w:rsid w:val="00B21727"/>
    <w:rsid w:val="00B21CB1"/>
    <w:rsid w:val="00B21DC0"/>
    <w:rsid w:val="00B22675"/>
    <w:rsid w:val="00B229A5"/>
    <w:rsid w:val="00B22CB4"/>
    <w:rsid w:val="00B2346D"/>
    <w:rsid w:val="00B23B42"/>
    <w:rsid w:val="00B23C5B"/>
    <w:rsid w:val="00B23D27"/>
    <w:rsid w:val="00B23F70"/>
    <w:rsid w:val="00B24B76"/>
    <w:rsid w:val="00B24D79"/>
    <w:rsid w:val="00B25976"/>
    <w:rsid w:val="00B25C0D"/>
    <w:rsid w:val="00B25CB7"/>
    <w:rsid w:val="00B25EC1"/>
    <w:rsid w:val="00B2607B"/>
    <w:rsid w:val="00B264E1"/>
    <w:rsid w:val="00B2696C"/>
    <w:rsid w:val="00B26ED9"/>
    <w:rsid w:val="00B2713E"/>
    <w:rsid w:val="00B27969"/>
    <w:rsid w:val="00B27C3B"/>
    <w:rsid w:val="00B27F7D"/>
    <w:rsid w:val="00B30425"/>
    <w:rsid w:val="00B30B21"/>
    <w:rsid w:val="00B30F66"/>
    <w:rsid w:val="00B310DD"/>
    <w:rsid w:val="00B31197"/>
    <w:rsid w:val="00B3181C"/>
    <w:rsid w:val="00B31E08"/>
    <w:rsid w:val="00B325A4"/>
    <w:rsid w:val="00B325C3"/>
    <w:rsid w:val="00B32796"/>
    <w:rsid w:val="00B3290A"/>
    <w:rsid w:val="00B32A36"/>
    <w:rsid w:val="00B32B2B"/>
    <w:rsid w:val="00B32CE9"/>
    <w:rsid w:val="00B32D5F"/>
    <w:rsid w:val="00B3394D"/>
    <w:rsid w:val="00B33BE3"/>
    <w:rsid w:val="00B34600"/>
    <w:rsid w:val="00B34754"/>
    <w:rsid w:val="00B35E55"/>
    <w:rsid w:val="00B3628D"/>
    <w:rsid w:val="00B364A3"/>
    <w:rsid w:val="00B365A3"/>
    <w:rsid w:val="00B36B92"/>
    <w:rsid w:val="00B36BEB"/>
    <w:rsid w:val="00B36CEC"/>
    <w:rsid w:val="00B36CF7"/>
    <w:rsid w:val="00B36E3A"/>
    <w:rsid w:val="00B37049"/>
    <w:rsid w:val="00B37AC2"/>
    <w:rsid w:val="00B37C41"/>
    <w:rsid w:val="00B4005A"/>
    <w:rsid w:val="00B40137"/>
    <w:rsid w:val="00B40437"/>
    <w:rsid w:val="00B405FB"/>
    <w:rsid w:val="00B406CF"/>
    <w:rsid w:val="00B40CF6"/>
    <w:rsid w:val="00B414F2"/>
    <w:rsid w:val="00B415B3"/>
    <w:rsid w:val="00B41C49"/>
    <w:rsid w:val="00B42150"/>
    <w:rsid w:val="00B4243F"/>
    <w:rsid w:val="00B42FB5"/>
    <w:rsid w:val="00B4360F"/>
    <w:rsid w:val="00B43DFC"/>
    <w:rsid w:val="00B43E2F"/>
    <w:rsid w:val="00B44129"/>
    <w:rsid w:val="00B44686"/>
    <w:rsid w:val="00B44BB9"/>
    <w:rsid w:val="00B44D24"/>
    <w:rsid w:val="00B456FB"/>
    <w:rsid w:val="00B45A33"/>
    <w:rsid w:val="00B46698"/>
    <w:rsid w:val="00B46E8B"/>
    <w:rsid w:val="00B472E0"/>
    <w:rsid w:val="00B4776C"/>
    <w:rsid w:val="00B47936"/>
    <w:rsid w:val="00B47BED"/>
    <w:rsid w:val="00B47D3C"/>
    <w:rsid w:val="00B4A0CF"/>
    <w:rsid w:val="00B50095"/>
    <w:rsid w:val="00B5013D"/>
    <w:rsid w:val="00B5014B"/>
    <w:rsid w:val="00B502DF"/>
    <w:rsid w:val="00B50802"/>
    <w:rsid w:val="00B50D03"/>
    <w:rsid w:val="00B513C8"/>
    <w:rsid w:val="00B518E5"/>
    <w:rsid w:val="00B51B54"/>
    <w:rsid w:val="00B51F67"/>
    <w:rsid w:val="00B521D1"/>
    <w:rsid w:val="00B52340"/>
    <w:rsid w:val="00B52852"/>
    <w:rsid w:val="00B5294F"/>
    <w:rsid w:val="00B52B84"/>
    <w:rsid w:val="00B52B9C"/>
    <w:rsid w:val="00B52D52"/>
    <w:rsid w:val="00B52EB8"/>
    <w:rsid w:val="00B53421"/>
    <w:rsid w:val="00B53585"/>
    <w:rsid w:val="00B5372D"/>
    <w:rsid w:val="00B5376D"/>
    <w:rsid w:val="00B5378B"/>
    <w:rsid w:val="00B5381E"/>
    <w:rsid w:val="00B540CD"/>
    <w:rsid w:val="00B5419F"/>
    <w:rsid w:val="00B54245"/>
    <w:rsid w:val="00B54696"/>
    <w:rsid w:val="00B54AE5"/>
    <w:rsid w:val="00B54CC4"/>
    <w:rsid w:val="00B551F6"/>
    <w:rsid w:val="00B559F9"/>
    <w:rsid w:val="00B55AA6"/>
    <w:rsid w:val="00B55F51"/>
    <w:rsid w:val="00B5620A"/>
    <w:rsid w:val="00B56736"/>
    <w:rsid w:val="00B56DDB"/>
    <w:rsid w:val="00B56DE9"/>
    <w:rsid w:val="00B56EC5"/>
    <w:rsid w:val="00B56ECE"/>
    <w:rsid w:val="00B5703D"/>
    <w:rsid w:val="00B5767A"/>
    <w:rsid w:val="00B603F5"/>
    <w:rsid w:val="00B606FE"/>
    <w:rsid w:val="00B60B72"/>
    <w:rsid w:val="00B60D9D"/>
    <w:rsid w:val="00B60FC9"/>
    <w:rsid w:val="00B61073"/>
    <w:rsid w:val="00B613DC"/>
    <w:rsid w:val="00B617A0"/>
    <w:rsid w:val="00B61B02"/>
    <w:rsid w:val="00B61B36"/>
    <w:rsid w:val="00B61B71"/>
    <w:rsid w:val="00B62200"/>
    <w:rsid w:val="00B6230C"/>
    <w:rsid w:val="00B62453"/>
    <w:rsid w:val="00B62552"/>
    <w:rsid w:val="00B625CF"/>
    <w:rsid w:val="00B627B9"/>
    <w:rsid w:val="00B62A0F"/>
    <w:rsid w:val="00B62CA9"/>
    <w:rsid w:val="00B62EB1"/>
    <w:rsid w:val="00B62FD9"/>
    <w:rsid w:val="00B634B0"/>
    <w:rsid w:val="00B63517"/>
    <w:rsid w:val="00B638EF"/>
    <w:rsid w:val="00B63919"/>
    <w:rsid w:val="00B64038"/>
    <w:rsid w:val="00B6430D"/>
    <w:rsid w:val="00B64324"/>
    <w:rsid w:val="00B64397"/>
    <w:rsid w:val="00B64C37"/>
    <w:rsid w:val="00B64EE5"/>
    <w:rsid w:val="00B6502A"/>
    <w:rsid w:val="00B6596F"/>
    <w:rsid w:val="00B65AE9"/>
    <w:rsid w:val="00B66903"/>
    <w:rsid w:val="00B66E7D"/>
    <w:rsid w:val="00B674F9"/>
    <w:rsid w:val="00B67A8C"/>
    <w:rsid w:val="00B67B7D"/>
    <w:rsid w:val="00B67B9E"/>
    <w:rsid w:val="00B70A45"/>
    <w:rsid w:val="00B70CA0"/>
    <w:rsid w:val="00B711E2"/>
    <w:rsid w:val="00B71D3C"/>
    <w:rsid w:val="00B71E0F"/>
    <w:rsid w:val="00B72A23"/>
    <w:rsid w:val="00B72B9F"/>
    <w:rsid w:val="00B72CA3"/>
    <w:rsid w:val="00B72DD7"/>
    <w:rsid w:val="00B72F76"/>
    <w:rsid w:val="00B737BA"/>
    <w:rsid w:val="00B73AFC"/>
    <w:rsid w:val="00B73E3A"/>
    <w:rsid w:val="00B74237"/>
    <w:rsid w:val="00B746ED"/>
    <w:rsid w:val="00B74924"/>
    <w:rsid w:val="00B74CDF"/>
    <w:rsid w:val="00B74E43"/>
    <w:rsid w:val="00B754D0"/>
    <w:rsid w:val="00B757E6"/>
    <w:rsid w:val="00B75A0D"/>
    <w:rsid w:val="00B75AF0"/>
    <w:rsid w:val="00B75BC7"/>
    <w:rsid w:val="00B75EAC"/>
    <w:rsid w:val="00B761F7"/>
    <w:rsid w:val="00B76A8A"/>
    <w:rsid w:val="00B76D88"/>
    <w:rsid w:val="00B76F4C"/>
    <w:rsid w:val="00B76FFF"/>
    <w:rsid w:val="00B774F2"/>
    <w:rsid w:val="00B77568"/>
    <w:rsid w:val="00B7790D"/>
    <w:rsid w:val="00B77970"/>
    <w:rsid w:val="00B77B74"/>
    <w:rsid w:val="00B77BE6"/>
    <w:rsid w:val="00B8007A"/>
    <w:rsid w:val="00B803B7"/>
    <w:rsid w:val="00B80B5D"/>
    <w:rsid w:val="00B81054"/>
    <w:rsid w:val="00B8186F"/>
    <w:rsid w:val="00B818B4"/>
    <w:rsid w:val="00B81D41"/>
    <w:rsid w:val="00B820BA"/>
    <w:rsid w:val="00B821AD"/>
    <w:rsid w:val="00B822FB"/>
    <w:rsid w:val="00B8258D"/>
    <w:rsid w:val="00B82A65"/>
    <w:rsid w:val="00B839E5"/>
    <w:rsid w:val="00B83B27"/>
    <w:rsid w:val="00B840A4"/>
    <w:rsid w:val="00B840B6"/>
    <w:rsid w:val="00B84190"/>
    <w:rsid w:val="00B8467E"/>
    <w:rsid w:val="00B84709"/>
    <w:rsid w:val="00B84F4D"/>
    <w:rsid w:val="00B850AC"/>
    <w:rsid w:val="00B85390"/>
    <w:rsid w:val="00B858AF"/>
    <w:rsid w:val="00B85B4B"/>
    <w:rsid w:val="00B85BEA"/>
    <w:rsid w:val="00B8635A"/>
    <w:rsid w:val="00B86740"/>
    <w:rsid w:val="00B869D8"/>
    <w:rsid w:val="00B86C2D"/>
    <w:rsid w:val="00B86D34"/>
    <w:rsid w:val="00B86F2E"/>
    <w:rsid w:val="00B87309"/>
    <w:rsid w:val="00B87A3B"/>
    <w:rsid w:val="00B87B65"/>
    <w:rsid w:val="00B87EE1"/>
    <w:rsid w:val="00B907FC"/>
    <w:rsid w:val="00B90D89"/>
    <w:rsid w:val="00B915F6"/>
    <w:rsid w:val="00B918E8"/>
    <w:rsid w:val="00B91B56"/>
    <w:rsid w:val="00B91DEC"/>
    <w:rsid w:val="00B9222A"/>
    <w:rsid w:val="00B922B2"/>
    <w:rsid w:val="00B924B2"/>
    <w:rsid w:val="00B924BC"/>
    <w:rsid w:val="00B92B3D"/>
    <w:rsid w:val="00B92C9D"/>
    <w:rsid w:val="00B92E94"/>
    <w:rsid w:val="00B932C0"/>
    <w:rsid w:val="00B9337D"/>
    <w:rsid w:val="00B937BF"/>
    <w:rsid w:val="00B93998"/>
    <w:rsid w:val="00B93DBD"/>
    <w:rsid w:val="00B942F4"/>
    <w:rsid w:val="00B946E3"/>
    <w:rsid w:val="00B947F3"/>
    <w:rsid w:val="00B956E1"/>
    <w:rsid w:val="00B956EF"/>
    <w:rsid w:val="00B957A9"/>
    <w:rsid w:val="00B95C8F"/>
    <w:rsid w:val="00B95E81"/>
    <w:rsid w:val="00B962C8"/>
    <w:rsid w:val="00B96521"/>
    <w:rsid w:val="00B96526"/>
    <w:rsid w:val="00B966E0"/>
    <w:rsid w:val="00B96792"/>
    <w:rsid w:val="00B96A44"/>
    <w:rsid w:val="00B96A5D"/>
    <w:rsid w:val="00B96AA5"/>
    <w:rsid w:val="00B96FC4"/>
    <w:rsid w:val="00B9724D"/>
    <w:rsid w:val="00B97413"/>
    <w:rsid w:val="00B9761C"/>
    <w:rsid w:val="00B9781B"/>
    <w:rsid w:val="00B97947"/>
    <w:rsid w:val="00B97D62"/>
    <w:rsid w:val="00B97EA0"/>
    <w:rsid w:val="00BA18F0"/>
    <w:rsid w:val="00BA201B"/>
    <w:rsid w:val="00BA23DB"/>
    <w:rsid w:val="00BA25ED"/>
    <w:rsid w:val="00BA2B88"/>
    <w:rsid w:val="00BA3692"/>
    <w:rsid w:val="00BA3D8E"/>
    <w:rsid w:val="00BA43C0"/>
    <w:rsid w:val="00BA43F6"/>
    <w:rsid w:val="00BA4463"/>
    <w:rsid w:val="00BA476D"/>
    <w:rsid w:val="00BA4A62"/>
    <w:rsid w:val="00BA4ADB"/>
    <w:rsid w:val="00BA4B50"/>
    <w:rsid w:val="00BA503C"/>
    <w:rsid w:val="00BA56B8"/>
    <w:rsid w:val="00BA57B9"/>
    <w:rsid w:val="00BA584A"/>
    <w:rsid w:val="00BA66D7"/>
    <w:rsid w:val="00BA6826"/>
    <w:rsid w:val="00BA68AA"/>
    <w:rsid w:val="00BA6A25"/>
    <w:rsid w:val="00BA6C63"/>
    <w:rsid w:val="00BA6C89"/>
    <w:rsid w:val="00BA736F"/>
    <w:rsid w:val="00BA7585"/>
    <w:rsid w:val="00BA7964"/>
    <w:rsid w:val="00BA7E66"/>
    <w:rsid w:val="00BA7FF8"/>
    <w:rsid w:val="00BB0053"/>
    <w:rsid w:val="00BB04DC"/>
    <w:rsid w:val="00BB0875"/>
    <w:rsid w:val="00BB1526"/>
    <w:rsid w:val="00BB1630"/>
    <w:rsid w:val="00BB17E7"/>
    <w:rsid w:val="00BB1C59"/>
    <w:rsid w:val="00BB1D17"/>
    <w:rsid w:val="00BB1E20"/>
    <w:rsid w:val="00BB216D"/>
    <w:rsid w:val="00BB2205"/>
    <w:rsid w:val="00BB27C2"/>
    <w:rsid w:val="00BB2A74"/>
    <w:rsid w:val="00BB2BE2"/>
    <w:rsid w:val="00BB2D95"/>
    <w:rsid w:val="00BB3230"/>
    <w:rsid w:val="00BB3388"/>
    <w:rsid w:val="00BB33B7"/>
    <w:rsid w:val="00BB3768"/>
    <w:rsid w:val="00BB38C3"/>
    <w:rsid w:val="00BB3D4D"/>
    <w:rsid w:val="00BB4327"/>
    <w:rsid w:val="00BB446D"/>
    <w:rsid w:val="00BB4695"/>
    <w:rsid w:val="00BB50AB"/>
    <w:rsid w:val="00BB570B"/>
    <w:rsid w:val="00BB57B6"/>
    <w:rsid w:val="00BB5E19"/>
    <w:rsid w:val="00BB6282"/>
    <w:rsid w:val="00BB6813"/>
    <w:rsid w:val="00BB6942"/>
    <w:rsid w:val="00BB6C25"/>
    <w:rsid w:val="00BB7605"/>
    <w:rsid w:val="00BB79E5"/>
    <w:rsid w:val="00BC0018"/>
    <w:rsid w:val="00BC0213"/>
    <w:rsid w:val="00BC021D"/>
    <w:rsid w:val="00BC02C5"/>
    <w:rsid w:val="00BC02EC"/>
    <w:rsid w:val="00BC046F"/>
    <w:rsid w:val="00BC050B"/>
    <w:rsid w:val="00BC07B3"/>
    <w:rsid w:val="00BC080E"/>
    <w:rsid w:val="00BC097C"/>
    <w:rsid w:val="00BC0A8D"/>
    <w:rsid w:val="00BC0BF7"/>
    <w:rsid w:val="00BC0D00"/>
    <w:rsid w:val="00BC0E4C"/>
    <w:rsid w:val="00BC0E71"/>
    <w:rsid w:val="00BC0ED5"/>
    <w:rsid w:val="00BC16C7"/>
    <w:rsid w:val="00BC1779"/>
    <w:rsid w:val="00BC18E0"/>
    <w:rsid w:val="00BC1E8D"/>
    <w:rsid w:val="00BC1F49"/>
    <w:rsid w:val="00BC2022"/>
    <w:rsid w:val="00BC24A8"/>
    <w:rsid w:val="00BC251B"/>
    <w:rsid w:val="00BC2A60"/>
    <w:rsid w:val="00BC2E32"/>
    <w:rsid w:val="00BC330E"/>
    <w:rsid w:val="00BC34E7"/>
    <w:rsid w:val="00BC35B9"/>
    <w:rsid w:val="00BC394B"/>
    <w:rsid w:val="00BC3F75"/>
    <w:rsid w:val="00BC4136"/>
    <w:rsid w:val="00BC42AD"/>
    <w:rsid w:val="00BC43BC"/>
    <w:rsid w:val="00BC51C6"/>
    <w:rsid w:val="00BC5301"/>
    <w:rsid w:val="00BC535A"/>
    <w:rsid w:val="00BC5659"/>
    <w:rsid w:val="00BC57A3"/>
    <w:rsid w:val="00BC5893"/>
    <w:rsid w:val="00BC5D33"/>
    <w:rsid w:val="00BC64E2"/>
    <w:rsid w:val="00BC6EF3"/>
    <w:rsid w:val="00BC777D"/>
    <w:rsid w:val="00BC7841"/>
    <w:rsid w:val="00BC796E"/>
    <w:rsid w:val="00BC7A9F"/>
    <w:rsid w:val="00BD00B7"/>
    <w:rsid w:val="00BD024D"/>
    <w:rsid w:val="00BD0794"/>
    <w:rsid w:val="00BD0D6C"/>
    <w:rsid w:val="00BD0F8F"/>
    <w:rsid w:val="00BD141C"/>
    <w:rsid w:val="00BD161E"/>
    <w:rsid w:val="00BD1656"/>
    <w:rsid w:val="00BD171D"/>
    <w:rsid w:val="00BD19A3"/>
    <w:rsid w:val="00BD1CA9"/>
    <w:rsid w:val="00BD1F05"/>
    <w:rsid w:val="00BD206E"/>
    <w:rsid w:val="00BD229F"/>
    <w:rsid w:val="00BD25DD"/>
    <w:rsid w:val="00BD28C0"/>
    <w:rsid w:val="00BD2917"/>
    <w:rsid w:val="00BD3116"/>
    <w:rsid w:val="00BD319C"/>
    <w:rsid w:val="00BD331B"/>
    <w:rsid w:val="00BD3713"/>
    <w:rsid w:val="00BD37B8"/>
    <w:rsid w:val="00BD3909"/>
    <w:rsid w:val="00BD3CDF"/>
    <w:rsid w:val="00BD3F5E"/>
    <w:rsid w:val="00BD41AB"/>
    <w:rsid w:val="00BD4AC3"/>
    <w:rsid w:val="00BD50C6"/>
    <w:rsid w:val="00BD50D2"/>
    <w:rsid w:val="00BD51A7"/>
    <w:rsid w:val="00BD56B7"/>
    <w:rsid w:val="00BD57F5"/>
    <w:rsid w:val="00BD5B8F"/>
    <w:rsid w:val="00BD5BEF"/>
    <w:rsid w:val="00BD5FF7"/>
    <w:rsid w:val="00BD5FFF"/>
    <w:rsid w:val="00BD618B"/>
    <w:rsid w:val="00BD67E9"/>
    <w:rsid w:val="00BD6A8F"/>
    <w:rsid w:val="00BD6B0B"/>
    <w:rsid w:val="00BD6DEC"/>
    <w:rsid w:val="00BD713C"/>
    <w:rsid w:val="00BD72DB"/>
    <w:rsid w:val="00BD72FD"/>
    <w:rsid w:val="00BD7544"/>
    <w:rsid w:val="00BD7890"/>
    <w:rsid w:val="00BD792A"/>
    <w:rsid w:val="00BD7B62"/>
    <w:rsid w:val="00BD7ECC"/>
    <w:rsid w:val="00BE07B3"/>
    <w:rsid w:val="00BE08DF"/>
    <w:rsid w:val="00BE098A"/>
    <w:rsid w:val="00BE09F1"/>
    <w:rsid w:val="00BE09FF"/>
    <w:rsid w:val="00BE0AA3"/>
    <w:rsid w:val="00BE0CDA"/>
    <w:rsid w:val="00BE106B"/>
    <w:rsid w:val="00BE11BE"/>
    <w:rsid w:val="00BE1322"/>
    <w:rsid w:val="00BE1770"/>
    <w:rsid w:val="00BE1DA3"/>
    <w:rsid w:val="00BE2167"/>
    <w:rsid w:val="00BE281D"/>
    <w:rsid w:val="00BE3128"/>
    <w:rsid w:val="00BE366D"/>
    <w:rsid w:val="00BE376B"/>
    <w:rsid w:val="00BE44E7"/>
    <w:rsid w:val="00BE45C1"/>
    <w:rsid w:val="00BE479E"/>
    <w:rsid w:val="00BE47BA"/>
    <w:rsid w:val="00BE48A4"/>
    <w:rsid w:val="00BE492B"/>
    <w:rsid w:val="00BE4B2D"/>
    <w:rsid w:val="00BE4C4A"/>
    <w:rsid w:val="00BE4E66"/>
    <w:rsid w:val="00BE5093"/>
    <w:rsid w:val="00BE56F0"/>
    <w:rsid w:val="00BE583A"/>
    <w:rsid w:val="00BE5942"/>
    <w:rsid w:val="00BE5B93"/>
    <w:rsid w:val="00BE60FE"/>
    <w:rsid w:val="00BE67A5"/>
    <w:rsid w:val="00BE68EF"/>
    <w:rsid w:val="00BE72A8"/>
    <w:rsid w:val="00BE7488"/>
    <w:rsid w:val="00BE756F"/>
    <w:rsid w:val="00BE7D31"/>
    <w:rsid w:val="00BE7F3F"/>
    <w:rsid w:val="00BF0063"/>
    <w:rsid w:val="00BF0417"/>
    <w:rsid w:val="00BF04C7"/>
    <w:rsid w:val="00BF0A59"/>
    <w:rsid w:val="00BF0A95"/>
    <w:rsid w:val="00BF0AF0"/>
    <w:rsid w:val="00BF0BFC"/>
    <w:rsid w:val="00BF0D78"/>
    <w:rsid w:val="00BF0F69"/>
    <w:rsid w:val="00BF1373"/>
    <w:rsid w:val="00BF1390"/>
    <w:rsid w:val="00BF17B9"/>
    <w:rsid w:val="00BF1B0A"/>
    <w:rsid w:val="00BF1BDE"/>
    <w:rsid w:val="00BF20E3"/>
    <w:rsid w:val="00BF2680"/>
    <w:rsid w:val="00BF3D5B"/>
    <w:rsid w:val="00BF4072"/>
    <w:rsid w:val="00BF4273"/>
    <w:rsid w:val="00BF4461"/>
    <w:rsid w:val="00BF4647"/>
    <w:rsid w:val="00BF4950"/>
    <w:rsid w:val="00BF4A7B"/>
    <w:rsid w:val="00BF4B00"/>
    <w:rsid w:val="00BF515D"/>
    <w:rsid w:val="00BF5A50"/>
    <w:rsid w:val="00BF5A8C"/>
    <w:rsid w:val="00BF5EB0"/>
    <w:rsid w:val="00BF5F61"/>
    <w:rsid w:val="00BF616E"/>
    <w:rsid w:val="00BF695D"/>
    <w:rsid w:val="00BF69FD"/>
    <w:rsid w:val="00BF6E5C"/>
    <w:rsid w:val="00BF72B5"/>
    <w:rsid w:val="00BF7349"/>
    <w:rsid w:val="00BF75C3"/>
    <w:rsid w:val="00BF760A"/>
    <w:rsid w:val="00BF772D"/>
    <w:rsid w:val="00BF7C02"/>
    <w:rsid w:val="00BF7EBC"/>
    <w:rsid w:val="00BF7F7C"/>
    <w:rsid w:val="00C001E2"/>
    <w:rsid w:val="00C01166"/>
    <w:rsid w:val="00C0133A"/>
    <w:rsid w:val="00C013BB"/>
    <w:rsid w:val="00C015BB"/>
    <w:rsid w:val="00C0163A"/>
    <w:rsid w:val="00C01A16"/>
    <w:rsid w:val="00C022E7"/>
    <w:rsid w:val="00C02E09"/>
    <w:rsid w:val="00C03787"/>
    <w:rsid w:val="00C04169"/>
    <w:rsid w:val="00C045CA"/>
    <w:rsid w:val="00C0479A"/>
    <w:rsid w:val="00C04858"/>
    <w:rsid w:val="00C049DB"/>
    <w:rsid w:val="00C04EA8"/>
    <w:rsid w:val="00C05285"/>
    <w:rsid w:val="00C05BD0"/>
    <w:rsid w:val="00C066BA"/>
    <w:rsid w:val="00C0680D"/>
    <w:rsid w:val="00C0699D"/>
    <w:rsid w:val="00C06A6D"/>
    <w:rsid w:val="00C074FD"/>
    <w:rsid w:val="00C07C64"/>
    <w:rsid w:val="00C07D09"/>
    <w:rsid w:val="00C07F5E"/>
    <w:rsid w:val="00C10242"/>
    <w:rsid w:val="00C1062D"/>
    <w:rsid w:val="00C10702"/>
    <w:rsid w:val="00C10B4A"/>
    <w:rsid w:val="00C10FFA"/>
    <w:rsid w:val="00C11176"/>
    <w:rsid w:val="00C114E3"/>
    <w:rsid w:val="00C116C6"/>
    <w:rsid w:val="00C11A0B"/>
    <w:rsid w:val="00C11AFD"/>
    <w:rsid w:val="00C11B03"/>
    <w:rsid w:val="00C11C92"/>
    <w:rsid w:val="00C11DF1"/>
    <w:rsid w:val="00C12145"/>
    <w:rsid w:val="00C127C1"/>
    <w:rsid w:val="00C127DC"/>
    <w:rsid w:val="00C12B2B"/>
    <w:rsid w:val="00C12D35"/>
    <w:rsid w:val="00C12F18"/>
    <w:rsid w:val="00C1330C"/>
    <w:rsid w:val="00C13746"/>
    <w:rsid w:val="00C13A14"/>
    <w:rsid w:val="00C14400"/>
    <w:rsid w:val="00C144C9"/>
    <w:rsid w:val="00C1482E"/>
    <w:rsid w:val="00C152F7"/>
    <w:rsid w:val="00C15AE3"/>
    <w:rsid w:val="00C1624C"/>
    <w:rsid w:val="00C16755"/>
    <w:rsid w:val="00C17102"/>
    <w:rsid w:val="00C175A8"/>
    <w:rsid w:val="00C17807"/>
    <w:rsid w:val="00C17956"/>
    <w:rsid w:val="00C17D06"/>
    <w:rsid w:val="00C17F60"/>
    <w:rsid w:val="00C203B3"/>
    <w:rsid w:val="00C2089F"/>
    <w:rsid w:val="00C208E8"/>
    <w:rsid w:val="00C209A3"/>
    <w:rsid w:val="00C20A70"/>
    <w:rsid w:val="00C20AB3"/>
    <w:rsid w:val="00C20B7A"/>
    <w:rsid w:val="00C20E18"/>
    <w:rsid w:val="00C21892"/>
    <w:rsid w:val="00C21CC9"/>
    <w:rsid w:val="00C22088"/>
    <w:rsid w:val="00C225BB"/>
    <w:rsid w:val="00C22607"/>
    <w:rsid w:val="00C2276A"/>
    <w:rsid w:val="00C22944"/>
    <w:rsid w:val="00C22C0E"/>
    <w:rsid w:val="00C22EBE"/>
    <w:rsid w:val="00C2307F"/>
    <w:rsid w:val="00C23606"/>
    <w:rsid w:val="00C2371A"/>
    <w:rsid w:val="00C238D8"/>
    <w:rsid w:val="00C239D1"/>
    <w:rsid w:val="00C24B0E"/>
    <w:rsid w:val="00C24D7E"/>
    <w:rsid w:val="00C250A0"/>
    <w:rsid w:val="00C253D3"/>
    <w:rsid w:val="00C257D4"/>
    <w:rsid w:val="00C25BA0"/>
    <w:rsid w:val="00C264AE"/>
    <w:rsid w:val="00C269D7"/>
    <w:rsid w:val="00C26AC7"/>
    <w:rsid w:val="00C26D89"/>
    <w:rsid w:val="00C27114"/>
    <w:rsid w:val="00C2723C"/>
    <w:rsid w:val="00C27314"/>
    <w:rsid w:val="00C27A06"/>
    <w:rsid w:val="00C27DA1"/>
    <w:rsid w:val="00C27E1A"/>
    <w:rsid w:val="00C30C11"/>
    <w:rsid w:val="00C30C4A"/>
    <w:rsid w:val="00C30D5F"/>
    <w:rsid w:val="00C30EE2"/>
    <w:rsid w:val="00C31252"/>
    <w:rsid w:val="00C316C8"/>
    <w:rsid w:val="00C31A4E"/>
    <w:rsid w:val="00C31C13"/>
    <w:rsid w:val="00C320C2"/>
    <w:rsid w:val="00C325E8"/>
    <w:rsid w:val="00C32E10"/>
    <w:rsid w:val="00C33083"/>
    <w:rsid w:val="00C332B2"/>
    <w:rsid w:val="00C337B0"/>
    <w:rsid w:val="00C341FF"/>
    <w:rsid w:val="00C34227"/>
    <w:rsid w:val="00C34802"/>
    <w:rsid w:val="00C34D45"/>
    <w:rsid w:val="00C34D67"/>
    <w:rsid w:val="00C35301"/>
    <w:rsid w:val="00C35376"/>
    <w:rsid w:val="00C3561E"/>
    <w:rsid w:val="00C35C24"/>
    <w:rsid w:val="00C37871"/>
    <w:rsid w:val="00C3791F"/>
    <w:rsid w:val="00C40051"/>
    <w:rsid w:val="00C40234"/>
    <w:rsid w:val="00C40288"/>
    <w:rsid w:val="00C4120A"/>
    <w:rsid w:val="00C413FF"/>
    <w:rsid w:val="00C42C18"/>
    <w:rsid w:val="00C42EA1"/>
    <w:rsid w:val="00C4351F"/>
    <w:rsid w:val="00C43A4D"/>
    <w:rsid w:val="00C43D7E"/>
    <w:rsid w:val="00C44076"/>
    <w:rsid w:val="00C44616"/>
    <w:rsid w:val="00C44C8F"/>
    <w:rsid w:val="00C44D07"/>
    <w:rsid w:val="00C45893"/>
    <w:rsid w:val="00C4598D"/>
    <w:rsid w:val="00C45AD7"/>
    <w:rsid w:val="00C4602E"/>
    <w:rsid w:val="00C4623C"/>
    <w:rsid w:val="00C46578"/>
    <w:rsid w:val="00C4659B"/>
    <w:rsid w:val="00C4682D"/>
    <w:rsid w:val="00C46BF7"/>
    <w:rsid w:val="00C46D52"/>
    <w:rsid w:val="00C47232"/>
    <w:rsid w:val="00C4744C"/>
    <w:rsid w:val="00C47620"/>
    <w:rsid w:val="00C476FE"/>
    <w:rsid w:val="00C4792F"/>
    <w:rsid w:val="00C47B45"/>
    <w:rsid w:val="00C47FA2"/>
    <w:rsid w:val="00C50768"/>
    <w:rsid w:val="00C5078C"/>
    <w:rsid w:val="00C50B46"/>
    <w:rsid w:val="00C514A1"/>
    <w:rsid w:val="00C51677"/>
    <w:rsid w:val="00C519F4"/>
    <w:rsid w:val="00C52844"/>
    <w:rsid w:val="00C5293B"/>
    <w:rsid w:val="00C53068"/>
    <w:rsid w:val="00C530DE"/>
    <w:rsid w:val="00C53284"/>
    <w:rsid w:val="00C537F9"/>
    <w:rsid w:val="00C53AFA"/>
    <w:rsid w:val="00C53B38"/>
    <w:rsid w:val="00C53EA8"/>
    <w:rsid w:val="00C546F0"/>
    <w:rsid w:val="00C54917"/>
    <w:rsid w:val="00C549EE"/>
    <w:rsid w:val="00C54CF3"/>
    <w:rsid w:val="00C54F0C"/>
    <w:rsid w:val="00C5541E"/>
    <w:rsid w:val="00C55E3E"/>
    <w:rsid w:val="00C55F52"/>
    <w:rsid w:val="00C560A4"/>
    <w:rsid w:val="00C5632B"/>
    <w:rsid w:val="00C56D8A"/>
    <w:rsid w:val="00C56E3A"/>
    <w:rsid w:val="00C573A5"/>
    <w:rsid w:val="00C575A1"/>
    <w:rsid w:val="00C575A8"/>
    <w:rsid w:val="00C57681"/>
    <w:rsid w:val="00C579C4"/>
    <w:rsid w:val="00C57F51"/>
    <w:rsid w:val="00C57F6E"/>
    <w:rsid w:val="00C603EF"/>
    <w:rsid w:val="00C604E7"/>
    <w:rsid w:val="00C6062B"/>
    <w:rsid w:val="00C606AB"/>
    <w:rsid w:val="00C60F4E"/>
    <w:rsid w:val="00C619CA"/>
    <w:rsid w:val="00C61B58"/>
    <w:rsid w:val="00C61CFC"/>
    <w:rsid w:val="00C627F8"/>
    <w:rsid w:val="00C62B0B"/>
    <w:rsid w:val="00C62B49"/>
    <w:rsid w:val="00C639C7"/>
    <w:rsid w:val="00C63A4B"/>
    <w:rsid w:val="00C63CB3"/>
    <w:rsid w:val="00C63CE3"/>
    <w:rsid w:val="00C63F83"/>
    <w:rsid w:val="00C6421E"/>
    <w:rsid w:val="00C64310"/>
    <w:rsid w:val="00C64959"/>
    <w:rsid w:val="00C64E4B"/>
    <w:rsid w:val="00C65376"/>
    <w:rsid w:val="00C65612"/>
    <w:rsid w:val="00C65AA4"/>
    <w:rsid w:val="00C65BC6"/>
    <w:rsid w:val="00C66257"/>
    <w:rsid w:val="00C668D7"/>
    <w:rsid w:val="00C6759D"/>
    <w:rsid w:val="00C70946"/>
    <w:rsid w:val="00C70947"/>
    <w:rsid w:val="00C70ADF"/>
    <w:rsid w:val="00C723C3"/>
    <w:rsid w:val="00C724F3"/>
    <w:rsid w:val="00C725CA"/>
    <w:rsid w:val="00C726C7"/>
    <w:rsid w:val="00C728F3"/>
    <w:rsid w:val="00C73535"/>
    <w:rsid w:val="00C73E96"/>
    <w:rsid w:val="00C73F69"/>
    <w:rsid w:val="00C74971"/>
    <w:rsid w:val="00C74C01"/>
    <w:rsid w:val="00C75734"/>
    <w:rsid w:val="00C7584B"/>
    <w:rsid w:val="00C75A83"/>
    <w:rsid w:val="00C75F26"/>
    <w:rsid w:val="00C766D0"/>
    <w:rsid w:val="00C767A3"/>
    <w:rsid w:val="00C76A2A"/>
    <w:rsid w:val="00C76A89"/>
    <w:rsid w:val="00C76E11"/>
    <w:rsid w:val="00C76F83"/>
    <w:rsid w:val="00C775EE"/>
    <w:rsid w:val="00C77608"/>
    <w:rsid w:val="00C77749"/>
    <w:rsid w:val="00C778D8"/>
    <w:rsid w:val="00C77989"/>
    <w:rsid w:val="00C77DD3"/>
    <w:rsid w:val="00C800C2"/>
    <w:rsid w:val="00C80571"/>
    <w:rsid w:val="00C80E8B"/>
    <w:rsid w:val="00C812A5"/>
    <w:rsid w:val="00C81305"/>
    <w:rsid w:val="00C8181A"/>
    <w:rsid w:val="00C818FC"/>
    <w:rsid w:val="00C81A8B"/>
    <w:rsid w:val="00C821CF"/>
    <w:rsid w:val="00C82480"/>
    <w:rsid w:val="00C82F59"/>
    <w:rsid w:val="00C834C3"/>
    <w:rsid w:val="00C834DC"/>
    <w:rsid w:val="00C83928"/>
    <w:rsid w:val="00C83AB9"/>
    <w:rsid w:val="00C83B84"/>
    <w:rsid w:val="00C83C1B"/>
    <w:rsid w:val="00C83C9C"/>
    <w:rsid w:val="00C841B8"/>
    <w:rsid w:val="00C846F2"/>
    <w:rsid w:val="00C84762"/>
    <w:rsid w:val="00C84BDF"/>
    <w:rsid w:val="00C85196"/>
    <w:rsid w:val="00C85581"/>
    <w:rsid w:val="00C85616"/>
    <w:rsid w:val="00C85B48"/>
    <w:rsid w:val="00C85F43"/>
    <w:rsid w:val="00C86A0E"/>
    <w:rsid w:val="00C86C58"/>
    <w:rsid w:val="00C87428"/>
    <w:rsid w:val="00C87928"/>
    <w:rsid w:val="00C87D27"/>
    <w:rsid w:val="00C87DE8"/>
    <w:rsid w:val="00C90130"/>
    <w:rsid w:val="00C90190"/>
    <w:rsid w:val="00C90224"/>
    <w:rsid w:val="00C90C28"/>
    <w:rsid w:val="00C90C41"/>
    <w:rsid w:val="00C90F73"/>
    <w:rsid w:val="00C90FD7"/>
    <w:rsid w:val="00C91114"/>
    <w:rsid w:val="00C913A3"/>
    <w:rsid w:val="00C9143D"/>
    <w:rsid w:val="00C918B9"/>
    <w:rsid w:val="00C91C8C"/>
    <w:rsid w:val="00C91F1F"/>
    <w:rsid w:val="00C91F77"/>
    <w:rsid w:val="00C924AB"/>
    <w:rsid w:val="00C92567"/>
    <w:rsid w:val="00C927AD"/>
    <w:rsid w:val="00C929DF"/>
    <w:rsid w:val="00C92E22"/>
    <w:rsid w:val="00C92E5F"/>
    <w:rsid w:val="00C9335F"/>
    <w:rsid w:val="00C93B17"/>
    <w:rsid w:val="00C941B7"/>
    <w:rsid w:val="00C94843"/>
    <w:rsid w:val="00C95074"/>
    <w:rsid w:val="00C95188"/>
    <w:rsid w:val="00C95386"/>
    <w:rsid w:val="00C9559A"/>
    <w:rsid w:val="00C95A64"/>
    <w:rsid w:val="00C95BC1"/>
    <w:rsid w:val="00C95D36"/>
    <w:rsid w:val="00C95ECB"/>
    <w:rsid w:val="00C95FBB"/>
    <w:rsid w:val="00C960CE"/>
    <w:rsid w:val="00C9645C"/>
    <w:rsid w:val="00C969DC"/>
    <w:rsid w:val="00C96F9C"/>
    <w:rsid w:val="00C97589"/>
    <w:rsid w:val="00C976F9"/>
    <w:rsid w:val="00C97961"/>
    <w:rsid w:val="00C97AE8"/>
    <w:rsid w:val="00CA00B2"/>
    <w:rsid w:val="00CA024C"/>
    <w:rsid w:val="00CA0E14"/>
    <w:rsid w:val="00CA1540"/>
    <w:rsid w:val="00CA15DE"/>
    <w:rsid w:val="00CA1B88"/>
    <w:rsid w:val="00CA1E59"/>
    <w:rsid w:val="00CA1ED5"/>
    <w:rsid w:val="00CA2074"/>
    <w:rsid w:val="00CA208B"/>
    <w:rsid w:val="00CA20A4"/>
    <w:rsid w:val="00CA2BBD"/>
    <w:rsid w:val="00CA2D38"/>
    <w:rsid w:val="00CA3395"/>
    <w:rsid w:val="00CA34B2"/>
    <w:rsid w:val="00CA34FD"/>
    <w:rsid w:val="00CA3925"/>
    <w:rsid w:val="00CA3B0F"/>
    <w:rsid w:val="00CA528B"/>
    <w:rsid w:val="00CA57CE"/>
    <w:rsid w:val="00CA616B"/>
    <w:rsid w:val="00CA6348"/>
    <w:rsid w:val="00CA6E79"/>
    <w:rsid w:val="00CA7309"/>
    <w:rsid w:val="00CA73F0"/>
    <w:rsid w:val="00CA7419"/>
    <w:rsid w:val="00CA74D2"/>
    <w:rsid w:val="00CA75E0"/>
    <w:rsid w:val="00CA75F7"/>
    <w:rsid w:val="00CA7AD1"/>
    <w:rsid w:val="00CA7D64"/>
    <w:rsid w:val="00CAEC28"/>
    <w:rsid w:val="00CB029E"/>
    <w:rsid w:val="00CB07CE"/>
    <w:rsid w:val="00CB0AC9"/>
    <w:rsid w:val="00CB0E0B"/>
    <w:rsid w:val="00CB1114"/>
    <w:rsid w:val="00CB11F0"/>
    <w:rsid w:val="00CB123E"/>
    <w:rsid w:val="00CB12C4"/>
    <w:rsid w:val="00CB182D"/>
    <w:rsid w:val="00CB1A09"/>
    <w:rsid w:val="00CB1D9D"/>
    <w:rsid w:val="00CB212E"/>
    <w:rsid w:val="00CB225D"/>
    <w:rsid w:val="00CB232E"/>
    <w:rsid w:val="00CB26B4"/>
    <w:rsid w:val="00CB2915"/>
    <w:rsid w:val="00CB298D"/>
    <w:rsid w:val="00CB2B98"/>
    <w:rsid w:val="00CB2D00"/>
    <w:rsid w:val="00CB2D37"/>
    <w:rsid w:val="00CB3615"/>
    <w:rsid w:val="00CB37E6"/>
    <w:rsid w:val="00CB3D33"/>
    <w:rsid w:val="00CB3EA8"/>
    <w:rsid w:val="00CB40BF"/>
    <w:rsid w:val="00CB436C"/>
    <w:rsid w:val="00CB44FA"/>
    <w:rsid w:val="00CB4941"/>
    <w:rsid w:val="00CB498E"/>
    <w:rsid w:val="00CB4A84"/>
    <w:rsid w:val="00CB4E08"/>
    <w:rsid w:val="00CB55AA"/>
    <w:rsid w:val="00CB5E78"/>
    <w:rsid w:val="00CB5ED1"/>
    <w:rsid w:val="00CB60BC"/>
    <w:rsid w:val="00CB617E"/>
    <w:rsid w:val="00CB619E"/>
    <w:rsid w:val="00CB69FB"/>
    <w:rsid w:val="00CB6AC0"/>
    <w:rsid w:val="00CB74F7"/>
    <w:rsid w:val="00CB76E6"/>
    <w:rsid w:val="00CB7BDD"/>
    <w:rsid w:val="00CB7E98"/>
    <w:rsid w:val="00CB7F77"/>
    <w:rsid w:val="00CC018E"/>
    <w:rsid w:val="00CC1108"/>
    <w:rsid w:val="00CC11FF"/>
    <w:rsid w:val="00CC12E9"/>
    <w:rsid w:val="00CC16D3"/>
    <w:rsid w:val="00CC17F0"/>
    <w:rsid w:val="00CC1DFE"/>
    <w:rsid w:val="00CC1F7D"/>
    <w:rsid w:val="00CC23D1"/>
    <w:rsid w:val="00CC24A4"/>
    <w:rsid w:val="00CC251B"/>
    <w:rsid w:val="00CC27E4"/>
    <w:rsid w:val="00CC2F26"/>
    <w:rsid w:val="00CC3540"/>
    <w:rsid w:val="00CC38DB"/>
    <w:rsid w:val="00CC3995"/>
    <w:rsid w:val="00CC3AF3"/>
    <w:rsid w:val="00CC3CA1"/>
    <w:rsid w:val="00CC43D6"/>
    <w:rsid w:val="00CC4523"/>
    <w:rsid w:val="00CC4632"/>
    <w:rsid w:val="00CC5AA0"/>
    <w:rsid w:val="00CC5FA3"/>
    <w:rsid w:val="00CC6110"/>
    <w:rsid w:val="00CC6916"/>
    <w:rsid w:val="00CC6A77"/>
    <w:rsid w:val="00CC6D68"/>
    <w:rsid w:val="00CC6DB7"/>
    <w:rsid w:val="00CC6DE6"/>
    <w:rsid w:val="00CC77F3"/>
    <w:rsid w:val="00CC7FF6"/>
    <w:rsid w:val="00CC7FFB"/>
    <w:rsid w:val="00CD00D5"/>
    <w:rsid w:val="00CD0AF9"/>
    <w:rsid w:val="00CD16EE"/>
    <w:rsid w:val="00CD17DB"/>
    <w:rsid w:val="00CD192D"/>
    <w:rsid w:val="00CD2109"/>
    <w:rsid w:val="00CD2147"/>
    <w:rsid w:val="00CD2480"/>
    <w:rsid w:val="00CD2F2C"/>
    <w:rsid w:val="00CD31C7"/>
    <w:rsid w:val="00CD3644"/>
    <w:rsid w:val="00CD3E1C"/>
    <w:rsid w:val="00CD3E35"/>
    <w:rsid w:val="00CD4319"/>
    <w:rsid w:val="00CD45C2"/>
    <w:rsid w:val="00CD4977"/>
    <w:rsid w:val="00CD4DEB"/>
    <w:rsid w:val="00CD4FC6"/>
    <w:rsid w:val="00CD590B"/>
    <w:rsid w:val="00CD5CA3"/>
    <w:rsid w:val="00CD5F86"/>
    <w:rsid w:val="00CD5FDD"/>
    <w:rsid w:val="00CD6114"/>
    <w:rsid w:val="00CD62D9"/>
    <w:rsid w:val="00CD6743"/>
    <w:rsid w:val="00CD68D0"/>
    <w:rsid w:val="00CD6C70"/>
    <w:rsid w:val="00CD6EE0"/>
    <w:rsid w:val="00CD6F16"/>
    <w:rsid w:val="00CD7859"/>
    <w:rsid w:val="00CD7FAA"/>
    <w:rsid w:val="00CE0007"/>
    <w:rsid w:val="00CE0DA7"/>
    <w:rsid w:val="00CE0DCD"/>
    <w:rsid w:val="00CE0E3C"/>
    <w:rsid w:val="00CE2113"/>
    <w:rsid w:val="00CE25FD"/>
    <w:rsid w:val="00CE26C1"/>
    <w:rsid w:val="00CE29A2"/>
    <w:rsid w:val="00CE2A14"/>
    <w:rsid w:val="00CE2CDF"/>
    <w:rsid w:val="00CE2E1D"/>
    <w:rsid w:val="00CE3743"/>
    <w:rsid w:val="00CE3771"/>
    <w:rsid w:val="00CE386B"/>
    <w:rsid w:val="00CE3EF0"/>
    <w:rsid w:val="00CE3FE0"/>
    <w:rsid w:val="00CE43C0"/>
    <w:rsid w:val="00CE4773"/>
    <w:rsid w:val="00CE4D76"/>
    <w:rsid w:val="00CE5A0F"/>
    <w:rsid w:val="00CE5DC0"/>
    <w:rsid w:val="00CE61DE"/>
    <w:rsid w:val="00CE64A8"/>
    <w:rsid w:val="00CE65CC"/>
    <w:rsid w:val="00CE680F"/>
    <w:rsid w:val="00CE6AE5"/>
    <w:rsid w:val="00CE6C8C"/>
    <w:rsid w:val="00CE6E6A"/>
    <w:rsid w:val="00CE7581"/>
    <w:rsid w:val="00CE7BDD"/>
    <w:rsid w:val="00CE7E1E"/>
    <w:rsid w:val="00CF0368"/>
    <w:rsid w:val="00CF047A"/>
    <w:rsid w:val="00CF07D4"/>
    <w:rsid w:val="00CF08E4"/>
    <w:rsid w:val="00CF0BD7"/>
    <w:rsid w:val="00CF0DE3"/>
    <w:rsid w:val="00CF1ECE"/>
    <w:rsid w:val="00CF252E"/>
    <w:rsid w:val="00CF27E0"/>
    <w:rsid w:val="00CF27E8"/>
    <w:rsid w:val="00CF2B79"/>
    <w:rsid w:val="00CF2C4C"/>
    <w:rsid w:val="00CF3D07"/>
    <w:rsid w:val="00CF3D49"/>
    <w:rsid w:val="00CF406E"/>
    <w:rsid w:val="00CF4C10"/>
    <w:rsid w:val="00CF4D27"/>
    <w:rsid w:val="00CF4E4D"/>
    <w:rsid w:val="00CF5616"/>
    <w:rsid w:val="00CF58F2"/>
    <w:rsid w:val="00CF5945"/>
    <w:rsid w:val="00CF5E20"/>
    <w:rsid w:val="00CF622A"/>
    <w:rsid w:val="00CF622C"/>
    <w:rsid w:val="00CF627D"/>
    <w:rsid w:val="00CF687B"/>
    <w:rsid w:val="00CF6A5B"/>
    <w:rsid w:val="00CF6A69"/>
    <w:rsid w:val="00CF6A78"/>
    <w:rsid w:val="00CF6B45"/>
    <w:rsid w:val="00CF6C03"/>
    <w:rsid w:val="00CF6D7A"/>
    <w:rsid w:val="00CF6EFF"/>
    <w:rsid w:val="00CF77FB"/>
    <w:rsid w:val="00CF795F"/>
    <w:rsid w:val="00CF7A30"/>
    <w:rsid w:val="00CF7A4E"/>
    <w:rsid w:val="00CF7C51"/>
    <w:rsid w:val="00CF7C78"/>
    <w:rsid w:val="00D00647"/>
    <w:rsid w:val="00D00DC6"/>
    <w:rsid w:val="00D010DF"/>
    <w:rsid w:val="00D0144B"/>
    <w:rsid w:val="00D0215C"/>
    <w:rsid w:val="00D0218F"/>
    <w:rsid w:val="00D0236A"/>
    <w:rsid w:val="00D0253B"/>
    <w:rsid w:val="00D02CF4"/>
    <w:rsid w:val="00D02EB0"/>
    <w:rsid w:val="00D0333E"/>
    <w:rsid w:val="00D03342"/>
    <w:rsid w:val="00D03538"/>
    <w:rsid w:val="00D036DB"/>
    <w:rsid w:val="00D03799"/>
    <w:rsid w:val="00D03B15"/>
    <w:rsid w:val="00D03EB9"/>
    <w:rsid w:val="00D0404D"/>
    <w:rsid w:val="00D04116"/>
    <w:rsid w:val="00D047FD"/>
    <w:rsid w:val="00D04815"/>
    <w:rsid w:val="00D04C88"/>
    <w:rsid w:val="00D04E61"/>
    <w:rsid w:val="00D05C87"/>
    <w:rsid w:val="00D062FA"/>
    <w:rsid w:val="00D065D8"/>
    <w:rsid w:val="00D06AF9"/>
    <w:rsid w:val="00D06F43"/>
    <w:rsid w:val="00D07F5E"/>
    <w:rsid w:val="00D07FFE"/>
    <w:rsid w:val="00D100BE"/>
    <w:rsid w:val="00D10232"/>
    <w:rsid w:val="00D1032E"/>
    <w:rsid w:val="00D10390"/>
    <w:rsid w:val="00D10635"/>
    <w:rsid w:val="00D109C4"/>
    <w:rsid w:val="00D109E5"/>
    <w:rsid w:val="00D10A57"/>
    <w:rsid w:val="00D10BC9"/>
    <w:rsid w:val="00D110C9"/>
    <w:rsid w:val="00D1139F"/>
    <w:rsid w:val="00D114C2"/>
    <w:rsid w:val="00D11E3C"/>
    <w:rsid w:val="00D121C6"/>
    <w:rsid w:val="00D1257E"/>
    <w:rsid w:val="00D1278E"/>
    <w:rsid w:val="00D13188"/>
    <w:rsid w:val="00D1324D"/>
    <w:rsid w:val="00D13BE6"/>
    <w:rsid w:val="00D13C58"/>
    <w:rsid w:val="00D14355"/>
    <w:rsid w:val="00D1480A"/>
    <w:rsid w:val="00D1496B"/>
    <w:rsid w:val="00D15278"/>
    <w:rsid w:val="00D157B6"/>
    <w:rsid w:val="00D1580C"/>
    <w:rsid w:val="00D15A90"/>
    <w:rsid w:val="00D16903"/>
    <w:rsid w:val="00D16CF4"/>
    <w:rsid w:val="00D16D3B"/>
    <w:rsid w:val="00D17329"/>
    <w:rsid w:val="00D179E7"/>
    <w:rsid w:val="00D17F39"/>
    <w:rsid w:val="00D200A8"/>
    <w:rsid w:val="00D20116"/>
    <w:rsid w:val="00D202DA"/>
    <w:rsid w:val="00D20BBF"/>
    <w:rsid w:val="00D20F65"/>
    <w:rsid w:val="00D21401"/>
    <w:rsid w:val="00D21580"/>
    <w:rsid w:val="00D21C03"/>
    <w:rsid w:val="00D21D9E"/>
    <w:rsid w:val="00D21EB8"/>
    <w:rsid w:val="00D22740"/>
    <w:rsid w:val="00D2291F"/>
    <w:rsid w:val="00D22E7E"/>
    <w:rsid w:val="00D2302E"/>
    <w:rsid w:val="00D23253"/>
    <w:rsid w:val="00D2382B"/>
    <w:rsid w:val="00D2408D"/>
    <w:rsid w:val="00D240EA"/>
    <w:rsid w:val="00D243DB"/>
    <w:rsid w:val="00D256C6"/>
    <w:rsid w:val="00D25D46"/>
    <w:rsid w:val="00D261FF"/>
    <w:rsid w:val="00D2665C"/>
    <w:rsid w:val="00D269BE"/>
    <w:rsid w:val="00D270E9"/>
    <w:rsid w:val="00D302FD"/>
    <w:rsid w:val="00D3050C"/>
    <w:rsid w:val="00D305B7"/>
    <w:rsid w:val="00D3114B"/>
    <w:rsid w:val="00D317A0"/>
    <w:rsid w:val="00D31B12"/>
    <w:rsid w:val="00D3241A"/>
    <w:rsid w:val="00D32CAA"/>
    <w:rsid w:val="00D32DF1"/>
    <w:rsid w:val="00D32EDF"/>
    <w:rsid w:val="00D3322E"/>
    <w:rsid w:val="00D3359C"/>
    <w:rsid w:val="00D335E1"/>
    <w:rsid w:val="00D33640"/>
    <w:rsid w:val="00D33677"/>
    <w:rsid w:val="00D336C0"/>
    <w:rsid w:val="00D338A3"/>
    <w:rsid w:val="00D33907"/>
    <w:rsid w:val="00D3399B"/>
    <w:rsid w:val="00D33A85"/>
    <w:rsid w:val="00D33F1C"/>
    <w:rsid w:val="00D34023"/>
    <w:rsid w:val="00D3428D"/>
    <w:rsid w:val="00D34E9B"/>
    <w:rsid w:val="00D34F82"/>
    <w:rsid w:val="00D35301"/>
    <w:rsid w:val="00D35648"/>
    <w:rsid w:val="00D356E5"/>
    <w:rsid w:val="00D35D0B"/>
    <w:rsid w:val="00D35D62"/>
    <w:rsid w:val="00D36328"/>
    <w:rsid w:val="00D3649D"/>
    <w:rsid w:val="00D367A7"/>
    <w:rsid w:val="00D3691A"/>
    <w:rsid w:val="00D3739A"/>
    <w:rsid w:val="00D37532"/>
    <w:rsid w:val="00D37680"/>
    <w:rsid w:val="00D378F2"/>
    <w:rsid w:val="00D404F6"/>
    <w:rsid w:val="00D405E1"/>
    <w:rsid w:val="00D408C6"/>
    <w:rsid w:val="00D409F7"/>
    <w:rsid w:val="00D410D0"/>
    <w:rsid w:val="00D41782"/>
    <w:rsid w:val="00D417D2"/>
    <w:rsid w:val="00D41F02"/>
    <w:rsid w:val="00D42C21"/>
    <w:rsid w:val="00D42F50"/>
    <w:rsid w:val="00D434C1"/>
    <w:rsid w:val="00D43A61"/>
    <w:rsid w:val="00D43A6E"/>
    <w:rsid w:val="00D43C8F"/>
    <w:rsid w:val="00D44513"/>
    <w:rsid w:val="00D44844"/>
    <w:rsid w:val="00D448C3"/>
    <w:rsid w:val="00D4536D"/>
    <w:rsid w:val="00D45500"/>
    <w:rsid w:val="00D45675"/>
    <w:rsid w:val="00D4576D"/>
    <w:rsid w:val="00D45919"/>
    <w:rsid w:val="00D460A2"/>
    <w:rsid w:val="00D46600"/>
    <w:rsid w:val="00D46914"/>
    <w:rsid w:val="00D46A97"/>
    <w:rsid w:val="00D471F9"/>
    <w:rsid w:val="00D474F8"/>
    <w:rsid w:val="00D4770C"/>
    <w:rsid w:val="00D47752"/>
    <w:rsid w:val="00D47C31"/>
    <w:rsid w:val="00D500C1"/>
    <w:rsid w:val="00D5012D"/>
    <w:rsid w:val="00D50287"/>
    <w:rsid w:val="00D504C0"/>
    <w:rsid w:val="00D50BC5"/>
    <w:rsid w:val="00D5112C"/>
    <w:rsid w:val="00D51DF0"/>
    <w:rsid w:val="00D51F11"/>
    <w:rsid w:val="00D51F42"/>
    <w:rsid w:val="00D520AA"/>
    <w:rsid w:val="00D5247E"/>
    <w:rsid w:val="00D525B8"/>
    <w:rsid w:val="00D52AA0"/>
    <w:rsid w:val="00D52C76"/>
    <w:rsid w:val="00D52FBA"/>
    <w:rsid w:val="00D53282"/>
    <w:rsid w:val="00D5390D"/>
    <w:rsid w:val="00D53A69"/>
    <w:rsid w:val="00D540EC"/>
    <w:rsid w:val="00D5420E"/>
    <w:rsid w:val="00D5493A"/>
    <w:rsid w:val="00D55028"/>
    <w:rsid w:val="00D55557"/>
    <w:rsid w:val="00D556C2"/>
    <w:rsid w:val="00D55851"/>
    <w:rsid w:val="00D55982"/>
    <w:rsid w:val="00D559CF"/>
    <w:rsid w:val="00D55D44"/>
    <w:rsid w:val="00D560D9"/>
    <w:rsid w:val="00D561A2"/>
    <w:rsid w:val="00D5648A"/>
    <w:rsid w:val="00D5649A"/>
    <w:rsid w:val="00D56715"/>
    <w:rsid w:val="00D56BAD"/>
    <w:rsid w:val="00D56DEC"/>
    <w:rsid w:val="00D57672"/>
    <w:rsid w:val="00D57860"/>
    <w:rsid w:val="00D57AB0"/>
    <w:rsid w:val="00D57FAD"/>
    <w:rsid w:val="00D608F0"/>
    <w:rsid w:val="00D60B46"/>
    <w:rsid w:val="00D61BC1"/>
    <w:rsid w:val="00D62102"/>
    <w:rsid w:val="00D628DA"/>
    <w:rsid w:val="00D62BD0"/>
    <w:rsid w:val="00D63272"/>
    <w:rsid w:val="00D63570"/>
    <w:rsid w:val="00D63747"/>
    <w:rsid w:val="00D63BEC"/>
    <w:rsid w:val="00D640AE"/>
    <w:rsid w:val="00D64808"/>
    <w:rsid w:val="00D64A12"/>
    <w:rsid w:val="00D66218"/>
    <w:rsid w:val="00D6621D"/>
    <w:rsid w:val="00D66273"/>
    <w:rsid w:val="00D66A04"/>
    <w:rsid w:val="00D66B21"/>
    <w:rsid w:val="00D66D90"/>
    <w:rsid w:val="00D66E96"/>
    <w:rsid w:val="00D67005"/>
    <w:rsid w:val="00D67263"/>
    <w:rsid w:val="00D672E0"/>
    <w:rsid w:val="00D672F7"/>
    <w:rsid w:val="00D6772E"/>
    <w:rsid w:val="00D67E16"/>
    <w:rsid w:val="00D70402"/>
    <w:rsid w:val="00D70656"/>
    <w:rsid w:val="00D70EB0"/>
    <w:rsid w:val="00D7116F"/>
    <w:rsid w:val="00D7126C"/>
    <w:rsid w:val="00D71334"/>
    <w:rsid w:val="00D71428"/>
    <w:rsid w:val="00D715FC"/>
    <w:rsid w:val="00D71C7A"/>
    <w:rsid w:val="00D7222C"/>
    <w:rsid w:val="00D72635"/>
    <w:rsid w:val="00D72A0E"/>
    <w:rsid w:val="00D72AE6"/>
    <w:rsid w:val="00D72E50"/>
    <w:rsid w:val="00D73240"/>
    <w:rsid w:val="00D73942"/>
    <w:rsid w:val="00D73AF2"/>
    <w:rsid w:val="00D7423C"/>
    <w:rsid w:val="00D746CE"/>
    <w:rsid w:val="00D74BD6"/>
    <w:rsid w:val="00D74D1C"/>
    <w:rsid w:val="00D74F0C"/>
    <w:rsid w:val="00D74F95"/>
    <w:rsid w:val="00D75377"/>
    <w:rsid w:val="00D756DB"/>
    <w:rsid w:val="00D75F50"/>
    <w:rsid w:val="00D75FFD"/>
    <w:rsid w:val="00D762C2"/>
    <w:rsid w:val="00D76DEE"/>
    <w:rsid w:val="00D7731C"/>
    <w:rsid w:val="00D778A8"/>
    <w:rsid w:val="00D77AD3"/>
    <w:rsid w:val="00D77ADF"/>
    <w:rsid w:val="00D80231"/>
    <w:rsid w:val="00D8064A"/>
    <w:rsid w:val="00D8070D"/>
    <w:rsid w:val="00D80749"/>
    <w:rsid w:val="00D81A63"/>
    <w:rsid w:val="00D81C2D"/>
    <w:rsid w:val="00D81CD2"/>
    <w:rsid w:val="00D8202D"/>
    <w:rsid w:val="00D8208C"/>
    <w:rsid w:val="00D8240D"/>
    <w:rsid w:val="00D82699"/>
    <w:rsid w:val="00D82E06"/>
    <w:rsid w:val="00D82F07"/>
    <w:rsid w:val="00D8308F"/>
    <w:rsid w:val="00D83854"/>
    <w:rsid w:val="00D8386E"/>
    <w:rsid w:val="00D84122"/>
    <w:rsid w:val="00D847B9"/>
    <w:rsid w:val="00D84866"/>
    <w:rsid w:val="00D84CAE"/>
    <w:rsid w:val="00D8510A"/>
    <w:rsid w:val="00D85EE3"/>
    <w:rsid w:val="00D85EE4"/>
    <w:rsid w:val="00D862B2"/>
    <w:rsid w:val="00D86528"/>
    <w:rsid w:val="00D8672C"/>
    <w:rsid w:val="00D86959"/>
    <w:rsid w:val="00D869A4"/>
    <w:rsid w:val="00D86BE3"/>
    <w:rsid w:val="00D87120"/>
    <w:rsid w:val="00D87A65"/>
    <w:rsid w:val="00D87C2C"/>
    <w:rsid w:val="00D87EA2"/>
    <w:rsid w:val="00D90092"/>
    <w:rsid w:val="00D90BDF"/>
    <w:rsid w:val="00D90C71"/>
    <w:rsid w:val="00D91024"/>
    <w:rsid w:val="00D91105"/>
    <w:rsid w:val="00D918CB"/>
    <w:rsid w:val="00D91A3F"/>
    <w:rsid w:val="00D91E5A"/>
    <w:rsid w:val="00D920A5"/>
    <w:rsid w:val="00D920D4"/>
    <w:rsid w:val="00D92A90"/>
    <w:rsid w:val="00D93096"/>
    <w:rsid w:val="00D93568"/>
    <w:rsid w:val="00D935F1"/>
    <w:rsid w:val="00D93DD8"/>
    <w:rsid w:val="00D948A8"/>
    <w:rsid w:val="00D94ADE"/>
    <w:rsid w:val="00D94FD1"/>
    <w:rsid w:val="00D9505C"/>
    <w:rsid w:val="00D9515B"/>
    <w:rsid w:val="00D95A1A"/>
    <w:rsid w:val="00D95D49"/>
    <w:rsid w:val="00D96050"/>
    <w:rsid w:val="00D96BF6"/>
    <w:rsid w:val="00D96F2C"/>
    <w:rsid w:val="00D97544"/>
    <w:rsid w:val="00D978B9"/>
    <w:rsid w:val="00D97E76"/>
    <w:rsid w:val="00DA00C7"/>
    <w:rsid w:val="00DA02D2"/>
    <w:rsid w:val="00DA040C"/>
    <w:rsid w:val="00DA0481"/>
    <w:rsid w:val="00DA0971"/>
    <w:rsid w:val="00DA09CD"/>
    <w:rsid w:val="00DA0A64"/>
    <w:rsid w:val="00DA0C7D"/>
    <w:rsid w:val="00DA12CC"/>
    <w:rsid w:val="00DA1845"/>
    <w:rsid w:val="00DA18A2"/>
    <w:rsid w:val="00DA1CE1"/>
    <w:rsid w:val="00DA1F89"/>
    <w:rsid w:val="00DA2301"/>
    <w:rsid w:val="00DA2521"/>
    <w:rsid w:val="00DA2A25"/>
    <w:rsid w:val="00DA2A59"/>
    <w:rsid w:val="00DA2D16"/>
    <w:rsid w:val="00DA3144"/>
    <w:rsid w:val="00DA3B5E"/>
    <w:rsid w:val="00DA3E94"/>
    <w:rsid w:val="00DA3F75"/>
    <w:rsid w:val="00DA4018"/>
    <w:rsid w:val="00DA40A5"/>
    <w:rsid w:val="00DA4535"/>
    <w:rsid w:val="00DA4540"/>
    <w:rsid w:val="00DA49DF"/>
    <w:rsid w:val="00DA4A38"/>
    <w:rsid w:val="00DA4A72"/>
    <w:rsid w:val="00DA4B63"/>
    <w:rsid w:val="00DA4C7E"/>
    <w:rsid w:val="00DA4D74"/>
    <w:rsid w:val="00DA4FC0"/>
    <w:rsid w:val="00DA558A"/>
    <w:rsid w:val="00DA58BD"/>
    <w:rsid w:val="00DA5AE5"/>
    <w:rsid w:val="00DA5B67"/>
    <w:rsid w:val="00DA5F0E"/>
    <w:rsid w:val="00DA6CA7"/>
    <w:rsid w:val="00DA7005"/>
    <w:rsid w:val="00DA72FF"/>
    <w:rsid w:val="00DA747A"/>
    <w:rsid w:val="00DA7526"/>
    <w:rsid w:val="00DA754E"/>
    <w:rsid w:val="00DA7761"/>
    <w:rsid w:val="00DA79C0"/>
    <w:rsid w:val="00DA7F89"/>
    <w:rsid w:val="00DA7F8E"/>
    <w:rsid w:val="00DB00C8"/>
    <w:rsid w:val="00DB06CD"/>
    <w:rsid w:val="00DB0BDC"/>
    <w:rsid w:val="00DB10DA"/>
    <w:rsid w:val="00DB13EF"/>
    <w:rsid w:val="00DB1AC2"/>
    <w:rsid w:val="00DB1BB7"/>
    <w:rsid w:val="00DB1E2E"/>
    <w:rsid w:val="00DB1FBF"/>
    <w:rsid w:val="00DB2352"/>
    <w:rsid w:val="00DB2525"/>
    <w:rsid w:val="00DB2858"/>
    <w:rsid w:val="00DB2AF0"/>
    <w:rsid w:val="00DB37EF"/>
    <w:rsid w:val="00DB3863"/>
    <w:rsid w:val="00DB414F"/>
    <w:rsid w:val="00DB4C64"/>
    <w:rsid w:val="00DB4F90"/>
    <w:rsid w:val="00DB50F5"/>
    <w:rsid w:val="00DB51E1"/>
    <w:rsid w:val="00DB5262"/>
    <w:rsid w:val="00DB5705"/>
    <w:rsid w:val="00DB5988"/>
    <w:rsid w:val="00DB5BCF"/>
    <w:rsid w:val="00DB60EC"/>
    <w:rsid w:val="00DB62CF"/>
    <w:rsid w:val="00DB6924"/>
    <w:rsid w:val="00DB69BB"/>
    <w:rsid w:val="00DB6C76"/>
    <w:rsid w:val="00DB6CC6"/>
    <w:rsid w:val="00DB7345"/>
    <w:rsid w:val="00DB77F9"/>
    <w:rsid w:val="00DC00E4"/>
    <w:rsid w:val="00DC0608"/>
    <w:rsid w:val="00DC1283"/>
    <w:rsid w:val="00DC1D55"/>
    <w:rsid w:val="00DC1F7D"/>
    <w:rsid w:val="00DC27A1"/>
    <w:rsid w:val="00DC2AF5"/>
    <w:rsid w:val="00DC2C2C"/>
    <w:rsid w:val="00DC2C41"/>
    <w:rsid w:val="00DC2E1E"/>
    <w:rsid w:val="00DC3848"/>
    <w:rsid w:val="00DC38F0"/>
    <w:rsid w:val="00DC3AF1"/>
    <w:rsid w:val="00DC3DD8"/>
    <w:rsid w:val="00DC4396"/>
    <w:rsid w:val="00DC4447"/>
    <w:rsid w:val="00DC46E8"/>
    <w:rsid w:val="00DC4944"/>
    <w:rsid w:val="00DC51B0"/>
    <w:rsid w:val="00DC5308"/>
    <w:rsid w:val="00DC54BD"/>
    <w:rsid w:val="00DC5778"/>
    <w:rsid w:val="00DC6414"/>
    <w:rsid w:val="00DC689B"/>
    <w:rsid w:val="00DC6950"/>
    <w:rsid w:val="00DC6CF7"/>
    <w:rsid w:val="00DC6FAB"/>
    <w:rsid w:val="00DC6FCE"/>
    <w:rsid w:val="00DC70FE"/>
    <w:rsid w:val="00DC718B"/>
    <w:rsid w:val="00DC74E0"/>
    <w:rsid w:val="00DC7556"/>
    <w:rsid w:val="00DC7F35"/>
    <w:rsid w:val="00DC7F4B"/>
    <w:rsid w:val="00DD00C3"/>
    <w:rsid w:val="00DD01A2"/>
    <w:rsid w:val="00DD0941"/>
    <w:rsid w:val="00DD0D42"/>
    <w:rsid w:val="00DD0E1B"/>
    <w:rsid w:val="00DD1329"/>
    <w:rsid w:val="00DD1634"/>
    <w:rsid w:val="00DD1D15"/>
    <w:rsid w:val="00DD1DE9"/>
    <w:rsid w:val="00DD1EE1"/>
    <w:rsid w:val="00DD2312"/>
    <w:rsid w:val="00DD28F3"/>
    <w:rsid w:val="00DD2CC6"/>
    <w:rsid w:val="00DD2DC5"/>
    <w:rsid w:val="00DD32C0"/>
    <w:rsid w:val="00DD3308"/>
    <w:rsid w:val="00DD3441"/>
    <w:rsid w:val="00DD3732"/>
    <w:rsid w:val="00DD39BF"/>
    <w:rsid w:val="00DD3B1D"/>
    <w:rsid w:val="00DD3CE4"/>
    <w:rsid w:val="00DD3D68"/>
    <w:rsid w:val="00DD46EA"/>
    <w:rsid w:val="00DD4880"/>
    <w:rsid w:val="00DD495E"/>
    <w:rsid w:val="00DD4C7E"/>
    <w:rsid w:val="00DD4E8E"/>
    <w:rsid w:val="00DD5056"/>
    <w:rsid w:val="00DD542C"/>
    <w:rsid w:val="00DD57EC"/>
    <w:rsid w:val="00DD5D10"/>
    <w:rsid w:val="00DD60A5"/>
    <w:rsid w:val="00DD615D"/>
    <w:rsid w:val="00DD6354"/>
    <w:rsid w:val="00DD64AA"/>
    <w:rsid w:val="00DD65F7"/>
    <w:rsid w:val="00DD6622"/>
    <w:rsid w:val="00DD6830"/>
    <w:rsid w:val="00DD7254"/>
    <w:rsid w:val="00DD7D75"/>
    <w:rsid w:val="00DD7E41"/>
    <w:rsid w:val="00DD7FC4"/>
    <w:rsid w:val="00DE052A"/>
    <w:rsid w:val="00DE0563"/>
    <w:rsid w:val="00DE0A2B"/>
    <w:rsid w:val="00DE0AF2"/>
    <w:rsid w:val="00DE0B18"/>
    <w:rsid w:val="00DE0B83"/>
    <w:rsid w:val="00DE0CE7"/>
    <w:rsid w:val="00DE1043"/>
    <w:rsid w:val="00DE1342"/>
    <w:rsid w:val="00DE1E0A"/>
    <w:rsid w:val="00DE1F69"/>
    <w:rsid w:val="00DE1F9B"/>
    <w:rsid w:val="00DE2160"/>
    <w:rsid w:val="00DE2248"/>
    <w:rsid w:val="00DE22E7"/>
    <w:rsid w:val="00DE270A"/>
    <w:rsid w:val="00DE2AA2"/>
    <w:rsid w:val="00DE2C0E"/>
    <w:rsid w:val="00DE32B1"/>
    <w:rsid w:val="00DE32B6"/>
    <w:rsid w:val="00DE32D9"/>
    <w:rsid w:val="00DE3655"/>
    <w:rsid w:val="00DE377C"/>
    <w:rsid w:val="00DE3979"/>
    <w:rsid w:val="00DE3A54"/>
    <w:rsid w:val="00DE3F62"/>
    <w:rsid w:val="00DE425C"/>
    <w:rsid w:val="00DE4AEE"/>
    <w:rsid w:val="00DE5164"/>
    <w:rsid w:val="00DE5183"/>
    <w:rsid w:val="00DE5328"/>
    <w:rsid w:val="00DE5408"/>
    <w:rsid w:val="00DE58B3"/>
    <w:rsid w:val="00DE58CF"/>
    <w:rsid w:val="00DE5A00"/>
    <w:rsid w:val="00DE5B43"/>
    <w:rsid w:val="00DE5D7A"/>
    <w:rsid w:val="00DE5FAE"/>
    <w:rsid w:val="00DE636C"/>
    <w:rsid w:val="00DE6A30"/>
    <w:rsid w:val="00DE6B0F"/>
    <w:rsid w:val="00DE6D54"/>
    <w:rsid w:val="00DE798E"/>
    <w:rsid w:val="00DE79AD"/>
    <w:rsid w:val="00DE7D8A"/>
    <w:rsid w:val="00DF01C8"/>
    <w:rsid w:val="00DF02E8"/>
    <w:rsid w:val="00DF0426"/>
    <w:rsid w:val="00DF05F5"/>
    <w:rsid w:val="00DF073F"/>
    <w:rsid w:val="00DF0998"/>
    <w:rsid w:val="00DF12E0"/>
    <w:rsid w:val="00DF1774"/>
    <w:rsid w:val="00DF1B09"/>
    <w:rsid w:val="00DF1C66"/>
    <w:rsid w:val="00DF1E14"/>
    <w:rsid w:val="00DF1F6B"/>
    <w:rsid w:val="00DF1FED"/>
    <w:rsid w:val="00DF21C9"/>
    <w:rsid w:val="00DF2252"/>
    <w:rsid w:val="00DF2D49"/>
    <w:rsid w:val="00DF2E81"/>
    <w:rsid w:val="00DF2F71"/>
    <w:rsid w:val="00DF2F8D"/>
    <w:rsid w:val="00DF319B"/>
    <w:rsid w:val="00DF3D5F"/>
    <w:rsid w:val="00DF3F2C"/>
    <w:rsid w:val="00DF48DB"/>
    <w:rsid w:val="00DF4EA7"/>
    <w:rsid w:val="00DF556E"/>
    <w:rsid w:val="00DF5B2D"/>
    <w:rsid w:val="00DF6237"/>
    <w:rsid w:val="00DF653C"/>
    <w:rsid w:val="00DF6763"/>
    <w:rsid w:val="00DF6791"/>
    <w:rsid w:val="00DF6921"/>
    <w:rsid w:val="00DF6933"/>
    <w:rsid w:val="00DF6C57"/>
    <w:rsid w:val="00DF731D"/>
    <w:rsid w:val="00DF73E7"/>
    <w:rsid w:val="00DF7B2B"/>
    <w:rsid w:val="00DF7BA1"/>
    <w:rsid w:val="00E002A9"/>
    <w:rsid w:val="00E005FB"/>
    <w:rsid w:val="00E00CEA"/>
    <w:rsid w:val="00E0101F"/>
    <w:rsid w:val="00E0103C"/>
    <w:rsid w:val="00E01211"/>
    <w:rsid w:val="00E01527"/>
    <w:rsid w:val="00E01589"/>
    <w:rsid w:val="00E01722"/>
    <w:rsid w:val="00E01813"/>
    <w:rsid w:val="00E01A88"/>
    <w:rsid w:val="00E01A8E"/>
    <w:rsid w:val="00E01B07"/>
    <w:rsid w:val="00E02060"/>
    <w:rsid w:val="00E02199"/>
    <w:rsid w:val="00E0241B"/>
    <w:rsid w:val="00E026B1"/>
    <w:rsid w:val="00E0285B"/>
    <w:rsid w:val="00E02875"/>
    <w:rsid w:val="00E02931"/>
    <w:rsid w:val="00E02A58"/>
    <w:rsid w:val="00E02CCB"/>
    <w:rsid w:val="00E0304A"/>
    <w:rsid w:val="00E032EB"/>
    <w:rsid w:val="00E03A2B"/>
    <w:rsid w:val="00E03FB7"/>
    <w:rsid w:val="00E04538"/>
    <w:rsid w:val="00E045D5"/>
    <w:rsid w:val="00E04715"/>
    <w:rsid w:val="00E04A5E"/>
    <w:rsid w:val="00E05040"/>
    <w:rsid w:val="00E05724"/>
    <w:rsid w:val="00E05F96"/>
    <w:rsid w:val="00E05FA4"/>
    <w:rsid w:val="00E06652"/>
    <w:rsid w:val="00E06654"/>
    <w:rsid w:val="00E06965"/>
    <w:rsid w:val="00E06BC4"/>
    <w:rsid w:val="00E06C69"/>
    <w:rsid w:val="00E06F41"/>
    <w:rsid w:val="00E070B6"/>
    <w:rsid w:val="00E07571"/>
    <w:rsid w:val="00E07B39"/>
    <w:rsid w:val="00E07F5D"/>
    <w:rsid w:val="00E100E9"/>
    <w:rsid w:val="00E10170"/>
    <w:rsid w:val="00E10615"/>
    <w:rsid w:val="00E106B3"/>
    <w:rsid w:val="00E10AC9"/>
    <w:rsid w:val="00E10D1B"/>
    <w:rsid w:val="00E111FB"/>
    <w:rsid w:val="00E11416"/>
    <w:rsid w:val="00E1155B"/>
    <w:rsid w:val="00E11703"/>
    <w:rsid w:val="00E124A0"/>
    <w:rsid w:val="00E126AA"/>
    <w:rsid w:val="00E12851"/>
    <w:rsid w:val="00E12891"/>
    <w:rsid w:val="00E129C3"/>
    <w:rsid w:val="00E12ACF"/>
    <w:rsid w:val="00E12CC7"/>
    <w:rsid w:val="00E12D6A"/>
    <w:rsid w:val="00E130B7"/>
    <w:rsid w:val="00E130D9"/>
    <w:rsid w:val="00E13249"/>
    <w:rsid w:val="00E132BC"/>
    <w:rsid w:val="00E13470"/>
    <w:rsid w:val="00E13603"/>
    <w:rsid w:val="00E137C7"/>
    <w:rsid w:val="00E1382A"/>
    <w:rsid w:val="00E13907"/>
    <w:rsid w:val="00E14106"/>
    <w:rsid w:val="00E14661"/>
    <w:rsid w:val="00E1469A"/>
    <w:rsid w:val="00E149D2"/>
    <w:rsid w:val="00E15458"/>
    <w:rsid w:val="00E155C1"/>
    <w:rsid w:val="00E15C92"/>
    <w:rsid w:val="00E15E8D"/>
    <w:rsid w:val="00E15EEC"/>
    <w:rsid w:val="00E16062"/>
    <w:rsid w:val="00E160F7"/>
    <w:rsid w:val="00E16402"/>
    <w:rsid w:val="00E16611"/>
    <w:rsid w:val="00E169F4"/>
    <w:rsid w:val="00E172C1"/>
    <w:rsid w:val="00E177A0"/>
    <w:rsid w:val="00E178AD"/>
    <w:rsid w:val="00E17E0C"/>
    <w:rsid w:val="00E20047"/>
    <w:rsid w:val="00E203AB"/>
    <w:rsid w:val="00E20891"/>
    <w:rsid w:val="00E21038"/>
    <w:rsid w:val="00E2106A"/>
    <w:rsid w:val="00E21122"/>
    <w:rsid w:val="00E2123B"/>
    <w:rsid w:val="00E213AC"/>
    <w:rsid w:val="00E213C0"/>
    <w:rsid w:val="00E219B9"/>
    <w:rsid w:val="00E21D2D"/>
    <w:rsid w:val="00E222D0"/>
    <w:rsid w:val="00E224F4"/>
    <w:rsid w:val="00E22F79"/>
    <w:rsid w:val="00E238E1"/>
    <w:rsid w:val="00E23903"/>
    <w:rsid w:val="00E23B48"/>
    <w:rsid w:val="00E23F87"/>
    <w:rsid w:val="00E24603"/>
    <w:rsid w:val="00E24780"/>
    <w:rsid w:val="00E25426"/>
    <w:rsid w:val="00E254F1"/>
    <w:rsid w:val="00E2559C"/>
    <w:rsid w:val="00E2579D"/>
    <w:rsid w:val="00E25B62"/>
    <w:rsid w:val="00E25CA3"/>
    <w:rsid w:val="00E25E0E"/>
    <w:rsid w:val="00E26546"/>
    <w:rsid w:val="00E265FA"/>
    <w:rsid w:val="00E266FD"/>
    <w:rsid w:val="00E26BE8"/>
    <w:rsid w:val="00E26CBD"/>
    <w:rsid w:val="00E274CF"/>
    <w:rsid w:val="00E27522"/>
    <w:rsid w:val="00E2753F"/>
    <w:rsid w:val="00E275F2"/>
    <w:rsid w:val="00E276E3"/>
    <w:rsid w:val="00E277FB"/>
    <w:rsid w:val="00E278B2"/>
    <w:rsid w:val="00E27A1E"/>
    <w:rsid w:val="00E30C34"/>
    <w:rsid w:val="00E31A75"/>
    <w:rsid w:val="00E31D19"/>
    <w:rsid w:val="00E322FC"/>
    <w:rsid w:val="00E3265D"/>
    <w:rsid w:val="00E327BD"/>
    <w:rsid w:val="00E33EE8"/>
    <w:rsid w:val="00E342DD"/>
    <w:rsid w:val="00E34957"/>
    <w:rsid w:val="00E34E0E"/>
    <w:rsid w:val="00E3506A"/>
    <w:rsid w:val="00E35DFF"/>
    <w:rsid w:val="00E35FDE"/>
    <w:rsid w:val="00E36026"/>
    <w:rsid w:val="00E3670F"/>
    <w:rsid w:val="00E36931"/>
    <w:rsid w:val="00E36E7C"/>
    <w:rsid w:val="00E36F13"/>
    <w:rsid w:val="00E370E4"/>
    <w:rsid w:val="00E37163"/>
    <w:rsid w:val="00E371AE"/>
    <w:rsid w:val="00E373AE"/>
    <w:rsid w:val="00E376BF"/>
    <w:rsid w:val="00E379C4"/>
    <w:rsid w:val="00E37A92"/>
    <w:rsid w:val="00E37E8C"/>
    <w:rsid w:val="00E40DC9"/>
    <w:rsid w:val="00E40E56"/>
    <w:rsid w:val="00E418D6"/>
    <w:rsid w:val="00E41C23"/>
    <w:rsid w:val="00E41F79"/>
    <w:rsid w:val="00E4216F"/>
    <w:rsid w:val="00E42759"/>
    <w:rsid w:val="00E4309A"/>
    <w:rsid w:val="00E43609"/>
    <w:rsid w:val="00E43886"/>
    <w:rsid w:val="00E43A41"/>
    <w:rsid w:val="00E43B76"/>
    <w:rsid w:val="00E43B78"/>
    <w:rsid w:val="00E43BA8"/>
    <w:rsid w:val="00E4445A"/>
    <w:rsid w:val="00E4448D"/>
    <w:rsid w:val="00E44D37"/>
    <w:rsid w:val="00E4508B"/>
    <w:rsid w:val="00E453BF"/>
    <w:rsid w:val="00E453FF"/>
    <w:rsid w:val="00E45500"/>
    <w:rsid w:val="00E45703"/>
    <w:rsid w:val="00E45EBD"/>
    <w:rsid w:val="00E45FF3"/>
    <w:rsid w:val="00E462C1"/>
    <w:rsid w:val="00E46371"/>
    <w:rsid w:val="00E46559"/>
    <w:rsid w:val="00E46A46"/>
    <w:rsid w:val="00E46E93"/>
    <w:rsid w:val="00E46F14"/>
    <w:rsid w:val="00E46FA3"/>
    <w:rsid w:val="00E47755"/>
    <w:rsid w:val="00E47A73"/>
    <w:rsid w:val="00E47B00"/>
    <w:rsid w:val="00E47BF3"/>
    <w:rsid w:val="00E47F55"/>
    <w:rsid w:val="00E501F0"/>
    <w:rsid w:val="00E511D8"/>
    <w:rsid w:val="00E51452"/>
    <w:rsid w:val="00E51750"/>
    <w:rsid w:val="00E51A49"/>
    <w:rsid w:val="00E51C2F"/>
    <w:rsid w:val="00E52291"/>
    <w:rsid w:val="00E52BFB"/>
    <w:rsid w:val="00E52C61"/>
    <w:rsid w:val="00E52C80"/>
    <w:rsid w:val="00E52E31"/>
    <w:rsid w:val="00E52E4F"/>
    <w:rsid w:val="00E52F48"/>
    <w:rsid w:val="00E53564"/>
    <w:rsid w:val="00E53619"/>
    <w:rsid w:val="00E538E8"/>
    <w:rsid w:val="00E53E32"/>
    <w:rsid w:val="00E54993"/>
    <w:rsid w:val="00E54BE1"/>
    <w:rsid w:val="00E54C6B"/>
    <w:rsid w:val="00E54D4A"/>
    <w:rsid w:val="00E5501B"/>
    <w:rsid w:val="00E55362"/>
    <w:rsid w:val="00E55D1E"/>
    <w:rsid w:val="00E55F12"/>
    <w:rsid w:val="00E56092"/>
    <w:rsid w:val="00E56347"/>
    <w:rsid w:val="00E56380"/>
    <w:rsid w:val="00E56532"/>
    <w:rsid w:val="00E56A09"/>
    <w:rsid w:val="00E57C74"/>
    <w:rsid w:val="00E57DDC"/>
    <w:rsid w:val="00E57F03"/>
    <w:rsid w:val="00E57F3F"/>
    <w:rsid w:val="00E57F8F"/>
    <w:rsid w:val="00E601DB"/>
    <w:rsid w:val="00E603F8"/>
    <w:rsid w:val="00E6054D"/>
    <w:rsid w:val="00E60630"/>
    <w:rsid w:val="00E609EF"/>
    <w:rsid w:val="00E60BCD"/>
    <w:rsid w:val="00E60C45"/>
    <w:rsid w:val="00E60EE3"/>
    <w:rsid w:val="00E60FD1"/>
    <w:rsid w:val="00E6123D"/>
    <w:rsid w:val="00E613EC"/>
    <w:rsid w:val="00E623D8"/>
    <w:rsid w:val="00E627FF"/>
    <w:rsid w:val="00E62CD0"/>
    <w:rsid w:val="00E62E7D"/>
    <w:rsid w:val="00E62F66"/>
    <w:rsid w:val="00E638A2"/>
    <w:rsid w:val="00E63BF5"/>
    <w:rsid w:val="00E642BA"/>
    <w:rsid w:val="00E646CF"/>
    <w:rsid w:val="00E64827"/>
    <w:rsid w:val="00E6494C"/>
    <w:rsid w:val="00E64B19"/>
    <w:rsid w:val="00E64C72"/>
    <w:rsid w:val="00E64E22"/>
    <w:rsid w:val="00E651E9"/>
    <w:rsid w:val="00E654B7"/>
    <w:rsid w:val="00E655B2"/>
    <w:rsid w:val="00E658E2"/>
    <w:rsid w:val="00E659B9"/>
    <w:rsid w:val="00E65C73"/>
    <w:rsid w:val="00E65C81"/>
    <w:rsid w:val="00E6790B"/>
    <w:rsid w:val="00E67A7D"/>
    <w:rsid w:val="00E67D48"/>
    <w:rsid w:val="00E67D89"/>
    <w:rsid w:val="00E67D90"/>
    <w:rsid w:val="00E67F55"/>
    <w:rsid w:val="00E7030C"/>
    <w:rsid w:val="00E70A75"/>
    <w:rsid w:val="00E70DC2"/>
    <w:rsid w:val="00E70E35"/>
    <w:rsid w:val="00E714A8"/>
    <w:rsid w:val="00E71C32"/>
    <w:rsid w:val="00E724D0"/>
    <w:rsid w:val="00E7254E"/>
    <w:rsid w:val="00E72778"/>
    <w:rsid w:val="00E729B5"/>
    <w:rsid w:val="00E73370"/>
    <w:rsid w:val="00E7374F"/>
    <w:rsid w:val="00E73854"/>
    <w:rsid w:val="00E73B94"/>
    <w:rsid w:val="00E74FBB"/>
    <w:rsid w:val="00E7516B"/>
    <w:rsid w:val="00E759EC"/>
    <w:rsid w:val="00E7609F"/>
    <w:rsid w:val="00E7652E"/>
    <w:rsid w:val="00E7657B"/>
    <w:rsid w:val="00E7659D"/>
    <w:rsid w:val="00E76996"/>
    <w:rsid w:val="00E777AE"/>
    <w:rsid w:val="00E77801"/>
    <w:rsid w:val="00E81295"/>
    <w:rsid w:val="00E81608"/>
    <w:rsid w:val="00E81749"/>
    <w:rsid w:val="00E82389"/>
    <w:rsid w:val="00E8244B"/>
    <w:rsid w:val="00E82EF0"/>
    <w:rsid w:val="00E8389B"/>
    <w:rsid w:val="00E83B92"/>
    <w:rsid w:val="00E84283"/>
    <w:rsid w:val="00E84895"/>
    <w:rsid w:val="00E84E98"/>
    <w:rsid w:val="00E84F06"/>
    <w:rsid w:val="00E84F74"/>
    <w:rsid w:val="00E850B9"/>
    <w:rsid w:val="00E85213"/>
    <w:rsid w:val="00E852A2"/>
    <w:rsid w:val="00E85CF4"/>
    <w:rsid w:val="00E86060"/>
    <w:rsid w:val="00E86890"/>
    <w:rsid w:val="00E86ABA"/>
    <w:rsid w:val="00E87031"/>
    <w:rsid w:val="00E87592"/>
    <w:rsid w:val="00E87850"/>
    <w:rsid w:val="00E87883"/>
    <w:rsid w:val="00E87A4A"/>
    <w:rsid w:val="00E87A64"/>
    <w:rsid w:val="00E87B25"/>
    <w:rsid w:val="00E90197"/>
    <w:rsid w:val="00E902B0"/>
    <w:rsid w:val="00E90C1E"/>
    <w:rsid w:val="00E91212"/>
    <w:rsid w:val="00E91560"/>
    <w:rsid w:val="00E915EF"/>
    <w:rsid w:val="00E91BE7"/>
    <w:rsid w:val="00E91C1A"/>
    <w:rsid w:val="00E91E56"/>
    <w:rsid w:val="00E92447"/>
    <w:rsid w:val="00E9245E"/>
    <w:rsid w:val="00E924BF"/>
    <w:rsid w:val="00E92551"/>
    <w:rsid w:val="00E9256A"/>
    <w:rsid w:val="00E926EF"/>
    <w:rsid w:val="00E92D65"/>
    <w:rsid w:val="00E93299"/>
    <w:rsid w:val="00E935DE"/>
    <w:rsid w:val="00E93CD0"/>
    <w:rsid w:val="00E93F07"/>
    <w:rsid w:val="00E94A03"/>
    <w:rsid w:val="00E94AC5"/>
    <w:rsid w:val="00E94E8C"/>
    <w:rsid w:val="00E94E92"/>
    <w:rsid w:val="00E94FD5"/>
    <w:rsid w:val="00E951D2"/>
    <w:rsid w:val="00E9539F"/>
    <w:rsid w:val="00E953A2"/>
    <w:rsid w:val="00E955B2"/>
    <w:rsid w:val="00E955F2"/>
    <w:rsid w:val="00E957C2"/>
    <w:rsid w:val="00E95C52"/>
    <w:rsid w:val="00E95CEB"/>
    <w:rsid w:val="00E95D25"/>
    <w:rsid w:val="00E96757"/>
    <w:rsid w:val="00E96A3A"/>
    <w:rsid w:val="00E96C2E"/>
    <w:rsid w:val="00E96D72"/>
    <w:rsid w:val="00E96E4F"/>
    <w:rsid w:val="00E96F48"/>
    <w:rsid w:val="00E97A42"/>
    <w:rsid w:val="00EA0623"/>
    <w:rsid w:val="00EA0BD4"/>
    <w:rsid w:val="00EA0DC4"/>
    <w:rsid w:val="00EA0EDE"/>
    <w:rsid w:val="00EA1111"/>
    <w:rsid w:val="00EA1212"/>
    <w:rsid w:val="00EA159D"/>
    <w:rsid w:val="00EA1D8E"/>
    <w:rsid w:val="00EA224D"/>
    <w:rsid w:val="00EA286D"/>
    <w:rsid w:val="00EA287E"/>
    <w:rsid w:val="00EA299C"/>
    <w:rsid w:val="00EA364A"/>
    <w:rsid w:val="00EA36DD"/>
    <w:rsid w:val="00EA37AA"/>
    <w:rsid w:val="00EA38AB"/>
    <w:rsid w:val="00EA3DD9"/>
    <w:rsid w:val="00EA3F52"/>
    <w:rsid w:val="00EA3F8C"/>
    <w:rsid w:val="00EA3F9C"/>
    <w:rsid w:val="00EA3FFA"/>
    <w:rsid w:val="00EA42F7"/>
    <w:rsid w:val="00EA457F"/>
    <w:rsid w:val="00EA4C6C"/>
    <w:rsid w:val="00EA5694"/>
    <w:rsid w:val="00EA57A2"/>
    <w:rsid w:val="00EA5909"/>
    <w:rsid w:val="00EA6068"/>
    <w:rsid w:val="00EA60BF"/>
    <w:rsid w:val="00EA62BF"/>
    <w:rsid w:val="00EA65DB"/>
    <w:rsid w:val="00EA692D"/>
    <w:rsid w:val="00EA6A01"/>
    <w:rsid w:val="00EA6F9A"/>
    <w:rsid w:val="00EA6FEF"/>
    <w:rsid w:val="00EA73C6"/>
    <w:rsid w:val="00EA79BF"/>
    <w:rsid w:val="00EB0055"/>
    <w:rsid w:val="00EB07FC"/>
    <w:rsid w:val="00EB08B2"/>
    <w:rsid w:val="00EB0D62"/>
    <w:rsid w:val="00EB0F03"/>
    <w:rsid w:val="00EB15F0"/>
    <w:rsid w:val="00EB1ADD"/>
    <w:rsid w:val="00EB1CC4"/>
    <w:rsid w:val="00EB1FDF"/>
    <w:rsid w:val="00EB2305"/>
    <w:rsid w:val="00EB240E"/>
    <w:rsid w:val="00EB2687"/>
    <w:rsid w:val="00EB2E75"/>
    <w:rsid w:val="00EB2FC4"/>
    <w:rsid w:val="00EB3649"/>
    <w:rsid w:val="00EB4397"/>
    <w:rsid w:val="00EB46D5"/>
    <w:rsid w:val="00EB4ABC"/>
    <w:rsid w:val="00EB4D1A"/>
    <w:rsid w:val="00EB5211"/>
    <w:rsid w:val="00EB5353"/>
    <w:rsid w:val="00EB5AE8"/>
    <w:rsid w:val="00EB6171"/>
    <w:rsid w:val="00EB69A3"/>
    <w:rsid w:val="00EB6CA3"/>
    <w:rsid w:val="00EB6F55"/>
    <w:rsid w:val="00EB725B"/>
    <w:rsid w:val="00EB7292"/>
    <w:rsid w:val="00EB7335"/>
    <w:rsid w:val="00EB763B"/>
    <w:rsid w:val="00EB780F"/>
    <w:rsid w:val="00EB7E1D"/>
    <w:rsid w:val="00EC04DC"/>
    <w:rsid w:val="00EC074B"/>
    <w:rsid w:val="00EC0B8C"/>
    <w:rsid w:val="00EC0F2D"/>
    <w:rsid w:val="00EC1051"/>
    <w:rsid w:val="00EC10B9"/>
    <w:rsid w:val="00EC1410"/>
    <w:rsid w:val="00EC1722"/>
    <w:rsid w:val="00EC188E"/>
    <w:rsid w:val="00EC191C"/>
    <w:rsid w:val="00EC1942"/>
    <w:rsid w:val="00EC204C"/>
    <w:rsid w:val="00EC20DE"/>
    <w:rsid w:val="00EC211D"/>
    <w:rsid w:val="00EC28F4"/>
    <w:rsid w:val="00EC29FE"/>
    <w:rsid w:val="00EC2B12"/>
    <w:rsid w:val="00EC2B9C"/>
    <w:rsid w:val="00EC32F6"/>
    <w:rsid w:val="00EC377F"/>
    <w:rsid w:val="00EC3B03"/>
    <w:rsid w:val="00EC3DAA"/>
    <w:rsid w:val="00EC3E7F"/>
    <w:rsid w:val="00EC404D"/>
    <w:rsid w:val="00EC47D8"/>
    <w:rsid w:val="00EC48DB"/>
    <w:rsid w:val="00EC4C44"/>
    <w:rsid w:val="00EC4D0E"/>
    <w:rsid w:val="00EC5187"/>
    <w:rsid w:val="00EC5DBB"/>
    <w:rsid w:val="00EC5E0D"/>
    <w:rsid w:val="00EC66CC"/>
    <w:rsid w:val="00EC6870"/>
    <w:rsid w:val="00EC69EA"/>
    <w:rsid w:val="00EC6D96"/>
    <w:rsid w:val="00EC7132"/>
    <w:rsid w:val="00EC7406"/>
    <w:rsid w:val="00EC77F7"/>
    <w:rsid w:val="00EC798A"/>
    <w:rsid w:val="00EC7AFE"/>
    <w:rsid w:val="00EC7B04"/>
    <w:rsid w:val="00EC7C40"/>
    <w:rsid w:val="00ED0166"/>
    <w:rsid w:val="00ED01C1"/>
    <w:rsid w:val="00ED0303"/>
    <w:rsid w:val="00ED0450"/>
    <w:rsid w:val="00ED05C3"/>
    <w:rsid w:val="00ED0697"/>
    <w:rsid w:val="00ED07C1"/>
    <w:rsid w:val="00ED0B63"/>
    <w:rsid w:val="00ED0B9C"/>
    <w:rsid w:val="00ED0E4A"/>
    <w:rsid w:val="00ED177C"/>
    <w:rsid w:val="00ED1C0B"/>
    <w:rsid w:val="00ED1D67"/>
    <w:rsid w:val="00ED2529"/>
    <w:rsid w:val="00ED2B12"/>
    <w:rsid w:val="00ED2CBD"/>
    <w:rsid w:val="00ED2D27"/>
    <w:rsid w:val="00ED2E2F"/>
    <w:rsid w:val="00ED30EB"/>
    <w:rsid w:val="00ED3153"/>
    <w:rsid w:val="00ED330C"/>
    <w:rsid w:val="00ED3335"/>
    <w:rsid w:val="00ED387C"/>
    <w:rsid w:val="00ED3A9C"/>
    <w:rsid w:val="00ED3DB4"/>
    <w:rsid w:val="00ED416B"/>
    <w:rsid w:val="00ED42D3"/>
    <w:rsid w:val="00ED436F"/>
    <w:rsid w:val="00ED4528"/>
    <w:rsid w:val="00ED45FB"/>
    <w:rsid w:val="00ED4BE7"/>
    <w:rsid w:val="00ED4CC3"/>
    <w:rsid w:val="00ED5795"/>
    <w:rsid w:val="00ED658A"/>
    <w:rsid w:val="00ED672C"/>
    <w:rsid w:val="00ED69EF"/>
    <w:rsid w:val="00ED6FBD"/>
    <w:rsid w:val="00ED721C"/>
    <w:rsid w:val="00ED743C"/>
    <w:rsid w:val="00ED789A"/>
    <w:rsid w:val="00ED79C5"/>
    <w:rsid w:val="00ED7B43"/>
    <w:rsid w:val="00ED7DAC"/>
    <w:rsid w:val="00EE058B"/>
    <w:rsid w:val="00EE08C2"/>
    <w:rsid w:val="00EE0932"/>
    <w:rsid w:val="00EE09A9"/>
    <w:rsid w:val="00EE0A43"/>
    <w:rsid w:val="00EE0B5C"/>
    <w:rsid w:val="00EE0D0E"/>
    <w:rsid w:val="00EE0D47"/>
    <w:rsid w:val="00EE12FC"/>
    <w:rsid w:val="00EE1736"/>
    <w:rsid w:val="00EE17E2"/>
    <w:rsid w:val="00EE1845"/>
    <w:rsid w:val="00EE1B65"/>
    <w:rsid w:val="00EE1ED0"/>
    <w:rsid w:val="00EE2049"/>
    <w:rsid w:val="00EE2E3F"/>
    <w:rsid w:val="00EE3215"/>
    <w:rsid w:val="00EE370B"/>
    <w:rsid w:val="00EE3D67"/>
    <w:rsid w:val="00EE3E3A"/>
    <w:rsid w:val="00EE3F37"/>
    <w:rsid w:val="00EE4014"/>
    <w:rsid w:val="00EE4692"/>
    <w:rsid w:val="00EE4878"/>
    <w:rsid w:val="00EE4C6E"/>
    <w:rsid w:val="00EE5647"/>
    <w:rsid w:val="00EE674D"/>
    <w:rsid w:val="00EE675F"/>
    <w:rsid w:val="00EE6833"/>
    <w:rsid w:val="00EE6C8D"/>
    <w:rsid w:val="00EE714C"/>
    <w:rsid w:val="00EE7207"/>
    <w:rsid w:val="00EE72E9"/>
    <w:rsid w:val="00EE732E"/>
    <w:rsid w:val="00EE741A"/>
    <w:rsid w:val="00EE74FC"/>
    <w:rsid w:val="00EE78B2"/>
    <w:rsid w:val="00EE7A0B"/>
    <w:rsid w:val="00EE7A65"/>
    <w:rsid w:val="00EE7DE0"/>
    <w:rsid w:val="00EE7F87"/>
    <w:rsid w:val="00EF0152"/>
    <w:rsid w:val="00EF025D"/>
    <w:rsid w:val="00EF0489"/>
    <w:rsid w:val="00EF0E26"/>
    <w:rsid w:val="00EF0E2A"/>
    <w:rsid w:val="00EF0E30"/>
    <w:rsid w:val="00EF123F"/>
    <w:rsid w:val="00EF12CD"/>
    <w:rsid w:val="00EF134D"/>
    <w:rsid w:val="00EF16CE"/>
    <w:rsid w:val="00EF183B"/>
    <w:rsid w:val="00EF1EE0"/>
    <w:rsid w:val="00EF2061"/>
    <w:rsid w:val="00EF3191"/>
    <w:rsid w:val="00EF3895"/>
    <w:rsid w:val="00EF3BF7"/>
    <w:rsid w:val="00EF3E07"/>
    <w:rsid w:val="00EF4232"/>
    <w:rsid w:val="00EF4338"/>
    <w:rsid w:val="00EF4584"/>
    <w:rsid w:val="00EF46E2"/>
    <w:rsid w:val="00EF4883"/>
    <w:rsid w:val="00EF5239"/>
    <w:rsid w:val="00EF53AD"/>
    <w:rsid w:val="00EF5449"/>
    <w:rsid w:val="00EF54B8"/>
    <w:rsid w:val="00EF553B"/>
    <w:rsid w:val="00EF6881"/>
    <w:rsid w:val="00EF7771"/>
    <w:rsid w:val="00EF7B00"/>
    <w:rsid w:val="00F001E9"/>
    <w:rsid w:val="00F0042A"/>
    <w:rsid w:val="00F004EE"/>
    <w:rsid w:val="00F00955"/>
    <w:rsid w:val="00F00B38"/>
    <w:rsid w:val="00F00B84"/>
    <w:rsid w:val="00F00F6F"/>
    <w:rsid w:val="00F0100A"/>
    <w:rsid w:val="00F01044"/>
    <w:rsid w:val="00F0157F"/>
    <w:rsid w:val="00F0191F"/>
    <w:rsid w:val="00F02051"/>
    <w:rsid w:val="00F02130"/>
    <w:rsid w:val="00F02AB8"/>
    <w:rsid w:val="00F02E93"/>
    <w:rsid w:val="00F03073"/>
    <w:rsid w:val="00F03D4E"/>
    <w:rsid w:val="00F03DDE"/>
    <w:rsid w:val="00F041DF"/>
    <w:rsid w:val="00F04278"/>
    <w:rsid w:val="00F04432"/>
    <w:rsid w:val="00F04491"/>
    <w:rsid w:val="00F044B8"/>
    <w:rsid w:val="00F046FE"/>
    <w:rsid w:val="00F04DF4"/>
    <w:rsid w:val="00F04EAF"/>
    <w:rsid w:val="00F05120"/>
    <w:rsid w:val="00F051E1"/>
    <w:rsid w:val="00F052D8"/>
    <w:rsid w:val="00F055CC"/>
    <w:rsid w:val="00F05614"/>
    <w:rsid w:val="00F056E0"/>
    <w:rsid w:val="00F063BB"/>
    <w:rsid w:val="00F0697B"/>
    <w:rsid w:val="00F069AC"/>
    <w:rsid w:val="00F06ED1"/>
    <w:rsid w:val="00F07477"/>
    <w:rsid w:val="00F07A54"/>
    <w:rsid w:val="00F07B17"/>
    <w:rsid w:val="00F07C20"/>
    <w:rsid w:val="00F1072E"/>
    <w:rsid w:val="00F109A1"/>
    <w:rsid w:val="00F10CAF"/>
    <w:rsid w:val="00F11AA2"/>
    <w:rsid w:val="00F11B2D"/>
    <w:rsid w:val="00F128E1"/>
    <w:rsid w:val="00F12C04"/>
    <w:rsid w:val="00F1315F"/>
    <w:rsid w:val="00F134E2"/>
    <w:rsid w:val="00F13611"/>
    <w:rsid w:val="00F13A7A"/>
    <w:rsid w:val="00F13B6C"/>
    <w:rsid w:val="00F13D7D"/>
    <w:rsid w:val="00F13FA5"/>
    <w:rsid w:val="00F1409F"/>
    <w:rsid w:val="00F1437A"/>
    <w:rsid w:val="00F14869"/>
    <w:rsid w:val="00F14923"/>
    <w:rsid w:val="00F14A8B"/>
    <w:rsid w:val="00F1524C"/>
    <w:rsid w:val="00F152F0"/>
    <w:rsid w:val="00F153ED"/>
    <w:rsid w:val="00F1568D"/>
    <w:rsid w:val="00F15938"/>
    <w:rsid w:val="00F1598C"/>
    <w:rsid w:val="00F15F91"/>
    <w:rsid w:val="00F1613E"/>
    <w:rsid w:val="00F16486"/>
    <w:rsid w:val="00F1667D"/>
    <w:rsid w:val="00F167C2"/>
    <w:rsid w:val="00F16A03"/>
    <w:rsid w:val="00F16B4B"/>
    <w:rsid w:val="00F16D1E"/>
    <w:rsid w:val="00F17A78"/>
    <w:rsid w:val="00F17B98"/>
    <w:rsid w:val="00F17F59"/>
    <w:rsid w:val="00F2010C"/>
    <w:rsid w:val="00F204D1"/>
    <w:rsid w:val="00F20D1D"/>
    <w:rsid w:val="00F20FD2"/>
    <w:rsid w:val="00F2101A"/>
    <w:rsid w:val="00F21940"/>
    <w:rsid w:val="00F219A5"/>
    <w:rsid w:val="00F21C12"/>
    <w:rsid w:val="00F21E51"/>
    <w:rsid w:val="00F220BF"/>
    <w:rsid w:val="00F22438"/>
    <w:rsid w:val="00F22470"/>
    <w:rsid w:val="00F227E7"/>
    <w:rsid w:val="00F228EB"/>
    <w:rsid w:val="00F22A4E"/>
    <w:rsid w:val="00F22AF2"/>
    <w:rsid w:val="00F231BB"/>
    <w:rsid w:val="00F234E3"/>
    <w:rsid w:val="00F238BC"/>
    <w:rsid w:val="00F23EDC"/>
    <w:rsid w:val="00F24220"/>
    <w:rsid w:val="00F24405"/>
    <w:rsid w:val="00F24564"/>
    <w:rsid w:val="00F24862"/>
    <w:rsid w:val="00F248E6"/>
    <w:rsid w:val="00F24EC9"/>
    <w:rsid w:val="00F24F58"/>
    <w:rsid w:val="00F24F81"/>
    <w:rsid w:val="00F25489"/>
    <w:rsid w:val="00F25696"/>
    <w:rsid w:val="00F258AC"/>
    <w:rsid w:val="00F25A7E"/>
    <w:rsid w:val="00F25F69"/>
    <w:rsid w:val="00F261D3"/>
    <w:rsid w:val="00F26572"/>
    <w:rsid w:val="00F26609"/>
    <w:rsid w:val="00F26DC6"/>
    <w:rsid w:val="00F26E4A"/>
    <w:rsid w:val="00F26FEF"/>
    <w:rsid w:val="00F27412"/>
    <w:rsid w:val="00F27474"/>
    <w:rsid w:val="00F274BB"/>
    <w:rsid w:val="00F276A9"/>
    <w:rsid w:val="00F27754"/>
    <w:rsid w:val="00F2783A"/>
    <w:rsid w:val="00F27E41"/>
    <w:rsid w:val="00F27F8C"/>
    <w:rsid w:val="00F30825"/>
    <w:rsid w:val="00F30AD7"/>
    <w:rsid w:val="00F3123E"/>
    <w:rsid w:val="00F31CAF"/>
    <w:rsid w:val="00F31D73"/>
    <w:rsid w:val="00F31ED9"/>
    <w:rsid w:val="00F32135"/>
    <w:rsid w:val="00F3252A"/>
    <w:rsid w:val="00F32877"/>
    <w:rsid w:val="00F3289F"/>
    <w:rsid w:val="00F32A03"/>
    <w:rsid w:val="00F32A3A"/>
    <w:rsid w:val="00F32F02"/>
    <w:rsid w:val="00F32F92"/>
    <w:rsid w:val="00F33445"/>
    <w:rsid w:val="00F334C4"/>
    <w:rsid w:val="00F33C6D"/>
    <w:rsid w:val="00F33E76"/>
    <w:rsid w:val="00F33E83"/>
    <w:rsid w:val="00F33F75"/>
    <w:rsid w:val="00F340E4"/>
    <w:rsid w:val="00F3461F"/>
    <w:rsid w:val="00F34B90"/>
    <w:rsid w:val="00F34DFE"/>
    <w:rsid w:val="00F35455"/>
    <w:rsid w:val="00F358FB"/>
    <w:rsid w:val="00F35A7F"/>
    <w:rsid w:val="00F35EB0"/>
    <w:rsid w:val="00F36637"/>
    <w:rsid w:val="00F36DF2"/>
    <w:rsid w:val="00F36E15"/>
    <w:rsid w:val="00F371CA"/>
    <w:rsid w:val="00F371CD"/>
    <w:rsid w:val="00F3735E"/>
    <w:rsid w:val="00F376B1"/>
    <w:rsid w:val="00F37841"/>
    <w:rsid w:val="00F402D6"/>
    <w:rsid w:val="00F403A0"/>
    <w:rsid w:val="00F40685"/>
    <w:rsid w:val="00F408E1"/>
    <w:rsid w:val="00F408E7"/>
    <w:rsid w:val="00F40B7C"/>
    <w:rsid w:val="00F40DBE"/>
    <w:rsid w:val="00F40DD7"/>
    <w:rsid w:val="00F40E63"/>
    <w:rsid w:val="00F40F68"/>
    <w:rsid w:val="00F4114B"/>
    <w:rsid w:val="00F4177B"/>
    <w:rsid w:val="00F417C0"/>
    <w:rsid w:val="00F41A18"/>
    <w:rsid w:val="00F41C01"/>
    <w:rsid w:val="00F41CE1"/>
    <w:rsid w:val="00F41D0F"/>
    <w:rsid w:val="00F42188"/>
    <w:rsid w:val="00F4221E"/>
    <w:rsid w:val="00F427C6"/>
    <w:rsid w:val="00F43373"/>
    <w:rsid w:val="00F43747"/>
    <w:rsid w:val="00F43A7F"/>
    <w:rsid w:val="00F43CD9"/>
    <w:rsid w:val="00F440E3"/>
    <w:rsid w:val="00F4449C"/>
    <w:rsid w:val="00F445CB"/>
    <w:rsid w:val="00F45045"/>
    <w:rsid w:val="00F455CC"/>
    <w:rsid w:val="00F459F0"/>
    <w:rsid w:val="00F46017"/>
    <w:rsid w:val="00F4626A"/>
    <w:rsid w:val="00F46B6B"/>
    <w:rsid w:val="00F46D8D"/>
    <w:rsid w:val="00F47283"/>
    <w:rsid w:val="00F47395"/>
    <w:rsid w:val="00F475C1"/>
    <w:rsid w:val="00F479E3"/>
    <w:rsid w:val="00F47A3E"/>
    <w:rsid w:val="00F47A72"/>
    <w:rsid w:val="00F47E9C"/>
    <w:rsid w:val="00F50168"/>
    <w:rsid w:val="00F507E1"/>
    <w:rsid w:val="00F50E8B"/>
    <w:rsid w:val="00F51713"/>
    <w:rsid w:val="00F519D9"/>
    <w:rsid w:val="00F520E5"/>
    <w:rsid w:val="00F52520"/>
    <w:rsid w:val="00F525B0"/>
    <w:rsid w:val="00F52A5F"/>
    <w:rsid w:val="00F5356A"/>
    <w:rsid w:val="00F53804"/>
    <w:rsid w:val="00F53870"/>
    <w:rsid w:val="00F538E9"/>
    <w:rsid w:val="00F53CCB"/>
    <w:rsid w:val="00F5428B"/>
    <w:rsid w:val="00F542A3"/>
    <w:rsid w:val="00F54482"/>
    <w:rsid w:val="00F5483E"/>
    <w:rsid w:val="00F54913"/>
    <w:rsid w:val="00F54B54"/>
    <w:rsid w:val="00F54EEF"/>
    <w:rsid w:val="00F55030"/>
    <w:rsid w:val="00F551B5"/>
    <w:rsid w:val="00F551F4"/>
    <w:rsid w:val="00F55A8D"/>
    <w:rsid w:val="00F55EDD"/>
    <w:rsid w:val="00F563CE"/>
    <w:rsid w:val="00F568A6"/>
    <w:rsid w:val="00F56A4D"/>
    <w:rsid w:val="00F56B7E"/>
    <w:rsid w:val="00F56B97"/>
    <w:rsid w:val="00F56F00"/>
    <w:rsid w:val="00F56FB2"/>
    <w:rsid w:val="00F5719A"/>
    <w:rsid w:val="00F57610"/>
    <w:rsid w:val="00F57AE3"/>
    <w:rsid w:val="00F57C51"/>
    <w:rsid w:val="00F57DB3"/>
    <w:rsid w:val="00F57DD7"/>
    <w:rsid w:val="00F6030A"/>
    <w:rsid w:val="00F605B9"/>
    <w:rsid w:val="00F60811"/>
    <w:rsid w:val="00F60961"/>
    <w:rsid w:val="00F60D54"/>
    <w:rsid w:val="00F61176"/>
    <w:rsid w:val="00F611CE"/>
    <w:rsid w:val="00F61B21"/>
    <w:rsid w:val="00F61B3E"/>
    <w:rsid w:val="00F61B80"/>
    <w:rsid w:val="00F62219"/>
    <w:rsid w:val="00F62468"/>
    <w:rsid w:val="00F62BD9"/>
    <w:rsid w:val="00F62DC5"/>
    <w:rsid w:val="00F62FBF"/>
    <w:rsid w:val="00F630BC"/>
    <w:rsid w:val="00F6317B"/>
    <w:rsid w:val="00F63312"/>
    <w:rsid w:val="00F6358D"/>
    <w:rsid w:val="00F63EFD"/>
    <w:rsid w:val="00F6403B"/>
    <w:rsid w:val="00F64736"/>
    <w:rsid w:val="00F648B0"/>
    <w:rsid w:val="00F64946"/>
    <w:rsid w:val="00F64B44"/>
    <w:rsid w:val="00F64EAA"/>
    <w:rsid w:val="00F64ED7"/>
    <w:rsid w:val="00F655B7"/>
    <w:rsid w:val="00F6591A"/>
    <w:rsid w:val="00F66078"/>
    <w:rsid w:val="00F660B2"/>
    <w:rsid w:val="00F66116"/>
    <w:rsid w:val="00F66A21"/>
    <w:rsid w:val="00F67055"/>
    <w:rsid w:val="00F67589"/>
    <w:rsid w:val="00F676B0"/>
    <w:rsid w:val="00F67801"/>
    <w:rsid w:val="00F67930"/>
    <w:rsid w:val="00F67CEA"/>
    <w:rsid w:val="00F67E54"/>
    <w:rsid w:val="00F67FBF"/>
    <w:rsid w:val="00F7040E"/>
    <w:rsid w:val="00F70547"/>
    <w:rsid w:val="00F709AA"/>
    <w:rsid w:val="00F70A4E"/>
    <w:rsid w:val="00F70B24"/>
    <w:rsid w:val="00F70C45"/>
    <w:rsid w:val="00F70FB1"/>
    <w:rsid w:val="00F710E5"/>
    <w:rsid w:val="00F713A0"/>
    <w:rsid w:val="00F7145C"/>
    <w:rsid w:val="00F7175B"/>
    <w:rsid w:val="00F71824"/>
    <w:rsid w:val="00F71A20"/>
    <w:rsid w:val="00F723A0"/>
    <w:rsid w:val="00F72A4B"/>
    <w:rsid w:val="00F72DB4"/>
    <w:rsid w:val="00F73241"/>
    <w:rsid w:val="00F73322"/>
    <w:rsid w:val="00F74230"/>
    <w:rsid w:val="00F74935"/>
    <w:rsid w:val="00F74A12"/>
    <w:rsid w:val="00F74F7D"/>
    <w:rsid w:val="00F76195"/>
    <w:rsid w:val="00F762F1"/>
    <w:rsid w:val="00F767D0"/>
    <w:rsid w:val="00F769DA"/>
    <w:rsid w:val="00F76E9E"/>
    <w:rsid w:val="00F774BC"/>
    <w:rsid w:val="00F776CF"/>
    <w:rsid w:val="00F8004A"/>
    <w:rsid w:val="00F8035F"/>
    <w:rsid w:val="00F806A0"/>
    <w:rsid w:val="00F806DE"/>
    <w:rsid w:val="00F80978"/>
    <w:rsid w:val="00F80AD0"/>
    <w:rsid w:val="00F80CA1"/>
    <w:rsid w:val="00F80EB2"/>
    <w:rsid w:val="00F80EF4"/>
    <w:rsid w:val="00F8117C"/>
    <w:rsid w:val="00F8118A"/>
    <w:rsid w:val="00F8141A"/>
    <w:rsid w:val="00F8192A"/>
    <w:rsid w:val="00F81963"/>
    <w:rsid w:val="00F81A0F"/>
    <w:rsid w:val="00F81A68"/>
    <w:rsid w:val="00F81CE4"/>
    <w:rsid w:val="00F81D1E"/>
    <w:rsid w:val="00F82138"/>
    <w:rsid w:val="00F822A2"/>
    <w:rsid w:val="00F827D3"/>
    <w:rsid w:val="00F82BAB"/>
    <w:rsid w:val="00F82CF5"/>
    <w:rsid w:val="00F82DE5"/>
    <w:rsid w:val="00F82FBD"/>
    <w:rsid w:val="00F834BD"/>
    <w:rsid w:val="00F8369A"/>
    <w:rsid w:val="00F836A3"/>
    <w:rsid w:val="00F837E6"/>
    <w:rsid w:val="00F83E4E"/>
    <w:rsid w:val="00F83FD8"/>
    <w:rsid w:val="00F84847"/>
    <w:rsid w:val="00F8490E"/>
    <w:rsid w:val="00F84987"/>
    <w:rsid w:val="00F84A25"/>
    <w:rsid w:val="00F84C05"/>
    <w:rsid w:val="00F84DF5"/>
    <w:rsid w:val="00F85040"/>
    <w:rsid w:val="00F856C7"/>
    <w:rsid w:val="00F85F8A"/>
    <w:rsid w:val="00F85FE7"/>
    <w:rsid w:val="00F860CD"/>
    <w:rsid w:val="00F8615A"/>
    <w:rsid w:val="00F8620F"/>
    <w:rsid w:val="00F862D1"/>
    <w:rsid w:val="00F86700"/>
    <w:rsid w:val="00F868F5"/>
    <w:rsid w:val="00F86E5F"/>
    <w:rsid w:val="00F86EA9"/>
    <w:rsid w:val="00F87347"/>
    <w:rsid w:val="00F87586"/>
    <w:rsid w:val="00F877EC"/>
    <w:rsid w:val="00F878B4"/>
    <w:rsid w:val="00F9003C"/>
    <w:rsid w:val="00F90275"/>
    <w:rsid w:val="00F908BA"/>
    <w:rsid w:val="00F90A60"/>
    <w:rsid w:val="00F90C74"/>
    <w:rsid w:val="00F90ED0"/>
    <w:rsid w:val="00F91135"/>
    <w:rsid w:val="00F911D5"/>
    <w:rsid w:val="00F91498"/>
    <w:rsid w:val="00F91860"/>
    <w:rsid w:val="00F91944"/>
    <w:rsid w:val="00F91A13"/>
    <w:rsid w:val="00F91BDC"/>
    <w:rsid w:val="00F91CB1"/>
    <w:rsid w:val="00F91E82"/>
    <w:rsid w:val="00F92594"/>
    <w:rsid w:val="00F92975"/>
    <w:rsid w:val="00F92A59"/>
    <w:rsid w:val="00F93234"/>
    <w:rsid w:val="00F936E4"/>
    <w:rsid w:val="00F937DF"/>
    <w:rsid w:val="00F938F2"/>
    <w:rsid w:val="00F93D23"/>
    <w:rsid w:val="00F94A4E"/>
    <w:rsid w:val="00F94E08"/>
    <w:rsid w:val="00F94F7C"/>
    <w:rsid w:val="00F957C6"/>
    <w:rsid w:val="00F96420"/>
    <w:rsid w:val="00F9691C"/>
    <w:rsid w:val="00F96F58"/>
    <w:rsid w:val="00F96FB0"/>
    <w:rsid w:val="00F970DF"/>
    <w:rsid w:val="00F971FE"/>
    <w:rsid w:val="00F9775E"/>
    <w:rsid w:val="00F97CFE"/>
    <w:rsid w:val="00FA0069"/>
    <w:rsid w:val="00FA07A3"/>
    <w:rsid w:val="00FA0F10"/>
    <w:rsid w:val="00FA141C"/>
    <w:rsid w:val="00FA18DC"/>
    <w:rsid w:val="00FA1D0F"/>
    <w:rsid w:val="00FA1F53"/>
    <w:rsid w:val="00FA23DD"/>
    <w:rsid w:val="00FA2596"/>
    <w:rsid w:val="00FA277C"/>
    <w:rsid w:val="00FA2BD5"/>
    <w:rsid w:val="00FA2FF4"/>
    <w:rsid w:val="00FA308A"/>
    <w:rsid w:val="00FA37A3"/>
    <w:rsid w:val="00FA3E28"/>
    <w:rsid w:val="00FA46B1"/>
    <w:rsid w:val="00FA495B"/>
    <w:rsid w:val="00FA5719"/>
    <w:rsid w:val="00FA5DEA"/>
    <w:rsid w:val="00FA61DE"/>
    <w:rsid w:val="00FA6452"/>
    <w:rsid w:val="00FA67BA"/>
    <w:rsid w:val="00FA68B3"/>
    <w:rsid w:val="00FA6D5A"/>
    <w:rsid w:val="00FA7157"/>
    <w:rsid w:val="00FA7453"/>
    <w:rsid w:val="00FA75D0"/>
    <w:rsid w:val="00FA7A91"/>
    <w:rsid w:val="00FB02ED"/>
    <w:rsid w:val="00FB0708"/>
    <w:rsid w:val="00FB0710"/>
    <w:rsid w:val="00FB07FC"/>
    <w:rsid w:val="00FB0C14"/>
    <w:rsid w:val="00FB1447"/>
    <w:rsid w:val="00FB1B89"/>
    <w:rsid w:val="00FB20A5"/>
    <w:rsid w:val="00FB23E5"/>
    <w:rsid w:val="00FB25E8"/>
    <w:rsid w:val="00FB288B"/>
    <w:rsid w:val="00FB2CBF"/>
    <w:rsid w:val="00FB2D9F"/>
    <w:rsid w:val="00FB2E22"/>
    <w:rsid w:val="00FB3907"/>
    <w:rsid w:val="00FB3B23"/>
    <w:rsid w:val="00FB3C97"/>
    <w:rsid w:val="00FB3F85"/>
    <w:rsid w:val="00FB3FC9"/>
    <w:rsid w:val="00FB4390"/>
    <w:rsid w:val="00FB482E"/>
    <w:rsid w:val="00FB4C2D"/>
    <w:rsid w:val="00FB51D3"/>
    <w:rsid w:val="00FB5890"/>
    <w:rsid w:val="00FB589F"/>
    <w:rsid w:val="00FB59AB"/>
    <w:rsid w:val="00FB611D"/>
    <w:rsid w:val="00FB6202"/>
    <w:rsid w:val="00FB6A53"/>
    <w:rsid w:val="00FB7018"/>
    <w:rsid w:val="00FB7213"/>
    <w:rsid w:val="00FB73F0"/>
    <w:rsid w:val="00FC04D8"/>
    <w:rsid w:val="00FC067D"/>
    <w:rsid w:val="00FC0769"/>
    <w:rsid w:val="00FC09CC"/>
    <w:rsid w:val="00FC0AAB"/>
    <w:rsid w:val="00FC0F84"/>
    <w:rsid w:val="00FC1075"/>
    <w:rsid w:val="00FC10C6"/>
    <w:rsid w:val="00FC130A"/>
    <w:rsid w:val="00FC1C20"/>
    <w:rsid w:val="00FC1DD8"/>
    <w:rsid w:val="00FC2000"/>
    <w:rsid w:val="00FC217A"/>
    <w:rsid w:val="00FC2889"/>
    <w:rsid w:val="00FC2FA1"/>
    <w:rsid w:val="00FC30A4"/>
    <w:rsid w:val="00FC312B"/>
    <w:rsid w:val="00FC35DA"/>
    <w:rsid w:val="00FC375A"/>
    <w:rsid w:val="00FC3ADC"/>
    <w:rsid w:val="00FC3BCA"/>
    <w:rsid w:val="00FC4878"/>
    <w:rsid w:val="00FC50CB"/>
    <w:rsid w:val="00FC53BB"/>
    <w:rsid w:val="00FC5770"/>
    <w:rsid w:val="00FC5ADF"/>
    <w:rsid w:val="00FC5D97"/>
    <w:rsid w:val="00FC62BF"/>
    <w:rsid w:val="00FC66D6"/>
    <w:rsid w:val="00FC688A"/>
    <w:rsid w:val="00FC69BA"/>
    <w:rsid w:val="00FC6AA1"/>
    <w:rsid w:val="00FC6DDE"/>
    <w:rsid w:val="00FC6F1D"/>
    <w:rsid w:val="00FC7A0E"/>
    <w:rsid w:val="00FC7ABB"/>
    <w:rsid w:val="00FC7D74"/>
    <w:rsid w:val="00FC7DE7"/>
    <w:rsid w:val="00FD03F8"/>
    <w:rsid w:val="00FD06B6"/>
    <w:rsid w:val="00FD09C0"/>
    <w:rsid w:val="00FD0AE6"/>
    <w:rsid w:val="00FD0B20"/>
    <w:rsid w:val="00FD0BC8"/>
    <w:rsid w:val="00FD12F5"/>
    <w:rsid w:val="00FD14B5"/>
    <w:rsid w:val="00FD18DD"/>
    <w:rsid w:val="00FD1B7F"/>
    <w:rsid w:val="00FD1ECD"/>
    <w:rsid w:val="00FD1F35"/>
    <w:rsid w:val="00FD20A5"/>
    <w:rsid w:val="00FD2B97"/>
    <w:rsid w:val="00FD2C22"/>
    <w:rsid w:val="00FD2CEA"/>
    <w:rsid w:val="00FD2EE5"/>
    <w:rsid w:val="00FD33D6"/>
    <w:rsid w:val="00FD3A57"/>
    <w:rsid w:val="00FD3E1B"/>
    <w:rsid w:val="00FD419B"/>
    <w:rsid w:val="00FD4830"/>
    <w:rsid w:val="00FD4A7E"/>
    <w:rsid w:val="00FD4CEF"/>
    <w:rsid w:val="00FD4D74"/>
    <w:rsid w:val="00FD502D"/>
    <w:rsid w:val="00FD5252"/>
    <w:rsid w:val="00FD525C"/>
    <w:rsid w:val="00FD5A59"/>
    <w:rsid w:val="00FD5CFC"/>
    <w:rsid w:val="00FD5D5C"/>
    <w:rsid w:val="00FD6228"/>
    <w:rsid w:val="00FD665A"/>
    <w:rsid w:val="00FD67B7"/>
    <w:rsid w:val="00FD6A7B"/>
    <w:rsid w:val="00FD6C4F"/>
    <w:rsid w:val="00FD6F1C"/>
    <w:rsid w:val="00FD6FD8"/>
    <w:rsid w:val="00FD7297"/>
    <w:rsid w:val="00FD74E6"/>
    <w:rsid w:val="00FD7544"/>
    <w:rsid w:val="00FD75B3"/>
    <w:rsid w:val="00FE014B"/>
    <w:rsid w:val="00FE0D2E"/>
    <w:rsid w:val="00FE0FA4"/>
    <w:rsid w:val="00FE102D"/>
    <w:rsid w:val="00FE119D"/>
    <w:rsid w:val="00FE126E"/>
    <w:rsid w:val="00FE203F"/>
    <w:rsid w:val="00FE24A2"/>
    <w:rsid w:val="00FE2621"/>
    <w:rsid w:val="00FE276E"/>
    <w:rsid w:val="00FE2C7F"/>
    <w:rsid w:val="00FE2DDA"/>
    <w:rsid w:val="00FE2EDC"/>
    <w:rsid w:val="00FE3133"/>
    <w:rsid w:val="00FE31D3"/>
    <w:rsid w:val="00FE32E2"/>
    <w:rsid w:val="00FE3AA0"/>
    <w:rsid w:val="00FE3B64"/>
    <w:rsid w:val="00FE4069"/>
    <w:rsid w:val="00FE44B3"/>
    <w:rsid w:val="00FE46C9"/>
    <w:rsid w:val="00FE4795"/>
    <w:rsid w:val="00FE4F02"/>
    <w:rsid w:val="00FE5D52"/>
    <w:rsid w:val="00FE60CA"/>
    <w:rsid w:val="00FE622B"/>
    <w:rsid w:val="00FE6458"/>
    <w:rsid w:val="00FE6602"/>
    <w:rsid w:val="00FE666D"/>
    <w:rsid w:val="00FE70BD"/>
    <w:rsid w:val="00FE72E3"/>
    <w:rsid w:val="00FE7436"/>
    <w:rsid w:val="00FE77E3"/>
    <w:rsid w:val="00FE7989"/>
    <w:rsid w:val="00FF0007"/>
    <w:rsid w:val="00FF04D9"/>
    <w:rsid w:val="00FF0B6A"/>
    <w:rsid w:val="00FF0D83"/>
    <w:rsid w:val="00FF0E4E"/>
    <w:rsid w:val="00FF0E63"/>
    <w:rsid w:val="00FF0F7A"/>
    <w:rsid w:val="00FF1040"/>
    <w:rsid w:val="00FF112A"/>
    <w:rsid w:val="00FF1273"/>
    <w:rsid w:val="00FF13D6"/>
    <w:rsid w:val="00FF1406"/>
    <w:rsid w:val="00FF1DDF"/>
    <w:rsid w:val="00FF22C8"/>
    <w:rsid w:val="00FF2561"/>
    <w:rsid w:val="00FF2AC9"/>
    <w:rsid w:val="00FF2C2E"/>
    <w:rsid w:val="00FF3D1F"/>
    <w:rsid w:val="00FF3D53"/>
    <w:rsid w:val="00FF3D7B"/>
    <w:rsid w:val="00FF44D9"/>
    <w:rsid w:val="00FF47CC"/>
    <w:rsid w:val="00FF4B19"/>
    <w:rsid w:val="00FF4B7D"/>
    <w:rsid w:val="00FF4BEF"/>
    <w:rsid w:val="00FF4D08"/>
    <w:rsid w:val="00FF4F81"/>
    <w:rsid w:val="00FF569C"/>
    <w:rsid w:val="00FF589D"/>
    <w:rsid w:val="00FF5BC9"/>
    <w:rsid w:val="00FF5FCE"/>
    <w:rsid w:val="00FF6806"/>
    <w:rsid w:val="00FF6B01"/>
    <w:rsid w:val="00FF6B38"/>
    <w:rsid w:val="00FF6D8D"/>
    <w:rsid w:val="00FF6E1F"/>
    <w:rsid w:val="00FF7131"/>
    <w:rsid w:val="00FF74DF"/>
    <w:rsid w:val="00FF75BA"/>
    <w:rsid w:val="00FF7FF5"/>
    <w:rsid w:val="0143413A"/>
    <w:rsid w:val="017D4950"/>
    <w:rsid w:val="0192531F"/>
    <w:rsid w:val="019AA9A0"/>
    <w:rsid w:val="02003A8B"/>
    <w:rsid w:val="02381CF6"/>
    <w:rsid w:val="02A00229"/>
    <w:rsid w:val="031605EF"/>
    <w:rsid w:val="032EB7B4"/>
    <w:rsid w:val="03440088"/>
    <w:rsid w:val="034B0304"/>
    <w:rsid w:val="03F2AE41"/>
    <w:rsid w:val="04A0478B"/>
    <w:rsid w:val="04D1E468"/>
    <w:rsid w:val="0527B833"/>
    <w:rsid w:val="056A0781"/>
    <w:rsid w:val="05BD9A96"/>
    <w:rsid w:val="066DF67C"/>
    <w:rsid w:val="0693D6D6"/>
    <w:rsid w:val="06AA7E4D"/>
    <w:rsid w:val="06B1BFBB"/>
    <w:rsid w:val="06EBC38F"/>
    <w:rsid w:val="06F2AA55"/>
    <w:rsid w:val="07BB7097"/>
    <w:rsid w:val="07C02F4A"/>
    <w:rsid w:val="07F32280"/>
    <w:rsid w:val="08E9DD63"/>
    <w:rsid w:val="09094BE5"/>
    <w:rsid w:val="09E763D0"/>
    <w:rsid w:val="0A2D4DA3"/>
    <w:rsid w:val="0B76C437"/>
    <w:rsid w:val="0BF3FFD5"/>
    <w:rsid w:val="0D361687"/>
    <w:rsid w:val="0D919A3E"/>
    <w:rsid w:val="0DE7F546"/>
    <w:rsid w:val="0E109F04"/>
    <w:rsid w:val="0E4F3B4A"/>
    <w:rsid w:val="0FFD8C86"/>
    <w:rsid w:val="10020252"/>
    <w:rsid w:val="101EF9BF"/>
    <w:rsid w:val="106DBE99"/>
    <w:rsid w:val="10877743"/>
    <w:rsid w:val="10897B68"/>
    <w:rsid w:val="10B0B84D"/>
    <w:rsid w:val="110EA877"/>
    <w:rsid w:val="112DC942"/>
    <w:rsid w:val="119A1F1E"/>
    <w:rsid w:val="11E76500"/>
    <w:rsid w:val="121F8791"/>
    <w:rsid w:val="122DD086"/>
    <w:rsid w:val="125AC15B"/>
    <w:rsid w:val="1285961D"/>
    <w:rsid w:val="132FDFCB"/>
    <w:rsid w:val="1334AB39"/>
    <w:rsid w:val="1357FC3B"/>
    <w:rsid w:val="137537DC"/>
    <w:rsid w:val="13A36745"/>
    <w:rsid w:val="145CAC82"/>
    <w:rsid w:val="1474D1A2"/>
    <w:rsid w:val="14C3146C"/>
    <w:rsid w:val="14ED313E"/>
    <w:rsid w:val="150A0954"/>
    <w:rsid w:val="152F7C7D"/>
    <w:rsid w:val="15DF9D3D"/>
    <w:rsid w:val="173C82E2"/>
    <w:rsid w:val="1748EA0E"/>
    <w:rsid w:val="1783C0FB"/>
    <w:rsid w:val="179D703D"/>
    <w:rsid w:val="17CDB2D9"/>
    <w:rsid w:val="17D82C02"/>
    <w:rsid w:val="180B0D1A"/>
    <w:rsid w:val="183A8E86"/>
    <w:rsid w:val="18F28A8F"/>
    <w:rsid w:val="1954F59B"/>
    <w:rsid w:val="197689D0"/>
    <w:rsid w:val="19903D83"/>
    <w:rsid w:val="19A517D4"/>
    <w:rsid w:val="19DEA480"/>
    <w:rsid w:val="1A3C6DB4"/>
    <w:rsid w:val="1B28ABC8"/>
    <w:rsid w:val="1B5BBD11"/>
    <w:rsid w:val="1BB299C9"/>
    <w:rsid w:val="1C42E9BA"/>
    <w:rsid w:val="1C433AF8"/>
    <w:rsid w:val="1D4F671B"/>
    <w:rsid w:val="1DB21333"/>
    <w:rsid w:val="1E078C7B"/>
    <w:rsid w:val="1E47DF83"/>
    <w:rsid w:val="1ECB572B"/>
    <w:rsid w:val="1EE18650"/>
    <w:rsid w:val="1F94FCFA"/>
    <w:rsid w:val="2018E78E"/>
    <w:rsid w:val="206BD3D2"/>
    <w:rsid w:val="20A68841"/>
    <w:rsid w:val="20B2D614"/>
    <w:rsid w:val="20CB7172"/>
    <w:rsid w:val="20FB1EAF"/>
    <w:rsid w:val="2188F632"/>
    <w:rsid w:val="21C9B61F"/>
    <w:rsid w:val="2223E7E6"/>
    <w:rsid w:val="236A33CA"/>
    <w:rsid w:val="239F872B"/>
    <w:rsid w:val="23DA2E9E"/>
    <w:rsid w:val="24390433"/>
    <w:rsid w:val="244C87FD"/>
    <w:rsid w:val="2497BBAF"/>
    <w:rsid w:val="24E3EAC0"/>
    <w:rsid w:val="256AD0D9"/>
    <w:rsid w:val="2577545E"/>
    <w:rsid w:val="2594DDBA"/>
    <w:rsid w:val="25BF5108"/>
    <w:rsid w:val="25C7249F"/>
    <w:rsid w:val="2606936F"/>
    <w:rsid w:val="266277D8"/>
    <w:rsid w:val="26FCD110"/>
    <w:rsid w:val="27867F92"/>
    <w:rsid w:val="2804E63C"/>
    <w:rsid w:val="28483C3C"/>
    <w:rsid w:val="285F2167"/>
    <w:rsid w:val="28FC4464"/>
    <w:rsid w:val="2A6EAA49"/>
    <w:rsid w:val="2A97529D"/>
    <w:rsid w:val="2B74BA2A"/>
    <w:rsid w:val="2BAC4528"/>
    <w:rsid w:val="2C827E55"/>
    <w:rsid w:val="2D8D6E73"/>
    <w:rsid w:val="2D91AE58"/>
    <w:rsid w:val="2DA5D3CC"/>
    <w:rsid w:val="2DB58E6A"/>
    <w:rsid w:val="2DC4DB81"/>
    <w:rsid w:val="2E2418F2"/>
    <w:rsid w:val="2EB804BF"/>
    <w:rsid w:val="2EF55674"/>
    <w:rsid w:val="2F844E7A"/>
    <w:rsid w:val="306FEC2F"/>
    <w:rsid w:val="312F3ACA"/>
    <w:rsid w:val="31373207"/>
    <w:rsid w:val="31890E8B"/>
    <w:rsid w:val="31CCE5A2"/>
    <w:rsid w:val="31D6EF36"/>
    <w:rsid w:val="31FCD86D"/>
    <w:rsid w:val="3203C757"/>
    <w:rsid w:val="324CC5F0"/>
    <w:rsid w:val="326941D5"/>
    <w:rsid w:val="33839737"/>
    <w:rsid w:val="33D37749"/>
    <w:rsid w:val="33DCE3C5"/>
    <w:rsid w:val="342C4C55"/>
    <w:rsid w:val="34D76613"/>
    <w:rsid w:val="35067A07"/>
    <w:rsid w:val="358C1986"/>
    <w:rsid w:val="35CC3806"/>
    <w:rsid w:val="35F1F61F"/>
    <w:rsid w:val="3640355B"/>
    <w:rsid w:val="3663D666"/>
    <w:rsid w:val="36980B93"/>
    <w:rsid w:val="371A1603"/>
    <w:rsid w:val="37EE2F6C"/>
    <w:rsid w:val="3806ED7C"/>
    <w:rsid w:val="383DD228"/>
    <w:rsid w:val="38714EE9"/>
    <w:rsid w:val="38819105"/>
    <w:rsid w:val="38AB1633"/>
    <w:rsid w:val="38D7E110"/>
    <w:rsid w:val="397CE355"/>
    <w:rsid w:val="39A050A6"/>
    <w:rsid w:val="39DF49EF"/>
    <w:rsid w:val="3A151073"/>
    <w:rsid w:val="3A708366"/>
    <w:rsid w:val="3AAA1A16"/>
    <w:rsid w:val="3AD119B6"/>
    <w:rsid w:val="3AEB6AB2"/>
    <w:rsid w:val="3B3CFE79"/>
    <w:rsid w:val="3B8A7FFA"/>
    <w:rsid w:val="3B978D23"/>
    <w:rsid w:val="3B9DEA54"/>
    <w:rsid w:val="3BA775EC"/>
    <w:rsid w:val="3BAA58DD"/>
    <w:rsid w:val="3BCABBA8"/>
    <w:rsid w:val="3BE2175E"/>
    <w:rsid w:val="3BE393C7"/>
    <w:rsid w:val="3C1ACD8C"/>
    <w:rsid w:val="3C60A32D"/>
    <w:rsid w:val="3CEC4D69"/>
    <w:rsid w:val="3CF2AAAB"/>
    <w:rsid w:val="3D7F30D2"/>
    <w:rsid w:val="3D8AAE77"/>
    <w:rsid w:val="3D8DD82F"/>
    <w:rsid w:val="3D9573A8"/>
    <w:rsid w:val="3DD73343"/>
    <w:rsid w:val="3DDD07A4"/>
    <w:rsid w:val="3DF29923"/>
    <w:rsid w:val="3E1F8E70"/>
    <w:rsid w:val="3EC2D11D"/>
    <w:rsid w:val="3EFFE033"/>
    <w:rsid w:val="3F8FCF30"/>
    <w:rsid w:val="3FA696D9"/>
    <w:rsid w:val="3FED0C9B"/>
    <w:rsid w:val="407478CA"/>
    <w:rsid w:val="4248B8AB"/>
    <w:rsid w:val="427C5062"/>
    <w:rsid w:val="42C7344E"/>
    <w:rsid w:val="42C9E8FA"/>
    <w:rsid w:val="42F5BCB3"/>
    <w:rsid w:val="432FB2C3"/>
    <w:rsid w:val="435772A9"/>
    <w:rsid w:val="43596AC0"/>
    <w:rsid w:val="4387F0A7"/>
    <w:rsid w:val="43A24305"/>
    <w:rsid w:val="43E30A31"/>
    <w:rsid w:val="44A5A677"/>
    <w:rsid w:val="45269837"/>
    <w:rsid w:val="4585A150"/>
    <w:rsid w:val="458624AB"/>
    <w:rsid w:val="4622D9B9"/>
    <w:rsid w:val="470355E2"/>
    <w:rsid w:val="4713976E"/>
    <w:rsid w:val="4715A1D4"/>
    <w:rsid w:val="473A2703"/>
    <w:rsid w:val="480C42FA"/>
    <w:rsid w:val="483F4E01"/>
    <w:rsid w:val="48A0FE91"/>
    <w:rsid w:val="48D42619"/>
    <w:rsid w:val="48D94E7D"/>
    <w:rsid w:val="4A0BAF9B"/>
    <w:rsid w:val="4A0F7E79"/>
    <w:rsid w:val="4B33A001"/>
    <w:rsid w:val="4B69EE4B"/>
    <w:rsid w:val="4B77B1AE"/>
    <w:rsid w:val="4B89CBAC"/>
    <w:rsid w:val="4C668CDE"/>
    <w:rsid w:val="4C938CE9"/>
    <w:rsid w:val="4CEA6BA0"/>
    <w:rsid w:val="4D176C61"/>
    <w:rsid w:val="4D4B259C"/>
    <w:rsid w:val="4DB6A396"/>
    <w:rsid w:val="4DD7195E"/>
    <w:rsid w:val="4DEBBC6A"/>
    <w:rsid w:val="4E0E25A9"/>
    <w:rsid w:val="4E477B45"/>
    <w:rsid w:val="4EB3FA37"/>
    <w:rsid w:val="4ECB3EB2"/>
    <w:rsid w:val="4F22B14C"/>
    <w:rsid w:val="4F3CBC20"/>
    <w:rsid w:val="4F3F8760"/>
    <w:rsid w:val="4FA35704"/>
    <w:rsid w:val="4FC386D2"/>
    <w:rsid w:val="4FE19DB5"/>
    <w:rsid w:val="5002F300"/>
    <w:rsid w:val="5009F1A9"/>
    <w:rsid w:val="50516E64"/>
    <w:rsid w:val="50741B6D"/>
    <w:rsid w:val="50C13A3B"/>
    <w:rsid w:val="51E05A84"/>
    <w:rsid w:val="52062419"/>
    <w:rsid w:val="528E2E84"/>
    <w:rsid w:val="5311E81C"/>
    <w:rsid w:val="5456047C"/>
    <w:rsid w:val="54D6FAF1"/>
    <w:rsid w:val="55126E8D"/>
    <w:rsid w:val="552D2BD3"/>
    <w:rsid w:val="5577E36E"/>
    <w:rsid w:val="55CCEB3B"/>
    <w:rsid w:val="571B05AF"/>
    <w:rsid w:val="574FADFD"/>
    <w:rsid w:val="57A7C190"/>
    <w:rsid w:val="585AB1D9"/>
    <w:rsid w:val="59D01AD5"/>
    <w:rsid w:val="59FA1E7F"/>
    <w:rsid w:val="5A2F4D82"/>
    <w:rsid w:val="5A424609"/>
    <w:rsid w:val="5A594C09"/>
    <w:rsid w:val="5A74F950"/>
    <w:rsid w:val="5AD09D3B"/>
    <w:rsid w:val="5B111A24"/>
    <w:rsid w:val="5B124E1A"/>
    <w:rsid w:val="5B3A5967"/>
    <w:rsid w:val="5B3DE498"/>
    <w:rsid w:val="5B559F94"/>
    <w:rsid w:val="5B6B5F02"/>
    <w:rsid w:val="5B7894C1"/>
    <w:rsid w:val="5BB5411B"/>
    <w:rsid w:val="5C479144"/>
    <w:rsid w:val="5CBAEF04"/>
    <w:rsid w:val="5CC17456"/>
    <w:rsid w:val="5CDF6072"/>
    <w:rsid w:val="5D2A5A02"/>
    <w:rsid w:val="5DF3E8B7"/>
    <w:rsid w:val="5E65ACA3"/>
    <w:rsid w:val="5F45A1FF"/>
    <w:rsid w:val="607DF13F"/>
    <w:rsid w:val="6098C245"/>
    <w:rsid w:val="609ECBCD"/>
    <w:rsid w:val="60CBE6F4"/>
    <w:rsid w:val="60F452EE"/>
    <w:rsid w:val="614A9A6A"/>
    <w:rsid w:val="61965080"/>
    <w:rsid w:val="61CA3A93"/>
    <w:rsid w:val="61EDFA2E"/>
    <w:rsid w:val="621E7BCA"/>
    <w:rsid w:val="62856F89"/>
    <w:rsid w:val="62978F06"/>
    <w:rsid w:val="62A190D5"/>
    <w:rsid w:val="62ABCCE6"/>
    <w:rsid w:val="630DFDCF"/>
    <w:rsid w:val="634A5E5A"/>
    <w:rsid w:val="63E2995E"/>
    <w:rsid w:val="64064407"/>
    <w:rsid w:val="64249CDD"/>
    <w:rsid w:val="642B7775"/>
    <w:rsid w:val="648DAFD0"/>
    <w:rsid w:val="6490C638"/>
    <w:rsid w:val="64AB43A1"/>
    <w:rsid w:val="64B08534"/>
    <w:rsid w:val="64C26A58"/>
    <w:rsid w:val="65052BE7"/>
    <w:rsid w:val="650C400C"/>
    <w:rsid w:val="657981EF"/>
    <w:rsid w:val="65C4D723"/>
    <w:rsid w:val="65F38DBD"/>
    <w:rsid w:val="6611BC92"/>
    <w:rsid w:val="662CD483"/>
    <w:rsid w:val="666B363F"/>
    <w:rsid w:val="667C532F"/>
    <w:rsid w:val="67116A5A"/>
    <w:rsid w:val="6772D550"/>
    <w:rsid w:val="678A7303"/>
    <w:rsid w:val="67A2EF42"/>
    <w:rsid w:val="67EB0874"/>
    <w:rsid w:val="68514135"/>
    <w:rsid w:val="687BA355"/>
    <w:rsid w:val="688B9A34"/>
    <w:rsid w:val="68D148CF"/>
    <w:rsid w:val="68F798FA"/>
    <w:rsid w:val="68FBBFA4"/>
    <w:rsid w:val="6955175A"/>
    <w:rsid w:val="6972CCC6"/>
    <w:rsid w:val="6974D0EA"/>
    <w:rsid w:val="69C19AEE"/>
    <w:rsid w:val="6A0CDBF0"/>
    <w:rsid w:val="6A5BEF69"/>
    <w:rsid w:val="6A8B6119"/>
    <w:rsid w:val="6B0D9C9F"/>
    <w:rsid w:val="6B3EBE9B"/>
    <w:rsid w:val="6B753A60"/>
    <w:rsid w:val="6C65E4EF"/>
    <w:rsid w:val="6C6C7E6F"/>
    <w:rsid w:val="6C8D0723"/>
    <w:rsid w:val="6CDD25AD"/>
    <w:rsid w:val="6D1318CB"/>
    <w:rsid w:val="6DAB4BF5"/>
    <w:rsid w:val="6E0A38F4"/>
    <w:rsid w:val="6E377719"/>
    <w:rsid w:val="6E72D334"/>
    <w:rsid w:val="6E7BB08E"/>
    <w:rsid w:val="6EB4EF29"/>
    <w:rsid w:val="6EC25F69"/>
    <w:rsid w:val="6EEE744D"/>
    <w:rsid w:val="6F097625"/>
    <w:rsid w:val="6F4EC173"/>
    <w:rsid w:val="6FC4112C"/>
    <w:rsid w:val="702B5E8E"/>
    <w:rsid w:val="70F13433"/>
    <w:rsid w:val="70F14960"/>
    <w:rsid w:val="71055DB0"/>
    <w:rsid w:val="71120DAE"/>
    <w:rsid w:val="712DC128"/>
    <w:rsid w:val="7133C679"/>
    <w:rsid w:val="7170A91B"/>
    <w:rsid w:val="72C228B8"/>
    <w:rsid w:val="72C53C62"/>
    <w:rsid w:val="73224EFF"/>
    <w:rsid w:val="733688C8"/>
    <w:rsid w:val="734ECAB8"/>
    <w:rsid w:val="73595EFE"/>
    <w:rsid w:val="73BF72D7"/>
    <w:rsid w:val="748DF535"/>
    <w:rsid w:val="74985644"/>
    <w:rsid w:val="74B2E381"/>
    <w:rsid w:val="75C1BC2C"/>
    <w:rsid w:val="75C5AF23"/>
    <w:rsid w:val="75E6B4DA"/>
    <w:rsid w:val="761700EC"/>
    <w:rsid w:val="76C14B14"/>
    <w:rsid w:val="773DD962"/>
    <w:rsid w:val="77D42557"/>
    <w:rsid w:val="77FEDADD"/>
    <w:rsid w:val="78E3FE78"/>
    <w:rsid w:val="795349E5"/>
    <w:rsid w:val="7A702572"/>
    <w:rsid w:val="7AAAD437"/>
    <w:rsid w:val="7AE54CC6"/>
    <w:rsid w:val="7B3A3019"/>
    <w:rsid w:val="7C25F486"/>
    <w:rsid w:val="7C44AF4A"/>
    <w:rsid w:val="7C498A0E"/>
    <w:rsid w:val="7CEB0C4B"/>
    <w:rsid w:val="7D0EFF0A"/>
    <w:rsid w:val="7DDB9FBC"/>
    <w:rsid w:val="7DED6B2C"/>
    <w:rsid w:val="7DF3AAD6"/>
    <w:rsid w:val="7E16F3B3"/>
    <w:rsid w:val="7E54E20B"/>
    <w:rsid w:val="7FE497B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5D89B8"/>
  <w14:discardImageEditingDat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AU"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8"/>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16" w:qFormat="1"/>
    <w:lsdException w:name="Intense Quote" w:uiPriority="17"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34E"/>
    <w:pPr>
      <w:spacing w:after="160" w:line="264" w:lineRule="auto"/>
    </w:pPr>
    <w:rPr>
      <w:color w:val="262626" w:themeColor="text1" w:themeTint="D9"/>
      <w:sz w:val="22"/>
    </w:rPr>
  </w:style>
  <w:style w:type="paragraph" w:styleId="Heading1">
    <w:name w:val="heading 1"/>
    <w:basedOn w:val="Normal"/>
    <w:next w:val="Normal"/>
    <w:link w:val="Heading1Char"/>
    <w:uiPriority w:val="2"/>
    <w:qFormat/>
    <w:rsid w:val="0091141A"/>
    <w:pPr>
      <w:keepNext/>
      <w:keepLines/>
      <w:spacing w:before="360" w:line="240" w:lineRule="auto"/>
      <w:outlineLvl w:val="0"/>
    </w:pPr>
    <w:rPr>
      <w:rFonts w:eastAsiaTheme="majorEastAsia" w:cstheme="minorHAnsi"/>
      <w:b/>
      <w:bCs/>
      <w:noProof/>
      <w:color w:val="007279" w:themeColor="accent1"/>
      <w:sz w:val="32"/>
      <w:szCs w:val="24"/>
    </w:rPr>
  </w:style>
  <w:style w:type="paragraph" w:styleId="Heading2">
    <w:name w:val="heading 2"/>
    <w:basedOn w:val="Normal"/>
    <w:next w:val="Normal"/>
    <w:link w:val="Heading2Char"/>
    <w:uiPriority w:val="2"/>
    <w:qFormat/>
    <w:rsid w:val="0091141A"/>
    <w:pPr>
      <w:keepNext/>
      <w:keepLines/>
      <w:spacing w:before="240" w:line="240" w:lineRule="auto"/>
      <w:outlineLvl w:val="1"/>
    </w:pPr>
    <w:rPr>
      <w:rFonts w:eastAsiaTheme="majorEastAsia" w:cstheme="minorHAnsi"/>
      <w:color w:val="007279" w:themeColor="accent1"/>
      <w:sz w:val="28"/>
      <w:szCs w:val="22"/>
    </w:rPr>
  </w:style>
  <w:style w:type="paragraph" w:styleId="Heading3">
    <w:name w:val="heading 3"/>
    <w:basedOn w:val="Heading4"/>
    <w:next w:val="Normal"/>
    <w:link w:val="Heading3Char"/>
    <w:uiPriority w:val="2"/>
    <w:qFormat/>
    <w:rsid w:val="00AE39E1"/>
    <w:pPr>
      <w:outlineLvl w:val="2"/>
    </w:pPr>
    <w:rPr>
      <w:color w:val="262626" w:themeColor="text1" w:themeTint="D9"/>
      <w:sz w:val="24"/>
      <w:szCs w:val="24"/>
    </w:rPr>
  </w:style>
  <w:style w:type="paragraph" w:styleId="Heading4">
    <w:name w:val="heading 4"/>
    <w:basedOn w:val="Normal"/>
    <w:next w:val="Normal"/>
    <w:link w:val="Heading4Char"/>
    <w:uiPriority w:val="2"/>
    <w:rsid w:val="006147EB"/>
    <w:pPr>
      <w:keepNext/>
      <w:keepLines/>
      <w:spacing w:before="240"/>
      <w:outlineLvl w:val="3"/>
    </w:pPr>
    <w:rPr>
      <w:rFonts w:eastAsiaTheme="majorEastAsia" w:cstheme="minorHAnsi"/>
      <w:b/>
      <w:color w:val="3266AB"/>
      <w:szCs w:val="22"/>
    </w:rPr>
  </w:style>
  <w:style w:type="paragraph" w:styleId="Heading5">
    <w:name w:val="heading 5"/>
    <w:basedOn w:val="Normal"/>
    <w:next w:val="Normal"/>
    <w:link w:val="Heading5Char"/>
    <w:uiPriority w:val="2"/>
    <w:unhideWhenUsed/>
    <w:rsid w:val="00857363"/>
    <w:pPr>
      <w:keepNext/>
      <w:keepLines/>
      <w:spacing w:before="240"/>
      <w:outlineLvl w:val="4"/>
    </w:pPr>
    <w:rPr>
      <w:rFonts w:eastAsiaTheme="majorEastAsia" w:cstheme="majorBidi"/>
      <w:iCs/>
      <w:color w:val="3266AB"/>
      <w:szCs w:val="22"/>
    </w:rPr>
  </w:style>
  <w:style w:type="paragraph" w:styleId="Heading6">
    <w:name w:val="heading 6"/>
    <w:basedOn w:val="Normal"/>
    <w:next w:val="Normal"/>
    <w:link w:val="Heading6Char"/>
    <w:uiPriority w:val="2"/>
    <w:unhideWhenUsed/>
    <w:rsid w:val="006200EB"/>
    <w:pPr>
      <w:keepNext/>
      <w:keepLines/>
      <w:spacing w:before="240"/>
      <w:outlineLvl w:val="5"/>
    </w:pPr>
    <w:rPr>
      <w:rFonts w:asciiTheme="majorHAnsi" w:eastAsiaTheme="majorEastAsia" w:hAnsiTheme="majorHAnsi" w:cstheme="majorBidi"/>
      <w:color w:val="3266AB"/>
    </w:rPr>
  </w:style>
  <w:style w:type="paragraph" w:styleId="Heading7">
    <w:name w:val="heading 7"/>
    <w:basedOn w:val="Normal"/>
    <w:next w:val="Normal"/>
    <w:link w:val="Heading7Char"/>
    <w:uiPriority w:val="2"/>
    <w:unhideWhenUsed/>
    <w:rsid w:val="006200EB"/>
    <w:pPr>
      <w:keepNext/>
      <w:keepLines/>
      <w:spacing w:before="240"/>
      <w:outlineLvl w:val="6"/>
    </w:pPr>
    <w:rPr>
      <w:rFonts w:asciiTheme="majorHAnsi" w:eastAsiaTheme="majorEastAsia" w:hAnsiTheme="majorHAnsi" w:cstheme="majorBidi"/>
      <w:b/>
      <w:bCs/>
      <w:color w:val="3266AB"/>
    </w:rPr>
  </w:style>
  <w:style w:type="paragraph" w:styleId="Heading8">
    <w:name w:val="heading 8"/>
    <w:basedOn w:val="Normal"/>
    <w:next w:val="Normal"/>
    <w:link w:val="Heading8Char"/>
    <w:uiPriority w:val="2"/>
    <w:unhideWhenUsed/>
    <w:rsid w:val="006200EB"/>
    <w:pPr>
      <w:keepNext/>
      <w:keepLines/>
      <w:spacing w:before="240"/>
      <w:outlineLvl w:val="7"/>
    </w:pPr>
    <w:rPr>
      <w:rFonts w:asciiTheme="majorHAnsi" w:eastAsiaTheme="majorEastAsia" w:hAnsiTheme="majorHAnsi" w:cstheme="majorBidi"/>
      <w:b/>
      <w:bCs/>
      <w:i/>
      <w:iCs/>
      <w:color w:val="3266AB"/>
      <w:sz w:val="20"/>
      <w:szCs w:val="20"/>
    </w:rPr>
  </w:style>
  <w:style w:type="paragraph" w:styleId="Heading9">
    <w:name w:val="heading 9"/>
    <w:basedOn w:val="Normal"/>
    <w:next w:val="Normal"/>
    <w:link w:val="Heading9Char"/>
    <w:uiPriority w:val="2"/>
    <w:unhideWhenUsed/>
    <w:rsid w:val="006200EB"/>
    <w:pPr>
      <w:keepNext/>
      <w:keepLines/>
      <w:spacing w:before="240"/>
      <w:outlineLvl w:val="8"/>
    </w:pPr>
    <w:rPr>
      <w:rFonts w:asciiTheme="majorHAnsi" w:eastAsiaTheme="majorEastAsia" w:hAnsiTheme="majorHAnsi" w:cstheme="majorBidi"/>
      <w:i/>
      <w:iCs/>
      <w:color w:val="3266A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91141A"/>
    <w:rPr>
      <w:rFonts w:eastAsiaTheme="majorEastAsia" w:cstheme="minorHAnsi"/>
      <w:b/>
      <w:bCs/>
      <w:noProof/>
      <w:color w:val="007279" w:themeColor="accent1"/>
      <w:sz w:val="32"/>
      <w:szCs w:val="24"/>
    </w:rPr>
  </w:style>
  <w:style w:type="paragraph" w:styleId="Title">
    <w:name w:val="Title"/>
    <w:basedOn w:val="Normal"/>
    <w:next w:val="Normal"/>
    <w:link w:val="TitleChar"/>
    <w:uiPriority w:val="18"/>
    <w:rsid w:val="0091141A"/>
    <w:pPr>
      <w:spacing w:after="240" w:line="240" w:lineRule="auto"/>
      <w:contextualSpacing/>
    </w:pPr>
    <w:rPr>
      <w:rFonts w:asciiTheme="majorHAnsi" w:eastAsiaTheme="majorEastAsia" w:hAnsiTheme="majorHAnsi" w:cstheme="majorBidi"/>
      <w:noProof/>
      <w:spacing w:val="-15"/>
      <w:sz w:val="48"/>
      <w:szCs w:val="56"/>
    </w:rPr>
  </w:style>
  <w:style w:type="character" w:customStyle="1" w:styleId="TitleChar">
    <w:name w:val="Title Char"/>
    <w:basedOn w:val="DefaultParagraphFont"/>
    <w:link w:val="Title"/>
    <w:uiPriority w:val="18"/>
    <w:rsid w:val="0091141A"/>
    <w:rPr>
      <w:rFonts w:asciiTheme="majorHAnsi" w:eastAsiaTheme="majorEastAsia" w:hAnsiTheme="majorHAnsi" w:cstheme="majorBidi"/>
      <w:noProof/>
      <w:spacing w:val="-15"/>
      <w:sz w:val="48"/>
      <w:szCs w:val="56"/>
    </w:rPr>
  </w:style>
  <w:style w:type="character" w:customStyle="1" w:styleId="Heading2Char">
    <w:name w:val="Heading 2 Char"/>
    <w:basedOn w:val="DefaultParagraphFont"/>
    <w:link w:val="Heading2"/>
    <w:uiPriority w:val="2"/>
    <w:rsid w:val="0091141A"/>
    <w:rPr>
      <w:rFonts w:eastAsiaTheme="majorEastAsia" w:cstheme="minorHAnsi"/>
      <w:color w:val="007279" w:themeColor="accent1"/>
      <w:sz w:val="28"/>
      <w:szCs w:val="22"/>
    </w:rPr>
  </w:style>
  <w:style w:type="character" w:customStyle="1" w:styleId="Heading3Char">
    <w:name w:val="Heading 3 Char"/>
    <w:basedOn w:val="DefaultParagraphFont"/>
    <w:link w:val="Heading3"/>
    <w:uiPriority w:val="2"/>
    <w:rsid w:val="00AE39E1"/>
    <w:rPr>
      <w:rFonts w:eastAsiaTheme="majorEastAsia" w:cstheme="minorHAnsi"/>
      <w:b/>
      <w:color w:val="262626" w:themeColor="text1" w:themeTint="D9"/>
      <w:sz w:val="24"/>
      <w:szCs w:val="24"/>
    </w:rPr>
  </w:style>
  <w:style w:type="character" w:customStyle="1" w:styleId="Heading4Char">
    <w:name w:val="Heading 4 Char"/>
    <w:basedOn w:val="DefaultParagraphFont"/>
    <w:link w:val="Heading4"/>
    <w:uiPriority w:val="2"/>
    <w:rsid w:val="006147EB"/>
    <w:rPr>
      <w:rFonts w:eastAsiaTheme="majorEastAsia" w:cstheme="minorHAnsi"/>
      <w:b/>
      <w:color w:val="3266AB"/>
      <w:sz w:val="22"/>
      <w:szCs w:val="22"/>
    </w:rPr>
  </w:style>
  <w:style w:type="character" w:customStyle="1" w:styleId="Heading5Char">
    <w:name w:val="Heading 5 Char"/>
    <w:basedOn w:val="DefaultParagraphFont"/>
    <w:link w:val="Heading5"/>
    <w:uiPriority w:val="2"/>
    <w:rsid w:val="00857363"/>
    <w:rPr>
      <w:rFonts w:eastAsiaTheme="majorEastAsia" w:cstheme="majorBidi"/>
      <w:iCs/>
      <w:color w:val="3266AB"/>
      <w:sz w:val="22"/>
      <w:szCs w:val="22"/>
    </w:rPr>
  </w:style>
  <w:style w:type="character" w:customStyle="1" w:styleId="Heading6Char">
    <w:name w:val="Heading 6 Char"/>
    <w:basedOn w:val="DefaultParagraphFont"/>
    <w:link w:val="Heading6"/>
    <w:uiPriority w:val="2"/>
    <w:rsid w:val="006200EB"/>
    <w:rPr>
      <w:rFonts w:asciiTheme="majorHAnsi" w:eastAsiaTheme="majorEastAsia" w:hAnsiTheme="majorHAnsi" w:cstheme="majorBidi"/>
      <w:color w:val="3266AB"/>
      <w:sz w:val="22"/>
    </w:rPr>
  </w:style>
  <w:style w:type="character" w:customStyle="1" w:styleId="Heading7Char">
    <w:name w:val="Heading 7 Char"/>
    <w:basedOn w:val="DefaultParagraphFont"/>
    <w:link w:val="Heading7"/>
    <w:uiPriority w:val="2"/>
    <w:rsid w:val="006200EB"/>
    <w:rPr>
      <w:rFonts w:asciiTheme="majorHAnsi" w:eastAsiaTheme="majorEastAsia" w:hAnsiTheme="majorHAnsi" w:cstheme="majorBidi"/>
      <w:b/>
      <w:bCs/>
      <w:color w:val="3266AB"/>
      <w:sz w:val="22"/>
    </w:rPr>
  </w:style>
  <w:style w:type="character" w:customStyle="1" w:styleId="Heading8Char">
    <w:name w:val="Heading 8 Char"/>
    <w:basedOn w:val="DefaultParagraphFont"/>
    <w:link w:val="Heading8"/>
    <w:uiPriority w:val="2"/>
    <w:rsid w:val="006200EB"/>
    <w:rPr>
      <w:rFonts w:asciiTheme="majorHAnsi" w:eastAsiaTheme="majorEastAsia" w:hAnsiTheme="majorHAnsi" w:cstheme="majorBidi"/>
      <w:b/>
      <w:bCs/>
      <w:i/>
      <w:iCs/>
      <w:color w:val="3266AB"/>
      <w:sz w:val="20"/>
      <w:szCs w:val="20"/>
    </w:rPr>
  </w:style>
  <w:style w:type="character" w:customStyle="1" w:styleId="Heading9Char">
    <w:name w:val="Heading 9 Char"/>
    <w:basedOn w:val="DefaultParagraphFont"/>
    <w:link w:val="Heading9"/>
    <w:uiPriority w:val="2"/>
    <w:rsid w:val="006200EB"/>
    <w:rPr>
      <w:rFonts w:asciiTheme="majorHAnsi" w:eastAsiaTheme="majorEastAsia" w:hAnsiTheme="majorHAnsi" w:cstheme="majorBidi"/>
      <w:i/>
      <w:iCs/>
      <w:color w:val="3266AB"/>
      <w:sz w:val="20"/>
      <w:szCs w:val="20"/>
    </w:rPr>
  </w:style>
  <w:style w:type="paragraph" w:styleId="Subtitle">
    <w:name w:val="Subtitle"/>
    <w:basedOn w:val="Normal"/>
    <w:next w:val="Normal"/>
    <w:link w:val="SubtitleChar"/>
    <w:uiPriority w:val="19"/>
    <w:rsid w:val="0091141A"/>
    <w:pPr>
      <w:numPr>
        <w:ilvl w:val="1"/>
      </w:numPr>
      <w:spacing w:line="240" w:lineRule="auto"/>
    </w:pPr>
    <w:rPr>
      <w:rFonts w:eastAsiaTheme="majorEastAsia" w:cstheme="minorHAnsi"/>
      <w:noProof/>
      <w:color w:val="6C6C6C" w:themeColor="background2" w:themeShade="80"/>
      <w:sz w:val="28"/>
      <w:szCs w:val="30"/>
    </w:rPr>
  </w:style>
  <w:style w:type="character" w:customStyle="1" w:styleId="SubtitleChar">
    <w:name w:val="Subtitle Char"/>
    <w:basedOn w:val="DefaultParagraphFont"/>
    <w:link w:val="Subtitle"/>
    <w:uiPriority w:val="19"/>
    <w:rsid w:val="0091141A"/>
    <w:rPr>
      <w:rFonts w:eastAsiaTheme="majorEastAsia" w:cstheme="minorHAnsi"/>
      <w:noProof/>
      <w:color w:val="6C6C6C" w:themeColor="background2" w:themeShade="80"/>
      <w:sz w:val="28"/>
      <w:szCs w:val="30"/>
    </w:rPr>
  </w:style>
  <w:style w:type="paragraph" w:styleId="NoSpacing">
    <w:name w:val="No Spacing"/>
    <w:uiPriority w:val="98"/>
    <w:unhideWhenUsed/>
    <w:rsid w:val="00D525B8"/>
    <w:pPr>
      <w:spacing w:after="0" w:line="240" w:lineRule="auto"/>
    </w:pPr>
  </w:style>
  <w:style w:type="paragraph" w:styleId="Caption">
    <w:name w:val="caption"/>
    <w:basedOn w:val="Normal"/>
    <w:next w:val="Normal"/>
    <w:uiPriority w:val="35"/>
    <w:semiHidden/>
    <w:unhideWhenUsed/>
    <w:qFormat/>
    <w:rsid w:val="00D525B8"/>
    <w:pPr>
      <w:spacing w:line="240" w:lineRule="auto"/>
    </w:pPr>
    <w:rPr>
      <w:b/>
      <w:bCs/>
      <w:smallCaps/>
      <w:color w:val="595959" w:themeColor="text1" w:themeTint="A6"/>
    </w:rPr>
  </w:style>
  <w:style w:type="character" w:styleId="Strong">
    <w:name w:val="Strong"/>
    <w:basedOn w:val="DefaultParagraphFont"/>
    <w:uiPriority w:val="22"/>
    <w:unhideWhenUsed/>
    <w:rsid w:val="00D525B8"/>
    <w:rPr>
      <w:b/>
      <w:bCs/>
    </w:rPr>
  </w:style>
  <w:style w:type="character" w:styleId="Emphasis">
    <w:name w:val="Emphasis"/>
    <w:basedOn w:val="DefaultParagraphFont"/>
    <w:uiPriority w:val="20"/>
    <w:unhideWhenUsed/>
    <w:qFormat/>
    <w:rsid w:val="005C0F15"/>
    <w:rPr>
      <w:i/>
      <w:iCs/>
      <w:color w:val="auto"/>
    </w:rPr>
  </w:style>
  <w:style w:type="paragraph" w:styleId="Quote">
    <w:name w:val="Quote"/>
    <w:basedOn w:val="Normal"/>
    <w:next w:val="Normal"/>
    <w:link w:val="QuoteChar"/>
    <w:uiPriority w:val="16"/>
    <w:qFormat/>
    <w:rsid w:val="00857363"/>
    <w:pPr>
      <w:spacing w:before="240"/>
      <w:ind w:left="720" w:right="720"/>
    </w:pPr>
    <w:rPr>
      <w:i/>
      <w:iCs/>
      <w:color w:val="3266AB"/>
    </w:rPr>
  </w:style>
  <w:style w:type="character" w:customStyle="1" w:styleId="QuoteChar">
    <w:name w:val="Quote Char"/>
    <w:basedOn w:val="DefaultParagraphFont"/>
    <w:link w:val="Quote"/>
    <w:uiPriority w:val="16"/>
    <w:rsid w:val="00857363"/>
    <w:rPr>
      <w:i/>
      <w:iCs/>
      <w:color w:val="3266AB"/>
      <w:sz w:val="22"/>
    </w:rPr>
  </w:style>
  <w:style w:type="paragraph" w:styleId="IntenseQuote">
    <w:name w:val="Intense Quote"/>
    <w:basedOn w:val="Normal"/>
    <w:next w:val="Normal"/>
    <w:link w:val="IntenseQuoteChar"/>
    <w:uiPriority w:val="17"/>
    <w:qFormat/>
    <w:rsid w:val="00857363"/>
    <w:pPr>
      <w:spacing w:before="120"/>
      <w:ind w:left="720" w:right="720"/>
    </w:pPr>
    <w:rPr>
      <w:rFonts w:asciiTheme="majorHAnsi" w:eastAsiaTheme="majorEastAsia" w:hAnsiTheme="majorHAnsi" w:cstheme="majorBidi"/>
      <w:i/>
      <w:iCs/>
      <w:color w:val="3266AB"/>
      <w:sz w:val="32"/>
      <w:szCs w:val="32"/>
    </w:rPr>
  </w:style>
  <w:style w:type="character" w:customStyle="1" w:styleId="IntenseQuoteChar">
    <w:name w:val="Intense Quote Char"/>
    <w:basedOn w:val="DefaultParagraphFont"/>
    <w:link w:val="IntenseQuote"/>
    <w:uiPriority w:val="17"/>
    <w:rsid w:val="00857363"/>
    <w:rPr>
      <w:rFonts w:asciiTheme="majorHAnsi" w:eastAsiaTheme="majorEastAsia" w:hAnsiTheme="majorHAnsi" w:cstheme="majorBidi"/>
      <w:i/>
      <w:iCs/>
      <w:color w:val="3266AB"/>
      <w:sz w:val="32"/>
      <w:szCs w:val="32"/>
    </w:rPr>
  </w:style>
  <w:style w:type="character" w:styleId="SubtleEmphasis">
    <w:name w:val="Subtle Emphasis"/>
    <w:basedOn w:val="DefaultParagraphFont"/>
    <w:uiPriority w:val="19"/>
    <w:unhideWhenUsed/>
    <w:rsid w:val="00D525B8"/>
    <w:rPr>
      <w:i/>
      <w:iCs/>
    </w:rPr>
  </w:style>
  <w:style w:type="character" w:styleId="IntenseEmphasis">
    <w:name w:val="Intense Emphasis"/>
    <w:basedOn w:val="DefaultParagraphFont"/>
    <w:uiPriority w:val="21"/>
    <w:unhideWhenUsed/>
    <w:rsid w:val="00D525B8"/>
    <w:rPr>
      <w:b/>
      <w:bCs/>
      <w:i/>
      <w:iCs/>
    </w:rPr>
  </w:style>
  <w:style w:type="character" w:styleId="SubtleReference">
    <w:name w:val="Subtle Reference"/>
    <w:basedOn w:val="DefaultParagraphFont"/>
    <w:uiPriority w:val="31"/>
    <w:unhideWhenUsed/>
    <w:rsid w:val="00D525B8"/>
    <w:rPr>
      <w:smallCaps/>
      <w:color w:val="595959" w:themeColor="text1" w:themeTint="A6"/>
    </w:rPr>
  </w:style>
  <w:style w:type="character" w:styleId="IntenseReference">
    <w:name w:val="Intense Reference"/>
    <w:basedOn w:val="DefaultParagraphFont"/>
    <w:uiPriority w:val="32"/>
    <w:unhideWhenUsed/>
    <w:rsid w:val="006200EB"/>
    <w:rPr>
      <w:b/>
      <w:bCs/>
      <w:smallCaps/>
      <w:color w:val="3266AB"/>
    </w:rPr>
  </w:style>
  <w:style w:type="paragraph" w:styleId="TOCHeading">
    <w:name w:val="TOC Heading"/>
    <w:basedOn w:val="Heading1"/>
    <w:next w:val="Normal"/>
    <w:uiPriority w:val="39"/>
    <w:unhideWhenUsed/>
    <w:rsid w:val="00D525B8"/>
    <w:pPr>
      <w:outlineLvl w:val="9"/>
    </w:pPr>
  </w:style>
  <w:style w:type="paragraph" w:styleId="Header">
    <w:name w:val="header"/>
    <w:basedOn w:val="Normal"/>
    <w:link w:val="HeaderChar"/>
    <w:uiPriority w:val="99"/>
    <w:unhideWhenUsed/>
    <w:rsid w:val="00F957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57C6"/>
  </w:style>
  <w:style w:type="paragraph" w:styleId="Footer">
    <w:name w:val="footer"/>
    <w:basedOn w:val="Normal"/>
    <w:link w:val="FooterChar"/>
    <w:uiPriority w:val="99"/>
    <w:unhideWhenUsed/>
    <w:rsid w:val="00F957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7C6"/>
  </w:style>
  <w:style w:type="character" w:styleId="PlaceholderText">
    <w:name w:val="Placeholder Text"/>
    <w:basedOn w:val="DefaultParagraphFont"/>
    <w:uiPriority w:val="99"/>
    <w:semiHidden/>
    <w:rsid w:val="005226B9"/>
    <w:rPr>
      <w:color w:val="808080"/>
    </w:rPr>
  </w:style>
  <w:style w:type="paragraph" w:styleId="BalloonText">
    <w:name w:val="Balloon Text"/>
    <w:basedOn w:val="Normal"/>
    <w:link w:val="BalloonTextChar"/>
    <w:uiPriority w:val="99"/>
    <w:semiHidden/>
    <w:unhideWhenUsed/>
    <w:rsid w:val="005226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6B9"/>
    <w:rPr>
      <w:rFonts w:ascii="Segoe UI" w:hAnsi="Segoe UI" w:cs="Segoe UI"/>
      <w:sz w:val="18"/>
      <w:szCs w:val="18"/>
    </w:rPr>
  </w:style>
  <w:style w:type="paragraph" w:customStyle="1" w:styleId="CLASSIFICATION">
    <w:name w:val="CLASSIFICATION"/>
    <w:basedOn w:val="Normal"/>
    <w:link w:val="CLASSIFICATIONChar"/>
    <w:autoRedefine/>
    <w:uiPriority w:val="99"/>
    <w:unhideWhenUsed/>
    <w:rsid w:val="00F86700"/>
    <w:pPr>
      <w:jc w:val="center"/>
    </w:pPr>
    <w:rPr>
      <w:rFonts w:ascii="Segoe UI" w:hAnsi="Segoe UI"/>
      <w:caps/>
      <w:color w:val="C00000"/>
      <w:sz w:val="18"/>
    </w:rPr>
  </w:style>
  <w:style w:type="paragraph" w:customStyle="1" w:styleId="BOXHeading2">
    <w:name w:val="BOX Heading 2"/>
    <w:basedOn w:val="Heading2"/>
    <w:next w:val="BOXText"/>
    <w:uiPriority w:val="6"/>
    <w:qFormat/>
    <w:rsid w:val="0091141A"/>
    <w:pPr>
      <w:pBdr>
        <w:top w:val="single" w:sz="48" w:space="1" w:color="F2F2F2" w:themeColor="background1" w:themeShade="F2"/>
        <w:left w:val="single" w:sz="48" w:space="4" w:color="F2F2F2" w:themeColor="background1" w:themeShade="F2"/>
        <w:bottom w:val="single" w:sz="48" w:space="1" w:color="F2F2F2" w:themeColor="background1" w:themeShade="F2"/>
        <w:right w:val="single" w:sz="48" w:space="4" w:color="F2F2F2" w:themeColor="background1" w:themeShade="F2"/>
      </w:pBdr>
      <w:shd w:val="clear" w:color="auto" w:fill="F2F2F2" w:themeFill="background1" w:themeFillShade="F2"/>
      <w:ind w:left="227" w:right="227"/>
    </w:pPr>
  </w:style>
  <w:style w:type="character" w:customStyle="1" w:styleId="CLASSIFICATIONChar">
    <w:name w:val="CLASSIFICATION Char"/>
    <w:basedOn w:val="DefaultParagraphFont"/>
    <w:link w:val="CLASSIFICATION"/>
    <w:uiPriority w:val="99"/>
    <w:rsid w:val="00F86700"/>
    <w:rPr>
      <w:rFonts w:ascii="Segoe UI" w:hAnsi="Segoe UI"/>
      <w:caps/>
      <w:color w:val="C00000"/>
      <w:sz w:val="18"/>
    </w:rPr>
  </w:style>
  <w:style w:type="paragraph" w:customStyle="1" w:styleId="BOXText">
    <w:name w:val="BOX Text"/>
    <w:basedOn w:val="Normal"/>
    <w:next w:val="Normal"/>
    <w:uiPriority w:val="4"/>
    <w:qFormat/>
    <w:rsid w:val="005F3B45"/>
    <w:pPr>
      <w:pBdr>
        <w:top w:val="single" w:sz="48" w:space="1" w:color="F2F2F2" w:themeColor="background1" w:themeShade="F2"/>
        <w:left w:val="single" w:sz="48" w:space="4" w:color="F2F2F2" w:themeColor="background1" w:themeShade="F2"/>
        <w:bottom w:val="single" w:sz="48" w:space="1" w:color="F2F2F2" w:themeColor="background1" w:themeShade="F2"/>
        <w:right w:val="single" w:sz="48" w:space="4" w:color="F2F2F2" w:themeColor="background1" w:themeShade="F2"/>
      </w:pBdr>
      <w:shd w:val="clear" w:color="auto" w:fill="F2F2F2" w:themeFill="background1" w:themeFillShade="F2"/>
      <w:tabs>
        <w:tab w:val="left" w:pos="3300"/>
      </w:tabs>
      <w:ind w:left="227" w:right="227"/>
    </w:pPr>
    <w:rPr>
      <w:sz w:val="18"/>
      <w:szCs w:val="18"/>
    </w:rPr>
  </w:style>
  <w:style w:type="paragraph" w:customStyle="1" w:styleId="BOXBulletedList">
    <w:name w:val="BOX Bulleted List"/>
    <w:basedOn w:val="BOXText"/>
    <w:uiPriority w:val="5"/>
    <w:qFormat/>
    <w:rsid w:val="00BD171D"/>
    <w:pPr>
      <w:numPr>
        <w:numId w:val="2"/>
      </w:numPr>
      <w:ind w:left="511"/>
    </w:pPr>
  </w:style>
  <w:style w:type="table" w:styleId="TableGrid">
    <w:name w:val="Table Grid"/>
    <w:basedOn w:val="TableNormal"/>
    <w:uiPriority w:val="39"/>
    <w:rsid w:val="00BD5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BD57F5"/>
    <w:pPr>
      <w:spacing w:after="0" w:line="240" w:lineRule="auto"/>
    </w:pPr>
    <w:tblPr>
      <w:tblStyleRowBandSize w:val="1"/>
      <w:tblStyleColBandSize w:val="1"/>
      <w:tblBorders>
        <w:top w:val="single" w:sz="4" w:space="0" w:color="15F1FF" w:themeColor="accent1" w:themeTint="99"/>
        <w:left w:val="single" w:sz="4" w:space="0" w:color="15F1FF" w:themeColor="accent1" w:themeTint="99"/>
        <w:bottom w:val="single" w:sz="4" w:space="0" w:color="15F1FF" w:themeColor="accent1" w:themeTint="99"/>
        <w:right w:val="single" w:sz="4" w:space="0" w:color="15F1FF" w:themeColor="accent1" w:themeTint="99"/>
        <w:insideH w:val="single" w:sz="4" w:space="0" w:color="15F1FF" w:themeColor="accent1" w:themeTint="99"/>
      </w:tblBorders>
    </w:tblPr>
    <w:tblStylePr w:type="firstRow">
      <w:rPr>
        <w:b/>
        <w:bCs/>
        <w:color w:val="FFFFFF" w:themeColor="background1"/>
      </w:rPr>
      <w:tblPr/>
      <w:tcPr>
        <w:tcBorders>
          <w:top w:val="single" w:sz="4" w:space="0" w:color="007279" w:themeColor="accent1"/>
          <w:left w:val="single" w:sz="4" w:space="0" w:color="007279" w:themeColor="accent1"/>
          <w:bottom w:val="single" w:sz="4" w:space="0" w:color="007279" w:themeColor="accent1"/>
          <w:right w:val="single" w:sz="4" w:space="0" w:color="007279" w:themeColor="accent1"/>
          <w:insideH w:val="nil"/>
        </w:tcBorders>
        <w:shd w:val="clear" w:color="auto" w:fill="007279" w:themeFill="accent1"/>
      </w:tcPr>
    </w:tblStylePr>
    <w:tblStylePr w:type="lastRow">
      <w:rPr>
        <w:b/>
        <w:bCs/>
      </w:rPr>
      <w:tblPr/>
      <w:tcPr>
        <w:tcBorders>
          <w:top w:val="double" w:sz="4" w:space="0" w:color="15F1FF" w:themeColor="accent1" w:themeTint="99"/>
        </w:tcBorders>
      </w:tcPr>
    </w:tblStylePr>
    <w:tblStylePr w:type="firstCol">
      <w:rPr>
        <w:b/>
        <w:bCs/>
      </w:rPr>
    </w:tblStylePr>
    <w:tblStylePr w:type="lastCol">
      <w:rPr>
        <w:b/>
        <w:bCs/>
      </w:rPr>
    </w:tblStylePr>
    <w:tblStylePr w:type="band1Vert">
      <w:tblPr/>
      <w:tcPr>
        <w:shd w:val="clear" w:color="auto" w:fill="B1FAFF" w:themeFill="accent1" w:themeFillTint="33"/>
      </w:tcPr>
    </w:tblStylePr>
    <w:tblStylePr w:type="band1Horz">
      <w:tblPr/>
      <w:tcPr>
        <w:shd w:val="clear" w:color="auto" w:fill="B1FAFF" w:themeFill="accent1" w:themeFillTint="33"/>
      </w:tcPr>
    </w:tblStylePr>
  </w:style>
  <w:style w:type="paragraph" w:customStyle="1" w:styleId="Figure">
    <w:name w:val="Figure"/>
    <w:basedOn w:val="Normal"/>
    <w:uiPriority w:val="2"/>
    <w:qFormat/>
    <w:rsid w:val="006147EB"/>
    <w:pPr>
      <w:numPr>
        <w:numId w:val="28"/>
      </w:numPr>
      <w:spacing w:before="240"/>
    </w:pPr>
    <w:rPr>
      <w:rFonts w:ascii="Segoe UI" w:hAnsi="Segoe UI" w:cs="Segoe UI"/>
      <w:color w:val="3266AB"/>
    </w:rPr>
  </w:style>
  <w:style w:type="paragraph" w:customStyle="1" w:styleId="TBLHeading">
    <w:name w:val="TBL Heading"/>
    <w:basedOn w:val="Normal"/>
    <w:autoRedefine/>
    <w:uiPriority w:val="11"/>
    <w:qFormat/>
    <w:rsid w:val="009615D2"/>
    <w:pPr>
      <w:spacing w:after="0" w:line="240" w:lineRule="auto"/>
    </w:pPr>
    <w:rPr>
      <w:rFonts w:ascii="Segoe UI" w:hAnsi="Segoe UI" w:cs="Segoe UI"/>
      <w:color w:val="FFFFFF" w:themeColor="background1"/>
      <w:sz w:val="18"/>
    </w:rPr>
  </w:style>
  <w:style w:type="paragraph" w:customStyle="1" w:styleId="TBLText">
    <w:name w:val="TBL Text"/>
    <w:basedOn w:val="Normal"/>
    <w:uiPriority w:val="9"/>
    <w:qFormat/>
    <w:rsid w:val="004D3335"/>
    <w:pPr>
      <w:spacing w:after="120" w:line="240" w:lineRule="auto"/>
    </w:pPr>
    <w:rPr>
      <w:sz w:val="18"/>
      <w:szCs w:val="18"/>
    </w:rPr>
  </w:style>
  <w:style w:type="paragraph" w:customStyle="1" w:styleId="TBLBulletedList">
    <w:name w:val="TBL Bulleted List"/>
    <w:basedOn w:val="TBLText"/>
    <w:uiPriority w:val="10"/>
    <w:qFormat/>
    <w:rsid w:val="006C62B2"/>
    <w:pPr>
      <w:numPr>
        <w:numId w:val="13"/>
      </w:numPr>
    </w:pPr>
  </w:style>
  <w:style w:type="paragraph" w:customStyle="1" w:styleId="TBLNumberedList">
    <w:name w:val="TBL Numbered List"/>
    <w:basedOn w:val="TBLText"/>
    <w:uiPriority w:val="10"/>
    <w:qFormat/>
    <w:rsid w:val="00E05FA4"/>
    <w:pPr>
      <w:numPr>
        <w:numId w:val="14"/>
      </w:numPr>
      <w:ind w:left="270" w:hanging="270"/>
    </w:pPr>
  </w:style>
  <w:style w:type="paragraph" w:customStyle="1" w:styleId="BOXHeading3">
    <w:name w:val="BOX Heading 3"/>
    <w:basedOn w:val="BOXHeading2"/>
    <w:next w:val="BOXText"/>
    <w:uiPriority w:val="6"/>
    <w:qFormat/>
    <w:rsid w:val="00857363"/>
    <w:pPr>
      <w:outlineLvl w:val="2"/>
    </w:pPr>
    <w:rPr>
      <w:b/>
      <w:sz w:val="24"/>
      <w:szCs w:val="26"/>
    </w:rPr>
  </w:style>
  <w:style w:type="paragraph" w:styleId="ListParagraph">
    <w:name w:val="List Paragraph"/>
    <w:basedOn w:val="Normal"/>
    <w:uiPriority w:val="34"/>
    <w:unhideWhenUsed/>
    <w:rsid w:val="005917FD"/>
    <w:pPr>
      <w:ind w:left="720"/>
      <w:contextualSpacing/>
    </w:pPr>
  </w:style>
  <w:style w:type="paragraph" w:customStyle="1" w:styleId="BulletedList-Level1">
    <w:name w:val="Bulleted List - Level 1"/>
    <w:basedOn w:val="ListParagraph"/>
    <w:uiPriority w:val="1"/>
    <w:qFormat/>
    <w:rsid w:val="00BD171D"/>
    <w:pPr>
      <w:numPr>
        <w:numId w:val="15"/>
      </w:numPr>
      <w:ind w:left="568" w:hanging="284"/>
    </w:pPr>
  </w:style>
  <w:style w:type="paragraph" w:customStyle="1" w:styleId="BulletedList-Level2">
    <w:name w:val="Bulleted List - Level 2"/>
    <w:basedOn w:val="BulletedList-Level1"/>
    <w:uiPriority w:val="1"/>
    <w:qFormat/>
    <w:rsid w:val="00BD171D"/>
    <w:pPr>
      <w:numPr>
        <w:numId w:val="31"/>
      </w:numPr>
    </w:pPr>
  </w:style>
  <w:style w:type="paragraph" w:customStyle="1" w:styleId="BulletedList-Level3">
    <w:name w:val="Bulleted List - Level 3"/>
    <w:basedOn w:val="ListParagraph"/>
    <w:uiPriority w:val="1"/>
    <w:qFormat/>
    <w:rsid w:val="00BD171D"/>
    <w:pPr>
      <w:numPr>
        <w:numId w:val="32"/>
      </w:numPr>
      <w:ind w:left="1135" w:hanging="284"/>
    </w:pPr>
  </w:style>
  <w:style w:type="paragraph" w:customStyle="1" w:styleId="NumberedList-Level1">
    <w:name w:val="Numbered List - Level 1"/>
    <w:basedOn w:val="ListParagraph"/>
    <w:uiPriority w:val="1"/>
    <w:qFormat/>
    <w:rsid w:val="00BD171D"/>
    <w:pPr>
      <w:numPr>
        <w:numId w:val="22"/>
      </w:numPr>
      <w:ind w:left="568" w:hanging="284"/>
    </w:pPr>
  </w:style>
  <w:style w:type="paragraph" w:customStyle="1" w:styleId="NumberedList-level2">
    <w:name w:val="Numbered List - level 2"/>
    <w:basedOn w:val="ListParagraph"/>
    <w:uiPriority w:val="1"/>
    <w:qFormat/>
    <w:rsid w:val="00BD171D"/>
    <w:pPr>
      <w:numPr>
        <w:ilvl w:val="1"/>
        <w:numId w:val="22"/>
      </w:numPr>
    </w:pPr>
  </w:style>
  <w:style w:type="paragraph" w:customStyle="1" w:styleId="NumberedList-Level3">
    <w:name w:val="Numbered List - Level 3"/>
    <w:basedOn w:val="ListParagraph"/>
    <w:uiPriority w:val="1"/>
    <w:qFormat/>
    <w:rsid w:val="00BD171D"/>
    <w:pPr>
      <w:numPr>
        <w:ilvl w:val="2"/>
        <w:numId w:val="22"/>
      </w:numPr>
    </w:pPr>
  </w:style>
  <w:style w:type="paragraph" w:customStyle="1" w:styleId="BoxDark-HeadingLevel1">
    <w:name w:val="Box Dark - Heading Level 1"/>
    <w:basedOn w:val="BOXHeading2"/>
    <w:uiPriority w:val="9"/>
    <w:rsid w:val="00311C2D"/>
    <w:pPr>
      <w:pBdr>
        <w:top w:val="single" w:sz="48" w:space="1" w:color="007279" w:themeColor="accent1"/>
        <w:left w:val="single" w:sz="48" w:space="4" w:color="007279" w:themeColor="accent1"/>
        <w:bottom w:val="single" w:sz="48" w:space="1" w:color="007279" w:themeColor="accent1"/>
        <w:right w:val="single" w:sz="48" w:space="4" w:color="007279" w:themeColor="accent1"/>
      </w:pBdr>
      <w:shd w:val="clear" w:color="auto" w:fill="007279" w:themeFill="accent1"/>
    </w:pPr>
    <w:rPr>
      <w:color w:val="FFFFFF" w:themeColor="background1"/>
    </w:rPr>
  </w:style>
  <w:style w:type="paragraph" w:styleId="TOC1">
    <w:name w:val="toc 1"/>
    <w:basedOn w:val="Normal"/>
    <w:next w:val="Normal"/>
    <w:autoRedefine/>
    <w:uiPriority w:val="39"/>
    <w:unhideWhenUsed/>
    <w:rsid w:val="00117A77"/>
    <w:pPr>
      <w:spacing w:after="100"/>
    </w:pPr>
  </w:style>
  <w:style w:type="paragraph" w:styleId="TOC2">
    <w:name w:val="toc 2"/>
    <w:basedOn w:val="Normal"/>
    <w:next w:val="Normal"/>
    <w:autoRedefine/>
    <w:uiPriority w:val="39"/>
    <w:unhideWhenUsed/>
    <w:rsid w:val="00117A77"/>
    <w:pPr>
      <w:spacing w:after="100"/>
      <w:ind w:left="220"/>
    </w:pPr>
  </w:style>
  <w:style w:type="paragraph" w:styleId="TOC3">
    <w:name w:val="toc 3"/>
    <w:basedOn w:val="Normal"/>
    <w:next w:val="Normal"/>
    <w:autoRedefine/>
    <w:uiPriority w:val="39"/>
    <w:unhideWhenUsed/>
    <w:rsid w:val="00117A77"/>
    <w:pPr>
      <w:spacing w:after="100"/>
      <w:ind w:left="440"/>
    </w:pPr>
  </w:style>
  <w:style w:type="character" w:styleId="Hyperlink">
    <w:name w:val="Hyperlink"/>
    <w:basedOn w:val="DefaultParagraphFont"/>
    <w:uiPriority w:val="99"/>
    <w:unhideWhenUsed/>
    <w:rsid w:val="00117A77"/>
    <w:rPr>
      <w:color w:val="007279" w:themeColor="hyperlink"/>
      <w:u w:val="single"/>
    </w:rPr>
  </w:style>
  <w:style w:type="paragraph" w:customStyle="1" w:styleId="BoxDark-HeadingLevel3">
    <w:name w:val="Box Dark - Heading Level 3"/>
    <w:basedOn w:val="BOXHeading3"/>
    <w:uiPriority w:val="9"/>
    <w:rsid w:val="00311C2D"/>
    <w:pPr>
      <w:pBdr>
        <w:top w:val="single" w:sz="48" w:space="1" w:color="007279" w:themeColor="accent1"/>
        <w:left w:val="single" w:sz="48" w:space="4" w:color="007279" w:themeColor="accent1"/>
        <w:bottom w:val="single" w:sz="48" w:space="1" w:color="007279" w:themeColor="accent1"/>
        <w:right w:val="single" w:sz="48" w:space="4" w:color="007279" w:themeColor="accent1"/>
      </w:pBdr>
      <w:shd w:val="clear" w:color="auto" w:fill="007279" w:themeFill="accent1"/>
    </w:pPr>
    <w:rPr>
      <w:color w:val="FFFFFF" w:themeColor="background1"/>
    </w:rPr>
  </w:style>
  <w:style w:type="paragraph" w:customStyle="1" w:styleId="BoxDark-Text">
    <w:name w:val="Box Dark - Text"/>
    <w:basedOn w:val="BOXText"/>
    <w:uiPriority w:val="7"/>
    <w:rsid w:val="00FE2C7F"/>
    <w:pPr>
      <w:pBdr>
        <w:top w:val="single" w:sz="48" w:space="1" w:color="007279" w:themeColor="accent1"/>
        <w:left w:val="single" w:sz="48" w:space="4" w:color="007279" w:themeColor="accent1"/>
        <w:bottom w:val="single" w:sz="48" w:space="1" w:color="007279" w:themeColor="accent1"/>
        <w:right w:val="single" w:sz="48" w:space="4" w:color="007279" w:themeColor="accent1"/>
      </w:pBdr>
      <w:shd w:val="clear" w:color="auto" w:fill="007279" w:themeFill="accent1"/>
    </w:pPr>
    <w:rPr>
      <w:rFonts w:ascii="Segoe UI Semilight" w:hAnsi="Segoe UI Semilight"/>
      <w:color w:val="FFFFFF" w:themeColor="background1"/>
    </w:rPr>
  </w:style>
  <w:style w:type="paragraph" w:customStyle="1" w:styleId="BoxDark-BulletedList">
    <w:name w:val="Box Dark - Bulleted List"/>
    <w:basedOn w:val="BOXBulletedList"/>
    <w:uiPriority w:val="8"/>
    <w:rsid w:val="00FE2C7F"/>
    <w:pPr>
      <w:pBdr>
        <w:top w:val="single" w:sz="48" w:space="1" w:color="007279" w:themeColor="accent1"/>
        <w:left w:val="single" w:sz="48" w:space="4" w:color="007279" w:themeColor="accent1"/>
        <w:bottom w:val="single" w:sz="48" w:space="1" w:color="007279" w:themeColor="accent1"/>
        <w:right w:val="single" w:sz="48" w:space="4" w:color="007279" w:themeColor="accent1"/>
      </w:pBdr>
      <w:shd w:val="clear" w:color="auto" w:fill="007279" w:themeFill="accent1"/>
    </w:pPr>
    <w:rPr>
      <w:rFonts w:ascii="Segoe UI Semilight" w:hAnsi="Segoe UI Semilight"/>
    </w:rPr>
  </w:style>
  <w:style w:type="paragraph" w:customStyle="1" w:styleId="BOXNumberedList">
    <w:name w:val="BOX Numbered List"/>
    <w:basedOn w:val="BOXText"/>
    <w:uiPriority w:val="5"/>
    <w:qFormat/>
    <w:rsid w:val="00BD171D"/>
    <w:pPr>
      <w:numPr>
        <w:numId w:val="29"/>
      </w:numPr>
      <w:ind w:left="584" w:hanging="357"/>
    </w:pPr>
  </w:style>
  <w:style w:type="paragraph" w:customStyle="1" w:styleId="BoxDark-NumberedList">
    <w:name w:val="Box Dark - Numbered List"/>
    <w:basedOn w:val="BOXNumberedList"/>
    <w:uiPriority w:val="8"/>
    <w:rsid w:val="00FE2C7F"/>
    <w:pPr>
      <w:numPr>
        <w:numId w:val="30"/>
      </w:numPr>
      <w:pBdr>
        <w:top w:val="single" w:sz="48" w:space="1" w:color="007279" w:themeColor="accent1"/>
        <w:left w:val="single" w:sz="48" w:space="4" w:color="007279" w:themeColor="accent1"/>
        <w:bottom w:val="single" w:sz="48" w:space="1" w:color="007279" w:themeColor="accent1"/>
        <w:right w:val="single" w:sz="48" w:space="4" w:color="007279" w:themeColor="accent1"/>
      </w:pBdr>
      <w:shd w:val="clear" w:color="auto" w:fill="007279" w:themeFill="accent1"/>
      <w:ind w:left="584" w:hanging="357"/>
    </w:pPr>
  </w:style>
  <w:style w:type="table" w:customStyle="1" w:styleId="Custom1">
    <w:name w:val="Custom 1"/>
    <w:basedOn w:val="TableNormal"/>
    <w:uiPriority w:val="99"/>
    <w:rsid w:val="00665FB6"/>
    <w:pPr>
      <w:spacing w:after="0" w:line="240" w:lineRule="auto"/>
    </w:pPr>
    <w:rPr>
      <w:sz w:val="18"/>
    </w:rPr>
    <w:tblPr>
      <w:tblStyleRowBandSize w:val="1"/>
      <w:tblBorders>
        <w:top w:val="single" w:sz="4" w:space="0" w:color="007279" w:themeColor="accent1"/>
        <w:bottom w:val="single" w:sz="12" w:space="0" w:color="007279" w:themeColor="accent1"/>
        <w:insideH w:val="single" w:sz="4" w:space="0" w:color="007279" w:themeColor="accent1"/>
      </w:tblBorders>
      <w:tblCellMar>
        <w:top w:w="57" w:type="dxa"/>
        <w:bottom w:w="57" w:type="dxa"/>
      </w:tblCellMar>
    </w:tblPr>
    <w:tblStylePr w:type="firstRow">
      <w:rPr>
        <w:rFonts w:asciiTheme="minorHAnsi" w:hAnsiTheme="minorHAnsi"/>
        <w:b/>
        <w:sz w:val="18"/>
      </w:rPr>
      <w:tblPr/>
      <w:tcPr>
        <w:shd w:val="clear" w:color="auto" w:fill="007279" w:themeFill="accent1"/>
      </w:tcPr>
    </w:tblStylePr>
    <w:tblStylePr w:type="band1Horz">
      <w:tblPr/>
      <w:tcPr>
        <w:shd w:val="clear" w:color="auto" w:fill="D8D8D8" w:themeFill="background2"/>
      </w:tcPr>
    </w:tblStylePr>
  </w:style>
  <w:style w:type="table" w:customStyle="1" w:styleId="Style1">
    <w:name w:val="Style1"/>
    <w:basedOn w:val="Custom1"/>
    <w:uiPriority w:val="99"/>
    <w:rsid w:val="00D500C1"/>
    <w:tblPr>
      <w:tblBorders>
        <w:top w:val="none" w:sz="0" w:space="0" w:color="auto"/>
        <w:left w:val="single" w:sz="4" w:space="0" w:color="007279" w:themeColor="accent1"/>
        <w:bottom w:val="single" w:sz="4" w:space="0" w:color="007279" w:themeColor="accent1"/>
        <w:right w:val="single" w:sz="4" w:space="0" w:color="007279" w:themeColor="accent1"/>
        <w:insideH w:val="none" w:sz="0" w:space="0" w:color="auto"/>
        <w:insideV w:val="single" w:sz="4" w:space="0" w:color="007279" w:themeColor="accent1"/>
      </w:tblBorders>
    </w:tblPr>
    <w:tblStylePr w:type="firstRow">
      <w:rPr>
        <w:rFonts w:asciiTheme="minorHAnsi" w:hAnsiTheme="minorHAnsi"/>
        <w:b/>
        <w:sz w:val="18"/>
      </w:rPr>
      <w:tblPr/>
      <w:tcPr>
        <w:shd w:val="clear" w:color="auto" w:fill="007279" w:themeFill="accent1"/>
      </w:tcPr>
    </w:tblStylePr>
    <w:tblStylePr w:type="firstCol">
      <w:rPr>
        <w:b/>
      </w:rPr>
      <w:tblPr/>
      <w:tcPr>
        <w:shd w:val="clear" w:color="auto" w:fill="007279" w:themeFill="accent1"/>
      </w:tcPr>
    </w:tblStylePr>
    <w:tblStylePr w:type="band1Horz">
      <w:tblPr/>
      <w:tcPr>
        <w:shd w:val="clear" w:color="auto" w:fill="D8D8D8" w:themeFill="background2"/>
      </w:tcPr>
    </w:tblStylePr>
  </w:style>
  <w:style w:type="character" w:styleId="UnresolvedMention">
    <w:name w:val="Unresolved Mention"/>
    <w:basedOn w:val="DefaultParagraphFont"/>
    <w:uiPriority w:val="99"/>
    <w:semiHidden/>
    <w:unhideWhenUsed/>
    <w:rsid w:val="006C7E16"/>
    <w:rPr>
      <w:color w:val="605E5C"/>
      <w:shd w:val="clear" w:color="auto" w:fill="E1DFDD"/>
    </w:rPr>
  </w:style>
  <w:style w:type="paragraph" w:styleId="Revision">
    <w:name w:val="Revision"/>
    <w:hidden/>
    <w:uiPriority w:val="99"/>
    <w:semiHidden/>
    <w:rsid w:val="005F66F9"/>
    <w:pPr>
      <w:spacing w:after="0" w:line="240" w:lineRule="auto"/>
    </w:pPr>
    <w:rPr>
      <w:sz w:val="22"/>
    </w:rPr>
  </w:style>
  <w:style w:type="character" w:styleId="CommentReference">
    <w:name w:val="annotation reference"/>
    <w:basedOn w:val="DefaultParagraphFont"/>
    <w:uiPriority w:val="99"/>
    <w:semiHidden/>
    <w:unhideWhenUsed/>
    <w:rsid w:val="00810E90"/>
    <w:rPr>
      <w:sz w:val="16"/>
      <w:szCs w:val="16"/>
    </w:rPr>
  </w:style>
  <w:style w:type="paragraph" w:styleId="CommentText">
    <w:name w:val="annotation text"/>
    <w:basedOn w:val="Normal"/>
    <w:link w:val="CommentTextChar"/>
    <w:uiPriority w:val="99"/>
    <w:unhideWhenUsed/>
    <w:rsid w:val="00810E90"/>
    <w:pPr>
      <w:spacing w:line="240" w:lineRule="auto"/>
    </w:pPr>
    <w:rPr>
      <w:sz w:val="20"/>
      <w:szCs w:val="20"/>
    </w:rPr>
  </w:style>
  <w:style w:type="character" w:customStyle="1" w:styleId="CommentTextChar">
    <w:name w:val="Comment Text Char"/>
    <w:basedOn w:val="DefaultParagraphFont"/>
    <w:link w:val="CommentText"/>
    <w:uiPriority w:val="99"/>
    <w:rsid w:val="00810E90"/>
    <w:rPr>
      <w:sz w:val="20"/>
      <w:szCs w:val="20"/>
    </w:rPr>
  </w:style>
  <w:style w:type="paragraph" w:styleId="CommentSubject">
    <w:name w:val="annotation subject"/>
    <w:basedOn w:val="CommentText"/>
    <w:next w:val="CommentText"/>
    <w:link w:val="CommentSubjectChar"/>
    <w:uiPriority w:val="99"/>
    <w:semiHidden/>
    <w:unhideWhenUsed/>
    <w:rsid w:val="00810E90"/>
    <w:rPr>
      <w:b/>
      <w:bCs/>
    </w:rPr>
  </w:style>
  <w:style w:type="character" w:customStyle="1" w:styleId="CommentSubjectChar">
    <w:name w:val="Comment Subject Char"/>
    <w:basedOn w:val="CommentTextChar"/>
    <w:link w:val="CommentSubject"/>
    <w:uiPriority w:val="99"/>
    <w:semiHidden/>
    <w:rsid w:val="00810E90"/>
    <w:rPr>
      <w:b/>
      <w:bCs/>
      <w:sz w:val="20"/>
      <w:szCs w:val="20"/>
    </w:rPr>
  </w:style>
  <w:style w:type="character" w:styleId="FollowedHyperlink">
    <w:name w:val="FollowedHyperlink"/>
    <w:basedOn w:val="DefaultParagraphFont"/>
    <w:uiPriority w:val="99"/>
    <w:semiHidden/>
    <w:unhideWhenUsed/>
    <w:rsid w:val="000E5B4B"/>
    <w:rPr>
      <w:color w:val="007279" w:themeColor="followedHyperlink"/>
      <w:u w:val="single"/>
    </w:rPr>
  </w:style>
  <w:style w:type="table" w:customStyle="1" w:styleId="LightGrid-Accent21">
    <w:name w:val="Light Grid - Accent 21"/>
    <w:basedOn w:val="TableNormal"/>
    <w:next w:val="LightGrid-Accent2"/>
    <w:uiPriority w:val="62"/>
    <w:rsid w:val="00A17097"/>
    <w:pPr>
      <w:spacing w:after="0" w:line="240" w:lineRule="auto"/>
    </w:pPr>
    <w:rPr>
      <w:rFonts w:eastAsia="Times New Roman" w:cs="Times New Roman"/>
      <w:sz w:val="24"/>
      <w:szCs w:val="24"/>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auto"/>
    </w:tcPr>
    <w:tblStylePr w:type="firstRow">
      <w:pPr>
        <w:spacing w:before="0" w:after="0" w:line="240" w:lineRule="auto"/>
      </w:pPr>
      <w:rPr>
        <w:rFonts w:ascii="Yu Mincho Light" w:eastAsia="Times New Roman" w:hAnsi="Yu Mincho Light" w:cs="Times New Roman"/>
        <w:b/>
        <w:bCs/>
      </w:rPr>
      <w:tblPr/>
      <w:tcPr>
        <w:shd w:val="clear" w:color="auto" w:fill="CD0920"/>
      </w:tcPr>
    </w:tblStylePr>
    <w:tblStylePr w:type="lastRow">
      <w:pPr>
        <w:spacing w:before="0" w:after="0" w:line="240" w:lineRule="auto"/>
      </w:pPr>
      <w:rPr>
        <w:rFonts w:ascii="Yu Mincho Light" w:eastAsia="Times New Roman" w:hAnsi="Yu Mincho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Yu Mincho Light" w:eastAsia="Times New Roman" w:hAnsi="Yu Mincho Light" w:cs="Times New Roman"/>
        <w:b/>
        <w:bCs/>
      </w:rPr>
    </w:tblStylePr>
    <w:tblStylePr w:type="lastCol">
      <w:rPr>
        <w:rFonts w:ascii="Yu Mincho Light" w:eastAsia="Times New Roman" w:hAnsi="Yu Mincho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2">
    <w:name w:val="Light Grid Accent 2"/>
    <w:basedOn w:val="TableNormal"/>
    <w:uiPriority w:val="62"/>
    <w:semiHidden/>
    <w:unhideWhenUsed/>
    <w:rsid w:val="00A17097"/>
    <w:pPr>
      <w:spacing w:after="0" w:line="240" w:lineRule="auto"/>
    </w:pPr>
    <w:tblPr>
      <w:tblStyleRowBandSize w:val="1"/>
      <w:tblStyleColBandSize w:val="1"/>
      <w:tblBorders>
        <w:top w:val="single" w:sz="8" w:space="0" w:color="1C2B39" w:themeColor="accent2"/>
        <w:left w:val="single" w:sz="8" w:space="0" w:color="1C2B39" w:themeColor="accent2"/>
        <w:bottom w:val="single" w:sz="8" w:space="0" w:color="1C2B39" w:themeColor="accent2"/>
        <w:right w:val="single" w:sz="8" w:space="0" w:color="1C2B39" w:themeColor="accent2"/>
        <w:insideH w:val="single" w:sz="8" w:space="0" w:color="1C2B39" w:themeColor="accent2"/>
        <w:insideV w:val="single" w:sz="8" w:space="0" w:color="1C2B3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2B39" w:themeColor="accent2"/>
          <w:left w:val="single" w:sz="8" w:space="0" w:color="1C2B39" w:themeColor="accent2"/>
          <w:bottom w:val="single" w:sz="18" w:space="0" w:color="1C2B39" w:themeColor="accent2"/>
          <w:right w:val="single" w:sz="8" w:space="0" w:color="1C2B39" w:themeColor="accent2"/>
          <w:insideH w:val="nil"/>
          <w:insideV w:val="single" w:sz="8" w:space="0" w:color="1C2B3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2B39" w:themeColor="accent2"/>
          <w:left w:val="single" w:sz="8" w:space="0" w:color="1C2B39" w:themeColor="accent2"/>
          <w:bottom w:val="single" w:sz="8" w:space="0" w:color="1C2B39" w:themeColor="accent2"/>
          <w:right w:val="single" w:sz="8" w:space="0" w:color="1C2B39" w:themeColor="accent2"/>
          <w:insideH w:val="nil"/>
          <w:insideV w:val="single" w:sz="8" w:space="0" w:color="1C2B3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2B39" w:themeColor="accent2"/>
          <w:left w:val="single" w:sz="8" w:space="0" w:color="1C2B39" w:themeColor="accent2"/>
          <w:bottom w:val="single" w:sz="8" w:space="0" w:color="1C2B39" w:themeColor="accent2"/>
          <w:right w:val="single" w:sz="8" w:space="0" w:color="1C2B39" w:themeColor="accent2"/>
        </w:tcBorders>
      </w:tcPr>
    </w:tblStylePr>
    <w:tblStylePr w:type="band1Vert">
      <w:tblPr/>
      <w:tcPr>
        <w:tcBorders>
          <w:top w:val="single" w:sz="8" w:space="0" w:color="1C2B39" w:themeColor="accent2"/>
          <w:left w:val="single" w:sz="8" w:space="0" w:color="1C2B39" w:themeColor="accent2"/>
          <w:bottom w:val="single" w:sz="8" w:space="0" w:color="1C2B39" w:themeColor="accent2"/>
          <w:right w:val="single" w:sz="8" w:space="0" w:color="1C2B39" w:themeColor="accent2"/>
        </w:tcBorders>
        <w:shd w:val="clear" w:color="auto" w:fill="B8CADC" w:themeFill="accent2" w:themeFillTint="3F"/>
      </w:tcPr>
    </w:tblStylePr>
    <w:tblStylePr w:type="band1Horz">
      <w:tblPr/>
      <w:tcPr>
        <w:tcBorders>
          <w:top w:val="single" w:sz="8" w:space="0" w:color="1C2B39" w:themeColor="accent2"/>
          <w:left w:val="single" w:sz="8" w:space="0" w:color="1C2B39" w:themeColor="accent2"/>
          <w:bottom w:val="single" w:sz="8" w:space="0" w:color="1C2B39" w:themeColor="accent2"/>
          <w:right w:val="single" w:sz="8" w:space="0" w:color="1C2B39" w:themeColor="accent2"/>
          <w:insideV w:val="single" w:sz="8" w:space="0" w:color="1C2B39" w:themeColor="accent2"/>
        </w:tcBorders>
        <w:shd w:val="clear" w:color="auto" w:fill="B8CADC" w:themeFill="accent2" w:themeFillTint="3F"/>
      </w:tcPr>
    </w:tblStylePr>
    <w:tblStylePr w:type="band2Horz">
      <w:tblPr/>
      <w:tcPr>
        <w:tcBorders>
          <w:top w:val="single" w:sz="8" w:space="0" w:color="1C2B39" w:themeColor="accent2"/>
          <w:left w:val="single" w:sz="8" w:space="0" w:color="1C2B39" w:themeColor="accent2"/>
          <w:bottom w:val="single" w:sz="8" w:space="0" w:color="1C2B39" w:themeColor="accent2"/>
          <w:right w:val="single" w:sz="8" w:space="0" w:color="1C2B39" w:themeColor="accent2"/>
          <w:insideV w:val="single" w:sz="8" w:space="0" w:color="1C2B39" w:themeColor="accent2"/>
        </w:tcBorders>
      </w:tcPr>
    </w:tblStylePr>
  </w:style>
  <w:style w:type="paragraph" w:customStyle="1" w:styleId="Default">
    <w:name w:val="Default"/>
    <w:rsid w:val="008A3133"/>
    <w:pPr>
      <w:autoSpaceDE w:val="0"/>
      <w:autoSpaceDN w:val="0"/>
      <w:adjustRightInd w:val="0"/>
      <w:spacing w:after="0" w:line="240" w:lineRule="auto"/>
    </w:pPr>
    <w:rPr>
      <w:rFonts w:ascii="Inter Light" w:hAnsi="Inter Light" w:cs="Inter Light"/>
      <w:color w:val="000000"/>
      <w:sz w:val="24"/>
      <w:szCs w:val="24"/>
    </w:rPr>
  </w:style>
  <w:style w:type="character" w:customStyle="1" w:styleId="A9">
    <w:name w:val="A9"/>
    <w:uiPriority w:val="99"/>
    <w:rsid w:val="008A3133"/>
    <w:rPr>
      <w:rFonts w:cs="Inter Light"/>
      <w:color w:val="042534"/>
    </w:rPr>
  </w:style>
  <w:style w:type="table" w:styleId="PlainTable2">
    <w:name w:val="Plain Table 2"/>
    <w:basedOn w:val="TableNormal"/>
    <w:uiPriority w:val="42"/>
    <w:rsid w:val="00B04CDA"/>
    <w:pPr>
      <w:spacing w:after="0" w:line="240" w:lineRule="auto"/>
    </w:pPr>
    <w:rPr>
      <w:rFonts w:eastAsiaTheme="minorHAnsi"/>
      <w:sz w:val="22"/>
      <w:szCs w:val="22"/>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ention">
    <w:name w:val="Mention"/>
    <w:basedOn w:val="DefaultParagraphFont"/>
    <w:uiPriority w:val="99"/>
    <w:unhideWhenUsed/>
    <w:rsid w:val="000818AA"/>
    <w:rPr>
      <w:color w:val="2B579A"/>
      <w:shd w:val="clear" w:color="auto" w:fill="E1DFDD"/>
    </w:rPr>
  </w:style>
  <w:style w:type="character" w:styleId="BookTitle">
    <w:name w:val="Book Title"/>
    <w:basedOn w:val="DefaultParagraphFont"/>
    <w:uiPriority w:val="33"/>
    <w:semiHidden/>
    <w:unhideWhenUsed/>
    <w:rsid w:val="00A429B6"/>
    <w:rPr>
      <w:b/>
      <w:bCs/>
      <w:i/>
      <w:iCs/>
      <w:spacing w:val="5"/>
    </w:rPr>
  </w:style>
  <w:style w:type="paragraph" w:styleId="NormalWeb">
    <w:name w:val="Normal (Web)"/>
    <w:basedOn w:val="Normal"/>
    <w:uiPriority w:val="99"/>
    <w:semiHidden/>
    <w:unhideWhenUsed/>
    <w:rsid w:val="00A10E0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185144">
      <w:bodyDiv w:val="1"/>
      <w:marLeft w:val="0"/>
      <w:marRight w:val="0"/>
      <w:marTop w:val="0"/>
      <w:marBottom w:val="0"/>
      <w:divBdr>
        <w:top w:val="none" w:sz="0" w:space="0" w:color="auto"/>
        <w:left w:val="none" w:sz="0" w:space="0" w:color="auto"/>
        <w:bottom w:val="none" w:sz="0" w:space="0" w:color="auto"/>
        <w:right w:val="none" w:sz="0" w:space="0" w:color="auto"/>
      </w:divBdr>
    </w:div>
    <w:div w:id="187383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16">
      <a:dk1>
        <a:srgbClr val="000000"/>
      </a:dk1>
      <a:lt1>
        <a:srgbClr val="FFFFFF"/>
      </a:lt1>
      <a:dk2>
        <a:srgbClr val="0F1F35"/>
      </a:dk2>
      <a:lt2>
        <a:srgbClr val="D8D8D8"/>
      </a:lt2>
      <a:accent1>
        <a:srgbClr val="007279"/>
      </a:accent1>
      <a:accent2>
        <a:srgbClr val="1C2B39"/>
      </a:accent2>
      <a:accent3>
        <a:srgbClr val="F26337"/>
      </a:accent3>
      <a:accent4>
        <a:srgbClr val="4BADB0"/>
      </a:accent4>
      <a:accent5>
        <a:srgbClr val="B75B53"/>
      </a:accent5>
      <a:accent6>
        <a:srgbClr val="FCB76C"/>
      </a:accent6>
      <a:hlink>
        <a:srgbClr val="007279"/>
      </a:hlink>
      <a:folHlink>
        <a:srgbClr val="007279"/>
      </a:folHlink>
    </a:clrScheme>
    <a:fontScheme name="PM&amp;C light">
      <a:majorFont>
        <a:latin typeface="Times New Roman"/>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e6ba7ff-9897-4e65-9803-3be34fd9cf5a}" enabled="1" method="Privileged" siteId="{8c3c81bc-2b3c-44af-b3f7-6f620b3910ee}" removed="0"/>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2575</Words>
  <Characters>14682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2026-10-12T04:32:00Z</dcterms:created>
  <dcterms:modified xsi:type="dcterms:W3CDTF">2026-10-12T04:53:00Z</dcterms:modified>
</cp:coreProperties>
</file>