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819AF" w14:textId="4700C539" w:rsidR="00BA24FB" w:rsidRPr="00B54E13" w:rsidRDefault="00BA24FB" w:rsidP="00B54E13">
      <w:pPr>
        <w:spacing w:before="0" w:after="0"/>
        <w:rPr>
          <w:sz w:val="2"/>
          <w:szCs w:val="2"/>
        </w:rPr>
      </w:pPr>
    </w:p>
    <w:p w14:paraId="27BE3334" w14:textId="77777777" w:rsidR="00827492" w:rsidRDefault="00827492" w:rsidP="00827492">
      <w:pPr>
        <w:framePr w:w="6237" w:h="1134" w:hSpace="181" w:wrap="around" w:vAnchor="page" w:hAnchor="page" w:x="1022" w:y="1135" w:anchorLock="1"/>
        <w:spacing w:before="0" w:after="0"/>
      </w:pPr>
      <w:r>
        <w:rPr>
          <w:noProof/>
          <w:lang w:eastAsia="en-AU"/>
        </w:rPr>
        <w:drawing>
          <wp:inline distT="0" distB="0" distL="0" distR="0" wp14:anchorId="2D4CD7DD" wp14:editId="53144569">
            <wp:extent cx="3647614" cy="60155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ustralian Government&#10;Department of Infrastructure, Transport, Regional Development, Communications and the Arts"/>
                    <pic:cNvPicPr/>
                  </pic:nvPicPr>
                  <pic:blipFill>
                    <a:blip r:embed="rId9">
                      <a:extLst>
                        <a:ext uri="{28A0092B-C50C-407E-A947-70E740481C1C}">
                          <a14:useLocalDpi xmlns:a14="http://schemas.microsoft.com/office/drawing/2010/main" val="0"/>
                        </a:ext>
                      </a:extLst>
                    </a:blip>
                    <a:stretch>
                      <a:fillRect/>
                    </a:stretch>
                  </pic:blipFill>
                  <pic:spPr>
                    <a:xfrm>
                      <a:off x="0" y="0"/>
                      <a:ext cx="3647614" cy="601555"/>
                    </a:xfrm>
                    <a:prstGeom prst="rect">
                      <a:avLst/>
                    </a:prstGeom>
                  </pic:spPr>
                </pic:pic>
              </a:graphicData>
            </a:graphic>
          </wp:inline>
        </w:drawing>
      </w:r>
    </w:p>
    <w:p w14:paraId="46BF29A2" w14:textId="77777777" w:rsidR="008456D5" w:rsidRDefault="008456D5" w:rsidP="00B54E13">
      <w:pPr>
        <w:spacing w:before="360" w:after="1200"/>
        <w:ind w:left="-1247"/>
      </w:pPr>
    </w:p>
    <w:p w14:paraId="2EACFA3A" w14:textId="35DA571B" w:rsidR="003C705C" w:rsidRDefault="00AC4742" w:rsidP="00B54E13">
      <w:pPr>
        <w:pStyle w:val="Title"/>
        <w:spacing w:before="600"/>
        <w:ind w:left="1276"/>
      </w:pPr>
      <w:r>
        <w:t>Radio prominence framework for smart speaker</w:t>
      </w:r>
      <w:r w:rsidR="009A7383">
        <w:t>s</w:t>
      </w:r>
    </w:p>
    <w:p w14:paraId="3D085CC3" w14:textId="6A223D1E" w:rsidR="00DE4FE2" w:rsidRDefault="00DB212F" w:rsidP="00B54E13">
      <w:pPr>
        <w:pStyle w:val="Subtitle"/>
        <w:ind w:left="1276"/>
      </w:pPr>
      <w:r>
        <w:t>I</w:t>
      </w:r>
      <w:r w:rsidR="00DE3EAB">
        <w:t>mpact analysis</w:t>
      </w:r>
    </w:p>
    <w:p w14:paraId="04DB6894" w14:textId="03CB902F" w:rsidR="00DE4FE2" w:rsidRDefault="007004A2" w:rsidP="00B54E13">
      <w:pPr>
        <w:pStyle w:val="CoverDate"/>
        <w:ind w:left="1276"/>
      </w:pPr>
      <w:r>
        <w:t>Augus</w:t>
      </w:r>
      <w:r w:rsidR="00160006">
        <w:t xml:space="preserve"> </w:t>
      </w:r>
      <w:r w:rsidR="00892FEA">
        <w:t>202</w:t>
      </w:r>
      <w:r w:rsidR="003D402B">
        <w:t>6</w:t>
      </w:r>
    </w:p>
    <w:p w14:paraId="7047B108" w14:textId="77777777" w:rsidR="00B54E13" w:rsidRDefault="00992711" w:rsidP="00B54E13">
      <w:pPr>
        <w:framePr w:w="11907" w:h="5443" w:wrap="around" w:vAnchor="page" w:hAnchor="page" w:x="1" w:yAlign="bottom"/>
        <w:spacing w:before="0" w:after="0"/>
        <w:jc w:val="both"/>
      </w:pPr>
      <w:r>
        <w:rPr>
          <w:noProof/>
          <w:lang w:eastAsia="en-AU"/>
        </w:rPr>
        <w:drawing>
          <wp:inline distT="0" distB="0" distL="0" distR="0" wp14:anchorId="01F834EB" wp14:editId="6E3A80F9">
            <wp:extent cx="7553325" cy="3493135"/>
            <wp:effectExtent l="0" t="0" r="9525" b="0"/>
            <wp:docPr id="3" name="Picture 3" descr="Department connected web graphic">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53325" cy="3493135"/>
                    </a:xfrm>
                    <a:prstGeom prst="rect">
                      <a:avLst/>
                    </a:prstGeom>
                    <a:noFill/>
                  </pic:spPr>
                </pic:pic>
              </a:graphicData>
            </a:graphic>
          </wp:inline>
        </w:drawing>
      </w:r>
    </w:p>
    <w:p w14:paraId="1D6345C5" w14:textId="77777777" w:rsidR="00B54E13" w:rsidRDefault="00B54E13">
      <w:pPr>
        <w:sectPr w:rsidR="00B54E13" w:rsidSect="00BA24FB">
          <w:headerReference w:type="even" r:id="rId11"/>
          <w:headerReference w:type="default" r:id="rId12"/>
          <w:footerReference w:type="even" r:id="rId13"/>
          <w:footerReference w:type="default" r:id="rId14"/>
          <w:headerReference w:type="first" r:id="rId15"/>
          <w:footerReference w:type="first" r:id="rId16"/>
          <w:pgSz w:w="11906" w:h="16838" w:code="9"/>
          <w:pgMar w:top="1021" w:right="1021" w:bottom="1021" w:left="1021" w:header="340" w:footer="397" w:gutter="0"/>
          <w:cols w:space="708"/>
          <w:docGrid w:linePitch="360"/>
        </w:sectPr>
      </w:pPr>
    </w:p>
    <w:p w14:paraId="7FA45665" w14:textId="77777777" w:rsidR="009B143F" w:rsidRDefault="009B143F">
      <w:pPr>
        <w:suppressAutoHyphens w:val="0"/>
        <w:rPr>
          <w:kern w:val="12"/>
        </w:rPr>
      </w:pPr>
      <w:r>
        <w:br w:type="page"/>
      </w:r>
    </w:p>
    <w:p w14:paraId="65316DB4" w14:textId="4BB7BECF" w:rsidR="00DE4FE2" w:rsidRDefault="002B7197" w:rsidP="00CF6CFD">
      <w:pPr>
        <w:pStyle w:val="TOCHeading"/>
      </w:pPr>
      <w:r>
        <w:lastRenderedPageBreak/>
        <w:t>Table of C</w:t>
      </w:r>
      <w:r w:rsidR="00DE4FE2">
        <w:t>ontents</w:t>
      </w:r>
    </w:p>
    <w:p w14:paraId="293DFCD0" w14:textId="1A086FBB" w:rsidR="004F4007" w:rsidRDefault="00A95970">
      <w:pPr>
        <w:pStyle w:val="TOC1"/>
        <w:rPr>
          <w:rFonts w:eastAsiaTheme="minorEastAsia"/>
          <w:b w:val="0"/>
          <w:noProof/>
          <w:color w:val="auto"/>
          <w:kern w:val="2"/>
          <w:szCs w:val="24"/>
          <w:u w:val="none"/>
          <w:lang w:eastAsia="en-AU"/>
          <w14:ligatures w14:val="standardContextual"/>
        </w:rPr>
      </w:pPr>
      <w:r>
        <w:fldChar w:fldCharType="begin"/>
      </w:r>
      <w:r>
        <w:instrText xml:space="preserve"> TOC \o "3-3" \h \z \t "Heading 1,1,Heading 2,2,Heading 1 Numbered,1,Heading 2 Numbered,2,Appendix Heading 1,1,Attachment Heading 1,1" </w:instrText>
      </w:r>
      <w:r>
        <w:fldChar w:fldCharType="separate"/>
      </w:r>
      <w:hyperlink w:anchor="_Toc236825128" w:history="1">
        <w:r w:rsidR="004F4007" w:rsidRPr="008C085C">
          <w:rPr>
            <w:rStyle w:val="Hyperlink"/>
            <w:noProof/>
          </w:rPr>
          <w:t>Summary</w:t>
        </w:r>
        <w:r w:rsidR="004F4007">
          <w:rPr>
            <w:noProof/>
            <w:webHidden/>
          </w:rPr>
          <w:tab/>
        </w:r>
        <w:r w:rsidR="004F4007">
          <w:rPr>
            <w:noProof/>
            <w:webHidden/>
          </w:rPr>
          <w:fldChar w:fldCharType="begin"/>
        </w:r>
        <w:r w:rsidR="004F4007">
          <w:rPr>
            <w:noProof/>
            <w:webHidden/>
          </w:rPr>
          <w:instrText xml:space="preserve"> PAGEREF _Toc236825128 \h </w:instrText>
        </w:r>
        <w:r w:rsidR="004F4007">
          <w:rPr>
            <w:noProof/>
            <w:webHidden/>
          </w:rPr>
        </w:r>
        <w:r w:rsidR="004F4007">
          <w:rPr>
            <w:noProof/>
            <w:webHidden/>
          </w:rPr>
          <w:fldChar w:fldCharType="separate"/>
        </w:r>
        <w:r w:rsidR="009C6651">
          <w:rPr>
            <w:noProof/>
            <w:webHidden/>
          </w:rPr>
          <w:t>4</w:t>
        </w:r>
        <w:r w:rsidR="004F4007">
          <w:rPr>
            <w:noProof/>
            <w:webHidden/>
          </w:rPr>
          <w:fldChar w:fldCharType="end"/>
        </w:r>
      </w:hyperlink>
    </w:p>
    <w:p w14:paraId="5847DBF0" w14:textId="0FF72EB2" w:rsidR="004F4007" w:rsidRDefault="004F4007">
      <w:pPr>
        <w:pStyle w:val="TOC1"/>
        <w:rPr>
          <w:rFonts w:eastAsiaTheme="minorEastAsia"/>
          <w:b w:val="0"/>
          <w:noProof/>
          <w:color w:val="auto"/>
          <w:kern w:val="2"/>
          <w:szCs w:val="24"/>
          <w:u w:val="none"/>
          <w:lang w:eastAsia="en-AU"/>
          <w14:ligatures w14:val="standardContextual"/>
        </w:rPr>
      </w:pPr>
      <w:hyperlink w:anchor="_Toc236825136" w:history="1">
        <w:r w:rsidRPr="008C085C">
          <w:rPr>
            <w:rStyle w:val="Hyperlink"/>
            <w:noProof/>
          </w:rPr>
          <w:t>1.</w:t>
        </w:r>
        <w:r>
          <w:rPr>
            <w:rFonts w:eastAsiaTheme="minorEastAsia"/>
            <w:b w:val="0"/>
            <w:noProof/>
            <w:color w:val="auto"/>
            <w:kern w:val="2"/>
            <w:szCs w:val="24"/>
            <w:u w:val="none"/>
            <w:lang w:eastAsia="en-AU"/>
            <w14:ligatures w14:val="standardContextual"/>
          </w:rPr>
          <w:tab/>
        </w:r>
        <w:r w:rsidRPr="008C085C">
          <w:rPr>
            <w:rStyle w:val="Hyperlink"/>
            <w:noProof/>
          </w:rPr>
          <w:t>What is the policy problem and what data are available?</w:t>
        </w:r>
        <w:r>
          <w:rPr>
            <w:noProof/>
            <w:webHidden/>
          </w:rPr>
          <w:tab/>
        </w:r>
        <w:r>
          <w:rPr>
            <w:noProof/>
            <w:webHidden/>
          </w:rPr>
          <w:fldChar w:fldCharType="begin"/>
        </w:r>
        <w:r>
          <w:rPr>
            <w:noProof/>
            <w:webHidden/>
          </w:rPr>
          <w:instrText xml:space="preserve"> PAGEREF _Toc236825136 \h </w:instrText>
        </w:r>
        <w:r>
          <w:rPr>
            <w:noProof/>
            <w:webHidden/>
          </w:rPr>
        </w:r>
        <w:r>
          <w:rPr>
            <w:noProof/>
            <w:webHidden/>
          </w:rPr>
          <w:fldChar w:fldCharType="separate"/>
        </w:r>
        <w:r w:rsidR="009C6651">
          <w:rPr>
            <w:noProof/>
            <w:webHidden/>
          </w:rPr>
          <w:t>7</w:t>
        </w:r>
        <w:r>
          <w:rPr>
            <w:noProof/>
            <w:webHidden/>
          </w:rPr>
          <w:fldChar w:fldCharType="end"/>
        </w:r>
      </w:hyperlink>
    </w:p>
    <w:p w14:paraId="57CD7395" w14:textId="28E59209" w:rsidR="004F4007" w:rsidRDefault="004F4007">
      <w:pPr>
        <w:pStyle w:val="TOC2"/>
        <w:tabs>
          <w:tab w:val="right" w:pos="9854"/>
        </w:tabs>
        <w:rPr>
          <w:rFonts w:eastAsiaTheme="minorEastAsia"/>
          <w:noProof/>
          <w:color w:val="auto"/>
          <w:kern w:val="2"/>
          <w:sz w:val="24"/>
          <w:szCs w:val="24"/>
          <w:lang w:eastAsia="en-AU"/>
          <w14:ligatures w14:val="standardContextual"/>
        </w:rPr>
      </w:pPr>
      <w:hyperlink w:anchor="_Toc236825137" w:history="1">
        <w:r w:rsidRPr="008C085C">
          <w:rPr>
            <w:rStyle w:val="Hyperlink"/>
            <w:noProof/>
          </w:rPr>
          <w:t>1.1</w:t>
        </w:r>
        <w:r>
          <w:rPr>
            <w:rFonts w:eastAsiaTheme="minorEastAsia"/>
            <w:noProof/>
            <w:color w:val="auto"/>
            <w:kern w:val="2"/>
            <w:sz w:val="24"/>
            <w:szCs w:val="24"/>
            <w:lang w:eastAsia="en-AU"/>
            <w14:ligatures w14:val="standardContextual"/>
          </w:rPr>
          <w:tab/>
        </w:r>
        <w:r w:rsidRPr="008C085C">
          <w:rPr>
            <w:rStyle w:val="Hyperlink"/>
            <w:noProof/>
          </w:rPr>
          <w:t>Definition of prominence</w:t>
        </w:r>
        <w:r>
          <w:rPr>
            <w:noProof/>
            <w:webHidden/>
          </w:rPr>
          <w:tab/>
        </w:r>
        <w:r>
          <w:rPr>
            <w:noProof/>
            <w:webHidden/>
          </w:rPr>
          <w:fldChar w:fldCharType="begin"/>
        </w:r>
        <w:r>
          <w:rPr>
            <w:noProof/>
            <w:webHidden/>
          </w:rPr>
          <w:instrText xml:space="preserve"> PAGEREF _Toc236825137 \h </w:instrText>
        </w:r>
        <w:r>
          <w:rPr>
            <w:noProof/>
            <w:webHidden/>
          </w:rPr>
        </w:r>
        <w:r>
          <w:rPr>
            <w:noProof/>
            <w:webHidden/>
          </w:rPr>
          <w:fldChar w:fldCharType="separate"/>
        </w:r>
        <w:r w:rsidR="009C6651">
          <w:rPr>
            <w:noProof/>
            <w:webHidden/>
          </w:rPr>
          <w:t>7</w:t>
        </w:r>
        <w:r>
          <w:rPr>
            <w:noProof/>
            <w:webHidden/>
          </w:rPr>
          <w:fldChar w:fldCharType="end"/>
        </w:r>
      </w:hyperlink>
    </w:p>
    <w:p w14:paraId="7FD7FC75" w14:textId="104B5E91" w:rsidR="004F4007" w:rsidRDefault="004F4007">
      <w:pPr>
        <w:pStyle w:val="TOC2"/>
        <w:tabs>
          <w:tab w:val="right" w:pos="9854"/>
        </w:tabs>
        <w:rPr>
          <w:rFonts w:eastAsiaTheme="minorEastAsia"/>
          <w:noProof/>
          <w:color w:val="auto"/>
          <w:kern w:val="2"/>
          <w:sz w:val="24"/>
          <w:szCs w:val="24"/>
          <w:lang w:eastAsia="en-AU"/>
          <w14:ligatures w14:val="standardContextual"/>
        </w:rPr>
      </w:pPr>
      <w:hyperlink w:anchor="_Toc236825138" w:history="1">
        <w:r w:rsidRPr="008C085C">
          <w:rPr>
            <w:rStyle w:val="Hyperlink"/>
            <w:noProof/>
          </w:rPr>
          <w:t>1.2</w:t>
        </w:r>
        <w:r>
          <w:rPr>
            <w:rFonts w:eastAsiaTheme="minorEastAsia"/>
            <w:noProof/>
            <w:color w:val="auto"/>
            <w:kern w:val="2"/>
            <w:sz w:val="24"/>
            <w:szCs w:val="24"/>
            <w:lang w:eastAsia="en-AU"/>
            <w14:ligatures w14:val="standardContextual"/>
          </w:rPr>
          <w:tab/>
        </w:r>
        <w:r w:rsidRPr="008C085C">
          <w:rPr>
            <w:rStyle w:val="Hyperlink"/>
            <w:noProof/>
          </w:rPr>
          <w:t>Radio services remain central to Australia’s media policy objectives</w:t>
        </w:r>
        <w:r>
          <w:rPr>
            <w:noProof/>
            <w:webHidden/>
          </w:rPr>
          <w:tab/>
        </w:r>
        <w:r>
          <w:rPr>
            <w:noProof/>
            <w:webHidden/>
          </w:rPr>
          <w:fldChar w:fldCharType="begin"/>
        </w:r>
        <w:r>
          <w:rPr>
            <w:noProof/>
            <w:webHidden/>
          </w:rPr>
          <w:instrText xml:space="preserve"> PAGEREF _Toc236825138 \h </w:instrText>
        </w:r>
        <w:r>
          <w:rPr>
            <w:noProof/>
            <w:webHidden/>
          </w:rPr>
        </w:r>
        <w:r>
          <w:rPr>
            <w:noProof/>
            <w:webHidden/>
          </w:rPr>
          <w:fldChar w:fldCharType="separate"/>
        </w:r>
        <w:r w:rsidR="009C6651">
          <w:rPr>
            <w:noProof/>
            <w:webHidden/>
          </w:rPr>
          <w:t>8</w:t>
        </w:r>
        <w:r>
          <w:rPr>
            <w:noProof/>
            <w:webHidden/>
          </w:rPr>
          <w:fldChar w:fldCharType="end"/>
        </w:r>
      </w:hyperlink>
    </w:p>
    <w:p w14:paraId="1BFD12D6" w14:textId="22C9615F" w:rsidR="004F4007" w:rsidRDefault="004F4007">
      <w:pPr>
        <w:pStyle w:val="TOC2"/>
        <w:tabs>
          <w:tab w:val="right" w:pos="9854"/>
        </w:tabs>
        <w:rPr>
          <w:rFonts w:eastAsiaTheme="minorEastAsia"/>
          <w:noProof/>
          <w:color w:val="auto"/>
          <w:kern w:val="2"/>
          <w:sz w:val="24"/>
          <w:szCs w:val="24"/>
          <w:lang w:eastAsia="en-AU"/>
          <w14:ligatures w14:val="standardContextual"/>
        </w:rPr>
      </w:pPr>
      <w:hyperlink w:anchor="_Toc236825139" w:history="1">
        <w:r w:rsidRPr="008C085C">
          <w:rPr>
            <w:rStyle w:val="Hyperlink"/>
            <w:noProof/>
          </w:rPr>
          <w:t>1.3</w:t>
        </w:r>
        <w:r>
          <w:rPr>
            <w:rFonts w:eastAsiaTheme="minorEastAsia"/>
            <w:noProof/>
            <w:color w:val="auto"/>
            <w:kern w:val="2"/>
            <w:sz w:val="24"/>
            <w:szCs w:val="24"/>
            <w:lang w:eastAsia="en-AU"/>
            <w14:ligatures w14:val="standardContextual"/>
          </w:rPr>
          <w:tab/>
        </w:r>
        <w:r w:rsidRPr="008C085C">
          <w:rPr>
            <w:rStyle w:val="Hyperlink"/>
            <w:noProof/>
          </w:rPr>
          <w:t>Changes in technology and consumer behaviour</w:t>
        </w:r>
        <w:r>
          <w:rPr>
            <w:noProof/>
            <w:webHidden/>
          </w:rPr>
          <w:tab/>
        </w:r>
        <w:r>
          <w:rPr>
            <w:noProof/>
            <w:webHidden/>
          </w:rPr>
          <w:fldChar w:fldCharType="begin"/>
        </w:r>
        <w:r>
          <w:rPr>
            <w:noProof/>
            <w:webHidden/>
          </w:rPr>
          <w:instrText xml:space="preserve"> PAGEREF _Toc236825139 \h </w:instrText>
        </w:r>
        <w:r>
          <w:rPr>
            <w:noProof/>
            <w:webHidden/>
          </w:rPr>
        </w:r>
        <w:r>
          <w:rPr>
            <w:noProof/>
            <w:webHidden/>
          </w:rPr>
          <w:fldChar w:fldCharType="separate"/>
        </w:r>
        <w:r w:rsidR="009C6651">
          <w:rPr>
            <w:noProof/>
            <w:webHidden/>
          </w:rPr>
          <w:t>9</w:t>
        </w:r>
        <w:r>
          <w:rPr>
            <w:noProof/>
            <w:webHidden/>
          </w:rPr>
          <w:fldChar w:fldCharType="end"/>
        </w:r>
      </w:hyperlink>
    </w:p>
    <w:p w14:paraId="319409D9" w14:textId="506349BE" w:rsidR="004F4007" w:rsidRDefault="004F4007">
      <w:pPr>
        <w:pStyle w:val="TOC2"/>
        <w:tabs>
          <w:tab w:val="right" w:pos="9854"/>
        </w:tabs>
        <w:rPr>
          <w:rFonts w:eastAsiaTheme="minorEastAsia"/>
          <w:noProof/>
          <w:color w:val="auto"/>
          <w:kern w:val="2"/>
          <w:sz w:val="24"/>
          <w:szCs w:val="24"/>
          <w:lang w:eastAsia="en-AU"/>
          <w14:ligatures w14:val="standardContextual"/>
        </w:rPr>
      </w:pPr>
      <w:hyperlink w:anchor="_Toc236825142" w:history="1">
        <w:r w:rsidRPr="008C085C">
          <w:rPr>
            <w:rStyle w:val="Hyperlink"/>
            <w:noProof/>
          </w:rPr>
          <w:t>1.4</w:t>
        </w:r>
        <w:r>
          <w:rPr>
            <w:rFonts w:eastAsiaTheme="minorEastAsia"/>
            <w:noProof/>
            <w:color w:val="auto"/>
            <w:kern w:val="2"/>
            <w:sz w:val="24"/>
            <w:szCs w:val="24"/>
            <w:lang w:eastAsia="en-AU"/>
            <w14:ligatures w14:val="standardContextual"/>
          </w:rPr>
          <w:tab/>
        </w:r>
        <w:r w:rsidRPr="008C085C">
          <w:rPr>
            <w:rStyle w:val="Hyperlink"/>
            <w:noProof/>
          </w:rPr>
          <w:t>Radio services face prominence challenges</w:t>
        </w:r>
        <w:r>
          <w:rPr>
            <w:noProof/>
            <w:webHidden/>
          </w:rPr>
          <w:tab/>
        </w:r>
        <w:r>
          <w:rPr>
            <w:noProof/>
            <w:webHidden/>
          </w:rPr>
          <w:fldChar w:fldCharType="begin"/>
        </w:r>
        <w:r>
          <w:rPr>
            <w:noProof/>
            <w:webHidden/>
          </w:rPr>
          <w:instrText xml:space="preserve"> PAGEREF _Toc236825142 \h </w:instrText>
        </w:r>
        <w:r>
          <w:rPr>
            <w:noProof/>
            <w:webHidden/>
          </w:rPr>
        </w:r>
        <w:r>
          <w:rPr>
            <w:noProof/>
            <w:webHidden/>
          </w:rPr>
          <w:fldChar w:fldCharType="separate"/>
        </w:r>
        <w:r w:rsidR="009C6651">
          <w:rPr>
            <w:noProof/>
            <w:webHidden/>
          </w:rPr>
          <w:t>11</w:t>
        </w:r>
        <w:r>
          <w:rPr>
            <w:noProof/>
            <w:webHidden/>
          </w:rPr>
          <w:fldChar w:fldCharType="end"/>
        </w:r>
      </w:hyperlink>
    </w:p>
    <w:p w14:paraId="3838587C" w14:textId="000D4A3E" w:rsidR="004F4007" w:rsidRDefault="004F4007">
      <w:pPr>
        <w:pStyle w:val="TOC2"/>
        <w:tabs>
          <w:tab w:val="right" w:pos="9854"/>
        </w:tabs>
        <w:rPr>
          <w:rFonts w:eastAsiaTheme="minorEastAsia"/>
          <w:noProof/>
          <w:color w:val="auto"/>
          <w:kern w:val="2"/>
          <w:sz w:val="24"/>
          <w:szCs w:val="24"/>
          <w:lang w:eastAsia="en-AU"/>
          <w14:ligatures w14:val="standardContextual"/>
        </w:rPr>
      </w:pPr>
      <w:hyperlink w:anchor="_Toc236825146" w:history="1">
        <w:r w:rsidRPr="008C085C">
          <w:rPr>
            <w:rStyle w:val="Hyperlink"/>
            <w:noProof/>
          </w:rPr>
          <w:t>1.5</w:t>
        </w:r>
        <w:r>
          <w:rPr>
            <w:rFonts w:eastAsiaTheme="minorEastAsia"/>
            <w:noProof/>
            <w:color w:val="auto"/>
            <w:kern w:val="2"/>
            <w:sz w:val="24"/>
            <w:szCs w:val="24"/>
            <w:lang w:eastAsia="en-AU"/>
            <w14:ligatures w14:val="standardContextual"/>
          </w:rPr>
          <w:tab/>
        </w:r>
        <w:r w:rsidRPr="008C085C">
          <w:rPr>
            <w:rStyle w:val="Hyperlink"/>
            <w:noProof/>
          </w:rPr>
          <w:t>International approach to resolving access issue for local radio stations</w:t>
        </w:r>
        <w:r>
          <w:rPr>
            <w:noProof/>
            <w:webHidden/>
          </w:rPr>
          <w:tab/>
        </w:r>
        <w:r>
          <w:rPr>
            <w:noProof/>
            <w:webHidden/>
          </w:rPr>
          <w:fldChar w:fldCharType="begin"/>
        </w:r>
        <w:r>
          <w:rPr>
            <w:noProof/>
            <w:webHidden/>
          </w:rPr>
          <w:instrText xml:space="preserve"> PAGEREF _Toc236825146 \h </w:instrText>
        </w:r>
        <w:r>
          <w:rPr>
            <w:noProof/>
            <w:webHidden/>
          </w:rPr>
        </w:r>
        <w:r>
          <w:rPr>
            <w:noProof/>
            <w:webHidden/>
          </w:rPr>
          <w:fldChar w:fldCharType="separate"/>
        </w:r>
        <w:r w:rsidR="009C6651">
          <w:rPr>
            <w:noProof/>
            <w:webHidden/>
          </w:rPr>
          <w:t>15</w:t>
        </w:r>
        <w:r>
          <w:rPr>
            <w:noProof/>
            <w:webHidden/>
          </w:rPr>
          <w:fldChar w:fldCharType="end"/>
        </w:r>
      </w:hyperlink>
    </w:p>
    <w:p w14:paraId="64A76B28" w14:textId="44B85E38" w:rsidR="004F4007" w:rsidRDefault="004F4007">
      <w:pPr>
        <w:pStyle w:val="TOC1"/>
        <w:rPr>
          <w:rFonts w:eastAsiaTheme="minorEastAsia"/>
          <w:b w:val="0"/>
          <w:noProof/>
          <w:color w:val="auto"/>
          <w:kern w:val="2"/>
          <w:szCs w:val="24"/>
          <w:u w:val="none"/>
          <w:lang w:eastAsia="en-AU"/>
          <w14:ligatures w14:val="standardContextual"/>
        </w:rPr>
      </w:pPr>
      <w:hyperlink w:anchor="_Toc236825147" w:history="1">
        <w:r w:rsidRPr="008C085C">
          <w:rPr>
            <w:rStyle w:val="Hyperlink"/>
            <w:noProof/>
          </w:rPr>
          <w:t>2.</w:t>
        </w:r>
        <w:r>
          <w:rPr>
            <w:rFonts w:eastAsiaTheme="minorEastAsia"/>
            <w:b w:val="0"/>
            <w:noProof/>
            <w:color w:val="auto"/>
            <w:kern w:val="2"/>
            <w:szCs w:val="24"/>
            <w:u w:val="none"/>
            <w:lang w:eastAsia="en-AU"/>
            <w14:ligatures w14:val="standardContextual"/>
          </w:rPr>
          <w:tab/>
        </w:r>
        <w:r w:rsidRPr="008C085C">
          <w:rPr>
            <w:rStyle w:val="Hyperlink"/>
            <w:noProof/>
          </w:rPr>
          <w:t>What are the policy objectives, why is government intervention needed to achieve them, and how will success be measured?</w:t>
        </w:r>
        <w:r>
          <w:rPr>
            <w:noProof/>
            <w:webHidden/>
          </w:rPr>
          <w:tab/>
        </w:r>
        <w:r>
          <w:rPr>
            <w:noProof/>
            <w:webHidden/>
          </w:rPr>
          <w:fldChar w:fldCharType="begin"/>
        </w:r>
        <w:r>
          <w:rPr>
            <w:noProof/>
            <w:webHidden/>
          </w:rPr>
          <w:instrText xml:space="preserve"> PAGEREF _Toc236825147 \h </w:instrText>
        </w:r>
        <w:r>
          <w:rPr>
            <w:noProof/>
            <w:webHidden/>
          </w:rPr>
        </w:r>
        <w:r>
          <w:rPr>
            <w:noProof/>
            <w:webHidden/>
          </w:rPr>
          <w:fldChar w:fldCharType="separate"/>
        </w:r>
        <w:r w:rsidR="009C6651">
          <w:rPr>
            <w:noProof/>
            <w:webHidden/>
          </w:rPr>
          <w:t>17</w:t>
        </w:r>
        <w:r>
          <w:rPr>
            <w:noProof/>
            <w:webHidden/>
          </w:rPr>
          <w:fldChar w:fldCharType="end"/>
        </w:r>
      </w:hyperlink>
    </w:p>
    <w:p w14:paraId="05C6BCC5" w14:textId="4BCC1858" w:rsidR="004F4007" w:rsidRDefault="004F4007">
      <w:pPr>
        <w:pStyle w:val="TOC2"/>
        <w:tabs>
          <w:tab w:val="right" w:pos="9854"/>
        </w:tabs>
        <w:rPr>
          <w:rFonts w:eastAsiaTheme="minorEastAsia"/>
          <w:noProof/>
          <w:color w:val="auto"/>
          <w:kern w:val="2"/>
          <w:sz w:val="24"/>
          <w:szCs w:val="24"/>
          <w:lang w:eastAsia="en-AU"/>
          <w14:ligatures w14:val="standardContextual"/>
        </w:rPr>
      </w:pPr>
      <w:hyperlink w:anchor="_Toc236825148" w:history="1">
        <w:r w:rsidRPr="008C085C">
          <w:rPr>
            <w:rStyle w:val="Hyperlink"/>
            <w:noProof/>
          </w:rPr>
          <w:t>2.1</w:t>
        </w:r>
        <w:r>
          <w:rPr>
            <w:rFonts w:eastAsiaTheme="minorEastAsia"/>
            <w:noProof/>
            <w:color w:val="auto"/>
            <w:kern w:val="2"/>
            <w:sz w:val="24"/>
            <w:szCs w:val="24"/>
            <w:lang w:eastAsia="en-AU"/>
            <w14:ligatures w14:val="standardContextual"/>
          </w:rPr>
          <w:tab/>
        </w:r>
        <w:r w:rsidRPr="008C085C">
          <w:rPr>
            <w:rStyle w:val="Hyperlink"/>
            <w:noProof/>
          </w:rPr>
          <w:t>Why is Government intervention needed?</w:t>
        </w:r>
        <w:r>
          <w:rPr>
            <w:noProof/>
            <w:webHidden/>
          </w:rPr>
          <w:tab/>
        </w:r>
        <w:r>
          <w:rPr>
            <w:noProof/>
            <w:webHidden/>
          </w:rPr>
          <w:fldChar w:fldCharType="begin"/>
        </w:r>
        <w:r>
          <w:rPr>
            <w:noProof/>
            <w:webHidden/>
          </w:rPr>
          <w:instrText xml:space="preserve"> PAGEREF _Toc236825148 \h </w:instrText>
        </w:r>
        <w:r>
          <w:rPr>
            <w:noProof/>
            <w:webHidden/>
          </w:rPr>
        </w:r>
        <w:r>
          <w:rPr>
            <w:noProof/>
            <w:webHidden/>
          </w:rPr>
          <w:fldChar w:fldCharType="separate"/>
        </w:r>
        <w:r w:rsidR="009C6651">
          <w:rPr>
            <w:noProof/>
            <w:webHidden/>
          </w:rPr>
          <w:t>17</w:t>
        </w:r>
        <w:r>
          <w:rPr>
            <w:noProof/>
            <w:webHidden/>
          </w:rPr>
          <w:fldChar w:fldCharType="end"/>
        </w:r>
      </w:hyperlink>
    </w:p>
    <w:p w14:paraId="42EA7197" w14:textId="696F798F" w:rsidR="004F4007" w:rsidRDefault="004F4007">
      <w:pPr>
        <w:pStyle w:val="TOC2"/>
        <w:tabs>
          <w:tab w:val="right" w:pos="9854"/>
        </w:tabs>
        <w:rPr>
          <w:rFonts w:eastAsiaTheme="minorEastAsia"/>
          <w:noProof/>
          <w:color w:val="auto"/>
          <w:kern w:val="2"/>
          <w:sz w:val="24"/>
          <w:szCs w:val="24"/>
          <w:lang w:eastAsia="en-AU"/>
          <w14:ligatures w14:val="standardContextual"/>
        </w:rPr>
      </w:pPr>
      <w:hyperlink w:anchor="_Toc236825150" w:history="1">
        <w:r w:rsidRPr="008C085C">
          <w:rPr>
            <w:rStyle w:val="Hyperlink"/>
            <w:noProof/>
          </w:rPr>
          <w:t>2.2</w:t>
        </w:r>
        <w:r>
          <w:rPr>
            <w:rFonts w:eastAsiaTheme="minorEastAsia"/>
            <w:noProof/>
            <w:color w:val="auto"/>
            <w:kern w:val="2"/>
            <w:sz w:val="24"/>
            <w:szCs w:val="24"/>
            <w:lang w:eastAsia="en-AU"/>
            <w14:ligatures w14:val="standardContextual"/>
          </w:rPr>
          <w:tab/>
        </w:r>
        <w:r w:rsidRPr="008C085C">
          <w:rPr>
            <w:rStyle w:val="Hyperlink"/>
            <w:noProof/>
          </w:rPr>
          <w:t>Barriers and constraints to Government intervention</w:t>
        </w:r>
        <w:r>
          <w:rPr>
            <w:noProof/>
            <w:webHidden/>
          </w:rPr>
          <w:tab/>
        </w:r>
        <w:r>
          <w:rPr>
            <w:noProof/>
            <w:webHidden/>
          </w:rPr>
          <w:fldChar w:fldCharType="begin"/>
        </w:r>
        <w:r>
          <w:rPr>
            <w:noProof/>
            <w:webHidden/>
          </w:rPr>
          <w:instrText xml:space="preserve"> PAGEREF _Toc236825150 \h </w:instrText>
        </w:r>
        <w:r>
          <w:rPr>
            <w:noProof/>
            <w:webHidden/>
          </w:rPr>
        </w:r>
        <w:r>
          <w:rPr>
            <w:noProof/>
            <w:webHidden/>
          </w:rPr>
          <w:fldChar w:fldCharType="separate"/>
        </w:r>
        <w:r w:rsidR="009C6651">
          <w:rPr>
            <w:noProof/>
            <w:webHidden/>
          </w:rPr>
          <w:t>18</w:t>
        </w:r>
        <w:r>
          <w:rPr>
            <w:noProof/>
            <w:webHidden/>
          </w:rPr>
          <w:fldChar w:fldCharType="end"/>
        </w:r>
      </w:hyperlink>
    </w:p>
    <w:p w14:paraId="3714970E" w14:textId="6D25B376" w:rsidR="004F4007" w:rsidRDefault="004F4007">
      <w:pPr>
        <w:pStyle w:val="TOC2"/>
        <w:tabs>
          <w:tab w:val="right" w:pos="9854"/>
        </w:tabs>
        <w:rPr>
          <w:rFonts w:eastAsiaTheme="minorEastAsia"/>
          <w:noProof/>
          <w:color w:val="auto"/>
          <w:kern w:val="2"/>
          <w:sz w:val="24"/>
          <w:szCs w:val="24"/>
          <w:lang w:eastAsia="en-AU"/>
          <w14:ligatures w14:val="standardContextual"/>
        </w:rPr>
      </w:pPr>
      <w:hyperlink w:anchor="_Toc236825151" w:history="1">
        <w:r w:rsidRPr="008C085C">
          <w:rPr>
            <w:rStyle w:val="Hyperlink"/>
            <w:noProof/>
          </w:rPr>
          <w:t>2.3</w:t>
        </w:r>
        <w:r>
          <w:rPr>
            <w:rFonts w:eastAsiaTheme="minorEastAsia"/>
            <w:noProof/>
            <w:color w:val="auto"/>
            <w:kern w:val="2"/>
            <w:sz w:val="24"/>
            <w:szCs w:val="24"/>
            <w:lang w:eastAsia="en-AU"/>
            <w14:ligatures w14:val="standardContextual"/>
          </w:rPr>
          <w:tab/>
        </w:r>
        <w:r w:rsidRPr="008C085C">
          <w:rPr>
            <w:rStyle w:val="Hyperlink"/>
            <w:noProof/>
          </w:rPr>
          <w:t>Objectives of reform and how will success be measured?</w:t>
        </w:r>
        <w:r>
          <w:rPr>
            <w:noProof/>
            <w:webHidden/>
          </w:rPr>
          <w:tab/>
        </w:r>
        <w:r>
          <w:rPr>
            <w:noProof/>
            <w:webHidden/>
          </w:rPr>
          <w:fldChar w:fldCharType="begin"/>
        </w:r>
        <w:r>
          <w:rPr>
            <w:noProof/>
            <w:webHidden/>
          </w:rPr>
          <w:instrText xml:space="preserve"> PAGEREF _Toc236825151 \h </w:instrText>
        </w:r>
        <w:r>
          <w:rPr>
            <w:noProof/>
            <w:webHidden/>
          </w:rPr>
        </w:r>
        <w:r>
          <w:rPr>
            <w:noProof/>
            <w:webHidden/>
          </w:rPr>
          <w:fldChar w:fldCharType="separate"/>
        </w:r>
        <w:r w:rsidR="009C6651">
          <w:rPr>
            <w:noProof/>
            <w:webHidden/>
          </w:rPr>
          <w:t>18</w:t>
        </w:r>
        <w:r>
          <w:rPr>
            <w:noProof/>
            <w:webHidden/>
          </w:rPr>
          <w:fldChar w:fldCharType="end"/>
        </w:r>
      </w:hyperlink>
    </w:p>
    <w:p w14:paraId="2BF3CED3" w14:textId="14D645FC" w:rsidR="004F4007" w:rsidRDefault="004F4007">
      <w:pPr>
        <w:pStyle w:val="TOC1"/>
        <w:rPr>
          <w:rFonts w:eastAsiaTheme="minorEastAsia"/>
          <w:b w:val="0"/>
          <w:noProof/>
          <w:color w:val="auto"/>
          <w:kern w:val="2"/>
          <w:szCs w:val="24"/>
          <w:u w:val="none"/>
          <w:lang w:eastAsia="en-AU"/>
          <w14:ligatures w14:val="standardContextual"/>
        </w:rPr>
      </w:pPr>
      <w:hyperlink w:anchor="_Toc236825152" w:history="1">
        <w:r w:rsidRPr="008C085C">
          <w:rPr>
            <w:rStyle w:val="Hyperlink"/>
            <w:noProof/>
          </w:rPr>
          <w:t>3.</w:t>
        </w:r>
        <w:r>
          <w:rPr>
            <w:rFonts w:eastAsiaTheme="minorEastAsia"/>
            <w:b w:val="0"/>
            <w:noProof/>
            <w:color w:val="auto"/>
            <w:kern w:val="2"/>
            <w:szCs w:val="24"/>
            <w:u w:val="none"/>
            <w:lang w:eastAsia="en-AU"/>
            <w14:ligatures w14:val="standardContextual"/>
          </w:rPr>
          <w:tab/>
        </w:r>
        <w:r w:rsidRPr="008C085C">
          <w:rPr>
            <w:rStyle w:val="Hyperlink"/>
            <w:noProof/>
          </w:rPr>
          <w:t>What policy options are being considering?</w:t>
        </w:r>
        <w:r>
          <w:rPr>
            <w:noProof/>
            <w:webHidden/>
          </w:rPr>
          <w:tab/>
        </w:r>
        <w:r>
          <w:rPr>
            <w:noProof/>
            <w:webHidden/>
          </w:rPr>
          <w:fldChar w:fldCharType="begin"/>
        </w:r>
        <w:r>
          <w:rPr>
            <w:noProof/>
            <w:webHidden/>
          </w:rPr>
          <w:instrText xml:space="preserve"> PAGEREF _Toc236825152 \h </w:instrText>
        </w:r>
        <w:r>
          <w:rPr>
            <w:noProof/>
            <w:webHidden/>
          </w:rPr>
        </w:r>
        <w:r>
          <w:rPr>
            <w:noProof/>
            <w:webHidden/>
          </w:rPr>
          <w:fldChar w:fldCharType="separate"/>
        </w:r>
        <w:r w:rsidR="009C6651">
          <w:rPr>
            <w:noProof/>
            <w:webHidden/>
          </w:rPr>
          <w:t>20</w:t>
        </w:r>
        <w:r>
          <w:rPr>
            <w:noProof/>
            <w:webHidden/>
          </w:rPr>
          <w:fldChar w:fldCharType="end"/>
        </w:r>
      </w:hyperlink>
    </w:p>
    <w:p w14:paraId="43524D38" w14:textId="012ECBE2" w:rsidR="004F4007" w:rsidRDefault="004F4007">
      <w:pPr>
        <w:pStyle w:val="TOC2"/>
        <w:tabs>
          <w:tab w:val="right" w:pos="9854"/>
        </w:tabs>
        <w:rPr>
          <w:rFonts w:eastAsiaTheme="minorEastAsia"/>
          <w:noProof/>
          <w:color w:val="auto"/>
          <w:kern w:val="2"/>
          <w:sz w:val="24"/>
          <w:szCs w:val="24"/>
          <w:lang w:eastAsia="en-AU"/>
          <w14:ligatures w14:val="standardContextual"/>
        </w:rPr>
      </w:pPr>
      <w:hyperlink w:anchor="_Toc236825153" w:history="1">
        <w:r w:rsidRPr="008C085C">
          <w:rPr>
            <w:rStyle w:val="Hyperlink"/>
            <w:noProof/>
          </w:rPr>
          <w:t>3.1</w:t>
        </w:r>
        <w:r>
          <w:rPr>
            <w:rFonts w:eastAsiaTheme="minorEastAsia"/>
            <w:noProof/>
            <w:color w:val="auto"/>
            <w:kern w:val="2"/>
            <w:sz w:val="24"/>
            <w:szCs w:val="24"/>
            <w:lang w:eastAsia="en-AU"/>
            <w14:ligatures w14:val="standardContextual"/>
          </w:rPr>
          <w:tab/>
        </w:r>
        <w:r w:rsidRPr="008C085C">
          <w:rPr>
            <w:rStyle w:val="Hyperlink"/>
            <w:noProof/>
          </w:rPr>
          <w:t>Option 1: No intervention</w:t>
        </w:r>
        <w:r>
          <w:rPr>
            <w:noProof/>
            <w:webHidden/>
          </w:rPr>
          <w:tab/>
        </w:r>
        <w:r>
          <w:rPr>
            <w:noProof/>
            <w:webHidden/>
          </w:rPr>
          <w:fldChar w:fldCharType="begin"/>
        </w:r>
        <w:r>
          <w:rPr>
            <w:noProof/>
            <w:webHidden/>
          </w:rPr>
          <w:instrText xml:space="preserve"> PAGEREF _Toc236825153 \h </w:instrText>
        </w:r>
        <w:r>
          <w:rPr>
            <w:noProof/>
            <w:webHidden/>
          </w:rPr>
        </w:r>
        <w:r>
          <w:rPr>
            <w:noProof/>
            <w:webHidden/>
          </w:rPr>
          <w:fldChar w:fldCharType="separate"/>
        </w:r>
        <w:r w:rsidR="009C6651">
          <w:rPr>
            <w:noProof/>
            <w:webHidden/>
          </w:rPr>
          <w:t>20</w:t>
        </w:r>
        <w:r>
          <w:rPr>
            <w:noProof/>
            <w:webHidden/>
          </w:rPr>
          <w:fldChar w:fldCharType="end"/>
        </w:r>
      </w:hyperlink>
    </w:p>
    <w:p w14:paraId="47692BA5" w14:textId="531350BB" w:rsidR="004F4007" w:rsidRDefault="004F4007">
      <w:pPr>
        <w:pStyle w:val="TOC2"/>
        <w:tabs>
          <w:tab w:val="right" w:pos="9854"/>
        </w:tabs>
        <w:rPr>
          <w:rFonts w:eastAsiaTheme="minorEastAsia"/>
          <w:noProof/>
          <w:color w:val="auto"/>
          <w:kern w:val="2"/>
          <w:sz w:val="24"/>
          <w:szCs w:val="24"/>
          <w:lang w:eastAsia="en-AU"/>
          <w14:ligatures w14:val="standardContextual"/>
        </w:rPr>
      </w:pPr>
      <w:hyperlink w:anchor="_Toc236825154" w:history="1">
        <w:r w:rsidRPr="008C085C">
          <w:rPr>
            <w:rStyle w:val="Hyperlink"/>
            <w:noProof/>
            <w:lang w:val="en-US"/>
          </w:rPr>
          <w:t>3.2</w:t>
        </w:r>
        <w:r>
          <w:rPr>
            <w:rFonts w:eastAsiaTheme="minorEastAsia"/>
            <w:noProof/>
            <w:color w:val="auto"/>
            <w:kern w:val="2"/>
            <w:sz w:val="24"/>
            <w:szCs w:val="24"/>
            <w:lang w:eastAsia="en-AU"/>
            <w14:ligatures w14:val="standardContextual"/>
          </w:rPr>
          <w:tab/>
        </w:r>
        <w:r w:rsidRPr="008C085C">
          <w:rPr>
            <w:rStyle w:val="Hyperlink"/>
            <w:noProof/>
            <w:lang w:val="en-US"/>
          </w:rPr>
          <w:t>Option 2: Legislate a radio prominence framework</w:t>
        </w:r>
        <w:r>
          <w:rPr>
            <w:noProof/>
            <w:webHidden/>
          </w:rPr>
          <w:tab/>
        </w:r>
        <w:r>
          <w:rPr>
            <w:noProof/>
            <w:webHidden/>
          </w:rPr>
          <w:fldChar w:fldCharType="begin"/>
        </w:r>
        <w:r>
          <w:rPr>
            <w:noProof/>
            <w:webHidden/>
          </w:rPr>
          <w:instrText xml:space="preserve"> PAGEREF _Toc236825154 \h </w:instrText>
        </w:r>
        <w:r>
          <w:rPr>
            <w:noProof/>
            <w:webHidden/>
          </w:rPr>
        </w:r>
        <w:r>
          <w:rPr>
            <w:noProof/>
            <w:webHidden/>
          </w:rPr>
          <w:fldChar w:fldCharType="separate"/>
        </w:r>
        <w:r w:rsidR="009C6651">
          <w:rPr>
            <w:noProof/>
            <w:webHidden/>
          </w:rPr>
          <w:t>20</w:t>
        </w:r>
        <w:r>
          <w:rPr>
            <w:noProof/>
            <w:webHidden/>
          </w:rPr>
          <w:fldChar w:fldCharType="end"/>
        </w:r>
      </w:hyperlink>
    </w:p>
    <w:p w14:paraId="222CC84B" w14:textId="386DF88C" w:rsidR="004F4007" w:rsidRDefault="004F4007">
      <w:pPr>
        <w:pStyle w:val="TOC2"/>
        <w:tabs>
          <w:tab w:val="right" w:pos="9854"/>
        </w:tabs>
        <w:rPr>
          <w:rFonts w:eastAsiaTheme="minorEastAsia"/>
          <w:noProof/>
          <w:color w:val="auto"/>
          <w:kern w:val="2"/>
          <w:sz w:val="24"/>
          <w:szCs w:val="24"/>
          <w:lang w:eastAsia="en-AU"/>
          <w14:ligatures w14:val="standardContextual"/>
        </w:rPr>
      </w:pPr>
      <w:hyperlink w:anchor="_Toc236825157" w:history="1">
        <w:r w:rsidRPr="008C085C">
          <w:rPr>
            <w:rStyle w:val="Hyperlink"/>
            <w:noProof/>
          </w:rPr>
          <w:t>3.3</w:t>
        </w:r>
        <w:r>
          <w:rPr>
            <w:rFonts w:eastAsiaTheme="minorEastAsia"/>
            <w:noProof/>
            <w:color w:val="auto"/>
            <w:kern w:val="2"/>
            <w:sz w:val="24"/>
            <w:szCs w:val="24"/>
            <w:lang w:eastAsia="en-AU"/>
            <w14:ligatures w14:val="standardContextual"/>
          </w:rPr>
          <w:tab/>
        </w:r>
        <w:r w:rsidRPr="008C085C">
          <w:rPr>
            <w:rStyle w:val="Hyperlink"/>
            <w:noProof/>
          </w:rPr>
          <w:t>Option 3: Industry incentives and consumer education</w:t>
        </w:r>
        <w:r>
          <w:rPr>
            <w:noProof/>
            <w:webHidden/>
          </w:rPr>
          <w:tab/>
        </w:r>
        <w:r>
          <w:rPr>
            <w:noProof/>
            <w:webHidden/>
          </w:rPr>
          <w:fldChar w:fldCharType="begin"/>
        </w:r>
        <w:r>
          <w:rPr>
            <w:noProof/>
            <w:webHidden/>
          </w:rPr>
          <w:instrText xml:space="preserve"> PAGEREF _Toc236825157 \h </w:instrText>
        </w:r>
        <w:r>
          <w:rPr>
            <w:noProof/>
            <w:webHidden/>
          </w:rPr>
        </w:r>
        <w:r>
          <w:rPr>
            <w:noProof/>
            <w:webHidden/>
          </w:rPr>
          <w:fldChar w:fldCharType="separate"/>
        </w:r>
        <w:r w:rsidR="009C6651">
          <w:rPr>
            <w:noProof/>
            <w:webHidden/>
          </w:rPr>
          <w:t>22</w:t>
        </w:r>
        <w:r>
          <w:rPr>
            <w:noProof/>
            <w:webHidden/>
          </w:rPr>
          <w:fldChar w:fldCharType="end"/>
        </w:r>
      </w:hyperlink>
    </w:p>
    <w:p w14:paraId="2B0CB63F" w14:textId="0264E030" w:rsidR="004F4007" w:rsidRDefault="004F4007">
      <w:pPr>
        <w:pStyle w:val="TOC1"/>
        <w:rPr>
          <w:rFonts w:eastAsiaTheme="minorEastAsia"/>
          <w:b w:val="0"/>
          <w:noProof/>
          <w:color w:val="auto"/>
          <w:kern w:val="2"/>
          <w:szCs w:val="24"/>
          <w:u w:val="none"/>
          <w:lang w:eastAsia="en-AU"/>
          <w14:ligatures w14:val="standardContextual"/>
        </w:rPr>
      </w:pPr>
      <w:hyperlink w:anchor="_Toc236825158" w:history="1">
        <w:r w:rsidRPr="008C085C">
          <w:rPr>
            <w:rStyle w:val="Hyperlink"/>
            <w:noProof/>
          </w:rPr>
          <w:t>4.</w:t>
        </w:r>
        <w:r>
          <w:rPr>
            <w:rFonts w:eastAsiaTheme="minorEastAsia"/>
            <w:b w:val="0"/>
            <w:noProof/>
            <w:color w:val="auto"/>
            <w:kern w:val="2"/>
            <w:szCs w:val="24"/>
            <w:u w:val="none"/>
            <w:lang w:eastAsia="en-AU"/>
            <w14:ligatures w14:val="standardContextual"/>
          </w:rPr>
          <w:tab/>
        </w:r>
        <w:r w:rsidRPr="008C085C">
          <w:rPr>
            <w:rStyle w:val="Hyperlink"/>
            <w:noProof/>
          </w:rPr>
          <w:t>What is the likely net benefit of the option?</w:t>
        </w:r>
        <w:r>
          <w:rPr>
            <w:noProof/>
            <w:webHidden/>
          </w:rPr>
          <w:tab/>
        </w:r>
        <w:r>
          <w:rPr>
            <w:noProof/>
            <w:webHidden/>
          </w:rPr>
          <w:fldChar w:fldCharType="begin"/>
        </w:r>
        <w:r>
          <w:rPr>
            <w:noProof/>
            <w:webHidden/>
          </w:rPr>
          <w:instrText xml:space="preserve"> PAGEREF _Toc236825158 \h </w:instrText>
        </w:r>
        <w:r>
          <w:rPr>
            <w:noProof/>
            <w:webHidden/>
          </w:rPr>
        </w:r>
        <w:r>
          <w:rPr>
            <w:noProof/>
            <w:webHidden/>
          </w:rPr>
          <w:fldChar w:fldCharType="separate"/>
        </w:r>
        <w:r w:rsidR="009C6651">
          <w:rPr>
            <w:noProof/>
            <w:webHidden/>
          </w:rPr>
          <w:t>23</w:t>
        </w:r>
        <w:r>
          <w:rPr>
            <w:noProof/>
            <w:webHidden/>
          </w:rPr>
          <w:fldChar w:fldCharType="end"/>
        </w:r>
      </w:hyperlink>
    </w:p>
    <w:p w14:paraId="21B84FED" w14:textId="5D51B3A6" w:rsidR="004F4007" w:rsidRDefault="004F4007">
      <w:pPr>
        <w:pStyle w:val="TOC2"/>
        <w:tabs>
          <w:tab w:val="right" w:pos="9854"/>
        </w:tabs>
        <w:rPr>
          <w:rFonts w:eastAsiaTheme="minorEastAsia"/>
          <w:noProof/>
          <w:color w:val="auto"/>
          <w:kern w:val="2"/>
          <w:sz w:val="24"/>
          <w:szCs w:val="24"/>
          <w:lang w:eastAsia="en-AU"/>
          <w14:ligatures w14:val="standardContextual"/>
        </w:rPr>
      </w:pPr>
      <w:hyperlink w:anchor="_Toc236825159" w:history="1">
        <w:r w:rsidRPr="008C085C">
          <w:rPr>
            <w:rStyle w:val="Hyperlink"/>
            <w:noProof/>
          </w:rPr>
          <w:t>4.1</w:t>
        </w:r>
        <w:r>
          <w:rPr>
            <w:rFonts w:eastAsiaTheme="minorEastAsia"/>
            <w:noProof/>
            <w:color w:val="auto"/>
            <w:kern w:val="2"/>
            <w:sz w:val="24"/>
            <w:szCs w:val="24"/>
            <w:lang w:eastAsia="en-AU"/>
            <w14:ligatures w14:val="standardContextual"/>
          </w:rPr>
          <w:tab/>
        </w:r>
        <w:r w:rsidRPr="008C085C">
          <w:rPr>
            <w:rStyle w:val="Hyperlink"/>
            <w:noProof/>
          </w:rPr>
          <w:t>Stakeholders identified and considered in the analysis</w:t>
        </w:r>
        <w:r>
          <w:rPr>
            <w:noProof/>
            <w:webHidden/>
          </w:rPr>
          <w:tab/>
        </w:r>
        <w:r>
          <w:rPr>
            <w:noProof/>
            <w:webHidden/>
          </w:rPr>
          <w:fldChar w:fldCharType="begin"/>
        </w:r>
        <w:r>
          <w:rPr>
            <w:noProof/>
            <w:webHidden/>
          </w:rPr>
          <w:instrText xml:space="preserve"> PAGEREF _Toc236825159 \h </w:instrText>
        </w:r>
        <w:r>
          <w:rPr>
            <w:noProof/>
            <w:webHidden/>
          </w:rPr>
        </w:r>
        <w:r>
          <w:rPr>
            <w:noProof/>
            <w:webHidden/>
          </w:rPr>
          <w:fldChar w:fldCharType="separate"/>
        </w:r>
        <w:r w:rsidR="009C6651">
          <w:rPr>
            <w:noProof/>
            <w:webHidden/>
          </w:rPr>
          <w:t>23</w:t>
        </w:r>
        <w:r>
          <w:rPr>
            <w:noProof/>
            <w:webHidden/>
          </w:rPr>
          <w:fldChar w:fldCharType="end"/>
        </w:r>
      </w:hyperlink>
    </w:p>
    <w:p w14:paraId="36DF040D" w14:textId="386F8EEB" w:rsidR="004F4007" w:rsidRDefault="004F4007">
      <w:pPr>
        <w:pStyle w:val="TOC2"/>
        <w:tabs>
          <w:tab w:val="right" w:pos="9854"/>
        </w:tabs>
        <w:rPr>
          <w:rFonts w:eastAsiaTheme="minorEastAsia"/>
          <w:noProof/>
          <w:color w:val="auto"/>
          <w:kern w:val="2"/>
          <w:sz w:val="24"/>
          <w:szCs w:val="24"/>
          <w:lang w:eastAsia="en-AU"/>
          <w14:ligatures w14:val="standardContextual"/>
        </w:rPr>
      </w:pPr>
      <w:hyperlink w:anchor="_Toc236825160" w:history="1">
        <w:r w:rsidRPr="008C085C">
          <w:rPr>
            <w:rStyle w:val="Hyperlink"/>
            <w:noProof/>
          </w:rPr>
          <w:t>4.2</w:t>
        </w:r>
        <w:r>
          <w:rPr>
            <w:rFonts w:eastAsiaTheme="minorEastAsia"/>
            <w:noProof/>
            <w:color w:val="auto"/>
            <w:kern w:val="2"/>
            <w:sz w:val="24"/>
            <w:szCs w:val="24"/>
            <w:lang w:eastAsia="en-AU"/>
            <w14:ligatures w14:val="standardContextual"/>
          </w:rPr>
          <w:tab/>
        </w:r>
        <w:r w:rsidRPr="008C085C">
          <w:rPr>
            <w:rStyle w:val="Hyperlink"/>
            <w:noProof/>
          </w:rPr>
          <w:t>Government costs estimation</w:t>
        </w:r>
        <w:r>
          <w:rPr>
            <w:noProof/>
            <w:webHidden/>
          </w:rPr>
          <w:tab/>
        </w:r>
        <w:r>
          <w:rPr>
            <w:noProof/>
            <w:webHidden/>
          </w:rPr>
          <w:fldChar w:fldCharType="begin"/>
        </w:r>
        <w:r>
          <w:rPr>
            <w:noProof/>
            <w:webHidden/>
          </w:rPr>
          <w:instrText xml:space="preserve"> PAGEREF _Toc236825160 \h </w:instrText>
        </w:r>
        <w:r>
          <w:rPr>
            <w:noProof/>
            <w:webHidden/>
          </w:rPr>
        </w:r>
        <w:r>
          <w:rPr>
            <w:noProof/>
            <w:webHidden/>
          </w:rPr>
          <w:fldChar w:fldCharType="separate"/>
        </w:r>
        <w:r w:rsidR="009C6651">
          <w:rPr>
            <w:noProof/>
            <w:webHidden/>
          </w:rPr>
          <w:t>24</w:t>
        </w:r>
        <w:r>
          <w:rPr>
            <w:noProof/>
            <w:webHidden/>
          </w:rPr>
          <w:fldChar w:fldCharType="end"/>
        </w:r>
      </w:hyperlink>
    </w:p>
    <w:p w14:paraId="24AB2F1B" w14:textId="3C1E8D0C" w:rsidR="004F4007" w:rsidRDefault="004F4007">
      <w:pPr>
        <w:pStyle w:val="TOC2"/>
        <w:tabs>
          <w:tab w:val="right" w:pos="9854"/>
        </w:tabs>
        <w:rPr>
          <w:rFonts w:eastAsiaTheme="minorEastAsia"/>
          <w:noProof/>
          <w:color w:val="auto"/>
          <w:kern w:val="2"/>
          <w:sz w:val="24"/>
          <w:szCs w:val="24"/>
          <w:lang w:eastAsia="en-AU"/>
          <w14:ligatures w14:val="standardContextual"/>
        </w:rPr>
      </w:pPr>
      <w:hyperlink w:anchor="_Toc236825161" w:history="1">
        <w:r w:rsidRPr="008C085C">
          <w:rPr>
            <w:rStyle w:val="Hyperlink"/>
            <w:noProof/>
          </w:rPr>
          <w:t>4.3</w:t>
        </w:r>
        <w:r>
          <w:rPr>
            <w:rFonts w:eastAsiaTheme="minorEastAsia"/>
            <w:noProof/>
            <w:color w:val="auto"/>
            <w:kern w:val="2"/>
            <w:sz w:val="24"/>
            <w:szCs w:val="24"/>
            <w:lang w:eastAsia="en-AU"/>
            <w14:ligatures w14:val="standardContextual"/>
          </w:rPr>
          <w:tab/>
        </w:r>
        <w:r w:rsidRPr="008C085C">
          <w:rPr>
            <w:rStyle w:val="Hyperlink"/>
            <w:noProof/>
          </w:rPr>
          <w:t>Industry costs estimation (regulatory burden)</w:t>
        </w:r>
        <w:r>
          <w:rPr>
            <w:noProof/>
            <w:webHidden/>
          </w:rPr>
          <w:tab/>
        </w:r>
        <w:r>
          <w:rPr>
            <w:noProof/>
            <w:webHidden/>
          </w:rPr>
          <w:fldChar w:fldCharType="begin"/>
        </w:r>
        <w:r>
          <w:rPr>
            <w:noProof/>
            <w:webHidden/>
          </w:rPr>
          <w:instrText xml:space="preserve"> PAGEREF _Toc236825161 \h </w:instrText>
        </w:r>
        <w:r>
          <w:rPr>
            <w:noProof/>
            <w:webHidden/>
          </w:rPr>
        </w:r>
        <w:r>
          <w:rPr>
            <w:noProof/>
            <w:webHidden/>
          </w:rPr>
          <w:fldChar w:fldCharType="separate"/>
        </w:r>
        <w:r w:rsidR="009C6651">
          <w:rPr>
            <w:noProof/>
            <w:webHidden/>
          </w:rPr>
          <w:t>24</w:t>
        </w:r>
        <w:r>
          <w:rPr>
            <w:noProof/>
            <w:webHidden/>
          </w:rPr>
          <w:fldChar w:fldCharType="end"/>
        </w:r>
      </w:hyperlink>
    </w:p>
    <w:p w14:paraId="563AE41E" w14:textId="10F83B03" w:rsidR="004F4007" w:rsidRDefault="004F4007">
      <w:pPr>
        <w:pStyle w:val="TOC2"/>
        <w:tabs>
          <w:tab w:val="right" w:pos="9854"/>
        </w:tabs>
        <w:rPr>
          <w:rFonts w:eastAsiaTheme="minorEastAsia"/>
          <w:noProof/>
          <w:color w:val="auto"/>
          <w:kern w:val="2"/>
          <w:sz w:val="24"/>
          <w:szCs w:val="24"/>
          <w:lang w:eastAsia="en-AU"/>
          <w14:ligatures w14:val="standardContextual"/>
        </w:rPr>
      </w:pPr>
      <w:hyperlink w:anchor="_Toc236825162" w:history="1">
        <w:r w:rsidRPr="008C085C">
          <w:rPr>
            <w:rStyle w:val="Hyperlink"/>
            <w:noProof/>
          </w:rPr>
          <w:t>4.4</w:t>
        </w:r>
        <w:r>
          <w:rPr>
            <w:rFonts w:eastAsiaTheme="minorEastAsia"/>
            <w:noProof/>
            <w:color w:val="auto"/>
            <w:kern w:val="2"/>
            <w:sz w:val="24"/>
            <w:szCs w:val="24"/>
            <w:lang w:eastAsia="en-AU"/>
            <w14:ligatures w14:val="standardContextual"/>
          </w:rPr>
          <w:tab/>
        </w:r>
        <w:r w:rsidRPr="008C085C">
          <w:rPr>
            <w:rStyle w:val="Hyperlink"/>
            <w:noProof/>
          </w:rPr>
          <w:t>Semi-quantitative breakdown of impacts on business and consumers</w:t>
        </w:r>
        <w:r>
          <w:rPr>
            <w:noProof/>
            <w:webHidden/>
          </w:rPr>
          <w:tab/>
        </w:r>
        <w:r>
          <w:rPr>
            <w:noProof/>
            <w:webHidden/>
          </w:rPr>
          <w:fldChar w:fldCharType="begin"/>
        </w:r>
        <w:r>
          <w:rPr>
            <w:noProof/>
            <w:webHidden/>
          </w:rPr>
          <w:instrText xml:space="preserve"> PAGEREF _Toc236825162 \h </w:instrText>
        </w:r>
        <w:r>
          <w:rPr>
            <w:noProof/>
            <w:webHidden/>
          </w:rPr>
        </w:r>
        <w:r>
          <w:rPr>
            <w:noProof/>
            <w:webHidden/>
          </w:rPr>
          <w:fldChar w:fldCharType="separate"/>
        </w:r>
        <w:r w:rsidR="009C6651">
          <w:rPr>
            <w:noProof/>
            <w:webHidden/>
          </w:rPr>
          <w:t>24</w:t>
        </w:r>
        <w:r>
          <w:rPr>
            <w:noProof/>
            <w:webHidden/>
          </w:rPr>
          <w:fldChar w:fldCharType="end"/>
        </w:r>
      </w:hyperlink>
    </w:p>
    <w:p w14:paraId="2C4E2D6A" w14:textId="00D70CC3" w:rsidR="004F4007" w:rsidRDefault="004F4007">
      <w:pPr>
        <w:pStyle w:val="TOC2"/>
        <w:tabs>
          <w:tab w:val="right" w:pos="9854"/>
        </w:tabs>
        <w:rPr>
          <w:rFonts w:eastAsiaTheme="minorEastAsia"/>
          <w:noProof/>
          <w:color w:val="auto"/>
          <w:kern w:val="2"/>
          <w:sz w:val="24"/>
          <w:szCs w:val="24"/>
          <w:lang w:eastAsia="en-AU"/>
          <w14:ligatures w14:val="standardContextual"/>
        </w:rPr>
      </w:pPr>
      <w:hyperlink w:anchor="_Toc236825163" w:history="1">
        <w:r w:rsidRPr="008C085C">
          <w:rPr>
            <w:rStyle w:val="Hyperlink"/>
            <w:noProof/>
          </w:rPr>
          <w:t>4.5</w:t>
        </w:r>
        <w:r>
          <w:rPr>
            <w:rFonts w:eastAsiaTheme="minorEastAsia"/>
            <w:noProof/>
            <w:color w:val="auto"/>
            <w:kern w:val="2"/>
            <w:sz w:val="24"/>
            <w:szCs w:val="24"/>
            <w:lang w:eastAsia="en-AU"/>
            <w14:ligatures w14:val="standardContextual"/>
          </w:rPr>
          <w:tab/>
        </w:r>
        <w:r w:rsidRPr="008C085C">
          <w:rPr>
            <w:rStyle w:val="Hyperlink"/>
            <w:noProof/>
          </w:rPr>
          <w:t>Option 1: No intervention</w:t>
        </w:r>
        <w:r>
          <w:rPr>
            <w:noProof/>
            <w:webHidden/>
          </w:rPr>
          <w:tab/>
        </w:r>
        <w:r>
          <w:rPr>
            <w:noProof/>
            <w:webHidden/>
          </w:rPr>
          <w:fldChar w:fldCharType="begin"/>
        </w:r>
        <w:r>
          <w:rPr>
            <w:noProof/>
            <w:webHidden/>
          </w:rPr>
          <w:instrText xml:space="preserve"> PAGEREF _Toc236825163 \h </w:instrText>
        </w:r>
        <w:r>
          <w:rPr>
            <w:noProof/>
            <w:webHidden/>
          </w:rPr>
        </w:r>
        <w:r>
          <w:rPr>
            <w:noProof/>
            <w:webHidden/>
          </w:rPr>
          <w:fldChar w:fldCharType="separate"/>
        </w:r>
        <w:r w:rsidR="009C6651">
          <w:rPr>
            <w:noProof/>
            <w:webHidden/>
          </w:rPr>
          <w:t>25</w:t>
        </w:r>
        <w:r>
          <w:rPr>
            <w:noProof/>
            <w:webHidden/>
          </w:rPr>
          <w:fldChar w:fldCharType="end"/>
        </w:r>
      </w:hyperlink>
    </w:p>
    <w:p w14:paraId="29EE7252" w14:textId="12976289" w:rsidR="004F4007" w:rsidRDefault="004F4007">
      <w:pPr>
        <w:pStyle w:val="TOC2"/>
        <w:tabs>
          <w:tab w:val="right" w:pos="9854"/>
        </w:tabs>
        <w:rPr>
          <w:rFonts w:eastAsiaTheme="minorEastAsia"/>
          <w:noProof/>
          <w:color w:val="auto"/>
          <w:kern w:val="2"/>
          <w:sz w:val="24"/>
          <w:szCs w:val="24"/>
          <w:lang w:eastAsia="en-AU"/>
          <w14:ligatures w14:val="standardContextual"/>
        </w:rPr>
      </w:pPr>
      <w:hyperlink w:anchor="_Toc236825167" w:history="1">
        <w:r w:rsidRPr="008C085C">
          <w:rPr>
            <w:rStyle w:val="Hyperlink"/>
            <w:noProof/>
          </w:rPr>
          <w:t>4.6</w:t>
        </w:r>
        <w:r>
          <w:rPr>
            <w:rFonts w:eastAsiaTheme="minorEastAsia"/>
            <w:noProof/>
            <w:color w:val="auto"/>
            <w:kern w:val="2"/>
            <w:sz w:val="24"/>
            <w:szCs w:val="24"/>
            <w:lang w:eastAsia="en-AU"/>
            <w14:ligatures w14:val="standardContextual"/>
          </w:rPr>
          <w:tab/>
        </w:r>
        <w:r w:rsidRPr="008C085C">
          <w:rPr>
            <w:rStyle w:val="Hyperlink"/>
            <w:noProof/>
          </w:rPr>
          <w:t>Option 2: Legislate a radio prominence framework</w:t>
        </w:r>
        <w:r>
          <w:rPr>
            <w:noProof/>
            <w:webHidden/>
          </w:rPr>
          <w:tab/>
        </w:r>
        <w:r>
          <w:rPr>
            <w:noProof/>
            <w:webHidden/>
          </w:rPr>
          <w:fldChar w:fldCharType="begin"/>
        </w:r>
        <w:r>
          <w:rPr>
            <w:noProof/>
            <w:webHidden/>
          </w:rPr>
          <w:instrText xml:space="preserve"> PAGEREF _Toc236825167 \h </w:instrText>
        </w:r>
        <w:r>
          <w:rPr>
            <w:noProof/>
            <w:webHidden/>
          </w:rPr>
        </w:r>
        <w:r>
          <w:rPr>
            <w:noProof/>
            <w:webHidden/>
          </w:rPr>
          <w:fldChar w:fldCharType="separate"/>
        </w:r>
        <w:r w:rsidR="009C6651">
          <w:rPr>
            <w:noProof/>
            <w:webHidden/>
          </w:rPr>
          <w:t>27</w:t>
        </w:r>
        <w:r>
          <w:rPr>
            <w:noProof/>
            <w:webHidden/>
          </w:rPr>
          <w:fldChar w:fldCharType="end"/>
        </w:r>
      </w:hyperlink>
    </w:p>
    <w:p w14:paraId="0CED7379" w14:textId="5DF890E1" w:rsidR="004F4007" w:rsidRDefault="004F4007">
      <w:pPr>
        <w:pStyle w:val="TOC2"/>
        <w:tabs>
          <w:tab w:val="right" w:pos="9854"/>
        </w:tabs>
        <w:rPr>
          <w:rFonts w:eastAsiaTheme="minorEastAsia"/>
          <w:noProof/>
          <w:color w:val="auto"/>
          <w:kern w:val="2"/>
          <w:sz w:val="24"/>
          <w:szCs w:val="24"/>
          <w:lang w:eastAsia="en-AU"/>
          <w14:ligatures w14:val="standardContextual"/>
        </w:rPr>
      </w:pPr>
      <w:hyperlink w:anchor="_Toc236825171" w:history="1">
        <w:r w:rsidRPr="008C085C">
          <w:rPr>
            <w:rStyle w:val="Hyperlink"/>
            <w:noProof/>
          </w:rPr>
          <w:t>4.7</w:t>
        </w:r>
        <w:r>
          <w:rPr>
            <w:rFonts w:eastAsiaTheme="minorEastAsia"/>
            <w:noProof/>
            <w:color w:val="auto"/>
            <w:kern w:val="2"/>
            <w:sz w:val="24"/>
            <w:szCs w:val="24"/>
            <w:lang w:eastAsia="en-AU"/>
            <w14:ligatures w14:val="standardContextual"/>
          </w:rPr>
          <w:tab/>
        </w:r>
        <w:r w:rsidRPr="008C085C">
          <w:rPr>
            <w:rStyle w:val="Hyperlink"/>
            <w:noProof/>
          </w:rPr>
          <w:t>Option 3: Industry incentives and consumer education</w:t>
        </w:r>
        <w:r>
          <w:rPr>
            <w:noProof/>
            <w:webHidden/>
          </w:rPr>
          <w:tab/>
        </w:r>
        <w:r>
          <w:rPr>
            <w:noProof/>
            <w:webHidden/>
          </w:rPr>
          <w:fldChar w:fldCharType="begin"/>
        </w:r>
        <w:r>
          <w:rPr>
            <w:noProof/>
            <w:webHidden/>
          </w:rPr>
          <w:instrText xml:space="preserve"> PAGEREF _Toc236825171 \h </w:instrText>
        </w:r>
        <w:r>
          <w:rPr>
            <w:noProof/>
            <w:webHidden/>
          </w:rPr>
        </w:r>
        <w:r>
          <w:rPr>
            <w:noProof/>
            <w:webHidden/>
          </w:rPr>
          <w:fldChar w:fldCharType="separate"/>
        </w:r>
        <w:r w:rsidR="009C6651">
          <w:rPr>
            <w:noProof/>
            <w:webHidden/>
          </w:rPr>
          <w:t>29</w:t>
        </w:r>
        <w:r>
          <w:rPr>
            <w:noProof/>
            <w:webHidden/>
          </w:rPr>
          <w:fldChar w:fldCharType="end"/>
        </w:r>
      </w:hyperlink>
    </w:p>
    <w:p w14:paraId="4D84EE4D" w14:textId="1F5A58F3" w:rsidR="004F4007" w:rsidRDefault="004F4007">
      <w:pPr>
        <w:pStyle w:val="TOC2"/>
        <w:tabs>
          <w:tab w:val="right" w:pos="9854"/>
        </w:tabs>
        <w:rPr>
          <w:rFonts w:eastAsiaTheme="minorEastAsia"/>
          <w:noProof/>
          <w:color w:val="auto"/>
          <w:kern w:val="2"/>
          <w:sz w:val="24"/>
          <w:szCs w:val="24"/>
          <w:lang w:eastAsia="en-AU"/>
          <w14:ligatures w14:val="standardContextual"/>
        </w:rPr>
      </w:pPr>
      <w:hyperlink w:anchor="_Toc236825175" w:history="1">
        <w:r w:rsidRPr="008C085C">
          <w:rPr>
            <w:rStyle w:val="Hyperlink"/>
            <w:noProof/>
          </w:rPr>
          <w:t>4.8</w:t>
        </w:r>
        <w:r>
          <w:rPr>
            <w:rFonts w:eastAsiaTheme="minorEastAsia"/>
            <w:noProof/>
            <w:color w:val="auto"/>
            <w:kern w:val="2"/>
            <w:sz w:val="24"/>
            <w:szCs w:val="24"/>
            <w:lang w:eastAsia="en-AU"/>
            <w14:ligatures w14:val="standardContextual"/>
          </w:rPr>
          <w:tab/>
        </w:r>
        <w:r w:rsidRPr="008C085C">
          <w:rPr>
            <w:rStyle w:val="Hyperlink"/>
            <w:noProof/>
          </w:rPr>
          <w:t>Comparison of key impacts on stakeholder groups</w:t>
        </w:r>
        <w:r>
          <w:rPr>
            <w:noProof/>
            <w:webHidden/>
          </w:rPr>
          <w:tab/>
        </w:r>
        <w:r>
          <w:rPr>
            <w:noProof/>
            <w:webHidden/>
          </w:rPr>
          <w:fldChar w:fldCharType="begin"/>
        </w:r>
        <w:r>
          <w:rPr>
            <w:noProof/>
            <w:webHidden/>
          </w:rPr>
          <w:instrText xml:space="preserve"> PAGEREF _Toc236825175 \h </w:instrText>
        </w:r>
        <w:r>
          <w:rPr>
            <w:noProof/>
            <w:webHidden/>
          </w:rPr>
        </w:r>
        <w:r>
          <w:rPr>
            <w:noProof/>
            <w:webHidden/>
          </w:rPr>
          <w:fldChar w:fldCharType="separate"/>
        </w:r>
        <w:r w:rsidR="009C6651">
          <w:rPr>
            <w:noProof/>
            <w:webHidden/>
          </w:rPr>
          <w:t>31</w:t>
        </w:r>
        <w:r>
          <w:rPr>
            <w:noProof/>
            <w:webHidden/>
          </w:rPr>
          <w:fldChar w:fldCharType="end"/>
        </w:r>
      </w:hyperlink>
    </w:p>
    <w:p w14:paraId="7FB6EAE4" w14:textId="3FB7B8F7" w:rsidR="004F4007" w:rsidRDefault="004F4007">
      <w:pPr>
        <w:pStyle w:val="TOC1"/>
        <w:rPr>
          <w:rFonts w:eastAsiaTheme="minorEastAsia"/>
          <w:b w:val="0"/>
          <w:noProof/>
          <w:color w:val="auto"/>
          <w:kern w:val="2"/>
          <w:szCs w:val="24"/>
          <w:u w:val="none"/>
          <w:lang w:eastAsia="en-AU"/>
          <w14:ligatures w14:val="standardContextual"/>
        </w:rPr>
      </w:pPr>
      <w:hyperlink w:anchor="_Toc236825176" w:history="1">
        <w:r w:rsidRPr="008C085C">
          <w:rPr>
            <w:rStyle w:val="Hyperlink"/>
            <w:noProof/>
          </w:rPr>
          <w:t>5.</w:t>
        </w:r>
        <w:r>
          <w:rPr>
            <w:rFonts w:eastAsiaTheme="minorEastAsia"/>
            <w:b w:val="0"/>
            <w:noProof/>
            <w:color w:val="auto"/>
            <w:kern w:val="2"/>
            <w:szCs w:val="24"/>
            <w:u w:val="none"/>
            <w:lang w:eastAsia="en-AU"/>
            <w14:ligatures w14:val="standardContextual"/>
          </w:rPr>
          <w:tab/>
        </w:r>
        <w:r w:rsidRPr="008C085C">
          <w:rPr>
            <w:rStyle w:val="Hyperlink"/>
            <w:noProof/>
          </w:rPr>
          <w:t>What consultation was undertaken and how was feedback incorporated into the policy design?</w:t>
        </w:r>
        <w:r>
          <w:rPr>
            <w:noProof/>
            <w:webHidden/>
          </w:rPr>
          <w:tab/>
        </w:r>
        <w:r>
          <w:rPr>
            <w:noProof/>
            <w:webHidden/>
          </w:rPr>
          <w:fldChar w:fldCharType="begin"/>
        </w:r>
        <w:r>
          <w:rPr>
            <w:noProof/>
            <w:webHidden/>
          </w:rPr>
          <w:instrText xml:space="preserve"> PAGEREF _Toc236825176 \h </w:instrText>
        </w:r>
        <w:r>
          <w:rPr>
            <w:noProof/>
            <w:webHidden/>
          </w:rPr>
        </w:r>
        <w:r>
          <w:rPr>
            <w:noProof/>
            <w:webHidden/>
          </w:rPr>
          <w:fldChar w:fldCharType="separate"/>
        </w:r>
        <w:r w:rsidR="009C6651">
          <w:rPr>
            <w:noProof/>
            <w:webHidden/>
          </w:rPr>
          <w:t>35</w:t>
        </w:r>
        <w:r>
          <w:rPr>
            <w:noProof/>
            <w:webHidden/>
          </w:rPr>
          <w:fldChar w:fldCharType="end"/>
        </w:r>
      </w:hyperlink>
    </w:p>
    <w:p w14:paraId="275E34C0" w14:textId="5608897E" w:rsidR="004F4007" w:rsidRDefault="004F4007">
      <w:pPr>
        <w:pStyle w:val="TOC2"/>
        <w:tabs>
          <w:tab w:val="right" w:pos="9854"/>
        </w:tabs>
        <w:rPr>
          <w:rFonts w:eastAsiaTheme="minorEastAsia"/>
          <w:noProof/>
          <w:color w:val="auto"/>
          <w:kern w:val="2"/>
          <w:sz w:val="24"/>
          <w:szCs w:val="24"/>
          <w:lang w:eastAsia="en-AU"/>
          <w14:ligatures w14:val="standardContextual"/>
        </w:rPr>
      </w:pPr>
      <w:hyperlink w:anchor="_Toc236825177" w:history="1">
        <w:r w:rsidRPr="008C085C">
          <w:rPr>
            <w:rStyle w:val="Hyperlink"/>
            <w:noProof/>
          </w:rPr>
          <w:t>5.1</w:t>
        </w:r>
        <w:r>
          <w:rPr>
            <w:rFonts w:eastAsiaTheme="minorEastAsia"/>
            <w:noProof/>
            <w:color w:val="auto"/>
            <w:kern w:val="2"/>
            <w:sz w:val="24"/>
            <w:szCs w:val="24"/>
            <w:lang w:eastAsia="en-AU"/>
            <w14:ligatures w14:val="standardContextual"/>
          </w:rPr>
          <w:tab/>
        </w:r>
        <w:r w:rsidRPr="008C085C">
          <w:rPr>
            <w:rStyle w:val="Hyperlink"/>
            <w:noProof/>
          </w:rPr>
          <w:t>Post-consultation analysis</w:t>
        </w:r>
        <w:r>
          <w:rPr>
            <w:noProof/>
            <w:webHidden/>
          </w:rPr>
          <w:tab/>
        </w:r>
        <w:r>
          <w:rPr>
            <w:noProof/>
            <w:webHidden/>
          </w:rPr>
          <w:fldChar w:fldCharType="begin"/>
        </w:r>
        <w:r>
          <w:rPr>
            <w:noProof/>
            <w:webHidden/>
          </w:rPr>
          <w:instrText xml:space="preserve"> PAGEREF _Toc236825177 \h </w:instrText>
        </w:r>
        <w:r>
          <w:rPr>
            <w:noProof/>
            <w:webHidden/>
          </w:rPr>
        </w:r>
        <w:r>
          <w:rPr>
            <w:noProof/>
            <w:webHidden/>
          </w:rPr>
          <w:fldChar w:fldCharType="separate"/>
        </w:r>
        <w:r w:rsidR="009C6651">
          <w:rPr>
            <w:noProof/>
            <w:webHidden/>
          </w:rPr>
          <w:t>35</w:t>
        </w:r>
        <w:r>
          <w:rPr>
            <w:noProof/>
            <w:webHidden/>
          </w:rPr>
          <w:fldChar w:fldCharType="end"/>
        </w:r>
      </w:hyperlink>
    </w:p>
    <w:p w14:paraId="5C0B756C" w14:textId="3F289778" w:rsidR="004F4007" w:rsidRDefault="004F4007">
      <w:pPr>
        <w:pStyle w:val="TOC1"/>
        <w:rPr>
          <w:rFonts w:eastAsiaTheme="minorEastAsia"/>
          <w:b w:val="0"/>
          <w:noProof/>
          <w:color w:val="auto"/>
          <w:kern w:val="2"/>
          <w:szCs w:val="24"/>
          <w:u w:val="none"/>
          <w:lang w:eastAsia="en-AU"/>
          <w14:ligatures w14:val="standardContextual"/>
        </w:rPr>
      </w:pPr>
      <w:hyperlink w:anchor="_Toc236825180" w:history="1">
        <w:r w:rsidRPr="008C085C">
          <w:rPr>
            <w:rStyle w:val="Hyperlink"/>
            <w:noProof/>
          </w:rPr>
          <w:t>6.</w:t>
        </w:r>
        <w:r>
          <w:rPr>
            <w:rFonts w:eastAsiaTheme="minorEastAsia"/>
            <w:b w:val="0"/>
            <w:noProof/>
            <w:color w:val="auto"/>
            <w:kern w:val="2"/>
            <w:szCs w:val="24"/>
            <w:u w:val="none"/>
            <w:lang w:eastAsia="en-AU"/>
            <w14:ligatures w14:val="standardContextual"/>
          </w:rPr>
          <w:tab/>
        </w:r>
        <w:r w:rsidRPr="008C085C">
          <w:rPr>
            <w:rStyle w:val="Hyperlink"/>
            <w:noProof/>
          </w:rPr>
          <w:t>What is the best policy option and how will it be implemented?</w:t>
        </w:r>
        <w:r>
          <w:rPr>
            <w:noProof/>
            <w:webHidden/>
          </w:rPr>
          <w:tab/>
        </w:r>
        <w:r>
          <w:rPr>
            <w:noProof/>
            <w:webHidden/>
          </w:rPr>
          <w:fldChar w:fldCharType="begin"/>
        </w:r>
        <w:r>
          <w:rPr>
            <w:noProof/>
            <w:webHidden/>
          </w:rPr>
          <w:instrText xml:space="preserve"> PAGEREF _Toc236825180 \h </w:instrText>
        </w:r>
        <w:r>
          <w:rPr>
            <w:noProof/>
            <w:webHidden/>
          </w:rPr>
        </w:r>
        <w:r>
          <w:rPr>
            <w:noProof/>
            <w:webHidden/>
          </w:rPr>
          <w:fldChar w:fldCharType="separate"/>
        </w:r>
        <w:r w:rsidR="009C6651">
          <w:rPr>
            <w:noProof/>
            <w:webHidden/>
          </w:rPr>
          <w:t>37</w:t>
        </w:r>
        <w:r>
          <w:rPr>
            <w:noProof/>
            <w:webHidden/>
          </w:rPr>
          <w:fldChar w:fldCharType="end"/>
        </w:r>
      </w:hyperlink>
    </w:p>
    <w:p w14:paraId="3EA491A4" w14:textId="4278EAC7" w:rsidR="004F4007" w:rsidRDefault="004F4007">
      <w:pPr>
        <w:pStyle w:val="TOC2"/>
        <w:tabs>
          <w:tab w:val="right" w:pos="9854"/>
        </w:tabs>
        <w:rPr>
          <w:rFonts w:eastAsiaTheme="minorEastAsia"/>
          <w:noProof/>
          <w:color w:val="auto"/>
          <w:kern w:val="2"/>
          <w:sz w:val="24"/>
          <w:szCs w:val="24"/>
          <w:lang w:eastAsia="en-AU"/>
          <w14:ligatures w14:val="standardContextual"/>
        </w:rPr>
      </w:pPr>
      <w:hyperlink w:anchor="_Toc236825181" w:history="1">
        <w:r w:rsidRPr="008C085C">
          <w:rPr>
            <w:rStyle w:val="Hyperlink"/>
            <w:noProof/>
          </w:rPr>
          <w:t>6.1</w:t>
        </w:r>
        <w:r>
          <w:rPr>
            <w:rFonts w:eastAsiaTheme="minorEastAsia"/>
            <w:noProof/>
            <w:color w:val="auto"/>
            <w:kern w:val="2"/>
            <w:sz w:val="24"/>
            <w:szCs w:val="24"/>
            <w:lang w:eastAsia="en-AU"/>
            <w14:ligatures w14:val="standardContextual"/>
          </w:rPr>
          <w:tab/>
        </w:r>
        <w:r w:rsidRPr="008C085C">
          <w:rPr>
            <w:rStyle w:val="Hyperlink"/>
            <w:noProof/>
          </w:rPr>
          <w:t>The preferred option</w:t>
        </w:r>
        <w:r>
          <w:rPr>
            <w:noProof/>
            <w:webHidden/>
          </w:rPr>
          <w:tab/>
        </w:r>
        <w:r>
          <w:rPr>
            <w:noProof/>
            <w:webHidden/>
          </w:rPr>
          <w:fldChar w:fldCharType="begin"/>
        </w:r>
        <w:r>
          <w:rPr>
            <w:noProof/>
            <w:webHidden/>
          </w:rPr>
          <w:instrText xml:space="preserve"> PAGEREF _Toc236825181 \h </w:instrText>
        </w:r>
        <w:r>
          <w:rPr>
            <w:noProof/>
            <w:webHidden/>
          </w:rPr>
        </w:r>
        <w:r>
          <w:rPr>
            <w:noProof/>
            <w:webHidden/>
          </w:rPr>
          <w:fldChar w:fldCharType="separate"/>
        </w:r>
        <w:r w:rsidR="009C6651">
          <w:rPr>
            <w:noProof/>
            <w:webHidden/>
          </w:rPr>
          <w:t>37</w:t>
        </w:r>
        <w:r>
          <w:rPr>
            <w:noProof/>
            <w:webHidden/>
          </w:rPr>
          <w:fldChar w:fldCharType="end"/>
        </w:r>
      </w:hyperlink>
    </w:p>
    <w:p w14:paraId="298BA57B" w14:textId="5B087D4E" w:rsidR="004F4007" w:rsidRDefault="004F4007">
      <w:pPr>
        <w:pStyle w:val="TOC2"/>
        <w:tabs>
          <w:tab w:val="right" w:pos="9854"/>
        </w:tabs>
        <w:rPr>
          <w:rFonts w:eastAsiaTheme="minorEastAsia"/>
          <w:noProof/>
          <w:color w:val="auto"/>
          <w:kern w:val="2"/>
          <w:sz w:val="24"/>
          <w:szCs w:val="24"/>
          <w:lang w:eastAsia="en-AU"/>
          <w14:ligatures w14:val="standardContextual"/>
        </w:rPr>
      </w:pPr>
      <w:hyperlink w:anchor="_Toc236825185" w:history="1">
        <w:r w:rsidRPr="008C085C">
          <w:rPr>
            <w:rStyle w:val="Hyperlink"/>
            <w:noProof/>
          </w:rPr>
          <w:t>6.2</w:t>
        </w:r>
        <w:r>
          <w:rPr>
            <w:rFonts w:eastAsiaTheme="minorEastAsia"/>
            <w:noProof/>
            <w:color w:val="auto"/>
            <w:kern w:val="2"/>
            <w:sz w:val="24"/>
            <w:szCs w:val="24"/>
            <w:lang w:eastAsia="en-AU"/>
            <w14:ligatures w14:val="standardContextual"/>
          </w:rPr>
          <w:tab/>
        </w:r>
        <w:r w:rsidRPr="008C085C">
          <w:rPr>
            <w:rStyle w:val="Hyperlink"/>
            <w:noProof/>
          </w:rPr>
          <w:t>Implementation</w:t>
        </w:r>
        <w:r>
          <w:rPr>
            <w:noProof/>
            <w:webHidden/>
          </w:rPr>
          <w:tab/>
        </w:r>
        <w:r>
          <w:rPr>
            <w:noProof/>
            <w:webHidden/>
          </w:rPr>
          <w:fldChar w:fldCharType="begin"/>
        </w:r>
        <w:r>
          <w:rPr>
            <w:noProof/>
            <w:webHidden/>
          </w:rPr>
          <w:instrText xml:space="preserve"> PAGEREF _Toc236825185 \h </w:instrText>
        </w:r>
        <w:r>
          <w:rPr>
            <w:noProof/>
            <w:webHidden/>
          </w:rPr>
        </w:r>
        <w:r>
          <w:rPr>
            <w:noProof/>
            <w:webHidden/>
          </w:rPr>
          <w:fldChar w:fldCharType="separate"/>
        </w:r>
        <w:r w:rsidR="009C6651">
          <w:rPr>
            <w:noProof/>
            <w:webHidden/>
          </w:rPr>
          <w:t>37</w:t>
        </w:r>
        <w:r>
          <w:rPr>
            <w:noProof/>
            <w:webHidden/>
          </w:rPr>
          <w:fldChar w:fldCharType="end"/>
        </w:r>
      </w:hyperlink>
    </w:p>
    <w:p w14:paraId="75BA9758" w14:textId="1CA2C686" w:rsidR="004F4007" w:rsidRDefault="004F4007">
      <w:pPr>
        <w:pStyle w:val="TOC1"/>
        <w:rPr>
          <w:rFonts w:eastAsiaTheme="minorEastAsia"/>
          <w:b w:val="0"/>
          <w:noProof/>
          <w:color w:val="auto"/>
          <w:kern w:val="2"/>
          <w:szCs w:val="24"/>
          <w:u w:val="none"/>
          <w:lang w:eastAsia="en-AU"/>
          <w14:ligatures w14:val="standardContextual"/>
        </w:rPr>
      </w:pPr>
      <w:hyperlink w:anchor="_Toc236825188" w:history="1">
        <w:r w:rsidRPr="008C085C">
          <w:rPr>
            <w:rStyle w:val="Hyperlink"/>
            <w:noProof/>
          </w:rPr>
          <w:t>7.</w:t>
        </w:r>
        <w:r>
          <w:rPr>
            <w:rFonts w:eastAsiaTheme="minorEastAsia"/>
            <w:b w:val="0"/>
            <w:noProof/>
            <w:color w:val="auto"/>
            <w:kern w:val="2"/>
            <w:szCs w:val="24"/>
            <w:u w:val="none"/>
            <w:lang w:eastAsia="en-AU"/>
            <w14:ligatures w14:val="standardContextual"/>
          </w:rPr>
          <w:tab/>
        </w:r>
        <w:r w:rsidRPr="008C085C">
          <w:rPr>
            <w:rStyle w:val="Hyperlink"/>
            <w:noProof/>
          </w:rPr>
          <w:t>How will you evaluate your chosen option against the success metrics?</w:t>
        </w:r>
        <w:r>
          <w:rPr>
            <w:noProof/>
            <w:webHidden/>
          </w:rPr>
          <w:tab/>
        </w:r>
        <w:r>
          <w:rPr>
            <w:noProof/>
            <w:webHidden/>
          </w:rPr>
          <w:fldChar w:fldCharType="begin"/>
        </w:r>
        <w:r>
          <w:rPr>
            <w:noProof/>
            <w:webHidden/>
          </w:rPr>
          <w:instrText xml:space="preserve"> PAGEREF _Toc236825188 \h </w:instrText>
        </w:r>
        <w:r>
          <w:rPr>
            <w:noProof/>
            <w:webHidden/>
          </w:rPr>
        </w:r>
        <w:r>
          <w:rPr>
            <w:noProof/>
            <w:webHidden/>
          </w:rPr>
          <w:fldChar w:fldCharType="separate"/>
        </w:r>
        <w:r w:rsidR="009C6651">
          <w:rPr>
            <w:noProof/>
            <w:webHidden/>
          </w:rPr>
          <w:t>39</w:t>
        </w:r>
        <w:r>
          <w:rPr>
            <w:noProof/>
            <w:webHidden/>
          </w:rPr>
          <w:fldChar w:fldCharType="end"/>
        </w:r>
      </w:hyperlink>
    </w:p>
    <w:p w14:paraId="124D0BB3" w14:textId="39B77F63" w:rsidR="004F4007" w:rsidRDefault="004F4007">
      <w:pPr>
        <w:pStyle w:val="TOC2"/>
        <w:tabs>
          <w:tab w:val="right" w:pos="9854"/>
        </w:tabs>
        <w:rPr>
          <w:rFonts w:eastAsiaTheme="minorEastAsia"/>
          <w:noProof/>
          <w:color w:val="auto"/>
          <w:kern w:val="2"/>
          <w:sz w:val="24"/>
          <w:szCs w:val="24"/>
          <w:lang w:eastAsia="en-AU"/>
          <w14:ligatures w14:val="standardContextual"/>
        </w:rPr>
      </w:pPr>
      <w:hyperlink w:anchor="_Toc236825189" w:history="1">
        <w:r w:rsidRPr="008C085C">
          <w:rPr>
            <w:rStyle w:val="Hyperlink"/>
            <w:noProof/>
          </w:rPr>
          <w:t>7.1</w:t>
        </w:r>
        <w:r>
          <w:rPr>
            <w:rFonts w:eastAsiaTheme="minorEastAsia"/>
            <w:noProof/>
            <w:color w:val="auto"/>
            <w:kern w:val="2"/>
            <w:sz w:val="24"/>
            <w:szCs w:val="24"/>
            <w:lang w:eastAsia="en-AU"/>
            <w14:ligatures w14:val="standardContextual"/>
          </w:rPr>
          <w:tab/>
        </w:r>
        <w:r w:rsidRPr="008C085C">
          <w:rPr>
            <w:rStyle w:val="Hyperlink"/>
            <w:noProof/>
          </w:rPr>
          <w:t>Evaluation</w:t>
        </w:r>
        <w:r>
          <w:rPr>
            <w:noProof/>
            <w:webHidden/>
          </w:rPr>
          <w:tab/>
        </w:r>
        <w:r>
          <w:rPr>
            <w:noProof/>
            <w:webHidden/>
          </w:rPr>
          <w:fldChar w:fldCharType="begin"/>
        </w:r>
        <w:r>
          <w:rPr>
            <w:noProof/>
            <w:webHidden/>
          </w:rPr>
          <w:instrText xml:space="preserve"> PAGEREF _Toc236825189 \h </w:instrText>
        </w:r>
        <w:r>
          <w:rPr>
            <w:noProof/>
            <w:webHidden/>
          </w:rPr>
        </w:r>
        <w:r>
          <w:rPr>
            <w:noProof/>
            <w:webHidden/>
          </w:rPr>
          <w:fldChar w:fldCharType="separate"/>
        </w:r>
        <w:r w:rsidR="009C6651">
          <w:rPr>
            <w:noProof/>
            <w:webHidden/>
          </w:rPr>
          <w:t>39</w:t>
        </w:r>
        <w:r>
          <w:rPr>
            <w:noProof/>
            <w:webHidden/>
          </w:rPr>
          <w:fldChar w:fldCharType="end"/>
        </w:r>
      </w:hyperlink>
    </w:p>
    <w:p w14:paraId="4B587365" w14:textId="1B9F73C9" w:rsidR="004F4007" w:rsidRDefault="004F4007">
      <w:pPr>
        <w:pStyle w:val="TOC1"/>
        <w:rPr>
          <w:rFonts w:eastAsiaTheme="minorEastAsia"/>
          <w:b w:val="0"/>
          <w:noProof/>
          <w:color w:val="auto"/>
          <w:kern w:val="2"/>
          <w:szCs w:val="24"/>
          <w:u w:val="none"/>
          <w:lang w:eastAsia="en-AU"/>
          <w14:ligatures w14:val="standardContextual"/>
        </w:rPr>
      </w:pPr>
      <w:hyperlink w:anchor="_Toc236825191" w:history="1">
        <w:r w:rsidRPr="008C085C">
          <w:rPr>
            <w:rStyle w:val="Hyperlink"/>
            <w:noProof/>
          </w:rPr>
          <w:t>Appendix A – Regulatory Burden Measure</w:t>
        </w:r>
        <w:r>
          <w:rPr>
            <w:noProof/>
            <w:webHidden/>
          </w:rPr>
          <w:tab/>
        </w:r>
        <w:r>
          <w:rPr>
            <w:noProof/>
            <w:webHidden/>
          </w:rPr>
          <w:fldChar w:fldCharType="begin"/>
        </w:r>
        <w:r>
          <w:rPr>
            <w:noProof/>
            <w:webHidden/>
          </w:rPr>
          <w:instrText xml:space="preserve"> PAGEREF _Toc236825191 \h </w:instrText>
        </w:r>
        <w:r>
          <w:rPr>
            <w:noProof/>
            <w:webHidden/>
          </w:rPr>
        </w:r>
        <w:r>
          <w:rPr>
            <w:noProof/>
            <w:webHidden/>
          </w:rPr>
          <w:fldChar w:fldCharType="separate"/>
        </w:r>
        <w:r w:rsidR="009C6651">
          <w:rPr>
            <w:noProof/>
            <w:webHidden/>
          </w:rPr>
          <w:t>40</w:t>
        </w:r>
        <w:r>
          <w:rPr>
            <w:noProof/>
            <w:webHidden/>
          </w:rPr>
          <w:fldChar w:fldCharType="end"/>
        </w:r>
      </w:hyperlink>
    </w:p>
    <w:p w14:paraId="1B4FD8AA" w14:textId="0C42942C" w:rsidR="004F4007" w:rsidRDefault="004F4007">
      <w:pPr>
        <w:pStyle w:val="TOC2"/>
        <w:tabs>
          <w:tab w:val="right" w:pos="9854"/>
        </w:tabs>
        <w:rPr>
          <w:rFonts w:eastAsiaTheme="minorEastAsia"/>
          <w:noProof/>
          <w:color w:val="auto"/>
          <w:kern w:val="2"/>
          <w:sz w:val="24"/>
          <w:szCs w:val="24"/>
          <w:lang w:eastAsia="en-AU"/>
          <w14:ligatures w14:val="standardContextual"/>
        </w:rPr>
      </w:pPr>
      <w:hyperlink w:anchor="_Toc236825192" w:history="1">
        <w:r w:rsidRPr="008C085C">
          <w:rPr>
            <w:rStyle w:val="Hyperlink"/>
            <w:noProof/>
          </w:rPr>
          <w:t>Industry salary costs</w:t>
        </w:r>
        <w:r>
          <w:rPr>
            <w:noProof/>
            <w:webHidden/>
          </w:rPr>
          <w:tab/>
        </w:r>
        <w:r>
          <w:rPr>
            <w:noProof/>
            <w:webHidden/>
          </w:rPr>
          <w:fldChar w:fldCharType="begin"/>
        </w:r>
        <w:r>
          <w:rPr>
            <w:noProof/>
            <w:webHidden/>
          </w:rPr>
          <w:instrText xml:space="preserve"> PAGEREF _Toc236825192 \h </w:instrText>
        </w:r>
        <w:r>
          <w:rPr>
            <w:noProof/>
            <w:webHidden/>
          </w:rPr>
        </w:r>
        <w:r>
          <w:rPr>
            <w:noProof/>
            <w:webHidden/>
          </w:rPr>
          <w:fldChar w:fldCharType="separate"/>
        </w:r>
        <w:r w:rsidR="009C6651">
          <w:rPr>
            <w:noProof/>
            <w:webHidden/>
          </w:rPr>
          <w:t>40</w:t>
        </w:r>
        <w:r>
          <w:rPr>
            <w:noProof/>
            <w:webHidden/>
          </w:rPr>
          <w:fldChar w:fldCharType="end"/>
        </w:r>
      </w:hyperlink>
    </w:p>
    <w:p w14:paraId="6137A59B" w14:textId="00FDFCDB" w:rsidR="004F4007" w:rsidRDefault="004F4007">
      <w:pPr>
        <w:pStyle w:val="TOC2"/>
        <w:tabs>
          <w:tab w:val="right" w:pos="9854"/>
        </w:tabs>
        <w:rPr>
          <w:rFonts w:eastAsiaTheme="minorEastAsia"/>
          <w:noProof/>
          <w:color w:val="auto"/>
          <w:kern w:val="2"/>
          <w:sz w:val="24"/>
          <w:szCs w:val="24"/>
          <w:lang w:eastAsia="en-AU"/>
          <w14:ligatures w14:val="standardContextual"/>
        </w:rPr>
      </w:pPr>
      <w:hyperlink w:anchor="_Toc236825193" w:history="1">
        <w:r w:rsidRPr="008C085C">
          <w:rPr>
            <w:rStyle w:val="Hyperlink"/>
            <w:noProof/>
          </w:rPr>
          <w:t>Option 2</w:t>
        </w:r>
        <w:r>
          <w:rPr>
            <w:noProof/>
            <w:webHidden/>
          </w:rPr>
          <w:tab/>
        </w:r>
        <w:r>
          <w:rPr>
            <w:noProof/>
            <w:webHidden/>
          </w:rPr>
          <w:fldChar w:fldCharType="begin"/>
        </w:r>
        <w:r>
          <w:rPr>
            <w:noProof/>
            <w:webHidden/>
          </w:rPr>
          <w:instrText xml:space="preserve"> PAGEREF _Toc236825193 \h </w:instrText>
        </w:r>
        <w:r>
          <w:rPr>
            <w:noProof/>
            <w:webHidden/>
          </w:rPr>
        </w:r>
        <w:r>
          <w:rPr>
            <w:noProof/>
            <w:webHidden/>
          </w:rPr>
          <w:fldChar w:fldCharType="separate"/>
        </w:r>
        <w:r w:rsidR="009C6651">
          <w:rPr>
            <w:noProof/>
            <w:webHidden/>
          </w:rPr>
          <w:t>40</w:t>
        </w:r>
        <w:r>
          <w:rPr>
            <w:noProof/>
            <w:webHidden/>
          </w:rPr>
          <w:fldChar w:fldCharType="end"/>
        </w:r>
      </w:hyperlink>
    </w:p>
    <w:p w14:paraId="68F0FC30" w14:textId="2ED91FD3" w:rsidR="00DE4FE2" w:rsidRDefault="00A95970">
      <w:r>
        <w:fldChar w:fldCharType="end"/>
      </w:r>
    </w:p>
    <w:p w14:paraId="0007BD58" w14:textId="77777777" w:rsidR="006E1ECA" w:rsidRDefault="006E1ECA" w:rsidP="006E1ECA">
      <w:pPr>
        <w:pStyle w:val="TOCHeading"/>
      </w:pPr>
      <w:r>
        <w:lastRenderedPageBreak/>
        <w:t>List of Figures and Tables</w:t>
      </w:r>
    </w:p>
    <w:p w14:paraId="24AAF64A" w14:textId="7BE5331B" w:rsidR="00044497" w:rsidRDefault="006E1ECA">
      <w:pPr>
        <w:pStyle w:val="TableofFigures"/>
        <w:tabs>
          <w:tab w:val="right" w:pos="9854"/>
        </w:tabs>
        <w:rPr>
          <w:rFonts w:eastAsiaTheme="minorEastAsia"/>
          <w:noProof/>
          <w:color w:val="auto"/>
          <w:kern w:val="2"/>
          <w:sz w:val="24"/>
          <w:szCs w:val="24"/>
          <w:lang w:eastAsia="en-AU"/>
          <w14:ligatures w14:val="standardContextual"/>
        </w:rPr>
      </w:pPr>
      <w:r>
        <w:fldChar w:fldCharType="begin"/>
      </w:r>
      <w:r>
        <w:instrText xml:space="preserve"> TOC \h \z \t "Caption" \c </w:instrText>
      </w:r>
      <w:r>
        <w:fldChar w:fldCharType="separate"/>
      </w:r>
      <w:hyperlink w:anchor="_Toc236825663" w:history="1">
        <w:r w:rsidR="00044497" w:rsidRPr="00140078">
          <w:rPr>
            <w:rStyle w:val="Hyperlink"/>
            <w:noProof/>
          </w:rPr>
          <w:t>Figure 1: Accessing audio content via a voice assistant</w:t>
        </w:r>
        <w:r w:rsidR="00044497">
          <w:rPr>
            <w:noProof/>
            <w:webHidden/>
          </w:rPr>
          <w:tab/>
        </w:r>
        <w:r w:rsidR="00044497">
          <w:rPr>
            <w:noProof/>
            <w:webHidden/>
          </w:rPr>
          <w:fldChar w:fldCharType="begin"/>
        </w:r>
        <w:r w:rsidR="00044497">
          <w:rPr>
            <w:noProof/>
            <w:webHidden/>
          </w:rPr>
          <w:instrText xml:space="preserve"> PAGEREF _Toc236825663 \h </w:instrText>
        </w:r>
        <w:r w:rsidR="00044497">
          <w:rPr>
            <w:noProof/>
            <w:webHidden/>
          </w:rPr>
        </w:r>
        <w:r w:rsidR="00044497">
          <w:rPr>
            <w:noProof/>
            <w:webHidden/>
          </w:rPr>
          <w:fldChar w:fldCharType="separate"/>
        </w:r>
        <w:r w:rsidR="009C6651">
          <w:rPr>
            <w:noProof/>
            <w:webHidden/>
          </w:rPr>
          <w:t>10</w:t>
        </w:r>
        <w:r w:rsidR="00044497">
          <w:rPr>
            <w:noProof/>
            <w:webHidden/>
          </w:rPr>
          <w:fldChar w:fldCharType="end"/>
        </w:r>
      </w:hyperlink>
    </w:p>
    <w:p w14:paraId="4DB74189" w14:textId="0060E5E9" w:rsidR="00044497" w:rsidRDefault="00044497">
      <w:pPr>
        <w:pStyle w:val="TableofFigures"/>
        <w:tabs>
          <w:tab w:val="right" w:pos="9854"/>
        </w:tabs>
        <w:rPr>
          <w:rFonts w:eastAsiaTheme="minorEastAsia"/>
          <w:noProof/>
          <w:color w:val="auto"/>
          <w:kern w:val="2"/>
          <w:sz w:val="24"/>
          <w:szCs w:val="24"/>
          <w:lang w:eastAsia="en-AU"/>
          <w14:ligatures w14:val="standardContextual"/>
        </w:rPr>
      </w:pPr>
      <w:hyperlink w:anchor="_Toc236825664" w:history="1">
        <w:r w:rsidRPr="00140078">
          <w:rPr>
            <w:rStyle w:val="Hyperlink"/>
            <w:noProof/>
          </w:rPr>
          <w:t>Table 1: Devices used to listen to audio content (past 7 days)</w:t>
        </w:r>
        <w:r>
          <w:rPr>
            <w:noProof/>
            <w:webHidden/>
          </w:rPr>
          <w:tab/>
        </w:r>
        <w:r>
          <w:rPr>
            <w:noProof/>
            <w:webHidden/>
          </w:rPr>
          <w:fldChar w:fldCharType="begin"/>
        </w:r>
        <w:r>
          <w:rPr>
            <w:noProof/>
            <w:webHidden/>
          </w:rPr>
          <w:instrText xml:space="preserve"> PAGEREF _Toc236825664 \h </w:instrText>
        </w:r>
        <w:r>
          <w:rPr>
            <w:noProof/>
            <w:webHidden/>
          </w:rPr>
        </w:r>
        <w:r>
          <w:rPr>
            <w:noProof/>
            <w:webHidden/>
          </w:rPr>
          <w:fldChar w:fldCharType="separate"/>
        </w:r>
        <w:r w:rsidR="009C6651">
          <w:rPr>
            <w:noProof/>
            <w:webHidden/>
          </w:rPr>
          <w:t>11</w:t>
        </w:r>
        <w:r>
          <w:rPr>
            <w:noProof/>
            <w:webHidden/>
          </w:rPr>
          <w:fldChar w:fldCharType="end"/>
        </w:r>
      </w:hyperlink>
    </w:p>
    <w:p w14:paraId="0A59F7A5" w14:textId="3CA34DB0" w:rsidR="00044497" w:rsidRDefault="00044497">
      <w:pPr>
        <w:pStyle w:val="TableofFigures"/>
        <w:tabs>
          <w:tab w:val="right" w:pos="9854"/>
        </w:tabs>
        <w:rPr>
          <w:rFonts w:eastAsiaTheme="minorEastAsia"/>
          <w:noProof/>
          <w:color w:val="auto"/>
          <w:kern w:val="2"/>
          <w:sz w:val="24"/>
          <w:szCs w:val="24"/>
          <w:lang w:eastAsia="en-AU"/>
          <w14:ligatures w14:val="standardContextual"/>
        </w:rPr>
      </w:pPr>
      <w:hyperlink w:anchor="_Toc236825665" w:history="1">
        <w:r w:rsidRPr="00140078">
          <w:rPr>
            <w:rStyle w:val="Hyperlink"/>
            <w:noProof/>
          </w:rPr>
          <w:t>Figure 2: Advertising in the entertainment and media industry (industry percentage share)</w:t>
        </w:r>
        <w:r>
          <w:rPr>
            <w:noProof/>
            <w:webHidden/>
          </w:rPr>
          <w:tab/>
        </w:r>
        <w:r>
          <w:rPr>
            <w:noProof/>
            <w:webHidden/>
          </w:rPr>
          <w:fldChar w:fldCharType="begin"/>
        </w:r>
        <w:r>
          <w:rPr>
            <w:noProof/>
            <w:webHidden/>
          </w:rPr>
          <w:instrText xml:space="preserve"> PAGEREF _Toc236825665 \h </w:instrText>
        </w:r>
        <w:r>
          <w:rPr>
            <w:noProof/>
            <w:webHidden/>
          </w:rPr>
        </w:r>
        <w:r>
          <w:rPr>
            <w:noProof/>
            <w:webHidden/>
          </w:rPr>
          <w:fldChar w:fldCharType="separate"/>
        </w:r>
        <w:r w:rsidR="009C6651">
          <w:rPr>
            <w:noProof/>
            <w:webHidden/>
          </w:rPr>
          <w:t>14</w:t>
        </w:r>
        <w:r>
          <w:rPr>
            <w:noProof/>
            <w:webHidden/>
          </w:rPr>
          <w:fldChar w:fldCharType="end"/>
        </w:r>
      </w:hyperlink>
    </w:p>
    <w:p w14:paraId="387E245F" w14:textId="66F1507E" w:rsidR="00044497" w:rsidRDefault="00044497">
      <w:pPr>
        <w:pStyle w:val="TableofFigures"/>
        <w:tabs>
          <w:tab w:val="right" w:pos="9854"/>
        </w:tabs>
        <w:rPr>
          <w:rFonts w:eastAsiaTheme="minorEastAsia"/>
          <w:noProof/>
          <w:color w:val="auto"/>
          <w:kern w:val="2"/>
          <w:sz w:val="24"/>
          <w:szCs w:val="24"/>
          <w:lang w:eastAsia="en-AU"/>
          <w14:ligatures w14:val="standardContextual"/>
        </w:rPr>
      </w:pPr>
      <w:hyperlink w:anchor="_Toc236825666" w:history="1">
        <w:r w:rsidRPr="00140078">
          <w:rPr>
            <w:rStyle w:val="Hyperlink"/>
            <w:noProof/>
          </w:rPr>
          <w:t>Table 2: Evaluation metrics for reform objectives</w:t>
        </w:r>
        <w:r>
          <w:rPr>
            <w:noProof/>
            <w:webHidden/>
          </w:rPr>
          <w:tab/>
        </w:r>
        <w:r>
          <w:rPr>
            <w:noProof/>
            <w:webHidden/>
          </w:rPr>
          <w:fldChar w:fldCharType="begin"/>
        </w:r>
        <w:r>
          <w:rPr>
            <w:noProof/>
            <w:webHidden/>
          </w:rPr>
          <w:instrText xml:space="preserve"> PAGEREF _Toc236825666 \h </w:instrText>
        </w:r>
        <w:r>
          <w:rPr>
            <w:noProof/>
            <w:webHidden/>
          </w:rPr>
        </w:r>
        <w:r>
          <w:rPr>
            <w:noProof/>
            <w:webHidden/>
          </w:rPr>
          <w:fldChar w:fldCharType="separate"/>
        </w:r>
        <w:r w:rsidR="009C6651">
          <w:rPr>
            <w:noProof/>
            <w:webHidden/>
          </w:rPr>
          <w:t>18</w:t>
        </w:r>
        <w:r>
          <w:rPr>
            <w:noProof/>
            <w:webHidden/>
          </w:rPr>
          <w:fldChar w:fldCharType="end"/>
        </w:r>
      </w:hyperlink>
    </w:p>
    <w:p w14:paraId="5A462986" w14:textId="5ACF0B59" w:rsidR="00044497" w:rsidRDefault="00044497">
      <w:pPr>
        <w:pStyle w:val="TableofFigures"/>
        <w:tabs>
          <w:tab w:val="right" w:pos="9854"/>
        </w:tabs>
        <w:rPr>
          <w:rFonts w:eastAsiaTheme="minorEastAsia"/>
          <w:noProof/>
          <w:color w:val="auto"/>
          <w:kern w:val="2"/>
          <w:sz w:val="24"/>
          <w:szCs w:val="24"/>
          <w:lang w:eastAsia="en-AU"/>
          <w14:ligatures w14:val="standardContextual"/>
        </w:rPr>
      </w:pPr>
      <w:hyperlink w:anchor="_Toc236825667" w:history="1">
        <w:r w:rsidRPr="00140078">
          <w:rPr>
            <w:rStyle w:val="Hyperlink"/>
            <w:noProof/>
          </w:rPr>
          <w:t>Table 3: Comparison of elements for different models of a radio prominence framework</w:t>
        </w:r>
        <w:r>
          <w:rPr>
            <w:noProof/>
            <w:webHidden/>
          </w:rPr>
          <w:tab/>
        </w:r>
        <w:r>
          <w:rPr>
            <w:noProof/>
            <w:webHidden/>
          </w:rPr>
          <w:fldChar w:fldCharType="begin"/>
        </w:r>
        <w:r>
          <w:rPr>
            <w:noProof/>
            <w:webHidden/>
          </w:rPr>
          <w:instrText xml:space="preserve"> PAGEREF _Toc236825667 \h </w:instrText>
        </w:r>
        <w:r>
          <w:rPr>
            <w:noProof/>
            <w:webHidden/>
          </w:rPr>
        </w:r>
        <w:r>
          <w:rPr>
            <w:noProof/>
            <w:webHidden/>
          </w:rPr>
          <w:fldChar w:fldCharType="separate"/>
        </w:r>
        <w:r w:rsidR="009C6651">
          <w:rPr>
            <w:noProof/>
            <w:webHidden/>
          </w:rPr>
          <w:t>20</w:t>
        </w:r>
        <w:r>
          <w:rPr>
            <w:noProof/>
            <w:webHidden/>
          </w:rPr>
          <w:fldChar w:fldCharType="end"/>
        </w:r>
      </w:hyperlink>
    </w:p>
    <w:p w14:paraId="50B3F1CA" w14:textId="34375337" w:rsidR="00044497" w:rsidRDefault="00044497">
      <w:pPr>
        <w:pStyle w:val="TableofFigures"/>
        <w:tabs>
          <w:tab w:val="right" w:pos="9854"/>
        </w:tabs>
        <w:rPr>
          <w:rFonts w:eastAsiaTheme="minorEastAsia"/>
          <w:noProof/>
          <w:color w:val="auto"/>
          <w:kern w:val="2"/>
          <w:sz w:val="24"/>
          <w:szCs w:val="24"/>
          <w:lang w:eastAsia="en-AU"/>
          <w14:ligatures w14:val="standardContextual"/>
        </w:rPr>
      </w:pPr>
      <w:hyperlink w:anchor="_Toc236825668" w:history="1">
        <w:r w:rsidRPr="00140078">
          <w:rPr>
            <w:rStyle w:val="Hyperlink"/>
            <w:noProof/>
          </w:rPr>
          <w:t>Table 4: Option 1 - average annual regulatory costs (from business as usual)</w:t>
        </w:r>
        <w:r>
          <w:rPr>
            <w:noProof/>
            <w:webHidden/>
          </w:rPr>
          <w:tab/>
        </w:r>
        <w:r>
          <w:rPr>
            <w:noProof/>
            <w:webHidden/>
          </w:rPr>
          <w:fldChar w:fldCharType="begin"/>
        </w:r>
        <w:r>
          <w:rPr>
            <w:noProof/>
            <w:webHidden/>
          </w:rPr>
          <w:instrText xml:space="preserve"> PAGEREF _Toc236825668 \h </w:instrText>
        </w:r>
        <w:r>
          <w:rPr>
            <w:noProof/>
            <w:webHidden/>
          </w:rPr>
        </w:r>
        <w:r>
          <w:rPr>
            <w:noProof/>
            <w:webHidden/>
          </w:rPr>
          <w:fldChar w:fldCharType="separate"/>
        </w:r>
        <w:r w:rsidR="009C6651">
          <w:rPr>
            <w:noProof/>
            <w:webHidden/>
          </w:rPr>
          <w:t>25</w:t>
        </w:r>
        <w:r>
          <w:rPr>
            <w:noProof/>
            <w:webHidden/>
          </w:rPr>
          <w:fldChar w:fldCharType="end"/>
        </w:r>
      </w:hyperlink>
    </w:p>
    <w:p w14:paraId="224FB2BE" w14:textId="58CE6643" w:rsidR="00044497" w:rsidRDefault="00044497">
      <w:pPr>
        <w:pStyle w:val="TableofFigures"/>
        <w:tabs>
          <w:tab w:val="right" w:pos="9854"/>
        </w:tabs>
        <w:rPr>
          <w:rFonts w:eastAsiaTheme="minorEastAsia"/>
          <w:noProof/>
          <w:color w:val="auto"/>
          <w:kern w:val="2"/>
          <w:sz w:val="24"/>
          <w:szCs w:val="24"/>
          <w:lang w:eastAsia="en-AU"/>
          <w14:ligatures w14:val="standardContextual"/>
        </w:rPr>
      </w:pPr>
      <w:hyperlink w:anchor="_Toc236825669" w:history="1">
        <w:r w:rsidRPr="00140078">
          <w:rPr>
            <w:rStyle w:val="Hyperlink"/>
            <w:noProof/>
          </w:rPr>
          <w:t>Table 5: Stakeholder impacts of Option 1</w:t>
        </w:r>
        <w:r>
          <w:rPr>
            <w:noProof/>
            <w:webHidden/>
          </w:rPr>
          <w:tab/>
        </w:r>
        <w:r>
          <w:rPr>
            <w:noProof/>
            <w:webHidden/>
          </w:rPr>
          <w:fldChar w:fldCharType="begin"/>
        </w:r>
        <w:r>
          <w:rPr>
            <w:noProof/>
            <w:webHidden/>
          </w:rPr>
          <w:instrText xml:space="preserve"> PAGEREF _Toc236825669 \h </w:instrText>
        </w:r>
        <w:r>
          <w:rPr>
            <w:noProof/>
            <w:webHidden/>
          </w:rPr>
        </w:r>
        <w:r>
          <w:rPr>
            <w:noProof/>
            <w:webHidden/>
          </w:rPr>
          <w:fldChar w:fldCharType="separate"/>
        </w:r>
        <w:r w:rsidR="009C6651">
          <w:rPr>
            <w:noProof/>
            <w:webHidden/>
          </w:rPr>
          <w:t>26</w:t>
        </w:r>
        <w:r>
          <w:rPr>
            <w:noProof/>
            <w:webHidden/>
          </w:rPr>
          <w:fldChar w:fldCharType="end"/>
        </w:r>
      </w:hyperlink>
    </w:p>
    <w:p w14:paraId="6688ED20" w14:textId="0D3404EA" w:rsidR="00044497" w:rsidRDefault="00044497">
      <w:pPr>
        <w:pStyle w:val="TableofFigures"/>
        <w:tabs>
          <w:tab w:val="right" w:pos="9854"/>
        </w:tabs>
        <w:rPr>
          <w:rFonts w:eastAsiaTheme="minorEastAsia"/>
          <w:noProof/>
          <w:color w:val="auto"/>
          <w:kern w:val="2"/>
          <w:sz w:val="24"/>
          <w:szCs w:val="24"/>
          <w:lang w:eastAsia="en-AU"/>
          <w14:ligatures w14:val="standardContextual"/>
        </w:rPr>
      </w:pPr>
      <w:hyperlink w:anchor="_Toc236825670" w:history="1">
        <w:r w:rsidRPr="00140078">
          <w:rPr>
            <w:rStyle w:val="Hyperlink"/>
            <w:noProof/>
          </w:rPr>
          <w:t>Table 6: Option 2 - average annual regulatory costs (compared with business as usual)</w:t>
        </w:r>
        <w:r>
          <w:rPr>
            <w:noProof/>
            <w:webHidden/>
          </w:rPr>
          <w:tab/>
        </w:r>
        <w:r>
          <w:rPr>
            <w:noProof/>
            <w:webHidden/>
          </w:rPr>
          <w:fldChar w:fldCharType="begin"/>
        </w:r>
        <w:r>
          <w:rPr>
            <w:noProof/>
            <w:webHidden/>
          </w:rPr>
          <w:instrText xml:space="preserve"> PAGEREF _Toc236825670 \h </w:instrText>
        </w:r>
        <w:r>
          <w:rPr>
            <w:noProof/>
            <w:webHidden/>
          </w:rPr>
        </w:r>
        <w:r>
          <w:rPr>
            <w:noProof/>
            <w:webHidden/>
          </w:rPr>
          <w:fldChar w:fldCharType="separate"/>
        </w:r>
        <w:r w:rsidR="009C6651">
          <w:rPr>
            <w:noProof/>
            <w:webHidden/>
          </w:rPr>
          <w:t>28</w:t>
        </w:r>
        <w:r>
          <w:rPr>
            <w:noProof/>
            <w:webHidden/>
          </w:rPr>
          <w:fldChar w:fldCharType="end"/>
        </w:r>
      </w:hyperlink>
    </w:p>
    <w:p w14:paraId="2DFDD71E" w14:textId="51E9FAE7" w:rsidR="00044497" w:rsidRDefault="00044497">
      <w:pPr>
        <w:pStyle w:val="TableofFigures"/>
        <w:tabs>
          <w:tab w:val="right" w:pos="9854"/>
        </w:tabs>
        <w:rPr>
          <w:rFonts w:eastAsiaTheme="minorEastAsia"/>
          <w:noProof/>
          <w:color w:val="auto"/>
          <w:kern w:val="2"/>
          <w:sz w:val="24"/>
          <w:szCs w:val="24"/>
          <w:lang w:eastAsia="en-AU"/>
          <w14:ligatures w14:val="standardContextual"/>
        </w:rPr>
      </w:pPr>
      <w:hyperlink w:anchor="_Toc236825671" w:history="1">
        <w:r w:rsidRPr="00140078">
          <w:rPr>
            <w:rStyle w:val="Hyperlink"/>
            <w:noProof/>
          </w:rPr>
          <w:t>Table 7: Stakeholder impacts of legislating a radio prominence framework</w:t>
        </w:r>
        <w:r>
          <w:rPr>
            <w:noProof/>
            <w:webHidden/>
          </w:rPr>
          <w:tab/>
        </w:r>
        <w:r>
          <w:rPr>
            <w:noProof/>
            <w:webHidden/>
          </w:rPr>
          <w:fldChar w:fldCharType="begin"/>
        </w:r>
        <w:r>
          <w:rPr>
            <w:noProof/>
            <w:webHidden/>
          </w:rPr>
          <w:instrText xml:space="preserve"> PAGEREF _Toc236825671 \h </w:instrText>
        </w:r>
        <w:r>
          <w:rPr>
            <w:noProof/>
            <w:webHidden/>
          </w:rPr>
        </w:r>
        <w:r>
          <w:rPr>
            <w:noProof/>
            <w:webHidden/>
          </w:rPr>
          <w:fldChar w:fldCharType="separate"/>
        </w:r>
        <w:r w:rsidR="009C6651">
          <w:rPr>
            <w:noProof/>
            <w:webHidden/>
          </w:rPr>
          <w:t>28</w:t>
        </w:r>
        <w:r>
          <w:rPr>
            <w:noProof/>
            <w:webHidden/>
          </w:rPr>
          <w:fldChar w:fldCharType="end"/>
        </w:r>
      </w:hyperlink>
    </w:p>
    <w:p w14:paraId="7E32625A" w14:textId="1CA84A0C" w:rsidR="00044497" w:rsidRDefault="00044497">
      <w:pPr>
        <w:pStyle w:val="TableofFigures"/>
        <w:tabs>
          <w:tab w:val="right" w:pos="9854"/>
        </w:tabs>
        <w:rPr>
          <w:rFonts w:eastAsiaTheme="minorEastAsia"/>
          <w:noProof/>
          <w:color w:val="auto"/>
          <w:kern w:val="2"/>
          <w:sz w:val="24"/>
          <w:szCs w:val="24"/>
          <w:lang w:eastAsia="en-AU"/>
          <w14:ligatures w14:val="standardContextual"/>
        </w:rPr>
      </w:pPr>
      <w:hyperlink w:anchor="_Toc236825672" w:history="1">
        <w:r w:rsidRPr="00140078">
          <w:rPr>
            <w:rStyle w:val="Hyperlink"/>
            <w:noProof/>
          </w:rPr>
          <w:t>Table 8: Option 3 - average annual regulatory costs (from business as usual)</w:t>
        </w:r>
        <w:r>
          <w:rPr>
            <w:noProof/>
            <w:webHidden/>
          </w:rPr>
          <w:tab/>
        </w:r>
        <w:r>
          <w:rPr>
            <w:noProof/>
            <w:webHidden/>
          </w:rPr>
          <w:fldChar w:fldCharType="begin"/>
        </w:r>
        <w:r>
          <w:rPr>
            <w:noProof/>
            <w:webHidden/>
          </w:rPr>
          <w:instrText xml:space="preserve"> PAGEREF _Toc236825672 \h </w:instrText>
        </w:r>
        <w:r>
          <w:rPr>
            <w:noProof/>
            <w:webHidden/>
          </w:rPr>
        </w:r>
        <w:r>
          <w:rPr>
            <w:noProof/>
            <w:webHidden/>
          </w:rPr>
          <w:fldChar w:fldCharType="separate"/>
        </w:r>
        <w:r w:rsidR="009C6651">
          <w:rPr>
            <w:noProof/>
            <w:webHidden/>
          </w:rPr>
          <w:t>29</w:t>
        </w:r>
        <w:r>
          <w:rPr>
            <w:noProof/>
            <w:webHidden/>
          </w:rPr>
          <w:fldChar w:fldCharType="end"/>
        </w:r>
      </w:hyperlink>
    </w:p>
    <w:p w14:paraId="6DF40955" w14:textId="0D428712" w:rsidR="00044497" w:rsidRDefault="00044497">
      <w:pPr>
        <w:pStyle w:val="TableofFigures"/>
        <w:tabs>
          <w:tab w:val="right" w:pos="9854"/>
        </w:tabs>
        <w:rPr>
          <w:rFonts w:eastAsiaTheme="minorEastAsia"/>
          <w:noProof/>
          <w:color w:val="auto"/>
          <w:kern w:val="2"/>
          <w:sz w:val="24"/>
          <w:szCs w:val="24"/>
          <w:lang w:eastAsia="en-AU"/>
          <w14:ligatures w14:val="standardContextual"/>
        </w:rPr>
      </w:pPr>
      <w:hyperlink w:anchor="_Toc236825673" w:history="1">
        <w:r w:rsidRPr="00140078">
          <w:rPr>
            <w:rStyle w:val="Hyperlink"/>
            <w:noProof/>
          </w:rPr>
          <w:t>Table 9: Stakeholder impacts on industry incentives to provide radio prominence</w:t>
        </w:r>
        <w:r>
          <w:rPr>
            <w:noProof/>
            <w:webHidden/>
          </w:rPr>
          <w:tab/>
        </w:r>
        <w:r>
          <w:rPr>
            <w:noProof/>
            <w:webHidden/>
          </w:rPr>
          <w:fldChar w:fldCharType="begin"/>
        </w:r>
        <w:r>
          <w:rPr>
            <w:noProof/>
            <w:webHidden/>
          </w:rPr>
          <w:instrText xml:space="preserve"> PAGEREF _Toc236825673 \h </w:instrText>
        </w:r>
        <w:r>
          <w:rPr>
            <w:noProof/>
            <w:webHidden/>
          </w:rPr>
        </w:r>
        <w:r>
          <w:rPr>
            <w:noProof/>
            <w:webHidden/>
          </w:rPr>
          <w:fldChar w:fldCharType="separate"/>
        </w:r>
        <w:r w:rsidR="009C6651">
          <w:rPr>
            <w:noProof/>
            <w:webHidden/>
          </w:rPr>
          <w:t>30</w:t>
        </w:r>
        <w:r>
          <w:rPr>
            <w:noProof/>
            <w:webHidden/>
          </w:rPr>
          <w:fldChar w:fldCharType="end"/>
        </w:r>
      </w:hyperlink>
    </w:p>
    <w:p w14:paraId="4616FEC9" w14:textId="78547C43" w:rsidR="00044497" w:rsidRDefault="00044497">
      <w:pPr>
        <w:pStyle w:val="TableofFigures"/>
        <w:tabs>
          <w:tab w:val="right" w:pos="9854"/>
        </w:tabs>
        <w:rPr>
          <w:rFonts w:eastAsiaTheme="minorEastAsia"/>
          <w:noProof/>
          <w:color w:val="auto"/>
          <w:kern w:val="2"/>
          <w:sz w:val="24"/>
          <w:szCs w:val="24"/>
          <w:lang w:eastAsia="en-AU"/>
          <w14:ligatures w14:val="standardContextual"/>
        </w:rPr>
      </w:pPr>
      <w:hyperlink w:anchor="_Toc236825674" w:history="1">
        <w:r w:rsidRPr="00140078">
          <w:rPr>
            <w:rStyle w:val="Hyperlink"/>
            <w:noProof/>
          </w:rPr>
          <w:t>Table 10: Key impacts on consumers</w:t>
        </w:r>
        <w:r>
          <w:rPr>
            <w:noProof/>
            <w:webHidden/>
          </w:rPr>
          <w:tab/>
        </w:r>
        <w:r>
          <w:rPr>
            <w:noProof/>
            <w:webHidden/>
          </w:rPr>
          <w:fldChar w:fldCharType="begin"/>
        </w:r>
        <w:r>
          <w:rPr>
            <w:noProof/>
            <w:webHidden/>
          </w:rPr>
          <w:instrText xml:space="preserve"> PAGEREF _Toc236825674 \h </w:instrText>
        </w:r>
        <w:r>
          <w:rPr>
            <w:noProof/>
            <w:webHidden/>
          </w:rPr>
        </w:r>
        <w:r>
          <w:rPr>
            <w:noProof/>
            <w:webHidden/>
          </w:rPr>
          <w:fldChar w:fldCharType="separate"/>
        </w:r>
        <w:r w:rsidR="009C6651">
          <w:rPr>
            <w:noProof/>
            <w:webHidden/>
          </w:rPr>
          <w:t>31</w:t>
        </w:r>
        <w:r>
          <w:rPr>
            <w:noProof/>
            <w:webHidden/>
          </w:rPr>
          <w:fldChar w:fldCharType="end"/>
        </w:r>
      </w:hyperlink>
    </w:p>
    <w:p w14:paraId="7B393710" w14:textId="38908A44" w:rsidR="00044497" w:rsidRDefault="00044497">
      <w:pPr>
        <w:pStyle w:val="TableofFigures"/>
        <w:tabs>
          <w:tab w:val="right" w:pos="9854"/>
        </w:tabs>
        <w:rPr>
          <w:rFonts w:eastAsiaTheme="minorEastAsia"/>
          <w:noProof/>
          <w:color w:val="auto"/>
          <w:kern w:val="2"/>
          <w:sz w:val="24"/>
          <w:szCs w:val="24"/>
          <w:lang w:eastAsia="en-AU"/>
          <w14:ligatures w14:val="standardContextual"/>
        </w:rPr>
      </w:pPr>
      <w:hyperlink w:anchor="_Toc236825675" w:history="1">
        <w:r w:rsidRPr="00140078">
          <w:rPr>
            <w:rStyle w:val="Hyperlink"/>
            <w:noProof/>
          </w:rPr>
          <w:t>Table 11: Key impacts on Australian radio services</w:t>
        </w:r>
        <w:r>
          <w:rPr>
            <w:noProof/>
            <w:webHidden/>
          </w:rPr>
          <w:tab/>
        </w:r>
        <w:r>
          <w:rPr>
            <w:noProof/>
            <w:webHidden/>
          </w:rPr>
          <w:fldChar w:fldCharType="begin"/>
        </w:r>
        <w:r>
          <w:rPr>
            <w:noProof/>
            <w:webHidden/>
          </w:rPr>
          <w:instrText xml:space="preserve"> PAGEREF _Toc236825675 \h </w:instrText>
        </w:r>
        <w:r>
          <w:rPr>
            <w:noProof/>
            <w:webHidden/>
          </w:rPr>
        </w:r>
        <w:r>
          <w:rPr>
            <w:noProof/>
            <w:webHidden/>
          </w:rPr>
          <w:fldChar w:fldCharType="separate"/>
        </w:r>
        <w:r w:rsidR="009C6651">
          <w:rPr>
            <w:noProof/>
            <w:webHidden/>
          </w:rPr>
          <w:t>32</w:t>
        </w:r>
        <w:r>
          <w:rPr>
            <w:noProof/>
            <w:webHidden/>
          </w:rPr>
          <w:fldChar w:fldCharType="end"/>
        </w:r>
      </w:hyperlink>
    </w:p>
    <w:p w14:paraId="5D025D0B" w14:textId="71ED9297" w:rsidR="00044497" w:rsidRDefault="00044497">
      <w:pPr>
        <w:pStyle w:val="TableofFigures"/>
        <w:tabs>
          <w:tab w:val="right" w:pos="9854"/>
        </w:tabs>
        <w:rPr>
          <w:rFonts w:eastAsiaTheme="minorEastAsia"/>
          <w:noProof/>
          <w:color w:val="auto"/>
          <w:kern w:val="2"/>
          <w:sz w:val="24"/>
          <w:szCs w:val="24"/>
          <w:lang w:eastAsia="en-AU"/>
          <w14:ligatures w14:val="standardContextual"/>
        </w:rPr>
      </w:pPr>
      <w:hyperlink w:anchor="_Toc236825676" w:history="1">
        <w:r w:rsidRPr="00140078">
          <w:rPr>
            <w:rStyle w:val="Hyperlink"/>
            <w:noProof/>
          </w:rPr>
          <w:t>Table 12: Key impacts on smart speaker manufacturers</w:t>
        </w:r>
        <w:r>
          <w:rPr>
            <w:noProof/>
            <w:webHidden/>
          </w:rPr>
          <w:tab/>
        </w:r>
        <w:r>
          <w:rPr>
            <w:noProof/>
            <w:webHidden/>
          </w:rPr>
          <w:fldChar w:fldCharType="begin"/>
        </w:r>
        <w:r>
          <w:rPr>
            <w:noProof/>
            <w:webHidden/>
          </w:rPr>
          <w:instrText xml:space="preserve"> PAGEREF _Toc236825676 \h </w:instrText>
        </w:r>
        <w:r>
          <w:rPr>
            <w:noProof/>
            <w:webHidden/>
          </w:rPr>
        </w:r>
        <w:r>
          <w:rPr>
            <w:noProof/>
            <w:webHidden/>
          </w:rPr>
          <w:fldChar w:fldCharType="separate"/>
        </w:r>
        <w:r w:rsidR="009C6651">
          <w:rPr>
            <w:noProof/>
            <w:webHidden/>
          </w:rPr>
          <w:t>33</w:t>
        </w:r>
        <w:r>
          <w:rPr>
            <w:noProof/>
            <w:webHidden/>
          </w:rPr>
          <w:fldChar w:fldCharType="end"/>
        </w:r>
      </w:hyperlink>
    </w:p>
    <w:p w14:paraId="3EB84F21" w14:textId="0518E8B8" w:rsidR="00044497" w:rsidRDefault="00044497">
      <w:pPr>
        <w:pStyle w:val="TableofFigures"/>
        <w:tabs>
          <w:tab w:val="right" w:pos="9854"/>
        </w:tabs>
        <w:rPr>
          <w:rFonts w:eastAsiaTheme="minorEastAsia"/>
          <w:noProof/>
          <w:color w:val="auto"/>
          <w:kern w:val="2"/>
          <w:sz w:val="24"/>
          <w:szCs w:val="24"/>
          <w:lang w:eastAsia="en-AU"/>
          <w14:ligatures w14:val="standardContextual"/>
        </w:rPr>
      </w:pPr>
      <w:hyperlink w:anchor="_Toc236825677" w:history="1">
        <w:r w:rsidRPr="00140078">
          <w:rPr>
            <w:rStyle w:val="Hyperlink"/>
            <w:noProof/>
          </w:rPr>
          <w:t>Table 13: Key impacts on voice assistant platforms used on smart speakers</w:t>
        </w:r>
        <w:r>
          <w:rPr>
            <w:noProof/>
            <w:webHidden/>
          </w:rPr>
          <w:tab/>
        </w:r>
        <w:r>
          <w:rPr>
            <w:noProof/>
            <w:webHidden/>
          </w:rPr>
          <w:fldChar w:fldCharType="begin"/>
        </w:r>
        <w:r>
          <w:rPr>
            <w:noProof/>
            <w:webHidden/>
          </w:rPr>
          <w:instrText xml:space="preserve"> PAGEREF _Toc236825677 \h </w:instrText>
        </w:r>
        <w:r>
          <w:rPr>
            <w:noProof/>
            <w:webHidden/>
          </w:rPr>
        </w:r>
        <w:r>
          <w:rPr>
            <w:noProof/>
            <w:webHidden/>
          </w:rPr>
          <w:fldChar w:fldCharType="separate"/>
        </w:r>
        <w:r w:rsidR="009C6651">
          <w:rPr>
            <w:noProof/>
            <w:webHidden/>
          </w:rPr>
          <w:t>33</w:t>
        </w:r>
        <w:r>
          <w:rPr>
            <w:noProof/>
            <w:webHidden/>
          </w:rPr>
          <w:fldChar w:fldCharType="end"/>
        </w:r>
      </w:hyperlink>
    </w:p>
    <w:p w14:paraId="3FC0808D" w14:textId="6CF7E859" w:rsidR="00044497" w:rsidRDefault="00044497">
      <w:pPr>
        <w:pStyle w:val="TableofFigures"/>
        <w:tabs>
          <w:tab w:val="right" w:pos="9854"/>
        </w:tabs>
        <w:rPr>
          <w:rFonts w:eastAsiaTheme="minorEastAsia"/>
          <w:noProof/>
          <w:color w:val="auto"/>
          <w:kern w:val="2"/>
          <w:sz w:val="24"/>
          <w:szCs w:val="24"/>
          <w:lang w:eastAsia="en-AU"/>
          <w14:ligatures w14:val="standardContextual"/>
        </w:rPr>
      </w:pPr>
      <w:hyperlink w:anchor="_Toc236825678" w:history="1">
        <w:r w:rsidRPr="00140078">
          <w:rPr>
            <w:rStyle w:val="Hyperlink"/>
            <w:noProof/>
          </w:rPr>
          <w:t>Table 14: Strategies to manage each risk category</w:t>
        </w:r>
        <w:r>
          <w:rPr>
            <w:noProof/>
            <w:webHidden/>
          </w:rPr>
          <w:tab/>
        </w:r>
        <w:r>
          <w:rPr>
            <w:noProof/>
            <w:webHidden/>
          </w:rPr>
          <w:fldChar w:fldCharType="begin"/>
        </w:r>
        <w:r>
          <w:rPr>
            <w:noProof/>
            <w:webHidden/>
          </w:rPr>
          <w:instrText xml:space="preserve"> PAGEREF _Toc236825678 \h </w:instrText>
        </w:r>
        <w:r>
          <w:rPr>
            <w:noProof/>
            <w:webHidden/>
          </w:rPr>
        </w:r>
        <w:r>
          <w:rPr>
            <w:noProof/>
            <w:webHidden/>
          </w:rPr>
          <w:fldChar w:fldCharType="separate"/>
        </w:r>
        <w:r w:rsidR="009C6651">
          <w:rPr>
            <w:noProof/>
            <w:webHidden/>
          </w:rPr>
          <w:t>38</w:t>
        </w:r>
        <w:r>
          <w:rPr>
            <w:noProof/>
            <w:webHidden/>
          </w:rPr>
          <w:fldChar w:fldCharType="end"/>
        </w:r>
      </w:hyperlink>
    </w:p>
    <w:p w14:paraId="571079B6" w14:textId="09669F51" w:rsidR="00044497" w:rsidRDefault="00044497">
      <w:pPr>
        <w:pStyle w:val="TableofFigures"/>
        <w:tabs>
          <w:tab w:val="right" w:pos="9854"/>
        </w:tabs>
        <w:rPr>
          <w:rFonts w:eastAsiaTheme="minorEastAsia"/>
          <w:noProof/>
          <w:color w:val="auto"/>
          <w:kern w:val="2"/>
          <w:sz w:val="24"/>
          <w:szCs w:val="24"/>
          <w:lang w:eastAsia="en-AU"/>
          <w14:ligatures w14:val="standardContextual"/>
        </w:rPr>
      </w:pPr>
      <w:hyperlink w:anchor="_Toc236825679" w:history="1">
        <w:r w:rsidRPr="00140078">
          <w:rPr>
            <w:rStyle w:val="Hyperlink"/>
            <w:noProof/>
          </w:rPr>
          <w:t>Figure 3: Evaluation as part of the policy cycle</w:t>
        </w:r>
        <w:r>
          <w:rPr>
            <w:noProof/>
            <w:webHidden/>
          </w:rPr>
          <w:tab/>
        </w:r>
        <w:r>
          <w:rPr>
            <w:noProof/>
            <w:webHidden/>
          </w:rPr>
          <w:fldChar w:fldCharType="begin"/>
        </w:r>
        <w:r>
          <w:rPr>
            <w:noProof/>
            <w:webHidden/>
          </w:rPr>
          <w:instrText xml:space="preserve"> PAGEREF _Toc236825679 \h </w:instrText>
        </w:r>
        <w:r>
          <w:rPr>
            <w:noProof/>
            <w:webHidden/>
          </w:rPr>
        </w:r>
        <w:r>
          <w:rPr>
            <w:noProof/>
            <w:webHidden/>
          </w:rPr>
          <w:fldChar w:fldCharType="separate"/>
        </w:r>
        <w:r w:rsidR="009C6651">
          <w:rPr>
            <w:noProof/>
            <w:webHidden/>
          </w:rPr>
          <w:t>39</w:t>
        </w:r>
        <w:r>
          <w:rPr>
            <w:noProof/>
            <w:webHidden/>
          </w:rPr>
          <w:fldChar w:fldCharType="end"/>
        </w:r>
      </w:hyperlink>
    </w:p>
    <w:p w14:paraId="2E1A28D0" w14:textId="68428C59" w:rsidR="00044497" w:rsidRDefault="00044497">
      <w:pPr>
        <w:pStyle w:val="TableofFigures"/>
        <w:tabs>
          <w:tab w:val="right" w:pos="9854"/>
        </w:tabs>
        <w:rPr>
          <w:rFonts w:eastAsiaTheme="minorEastAsia"/>
          <w:noProof/>
          <w:color w:val="auto"/>
          <w:kern w:val="2"/>
          <w:sz w:val="24"/>
          <w:szCs w:val="24"/>
          <w:lang w:eastAsia="en-AU"/>
          <w14:ligatures w14:val="standardContextual"/>
        </w:rPr>
      </w:pPr>
      <w:hyperlink w:anchor="_Toc236825680" w:history="1">
        <w:r w:rsidRPr="00140078">
          <w:rPr>
            <w:rStyle w:val="Hyperlink"/>
            <w:noProof/>
          </w:rPr>
          <w:t>Table 15: Option 2a Regulatory costs estimate based on activity-based costing</w:t>
        </w:r>
        <w:r>
          <w:rPr>
            <w:noProof/>
            <w:webHidden/>
          </w:rPr>
          <w:tab/>
        </w:r>
        <w:r>
          <w:rPr>
            <w:noProof/>
            <w:webHidden/>
          </w:rPr>
          <w:fldChar w:fldCharType="begin"/>
        </w:r>
        <w:r>
          <w:rPr>
            <w:noProof/>
            <w:webHidden/>
          </w:rPr>
          <w:instrText xml:space="preserve"> PAGEREF _Toc236825680 \h </w:instrText>
        </w:r>
        <w:r>
          <w:rPr>
            <w:noProof/>
            <w:webHidden/>
          </w:rPr>
        </w:r>
        <w:r>
          <w:rPr>
            <w:noProof/>
            <w:webHidden/>
          </w:rPr>
          <w:fldChar w:fldCharType="separate"/>
        </w:r>
        <w:r w:rsidR="009C6651">
          <w:rPr>
            <w:noProof/>
            <w:webHidden/>
          </w:rPr>
          <w:t>40</w:t>
        </w:r>
        <w:r>
          <w:rPr>
            <w:noProof/>
            <w:webHidden/>
          </w:rPr>
          <w:fldChar w:fldCharType="end"/>
        </w:r>
      </w:hyperlink>
    </w:p>
    <w:p w14:paraId="3C9C8A68" w14:textId="4AD0E8F2" w:rsidR="00044497" w:rsidRDefault="00044497">
      <w:pPr>
        <w:pStyle w:val="TableofFigures"/>
        <w:tabs>
          <w:tab w:val="right" w:pos="9854"/>
        </w:tabs>
        <w:rPr>
          <w:rFonts w:eastAsiaTheme="minorEastAsia"/>
          <w:noProof/>
          <w:color w:val="auto"/>
          <w:kern w:val="2"/>
          <w:sz w:val="24"/>
          <w:szCs w:val="24"/>
          <w:lang w:eastAsia="en-AU"/>
          <w14:ligatures w14:val="standardContextual"/>
        </w:rPr>
      </w:pPr>
      <w:hyperlink w:anchor="_Toc236825681" w:history="1">
        <w:r w:rsidRPr="00140078">
          <w:rPr>
            <w:rStyle w:val="Hyperlink"/>
            <w:noProof/>
          </w:rPr>
          <w:t>Table 16: Option 2b Regulatory costs estimate based on activity-based costing</w:t>
        </w:r>
        <w:r>
          <w:rPr>
            <w:noProof/>
            <w:webHidden/>
          </w:rPr>
          <w:tab/>
        </w:r>
        <w:r>
          <w:rPr>
            <w:noProof/>
            <w:webHidden/>
          </w:rPr>
          <w:fldChar w:fldCharType="begin"/>
        </w:r>
        <w:r>
          <w:rPr>
            <w:noProof/>
            <w:webHidden/>
          </w:rPr>
          <w:instrText xml:space="preserve"> PAGEREF _Toc236825681 \h </w:instrText>
        </w:r>
        <w:r>
          <w:rPr>
            <w:noProof/>
            <w:webHidden/>
          </w:rPr>
        </w:r>
        <w:r>
          <w:rPr>
            <w:noProof/>
            <w:webHidden/>
          </w:rPr>
          <w:fldChar w:fldCharType="separate"/>
        </w:r>
        <w:r w:rsidR="009C6651">
          <w:rPr>
            <w:noProof/>
            <w:webHidden/>
          </w:rPr>
          <w:t>42</w:t>
        </w:r>
        <w:r>
          <w:rPr>
            <w:noProof/>
            <w:webHidden/>
          </w:rPr>
          <w:fldChar w:fldCharType="end"/>
        </w:r>
      </w:hyperlink>
    </w:p>
    <w:p w14:paraId="11FF0172" w14:textId="5C767F43" w:rsidR="005F794B" w:rsidRDefault="006E1ECA" w:rsidP="005F794B">
      <w:r>
        <w:fldChar w:fldCharType="end"/>
      </w:r>
      <w:r w:rsidR="00383504">
        <w:br w:type="page"/>
      </w:r>
    </w:p>
    <w:p w14:paraId="2A6F41FE" w14:textId="1592387C" w:rsidR="005F794B" w:rsidRPr="005F794B" w:rsidRDefault="007F6504" w:rsidP="00DE4362">
      <w:pPr>
        <w:pStyle w:val="Heading1"/>
        <w:spacing w:before="0"/>
      </w:pPr>
      <w:bookmarkStart w:id="0" w:name="_Toc236825128"/>
      <w:r>
        <w:lastRenderedPageBreak/>
        <w:t>Summary</w:t>
      </w:r>
      <w:bookmarkEnd w:id="0"/>
    </w:p>
    <w:p w14:paraId="03B7BF2A" w14:textId="08E2165A" w:rsidR="00BC02BE" w:rsidRDefault="00BC02BE" w:rsidP="00BC02BE">
      <w:pPr>
        <w:pStyle w:val="Introduction"/>
      </w:pPr>
      <w:r>
        <w:t>Access to</w:t>
      </w:r>
      <w:r w:rsidDel="007A441F">
        <w:t xml:space="preserve"> </w:t>
      </w:r>
      <w:r w:rsidR="007A441F">
        <w:t>radio</w:t>
      </w:r>
      <w:r>
        <w:t xml:space="preserve"> services is a key component of the Government’s media reform agenda given the importance of these services to all Australians, particularly those living in remote and regional Australia.</w:t>
      </w:r>
      <w:r w:rsidR="008711B6">
        <w:t xml:space="preserve"> In many areas, broadcasting </w:t>
      </w:r>
      <w:r w:rsidR="00FC6C0B">
        <w:t xml:space="preserve">operators </w:t>
      </w:r>
      <w:r w:rsidR="008711B6">
        <w:t xml:space="preserve">also provide their content and services via the internet. </w:t>
      </w:r>
      <w:r w:rsidR="00FC6C0B">
        <w:t>The o</w:t>
      </w:r>
      <w:r w:rsidR="008711B6">
        <w:t xml:space="preserve">nline distribution of content </w:t>
      </w:r>
      <w:r w:rsidR="00FC6C0B">
        <w:t>tends to be</w:t>
      </w:r>
      <w:r w:rsidR="00494F55">
        <w:t xml:space="preserve"> </w:t>
      </w:r>
      <w:r w:rsidR="00F87B07">
        <w:t>more complex</w:t>
      </w:r>
      <w:r w:rsidR="00FC6C0B">
        <w:t xml:space="preserve"> than  broadcasting,</w:t>
      </w:r>
      <w:r w:rsidR="00494F55">
        <w:t xml:space="preserve"> with great</w:t>
      </w:r>
      <w:r w:rsidR="003D4550">
        <w:t>er</w:t>
      </w:r>
      <w:r w:rsidR="00494F55">
        <w:t xml:space="preserve"> choice of content for consumers and </w:t>
      </w:r>
      <w:r w:rsidR="00FC6C0B">
        <w:t xml:space="preserve">additional </w:t>
      </w:r>
      <w:r w:rsidR="00494F55">
        <w:t>technological challenges for those users seeking to navigate the environment.</w:t>
      </w:r>
      <w:r w:rsidR="008711B6">
        <w:t xml:space="preserve"> </w:t>
      </w:r>
    </w:p>
    <w:p w14:paraId="3B2D4D94" w14:textId="751B91B3" w:rsidR="00BC02BE" w:rsidRDefault="00BC02BE" w:rsidP="00BC02BE">
      <w:pPr>
        <w:pStyle w:val="Introduction"/>
        <w:rPr>
          <w:rFonts w:ascii="Calibri" w:eastAsia="Calibri" w:hAnsi="Calibri" w:cs="Times New Roman"/>
        </w:rPr>
      </w:pPr>
      <w:r>
        <w:t xml:space="preserve">In 2022 and 2023, the Government undertook extensive consultation </w:t>
      </w:r>
      <w:r>
        <w:rPr>
          <w:rFonts w:ascii="Calibri" w:eastAsia="Calibri" w:hAnsi="Calibri" w:cs="Times New Roman"/>
        </w:rPr>
        <w:t>to inform</w:t>
      </w:r>
      <w:r w:rsidRPr="00CB2FB3">
        <w:rPr>
          <w:rFonts w:ascii="Calibri" w:eastAsia="Calibri" w:hAnsi="Calibri" w:cs="Times New Roman"/>
        </w:rPr>
        <w:t xml:space="preserve"> </w:t>
      </w:r>
      <w:r>
        <w:rPr>
          <w:rFonts w:ascii="Calibri" w:eastAsia="Calibri" w:hAnsi="Calibri" w:cs="Times New Roman"/>
        </w:rPr>
        <w:t xml:space="preserve">the development of a </w:t>
      </w:r>
      <w:r w:rsidRPr="00CB2FB3">
        <w:rPr>
          <w:rFonts w:ascii="Calibri" w:eastAsia="Calibri" w:hAnsi="Calibri" w:cs="Times New Roman"/>
        </w:rPr>
        <w:t>legislated prominence framework</w:t>
      </w:r>
      <w:r>
        <w:rPr>
          <w:rFonts w:ascii="Calibri" w:eastAsia="Calibri" w:hAnsi="Calibri" w:cs="Times New Roman"/>
        </w:rPr>
        <w:t xml:space="preserve"> for free-to-air television services. </w:t>
      </w:r>
      <w:r w:rsidRPr="00CB2FB3">
        <w:rPr>
          <w:rFonts w:ascii="Calibri" w:eastAsia="Calibri" w:hAnsi="Calibri" w:cs="Times New Roman"/>
        </w:rPr>
        <w:t>Th</w:t>
      </w:r>
      <w:r>
        <w:rPr>
          <w:rFonts w:ascii="Calibri" w:eastAsia="Calibri" w:hAnsi="Calibri" w:cs="Times New Roman"/>
        </w:rPr>
        <w:t xml:space="preserve">is culminated in the design and introduction of the television prominence framework in Part 9E of the </w:t>
      </w:r>
      <w:r w:rsidRPr="002500D8">
        <w:rPr>
          <w:rFonts w:ascii="Calibri" w:eastAsia="Calibri" w:hAnsi="Calibri" w:cs="Times New Roman"/>
          <w:i/>
        </w:rPr>
        <w:t>Broadcasting Services Act 1992</w:t>
      </w:r>
      <w:r w:rsidR="00E2764A">
        <w:rPr>
          <w:rFonts w:ascii="Calibri" w:eastAsia="Calibri" w:hAnsi="Calibri" w:cs="Times New Roman"/>
          <w:i/>
          <w:lang w:val="en-AU"/>
        </w:rPr>
        <w:t>,</w:t>
      </w:r>
      <w:r>
        <w:rPr>
          <w:rFonts w:ascii="Calibri" w:eastAsia="Calibri" w:hAnsi="Calibri" w:cs="Times New Roman"/>
        </w:rPr>
        <w:t xml:space="preserve"> as</w:t>
      </w:r>
      <w:r w:rsidR="00E2764A">
        <w:rPr>
          <w:rFonts w:ascii="Calibri" w:eastAsia="Calibri" w:hAnsi="Calibri" w:cs="Times New Roman"/>
          <w:lang w:val="en-AU"/>
        </w:rPr>
        <w:t xml:space="preserve"> amended by </w:t>
      </w:r>
      <w:r>
        <w:rPr>
          <w:rFonts w:ascii="Calibri" w:eastAsia="Calibri" w:hAnsi="Calibri" w:cs="Times New Roman"/>
        </w:rPr>
        <w:t xml:space="preserve">the </w:t>
      </w:r>
      <w:r w:rsidRPr="00EF02FF">
        <w:rPr>
          <w:rFonts w:ascii="Calibri" w:eastAsia="Calibri" w:hAnsi="Calibri" w:cs="Times New Roman"/>
          <w:i/>
        </w:rPr>
        <w:t>Communications Legislation Amendment (Prominence and Anti-siphoning) Act 2024</w:t>
      </w:r>
      <w:r>
        <w:rPr>
          <w:rFonts w:ascii="Calibri" w:eastAsia="Calibri" w:hAnsi="Calibri" w:cs="Times New Roman"/>
        </w:rPr>
        <w:t>.</w:t>
      </w:r>
    </w:p>
    <w:p w14:paraId="09436D31" w14:textId="6F49624E" w:rsidR="005F794B" w:rsidRPr="005F794B" w:rsidRDefault="00BC02BE" w:rsidP="00BC02BE">
      <w:pPr>
        <w:pStyle w:val="Introduction"/>
      </w:pPr>
      <w:r>
        <w:rPr>
          <w:lang w:val="en-US"/>
        </w:rPr>
        <w:t xml:space="preserve">Engagement through this process </w:t>
      </w:r>
      <w:r w:rsidR="00595F0E">
        <w:rPr>
          <w:lang w:val="en-US"/>
        </w:rPr>
        <w:t>revealed</w:t>
      </w:r>
      <w:r>
        <w:rPr>
          <w:lang w:val="en-US"/>
        </w:rPr>
        <w:t xml:space="preserve"> that radio broadcasters face similar challenges to free-to-air television broadcasters in reaching and maintaining their audiences’ attention in an internet</w:t>
      </w:r>
      <w:r w:rsidR="00C46A2B">
        <w:rPr>
          <w:lang w:val="en-US"/>
        </w:rPr>
        <w:t>-</w:t>
      </w:r>
      <w:r>
        <w:rPr>
          <w:lang w:val="en-US"/>
        </w:rPr>
        <w:t>enabled world.</w:t>
      </w:r>
    </w:p>
    <w:p w14:paraId="7AC0A1F3" w14:textId="51F9CD11" w:rsidR="005F794B" w:rsidRPr="005F794B" w:rsidRDefault="007F6504" w:rsidP="005F794B">
      <w:pPr>
        <w:pStyle w:val="Heading2"/>
      </w:pPr>
      <w:bookmarkStart w:id="1" w:name="_Toc236825129"/>
      <w:r>
        <w:t>Introduction</w:t>
      </w:r>
      <w:bookmarkEnd w:id="1"/>
    </w:p>
    <w:p w14:paraId="3F1FF957" w14:textId="3851FBE4" w:rsidR="00B872A3" w:rsidRDefault="00955022" w:rsidP="00BC02BE">
      <w:r>
        <w:t xml:space="preserve">The ability of </w:t>
      </w:r>
      <w:r w:rsidR="00B872A3">
        <w:t xml:space="preserve">Australian listeners to easily access the online content of Australia’s broadcasting services is </w:t>
      </w:r>
      <w:r w:rsidR="00F83C38">
        <w:t xml:space="preserve">vital to </w:t>
      </w:r>
      <w:r w:rsidR="00B872A3">
        <w:t xml:space="preserve">the achievement of </w:t>
      </w:r>
      <w:r w:rsidR="00B0332A">
        <w:t>important</w:t>
      </w:r>
      <w:r w:rsidR="00B872A3">
        <w:t xml:space="preserve"> media policy objectives</w:t>
      </w:r>
      <w:r w:rsidR="00B0332A">
        <w:t xml:space="preserve">, </w:t>
      </w:r>
      <w:r w:rsidR="00B0332A" w:rsidRPr="001B2F76">
        <w:t>including</w:t>
      </w:r>
      <w:r w:rsidR="001B2F76">
        <w:t>:</w:t>
      </w:r>
      <w:r w:rsidR="00B0332A" w:rsidRPr="001B2F76">
        <w:t xml:space="preserve"> </w:t>
      </w:r>
      <w:r w:rsidR="001B2F76" w:rsidRPr="001B2F76">
        <w:t>an</w:t>
      </w:r>
      <w:r w:rsidR="001B2F76">
        <w:t xml:space="preserve"> informed citizenry; a strong and vibrant democracy; and engaged and cohesive local communities</w:t>
      </w:r>
      <w:r w:rsidR="00F83C38">
        <w:t>.</w:t>
      </w:r>
      <w:r w:rsidR="00B872A3">
        <w:t xml:space="preserve"> </w:t>
      </w:r>
      <w:r w:rsidR="00F83C38">
        <w:t>The</w:t>
      </w:r>
      <w:r w:rsidR="00B872A3">
        <w:t xml:space="preserve"> transition of </w:t>
      </w:r>
      <w:r w:rsidR="00B0332A">
        <w:t xml:space="preserve">traditional </w:t>
      </w:r>
      <w:r w:rsidR="00B872A3">
        <w:t xml:space="preserve">media to the online ecosystem presents additional challenges </w:t>
      </w:r>
      <w:r w:rsidR="00B0332A">
        <w:t>for</w:t>
      </w:r>
      <w:r w:rsidR="00B872A3">
        <w:t xml:space="preserve"> user access. This is particularly the case for internet enabled devices that offer access to online versions of </w:t>
      </w:r>
      <w:r w:rsidR="00B0332A">
        <w:t>traditional media</w:t>
      </w:r>
      <w:r w:rsidR="00B872A3">
        <w:t>, but which have changed the way in which users must navigate to these services.</w:t>
      </w:r>
    </w:p>
    <w:p w14:paraId="4C5A1AD4" w14:textId="4EA5427F" w:rsidR="00F83C38" w:rsidRDefault="00F83C38" w:rsidP="00F83C38">
      <w:pPr>
        <w:pStyle w:val="Heading2"/>
      </w:pPr>
      <w:bookmarkStart w:id="2" w:name="_Toc236825130"/>
      <w:r>
        <w:t>Why radio prominence is a problem</w:t>
      </w:r>
      <w:bookmarkEnd w:id="2"/>
    </w:p>
    <w:p w14:paraId="48AD46D7" w14:textId="499E81A4" w:rsidR="00BC02BE" w:rsidRPr="00101A53" w:rsidRDefault="00B96845" w:rsidP="00BC02BE">
      <w:pPr>
        <w:rPr>
          <w:lang w:val="en-US"/>
        </w:rPr>
      </w:pPr>
      <w:r w:rsidRPr="00101A53">
        <w:rPr>
          <w:lang w:val="en-US"/>
        </w:rPr>
        <w:t>T</w:t>
      </w:r>
      <w:r w:rsidR="00C8275A" w:rsidRPr="00101A53">
        <w:rPr>
          <w:lang w:val="en-US"/>
        </w:rPr>
        <w:t xml:space="preserve">he integration of radio services with voice assistant </w:t>
      </w:r>
      <w:r w:rsidR="005A1B5D" w:rsidRPr="00101A53">
        <w:rPr>
          <w:lang w:val="en-US"/>
        </w:rPr>
        <w:t xml:space="preserve">software </w:t>
      </w:r>
      <w:r w:rsidR="00C8275A" w:rsidRPr="00101A53">
        <w:rPr>
          <w:lang w:val="en-US"/>
        </w:rPr>
        <w:t xml:space="preserve">is vital to </w:t>
      </w:r>
      <w:r w:rsidR="00C665EE" w:rsidRPr="00101A53">
        <w:rPr>
          <w:lang w:val="en-US"/>
        </w:rPr>
        <w:t>audience</w:t>
      </w:r>
      <w:r>
        <w:rPr>
          <w:lang w:val="en-US"/>
        </w:rPr>
        <w:t>s</w:t>
      </w:r>
      <w:r w:rsidR="00C665EE" w:rsidRPr="00101A53">
        <w:rPr>
          <w:lang w:val="en-US"/>
        </w:rPr>
        <w:t xml:space="preserve"> </w:t>
      </w:r>
      <w:r w:rsidR="00C8275A" w:rsidRPr="00101A53">
        <w:rPr>
          <w:lang w:val="en-US"/>
        </w:rPr>
        <w:t xml:space="preserve">finding </w:t>
      </w:r>
      <w:r w:rsidR="00C665EE" w:rsidRPr="00101A53">
        <w:rPr>
          <w:lang w:val="en-US"/>
        </w:rPr>
        <w:t>station</w:t>
      </w:r>
      <w:r w:rsidRPr="00101A53">
        <w:rPr>
          <w:lang w:val="en-US"/>
        </w:rPr>
        <w:t>s on smart speaker devices</w:t>
      </w:r>
      <w:r w:rsidR="00C8275A" w:rsidRPr="00101A53">
        <w:rPr>
          <w:lang w:val="en-US"/>
        </w:rPr>
        <w:t xml:space="preserve">, as </w:t>
      </w:r>
      <w:r w:rsidR="00BC02BE" w:rsidRPr="00101A53">
        <w:rPr>
          <w:lang w:val="en-US"/>
        </w:rPr>
        <w:t xml:space="preserve">there is limited </w:t>
      </w:r>
      <w:r w:rsidR="00DE6D65" w:rsidRPr="00101A53">
        <w:rPr>
          <w:lang w:val="en-US"/>
        </w:rPr>
        <w:t xml:space="preserve">or no </w:t>
      </w:r>
      <w:r w:rsidR="00BC02BE" w:rsidRPr="00101A53">
        <w:rPr>
          <w:lang w:val="en-US"/>
        </w:rPr>
        <w:t>capacity for users to browse for media services and content</w:t>
      </w:r>
      <w:r w:rsidR="00DE6D65" w:rsidRPr="00101A53">
        <w:rPr>
          <w:lang w:val="en-US"/>
        </w:rPr>
        <w:t xml:space="preserve"> visually</w:t>
      </w:r>
      <w:r w:rsidR="00BC02BE" w:rsidRPr="00101A53">
        <w:rPr>
          <w:lang w:val="en-US"/>
        </w:rPr>
        <w:t xml:space="preserve">. </w:t>
      </w:r>
      <w:r w:rsidR="00C87417" w:rsidRPr="00101A53">
        <w:rPr>
          <w:lang w:val="en-US"/>
        </w:rPr>
        <w:t>Listeners</w:t>
      </w:r>
      <w:r w:rsidR="004E5B66" w:rsidRPr="00101A53">
        <w:rPr>
          <w:lang w:val="en-US"/>
        </w:rPr>
        <w:t xml:space="preserve"> are </w:t>
      </w:r>
      <w:r w:rsidR="00A43EB2">
        <w:rPr>
          <w:lang w:val="en-US"/>
        </w:rPr>
        <w:t xml:space="preserve">wholly </w:t>
      </w:r>
      <w:r w:rsidR="004E5B66" w:rsidRPr="00101A53">
        <w:rPr>
          <w:lang w:val="en-US"/>
        </w:rPr>
        <w:t>reliant on voice assistant</w:t>
      </w:r>
      <w:r w:rsidR="00A43EB2">
        <w:rPr>
          <w:lang w:val="en-US"/>
        </w:rPr>
        <w:t>s</w:t>
      </w:r>
      <w:r w:rsidR="004E5B66" w:rsidRPr="00101A53">
        <w:rPr>
          <w:lang w:val="en-US"/>
        </w:rPr>
        <w:t xml:space="preserve"> to accurately interpret and surface their voice commands to listen to any audio content, whether that be a local radio station or another audio offering.</w:t>
      </w:r>
    </w:p>
    <w:p w14:paraId="3A8381AB" w14:textId="4637A54C" w:rsidR="00BC02BE" w:rsidRPr="00A1086F" w:rsidRDefault="00424805" w:rsidP="00BC02BE">
      <w:pPr>
        <w:rPr>
          <w:lang w:val="en-US"/>
        </w:rPr>
      </w:pPr>
      <w:r>
        <w:t>Similarly</w:t>
      </w:r>
      <w:r w:rsidR="00BC02BE">
        <w:t>, a</w:t>
      </w:r>
      <w:r w:rsidR="00BC02BE" w:rsidRPr="00530972">
        <w:rPr>
          <w:lang w:val="en-US"/>
        </w:rPr>
        <w:t xml:space="preserve"> radio service carried </w:t>
      </w:r>
      <w:r w:rsidR="00106E34">
        <w:rPr>
          <w:lang w:val="en-US"/>
        </w:rPr>
        <w:t xml:space="preserve">on </w:t>
      </w:r>
      <w:r w:rsidR="00BC02BE" w:rsidRPr="00530972">
        <w:rPr>
          <w:lang w:val="en-US"/>
        </w:rPr>
        <w:t xml:space="preserve">a </w:t>
      </w:r>
      <w:r w:rsidR="00106E34">
        <w:rPr>
          <w:lang w:val="en-US"/>
        </w:rPr>
        <w:t>smart speaker</w:t>
      </w:r>
      <w:r w:rsidR="00BC02BE" w:rsidRPr="00530972">
        <w:rPr>
          <w:lang w:val="en-US"/>
        </w:rPr>
        <w:t xml:space="preserve"> </w:t>
      </w:r>
      <w:r w:rsidR="009E783B">
        <w:rPr>
          <w:lang w:val="en-US"/>
        </w:rPr>
        <w:t>relies heavily</w:t>
      </w:r>
      <w:r w:rsidR="00BC02BE" w:rsidRPr="00530972">
        <w:rPr>
          <w:lang w:val="en-US"/>
        </w:rPr>
        <w:t xml:space="preserve"> on the </w:t>
      </w:r>
      <w:r w:rsidR="00BC02BE">
        <w:rPr>
          <w:lang w:val="en-US"/>
        </w:rPr>
        <w:t xml:space="preserve">hosting </w:t>
      </w:r>
      <w:r w:rsidR="00BC02BE" w:rsidRPr="00530972">
        <w:rPr>
          <w:lang w:val="en-US"/>
        </w:rPr>
        <w:t>platform</w:t>
      </w:r>
      <w:r w:rsidR="00B96845">
        <w:rPr>
          <w:lang w:val="en-US"/>
        </w:rPr>
        <w:t xml:space="preserve"> </w:t>
      </w:r>
      <w:r w:rsidR="00A43EB2">
        <w:rPr>
          <w:lang w:val="en-US"/>
        </w:rPr>
        <w:t xml:space="preserve">to reach their audience </w:t>
      </w:r>
      <w:r w:rsidR="00B96845">
        <w:rPr>
          <w:lang w:val="en-US"/>
        </w:rPr>
        <w:t xml:space="preserve">(to a greater degree than with a </w:t>
      </w:r>
      <w:r w:rsidR="00BC02BE" w:rsidRPr="00530972">
        <w:rPr>
          <w:lang w:val="en-US"/>
        </w:rPr>
        <w:t xml:space="preserve">traditional radio device, or even a website </w:t>
      </w:r>
      <w:r w:rsidR="001862F9">
        <w:rPr>
          <w:lang w:val="en-US"/>
        </w:rPr>
        <w:t xml:space="preserve">stream </w:t>
      </w:r>
      <w:r w:rsidR="00BC02BE" w:rsidRPr="00530972">
        <w:rPr>
          <w:lang w:val="en-US"/>
        </w:rPr>
        <w:t>or an app</w:t>
      </w:r>
      <w:r w:rsidR="00B96845">
        <w:rPr>
          <w:lang w:val="en-US"/>
        </w:rPr>
        <w:t>)</w:t>
      </w:r>
      <w:r w:rsidR="00BC02BE" w:rsidRPr="00530972">
        <w:rPr>
          <w:lang w:val="en-US"/>
        </w:rPr>
        <w:t xml:space="preserve">. </w:t>
      </w:r>
      <w:r w:rsidR="00BC02BE">
        <w:t>To date, this relationship has generally been mutually beneficial:</w:t>
      </w:r>
    </w:p>
    <w:p w14:paraId="6212559C" w14:textId="77777777" w:rsidR="00BC02BE" w:rsidRPr="00296431" w:rsidRDefault="00BC02BE" w:rsidP="00EF4DCF">
      <w:pPr>
        <w:pStyle w:val="ListParagraph"/>
        <w:numPr>
          <w:ilvl w:val="0"/>
          <w:numId w:val="12"/>
        </w:numPr>
        <w:contextualSpacing w:val="0"/>
        <w:rPr>
          <w:lang w:val="en-US"/>
        </w:rPr>
      </w:pPr>
      <w:r>
        <w:rPr>
          <w:rFonts w:ascii="Calibri" w:eastAsia="Calibri" w:hAnsi="Calibri" w:cs="Times New Roman"/>
        </w:rPr>
        <w:t>r</w:t>
      </w:r>
      <w:r w:rsidRPr="00296431">
        <w:rPr>
          <w:rFonts w:ascii="Calibri" w:eastAsia="Calibri" w:hAnsi="Calibri" w:cs="Times New Roman"/>
        </w:rPr>
        <w:t>adio stations protect and gain incremental listening</w:t>
      </w:r>
      <w:r>
        <w:rPr>
          <w:rFonts w:ascii="Calibri" w:eastAsia="Calibri" w:hAnsi="Calibri" w:cs="Times New Roman"/>
        </w:rPr>
        <w:t xml:space="preserve"> on smart speakers</w:t>
      </w:r>
      <w:r w:rsidRPr="00296431">
        <w:rPr>
          <w:rFonts w:ascii="Calibri" w:eastAsia="Calibri" w:hAnsi="Calibri" w:cs="Times New Roman"/>
        </w:rPr>
        <w:t xml:space="preserve">, which enables </w:t>
      </w:r>
      <w:r>
        <w:rPr>
          <w:rFonts w:ascii="Calibri" w:eastAsia="Calibri" w:hAnsi="Calibri" w:cs="Times New Roman"/>
        </w:rPr>
        <w:t>commercial entities</w:t>
      </w:r>
      <w:r w:rsidRPr="00296431">
        <w:rPr>
          <w:rFonts w:ascii="Calibri" w:eastAsia="Calibri" w:hAnsi="Calibri" w:cs="Times New Roman"/>
        </w:rPr>
        <w:t xml:space="preserve"> to earn incremental revenues</w:t>
      </w:r>
      <w:r>
        <w:rPr>
          <w:rFonts w:ascii="Calibri" w:eastAsia="Calibri" w:hAnsi="Calibri" w:cs="Times New Roman"/>
        </w:rPr>
        <w:t xml:space="preserve"> </w:t>
      </w:r>
      <w:r w:rsidRPr="00404FCD">
        <w:rPr>
          <w:rFonts w:ascii="Calibri" w:eastAsia="Calibri" w:hAnsi="Calibri" w:cs="Times New Roman"/>
        </w:rPr>
        <w:t>and national broadcasters to expand their reach;</w:t>
      </w:r>
      <w:r>
        <w:rPr>
          <w:rFonts w:ascii="Calibri" w:eastAsia="Calibri" w:hAnsi="Calibri" w:cs="Times New Roman"/>
        </w:rPr>
        <w:t xml:space="preserve"> and</w:t>
      </w:r>
    </w:p>
    <w:p w14:paraId="746B2F5D" w14:textId="176AE8A2" w:rsidR="00BC02BE" w:rsidRPr="00296431" w:rsidRDefault="00BC02BE" w:rsidP="00EF4DCF">
      <w:pPr>
        <w:pStyle w:val="ListParagraph"/>
        <w:numPr>
          <w:ilvl w:val="0"/>
          <w:numId w:val="12"/>
        </w:numPr>
        <w:contextualSpacing w:val="0"/>
        <w:rPr>
          <w:lang w:val="en-US"/>
        </w:rPr>
      </w:pPr>
      <w:r>
        <w:rPr>
          <w:rFonts w:ascii="Calibri" w:eastAsia="Calibri" w:hAnsi="Calibri" w:cs="Times New Roman"/>
        </w:rPr>
        <w:t>s</w:t>
      </w:r>
      <w:r w:rsidRPr="00296431">
        <w:rPr>
          <w:rFonts w:ascii="Calibri" w:eastAsia="Calibri" w:hAnsi="Calibri" w:cs="Times New Roman"/>
        </w:rPr>
        <w:t xml:space="preserve">mart speaker providers gain from </w:t>
      </w:r>
      <w:r w:rsidR="00A62B0F">
        <w:rPr>
          <w:rFonts w:ascii="Calibri" w:eastAsia="Calibri" w:hAnsi="Calibri" w:cs="Times New Roman"/>
        </w:rPr>
        <w:t xml:space="preserve">being able to </w:t>
      </w:r>
      <w:r w:rsidR="001E00DD">
        <w:rPr>
          <w:rFonts w:ascii="Calibri" w:eastAsia="Calibri" w:hAnsi="Calibri" w:cs="Times New Roman"/>
        </w:rPr>
        <w:t xml:space="preserve">surface </w:t>
      </w:r>
      <w:r w:rsidRPr="00296431">
        <w:rPr>
          <w:rFonts w:ascii="Calibri" w:eastAsia="Calibri" w:hAnsi="Calibri" w:cs="Times New Roman"/>
        </w:rPr>
        <w:t>radio</w:t>
      </w:r>
      <w:r w:rsidR="00A62B0F">
        <w:rPr>
          <w:rFonts w:ascii="Calibri" w:eastAsia="Calibri" w:hAnsi="Calibri" w:cs="Times New Roman"/>
        </w:rPr>
        <w:t xml:space="preserve"> </w:t>
      </w:r>
      <w:r w:rsidR="00E21123">
        <w:rPr>
          <w:rFonts w:ascii="Calibri" w:eastAsia="Calibri" w:hAnsi="Calibri" w:cs="Times New Roman"/>
        </w:rPr>
        <w:t>services</w:t>
      </w:r>
      <w:r w:rsidR="00A62B0F">
        <w:rPr>
          <w:rFonts w:ascii="Calibri" w:eastAsia="Calibri" w:hAnsi="Calibri" w:cs="Times New Roman"/>
        </w:rPr>
        <w:t xml:space="preserve">, along with other audio </w:t>
      </w:r>
      <w:r w:rsidR="00A43EB2">
        <w:rPr>
          <w:rFonts w:ascii="Calibri" w:eastAsia="Calibri" w:hAnsi="Calibri" w:cs="Times New Roman"/>
        </w:rPr>
        <w:t>content</w:t>
      </w:r>
      <w:r w:rsidR="00A62B0F">
        <w:rPr>
          <w:rFonts w:ascii="Calibri" w:eastAsia="Calibri" w:hAnsi="Calibri" w:cs="Times New Roman"/>
        </w:rPr>
        <w:t>,</w:t>
      </w:r>
      <w:r w:rsidRPr="00296431">
        <w:rPr>
          <w:rFonts w:ascii="Calibri" w:eastAsia="Calibri" w:hAnsi="Calibri" w:cs="Times New Roman"/>
        </w:rPr>
        <w:t xml:space="preserve"> through incremental product sales, the familiarisation of users with voice commands and apps that support the </w:t>
      </w:r>
      <w:proofErr w:type="gramStart"/>
      <w:r w:rsidRPr="00296431">
        <w:rPr>
          <w:rFonts w:ascii="Calibri" w:eastAsia="Calibri" w:hAnsi="Calibri" w:cs="Times New Roman"/>
        </w:rPr>
        <w:t>interface, and</w:t>
      </w:r>
      <w:proofErr w:type="gramEnd"/>
      <w:r w:rsidRPr="00296431">
        <w:rPr>
          <w:rFonts w:ascii="Calibri" w:eastAsia="Calibri" w:hAnsi="Calibri" w:cs="Times New Roman"/>
        </w:rPr>
        <w:t xml:space="preserve"> </w:t>
      </w:r>
      <w:r w:rsidR="00F352A3" w:rsidRPr="00296431">
        <w:rPr>
          <w:rFonts w:ascii="Calibri" w:eastAsia="Calibri" w:hAnsi="Calibri" w:cs="Times New Roman"/>
        </w:rPr>
        <w:t>using</w:t>
      </w:r>
      <w:r w:rsidRPr="00296431">
        <w:rPr>
          <w:rFonts w:ascii="Calibri" w:eastAsia="Calibri" w:hAnsi="Calibri" w:cs="Times New Roman"/>
        </w:rPr>
        <w:t xml:space="preserve"> </w:t>
      </w:r>
      <w:r w:rsidR="00F23338">
        <w:rPr>
          <w:rFonts w:ascii="Calibri" w:eastAsia="Calibri" w:hAnsi="Calibri" w:cs="Times New Roman"/>
        </w:rPr>
        <w:t xml:space="preserve">collected </w:t>
      </w:r>
      <w:r w:rsidRPr="00296431">
        <w:rPr>
          <w:rFonts w:ascii="Calibri" w:eastAsia="Calibri" w:hAnsi="Calibri" w:cs="Times New Roman"/>
        </w:rPr>
        <w:t>data.</w:t>
      </w:r>
      <w:r>
        <w:rPr>
          <w:rStyle w:val="FootnoteReference"/>
          <w:rFonts w:ascii="Calibri" w:eastAsia="Calibri" w:hAnsi="Calibri" w:cs="Times New Roman"/>
        </w:rPr>
        <w:footnoteReference w:id="2"/>
      </w:r>
    </w:p>
    <w:p w14:paraId="4F04FFFD" w14:textId="1071EF4F" w:rsidR="00BC02BE" w:rsidRDefault="00B96845" w:rsidP="00BC02BE">
      <w:pPr>
        <w:rPr>
          <w:lang w:val="en-US"/>
        </w:rPr>
      </w:pPr>
      <w:r>
        <w:rPr>
          <w:lang w:val="en-US"/>
        </w:rPr>
        <w:t>T</w:t>
      </w:r>
      <w:r w:rsidR="00BC02BE">
        <w:rPr>
          <w:lang w:val="en-US"/>
        </w:rPr>
        <w:t>his dynamic is forecast to change over the coming years. A key factor in the design of the U</w:t>
      </w:r>
      <w:r w:rsidR="00F23338">
        <w:rPr>
          <w:lang w:val="en-US"/>
        </w:rPr>
        <w:t xml:space="preserve">nited </w:t>
      </w:r>
      <w:r w:rsidR="00BC02BE">
        <w:rPr>
          <w:lang w:val="en-US"/>
        </w:rPr>
        <w:t>K</w:t>
      </w:r>
      <w:r w:rsidR="00F23338">
        <w:rPr>
          <w:lang w:val="en-US"/>
        </w:rPr>
        <w:t>ingdom</w:t>
      </w:r>
      <w:r w:rsidR="00BC02BE">
        <w:rPr>
          <w:lang w:val="en-US"/>
        </w:rPr>
        <w:t xml:space="preserve">’s </w:t>
      </w:r>
      <w:r w:rsidR="00E21123">
        <w:rPr>
          <w:lang w:val="en-US"/>
        </w:rPr>
        <w:t xml:space="preserve">(UK) </w:t>
      </w:r>
      <w:r w:rsidR="00BC02BE">
        <w:rPr>
          <w:lang w:val="en-US"/>
        </w:rPr>
        <w:t>radio prominence framework has been the shift</w:t>
      </w:r>
      <w:r w:rsidR="00E2764A">
        <w:rPr>
          <w:lang w:val="en-US"/>
        </w:rPr>
        <w:t xml:space="preserve">ing </w:t>
      </w:r>
      <w:r w:rsidR="00BC02BE">
        <w:rPr>
          <w:lang w:val="en-US"/>
        </w:rPr>
        <w:t xml:space="preserve">bargaining power </w:t>
      </w:r>
      <w:r w:rsidR="00E2764A">
        <w:rPr>
          <w:lang w:val="en-US"/>
        </w:rPr>
        <w:t xml:space="preserve">dynamic </w:t>
      </w:r>
      <w:r w:rsidR="00BC02BE">
        <w:rPr>
          <w:lang w:val="en-US"/>
        </w:rPr>
        <w:t xml:space="preserve">between voice assistant </w:t>
      </w:r>
      <w:r w:rsidR="00BC02BE">
        <w:rPr>
          <w:lang w:val="en-US"/>
        </w:rPr>
        <w:lastRenderedPageBreak/>
        <w:t>platforms operating on smart speakers and radio stations. S</w:t>
      </w:r>
      <w:r w:rsidR="00BC02BE">
        <w:t xml:space="preserve">mart speakers are expected </w:t>
      </w:r>
      <w:r w:rsidR="007314BC">
        <w:t xml:space="preserve">to </w:t>
      </w:r>
      <w:r w:rsidR="00BC02BE">
        <w:t>becom</w:t>
      </w:r>
      <w:r w:rsidR="007314BC">
        <w:t>e</w:t>
      </w:r>
      <w:r w:rsidR="00E2764A">
        <w:t xml:space="preserve"> </w:t>
      </w:r>
      <w:r w:rsidR="00BC02BE">
        <w:t>less reliant on radio</w:t>
      </w:r>
      <w:r w:rsidR="007314BC">
        <w:t xml:space="preserve"> services</w:t>
      </w:r>
      <w:r w:rsidR="00BC02BE">
        <w:t xml:space="preserve">; while </w:t>
      </w:r>
      <w:r w:rsidR="00BC02BE" w:rsidRPr="00E60DA7">
        <w:rPr>
          <w:lang w:val="en-US"/>
        </w:rPr>
        <w:t>r</w:t>
      </w:r>
      <w:r w:rsidR="00BC02BE" w:rsidRPr="006928E3">
        <w:rPr>
          <w:lang w:val="en-US"/>
        </w:rPr>
        <w:t xml:space="preserve">adio broadcasters </w:t>
      </w:r>
      <w:r w:rsidR="00BC02BE">
        <w:rPr>
          <w:lang w:val="en-US"/>
        </w:rPr>
        <w:t>are</w:t>
      </w:r>
      <w:r w:rsidR="00BC02BE" w:rsidRPr="006928E3">
        <w:rPr>
          <w:lang w:val="en-US"/>
        </w:rPr>
        <w:t xml:space="preserve"> </w:t>
      </w:r>
      <w:r w:rsidR="00E2764A">
        <w:rPr>
          <w:lang w:val="en-US"/>
        </w:rPr>
        <w:t xml:space="preserve">becoming </w:t>
      </w:r>
      <w:r w:rsidR="00BC02BE" w:rsidRPr="006928E3">
        <w:rPr>
          <w:lang w:val="en-US"/>
        </w:rPr>
        <w:t>more dependent on voice assistant platforms</w:t>
      </w:r>
      <w:r w:rsidR="007314BC">
        <w:rPr>
          <w:lang w:val="en-US"/>
        </w:rPr>
        <w:t xml:space="preserve"> for exposure to potential audiences</w:t>
      </w:r>
      <w:r w:rsidR="00BC02BE" w:rsidRPr="00E60DA7">
        <w:rPr>
          <w:lang w:val="en-US"/>
        </w:rPr>
        <w:t>.</w:t>
      </w:r>
    </w:p>
    <w:p w14:paraId="0DDD7AD5" w14:textId="50A2AE5E" w:rsidR="00BC02BE" w:rsidRDefault="00BC02BE" w:rsidP="00BC02BE">
      <w:r>
        <w:t xml:space="preserve">A key concern for users and for the radio industry is the </w:t>
      </w:r>
      <w:r w:rsidRPr="00530972">
        <w:t>inaccurate surfacing of radio stations in response to user requests. This</w:t>
      </w:r>
      <w:r>
        <w:t xml:space="preserve"> was an issue identified in consumer research commissioned by the Office of Communications (Ofcom) in the UK. It was also found to be a problem in 2018 through a Voice Request Audit undertaken by Commercial Radio &amp; Audio (CRA).</w:t>
      </w:r>
      <w:r>
        <w:rPr>
          <w:rStyle w:val="FootnoteReference"/>
        </w:rPr>
        <w:footnoteReference w:id="3"/>
      </w:r>
    </w:p>
    <w:p w14:paraId="04BE02C4" w14:textId="0DFA9400" w:rsidR="00BC02BE" w:rsidRPr="00A1086F" w:rsidRDefault="00BC02BE" w:rsidP="00EF4DCF">
      <w:pPr>
        <w:pStyle w:val="ListParagraph"/>
        <w:numPr>
          <w:ilvl w:val="0"/>
          <w:numId w:val="13"/>
        </w:numPr>
        <w:ind w:left="357" w:hanging="357"/>
        <w:contextualSpacing w:val="0"/>
        <w:rPr>
          <w:lang w:val="en-US"/>
        </w:rPr>
      </w:pPr>
      <w:r>
        <w:t>According to this Audit, only 43</w:t>
      </w:r>
      <w:r w:rsidR="006E1599">
        <w:t>%</w:t>
      </w:r>
      <w:r>
        <w:t xml:space="preserve"> of requests for 370 station call IDs by the Google Assistant on a Google Home device returned accurate results.</w:t>
      </w:r>
    </w:p>
    <w:p w14:paraId="087CD453" w14:textId="09605DC5" w:rsidR="00BC02BE" w:rsidRPr="00A1086F" w:rsidRDefault="00BC02BE" w:rsidP="00EF4DCF">
      <w:pPr>
        <w:pStyle w:val="ListParagraph"/>
        <w:numPr>
          <w:ilvl w:val="0"/>
          <w:numId w:val="13"/>
        </w:numPr>
        <w:ind w:left="357" w:hanging="357"/>
        <w:contextualSpacing w:val="0"/>
        <w:rPr>
          <w:lang w:val="en-US"/>
        </w:rPr>
      </w:pPr>
      <w:r>
        <w:t xml:space="preserve">This accuracy reportedly improved substantially </w:t>
      </w:r>
      <w:proofErr w:type="gramStart"/>
      <w:r>
        <w:t>as a result of</w:t>
      </w:r>
      <w:proofErr w:type="gramEnd"/>
      <w:r>
        <w:t xml:space="preserve"> subsequent commercial arrangements struck between radio broadcasters and the major voice assistant platforms. However, there is no guarantee that this outcome will be maintained if those arrangements expire.</w:t>
      </w:r>
    </w:p>
    <w:p w14:paraId="2CEAA16F" w14:textId="2DE0B1CB" w:rsidR="004B4DF1" w:rsidRDefault="00BC02BE" w:rsidP="00BC02BE">
      <w:r>
        <w:t xml:space="preserve">There is </w:t>
      </w:r>
      <w:r w:rsidRPr="00C41485">
        <w:t xml:space="preserve">a case for the development of a regulatory framework to support access to Australian radio services on smart speakers. </w:t>
      </w:r>
      <w:r w:rsidR="00AC3A75">
        <w:t>R</w:t>
      </w:r>
      <w:r w:rsidR="00AC3A75" w:rsidRPr="00510ECA">
        <w:t xml:space="preserve">adio services </w:t>
      </w:r>
      <w:r w:rsidR="00AC3A75">
        <w:t>currently</w:t>
      </w:r>
      <w:r w:rsidR="00AC3A75" w:rsidRPr="00510ECA">
        <w:t xml:space="preserve"> provide vital local content, news and emergency information </w:t>
      </w:r>
      <w:r w:rsidR="00AC3A75">
        <w:t>to</w:t>
      </w:r>
      <w:r w:rsidR="00AC3A75" w:rsidRPr="00510ECA">
        <w:t xml:space="preserve"> Australian audiences </w:t>
      </w:r>
      <w:r w:rsidR="00AC3A75">
        <w:t xml:space="preserve">via </w:t>
      </w:r>
      <w:r w:rsidR="00AC3A75" w:rsidRPr="00510ECA">
        <w:t>voice-assisted smart speakers</w:t>
      </w:r>
      <w:r w:rsidR="00B96845">
        <w:t>. H</w:t>
      </w:r>
      <w:r w:rsidR="001D3F99">
        <w:t>owever</w:t>
      </w:r>
      <w:r w:rsidR="00B96845">
        <w:t>,</w:t>
      </w:r>
      <w:r w:rsidR="001D3F99">
        <w:t xml:space="preserve"> p</w:t>
      </w:r>
      <w:r w:rsidR="009D6540">
        <w:t xml:space="preserve">latforms are becoming </w:t>
      </w:r>
      <w:r w:rsidR="00D34CF2">
        <w:t>‘</w:t>
      </w:r>
      <w:r w:rsidR="00C46A2B">
        <w:t>gatekeepers</w:t>
      </w:r>
      <w:r w:rsidR="00D34CF2">
        <w:t>’</w:t>
      </w:r>
      <w:r w:rsidR="009D6540">
        <w:t xml:space="preserve"> to </w:t>
      </w:r>
      <w:r w:rsidR="00E301FB">
        <w:t>this</w:t>
      </w:r>
      <w:r w:rsidR="00C87285">
        <w:t xml:space="preserve"> growing </w:t>
      </w:r>
      <w:r w:rsidR="009D6540">
        <w:t>means of radio distribution. Without intervention</w:t>
      </w:r>
      <w:r w:rsidR="00B96845">
        <w:t>,</w:t>
      </w:r>
      <w:r w:rsidR="009D6540">
        <w:t xml:space="preserve"> the</w:t>
      </w:r>
      <w:r w:rsidR="00AC3A75">
        <w:t xml:space="preserve"> asymmetri</w:t>
      </w:r>
      <w:r w:rsidR="00B96845">
        <w:t>c</w:t>
      </w:r>
      <w:r w:rsidR="00AC3A75">
        <w:t xml:space="preserve"> relationship between platforms and radio broadcasters</w:t>
      </w:r>
      <w:r w:rsidR="009D6540">
        <w:t xml:space="preserve"> may intensify</w:t>
      </w:r>
      <w:r w:rsidR="00C87285">
        <w:t xml:space="preserve">, and </w:t>
      </w:r>
      <w:r w:rsidR="00B96845">
        <w:t xml:space="preserve">the achievement </w:t>
      </w:r>
      <w:r w:rsidR="00C87285">
        <w:t xml:space="preserve">key public policy goals </w:t>
      </w:r>
      <w:r w:rsidR="00B96845">
        <w:t>may be put at risk.</w:t>
      </w:r>
      <w:r w:rsidR="00C87285">
        <w:t xml:space="preserve"> </w:t>
      </w:r>
      <w:r w:rsidRPr="00C41485">
        <w:t>This</w:t>
      </w:r>
      <w:r>
        <w:t xml:space="preserve"> was the finding of the </w:t>
      </w:r>
      <w:r w:rsidRPr="00530972">
        <w:rPr>
          <w:rFonts w:ascii="Calibri" w:eastAsia="Calibri" w:hAnsi="Calibri" w:cs="Times New Roman"/>
        </w:rPr>
        <w:t>Senate Environment and Communications Legislation Committee</w:t>
      </w:r>
      <w:r>
        <w:rPr>
          <w:rFonts w:ascii="Calibri" w:eastAsia="Calibri" w:hAnsi="Calibri" w:cs="Times New Roman"/>
        </w:rPr>
        <w:t xml:space="preserve">, in its inquiry into the Communication Legislation Amendment (Prominence and Anti-siphoning) Bill 2023. The Committee </w:t>
      </w:r>
      <w:r w:rsidRPr="00530972">
        <w:rPr>
          <w:rFonts w:ascii="Calibri" w:eastAsia="Calibri" w:hAnsi="Calibri" w:cs="Times New Roman"/>
        </w:rPr>
        <w:t xml:space="preserve">recommended that </w:t>
      </w:r>
      <w:r w:rsidRPr="00530972">
        <w:t>the Government prioritise the implementation of radio prominence on smart speakers</w:t>
      </w:r>
      <w:r>
        <w:t>, forming the view that although swift action could be taken in relation to smart speakers, others</w:t>
      </w:r>
      <w:r w:rsidR="00B74112">
        <w:t>—</w:t>
      </w:r>
      <w:r>
        <w:t>such as prominence in car audio systems</w:t>
      </w:r>
      <w:r w:rsidR="00B74112">
        <w:t>—</w:t>
      </w:r>
      <w:r>
        <w:t>will take a longer timeframe.</w:t>
      </w:r>
      <w:r>
        <w:rPr>
          <w:rStyle w:val="FootnoteReference"/>
        </w:rPr>
        <w:footnoteReference w:id="4"/>
      </w:r>
    </w:p>
    <w:p w14:paraId="5A238827" w14:textId="26E32B15" w:rsidR="004B4DF1" w:rsidRDefault="004B4DF1" w:rsidP="004B4DF1">
      <w:pPr>
        <w:pStyle w:val="Heading2"/>
        <w:rPr>
          <w:lang w:val="en-US"/>
        </w:rPr>
      </w:pPr>
      <w:bookmarkStart w:id="3" w:name="_Toc236825131"/>
      <w:r>
        <w:rPr>
          <w:lang w:val="en-US"/>
        </w:rPr>
        <w:t>Public consultation</w:t>
      </w:r>
      <w:bookmarkEnd w:id="3"/>
    </w:p>
    <w:p w14:paraId="0756753B" w14:textId="0020E2CE" w:rsidR="00B55FE1" w:rsidRDefault="00EC6B60" w:rsidP="004B4DF1">
      <w:pPr>
        <w:pStyle w:val="ListLegal3"/>
        <w:numPr>
          <w:ilvl w:val="0"/>
          <w:numId w:val="0"/>
        </w:numPr>
        <w:rPr>
          <w:lang w:val="en-US"/>
        </w:rPr>
      </w:pPr>
      <w:r w:rsidRPr="00230892">
        <w:rPr>
          <w:lang w:val="en-US"/>
        </w:rPr>
        <w:t>On 30 September 2024, the Department released a radio prominence proposals paper</w:t>
      </w:r>
      <w:r w:rsidR="00E25400">
        <w:rPr>
          <w:lang w:val="en-US"/>
        </w:rPr>
        <w:t xml:space="preserve"> </w:t>
      </w:r>
      <w:r w:rsidR="00B55FE1" w:rsidRPr="00230892">
        <w:rPr>
          <w:lang w:val="en-US"/>
        </w:rPr>
        <w:t xml:space="preserve">detailing </w:t>
      </w:r>
      <w:r w:rsidR="002009D4" w:rsidRPr="00230892">
        <w:rPr>
          <w:lang w:val="en-US"/>
        </w:rPr>
        <w:t>eight elements</w:t>
      </w:r>
      <w:r w:rsidR="00B55FE1" w:rsidRPr="00230892">
        <w:rPr>
          <w:lang w:val="en-US"/>
        </w:rPr>
        <w:t xml:space="preserve"> for </w:t>
      </w:r>
      <w:r w:rsidR="003555E1" w:rsidRPr="00230892">
        <w:rPr>
          <w:lang w:val="en-US"/>
        </w:rPr>
        <w:t xml:space="preserve">consideration </w:t>
      </w:r>
      <w:r w:rsidRPr="00230892">
        <w:rPr>
          <w:lang w:val="en-US"/>
        </w:rPr>
        <w:t>when designing a radio prominence</w:t>
      </w:r>
      <w:r w:rsidR="00B55FE1" w:rsidRPr="00230892">
        <w:rPr>
          <w:lang w:val="en-US"/>
        </w:rPr>
        <w:t xml:space="preserve"> framework</w:t>
      </w:r>
      <w:r w:rsidRPr="00230892">
        <w:rPr>
          <w:lang w:val="en-US"/>
        </w:rPr>
        <w:t xml:space="preserve"> for smart speakers. Submissions </w:t>
      </w:r>
      <w:r w:rsidR="009D6928">
        <w:rPr>
          <w:lang w:val="en-US"/>
        </w:rPr>
        <w:t xml:space="preserve">to the consultation </w:t>
      </w:r>
      <w:r w:rsidRPr="00230892">
        <w:rPr>
          <w:lang w:val="en-US"/>
        </w:rPr>
        <w:t>closed</w:t>
      </w:r>
      <w:r w:rsidR="00B55FE1" w:rsidRPr="00230892">
        <w:rPr>
          <w:lang w:val="en-US"/>
        </w:rPr>
        <w:t xml:space="preserve"> on 11 November 2024.</w:t>
      </w:r>
      <w:r w:rsidR="00B55FE1" w:rsidRPr="00230892">
        <w:rPr>
          <w:rStyle w:val="FootnoteReference"/>
          <w:lang w:val="en-US"/>
        </w:rPr>
        <w:footnoteReference w:id="5"/>
      </w:r>
      <w:r w:rsidR="00B55FE1" w:rsidRPr="00230892">
        <w:rPr>
          <w:lang w:val="en-US"/>
        </w:rPr>
        <w:t xml:space="preserve"> </w:t>
      </w:r>
      <w:r w:rsidR="003555E1" w:rsidRPr="00230892">
        <w:rPr>
          <w:lang w:val="en-AU"/>
        </w:rPr>
        <w:t>The development of the framework</w:t>
      </w:r>
      <w:r w:rsidR="00B55FE1" w:rsidRPr="00230892">
        <w:rPr>
          <w:lang w:val="en-AU"/>
        </w:rPr>
        <w:t xml:space="preserve"> </w:t>
      </w:r>
      <w:r w:rsidR="006314F2">
        <w:rPr>
          <w:lang w:val="en-AU"/>
        </w:rPr>
        <w:t xml:space="preserve">has taken </w:t>
      </w:r>
      <w:r w:rsidR="00B55FE1" w:rsidRPr="00230892">
        <w:t>into consideration the views of stakeholders provided during th</w:t>
      </w:r>
      <w:r w:rsidR="00B55FE1" w:rsidRPr="00230892">
        <w:rPr>
          <w:lang w:val="en-AU"/>
        </w:rPr>
        <w:t xml:space="preserve">is </w:t>
      </w:r>
      <w:proofErr w:type="gramStart"/>
      <w:r w:rsidR="00B55FE1" w:rsidRPr="00230892">
        <w:rPr>
          <w:lang w:val="en-AU"/>
        </w:rPr>
        <w:t>phase</w:t>
      </w:r>
      <w:r w:rsidR="00B55FE1" w:rsidRPr="00230892">
        <w:t>, and</w:t>
      </w:r>
      <w:proofErr w:type="gramEnd"/>
      <w:r w:rsidR="00B55FE1" w:rsidRPr="00230892">
        <w:t xml:space="preserve"> </w:t>
      </w:r>
      <w:r w:rsidR="006314F2">
        <w:rPr>
          <w:lang w:val="en-AU"/>
        </w:rPr>
        <w:t>has</w:t>
      </w:r>
      <w:r w:rsidR="006314F2" w:rsidRPr="00230892">
        <w:rPr>
          <w:lang w:val="en-AU"/>
        </w:rPr>
        <w:t xml:space="preserve"> </w:t>
      </w:r>
      <w:r w:rsidR="00B55FE1" w:rsidRPr="00230892">
        <w:rPr>
          <w:lang w:val="en-AU"/>
        </w:rPr>
        <w:t>s</w:t>
      </w:r>
      <w:r w:rsidR="006314F2">
        <w:rPr>
          <w:lang w:val="en-AU"/>
        </w:rPr>
        <w:t>ought</w:t>
      </w:r>
      <w:r w:rsidR="00B55FE1" w:rsidRPr="00230892">
        <w:t xml:space="preserve"> to balance the needs of each sector while supporting the achievement of established media policy objectives.</w:t>
      </w:r>
      <w:r w:rsidR="00B55FE1" w:rsidRPr="00230892">
        <w:rPr>
          <w:lang w:val="en-AU"/>
        </w:rPr>
        <w:t xml:space="preserve"> </w:t>
      </w:r>
      <w:r w:rsidR="006314F2">
        <w:rPr>
          <w:lang w:val="en-AU"/>
        </w:rPr>
        <w:t xml:space="preserve">It is expected that </w:t>
      </w:r>
      <w:r w:rsidR="006314F2">
        <w:rPr>
          <w:lang w:val="en-US"/>
        </w:rPr>
        <w:t>f</w:t>
      </w:r>
      <w:r w:rsidR="00B55FE1" w:rsidRPr="00230892">
        <w:rPr>
          <w:lang w:val="en-US"/>
        </w:rPr>
        <w:t xml:space="preserve">urther consultation with stakeholders will take place as </w:t>
      </w:r>
      <w:r w:rsidR="00E25400">
        <w:rPr>
          <w:lang w:val="en-US"/>
        </w:rPr>
        <w:t xml:space="preserve">part of </w:t>
      </w:r>
      <w:r w:rsidR="009D6928">
        <w:rPr>
          <w:lang w:val="en-US"/>
        </w:rPr>
        <w:t>usual practices for legislative development</w:t>
      </w:r>
      <w:r w:rsidR="00B55FE1" w:rsidRPr="00230892">
        <w:rPr>
          <w:lang w:val="en-US"/>
        </w:rPr>
        <w:t>.</w:t>
      </w:r>
    </w:p>
    <w:p w14:paraId="0D145A23" w14:textId="7D7B2C81" w:rsidR="00796951" w:rsidRDefault="00796951" w:rsidP="004B4DF1">
      <w:pPr>
        <w:pStyle w:val="Heading2"/>
        <w:rPr>
          <w:lang w:val="en-US"/>
        </w:rPr>
      </w:pPr>
      <w:bookmarkStart w:id="4" w:name="_Toc236825132"/>
      <w:r>
        <w:rPr>
          <w:lang w:val="en-US"/>
        </w:rPr>
        <w:t>Post-consultation analysis</w:t>
      </w:r>
      <w:bookmarkEnd w:id="4"/>
    </w:p>
    <w:p w14:paraId="652E9C45" w14:textId="2A4914D2" w:rsidR="00B224D5" w:rsidRDefault="00BE244D" w:rsidP="00101A53">
      <w:pPr>
        <w:suppressAutoHyphens w:val="0"/>
        <w:spacing w:before="80"/>
      </w:pPr>
      <w:r>
        <w:t xml:space="preserve">The development of the recommended option has taken into consideration the views of stakeholders provided during the public consultation phase, as well as the views of the </w:t>
      </w:r>
      <w:r w:rsidR="00645C80" w:rsidRPr="00530972">
        <w:rPr>
          <w:rFonts w:ascii="Calibri" w:eastAsia="Calibri" w:hAnsi="Calibri" w:cs="Times New Roman"/>
        </w:rPr>
        <w:t>Senate Environment and Communications Legislation Committee</w:t>
      </w:r>
      <w:r w:rsidR="00B224D5">
        <w:rPr>
          <w:rFonts w:ascii="Calibri" w:eastAsia="Calibri" w:hAnsi="Calibri" w:cs="Times New Roman"/>
        </w:rPr>
        <w:t xml:space="preserve"> through its</w:t>
      </w:r>
      <w:r w:rsidR="00AF1D8B">
        <w:rPr>
          <w:rFonts w:ascii="Calibri" w:eastAsia="Calibri" w:hAnsi="Calibri" w:cs="Times New Roman"/>
        </w:rPr>
        <w:t xml:space="preserve"> inquiry</w:t>
      </w:r>
      <w:r w:rsidR="00B224D5">
        <w:rPr>
          <w:rFonts w:ascii="Calibri" w:eastAsia="Calibri" w:hAnsi="Calibri" w:cs="Times New Roman"/>
        </w:rPr>
        <w:t xml:space="preserve"> into the </w:t>
      </w:r>
      <w:r w:rsidR="00B224D5" w:rsidRPr="00B474C9">
        <w:rPr>
          <w:rFonts w:ascii="Calibri" w:eastAsia="Calibri" w:hAnsi="Calibri" w:cs="Times New Roman"/>
        </w:rPr>
        <w:t>Communications Legislation Amendment (Prominence and Anti-siphoning) Bill 2023</w:t>
      </w:r>
      <w:r>
        <w:t>.</w:t>
      </w:r>
    </w:p>
    <w:p w14:paraId="79675A0E" w14:textId="0771B22D" w:rsidR="00796951" w:rsidRPr="00101A53" w:rsidRDefault="00C62957" w:rsidP="00101A53">
      <w:pPr>
        <w:suppressAutoHyphens w:val="0"/>
        <w:spacing w:before="80"/>
      </w:pPr>
      <w:r>
        <w:t xml:space="preserve">Consideration has been given to </w:t>
      </w:r>
      <w:r w:rsidR="007B7AC1">
        <w:t xml:space="preserve">how </w:t>
      </w:r>
      <w:r w:rsidR="000C1298">
        <w:t xml:space="preserve">access to radio services </w:t>
      </w:r>
      <w:r w:rsidR="007B7AC1">
        <w:t xml:space="preserve">can </w:t>
      </w:r>
      <w:r w:rsidR="000C1298">
        <w:t xml:space="preserve">support the </w:t>
      </w:r>
      <w:r w:rsidR="007B7AC1">
        <w:t xml:space="preserve">achievement of Australia’s media policy objects, and how to </w:t>
      </w:r>
      <w:r w:rsidR="00BE244D">
        <w:t xml:space="preserve">balance </w:t>
      </w:r>
      <w:r>
        <w:t xml:space="preserve">the </w:t>
      </w:r>
      <w:r w:rsidR="007B7AC1">
        <w:t>interests o</w:t>
      </w:r>
      <w:r w:rsidR="00BE244D">
        <w:t xml:space="preserve">f each </w:t>
      </w:r>
      <w:r w:rsidR="00DD46AB">
        <w:t xml:space="preserve">of the sectors </w:t>
      </w:r>
      <w:r w:rsidR="007B7AC1">
        <w:t xml:space="preserve">that would be impacted by </w:t>
      </w:r>
      <w:r w:rsidR="00DD46AB">
        <w:t xml:space="preserve">the </w:t>
      </w:r>
      <w:r>
        <w:t>radio prominence reforms</w:t>
      </w:r>
      <w:r w:rsidR="00DD46AB">
        <w:t xml:space="preserve">. </w:t>
      </w:r>
      <w:r w:rsidR="00BE244D">
        <w:t xml:space="preserve">This led to the development of a model for </w:t>
      </w:r>
      <w:r w:rsidR="001F4CEB">
        <w:t>a radio</w:t>
      </w:r>
      <w:r w:rsidR="00BE244D">
        <w:t xml:space="preserve"> prominence framework that </w:t>
      </w:r>
      <w:r w:rsidR="001F4CEB">
        <w:t xml:space="preserve">seeks to </w:t>
      </w:r>
      <w:r>
        <w:t xml:space="preserve">ensure that Australia listeners can easily access online radio services via voice request on a </w:t>
      </w:r>
      <w:r w:rsidR="00506B1D">
        <w:t>smart speaker</w:t>
      </w:r>
      <w:r>
        <w:t xml:space="preserve"> in a way what minimises</w:t>
      </w:r>
      <w:r w:rsidR="001F4CEB">
        <w:t xml:space="preserve"> costs </w:t>
      </w:r>
      <w:r>
        <w:t xml:space="preserve">and disruption to broadcasters and the providers of voice assistants. </w:t>
      </w:r>
    </w:p>
    <w:p w14:paraId="544ADAE2" w14:textId="02596F1D" w:rsidR="004B4DF1" w:rsidRDefault="00C27706" w:rsidP="004B4DF1">
      <w:pPr>
        <w:pStyle w:val="Heading2"/>
        <w:rPr>
          <w:lang w:val="en-US"/>
        </w:rPr>
      </w:pPr>
      <w:bookmarkStart w:id="5" w:name="_Toc236825133"/>
      <w:r>
        <w:rPr>
          <w:lang w:val="en-US"/>
        </w:rPr>
        <w:lastRenderedPageBreak/>
        <w:t>Options considered</w:t>
      </w:r>
      <w:bookmarkEnd w:id="5"/>
    </w:p>
    <w:p w14:paraId="11D7AE1C" w14:textId="77777777" w:rsidR="00C653DB" w:rsidRDefault="005A1B5D" w:rsidP="00101A53">
      <w:pPr>
        <w:spacing w:before="80"/>
      </w:pPr>
      <w:r w:rsidRPr="005A1B5D">
        <w:t>This</w:t>
      </w:r>
      <w:r w:rsidR="00C14FC9" w:rsidRPr="005A1B5D" w:rsidDel="000C1298">
        <w:t xml:space="preserve"> </w:t>
      </w:r>
      <w:r w:rsidR="00872D30" w:rsidRPr="005A1B5D">
        <w:t>Impact Analysis</w:t>
      </w:r>
      <w:r w:rsidR="00A00985" w:rsidRPr="005A1B5D">
        <w:t xml:space="preserve"> (IA)</w:t>
      </w:r>
      <w:r w:rsidR="00872D30" w:rsidRPr="005A1B5D">
        <w:t xml:space="preserve"> investigates three policy options</w:t>
      </w:r>
      <w:r w:rsidR="00C653DB">
        <w:t>:</w:t>
      </w:r>
    </w:p>
    <w:p w14:paraId="36274ECF" w14:textId="19BD7C07" w:rsidR="00741FAB" w:rsidRDefault="00741FAB" w:rsidP="00101A53">
      <w:pPr>
        <w:pStyle w:val="ListParagraph"/>
        <w:numPr>
          <w:ilvl w:val="0"/>
          <w:numId w:val="26"/>
        </w:numPr>
        <w:tabs>
          <w:tab w:val="left" w:pos="720"/>
          <w:tab w:val="left" w:pos="851"/>
        </w:tabs>
        <w:suppressAutoHyphens w:val="0"/>
        <w:spacing w:before="80"/>
        <w:ind w:left="357" w:hanging="357"/>
        <w:contextualSpacing w:val="0"/>
      </w:pPr>
      <w:r>
        <w:t xml:space="preserve">The status quo, where the prominence of Australian radio services </w:t>
      </w:r>
      <w:r w:rsidR="004C28FF">
        <w:t>on smart speakers</w:t>
      </w:r>
      <w:r>
        <w:t xml:space="preserve"> is left to </w:t>
      </w:r>
      <w:r w:rsidR="00764FF3">
        <w:t xml:space="preserve">the </w:t>
      </w:r>
      <w:r>
        <w:t xml:space="preserve">market; </w:t>
      </w:r>
    </w:p>
    <w:p w14:paraId="3CE6A336" w14:textId="1B48862D" w:rsidR="00741FAB" w:rsidRDefault="00741FAB" w:rsidP="00101A53">
      <w:pPr>
        <w:pStyle w:val="ListParagraph"/>
        <w:numPr>
          <w:ilvl w:val="0"/>
          <w:numId w:val="26"/>
        </w:numPr>
        <w:tabs>
          <w:tab w:val="left" w:pos="720"/>
          <w:tab w:val="left" w:pos="851"/>
        </w:tabs>
        <w:suppressAutoHyphens w:val="0"/>
        <w:spacing w:before="80"/>
        <w:ind w:left="357" w:hanging="357"/>
        <w:contextualSpacing w:val="0"/>
      </w:pPr>
      <w:r>
        <w:rPr>
          <w:rFonts w:cstheme="minorHAnsi"/>
        </w:rPr>
        <w:t>The</w:t>
      </w:r>
      <w:r w:rsidR="00D6723B" w:rsidRPr="005A1B5D">
        <w:t xml:space="preserve"> implementation of a radio prominence framework</w:t>
      </w:r>
      <w:r w:rsidR="00A00985" w:rsidRPr="005A1B5D">
        <w:t xml:space="preserve"> </w:t>
      </w:r>
      <w:r w:rsidR="00D6723B" w:rsidRPr="005A1B5D">
        <w:t>as either</w:t>
      </w:r>
      <w:r w:rsidR="004C28FF">
        <w:t>:</w:t>
      </w:r>
      <w:r w:rsidR="00D6723B" w:rsidRPr="005A1B5D">
        <w:t xml:space="preserve"> </w:t>
      </w:r>
      <w:r w:rsidR="004C28FF">
        <w:t>a)</w:t>
      </w:r>
      <w:r w:rsidR="00D6723B" w:rsidRPr="005A1B5D">
        <w:t xml:space="preserve"> a ‘defined terms’ </w:t>
      </w:r>
      <w:r w:rsidR="00764FF3">
        <w:t>model</w:t>
      </w:r>
      <w:r w:rsidR="004C28FF">
        <w:t>;</w:t>
      </w:r>
      <w:r w:rsidR="00D6723B" w:rsidRPr="005A1B5D">
        <w:t xml:space="preserve"> or </w:t>
      </w:r>
      <w:r w:rsidR="004C28FF">
        <w:t xml:space="preserve">b) a </w:t>
      </w:r>
      <w:r w:rsidR="00D6723B" w:rsidRPr="005A1B5D">
        <w:t>‘</w:t>
      </w:r>
      <w:r w:rsidR="00444398">
        <w:t>negotiated</w:t>
      </w:r>
      <w:r w:rsidR="00D6723B" w:rsidRPr="005A1B5D">
        <w:t xml:space="preserve"> terms’ model</w:t>
      </w:r>
      <w:r>
        <w:t>;</w:t>
      </w:r>
      <w:r w:rsidR="00106E34">
        <w:t xml:space="preserve"> and</w:t>
      </w:r>
    </w:p>
    <w:p w14:paraId="7720E70A" w14:textId="48502C90" w:rsidR="001C197A" w:rsidRPr="001E2232" w:rsidRDefault="00741FAB" w:rsidP="00101A53">
      <w:pPr>
        <w:pStyle w:val="ListParagraph"/>
        <w:numPr>
          <w:ilvl w:val="0"/>
          <w:numId w:val="26"/>
        </w:numPr>
        <w:tabs>
          <w:tab w:val="left" w:pos="720"/>
          <w:tab w:val="left" w:pos="851"/>
        </w:tabs>
        <w:suppressAutoHyphens w:val="0"/>
        <w:spacing w:before="80"/>
        <w:ind w:left="357" w:hanging="357"/>
        <w:contextualSpacing w:val="0"/>
      </w:pPr>
      <w:r>
        <w:t>An</w:t>
      </w:r>
      <w:r w:rsidR="00BD1B2B">
        <w:t xml:space="preserve"> industry</w:t>
      </w:r>
      <w:r>
        <w:t>-delivered</w:t>
      </w:r>
      <w:r w:rsidR="00BD1B2B">
        <w:t xml:space="preserve"> public education campaign on </w:t>
      </w:r>
      <w:r w:rsidR="004C28FF">
        <w:t xml:space="preserve">the </w:t>
      </w:r>
      <w:r w:rsidR="00BD1B2B">
        <w:t xml:space="preserve">use of smart speakers to access radio content, coupled with </w:t>
      </w:r>
      <w:r>
        <w:t>a</w:t>
      </w:r>
      <w:r w:rsidR="00BD1B2B">
        <w:t xml:space="preserve"> funding </w:t>
      </w:r>
      <w:r>
        <w:t>program for</w:t>
      </w:r>
      <w:r w:rsidR="00BD1B2B">
        <w:t xml:space="preserve"> broadcasters. </w:t>
      </w:r>
    </w:p>
    <w:p w14:paraId="490A6407" w14:textId="111B6B40" w:rsidR="00C27706" w:rsidRDefault="00C27706" w:rsidP="00C27706">
      <w:pPr>
        <w:pStyle w:val="Heading2"/>
        <w:rPr>
          <w:lang w:val="en-US"/>
        </w:rPr>
      </w:pPr>
      <w:bookmarkStart w:id="6" w:name="_Toc236825134"/>
      <w:r w:rsidRPr="00C27706">
        <w:rPr>
          <w:lang w:val="en-US"/>
        </w:rPr>
        <w:t>The preferred option</w:t>
      </w:r>
      <w:bookmarkEnd w:id="6"/>
    </w:p>
    <w:p w14:paraId="34796E9C" w14:textId="2697B472" w:rsidR="00C27706" w:rsidRDefault="00C27706" w:rsidP="00C27706">
      <w:r>
        <w:t>The recommended option is to legislate a radio prominence framework</w:t>
      </w:r>
      <w:r w:rsidR="000554CB">
        <w:t xml:space="preserve"> following the model described in Option 2a</w:t>
      </w:r>
      <w:r>
        <w:t xml:space="preserve">. This IA finds </w:t>
      </w:r>
      <w:r w:rsidR="000554CB">
        <w:t xml:space="preserve">the objective of Australian radio services being </w:t>
      </w:r>
      <w:r w:rsidR="000554CB" w:rsidRPr="00E02DB5">
        <w:t xml:space="preserve">available when Australian audiences ask their </w:t>
      </w:r>
      <w:r w:rsidR="000554CB">
        <w:t>smart speakers to access the</w:t>
      </w:r>
      <w:r w:rsidR="004C28FF">
        <w:t>m</w:t>
      </w:r>
      <w:r w:rsidR="000554CB">
        <w:t xml:space="preserve"> will be best achieved under a legislative framework that has clear obligations for voice assistant platforms</w:t>
      </w:r>
      <w:r w:rsidR="004C28FF">
        <w:t xml:space="preserve"> and balanced </w:t>
      </w:r>
      <w:r w:rsidR="000554CB">
        <w:t>protections for Australian radio services</w:t>
      </w:r>
      <w:r w:rsidR="004C28FF">
        <w:t xml:space="preserve">. </w:t>
      </w:r>
    </w:p>
    <w:p w14:paraId="427B5590" w14:textId="2D6358BF" w:rsidR="00C27706" w:rsidRDefault="00985119" w:rsidP="00C27706">
      <w:r w:rsidRPr="00B16F74">
        <w:t xml:space="preserve">Both models </w:t>
      </w:r>
      <w:r w:rsidR="00C27706" w:rsidRPr="00B16F74">
        <w:t xml:space="preserve">for legislative reform </w:t>
      </w:r>
      <w:r w:rsidRPr="00B16F74">
        <w:t xml:space="preserve">set out in Option 2 </w:t>
      </w:r>
      <w:r w:rsidR="00C27706" w:rsidRPr="00B16F74">
        <w:t xml:space="preserve">take into consideration the views of stakeholders on eight framework elements, gathered during a public consultation period. The </w:t>
      </w:r>
      <w:r w:rsidRPr="00B16F74">
        <w:t xml:space="preserve">preferred </w:t>
      </w:r>
      <w:r w:rsidR="00C27706" w:rsidRPr="00B16F74">
        <w:t xml:space="preserve">framework model </w:t>
      </w:r>
      <w:r w:rsidRPr="00B16F74">
        <w:t xml:space="preserve">(Option 2a) </w:t>
      </w:r>
      <w:r w:rsidR="00C27706" w:rsidRPr="00B16F74">
        <w:t>seek</w:t>
      </w:r>
      <w:r w:rsidRPr="00B16F74">
        <w:t>s</w:t>
      </w:r>
      <w:r w:rsidR="00C27706" w:rsidRPr="00B16F74">
        <w:t xml:space="preserve"> to balance the requirements of consumers and industry through a public policy lens. The </w:t>
      </w:r>
      <w:r w:rsidRPr="00B16F74">
        <w:t xml:space="preserve">preferred model for a radio </w:t>
      </w:r>
      <w:r w:rsidR="00C27706" w:rsidRPr="00B16F74">
        <w:t>prominence framework share</w:t>
      </w:r>
      <w:r w:rsidRPr="00B16F74">
        <w:t>s</w:t>
      </w:r>
      <w:r w:rsidR="00C27706" w:rsidRPr="00B16F74">
        <w:t xml:space="preserve"> </w:t>
      </w:r>
      <w:proofErr w:type="gramStart"/>
      <w:r w:rsidR="00C27706" w:rsidRPr="00B16F74">
        <w:t>a number of</w:t>
      </w:r>
      <w:proofErr w:type="gramEnd"/>
      <w:r w:rsidR="00C27706" w:rsidRPr="00B16F74">
        <w:t xml:space="preserve"> features with Australia’s recently legislated television prominence framework such as the application of the framework to mainstream broadcasting services, and the ‘no cost’ and ‘no alteration’ elements.</w:t>
      </w:r>
    </w:p>
    <w:p w14:paraId="75F73645" w14:textId="6DD32C31" w:rsidR="004B4DF1" w:rsidRPr="004B4DF1" w:rsidRDefault="004B4DF1" w:rsidP="004B4DF1">
      <w:pPr>
        <w:pStyle w:val="Heading2"/>
        <w:rPr>
          <w:lang w:val="en-US"/>
        </w:rPr>
      </w:pPr>
      <w:bookmarkStart w:id="7" w:name="_Toc236825135"/>
      <w:r>
        <w:rPr>
          <w:lang w:val="en-US"/>
        </w:rPr>
        <w:t>The Impact Analysis process</w:t>
      </w:r>
      <w:bookmarkEnd w:id="7"/>
    </w:p>
    <w:p w14:paraId="598CAE51" w14:textId="2C90854F" w:rsidR="00C653DB" w:rsidRDefault="001E2232" w:rsidP="00101A53">
      <w:pPr>
        <w:pStyle w:val="NormalWeb"/>
        <w:spacing w:before="80" w:beforeAutospacing="0" w:after="80" w:afterAutospacing="0" w:line="240" w:lineRule="auto"/>
        <w:rPr>
          <w:rFonts w:asciiTheme="minorHAnsi" w:eastAsiaTheme="minorHAnsi" w:hAnsiTheme="minorHAnsi" w:cstheme="minorHAnsi"/>
          <w:color w:val="000000" w:themeColor="text1"/>
          <w:sz w:val="22"/>
          <w:szCs w:val="22"/>
          <w:lang w:eastAsia="en-US"/>
        </w:rPr>
      </w:pPr>
      <w:r w:rsidRPr="005C6096">
        <w:rPr>
          <w:rFonts w:asciiTheme="minorHAnsi" w:eastAsiaTheme="minorHAnsi" w:hAnsiTheme="minorHAnsi" w:cstheme="minorHAnsi"/>
          <w:color w:val="000000" w:themeColor="text1"/>
          <w:sz w:val="22"/>
          <w:szCs w:val="22"/>
          <w:lang w:eastAsia="en-US"/>
        </w:rPr>
        <w:t xml:space="preserve">This </w:t>
      </w:r>
      <w:r>
        <w:rPr>
          <w:rFonts w:asciiTheme="minorHAnsi" w:eastAsiaTheme="minorHAnsi" w:hAnsiTheme="minorHAnsi" w:cstheme="minorHAnsi"/>
          <w:color w:val="000000" w:themeColor="text1"/>
          <w:sz w:val="22"/>
          <w:szCs w:val="22"/>
          <w:lang w:eastAsia="en-US"/>
        </w:rPr>
        <w:t xml:space="preserve">IA </w:t>
      </w:r>
      <w:r w:rsidRPr="005C6096">
        <w:rPr>
          <w:rFonts w:asciiTheme="minorHAnsi" w:eastAsiaTheme="minorHAnsi" w:hAnsiTheme="minorHAnsi" w:cstheme="minorHAnsi"/>
          <w:color w:val="000000" w:themeColor="text1"/>
          <w:sz w:val="22"/>
          <w:szCs w:val="22"/>
          <w:lang w:eastAsia="en-US"/>
        </w:rPr>
        <w:t xml:space="preserve">has been </w:t>
      </w:r>
      <w:r>
        <w:rPr>
          <w:rFonts w:asciiTheme="minorHAnsi" w:eastAsiaTheme="minorHAnsi" w:hAnsiTheme="minorHAnsi" w:cstheme="minorHAnsi"/>
          <w:color w:val="000000" w:themeColor="text1"/>
          <w:sz w:val="22"/>
          <w:szCs w:val="22"/>
          <w:lang w:eastAsia="en-US"/>
        </w:rPr>
        <w:t>prepared</w:t>
      </w:r>
      <w:r w:rsidRPr="005C6096">
        <w:rPr>
          <w:rFonts w:asciiTheme="minorHAnsi" w:eastAsiaTheme="minorHAnsi" w:hAnsiTheme="minorHAnsi" w:cstheme="minorHAnsi"/>
          <w:color w:val="000000" w:themeColor="text1"/>
          <w:sz w:val="22"/>
          <w:szCs w:val="22"/>
          <w:lang w:eastAsia="en-US"/>
        </w:rPr>
        <w:t xml:space="preserve"> in accordance with the Australian Government IA requirements. </w:t>
      </w:r>
      <w:r w:rsidR="00C653DB">
        <w:rPr>
          <w:rFonts w:asciiTheme="minorHAnsi" w:eastAsiaTheme="minorHAnsi" w:hAnsiTheme="minorHAnsi" w:cstheme="minorHAnsi"/>
          <w:color w:val="000000" w:themeColor="text1"/>
          <w:sz w:val="22"/>
          <w:szCs w:val="22"/>
          <w:lang w:eastAsia="en-US"/>
        </w:rPr>
        <w:t xml:space="preserve">As part of this process, </w:t>
      </w:r>
      <w:r w:rsidR="00083091" w:rsidRPr="00C653DB">
        <w:rPr>
          <w:rFonts w:asciiTheme="minorHAnsi" w:eastAsiaTheme="minorHAnsi" w:hAnsiTheme="minorHAnsi" w:cstheme="minorHAnsi"/>
          <w:color w:val="000000" w:themeColor="text1"/>
          <w:sz w:val="22"/>
          <w:szCs w:val="22"/>
          <w:lang w:eastAsia="en-US"/>
        </w:rPr>
        <w:t xml:space="preserve">parties </w:t>
      </w:r>
      <w:r w:rsidR="00C653DB">
        <w:rPr>
          <w:rFonts w:asciiTheme="minorHAnsi" w:eastAsiaTheme="minorHAnsi" w:hAnsiTheme="minorHAnsi" w:cstheme="minorHAnsi"/>
          <w:color w:val="000000" w:themeColor="text1"/>
          <w:sz w:val="22"/>
          <w:szCs w:val="22"/>
          <w:lang w:eastAsia="en-US"/>
        </w:rPr>
        <w:t>that</w:t>
      </w:r>
      <w:r w:rsidR="00C653DB" w:rsidRPr="00C653DB">
        <w:rPr>
          <w:rFonts w:asciiTheme="minorHAnsi" w:eastAsiaTheme="minorHAnsi" w:hAnsiTheme="minorHAnsi" w:cstheme="minorHAnsi"/>
          <w:color w:val="000000" w:themeColor="text1"/>
          <w:sz w:val="22"/>
          <w:szCs w:val="22"/>
          <w:lang w:eastAsia="en-US"/>
        </w:rPr>
        <w:t xml:space="preserve"> </w:t>
      </w:r>
      <w:r w:rsidR="00083091" w:rsidRPr="00C653DB">
        <w:rPr>
          <w:rFonts w:asciiTheme="minorHAnsi" w:eastAsiaTheme="minorHAnsi" w:hAnsiTheme="minorHAnsi" w:cstheme="minorHAnsi"/>
          <w:color w:val="000000" w:themeColor="text1"/>
          <w:sz w:val="22"/>
          <w:szCs w:val="22"/>
          <w:lang w:eastAsia="en-US"/>
        </w:rPr>
        <w:t xml:space="preserve">may be impacted by Government intervention to address the issue of radio prominence have been identified, and the </w:t>
      </w:r>
      <w:r w:rsidR="00F83C38">
        <w:rPr>
          <w:rFonts w:asciiTheme="minorHAnsi" w:eastAsiaTheme="minorHAnsi" w:hAnsiTheme="minorHAnsi" w:cstheme="minorHAnsi"/>
          <w:color w:val="000000" w:themeColor="text1"/>
          <w:sz w:val="22"/>
          <w:szCs w:val="22"/>
          <w:lang w:eastAsia="en-US"/>
        </w:rPr>
        <w:t>net benefits and</w:t>
      </w:r>
      <w:r w:rsidR="00083091" w:rsidRPr="00C653DB">
        <w:rPr>
          <w:rFonts w:asciiTheme="minorHAnsi" w:eastAsiaTheme="minorHAnsi" w:hAnsiTheme="minorHAnsi" w:cstheme="minorHAnsi"/>
          <w:color w:val="000000" w:themeColor="text1"/>
          <w:sz w:val="22"/>
          <w:szCs w:val="22"/>
          <w:lang w:eastAsia="en-US"/>
        </w:rPr>
        <w:t xml:space="preserve"> compliance burden th</w:t>
      </w:r>
      <w:r w:rsidR="008B3BA1" w:rsidRPr="00C653DB">
        <w:rPr>
          <w:rFonts w:asciiTheme="minorHAnsi" w:eastAsiaTheme="minorHAnsi" w:hAnsiTheme="minorHAnsi" w:cstheme="minorHAnsi"/>
          <w:color w:val="000000" w:themeColor="text1"/>
          <w:sz w:val="22"/>
          <w:szCs w:val="22"/>
          <w:lang w:eastAsia="en-US"/>
        </w:rPr>
        <w:t xml:space="preserve">at may be imposed are discussed in </w:t>
      </w:r>
      <w:r w:rsidR="008B010C" w:rsidRPr="00C653DB">
        <w:rPr>
          <w:rFonts w:asciiTheme="minorHAnsi" w:eastAsiaTheme="minorHAnsi" w:hAnsiTheme="minorHAnsi" w:cstheme="minorHAnsi"/>
          <w:color w:val="000000" w:themeColor="text1"/>
          <w:sz w:val="22"/>
          <w:szCs w:val="22"/>
          <w:lang w:eastAsia="en-US"/>
        </w:rPr>
        <w:t>Chapter</w:t>
      </w:r>
      <w:r w:rsidR="008B3BA1" w:rsidRPr="00C653DB">
        <w:rPr>
          <w:rFonts w:asciiTheme="minorHAnsi" w:eastAsiaTheme="minorHAnsi" w:hAnsiTheme="minorHAnsi" w:cstheme="minorHAnsi"/>
          <w:color w:val="000000" w:themeColor="text1"/>
          <w:sz w:val="22"/>
          <w:szCs w:val="22"/>
          <w:lang w:eastAsia="en-US"/>
        </w:rPr>
        <w:t xml:space="preserve"> 4.</w:t>
      </w:r>
      <w:r w:rsidR="008B3BA1">
        <w:rPr>
          <w:rFonts w:asciiTheme="minorHAnsi" w:eastAsiaTheme="minorHAnsi" w:hAnsiTheme="minorHAnsi" w:cstheme="minorHAnsi"/>
          <w:color w:val="000000" w:themeColor="text1"/>
          <w:sz w:val="22"/>
          <w:szCs w:val="22"/>
          <w:lang w:eastAsia="en-US"/>
        </w:rPr>
        <w:t xml:space="preserve"> </w:t>
      </w:r>
      <w:r w:rsidR="00C653DB" w:rsidRPr="00C653DB">
        <w:rPr>
          <w:rFonts w:asciiTheme="minorHAnsi" w:eastAsiaTheme="minorHAnsi" w:hAnsiTheme="minorHAnsi" w:cstheme="minorHAnsi"/>
          <w:color w:val="000000" w:themeColor="text1"/>
          <w:sz w:val="22"/>
          <w:szCs w:val="22"/>
          <w:lang w:eastAsia="en-US"/>
        </w:rPr>
        <w:t xml:space="preserve"> </w:t>
      </w:r>
    </w:p>
    <w:p w14:paraId="0FB3CCC7" w14:textId="38A48836" w:rsidR="00C653DB" w:rsidRPr="005C6096" w:rsidRDefault="00C653DB" w:rsidP="00101A53">
      <w:pPr>
        <w:pStyle w:val="NormalWeb"/>
        <w:spacing w:before="80" w:beforeAutospacing="0" w:after="80" w:afterAutospacing="0" w:line="240" w:lineRule="auto"/>
        <w:rPr>
          <w:rFonts w:asciiTheme="minorHAnsi" w:eastAsiaTheme="minorHAnsi" w:hAnsiTheme="minorHAnsi" w:cstheme="minorHAnsi"/>
          <w:color w:val="000000" w:themeColor="text1"/>
          <w:sz w:val="22"/>
          <w:szCs w:val="22"/>
          <w:lang w:eastAsia="en-US"/>
        </w:rPr>
      </w:pPr>
      <w:r w:rsidRPr="005C6096">
        <w:rPr>
          <w:rFonts w:asciiTheme="minorHAnsi" w:eastAsiaTheme="minorHAnsi" w:hAnsiTheme="minorHAnsi" w:cstheme="minorHAnsi"/>
          <w:color w:val="000000" w:themeColor="text1"/>
          <w:sz w:val="22"/>
          <w:szCs w:val="22"/>
          <w:lang w:eastAsia="en-US"/>
        </w:rPr>
        <w:t xml:space="preserve">In the subsequent chapters, the seven assessment questions set out in the Australian Government Impact Analysis </w:t>
      </w:r>
      <w:r w:rsidR="00D73C1F">
        <w:rPr>
          <w:rFonts w:asciiTheme="minorHAnsi" w:eastAsiaTheme="minorHAnsi" w:hAnsiTheme="minorHAnsi" w:cstheme="minorHAnsi"/>
          <w:color w:val="000000" w:themeColor="text1"/>
          <w:sz w:val="22"/>
          <w:szCs w:val="22"/>
          <w:lang w:eastAsia="en-US"/>
        </w:rPr>
        <w:t xml:space="preserve">Framework </w:t>
      </w:r>
      <w:r w:rsidRPr="005C6096">
        <w:rPr>
          <w:rFonts w:asciiTheme="minorHAnsi" w:eastAsiaTheme="minorHAnsi" w:hAnsiTheme="minorHAnsi" w:cstheme="minorHAnsi"/>
          <w:color w:val="000000" w:themeColor="text1"/>
          <w:sz w:val="22"/>
          <w:szCs w:val="22"/>
          <w:lang w:eastAsia="en-US"/>
        </w:rPr>
        <w:t>(202</w:t>
      </w:r>
      <w:r w:rsidR="00D73C1F">
        <w:rPr>
          <w:rFonts w:asciiTheme="minorHAnsi" w:eastAsiaTheme="minorHAnsi" w:hAnsiTheme="minorHAnsi" w:cstheme="minorHAnsi"/>
          <w:color w:val="000000" w:themeColor="text1"/>
          <w:sz w:val="22"/>
          <w:szCs w:val="22"/>
          <w:lang w:eastAsia="en-US"/>
        </w:rPr>
        <w:t>6</w:t>
      </w:r>
      <w:r w:rsidRPr="005C6096">
        <w:rPr>
          <w:rFonts w:asciiTheme="minorHAnsi" w:eastAsiaTheme="minorHAnsi" w:hAnsiTheme="minorHAnsi" w:cstheme="minorHAnsi"/>
          <w:color w:val="000000" w:themeColor="text1"/>
          <w:sz w:val="22"/>
          <w:szCs w:val="22"/>
          <w:lang w:eastAsia="en-US"/>
        </w:rPr>
        <w:t>) have been addressed</w:t>
      </w:r>
      <w:r>
        <w:rPr>
          <w:rFonts w:asciiTheme="minorHAnsi" w:eastAsiaTheme="minorHAnsi" w:hAnsiTheme="minorHAnsi" w:cstheme="minorHAnsi"/>
          <w:color w:val="000000" w:themeColor="text1"/>
          <w:sz w:val="22"/>
          <w:szCs w:val="22"/>
          <w:lang w:eastAsia="en-US"/>
        </w:rPr>
        <w:t>:</w:t>
      </w:r>
    </w:p>
    <w:p w14:paraId="12943BB1" w14:textId="766FF6AC" w:rsidR="001E2232" w:rsidRPr="00E321E8" w:rsidRDefault="001E2232" w:rsidP="00101A53">
      <w:pPr>
        <w:pStyle w:val="ListParagraph"/>
        <w:numPr>
          <w:ilvl w:val="0"/>
          <w:numId w:val="65"/>
        </w:numPr>
        <w:tabs>
          <w:tab w:val="left" w:pos="720"/>
          <w:tab w:val="left" w:pos="851"/>
        </w:tabs>
        <w:suppressAutoHyphens w:val="0"/>
        <w:spacing w:before="80"/>
        <w:contextualSpacing w:val="0"/>
        <w:rPr>
          <w:rFonts w:cstheme="minorHAnsi"/>
        </w:rPr>
      </w:pPr>
      <w:r w:rsidRPr="00E321E8">
        <w:rPr>
          <w:rFonts w:cstheme="minorHAnsi"/>
        </w:rPr>
        <w:t xml:space="preserve">What is the </w:t>
      </w:r>
      <w:r w:rsidR="00922D22">
        <w:rPr>
          <w:rFonts w:cstheme="minorHAnsi"/>
        </w:rPr>
        <w:t xml:space="preserve">policy </w:t>
      </w:r>
      <w:r w:rsidRPr="00E321E8">
        <w:rPr>
          <w:rFonts w:cstheme="minorHAnsi"/>
        </w:rPr>
        <w:t xml:space="preserve">problem and what data </w:t>
      </w:r>
      <w:r w:rsidR="00D73C1F">
        <w:rPr>
          <w:rFonts w:cstheme="minorHAnsi"/>
        </w:rPr>
        <w:t>are</w:t>
      </w:r>
      <w:r w:rsidR="00D73C1F" w:rsidRPr="00E321E8">
        <w:rPr>
          <w:rFonts w:cstheme="minorHAnsi"/>
        </w:rPr>
        <w:t xml:space="preserve"> </w:t>
      </w:r>
      <w:r w:rsidRPr="00E321E8">
        <w:rPr>
          <w:rFonts w:cstheme="minorHAnsi"/>
        </w:rPr>
        <w:t>available?</w:t>
      </w:r>
    </w:p>
    <w:p w14:paraId="5BC2B211" w14:textId="333B6FCC" w:rsidR="001E2232" w:rsidRPr="00E321E8" w:rsidRDefault="001E2232" w:rsidP="00101A53">
      <w:pPr>
        <w:pStyle w:val="ListParagraph"/>
        <w:numPr>
          <w:ilvl w:val="0"/>
          <w:numId w:val="65"/>
        </w:numPr>
        <w:tabs>
          <w:tab w:val="left" w:pos="720"/>
          <w:tab w:val="left" w:pos="851"/>
        </w:tabs>
        <w:suppressAutoHyphens w:val="0"/>
        <w:spacing w:before="80"/>
        <w:contextualSpacing w:val="0"/>
        <w:rPr>
          <w:rFonts w:cstheme="minorHAnsi"/>
        </w:rPr>
      </w:pPr>
      <w:r w:rsidRPr="00E321E8">
        <w:rPr>
          <w:rFonts w:cstheme="minorHAnsi"/>
        </w:rPr>
        <w:t xml:space="preserve">What are the </w:t>
      </w:r>
      <w:r w:rsidR="00922D22">
        <w:rPr>
          <w:rFonts w:cstheme="minorHAnsi"/>
        </w:rPr>
        <w:t xml:space="preserve">policy </w:t>
      </w:r>
      <w:r w:rsidRPr="00E321E8">
        <w:rPr>
          <w:rFonts w:cstheme="minorHAnsi"/>
        </w:rPr>
        <w:t>objectives, why is government intervention needed to achieve them, and how will success be measured?</w:t>
      </w:r>
    </w:p>
    <w:p w14:paraId="57361BED" w14:textId="40572D14" w:rsidR="001E2232" w:rsidRPr="00E321E8" w:rsidRDefault="001E2232" w:rsidP="00101A53">
      <w:pPr>
        <w:pStyle w:val="ListParagraph"/>
        <w:numPr>
          <w:ilvl w:val="0"/>
          <w:numId w:val="65"/>
        </w:numPr>
        <w:tabs>
          <w:tab w:val="left" w:pos="720"/>
          <w:tab w:val="left" w:pos="851"/>
        </w:tabs>
        <w:suppressAutoHyphens w:val="0"/>
        <w:spacing w:before="80"/>
        <w:contextualSpacing w:val="0"/>
        <w:rPr>
          <w:rFonts w:cstheme="minorHAnsi"/>
        </w:rPr>
      </w:pPr>
      <w:r w:rsidRPr="00E321E8">
        <w:rPr>
          <w:rFonts w:cstheme="minorHAnsi"/>
        </w:rPr>
        <w:t xml:space="preserve">What policy options are </w:t>
      </w:r>
      <w:r w:rsidR="00922D22">
        <w:rPr>
          <w:rFonts w:cstheme="minorHAnsi"/>
        </w:rPr>
        <w:t>being</w:t>
      </w:r>
      <w:r w:rsidR="00922D22" w:rsidRPr="00E321E8">
        <w:rPr>
          <w:rFonts w:cstheme="minorHAnsi"/>
        </w:rPr>
        <w:t xml:space="preserve"> </w:t>
      </w:r>
      <w:r w:rsidRPr="00E321E8">
        <w:rPr>
          <w:rFonts w:cstheme="minorHAnsi"/>
        </w:rPr>
        <w:t>considering?</w:t>
      </w:r>
    </w:p>
    <w:p w14:paraId="51DA4690" w14:textId="4FA30D5B" w:rsidR="001E2232" w:rsidRDefault="001E2232" w:rsidP="00101A53">
      <w:pPr>
        <w:pStyle w:val="ListParagraph"/>
        <w:numPr>
          <w:ilvl w:val="0"/>
          <w:numId w:val="65"/>
        </w:numPr>
        <w:tabs>
          <w:tab w:val="left" w:pos="720"/>
          <w:tab w:val="left" w:pos="851"/>
        </w:tabs>
        <w:suppressAutoHyphens w:val="0"/>
        <w:spacing w:before="80"/>
        <w:contextualSpacing w:val="0"/>
        <w:rPr>
          <w:rFonts w:cstheme="minorHAnsi"/>
        </w:rPr>
      </w:pPr>
      <w:r w:rsidRPr="00E321E8">
        <w:rPr>
          <w:rFonts w:cstheme="minorHAnsi"/>
        </w:rPr>
        <w:t xml:space="preserve">What is the likely net benefit of </w:t>
      </w:r>
      <w:r w:rsidR="005246BF">
        <w:rPr>
          <w:rFonts w:cstheme="minorHAnsi"/>
        </w:rPr>
        <w:t>the</w:t>
      </w:r>
      <w:r w:rsidRPr="00E321E8">
        <w:rPr>
          <w:rFonts w:cstheme="minorHAnsi"/>
        </w:rPr>
        <w:t xml:space="preserve"> option?</w:t>
      </w:r>
    </w:p>
    <w:p w14:paraId="38B33873" w14:textId="0943F3CB" w:rsidR="00796951" w:rsidRDefault="00922D22" w:rsidP="00101A53">
      <w:pPr>
        <w:pStyle w:val="ListParagraph"/>
        <w:numPr>
          <w:ilvl w:val="0"/>
          <w:numId w:val="65"/>
        </w:numPr>
        <w:tabs>
          <w:tab w:val="left" w:pos="720"/>
          <w:tab w:val="left" w:pos="851"/>
        </w:tabs>
        <w:suppressAutoHyphens w:val="0"/>
        <w:spacing w:before="80"/>
        <w:contextualSpacing w:val="0"/>
        <w:rPr>
          <w:rFonts w:cstheme="minorHAnsi"/>
        </w:rPr>
      </w:pPr>
      <w:r>
        <w:rPr>
          <w:rFonts w:cstheme="minorHAnsi"/>
        </w:rPr>
        <w:t>What</w:t>
      </w:r>
      <w:r w:rsidR="00796951">
        <w:rPr>
          <w:rFonts w:cstheme="minorHAnsi"/>
        </w:rPr>
        <w:t xml:space="preserve"> consult</w:t>
      </w:r>
      <w:r>
        <w:rPr>
          <w:rFonts w:cstheme="minorHAnsi"/>
        </w:rPr>
        <w:t>ation was undertaken</w:t>
      </w:r>
      <w:r w:rsidR="00796951">
        <w:rPr>
          <w:rFonts w:cstheme="minorHAnsi"/>
        </w:rPr>
        <w:t xml:space="preserve"> and how </w:t>
      </w:r>
      <w:r>
        <w:rPr>
          <w:rFonts w:cstheme="minorHAnsi"/>
        </w:rPr>
        <w:t>was feedback</w:t>
      </w:r>
      <w:r w:rsidR="00796951">
        <w:rPr>
          <w:rFonts w:cstheme="minorHAnsi"/>
        </w:rPr>
        <w:t xml:space="preserve"> incorporate</w:t>
      </w:r>
      <w:r>
        <w:rPr>
          <w:rFonts w:cstheme="minorHAnsi"/>
        </w:rPr>
        <w:t>d</w:t>
      </w:r>
      <w:r w:rsidR="00796951">
        <w:rPr>
          <w:rFonts w:cstheme="minorHAnsi"/>
        </w:rPr>
        <w:t xml:space="preserve"> </w:t>
      </w:r>
      <w:r>
        <w:rPr>
          <w:rFonts w:cstheme="minorHAnsi"/>
        </w:rPr>
        <w:t>into the policy design</w:t>
      </w:r>
      <w:r w:rsidR="00796951">
        <w:rPr>
          <w:rFonts w:cstheme="minorHAnsi"/>
        </w:rPr>
        <w:t>?</w:t>
      </w:r>
    </w:p>
    <w:p w14:paraId="1A051D60" w14:textId="0EEC5BA9" w:rsidR="00796951" w:rsidRDefault="00796951" w:rsidP="00101A53">
      <w:pPr>
        <w:pStyle w:val="ListParagraph"/>
        <w:numPr>
          <w:ilvl w:val="0"/>
          <w:numId w:val="65"/>
        </w:numPr>
        <w:tabs>
          <w:tab w:val="left" w:pos="720"/>
          <w:tab w:val="left" w:pos="851"/>
        </w:tabs>
        <w:suppressAutoHyphens w:val="0"/>
        <w:spacing w:before="80"/>
        <w:ind w:left="357" w:hanging="357"/>
        <w:contextualSpacing w:val="0"/>
        <w:rPr>
          <w:rFonts w:cstheme="minorHAnsi"/>
        </w:rPr>
      </w:pPr>
      <w:r>
        <w:rPr>
          <w:rFonts w:cstheme="minorHAnsi"/>
        </w:rPr>
        <w:t xml:space="preserve">What is the best </w:t>
      </w:r>
      <w:r w:rsidR="00922D22">
        <w:rPr>
          <w:rFonts w:cstheme="minorHAnsi"/>
        </w:rPr>
        <w:t xml:space="preserve">policy </w:t>
      </w:r>
      <w:r>
        <w:rPr>
          <w:rFonts w:cstheme="minorHAnsi"/>
        </w:rPr>
        <w:t>option and how will it be implemented?</w:t>
      </w:r>
    </w:p>
    <w:p w14:paraId="62937FBC" w14:textId="39A7920C" w:rsidR="006319DF" w:rsidRDefault="00796951" w:rsidP="00101A53">
      <w:pPr>
        <w:pStyle w:val="ListParagraph"/>
        <w:numPr>
          <w:ilvl w:val="0"/>
          <w:numId w:val="65"/>
        </w:numPr>
        <w:tabs>
          <w:tab w:val="left" w:pos="720"/>
          <w:tab w:val="left" w:pos="851"/>
        </w:tabs>
        <w:suppressAutoHyphens w:val="0"/>
        <w:spacing w:before="80"/>
        <w:contextualSpacing w:val="0"/>
        <w:rPr>
          <w:rFonts w:cstheme="minorHAnsi"/>
        </w:rPr>
      </w:pPr>
      <w:r>
        <w:rPr>
          <w:rFonts w:cstheme="minorHAnsi"/>
        </w:rPr>
        <w:t xml:space="preserve">How will </w:t>
      </w:r>
      <w:r w:rsidR="00D73C1F">
        <w:rPr>
          <w:rFonts w:cstheme="minorHAnsi"/>
        </w:rPr>
        <w:t>the policy be monitored and evaluated</w:t>
      </w:r>
      <w:r>
        <w:rPr>
          <w:rFonts w:cstheme="minorHAnsi"/>
        </w:rPr>
        <w:t>?</w:t>
      </w:r>
      <w:r w:rsidR="006319DF">
        <w:rPr>
          <w:rFonts w:cstheme="minorHAnsi"/>
        </w:rPr>
        <w:br w:type="page"/>
      </w:r>
    </w:p>
    <w:p w14:paraId="0972E54C" w14:textId="6A23E7C2" w:rsidR="00AD7703" w:rsidRPr="00AD7703" w:rsidRDefault="007F6504" w:rsidP="00A070A2">
      <w:pPr>
        <w:pStyle w:val="Heading1Numbered"/>
      </w:pPr>
      <w:bookmarkStart w:id="8" w:name="_Toc236825136"/>
      <w:r>
        <w:lastRenderedPageBreak/>
        <w:t xml:space="preserve">What is the </w:t>
      </w:r>
      <w:r w:rsidR="00FB43C4">
        <w:t xml:space="preserve">policy </w:t>
      </w:r>
      <w:r>
        <w:t>problem</w:t>
      </w:r>
      <w:r w:rsidR="00FB43C4">
        <w:t xml:space="preserve"> and what data </w:t>
      </w:r>
      <w:r w:rsidR="00D73C1F">
        <w:t xml:space="preserve">are </w:t>
      </w:r>
      <w:r w:rsidR="00FB43C4">
        <w:t>available</w:t>
      </w:r>
      <w:r>
        <w:t>?</w:t>
      </w:r>
      <w:bookmarkEnd w:id="8"/>
    </w:p>
    <w:p w14:paraId="0CEA0ADB" w14:textId="77777777" w:rsidR="006B6275" w:rsidRDefault="003C1BDB" w:rsidP="003C1BDB">
      <w:r>
        <w:t xml:space="preserve">Radio services are, and will remain, important in achieving media policy objectives: an informed citizenry; a strong and vibrant democracy; and engaged and cohesive local communities. </w:t>
      </w:r>
    </w:p>
    <w:p w14:paraId="7EBE9438" w14:textId="1536E8F7" w:rsidR="003C1BDB" w:rsidRPr="006B6275" w:rsidRDefault="003C1BDB" w:rsidP="003C1BDB">
      <w:pPr>
        <w:rPr>
          <w:rFonts w:ascii="Calibri" w:eastAsia="Calibri" w:hAnsi="Calibri" w:cs="Times New Roman"/>
        </w:rPr>
      </w:pPr>
      <w:r>
        <w:t xml:space="preserve">However, the way that these services are accessed and consumed by Australian listeners is changing. A key feature of these changes has been the take-up of </w:t>
      </w:r>
      <w:r w:rsidR="001B2F76">
        <w:t xml:space="preserve">smart speakers: </w:t>
      </w:r>
      <w:r w:rsidR="0032208C">
        <w:rPr>
          <w:rFonts w:ascii="Calibri" w:eastAsia="Calibri" w:hAnsi="Calibri" w:cs="Times New Roman"/>
        </w:rPr>
        <w:t>internet enabled devices comprising a speaker and microphone which can operate independently of other internet devices</w:t>
      </w:r>
      <w:r w:rsidR="00F454A9">
        <w:rPr>
          <w:rFonts w:ascii="Calibri" w:eastAsia="Calibri" w:hAnsi="Calibri" w:cs="Times New Roman"/>
        </w:rPr>
        <w:t>. These devices</w:t>
      </w:r>
      <w:r w:rsidRPr="00160006">
        <w:t xml:space="preserve"> </w:t>
      </w:r>
      <w:r w:rsidR="00F454A9" w:rsidRPr="00D73C1F">
        <w:t>were</w:t>
      </w:r>
      <w:r w:rsidRPr="00160006">
        <w:t xml:space="preserve"> found in 32</w:t>
      </w:r>
      <w:r w:rsidR="008F1A44" w:rsidRPr="00160006">
        <w:t>%</w:t>
      </w:r>
      <w:r w:rsidRPr="00160006">
        <w:t xml:space="preserve"> of Australian households</w:t>
      </w:r>
      <w:r w:rsidR="00F454A9" w:rsidRPr="00D73C1F">
        <w:t xml:space="preserve"> in 2022</w:t>
      </w:r>
      <w:r w:rsidR="006B6275">
        <w:t>.</w:t>
      </w:r>
      <w:r w:rsidRPr="00160006">
        <w:rPr>
          <w:rStyle w:val="FootnoteReference"/>
          <w:rFonts w:ascii="Calibri" w:eastAsia="Calibri" w:hAnsi="Calibri" w:cs="Times New Roman"/>
        </w:rPr>
        <w:footnoteReference w:id="6"/>
      </w:r>
      <w:r w:rsidR="009D2568" w:rsidRPr="00D830A4">
        <w:t xml:space="preserve"> </w:t>
      </w:r>
    </w:p>
    <w:p w14:paraId="53F1C5B5" w14:textId="76F218A1" w:rsidR="009636ED" w:rsidRDefault="009636ED" w:rsidP="009636ED">
      <w:r>
        <w:t>Historically, Australian radio services have received ‘prominence’ on dedicated radio devices. These devices either exclusively or primarily use radio frequency tuners to access radio broadcasts, with a physical interface allowing direct control by users. Smart speakers do not provide equivalent direct access to radio services</w:t>
      </w:r>
      <w:r w:rsidR="00C13710">
        <w:t xml:space="preserve">. Instead, they are </w:t>
      </w:r>
      <w:r w:rsidR="006B6275">
        <w:t xml:space="preserve">typically </w:t>
      </w:r>
      <w:r>
        <w:t>operated by voice assistant</w:t>
      </w:r>
      <w:r w:rsidR="001B2F76">
        <w:t>s that respon</w:t>
      </w:r>
      <w:r w:rsidR="006B6275">
        <w:t>d</w:t>
      </w:r>
      <w:r w:rsidR="001B2F76">
        <w:t xml:space="preserve"> to user commands: </w:t>
      </w:r>
      <w:r w:rsidR="00D76383">
        <w:t>a consumer asks for a radio service, and the voice assistant prompt</w:t>
      </w:r>
      <w:r w:rsidR="00001C2F">
        <w:t>s</w:t>
      </w:r>
      <w:r w:rsidR="00D76383">
        <w:t xml:space="preserve"> the device to play that service.</w:t>
      </w:r>
    </w:p>
    <w:p w14:paraId="0C4E3C5D" w14:textId="3A2C7C2D" w:rsidR="00D0009F" w:rsidRDefault="000A55BC" w:rsidP="00E4133D">
      <w:r>
        <w:t xml:space="preserve">The accuracy with which voice assistant </w:t>
      </w:r>
      <w:r w:rsidR="00DF36E8">
        <w:t>software</w:t>
      </w:r>
      <w:r>
        <w:t xml:space="preserve"> </w:t>
      </w:r>
      <w:r w:rsidR="00001C2F">
        <w:t xml:space="preserve">actions these requests </w:t>
      </w:r>
      <w:r>
        <w:t xml:space="preserve">is therefore the key determinant of whether a user </w:t>
      </w:r>
      <w:r w:rsidR="00E209F3">
        <w:t>can</w:t>
      </w:r>
      <w:r>
        <w:t xml:space="preserve"> access the service they are seeking on a smart speaker. Australian broadcasters report that there has been significant variation over time in the extent to </w:t>
      </w:r>
      <w:r w:rsidR="00D0009F">
        <w:t xml:space="preserve">which </w:t>
      </w:r>
      <w:r>
        <w:t xml:space="preserve">voice assistant </w:t>
      </w:r>
      <w:r w:rsidR="00DF36E8">
        <w:t>software</w:t>
      </w:r>
      <w:r>
        <w:t xml:space="preserve"> accurately play</w:t>
      </w:r>
      <w:r w:rsidR="00DF36E8">
        <w:t>s</w:t>
      </w:r>
      <w:r>
        <w:t xml:space="preserve"> their services in response to user requests on smart speakers.</w:t>
      </w:r>
    </w:p>
    <w:p w14:paraId="1619326F" w14:textId="0DA6F8D0" w:rsidR="00E4133D" w:rsidRDefault="00D0009F" w:rsidP="00E4133D">
      <w:r>
        <w:t>If responses are not accurate</w:t>
      </w:r>
      <w:r w:rsidR="00001C2F">
        <w:t>,</w:t>
      </w:r>
      <w:r w:rsidR="001276CF">
        <w:t xml:space="preserve"> or </w:t>
      </w:r>
      <w:r w:rsidR="00001C2F">
        <w:t>if</w:t>
      </w:r>
      <w:r w:rsidR="001276CF">
        <w:t xml:space="preserve"> </w:t>
      </w:r>
      <w:r w:rsidR="0023786C">
        <w:t xml:space="preserve">services </w:t>
      </w:r>
      <w:r w:rsidR="001276CF">
        <w:t>are unavailable</w:t>
      </w:r>
      <w:r>
        <w:t xml:space="preserve">, Australian listeners </w:t>
      </w:r>
      <w:r w:rsidR="00D63FEB">
        <w:t xml:space="preserve">will </w:t>
      </w:r>
      <w:r w:rsidR="006B6275">
        <w:t>have more limited opportunities to</w:t>
      </w:r>
      <w:r>
        <w:t xml:space="preserve"> access to local radio services</w:t>
      </w:r>
      <w:r w:rsidR="001276CF">
        <w:t xml:space="preserve"> that inform and entertain</w:t>
      </w:r>
      <w:r>
        <w:t xml:space="preserve">. </w:t>
      </w:r>
      <w:r w:rsidR="0023786C">
        <w:t>These services provide</w:t>
      </w:r>
      <w:r w:rsidR="001276CF">
        <w:t xml:space="preserve"> access </w:t>
      </w:r>
      <w:r w:rsidR="00D63FEB">
        <w:t xml:space="preserve">to </w:t>
      </w:r>
      <w:r w:rsidR="001276CF">
        <w:t xml:space="preserve">weather forecasts, traffic reports and emergency updates, </w:t>
      </w:r>
      <w:r w:rsidR="0023786C">
        <w:t xml:space="preserve">as well as </w:t>
      </w:r>
      <w:r w:rsidR="001276CF">
        <w:t xml:space="preserve">local </w:t>
      </w:r>
      <w:r w:rsidR="0023786C">
        <w:t xml:space="preserve">and national </w:t>
      </w:r>
      <w:r w:rsidR="001276CF">
        <w:t>news</w:t>
      </w:r>
      <w:r w:rsidR="0013108C">
        <w:t>.</w:t>
      </w:r>
      <w:r w:rsidDel="001276CF">
        <w:t xml:space="preserve"> </w:t>
      </w:r>
      <w:r w:rsidR="00B37D38">
        <w:t xml:space="preserve">They are subject to regulation under the </w:t>
      </w:r>
      <w:r w:rsidR="00B37D38" w:rsidRPr="004E6882">
        <w:rPr>
          <w:i/>
        </w:rPr>
        <w:t>Broadcasting Services Act 1992</w:t>
      </w:r>
      <w:r w:rsidR="00B37D38">
        <w:t xml:space="preserve"> in relation to a range of matters, including </w:t>
      </w:r>
      <w:r w:rsidR="00001C2F">
        <w:t xml:space="preserve">the planning of radio services to broadcast in certain areas (licence areas), and the provision </w:t>
      </w:r>
      <w:r w:rsidR="00DF0967">
        <w:t>of</w:t>
      </w:r>
      <w:r w:rsidR="00B37D38">
        <w:t xml:space="preserve"> </w:t>
      </w:r>
      <w:r w:rsidR="00001C2F">
        <w:t xml:space="preserve">certain content (including local content). </w:t>
      </w:r>
      <w:r w:rsidR="00B37D38">
        <w:t xml:space="preserve">However, these frameworks do not cover the </w:t>
      </w:r>
      <w:r w:rsidR="00D63FEB">
        <w:t xml:space="preserve">operation or technical specifications for smart speakers. </w:t>
      </w:r>
      <w:r w:rsidR="0040427A">
        <w:t xml:space="preserve"> </w:t>
      </w:r>
    </w:p>
    <w:p w14:paraId="06A2D720" w14:textId="6C438F0E" w:rsidR="00676D1B" w:rsidRDefault="00676D1B" w:rsidP="000B1BF9">
      <w:pPr>
        <w:pStyle w:val="Heading2Numbered"/>
      </w:pPr>
      <w:bookmarkStart w:id="9" w:name="_Toc236825137"/>
      <w:r>
        <w:t>Definition of prominence</w:t>
      </w:r>
      <w:bookmarkEnd w:id="9"/>
    </w:p>
    <w:p w14:paraId="5E94632C" w14:textId="0394D486" w:rsidR="00001C2F" w:rsidRDefault="00081B72" w:rsidP="00101A53">
      <w:pPr>
        <w:spacing w:before="80"/>
        <w:rPr>
          <w:lang w:val="en-US"/>
        </w:rPr>
      </w:pPr>
      <w:r>
        <w:rPr>
          <w:lang w:val="en-US"/>
        </w:rPr>
        <w:t>Broadly</w:t>
      </w:r>
      <w:r w:rsidR="00001C2F">
        <w:rPr>
          <w:lang w:val="en-US"/>
        </w:rPr>
        <w:t>,</w:t>
      </w:r>
      <w:r>
        <w:rPr>
          <w:lang w:val="en-US"/>
        </w:rPr>
        <w:t xml:space="preserve"> radio prominence </w:t>
      </w:r>
      <w:r w:rsidR="005F45DA">
        <w:rPr>
          <w:lang w:val="en-US"/>
        </w:rPr>
        <w:t>refers to</w:t>
      </w:r>
      <w:r w:rsidR="0056365F">
        <w:rPr>
          <w:lang w:val="en-US"/>
        </w:rPr>
        <w:t xml:space="preserve"> </w:t>
      </w:r>
      <w:r w:rsidR="00814BE1">
        <w:rPr>
          <w:lang w:val="en-US"/>
        </w:rPr>
        <w:t xml:space="preserve">the ability of users of internet enabled audio devices to access local radio services via voice commands. </w:t>
      </w:r>
      <w:r w:rsidR="00001C2F">
        <w:rPr>
          <w:lang w:val="en-US"/>
        </w:rPr>
        <w:t>Specifically</w:t>
      </w:r>
      <w:r w:rsidR="00814BE1">
        <w:rPr>
          <w:lang w:val="en-US"/>
        </w:rPr>
        <w:t xml:space="preserve">, it refers to the accuracy with which voice assistant </w:t>
      </w:r>
      <w:r w:rsidR="0029578C">
        <w:rPr>
          <w:lang w:val="en-US"/>
        </w:rPr>
        <w:t>software</w:t>
      </w:r>
      <w:r w:rsidR="00814BE1">
        <w:rPr>
          <w:lang w:val="en-US"/>
        </w:rPr>
        <w:t xml:space="preserve"> respond</w:t>
      </w:r>
      <w:r w:rsidR="0029578C">
        <w:rPr>
          <w:lang w:val="en-US"/>
        </w:rPr>
        <w:t>s</w:t>
      </w:r>
      <w:r w:rsidR="00814BE1">
        <w:rPr>
          <w:lang w:val="en-US"/>
        </w:rPr>
        <w:t xml:space="preserve"> to these commands.</w:t>
      </w:r>
      <w:r w:rsidR="00001C2F">
        <w:rPr>
          <w:lang w:val="en-US"/>
        </w:rPr>
        <w:t xml:space="preserve"> </w:t>
      </w:r>
    </w:p>
    <w:p w14:paraId="7C2883D0" w14:textId="1CBCEBA5" w:rsidR="00814BE1" w:rsidRDefault="00001C2F" w:rsidP="00101A53">
      <w:pPr>
        <w:spacing w:before="80"/>
        <w:rPr>
          <w:lang w:val="en-US"/>
        </w:rPr>
      </w:pPr>
      <w:r>
        <w:rPr>
          <w:lang w:val="en-US"/>
        </w:rPr>
        <w:t>As noted above, A</w:t>
      </w:r>
      <w:r w:rsidR="00814BE1">
        <w:rPr>
          <w:lang w:val="en-US"/>
        </w:rPr>
        <w:t xml:space="preserve">ustralian radio services have historically been afforded prominence for their AM and FM services through in-home and in-car radios. These devices required the user to ‘tune-in’ to </w:t>
      </w:r>
      <w:r w:rsidR="003C25FE">
        <w:rPr>
          <w:lang w:val="en-US"/>
        </w:rPr>
        <w:t>locally specific</w:t>
      </w:r>
      <w:r w:rsidR="00814BE1">
        <w:rPr>
          <w:lang w:val="en-US"/>
        </w:rPr>
        <w:t xml:space="preserve"> radio frequencies and could be set to </w:t>
      </w:r>
      <w:proofErr w:type="gramStart"/>
      <w:r w:rsidR="00814BE1">
        <w:rPr>
          <w:lang w:val="en-US"/>
        </w:rPr>
        <w:t>particular radio</w:t>
      </w:r>
      <w:proofErr w:type="gramEnd"/>
      <w:r w:rsidR="00814BE1">
        <w:rPr>
          <w:lang w:val="en-US"/>
        </w:rPr>
        <w:t xml:space="preserve"> stations. In </w:t>
      </w:r>
      <w:r w:rsidR="004F0DCB">
        <w:rPr>
          <w:lang w:val="en-US"/>
        </w:rPr>
        <w:t>the</w:t>
      </w:r>
      <w:r w:rsidR="00814BE1">
        <w:rPr>
          <w:lang w:val="en-US"/>
        </w:rPr>
        <w:t xml:space="preserve"> pre-internet era, AM and FM radio services were the only live audio options available to consumers.</w:t>
      </w:r>
    </w:p>
    <w:p w14:paraId="3955C8FC" w14:textId="323A2EBC" w:rsidR="00814BE1" w:rsidRDefault="00001C2F" w:rsidP="00101A53">
      <w:pPr>
        <w:spacing w:before="80"/>
        <w:rPr>
          <w:lang w:val="en-US"/>
        </w:rPr>
      </w:pPr>
      <w:r>
        <w:rPr>
          <w:lang w:val="en-US"/>
        </w:rPr>
        <w:t xml:space="preserve">In this regard, radio was a </w:t>
      </w:r>
      <w:r w:rsidR="00814BE1">
        <w:rPr>
          <w:lang w:val="en-US"/>
        </w:rPr>
        <w:t>‘passively mediated’ means of accessing radio content, where the device is simply a conduit for access to a radio station. The device has little control over the form of access, and no control at all over the content (other than sound quality and volume).</w:t>
      </w:r>
    </w:p>
    <w:p w14:paraId="6A3CBEC5" w14:textId="31BCD5D1" w:rsidR="00676D1B" w:rsidRDefault="00676D1B" w:rsidP="00101A53">
      <w:pPr>
        <w:spacing w:before="80"/>
        <w:rPr>
          <w:lang w:val="en-US"/>
        </w:rPr>
      </w:pPr>
      <w:r>
        <w:rPr>
          <w:lang w:val="en-US"/>
        </w:rPr>
        <w:t>This outcome was a product of market factors and not the result of the regulation of radio reception equipment. This was a mutually beneficial arrangement for radio broadcasters, consumers</w:t>
      </w:r>
      <w:r w:rsidR="0043482D">
        <w:rPr>
          <w:lang w:val="en-US"/>
        </w:rPr>
        <w:t>,</w:t>
      </w:r>
      <w:r>
        <w:rPr>
          <w:lang w:val="en-US"/>
        </w:rPr>
        <w:t xml:space="preserve"> and automotive and electronics manufacturers</w:t>
      </w:r>
      <w:r w:rsidR="008A526F">
        <w:rPr>
          <w:lang w:val="en-US"/>
        </w:rPr>
        <w:t>.</w:t>
      </w:r>
      <w:r w:rsidR="003C25FE">
        <w:rPr>
          <w:lang w:val="en-US"/>
        </w:rPr>
        <w:t xml:space="preserve"> </w:t>
      </w:r>
      <w:r w:rsidR="00244EFA">
        <w:rPr>
          <w:lang w:val="en-US"/>
        </w:rPr>
        <w:t>In this environment, a</w:t>
      </w:r>
      <w:r w:rsidR="00E25275">
        <w:rPr>
          <w:lang w:val="en-US"/>
        </w:rPr>
        <w:t xml:space="preserve"> listener </w:t>
      </w:r>
      <w:r w:rsidR="003C25FE">
        <w:rPr>
          <w:lang w:val="en-US"/>
        </w:rPr>
        <w:t xml:space="preserve">‘tuning in’ </w:t>
      </w:r>
      <w:r w:rsidR="007F491E">
        <w:rPr>
          <w:lang w:val="en-US"/>
        </w:rPr>
        <w:t>on</w:t>
      </w:r>
      <w:r w:rsidR="003C25FE">
        <w:rPr>
          <w:lang w:val="en-US"/>
        </w:rPr>
        <w:t xml:space="preserve"> a car</w:t>
      </w:r>
      <w:r w:rsidR="007F491E">
        <w:rPr>
          <w:lang w:val="en-US"/>
        </w:rPr>
        <w:t xml:space="preserve"> stereo</w:t>
      </w:r>
      <w:r w:rsidR="003C25FE">
        <w:rPr>
          <w:lang w:val="en-US"/>
        </w:rPr>
        <w:t>, at the office or</w:t>
      </w:r>
      <w:r w:rsidR="007F491E">
        <w:rPr>
          <w:lang w:val="en-US"/>
        </w:rPr>
        <w:t xml:space="preserve"> in their</w:t>
      </w:r>
      <w:r w:rsidR="003C25FE">
        <w:rPr>
          <w:lang w:val="en-US"/>
        </w:rPr>
        <w:t xml:space="preserve"> home</w:t>
      </w:r>
      <w:r w:rsidR="00CA170B">
        <w:rPr>
          <w:lang w:val="en-US"/>
        </w:rPr>
        <w:t>,</w:t>
      </w:r>
      <w:r w:rsidR="003C25FE">
        <w:rPr>
          <w:lang w:val="en-US"/>
        </w:rPr>
        <w:t xml:space="preserve"> </w:t>
      </w:r>
      <w:r w:rsidR="00B005A8">
        <w:rPr>
          <w:lang w:val="en-US"/>
        </w:rPr>
        <w:t>can</w:t>
      </w:r>
      <w:r w:rsidR="00714E5B">
        <w:rPr>
          <w:lang w:val="en-US"/>
        </w:rPr>
        <w:t xml:space="preserve"> </w:t>
      </w:r>
      <w:r w:rsidR="003C25FE">
        <w:rPr>
          <w:lang w:val="en-US"/>
        </w:rPr>
        <w:t>expect to receive</w:t>
      </w:r>
      <w:r w:rsidR="0043482D">
        <w:rPr>
          <w:lang w:val="en-US"/>
        </w:rPr>
        <w:t xml:space="preserve"> </w:t>
      </w:r>
      <w:r w:rsidR="00244EFA">
        <w:rPr>
          <w:lang w:val="en-US"/>
        </w:rPr>
        <w:t xml:space="preserve">a </w:t>
      </w:r>
      <w:r w:rsidR="007F491E">
        <w:rPr>
          <w:lang w:val="en-US"/>
        </w:rPr>
        <w:t xml:space="preserve">reliable and </w:t>
      </w:r>
      <w:r w:rsidR="003C25FE">
        <w:rPr>
          <w:lang w:val="en-US"/>
        </w:rPr>
        <w:t xml:space="preserve">contemporaneous broadcast of </w:t>
      </w:r>
      <w:r w:rsidR="0043482D">
        <w:rPr>
          <w:lang w:val="en-US"/>
        </w:rPr>
        <w:t>Australian</w:t>
      </w:r>
      <w:r w:rsidR="003C25FE">
        <w:rPr>
          <w:lang w:val="en-US"/>
        </w:rPr>
        <w:t xml:space="preserve"> radio content</w:t>
      </w:r>
      <w:r w:rsidR="004E5B66">
        <w:rPr>
          <w:lang w:val="en-US"/>
        </w:rPr>
        <w:t xml:space="preserve"> of their choice</w:t>
      </w:r>
      <w:r w:rsidR="003C25FE">
        <w:rPr>
          <w:lang w:val="en-US"/>
        </w:rPr>
        <w:t>.</w:t>
      </w:r>
    </w:p>
    <w:p w14:paraId="6BFE64F6" w14:textId="77777777" w:rsidR="00CA170B" w:rsidRDefault="00CA170B" w:rsidP="00101A53">
      <w:pPr>
        <w:spacing w:before="80"/>
        <w:rPr>
          <w:lang w:val="en-US"/>
        </w:rPr>
      </w:pPr>
    </w:p>
    <w:p w14:paraId="376F7C7C" w14:textId="013D6E2D" w:rsidR="00676D1B" w:rsidRPr="00691D44" w:rsidRDefault="00B005A8" w:rsidP="00101A53">
      <w:pPr>
        <w:spacing w:before="80"/>
        <w:rPr>
          <w:rFonts w:ascii="Times New Roman" w:hAnsi="Times New Roman" w:cs="Times New Roman"/>
          <w:sz w:val="24"/>
          <w:szCs w:val="24"/>
          <w:lang w:eastAsia="en-AU"/>
        </w:rPr>
      </w:pPr>
      <w:r>
        <w:rPr>
          <w:lang w:val="en-US"/>
        </w:rPr>
        <w:lastRenderedPageBreak/>
        <w:t>The</w:t>
      </w:r>
      <w:r w:rsidR="00676D1B">
        <w:rPr>
          <w:lang w:val="en-US"/>
        </w:rPr>
        <w:t xml:space="preserve"> </w:t>
      </w:r>
      <w:r>
        <w:rPr>
          <w:lang w:val="en-US"/>
        </w:rPr>
        <w:t>increased use</w:t>
      </w:r>
      <w:r w:rsidR="00676D1B">
        <w:rPr>
          <w:lang w:val="en-US"/>
        </w:rPr>
        <w:t xml:space="preserve"> of internet-connected devices has changed the way </w:t>
      </w:r>
      <w:r>
        <w:rPr>
          <w:lang w:val="en-US"/>
        </w:rPr>
        <w:t xml:space="preserve">Australian </w:t>
      </w:r>
      <w:r w:rsidR="00676D1B">
        <w:rPr>
          <w:lang w:val="en-US"/>
        </w:rPr>
        <w:t xml:space="preserve">radio services </w:t>
      </w:r>
      <w:r>
        <w:rPr>
          <w:lang w:val="en-US"/>
        </w:rPr>
        <w:t>are</w:t>
      </w:r>
      <w:r w:rsidR="00676D1B">
        <w:rPr>
          <w:lang w:val="en-US"/>
        </w:rPr>
        <w:t xml:space="preserve"> accessed and consumed</w:t>
      </w:r>
      <w:r>
        <w:rPr>
          <w:lang w:val="en-US"/>
        </w:rPr>
        <w:t xml:space="preserve">. While traditional </w:t>
      </w:r>
      <w:r w:rsidR="00676D1B">
        <w:rPr>
          <w:lang w:val="en-US"/>
        </w:rPr>
        <w:t>radio</w:t>
      </w:r>
      <w:r>
        <w:rPr>
          <w:lang w:val="en-US"/>
        </w:rPr>
        <w:t xml:space="preserve"> broadcasts are still</w:t>
      </w:r>
      <w:r w:rsidR="00676D1B">
        <w:rPr>
          <w:lang w:val="en-US"/>
        </w:rPr>
        <w:t xml:space="preserve"> available</w:t>
      </w:r>
      <w:r>
        <w:rPr>
          <w:lang w:val="en-US"/>
        </w:rPr>
        <w:t>, listeners increasingly stream</w:t>
      </w:r>
      <w:r w:rsidR="00676D1B">
        <w:rPr>
          <w:lang w:val="en-US"/>
        </w:rPr>
        <w:t xml:space="preserve"> online </w:t>
      </w:r>
      <w:r>
        <w:rPr>
          <w:lang w:val="en-US"/>
        </w:rPr>
        <w:t>simulcasts</w:t>
      </w:r>
      <w:r w:rsidR="00676D1B">
        <w:rPr>
          <w:lang w:val="en-US"/>
        </w:rPr>
        <w:t>. Voice activation software is the key access mechanism for these devices, which was not a feature of traditional radios that operate using radiofrequency tuners. Internet</w:t>
      </w:r>
      <w:r w:rsidR="004F0DCB">
        <w:rPr>
          <w:lang w:val="en-US"/>
        </w:rPr>
        <w:t>-</w:t>
      </w:r>
      <w:r w:rsidR="00676D1B">
        <w:rPr>
          <w:lang w:val="en-US"/>
        </w:rPr>
        <w:t xml:space="preserve">enabled audio devices are </w:t>
      </w:r>
      <w:r w:rsidR="00676D1B">
        <w:t xml:space="preserve">‘actively mediating’ audio content (including radio content), with the capacity to facilitate (or alter, or </w:t>
      </w:r>
      <w:r w:rsidR="00001C2F">
        <w:t>not surface</w:t>
      </w:r>
      <w:r w:rsidR="00676D1B">
        <w:t>) the delivery of content from the provider to the listener. As a result, the prominence of</w:t>
      </w:r>
      <w:r>
        <w:t xml:space="preserve"> online</w:t>
      </w:r>
      <w:r w:rsidR="00676D1B">
        <w:t xml:space="preserve"> radio services is determined by the accuracy of the voice activation software </w:t>
      </w:r>
      <w:r w:rsidR="00001C2F">
        <w:t>responding to user requests.</w:t>
      </w:r>
      <w:r w:rsidR="00676D1B">
        <w:rPr>
          <w:rFonts w:ascii="Times New Roman" w:hAnsi="Times New Roman" w:cs="Times New Roman"/>
          <w:sz w:val="24"/>
          <w:szCs w:val="24"/>
          <w:lang w:eastAsia="en-AU"/>
        </w:rPr>
        <w:t xml:space="preserve"> </w:t>
      </w:r>
    </w:p>
    <w:p w14:paraId="371CB5F0" w14:textId="1B9BC6A9" w:rsidR="00864495" w:rsidRDefault="00864495" w:rsidP="00864495">
      <w:pPr>
        <w:pStyle w:val="Heading2Numbered"/>
      </w:pPr>
      <w:bookmarkStart w:id="10" w:name="_Toc236825138"/>
      <w:r>
        <w:t>Radio services remain central to Australia’s media policy objectives</w:t>
      </w:r>
      <w:bookmarkEnd w:id="10"/>
    </w:p>
    <w:p w14:paraId="637C92D9" w14:textId="648A76B2" w:rsidR="00864495" w:rsidRDefault="00864495" w:rsidP="00101A53">
      <w:pPr>
        <w:spacing w:before="80"/>
      </w:pPr>
      <w:r>
        <w:t>Australia’s radio</w:t>
      </w:r>
      <w:r w:rsidR="004F0DCB">
        <w:t xml:space="preserve"> sector provides</w:t>
      </w:r>
      <w:r>
        <w:t xml:space="preserve"> close to universal access to news and entertainment content through a combination of terrestrial broadcasting and services made available over the internet.</w:t>
      </w:r>
      <w:r w:rsidR="004F0DCB">
        <w:t xml:space="preserve"> </w:t>
      </w:r>
      <w:r w:rsidR="00547EBF">
        <w:t>Its</w:t>
      </w:r>
      <w:r w:rsidR="004F0DCB">
        <w:t xml:space="preserve"> ubiquity </w:t>
      </w:r>
      <w:r w:rsidR="00547EBF">
        <w:t>means that Australians still rely heavily on radio for news and information.</w:t>
      </w:r>
    </w:p>
    <w:p w14:paraId="3D1A86CB" w14:textId="28916776" w:rsidR="00864495" w:rsidRDefault="00864495" w:rsidP="00101A53">
      <w:pPr>
        <w:pStyle w:val="ListParagraph"/>
        <w:numPr>
          <w:ilvl w:val="0"/>
          <w:numId w:val="19"/>
        </w:numPr>
        <w:spacing w:before="80"/>
        <w:contextualSpacing w:val="0"/>
      </w:pPr>
      <w:r>
        <w:t>In 202</w:t>
      </w:r>
      <w:r w:rsidR="005B5A32">
        <w:t>4</w:t>
      </w:r>
      <w:r>
        <w:t xml:space="preserve">, radio was the medium by which </w:t>
      </w:r>
      <w:r w:rsidR="00BB3D12">
        <w:t>43</w:t>
      </w:r>
      <w:r w:rsidR="0066073C">
        <w:t>%</w:t>
      </w:r>
      <w:r>
        <w:t xml:space="preserve"> of Australian adults accessed most of their news content</w:t>
      </w:r>
      <w:r w:rsidR="003559C2">
        <w:t xml:space="preserve"> and current affairs</w:t>
      </w:r>
      <w:r>
        <w:t xml:space="preserve">; </w:t>
      </w:r>
      <w:r w:rsidR="005F4AB7">
        <w:t>behind</w:t>
      </w:r>
      <w:r>
        <w:t xml:space="preserve"> domestic / Australian news websites or apps (4</w:t>
      </w:r>
      <w:r w:rsidR="00992DBC">
        <w:t>8</w:t>
      </w:r>
      <w:r w:rsidR="0066073C">
        <w:t>%</w:t>
      </w:r>
      <w:r>
        <w:t xml:space="preserve">), </w:t>
      </w:r>
      <w:r w:rsidR="005F4AB7">
        <w:t xml:space="preserve">and </w:t>
      </w:r>
      <w:r>
        <w:t>social media (4</w:t>
      </w:r>
      <w:r w:rsidR="00992DBC">
        <w:t>5</w:t>
      </w:r>
      <w:r w:rsidR="0066073C">
        <w:t>%</w:t>
      </w:r>
      <w:r>
        <w:t xml:space="preserve">), </w:t>
      </w:r>
      <w:r w:rsidR="005F4AB7">
        <w:t xml:space="preserve">and ahead of </w:t>
      </w:r>
      <w:r>
        <w:t>publicly</w:t>
      </w:r>
      <w:r w:rsidR="00BC3999">
        <w:t xml:space="preserve"> </w:t>
      </w:r>
      <w:r>
        <w:t>owned free-to-air TV (3</w:t>
      </w:r>
      <w:r w:rsidR="005F4AB7">
        <w:t>4</w:t>
      </w:r>
      <w:r w:rsidR="0066073C">
        <w:t>%</w:t>
      </w:r>
      <w:r>
        <w:t>).</w:t>
      </w:r>
      <w:r>
        <w:rPr>
          <w:rStyle w:val="FootnoteReference"/>
        </w:rPr>
        <w:footnoteReference w:id="7"/>
      </w:r>
    </w:p>
    <w:p w14:paraId="3DB1EC2B" w14:textId="46115CF1" w:rsidR="00864495" w:rsidRDefault="00864495" w:rsidP="00101A53">
      <w:pPr>
        <w:pStyle w:val="ListParagraph"/>
        <w:numPr>
          <w:ilvl w:val="0"/>
          <w:numId w:val="19"/>
        </w:numPr>
        <w:spacing w:before="80"/>
        <w:ind w:left="357" w:hanging="357"/>
        <w:contextualSpacing w:val="0"/>
      </w:pPr>
      <w:r>
        <w:t xml:space="preserve">The University of Canberra’s </w:t>
      </w:r>
      <w:r>
        <w:rPr>
          <w:i/>
        </w:rPr>
        <w:t>Digital News Report: Australia 2023</w:t>
      </w:r>
      <w:r>
        <w:t xml:space="preserve"> found that there is substantial difference across the generations for accessing news through radio, with older generations more inclined to listen to radio (77+ age group </w:t>
      </w:r>
      <w:r w:rsidR="007719E6">
        <w:t>–</w:t>
      </w:r>
      <w:r>
        <w:t xml:space="preserve"> 41</w:t>
      </w:r>
      <w:r w:rsidR="007719E6">
        <w:t>%</w:t>
      </w:r>
      <w:r>
        <w:t xml:space="preserve">; baby boomers </w:t>
      </w:r>
      <w:r w:rsidR="007719E6">
        <w:t>–</w:t>
      </w:r>
      <w:r>
        <w:t xml:space="preserve"> 30</w:t>
      </w:r>
      <w:r w:rsidR="007719E6">
        <w:t>%</w:t>
      </w:r>
      <w:r w:rsidR="00960D3A">
        <w:t xml:space="preserve">; </w:t>
      </w:r>
      <w:r>
        <w:t xml:space="preserve">Gen Z </w:t>
      </w:r>
      <w:r w:rsidR="00960D3A">
        <w:t xml:space="preserve">– </w:t>
      </w:r>
      <w:r>
        <w:t>14</w:t>
      </w:r>
      <w:r w:rsidR="00960D3A">
        <w:t>%)</w:t>
      </w:r>
      <w:r>
        <w:t>.</w:t>
      </w:r>
      <w:r>
        <w:rPr>
          <w:vertAlign w:val="superscript"/>
        </w:rPr>
        <w:footnoteReference w:id="8"/>
      </w:r>
    </w:p>
    <w:p w14:paraId="2D119879" w14:textId="0A8A9C10" w:rsidR="00864495" w:rsidRDefault="00547EBF" w:rsidP="00101A53">
      <w:pPr>
        <w:spacing w:before="80"/>
      </w:pPr>
      <w:r>
        <w:t>The broader importance of radio is reflected in</w:t>
      </w:r>
      <w:r w:rsidR="00864495">
        <w:t xml:space="preserve"> Australia’s media policy objectives</w:t>
      </w:r>
      <w:r>
        <w:t xml:space="preserve">. These objectives reflect </w:t>
      </w:r>
      <w:r w:rsidR="00864495">
        <w:t xml:space="preserve">the </w:t>
      </w:r>
      <w:r>
        <w:t>role that radio broadcasting has</w:t>
      </w:r>
      <w:r w:rsidR="00864495">
        <w:t xml:space="preserve"> </w:t>
      </w:r>
      <w:r>
        <w:t>in providing</w:t>
      </w:r>
      <w:r w:rsidR="00864495">
        <w:t xml:space="preserve"> information and entertainment</w:t>
      </w:r>
      <w:r>
        <w:t>, as well as developing</w:t>
      </w:r>
      <w:r w:rsidR="00864495">
        <w:t xml:space="preserve"> and reflect</w:t>
      </w:r>
      <w:r>
        <w:t>ing</w:t>
      </w:r>
      <w:r w:rsidR="00864495">
        <w:t xml:space="preserve"> a sense of national identity, character and cultural diversity. The objects of subsection 3(1) of the </w:t>
      </w:r>
      <w:r w:rsidR="00864495">
        <w:rPr>
          <w:i/>
        </w:rPr>
        <w:t>Broadcasting Services Act 1992</w:t>
      </w:r>
      <w:r w:rsidR="00864495">
        <w:t xml:space="preserve"> (BSA) include (among others):</w:t>
      </w:r>
    </w:p>
    <w:p w14:paraId="1713299C" w14:textId="77777777" w:rsidR="00864495" w:rsidRDefault="00864495" w:rsidP="00101A53">
      <w:pPr>
        <w:spacing w:before="80"/>
        <w:ind w:left="567" w:hanging="227"/>
        <w:rPr>
          <w:rFonts w:ascii="Calibri" w:eastAsia="Calibri" w:hAnsi="Calibri" w:cs="Times New Roman"/>
        </w:rPr>
      </w:pPr>
      <w:r>
        <w:rPr>
          <w:rFonts w:ascii="Calibri" w:eastAsia="Calibri" w:hAnsi="Calibri" w:cs="Times New Roman"/>
        </w:rPr>
        <w:t>a) to promote the availability of a diverse range of radio and television services offering entertainment, education and information;</w:t>
      </w:r>
    </w:p>
    <w:p w14:paraId="552FFC5E" w14:textId="77777777" w:rsidR="00864495" w:rsidRDefault="00864495" w:rsidP="00101A53">
      <w:pPr>
        <w:spacing w:before="80"/>
        <w:ind w:left="567" w:hanging="227"/>
        <w:rPr>
          <w:rFonts w:ascii="Calibri" w:eastAsia="Calibri" w:hAnsi="Calibri" w:cs="Times New Roman"/>
        </w:rPr>
      </w:pPr>
      <w:r>
        <w:rPr>
          <w:rFonts w:ascii="Calibri" w:eastAsia="Calibri" w:hAnsi="Calibri" w:cs="Times New Roman"/>
        </w:rPr>
        <w:t xml:space="preserve">b) to provide a regulatory environment that will facilitate the development of a broadcasting industry in Australia that is efficient, competitive and responsive to audience needs; </w:t>
      </w:r>
    </w:p>
    <w:p w14:paraId="4491F7B0" w14:textId="246AE012" w:rsidR="007719E6" w:rsidRDefault="007719E6" w:rsidP="00101A53">
      <w:pPr>
        <w:spacing w:before="80"/>
        <w:ind w:left="567" w:hanging="227"/>
        <w:rPr>
          <w:rFonts w:ascii="Calibri" w:eastAsia="Calibri" w:hAnsi="Calibri" w:cs="Times New Roman"/>
        </w:rPr>
      </w:pPr>
      <w:r>
        <w:rPr>
          <w:rFonts w:ascii="Calibri" w:eastAsia="Calibri" w:hAnsi="Calibri" w:cs="Times New Roman"/>
        </w:rPr>
        <w:t>e) to promote the role of broadcasting services in developing and reflecting a sense of Australian identity, character and cultural diversity;</w:t>
      </w:r>
    </w:p>
    <w:p w14:paraId="0F61B627" w14:textId="1081FAE0" w:rsidR="007719E6" w:rsidRDefault="007719E6" w:rsidP="00101A53">
      <w:pPr>
        <w:spacing w:before="80"/>
        <w:ind w:left="567" w:hanging="227"/>
        <w:rPr>
          <w:rFonts w:ascii="Calibri" w:eastAsia="Calibri" w:hAnsi="Calibri" w:cs="Times New Roman"/>
        </w:rPr>
      </w:pPr>
      <w:proofErr w:type="spellStart"/>
      <w:r>
        <w:rPr>
          <w:rFonts w:ascii="Calibri" w:eastAsia="Calibri" w:hAnsi="Calibri" w:cs="Times New Roman"/>
        </w:rPr>
        <w:t>ea</w:t>
      </w:r>
      <w:proofErr w:type="spellEnd"/>
      <w:r>
        <w:rPr>
          <w:rFonts w:ascii="Calibri" w:eastAsia="Calibri" w:hAnsi="Calibri" w:cs="Times New Roman"/>
        </w:rPr>
        <w:t xml:space="preserve">) </w:t>
      </w:r>
      <w:r w:rsidR="00F365BA">
        <w:rPr>
          <w:rFonts w:ascii="Calibri" w:eastAsia="Calibri" w:hAnsi="Calibri" w:cs="Times New Roman"/>
        </w:rPr>
        <w:t>to promote the availability to audiences throughout Australia of television and radio programs about matters of local significance;</w:t>
      </w:r>
    </w:p>
    <w:p w14:paraId="2CF192EB" w14:textId="77777777" w:rsidR="00864495" w:rsidRDefault="00864495" w:rsidP="00101A53">
      <w:pPr>
        <w:spacing w:before="80"/>
        <w:ind w:left="567" w:hanging="227"/>
        <w:rPr>
          <w:rFonts w:ascii="Calibri" w:eastAsia="Calibri" w:hAnsi="Calibri" w:cs="Times New Roman"/>
        </w:rPr>
      </w:pPr>
      <w:r>
        <w:rPr>
          <w:rFonts w:ascii="Calibri" w:eastAsia="Calibri" w:hAnsi="Calibri" w:cs="Times New Roman"/>
        </w:rPr>
        <w:t>f) to promote the provision of high quality and innovative programming by providers of broadcasting services; and</w:t>
      </w:r>
    </w:p>
    <w:p w14:paraId="4A9E0302" w14:textId="77777777" w:rsidR="00864495" w:rsidRDefault="00864495" w:rsidP="00101A53">
      <w:pPr>
        <w:spacing w:before="80"/>
        <w:ind w:left="567" w:hanging="227"/>
        <w:rPr>
          <w:rFonts w:ascii="Calibri" w:eastAsia="Calibri" w:hAnsi="Calibri" w:cs="Times New Roman"/>
        </w:rPr>
      </w:pPr>
      <w:r>
        <w:rPr>
          <w:rFonts w:ascii="Calibri" w:eastAsia="Calibri" w:hAnsi="Calibri" w:cs="Times New Roman"/>
        </w:rPr>
        <w:t>g) to encourage providers of commercial and community broadcasting services to be responsive to the need for a fair and accurate coverage of matters of public interest and for an appropriate coverage of matters of local significance.</w:t>
      </w:r>
    </w:p>
    <w:p w14:paraId="47A0C094" w14:textId="3842877B" w:rsidR="00864495" w:rsidRPr="00864495" w:rsidRDefault="00A31A6F" w:rsidP="00101A53">
      <w:pPr>
        <w:spacing w:before="80"/>
        <w:rPr>
          <w:rFonts w:asciiTheme="majorHAnsi" w:eastAsiaTheme="majorEastAsia" w:hAnsiTheme="majorHAnsi" w:cstheme="majorBidi"/>
          <w:color w:val="081E3E" w:themeColor="text2"/>
        </w:rPr>
      </w:pPr>
      <w:r w:rsidRPr="00A31A6F">
        <w:t xml:space="preserve">These objectives remain relevant in the contemporary media environment. </w:t>
      </w:r>
      <w:r>
        <w:t>R</w:t>
      </w:r>
      <w:r w:rsidRPr="00A31A6F">
        <w:t xml:space="preserve">adio broadcasters continue to make valuable services available to </w:t>
      </w:r>
      <w:proofErr w:type="gramStart"/>
      <w:r w:rsidRPr="00A31A6F">
        <w:t>the majority of</w:t>
      </w:r>
      <w:proofErr w:type="gramEnd"/>
      <w:r w:rsidRPr="00A31A6F">
        <w:t xml:space="preserve"> Australians, while the radio industry increases its operating capacity and offerings in the online environment.</w:t>
      </w:r>
    </w:p>
    <w:p w14:paraId="44F28F24" w14:textId="4D4ABF7B" w:rsidR="00E4133D" w:rsidRPr="00864495" w:rsidRDefault="00E4133D" w:rsidP="00A070A2">
      <w:pPr>
        <w:pStyle w:val="Heading2Numbered"/>
      </w:pPr>
      <w:bookmarkStart w:id="11" w:name="_Toc236825139"/>
      <w:r w:rsidRPr="00864495">
        <w:lastRenderedPageBreak/>
        <w:t>Changes in technology and consumer behaviour</w:t>
      </w:r>
      <w:bookmarkEnd w:id="11"/>
    </w:p>
    <w:p w14:paraId="011E43BB" w14:textId="72C18C32" w:rsidR="00E4133D" w:rsidRDefault="002B17B8" w:rsidP="00101A53">
      <w:pPr>
        <w:spacing w:before="80"/>
        <w:rPr>
          <w:rFonts w:ascii="Calibri" w:eastAsia="Calibri" w:hAnsi="Calibri" w:cs="Times New Roman"/>
        </w:rPr>
      </w:pPr>
      <w:bookmarkStart w:id="12" w:name="_Hlk164333819"/>
      <w:r>
        <w:rPr>
          <w:rFonts w:ascii="Calibri" w:eastAsia="Calibri" w:hAnsi="Calibri" w:cs="Times New Roman"/>
        </w:rPr>
        <w:t xml:space="preserve">Australians are increasingly using smart speakers to access a wide range of audio content, including live radio. </w:t>
      </w:r>
      <w:r w:rsidR="00E4133D" w:rsidRPr="00975CEA">
        <w:rPr>
          <w:rFonts w:ascii="Calibri" w:eastAsia="Calibri" w:hAnsi="Calibri" w:cs="Times New Roman"/>
        </w:rPr>
        <w:t xml:space="preserve">While dedicated radio devices are almost exclusively used for live radio listening, this type of device is becoming </w:t>
      </w:r>
      <w:proofErr w:type="gramStart"/>
      <w:r w:rsidR="00E4133D" w:rsidRPr="00975CEA">
        <w:rPr>
          <w:rFonts w:ascii="Calibri" w:eastAsia="Calibri" w:hAnsi="Calibri" w:cs="Times New Roman"/>
        </w:rPr>
        <w:t>less and less</w:t>
      </w:r>
      <w:proofErr w:type="gramEnd"/>
      <w:r w:rsidR="00E4133D" w:rsidRPr="00975CEA">
        <w:rPr>
          <w:rFonts w:ascii="Calibri" w:eastAsia="Calibri" w:hAnsi="Calibri" w:cs="Times New Roman"/>
        </w:rPr>
        <w:t xml:space="preserve"> common in Australian households</w:t>
      </w:r>
      <w:r w:rsidR="0032208C">
        <w:rPr>
          <w:rFonts w:ascii="Calibri" w:eastAsia="Calibri" w:hAnsi="Calibri" w:cs="Times New Roman"/>
        </w:rPr>
        <w:t>,</w:t>
      </w:r>
      <w:r w:rsidR="00F97751">
        <w:rPr>
          <w:rFonts w:ascii="Calibri" w:eastAsia="Calibri" w:hAnsi="Calibri" w:cs="Times New Roman"/>
        </w:rPr>
        <w:t xml:space="preserve"> </w:t>
      </w:r>
      <w:r w:rsidR="0032208C">
        <w:rPr>
          <w:rFonts w:ascii="Calibri" w:eastAsia="Calibri" w:hAnsi="Calibri" w:cs="Times New Roman"/>
        </w:rPr>
        <w:t>as s</w:t>
      </w:r>
      <w:r w:rsidR="00F97751">
        <w:rPr>
          <w:rFonts w:ascii="Calibri" w:eastAsia="Calibri" w:hAnsi="Calibri" w:cs="Times New Roman"/>
        </w:rPr>
        <w:t>mart speakers</w:t>
      </w:r>
      <w:r w:rsidR="0032208C">
        <w:rPr>
          <w:rFonts w:ascii="Calibri" w:eastAsia="Calibri" w:hAnsi="Calibri" w:cs="Times New Roman"/>
        </w:rPr>
        <w:t xml:space="preserve"> </w:t>
      </w:r>
      <w:r w:rsidR="00F97751">
        <w:rPr>
          <w:rFonts w:ascii="Calibri" w:eastAsia="Calibri" w:hAnsi="Calibri" w:cs="Times New Roman"/>
        </w:rPr>
        <w:t>becom</w:t>
      </w:r>
      <w:r w:rsidR="0032208C">
        <w:rPr>
          <w:rFonts w:ascii="Calibri" w:eastAsia="Calibri" w:hAnsi="Calibri" w:cs="Times New Roman"/>
        </w:rPr>
        <w:t>e</w:t>
      </w:r>
      <w:r w:rsidR="00F97751">
        <w:rPr>
          <w:rFonts w:ascii="Calibri" w:eastAsia="Calibri" w:hAnsi="Calibri" w:cs="Times New Roman"/>
        </w:rPr>
        <w:t xml:space="preserve"> more common.</w:t>
      </w:r>
    </w:p>
    <w:p w14:paraId="011918CE" w14:textId="21EFEF13" w:rsidR="00E4133D" w:rsidRDefault="00E4133D" w:rsidP="00101A53">
      <w:pPr>
        <w:pStyle w:val="ListParagraph"/>
        <w:numPr>
          <w:ilvl w:val="0"/>
          <w:numId w:val="16"/>
        </w:numPr>
        <w:spacing w:before="80"/>
        <w:ind w:left="357" w:hanging="357"/>
        <w:contextualSpacing w:val="0"/>
      </w:pPr>
      <w:r>
        <w:t>Ownership of traditional ‘in-home’ radio sets fell from 70</w:t>
      </w:r>
      <w:r w:rsidR="00F365BA">
        <w:t>%</w:t>
      </w:r>
      <w:r>
        <w:t xml:space="preserve"> in 2017 to 44</w:t>
      </w:r>
      <w:r w:rsidR="00F365BA">
        <w:t>%</w:t>
      </w:r>
      <w:r>
        <w:t xml:space="preserve"> in 2023.</w:t>
      </w:r>
      <w:r w:rsidRPr="003A3350">
        <w:rPr>
          <w:vertAlign w:val="superscript"/>
        </w:rPr>
        <w:footnoteReference w:id="9"/>
      </w:r>
      <w:r w:rsidRPr="003A3350">
        <w:rPr>
          <w:vertAlign w:val="superscript"/>
        </w:rPr>
        <w:t xml:space="preserve"> </w:t>
      </w:r>
    </w:p>
    <w:p w14:paraId="3AD94F55" w14:textId="23A13C38" w:rsidR="00E4133D" w:rsidRDefault="00E4133D" w:rsidP="00101A53">
      <w:pPr>
        <w:pStyle w:val="ListParagraph"/>
        <w:numPr>
          <w:ilvl w:val="0"/>
          <w:numId w:val="14"/>
        </w:numPr>
        <w:spacing w:before="80"/>
        <w:ind w:left="357"/>
        <w:contextualSpacing w:val="0"/>
      </w:pPr>
      <w:r>
        <w:t>Ownership of smart speakers is reported to have increased from 5</w:t>
      </w:r>
      <w:r w:rsidR="00F365BA">
        <w:t>%</w:t>
      </w:r>
      <w:r>
        <w:t xml:space="preserve"> in 2018 to 26</w:t>
      </w:r>
      <w:r w:rsidR="008109A5">
        <w:t>%</w:t>
      </w:r>
      <w:r>
        <w:t xml:space="preserve"> in 2021 and has risen further in 2022 to 32</w:t>
      </w:r>
      <w:r w:rsidR="00F365BA">
        <w:t>%</w:t>
      </w:r>
      <w:r>
        <w:t xml:space="preserve"> of Australian households, or 3.2 million households.</w:t>
      </w:r>
      <w:r>
        <w:rPr>
          <w:rStyle w:val="FootnoteReference"/>
        </w:rPr>
        <w:footnoteReference w:id="10"/>
      </w:r>
    </w:p>
    <w:bookmarkEnd w:id="12"/>
    <w:p w14:paraId="1E7211AA" w14:textId="3E573253" w:rsidR="00D3590F" w:rsidRDefault="00C74171" w:rsidP="00101A53">
      <w:pPr>
        <w:spacing w:before="80"/>
        <w:rPr>
          <w:rFonts w:eastAsia="Times New Roman"/>
        </w:rPr>
      </w:pPr>
      <w:r>
        <w:t>Ownership of radio in cars has remained relatively stable between 2017 (90</w:t>
      </w:r>
      <w:r w:rsidR="008109A5">
        <w:t>%</w:t>
      </w:r>
      <w:r>
        <w:t>) and 2023 (87</w:t>
      </w:r>
      <w:r w:rsidR="008109A5">
        <w:t>%</w:t>
      </w:r>
      <w:r>
        <w:t>).</w:t>
      </w:r>
      <w:r>
        <w:rPr>
          <w:rStyle w:val="FootnoteReference"/>
        </w:rPr>
        <w:footnoteReference w:id="11"/>
      </w:r>
      <w:r>
        <w:t xml:space="preserve"> </w:t>
      </w:r>
      <w:r w:rsidR="003F3EBF">
        <w:rPr>
          <w:rFonts w:eastAsia="Times New Roman"/>
        </w:rPr>
        <w:t>In 202</w:t>
      </w:r>
      <w:r w:rsidR="00EC6F1E">
        <w:rPr>
          <w:rFonts w:eastAsia="Times New Roman"/>
        </w:rPr>
        <w:t>4</w:t>
      </w:r>
      <w:r w:rsidR="003F3EBF">
        <w:rPr>
          <w:rFonts w:eastAsia="Times New Roman"/>
        </w:rPr>
        <w:t>, 8</w:t>
      </w:r>
      <w:r w:rsidR="00EC6F1E">
        <w:rPr>
          <w:rFonts w:eastAsia="Times New Roman"/>
        </w:rPr>
        <w:t>1</w:t>
      </w:r>
      <w:r w:rsidR="008109A5">
        <w:rPr>
          <w:rFonts w:eastAsia="Times New Roman"/>
        </w:rPr>
        <w:t>%</w:t>
      </w:r>
      <w:r w:rsidR="003F3EBF">
        <w:rPr>
          <w:rFonts w:eastAsia="Times New Roman"/>
        </w:rPr>
        <w:t xml:space="preserve"> of Australian adults who listened to radio content reported using a car audio system for listening.</w:t>
      </w:r>
      <w:r w:rsidR="00D3590F">
        <w:rPr>
          <w:rStyle w:val="FootnoteReference"/>
          <w:rFonts w:eastAsia="Times New Roman"/>
        </w:rPr>
        <w:footnoteReference w:id="12"/>
      </w:r>
      <w:r w:rsidR="003F3EBF">
        <w:rPr>
          <w:rFonts w:eastAsia="Times New Roman"/>
        </w:rPr>
        <w:t xml:space="preserve"> </w:t>
      </w:r>
    </w:p>
    <w:p w14:paraId="3FF4995E" w14:textId="2CF8F096" w:rsidR="00D3590F" w:rsidRDefault="003F3EBF" w:rsidP="00101A53">
      <w:pPr>
        <w:pStyle w:val="ListParagraph"/>
        <w:numPr>
          <w:ilvl w:val="0"/>
          <w:numId w:val="15"/>
        </w:numPr>
        <w:spacing w:before="80"/>
        <w:ind w:left="357" w:hanging="357"/>
        <w:contextualSpacing w:val="0"/>
      </w:pPr>
      <w:r w:rsidRPr="00D3590F">
        <w:t>29</w:t>
      </w:r>
      <w:r w:rsidR="008109A5">
        <w:t>%</w:t>
      </w:r>
      <w:r w:rsidRPr="00D3590F">
        <w:t xml:space="preserve"> of respondents who listened to radio via the internet or an app did so through a car audio system, which was the second most common way of listening to this type of content, behind a smartphone at 67</w:t>
      </w:r>
      <w:r w:rsidR="008109A5">
        <w:t>%</w:t>
      </w:r>
      <w:r w:rsidRPr="00D3590F">
        <w:t xml:space="preserve">. </w:t>
      </w:r>
    </w:p>
    <w:p w14:paraId="0228D864" w14:textId="36E27EED" w:rsidR="00C74171" w:rsidRPr="00D3590F" w:rsidRDefault="00D3590F" w:rsidP="00101A53">
      <w:pPr>
        <w:pStyle w:val="ListParagraph"/>
        <w:numPr>
          <w:ilvl w:val="0"/>
          <w:numId w:val="15"/>
        </w:numPr>
        <w:spacing w:before="80"/>
        <w:ind w:left="357" w:hanging="357"/>
        <w:contextualSpacing w:val="0"/>
        <w:rPr>
          <w:rFonts w:eastAsia="Times New Roman"/>
        </w:rPr>
      </w:pPr>
      <w:r>
        <w:t>66</w:t>
      </w:r>
      <w:r w:rsidR="003B36F6">
        <w:t>%</w:t>
      </w:r>
      <w:r>
        <w:t xml:space="preserve"> of </w:t>
      </w:r>
      <w:r w:rsidR="003F3EBF" w:rsidRPr="00D3590F">
        <w:t xml:space="preserve">respondents who listened to Digital Radio (DAB), </w:t>
      </w:r>
      <w:r>
        <w:t xml:space="preserve">did so through </w:t>
      </w:r>
      <w:r w:rsidR="003F3EBF" w:rsidRPr="00D3590F">
        <w:t>a car audio system, followed by a dedicated radio system (34</w:t>
      </w:r>
      <w:r w:rsidR="003B36F6">
        <w:t>%</w:t>
      </w:r>
      <w:r w:rsidR="003F3EBF" w:rsidRPr="00D3590F">
        <w:t>), and smartphone (19</w:t>
      </w:r>
      <w:r w:rsidR="003B36F6">
        <w:t>%</w:t>
      </w:r>
      <w:r w:rsidR="003F3EBF" w:rsidRPr="00D3590F">
        <w:t>).</w:t>
      </w:r>
      <w:r w:rsidR="00CA3773">
        <w:rPr>
          <w:rStyle w:val="FootnoteReference"/>
        </w:rPr>
        <w:footnoteReference w:id="13"/>
      </w:r>
      <w:r>
        <w:rPr>
          <w:rStyle w:val="CommentReference"/>
        </w:rPr>
        <w:t xml:space="preserve"> </w:t>
      </w:r>
    </w:p>
    <w:p w14:paraId="740227E0" w14:textId="77777777" w:rsidR="00C74171" w:rsidRPr="00C74171" w:rsidRDefault="00C74171" w:rsidP="00101A53">
      <w:pPr>
        <w:suppressAutoHyphens w:val="0"/>
        <w:spacing w:before="80"/>
        <w:rPr>
          <w:rFonts w:ascii="Times New Roman" w:hAnsi="Times New Roman" w:cs="Times New Roman"/>
          <w:color w:val="auto"/>
          <w:sz w:val="24"/>
          <w:szCs w:val="24"/>
          <w:lang w:eastAsia="en-AU"/>
        </w:rPr>
      </w:pPr>
      <w:r w:rsidRPr="00C74171">
        <w:rPr>
          <w:color w:val="auto"/>
        </w:rPr>
        <w:t>Technology changes will continue to drive changes in media markets and present challenges and opportunities for existing and new media businesses.</w:t>
      </w:r>
      <w:r w:rsidRPr="00C74171">
        <w:rPr>
          <w:rFonts w:ascii="Times New Roman" w:hAnsi="Times New Roman" w:cs="Times New Roman"/>
          <w:color w:val="auto"/>
          <w:sz w:val="24"/>
          <w:szCs w:val="24"/>
          <w:lang w:eastAsia="en-AU"/>
        </w:rPr>
        <w:t xml:space="preserve"> </w:t>
      </w:r>
    </w:p>
    <w:p w14:paraId="2E77F579" w14:textId="520AEEFF" w:rsidR="00FD0234" w:rsidRDefault="00FD0234" w:rsidP="00FD0234">
      <w:pPr>
        <w:pStyle w:val="Heading3Numbered"/>
      </w:pPr>
      <w:bookmarkStart w:id="13" w:name="_Toc236825140"/>
      <w:r>
        <w:t xml:space="preserve">Voice </w:t>
      </w:r>
      <w:r w:rsidR="002F1AF0">
        <w:t>assistant</w:t>
      </w:r>
      <w:r>
        <w:t xml:space="preserve"> software</w:t>
      </w:r>
      <w:bookmarkEnd w:id="13"/>
    </w:p>
    <w:p w14:paraId="60AD3523" w14:textId="6EC809E7" w:rsidR="005A7D75" w:rsidRDefault="00FD0234" w:rsidP="00FD0234">
      <w:r>
        <w:t xml:space="preserve">The technological shift toward smart speakers is part of a broader adoption and use of internet-connected devices by Australian </w:t>
      </w:r>
      <w:r w:rsidRPr="007D0B28">
        <w:t>households.</w:t>
      </w:r>
      <w:r w:rsidRPr="00352B70">
        <w:rPr>
          <w:vertAlign w:val="superscript"/>
        </w:rPr>
        <w:footnoteReference w:id="14"/>
      </w:r>
      <w:r w:rsidRPr="00352B70">
        <w:rPr>
          <w:vertAlign w:val="superscript"/>
        </w:rPr>
        <w:t xml:space="preserve"> </w:t>
      </w:r>
      <w:r w:rsidRPr="00352B70">
        <w:t>An</w:t>
      </w:r>
      <w:r>
        <w:t xml:space="preserve"> important feature of </w:t>
      </w:r>
      <w:r w:rsidR="008563D5">
        <w:t xml:space="preserve">modern </w:t>
      </w:r>
      <w:r>
        <w:rPr>
          <w:lang w:val="en-US"/>
        </w:rPr>
        <w:t xml:space="preserve">mobile devices </w:t>
      </w:r>
      <w:r w:rsidR="00E56F50">
        <w:rPr>
          <w:lang w:val="en-US"/>
        </w:rPr>
        <w:t>(</w:t>
      </w:r>
      <w:r>
        <w:rPr>
          <w:lang w:val="en-US"/>
        </w:rPr>
        <w:t>such as smart phones and tablets</w:t>
      </w:r>
      <w:r w:rsidR="00E56F50">
        <w:rPr>
          <w:lang w:val="en-US"/>
        </w:rPr>
        <w:t>)</w:t>
      </w:r>
      <w:r>
        <w:rPr>
          <w:lang w:val="en-US"/>
        </w:rPr>
        <w:t>, and home devices</w:t>
      </w:r>
      <w:r w:rsidR="00E56F50">
        <w:rPr>
          <w:lang w:val="en-US"/>
        </w:rPr>
        <w:t xml:space="preserve"> (</w:t>
      </w:r>
      <w:r>
        <w:rPr>
          <w:lang w:val="en-US"/>
        </w:rPr>
        <w:t>such as smart speakers and certain smart TVs</w:t>
      </w:r>
      <w:r w:rsidR="00E56F50">
        <w:rPr>
          <w:lang w:val="en-US"/>
        </w:rPr>
        <w:t>)</w:t>
      </w:r>
      <w:r>
        <w:rPr>
          <w:lang w:val="en-US"/>
        </w:rPr>
        <w:t xml:space="preserve">, </w:t>
      </w:r>
      <w:r>
        <w:t xml:space="preserve">is the integration of voice activation software, or ‘voice </w:t>
      </w:r>
      <w:proofErr w:type="gramStart"/>
      <w:r>
        <w:t>assistants’</w:t>
      </w:r>
      <w:proofErr w:type="gramEnd"/>
      <w:r>
        <w:t xml:space="preserve">. </w:t>
      </w:r>
      <w:r w:rsidR="00B40F9F">
        <w:t>M</w:t>
      </w:r>
      <w:r>
        <w:t xml:space="preserve">any devices </w:t>
      </w:r>
      <w:r w:rsidR="00E56F50">
        <w:t xml:space="preserve">(including smart speakers) </w:t>
      </w:r>
      <w:r>
        <w:t>are almost exclusively controlled by voice assistants</w:t>
      </w:r>
      <w:r w:rsidR="00B40F9F">
        <w:t xml:space="preserve">, with the three most popular in Australia being </w:t>
      </w:r>
      <w:r w:rsidR="00B40F9F" w:rsidRPr="00E751EA">
        <w:t>Google Assistant, Amazon’s Alexa and Apple’s Siri.</w:t>
      </w:r>
      <w:r w:rsidR="00B40F9F" w:rsidRPr="00E751EA">
        <w:rPr>
          <w:vertAlign w:val="superscript"/>
        </w:rPr>
        <w:footnoteReference w:id="15"/>
      </w:r>
      <w:r>
        <w:t xml:space="preserve"> </w:t>
      </w:r>
    </w:p>
    <w:p w14:paraId="79F893A8" w14:textId="77A2C2E0" w:rsidR="00FD0234" w:rsidRDefault="00FD0234" w:rsidP="00FD0234">
      <w:r w:rsidRPr="003C41FB">
        <w:t xml:space="preserve">The process that occurs when a user makes a request using a voice assistant is depicted in Figure </w:t>
      </w:r>
      <w:r>
        <w:t xml:space="preserve">1. </w:t>
      </w:r>
    </w:p>
    <w:p w14:paraId="22DA0F3F" w14:textId="77777777" w:rsidR="00960D3A" w:rsidRDefault="00960D3A">
      <w:pPr>
        <w:suppressAutoHyphens w:val="0"/>
        <w:rPr>
          <w:b/>
          <w:iCs/>
          <w:szCs w:val="18"/>
        </w:rPr>
      </w:pPr>
      <w:r>
        <w:br w:type="page"/>
      </w:r>
    </w:p>
    <w:p w14:paraId="716D54EA" w14:textId="18702F7A" w:rsidR="00FD0234" w:rsidRPr="006638AB" w:rsidRDefault="00FD0234" w:rsidP="00FD0234">
      <w:pPr>
        <w:pStyle w:val="Caption"/>
      </w:pPr>
      <w:bookmarkStart w:id="15" w:name="_Toc236825663"/>
      <w:r w:rsidRPr="006638AB">
        <w:lastRenderedPageBreak/>
        <w:t xml:space="preserve">Figure </w:t>
      </w:r>
      <w:r>
        <w:t>1</w:t>
      </w:r>
      <w:r w:rsidRPr="006638AB">
        <w:t>: Accessing audio content via a voice assistant</w:t>
      </w:r>
      <w:bookmarkEnd w:id="15"/>
    </w:p>
    <w:p w14:paraId="0B7C9D60" w14:textId="68E02D0B" w:rsidR="00FD0234" w:rsidRDefault="00624E94" w:rsidP="00FD0234">
      <w:pPr>
        <w:rPr>
          <w:lang w:val="en-US"/>
        </w:rPr>
      </w:pPr>
      <w:r>
        <w:rPr>
          <w:noProof/>
        </w:rPr>
        <w:drawing>
          <wp:inline distT="0" distB="0" distL="0" distR="0" wp14:anchorId="7B2CFE98" wp14:editId="08193670">
            <wp:extent cx="6076950" cy="3764430"/>
            <wp:effectExtent l="0" t="0" r="0" b="7620"/>
            <wp:docPr id="43" name="Picture 43" descr="This table is a flow chart. The first box on the far left hand side says user speaks wake command then requests radio service. An arrow points across to the next box which says smart speaker or device receives command by registering speech. An arrow points across to the next box which says voice activation software converts the command to text then recognises a specific task. The arrow flows down from this box to another a box which says voice activation software conducts search for access pathway to respond to user command. Two pathways are now shown. The operation is successful if the device accesses and starts correct radio service stream. If the voice activation software is unable to or incorrectly completes request then then the device provides alternative audio or error me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6204797" cy="3843626"/>
                    </a:xfrm>
                    <a:prstGeom prst="rect">
                      <a:avLst/>
                    </a:prstGeom>
                    <a:noFill/>
                  </pic:spPr>
                </pic:pic>
              </a:graphicData>
            </a:graphic>
          </wp:inline>
        </w:drawing>
      </w:r>
    </w:p>
    <w:p w14:paraId="63DAF565" w14:textId="77777777" w:rsidR="00D022DB" w:rsidRDefault="00D022DB" w:rsidP="00B019FB">
      <w:pPr>
        <w:spacing w:before="0" w:after="0"/>
        <w:rPr>
          <w:lang w:val="en-US"/>
        </w:rPr>
      </w:pPr>
    </w:p>
    <w:p w14:paraId="46AE2F76" w14:textId="0DE07FF8" w:rsidR="00FD0234" w:rsidRPr="00AC254F" w:rsidRDefault="00FD0234" w:rsidP="00101A53">
      <w:pPr>
        <w:spacing w:before="80"/>
      </w:pPr>
      <w:r w:rsidRPr="00B557DC">
        <w:rPr>
          <w:lang w:val="en-US"/>
        </w:rPr>
        <w:t>Global data on the use of voice assistants indicates that convenience is the key factor</w:t>
      </w:r>
      <w:r w:rsidR="003A5AE4">
        <w:rPr>
          <w:lang w:val="en-US"/>
        </w:rPr>
        <w:t xml:space="preserve"> in the take up of voice assistants</w:t>
      </w:r>
      <w:r w:rsidRPr="00B557DC">
        <w:rPr>
          <w:lang w:val="en-US"/>
        </w:rPr>
        <w:t>, with 90</w:t>
      </w:r>
      <w:r w:rsidR="003B36F6">
        <w:rPr>
          <w:lang w:val="en-US"/>
        </w:rPr>
        <w:t>%</w:t>
      </w:r>
      <w:r w:rsidRPr="00B557DC">
        <w:rPr>
          <w:lang w:val="en-US"/>
        </w:rPr>
        <w:t xml:space="preserve"> considering voice search to be easier and faster than a standard typed search.</w:t>
      </w:r>
      <w:r>
        <w:rPr>
          <w:rStyle w:val="FootnoteReference"/>
          <w:lang w:val="en-US"/>
        </w:rPr>
        <w:footnoteReference w:id="16"/>
      </w:r>
    </w:p>
    <w:p w14:paraId="235F9590" w14:textId="77777777" w:rsidR="00FD0234" w:rsidRPr="00483B6B" w:rsidRDefault="00FD0234" w:rsidP="00101A53">
      <w:pPr>
        <w:pStyle w:val="ListParagraph"/>
        <w:numPr>
          <w:ilvl w:val="0"/>
          <w:numId w:val="20"/>
        </w:numPr>
        <w:spacing w:before="80"/>
        <w:ind w:left="357" w:hanging="357"/>
        <w:contextualSpacing w:val="0"/>
      </w:pPr>
      <w:r w:rsidRPr="00AC254F">
        <w:rPr>
          <w:lang w:val="en-US"/>
        </w:rPr>
        <w:t xml:space="preserve">Australian consumers have a clear preference to use smart speakers to control other smart home devices, with speed of use and increased convenience cited as key reasons </w:t>
      </w:r>
      <w:r>
        <w:rPr>
          <w:lang w:val="en-US"/>
        </w:rPr>
        <w:t xml:space="preserve">for </w:t>
      </w:r>
      <w:r w:rsidRPr="00AC254F">
        <w:rPr>
          <w:lang w:val="en-US"/>
        </w:rPr>
        <w:t>doing so.</w:t>
      </w:r>
      <w:r>
        <w:rPr>
          <w:rStyle w:val="FootnoteReference"/>
        </w:rPr>
        <w:footnoteReference w:id="17"/>
      </w:r>
    </w:p>
    <w:p w14:paraId="24F98B08" w14:textId="56C2507E" w:rsidR="00FD0234" w:rsidRDefault="00FD0234" w:rsidP="00101A53">
      <w:pPr>
        <w:pStyle w:val="ListParagraph"/>
        <w:numPr>
          <w:ilvl w:val="0"/>
          <w:numId w:val="20"/>
        </w:numPr>
        <w:spacing w:before="80"/>
        <w:contextualSpacing w:val="0"/>
      </w:pPr>
      <w:r>
        <w:t>It is also an accepted and desired feature of consumer electronics, with 36</w:t>
      </w:r>
      <w:r w:rsidR="003B36F6">
        <w:t>%</w:t>
      </w:r>
      <w:r>
        <w:t xml:space="preserve"> of Australians surveyed in 2023</w:t>
      </w:r>
      <w:r w:rsidR="008563D5">
        <w:t xml:space="preserve"> </w:t>
      </w:r>
      <w:r>
        <w:t>responding in the affirmative to the statement ‘I would love to control my home via smartphone or voice.’</w:t>
      </w:r>
      <w:r>
        <w:rPr>
          <w:rStyle w:val="FootnoteReference"/>
        </w:rPr>
        <w:footnoteReference w:id="18"/>
      </w:r>
    </w:p>
    <w:p w14:paraId="145783F5" w14:textId="3E154FAA" w:rsidR="00FD0234" w:rsidRDefault="00FD0234" w:rsidP="00101A53">
      <w:pPr>
        <w:spacing w:before="80"/>
      </w:pPr>
      <w:r>
        <w:t>With respect to smart speakers, Google, Amazon and Apple are the only providers of voice assistants at any scale</w:t>
      </w:r>
      <w:r w:rsidR="003C22DB">
        <w:t xml:space="preserve"> in Australia</w:t>
      </w:r>
      <w:r>
        <w:t xml:space="preserve">, integrating this software into their own devices or into third-party devices. </w:t>
      </w:r>
      <w:r w:rsidR="005C318D">
        <w:t>Other popular voice assistants a</w:t>
      </w:r>
      <w:r w:rsidR="007C32FD">
        <w:t>re</w:t>
      </w:r>
      <w:r w:rsidR="005C318D">
        <w:t xml:space="preserve"> tied to </w:t>
      </w:r>
      <w:proofErr w:type="gramStart"/>
      <w:r w:rsidR="005C318D">
        <w:t>particular brands</w:t>
      </w:r>
      <w:proofErr w:type="gramEnd"/>
      <w:r w:rsidR="005C318D">
        <w:t xml:space="preserve"> of devices</w:t>
      </w:r>
      <w:r w:rsidR="0069222D">
        <w:t xml:space="preserve"> but not deployed on all products</w:t>
      </w:r>
      <w:r w:rsidR="005C318D">
        <w:t>, such as Samsung’s Bixby</w:t>
      </w:r>
      <w:r w:rsidR="0069222D">
        <w:t>.</w:t>
      </w:r>
    </w:p>
    <w:p w14:paraId="7C6DFD81" w14:textId="529E0865" w:rsidR="00FD0234" w:rsidRPr="00BC3166" w:rsidRDefault="00FD0234" w:rsidP="00101A53">
      <w:pPr>
        <w:spacing w:before="80"/>
        <w:rPr>
          <w:b/>
          <w:iCs/>
        </w:rPr>
      </w:pPr>
      <w:r w:rsidRPr="00BC3166">
        <w:t xml:space="preserve">With </w:t>
      </w:r>
      <w:r>
        <w:t xml:space="preserve">ownership of </w:t>
      </w:r>
      <w:r w:rsidRPr="00BC3166">
        <w:t xml:space="preserve">dedicated </w:t>
      </w:r>
      <w:r>
        <w:t xml:space="preserve">radio devices in decline, smart speakers are likely to be the main choice for home listening in the future, based on the current usage patterns and take-up rates. However, smart phones are </w:t>
      </w:r>
      <w:r w:rsidR="00CA170B">
        <w:t xml:space="preserve">also </w:t>
      </w:r>
      <w:r>
        <w:t xml:space="preserve">important for the provision of internet connectivity to audio devices on the move. </w:t>
      </w:r>
    </w:p>
    <w:p w14:paraId="6F6A2BA0" w14:textId="7B1A4C3D" w:rsidR="00FD0234" w:rsidRDefault="00FD0234" w:rsidP="00FD0234">
      <w:pPr>
        <w:pStyle w:val="Heading3Numbered"/>
      </w:pPr>
      <w:bookmarkStart w:id="16" w:name="_Toc236825141"/>
      <w:r>
        <w:t>Listening to radio and radio-like services</w:t>
      </w:r>
      <w:bookmarkEnd w:id="16"/>
    </w:p>
    <w:p w14:paraId="1D997152" w14:textId="77777777" w:rsidR="00C74171" w:rsidRDefault="00C74171" w:rsidP="00101A53">
      <w:pPr>
        <w:spacing w:before="80"/>
      </w:pPr>
      <w:r>
        <w:t>The choices for listening to radio and radio-like content have proliferated. A diverse range of Australian and international entities are vying for Australian listeners across all forms of radio services and online audio content streaming services at the listener’s discretion. As outlined in Table 1:</w:t>
      </w:r>
    </w:p>
    <w:p w14:paraId="229D28EA" w14:textId="33BF12B6" w:rsidR="00C74171" w:rsidRDefault="00C74171" w:rsidP="00101A53">
      <w:pPr>
        <w:pStyle w:val="ListParagraph"/>
        <w:numPr>
          <w:ilvl w:val="0"/>
          <w:numId w:val="16"/>
        </w:numPr>
        <w:spacing w:before="80"/>
        <w:ind w:left="357" w:hanging="357"/>
        <w:contextualSpacing w:val="0"/>
      </w:pPr>
      <w:r>
        <w:t>Radio broadcasts (FM and AM) were most commonly consumed in cars in 202</w:t>
      </w:r>
      <w:r w:rsidR="008548EB">
        <w:t>4</w:t>
      </w:r>
      <w:r>
        <w:t xml:space="preserve"> (8</w:t>
      </w:r>
      <w:r w:rsidR="008548EB">
        <w:t>4%</w:t>
      </w:r>
      <w:r>
        <w:t xml:space="preserve"> and 7</w:t>
      </w:r>
      <w:r w:rsidR="008548EB">
        <w:t>3</w:t>
      </w:r>
      <w:r w:rsidR="003B36F6">
        <w:t>%</w:t>
      </w:r>
      <w:r>
        <w:t xml:space="preserve"> of Australians, respectively, who listened to </w:t>
      </w:r>
      <w:r w:rsidR="00C04767">
        <w:t xml:space="preserve">that kind of </w:t>
      </w:r>
      <w:r>
        <w:t xml:space="preserve">audio content in the past 7 days), followed by digital </w:t>
      </w:r>
      <w:r>
        <w:lastRenderedPageBreak/>
        <w:t>radio (DAB) which is available only in limited regions (6</w:t>
      </w:r>
      <w:r w:rsidR="008548EB">
        <w:t>2</w:t>
      </w:r>
      <w:r w:rsidR="003B36F6">
        <w:t>%</w:t>
      </w:r>
      <w:r>
        <w:t xml:space="preserve"> of Australians who listened to </w:t>
      </w:r>
      <w:r w:rsidR="00C04767">
        <w:t>DAB</w:t>
      </w:r>
      <w:r>
        <w:t xml:space="preserve"> in the past 7 days).</w:t>
      </w:r>
    </w:p>
    <w:p w14:paraId="02374F7C" w14:textId="4B1FA011" w:rsidR="00C74171" w:rsidRDefault="008548EB" w:rsidP="00101A53">
      <w:pPr>
        <w:pStyle w:val="ListParagraph"/>
        <w:numPr>
          <w:ilvl w:val="0"/>
          <w:numId w:val="17"/>
        </w:numPr>
        <w:spacing w:before="80"/>
        <w:ind w:left="357" w:hanging="357"/>
        <w:contextualSpacing w:val="0"/>
      </w:pPr>
      <w:r>
        <w:t>P</w:t>
      </w:r>
      <w:r w:rsidR="00C74171">
        <w:t xml:space="preserve">odcasts </w:t>
      </w:r>
      <w:r>
        <w:t xml:space="preserve">and online music streaming services </w:t>
      </w:r>
      <w:r w:rsidR="00C74171">
        <w:t xml:space="preserve">were </w:t>
      </w:r>
      <w:proofErr w:type="gramStart"/>
      <w:r w:rsidR="00C74171">
        <w:t>most commonly accessed</w:t>
      </w:r>
      <w:proofErr w:type="gramEnd"/>
      <w:r w:rsidR="00C74171">
        <w:t xml:space="preserve"> via smartphones </w:t>
      </w:r>
      <w:r w:rsidR="00F72B8A">
        <w:t xml:space="preserve">in 2024 </w:t>
      </w:r>
      <w:r w:rsidR="00C74171">
        <w:t>(8</w:t>
      </w:r>
      <w:r>
        <w:t>6</w:t>
      </w:r>
      <w:r w:rsidR="003B36F6">
        <w:t>%</w:t>
      </w:r>
      <w:r w:rsidR="00C74171">
        <w:t xml:space="preserve"> and 8</w:t>
      </w:r>
      <w:r>
        <w:t>3</w:t>
      </w:r>
      <w:r w:rsidR="003B36F6">
        <w:t>%</w:t>
      </w:r>
      <w:r w:rsidR="00C74171">
        <w:t xml:space="preserve"> of Australians, respectively, who listened to </w:t>
      </w:r>
      <w:r w:rsidR="00C04767">
        <w:t>that kind of</w:t>
      </w:r>
      <w:r w:rsidR="00C74171">
        <w:t xml:space="preserve"> audio content in the past 7 days).</w:t>
      </w:r>
    </w:p>
    <w:p w14:paraId="1EF0FD8C" w14:textId="7D0ABA3B" w:rsidR="00C74171" w:rsidRDefault="00F72B8A" w:rsidP="00101A53">
      <w:pPr>
        <w:pStyle w:val="ListParagraph"/>
        <w:numPr>
          <w:ilvl w:val="0"/>
          <w:numId w:val="17"/>
        </w:numPr>
        <w:spacing w:before="80"/>
        <w:ind w:left="357" w:hanging="357"/>
        <w:contextualSpacing w:val="0"/>
      </w:pPr>
      <w:r>
        <w:t>Radio listening via the internet was the most common use of smart speakers in 2024 (24% of Australians listened to that kind of audio in the past 7 days), followed by DAB (14%), AM radio (9%) and FM (7%).</w:t>
      </w:r>
      <w:r w:rsidR="00C74171">
        <w:rPr>
          <w:rStyle w:val="FootnoteReference"/>
        </w:rPr>
        <w:footnoteReference w:id="19"/>
      </w:r>
    </w:p>
    <w:p w14:paraId="1E3BB1DD" w14:textId="55EC2D30" w:rsidR="00C74171" w:rsidRDefault="00C74171" w:rsidP="00C74171">
      <w:pPr>
        <w:pStyle w:val="Caption"/>
      </w:pPr>
      <w:bookmarkStart w:id="17" w:name="_Toc173406097"/>
      <w:bookmarkStart w:id="18" w:name="_Toc172030448"/>
      <w:bookmarkStart w:id="19" w:name="_Toc236825664"/>
      <w:r>
        <w:t>Table 1: Devices used to listen to audio content (past 7 days)</w:t>
      </w:r>
      <w:bookmarkEnd w:id="17"/>
      <w:bookmarkEnd w:id="18"/>
      <w:bookmarkEnd w:id="19"/>
    </w:p>
    <w:tbl>
      <w:tblPr>
        <w:tblStyle w:val="DefaultTable1"/>
        <w:tblW w:w="0" w:type="auto"/>
        <w:tblLook w:val="04E0" w:firstRow="1" w:lastRow="1" w:firstColumn="1" w:lastColumn="0" w:noHBand="0" w:noVBand="1"/>
        <w:tblCaption w:val="Sample table"/>
        <w:tblDescription w:val="Sample table"/>
      </w:tblPr>
      <w:tblGrid>
        <w:gridCol w:w="1843"/>
        <w:gridCol w:w="1336"/>
        <w:gridCol w:w="1337"/>
        <w:gridCol w:w="1337"/>
        <w:gridCol w:w="1337"/>
        <w:gridCol w:w="1337"/>
        <w:gridCol w:w="1337"/>
      </w:tblGrid>
      <w:tr w:rsidR="00C74171" w14:paraId="052A2B27" w14:textId="77777777" w:rsidTr="00C741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left w:val="nil"/>
              <w:right w:val="nil"/>
            </w:tcBorders>
          </w:tcPr>
          <w:p w14:paraId="73233922" w14:textId="77777777" w:rsidR="00C74171" w:rsidRDefault="00C74171"/>
        </w:tc>
        <w:tc>
          <w:tcPr>
            <w:tcW w:w="1336" w:type="dxa"/>
            <w:tcBorders>
              <w:left w:val="nil"/>
              <w:right w:val="nil"/>
            </w:tcBorders>
            <w:hideMark/>
          </w:tcPr>
          <w:p w14:paraId="2953C2FE" w14:textId="77777777" w:rsidR="00C74171" w:rsidRDefault="00C74171">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Car audio system</w:t>
            </w:r>
          </w:p>
        </w:tc>
        <w:tc>
          <w:tcPr>
            <w:tcW w:w="1337" w:type="dxa"/>
            <w:tcBorders>
              <w:left w:val="nil"/>
              <w:right w:val="nil"/>
            </w:tcBorders>
            <w:hideMark/>
          </w:tcPr>
          <w:p w14:paraId="0D6C44A5" w14:textId="77777777" w:rsidR="00C74171" w:rsidRDefault="00C74171">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Dedicated radio</w:t>
            </w:r>
          </w:p>
        </w:tc>
        <w:tc>
          <w:tcPr>
            <w:tcW w:w="1337" w:type="dxa"/>
            <w:tcBorders>
              <w:left w:val="nil"/>
              <w:right w:val="nil"/>
            </w:tcBorders>
            <w:hideMark/>
          </w:tcPr>
          <w:p w14:paraId="0D923487" w14:textId="77777777" w:rsidR="00C74171" w:rsidRDefault="00C74171">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Smartphone</w:t>
            </w:r>
          </w:p>
        </w:tc>
        <w:tc>
          <w:tcPr>
            <w:tcW w:w="1337" w:type="dxa"/>
            <w:tcBorders>
              <w:left w:val="nil"/>
              <w:right w:val="nil"/>
            </w:tcBorders>
            <w:hideMark/>
          </w:tcPr>
          <w:p w14:paraId="3CF5D691" w14:textId="77777777" w:rsidR="00C74171" w:rsidRDefault="00C74171">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Computer / Tablet / Laptop</w:t>
            </w:r>
          </w:p>
        </w:tc>
        <w:tc>
          <w:tcPr>
            <w:tcW w:w="1337" w:type="dxa"/>
            <w:tcBorders>
              <w:left w:val="nil"/>
              <w:right w:val="nil"/>
            </w:tcBorders>
            <w:hideMark/>
          </w:tcPr>
          <w:p w14:paraId="3E354301" w14:textId="77777777" w:rsidR="00C74171" w:rsidRDefault="00C74171">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Smart Speaker</w:t>
            </w:r>
          </w:p>
        </w:tc>
        <w:tc>
          <w:tcPr>
            <w:tcW w:w="1337" w:type="dxa"/>
            <w:tcBorders>
              <w:left w:val="nil"/>
              <w:right w:val="nil"/>
            </w:tcBorders>
            <w:hideMark/>
          </w:tcPr>
          <w:p w14:paraId="1C585E66" w14:textId="77777777" w:rsidR="00C74171" w:rsidRDefault="00C74171">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Other</w:t>
            </w:r>
          </w:p>
        </w:tc>
      </w:tr>
      <w:tr w:rsidR="000E6BE6" w14:paraId="2C514E14" w14:textId="77777777" w:rsidTr="004B48C5">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8089" w:themeColor="accent2"/>
              <w:left w:val="nil"/>
              <w:bottom w:val="single" w:sz="4" w:space="0" w:color="008089" w:themeColor="accent2"/>
              <w:right w:val="nil"/>
            </w:tcBorders>
            <w:hideMark/>
          </w:tcPr>
          <w:p w14:paraId="3DC61E35" w14:textId="77777777" w:rsidR="00C74171" w:rsidRDefault="00C74171">
            <w:pPr>
              <w:rPr>
                <w:sz w:val="18"/>
                <w:szCs w:val="18"/>
              </w:rPr>
            </w:pPr>
            <w:r>
              <w:rPr>
                <w:sz w:val="18"/>
                <w:szCs w:val="18"/>
              </w:rPr>
              <w:t>FM radio</w:t>
            </w:r>
          </w:p>
        </w:tc>
        <w:tc>
          <w:tcPr>
            <w:tcW w:w="0" w:type="dxa"/>
            <w:tcBorders>
              <w:top w:val="single" w:sz="4" w:space="0" w:color="008089" w:themeColor="accent2"/>
              <w:left w:val="nil"/>
              <w:bottom w:val="single" w:sz="4" w:space="0" w:color="008089" w:themeColor="accent2"/>
              <w:right w:val="nil"/>
            </w:tcBorders>
            <w:hideMark/>
          </w:tcPr>
          <w:p w14:paraId="7481A314" w14:textId="182BDC1C" w:rsidR="00C74171" w:rsidRDefault="00C74171">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8</w:t>
            </w:r>
            <w:r w:rsidR="008548EB">
              <w:rPr>
                <w:sz w:val="20"/>
                <w:szCs w:val="20"/>
              </w:rPr>
              <w:t>4</w:t>
            </w:r>
          </w:p>
        </w:tc>
        <w:tc>
          <w:tcPr>
            <w:tcW w:w="0" w:type="dxa"/>
            <w:tcBorders>
              <w:top w:val="single" w:sz="4" w:space="0" w:color="008089" w:themeColor="accent2"/>
              <w:left w:val="nil"/>
              <w:bottom w:val="single" w:sz="4" w:space="0" w:color="008089" w:themeColor="accent2"/>
              <w:right w:val="nil"/>
            </w:tcBorders>
            <w:hideMark/>
          </w:tcPr>
          <w:p w14:paraId="2C5A2F93" w14:textId="1DE40843" w:rsidR="00C74171" w:rsidRDefault="00C74171">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w:t>
            </w:r>
            <w:r w:rsidR="008548EB">
              <w:rPr>
                <w:sz w:val="20"/>
                <w:szCs w:val="20"/>
              </w:rPr>
              <w:t>6</w:t>
            </w:r>
          </w:p>
        </w:tc>
        <w:tc>
          <w:tcPr>
            <w:tcW w:w="0" w:type="dxa"/>
            <w:tcBorders>
              <w:top w:val="single" w:sz="4" w:space="0" w:color="008089" w:themeColor="accent2"/>
              <w:left w:val="nil"/>
              <w:bottom w:val="single" w:sz="4" w:space="0" w:color="008089" w:themeColor="accent2"/>
              <w:right w:val="nil"/>
            </w:tcBorders>
            <w:shd w:val="clear" w:color="auto" w:fill="FFFFFF" w:themeFill="background1"/>
            <w:hideMark/>
          </w:tcPr>
          <w:p w14:paraId="1ADFF73E" w14:textId="1131E1EF" w:rsidR="00C74171" w:rsidRPr="004B48C5" w:rsidRDefault="00C74171">
            <w:pPr>
              <w:jc w:val="center"/>
              <w:cnfStyle w:val="000000000000" w:firstRow="0" w:lastRow="0" w:firstColumn="0" w:lastColumn="0" w:oddVBand="0" w:evenVBand="0" w:oddHBand="0" w:evenHBand="0" w:firstRowFirstColumn="0" w:firstRowLastColumn="0" w:lastRowFirstColumn="0" w:lastRowLastColumn="0"/>
              <w:rPr>
                <w:sz w:val="20"/>
                <w:szCs w:val="20"/>
              </w:rPr>
            </w:pPr>
            <w:r w:rsidRPr="004B48C5">
              <w:rPr>
                <w:sz w:val="20"/>
                <w:szCs w:val="20"/>
              </w:rPr>
              <w:t>1</w:t>
            </w:r>
            <w:r w:rsidR="008548EB" w:rsidRPr="004B48C5">
              <w:rPr>
                <w:sz w:val="20"/>
                <w:szCs w:val="20"/>
              </w:rPr>
              <w:t>0</w:t>
            </w:r>
          </w:p>
        </w:tc>
        <w:tc>
          <w:tcPr>
            <w:tcW w:w="0" w:type="dxa"/>
            <w:tcBorders>
              <w:top w:val="single" w:sz="4" w:space="0" w:color="008089" w:themeColor="accent2"/>
              <w:left w:val="nil"/>
              <w:bottom w:val="single" w:sz="4" w:space="0" w:color="008089" w:themeColor="accent2"/>
              <w:right w:val="nil"/>
            </w:tcBorders>
            <w:shd w:val="clear" w:color="auto" w:fill="FFFFFF" w:themeFill="background1"/>
            <w:hideMark/>
          </w:tcPr>
          <w:p w14:paraId="1D1CBB06" w14:textId="77777777" w:rsidR="00C74171" w:rsidRPr="004B48C5" w:rsidRDefault="00C74171">
            <w:pPr>
              <w:jc w:val="center"/>
              <w:cnfStyle w:val="000000000000" w:firstRow="0" w:lastRow="0" w:firstColumn="0" w:lastColumn="0" w:oddVBand="0" w:evenVBand="0" w:oddHBand="0" w:evenHBand="0" w:firstRowFirstColumn="0" w:firstRowLastColumn="0" w:lastRowFirstColumn="0" w:lastRowLastColumn="0"/>
              <w:rPr>
                <w:sz w:val="20"/>
                <w:szCs w:val="20"/>
              </w:rPr>
            </w:pPr>
            <w:r w:rsidRPr="004B48C5">
              <w:rPr>
                <w:sz w:val="20"/>
                <w:szCs w:val="20"/>
              </w:rPr>
              <w:t>4</w:t>
            </w:r>
          </w:p>
        </w:tc>
        <w:tc>
          <w:tcPr>
            <w:tcW w:w="0" w:type="dxa"/>
            <w:tcBorders>
              <w:top w:val="single" w:sz="4" w:space="0" w:color="008089" w:themeColor="accent2"/>
              <w:left w:val="nil"/>
              <w:bottom w:val="single" w:sz="4" w:space="0" w:color="008089" w:themeColor="accent2"/>
              <w:right w:val="nil"/>
            </w:tcBorders>
            <w:shd w:val="clear" w:color="auto" w:fill="FFFFFF" w:themeFill="background1"/>
            <w:hideMark/>
          </w:tcPr>
          <w:p w14:paraId="723FA32D" w14:textId="758DD3DE" w:rsidR="00C74171" w:rsidRPr="004B48C5" w:rsidRDefault="002E4F0B">
            <w:pPr>
              <w:jc w:val="center"/>
              <w:cnfStyle w:val="000000000000" w:firstRow="0" w:lastRow="0" w:firstColumn="0" w:lastColumn="0" w:oddVBand="0" w:evenVBand="0" w:oddHBand="0" w:evenHBand="0" w:firstRowFirstColumn="0" w:firstRowLastColumn="0" w:lastRowFirstColumn="0" w:lastRowLastColumn="0"/>
              <w:rPr>
                <w:sz w:val="20"/>
                <w:szCs w:val="20"/>
              </w:rPr>
            </w:pPr>
            <w:r w:rsidRPr="004B48C5">
              <w:rPr>
                <w:sz w:val="20"/>
                <w:szCs w:val="20"/>
              </w:rPr>
              <w:t>7</w:t>
            </w:r>
          </w:p>
        </w:tc>
        <w:tc>
          <w:tcPr>
            <w:tcW w:w="0" w:type="dxa"/>
            <w:tcBorders>
              <w:top w:val="single" w:sz="4" w:space="0" w:color="008089" w:themeColor="accent2"/>
              <w:left w:val="nil"/>
              <w:bottom w:val="single" w:sz="4" w:space="0" w:color="008089" w:themeColor="accent2"/>
              <w:right w:val="nil"/>
            </w:tcBorders>
            <w:shd w:val="clear" w:color="auto" w:fill="FFFFFF" w:themeFill="background1"/>
            <w:hideMark/>
          </w:tcPr>
          <w:p w14:paraId="0E63F8ED" w14:textId="77777777" w:rsidR="00C74171" w:rsidRPr="00BD355F" w:rsidRDefault="00C74171">
            <w:pPr>
              <w:jc w:val="center"/>
              <w:cnfStyle w:val="000000000000" w:firstRow="0" w:lastRow="0" w:firstColumn="0" w:lastColumn="0" w:oddVBand="0" w:evenVBand="0" w:oddHBand="0" w:evenHBand="0" w:firstRowFirstColumn="0" w:firstRowLastColumn="0" w:lastRowFirstColumn="0" w:lastRowLastColumn="0"/>
              <w:rPr>
                <w:sz w:val="20"/>
                <w:szCs w:val="20"/>
              </w:rPr>
            </w:pPr>
            <w:r w:rsidRPr="00BD355F">
              <w:rPr>
                <w:sz w:val="20"/>
                <w:szCs w:val="20"/>
              </w:rPr>
              <w:t>1</w:t>
            </w:r>
          </w:p>
        </w:tc>
      </w:tr>
      <w:tr w:rsidR="00E32426" w14:paraId="7B773431" w14:textId="77777777" w:rsidTr="009D4A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8089" w:themeColor="accent2"/>
              <w:left w:val="nil"/>
              <w:bottom w:val="single" w:sz="4" w:space="0" w:color="008089" w:themeColor="accent2"/>
              <w:right w:val="nil"/>
            </w:tcBorders>
            <w:hideMark/>
          </w:tcPr>
          <w:p w14:paraId="462D0EA9" w14:textId="77777777" w:rsidR="00C74171" w:rsidRDefault="00C74171">
            <w:pPr>
              <w:rPr>
                <w:sz w:val="18"/>
                <w:szCs w:val="18"/>
              </w:rPr>
            </w:pPr>
            <w:r>
              <w:rPr>
                <w:sz w:val="18"/>
                <w:szCs w:val="18"/>
              </w:rPr>
              <w:t>AM radio</w:t>
            </w:r>
          </w:p>
        </w:tc>
        <w:tc>
          <w:tcPr>
            <w:tcW w:w="0" w:type="dxa"/>
            <w:tcBorders>
              <w:top w:val="single" w:sz="4" w:space="0" w:color="008089" w:themeColor="accent2"/>
              <w:left w:val="nil"/>
              <w:bottom w:val="single" w:sz="4" w:space="0" w:color="008089" w:themeColor="accent2"/>
              <w:right w:val="nil"/>
            </w:tcBorders>
            <w:hideMark/>
          </w:tcPr>
          <w:p w14:paraId="4998487A" w14:textId="0C901008" w:rsidR="00C74171" w:rsidRDefault="00C74171">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7</w:t>
            </w:r>
            <w:r w:rsidR="008548EB">
              <w:rPr>
                <w:sz w:val="20"/>
                <w:szCs w:val="20"/>
              </w:rPr>
              <w:t>3</w:t>
            </w:r>
          </w:p>
        </w:tc>
        <w:tc>
          <w:tcPr>
            <w:tcW w:w="0" w:type="dxa"/>
            <w:tcBorders>
              <w:top w:val="single" w:sz="4" w:space="0" w:color="008089" w:themeColor="accent2"/>
              <w:left w:val="nil"/>
              <w:bottom w:val="single" w:sz="4" w:space="0" w:color="008089" w:themeColor="accent2"/>
              <w:right w:val="nil"/>
            </w:tcBorders>
            <w:hideMark/>
          </w:tcPr>
          <w:p w14:paraId="72215D6A" w14:textId="3F5A9E7F" w:rsidR="00C74171" w:rsidRDefault="008548EB">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41</w:t>
            </w:r>
          </w:p>
        </w:tc>
        <w:tc>
          <w:tcPr>
            <w:tcW w:w="0" w:type="dxa"/>
            <w:tcBorders>
              <w:top w:val="single" w:sz="4" w:space="0" w:color="008089" w:themeColor="accent2"/>
              <w:left w:val="nil"/>
              <w:bottom w:val="single" w:sz="4" w:space="0" w:color="008089" w:themeColor="accent2"/>
              <w:right w:val="nil"/>
            </w:tcBorders>
            <w:hideMark/>
          </w:tcPr>
          <w:p w14:paraId="05099755" w14:textId="3489BD97" w:rsidR="00C74171" w:rsidRPr="004B48C5" w:rsidRDefault="00C74171">
            <w:pPr>
              <w:jc w:val="center"/>
              <w:cnfStyle w:val="000000010000" w:firstRow="0" w:lastRow="0" w:firstColumn="0" w:lastColumn="0" w:oddVBand="0" w:evenVBand="0" w:oddHBand="0" w:evenHBand="1" w:firstRowFirstColumn="0" w:firstRowLastColumn="0" w:lastRowFirstColumn="0" w:lastRowLastColumn="0"/>
              <w:rPr>
                <w:sz w:val="20"/>
                <w:szCs w:val="20"/>
              </w:rPr>
            </w:pPr>
            <w:r w:rsidRPr="004B48C5">
              <w:rPr>
                <w:sz w:val="20"/>
                <w:szCs w:val="20"/>
              </w:rPr>
              <w:t>1</w:t>
            </w:r>
            <w:r w:rsidR="008548EB" w:rsidRPr="004B48C5">
              <w:rPr>
                <w:sz w:val="20"/>
                <w:szCs w:val="20"/>
              </w:rPr>
              <w:t>7</w:t>
            </w:r>
          </w:p>
        </w:tc>
        <w:tc>
          <w:tcPr>
            <w:tcW w:w="0" w:type="dxa"/>
            <w:tcBorders>
              <w:top w:val="single" w:sz="4" w:space="0" w:color="008089" w:themeColor="accent2"/>
              <w:left w:val="nil"/>
              <w:bottom w:val="single" w:sz="4" w:space="0" w:color="008089" w:themeColor="accent2"/>
              <w:right w:val="nil"/>
            </w:tcBorders>
            <w:hideMark/>
          </w:tcPr>
          <w:p w14:paraId="5BFF5A0A" w14:textId="4259F36D" w:rsidR="00C74171" w:rsidRPr="004B48C5" w:rsidRDefault="008548EB">
            <w:pPr>
              <w:jc w:val="center"/>
              <w:cnfStyle w:val="000000010000" w:firstRow="0" w:lastRow="0" w:firstColumn="0" w:lastColumn="0" w:oddVBand="0" w:evenVBand="0" w:oddHBand="0" w:evenHBand="1" w:firstRowFirstColumn="0" w:firstRowLastColumn="0" w:lastRowFirstColumn="0" w:lastRowLastColumn="0"/>
              <w:rPr>
                <w:sz w:val="20"/>
                <w:szCs w:val="20"/>
              </w:rPr>
            </w:pPr>
            <w:r w:rsidRPr="004B48C5">
              <w:rPr>
                <w:sz w:val="20"/>
                <w:szCs w:val="20"/>
              </w:rPr>
              <w:t>10</w:t>
            </w:r>
          </w:p>
        </w:tc>
        <w:tc>
          <w:tcPr>
            <w:tcW w:w="0" w:type="dxa"/>
            <w:tcBorders>
              <w:top w:val="single" w:sz="4" w:space="0" w:color="008089" w:themeColor="accent2"/>
              <w:left w:val="nil"/>
              <w:bottom w:val="single" w:sz="4" w:space="0" w:color="008089" w:themeColor="accent2"/>
              <w:right w:val="nil"/>
            </w:tcBorders>
            <w:hideMark/>
          </w:tcPr>
          <w:p w14:paraId="6E2E1A61" w14:textId="05156771" w:rsidR="00C74171" w:rsidRPr="004B48C5" w:rsidRDefault="002E4F0B">
            <w:pPr>
              <w:jc w:val="center"/>
              <w:cnfStyle w:val="000000010000" w:firstRow="0" w:lastRow="0" w:firstColumn="0" w:lastColumn="0" w:oddVBand="0" w:evenVBand="0" w:oddHBand="0" w:evenHBand="1" w:firstRowFirstColumn="0" w:firstRowLastColumn="0" w:lastRowFirstColumn="0" w:lastRowLastColumn="0"/>
              <w:rPr>
                <w:sz w:val="20"/>
                <w:szCs w:val="20"/>
              </w:rPr>
            </w:pPr>
            <w:r w:rsidRPr="004B48C5">
              <w:rPr>
                <w:sz w:val="20"/>
                <w:szCs w:val="20"/>
              </w:rPr>
              <w:t>9</w:t>
            </w:r>
          </w:p>
        </w:tc>
        <w:tc>
          <w:tcPr>
            <w:tcW w:w="0" w:type="dxa"/>
            <w:tcBorders>
              <w:top w:val="single" w:sz="4" w:space="0" w:color="008089" w:themeColor="accent2"/>
              <w:left w:val="nil"/>
              <w:bottom w:val="single" w:sz="4" w:space="0" w:color="008089" w:themeColor="accent2"/>
              <w:right w:val="nil"/>
            </w:tcBorders>
            <w:hideMark/>
          </w:tcPr>
          <w:p w14:paraId="79B6F8E4" w14:textId="77777777" w:rsidR="00C74171" w:rsidRPr="00BD355F" w:rsidRDefault="00C74171">
            <w:pPr>
              <w:jc w:val="center"/>
              <w:cnfStyle w:val="000000010000" w:firstRow="0" w:lastRow="0" w:firstColumn="0" w:lastColumn="0" w:oddVBand="0" w:evenVBand="0" w:oddHBand="0" w:evenHBand="1" w:firstRowFirstColumn="0" w:firstRowLastColumn="0" w:lastRowFirstColumn="0" w:lastRowLastColumn="0"/>
              <w:rPr>
                <w:sz w:val="20"/>
                <w:szCs w:val="20"/>
              </w:rPr>
            </w:pPr>
            <w:r w:rsidRPr="00BD355F">
              <w:rPr>
                <w:sz w:val="20"/>
                <w:szCs w:val="20"/>
              </w:rPr>
              <w:t>1</w:t>
            </w:r>
          </w:p>
        </w:tc>
      </w:tr>
      <w:tr w:rsidR="000E6BE6" w14:paraId="6BF9ADD7" w14:textId="77777777" w:rsidTr="004B48C5">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8089" w:themeColor="accent2"/>
              <w:left w:val="nil"/>
              <w:bottom w:val="single" w:sz="4" w:space="0" w:color="008089" w:themeColor="accent2"/>
              <w:right w:val="nil"/>
            </w:tcBorders>
            <w:hideMark/>
          </w:tcPr>
          <w:p w14:paraId="271A3543" w14:textId="77777777" w:rsidR="00C74171" w:rsidRDefault="00C74171">
            <w:pPr>
              <w:rPr>
                <w:sz w:val="18"/>
                <w:szCs w:val="18"/>
              </w:rPr>
            </w:pPr>
            <w:r>
              <w:rPr>
                <w:sz w:val="18"/>
                <w:szCs w:val="18"/>
              </w:rPr>
              <w:t>Digital radio (DAB)</w:t>
            </w:r>
          </w:p>
        </w:tc>
        <w:tc>
          <w:tcPr>
            <w:tcW w:w="0" w:type="dxa"/>
            <w:tcBorders>
              <w:top w:val="single" w:sz="4" w:space="0" w:color="008089" w:themeColor="accent2"/>
              <w:left w:val="nil"/>
              <w:bottom w:val="single" w:sz="4" w:space="0" w:color="008089" w:themeColor="accent2"/>
              <w:right w:val="nil"/>
            </w:tcBorders>
            <w:hideMark/>
          </w:tcPr>
          <w:p w14:paraId="337A0FC0" w14:textId="001DD22B" w:rsidR="00C74171" w:rsidRDefault="00C74171">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w:t>
            </w:r>
            <w:r w:rsidR="008548EB">
              <w:rPr>
                <w:sz w:val="20"/>
                <w:szCs w:val="20"/>
              </w:rPr>
              <w:t>2</w:t>
            </w:r>
          </w:p>
        </w:tc>
        <w:tc>
          <w:tcPr>
            <w:tcW w:w="0" w:type="dxa"/>
            <w:tcBorders>
              <w:top w:val="single" w:sz="4" w:space="0" w:color="008089" w:themeColor="accent2"/>
              <w:left w:val="nil"/>
              <w:bottom w:val="single" w:sz="4" w:space="0" w:color="008089" w:themeColor="accent2"/>
              <w:right w:val="nil"/>
            </w:tcBorders>
            <w:hideMark/>
          </w:tcPr>
          <w:p w14:paraId="6CBB0C5E" w14:textId="48E9D0C6" w:rsidR="00C74171" w:rsidRDefault="00C74171">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r w:rsidR="008548EB">
              <w:rPr>
                <w:sz w:val="20"/>
                <w:szCs w:val="20"/>
              </w:rPr>
              <w:t>7</w:t>
            </w:r>
          </w:p>
        </w:tc>
        <w:tc>
          <w:tcPr>
            <w:tcW w:w="0" w:type="dxa"/>
            <w:tcBorders>
              <w:top w:val="single" w:sz="4" w:space="0" w:color="008089" w:themeColor="accent2"/>
              <w:left w:val="nil"/>
              <w:bottom w:val="single" w:sz="4" w:space="0" w:color="008089" w:themeColor="accent2"/>
              <w:right w:val="nil"/>
            </w:tcBorders>
            <w:shd w:val="clear" w:color="auto" w:fill="FFFFFF" w:themeFill="background1"/>
            <w:hideMark/>
          </w:tcPr>
          <w:p w14:paraId="5ED66743" w14:textId="57B11CCC" w:rsidR="00C74171" w:rsidRPr="004B48C5" w:rsidRDefault="00C74171">
            <w:pPr>
              <w:jc w:val="center"/>
              <w:cnfStyle w:val="000000000000" w:firstRow="0" w:lastRow="0" w:firstColumn="0" w:lastColumn="0" w:oddVBand="0" w:evenVBand="0" w:oddHBand="0" w:evenHBand="0" w:firstRowFirstColumn="0" w:firstRowLastColumn="0" w:lastRowFirstColumn="0" w:lastRowLastColumn="0"/>
              <w:rPr>
                <w:sz w:val="20"/>
                <w:szCs w:val="20"/>
              </w:rPr>
            </w:pPr>
            <w:r w:rsidRPr="004B48C5">
              <w:rPr>
                <w:sz w:val="20"/>
                <w:szCs w:val="20"/>
              </w:rPr>
              <w:t>1</w:t>
            </w:r>
            <w:r w:rsidR="008548EB" w:rsidRPr="004B48C5">
              <w:rPr>
                <w:sz w:val="20"/>
                <w:szCs w:val="20"/>
              </w:rPr>
              <w:t>5</w:t>
            </w:r>
          </w:p>
        </w:tc>
        <w:tc>
          <w:tcPr>
            <w:tcW w:w="0" w:type="dxa"/>
            <w:tcBorders>
              <w:top w:val="single" w:sz="4" w:space="0" w:color="008089" w:themeColor="accent2"/>
              <w:left w:val="nil"/>
              <w:bottom w:val="single" w:sz="4" w:space="0" w:color="008089" w:themeColor="accent2"/>
              <w:right w:val="nil"/>
            </w:tcBorders>
            <w:shd w:val="clear" w:color="auto" w:fill="FFFFFF" w:themeFill="background1"/>
            <w:hideMark/>
          </w:tcPr>
          <w:p w14:paraId="62444B95" w14:textId="497B3FB6" w:rsidR="00C74171" w:rsidRPr="004B48C5" w:rsidRDefault="002E4F0B">
            <w:pPr>
              <w:jc w:val="center"/>
              <w:cnfStyle w:val="000000000000" w:firstRow="0" w:lastRow="0" w:firstColumn="0" w:lastColumn="0" w:oddVBand="0" w:evenVBand="0" w:oddHBand="0" w:evenHBand="0" w:firstRowFirstColumn="0" w:firstRowLastColumn="0" w:lastRowFirstColumn="0" w:lastRowLastColumn="0"/>
              <w:rPr>
                <w:sz w:val="20"/>
                <w:szCs w:val="20"/>
              </w:rPr>
            </w:pPr>
            <w:r w:rsidRPr="004B48C5">
              <w:rPr>
                <w:sz w:val="20"/>
                <w:szCs w:val="20"/>
              </w:rPr>
              <w:t>8</w:t>
            </w:r>
          </w:p>
        </w:tc>
        <w:tc>
          <w:tcPr>
            <w:tcW w:w="0" w:type="dxa"/>
            <w:tcBorders>
              <w:top w:val="single" w:sz="4" w:space="0" w:color="008089" w:themeColor="accent2"/>
              <w:left w:val="nil"/>
              <w:bottom w:val="single" w:sz="4" w:space="0" w:color="008089" w:themeColor="accent2"/>
              <w:right w:val="nil"/>
            </w:tcBorders>
            <w:shd w:val="clear" w:color="auto" w:fill="FFFFFF" w:themeFill="background1"/>
            <w:hideMark/>
          </w:tcPr>
          <w:p w14:paraId="71146F96" w14:textId="217B3C22" w:rsidR="00C74171" w:rsidRPr="004B48C5" w:rsidRDefault="00C74171">
            <w:pPr>
              <w:jc w:val="center"/>
              <w:cnfStyle w:val="000000000000" w:firstRow="0" w:lastRow="0" w:firstColumn="0" w:lastColumn="0" w:oddVBand="0" w:evenVBand="0" w:oddHBand="0" w:evenHBand="0" w:firstRowFirstColumn="0" w:firstRowLastColumn="0" w:lastRowFirstColumn="0" w:lastRowLastColumn="0"/>
              <w:rPr>
                <w:sz w:val="20"/>
                <w:szCs w:val="20"/>
              </w:rPr>
            </w:pPr>
            <w:r w:rsidRPr="004B48C5">
              <w:rPr>
                <w:sz w:val="20"/>
                <w:szCs w:val="20"/>
              </w:rPr>
              <w:t>1</w:t>
            </w:r>
            <w:r w:rsidR="002E4F0B" w:rsidRPr="004B48C5">
              <w:rPr>
                <w:sz w:val="20"/>
                <w:szCs w:val="20"/>
              </w:rPr>
              <w:t>4</w:t>
            </w:r>
          </w:p>
        </w:tc>
        <w:tc>
          <w:tcPr>
            <w:tcW w:w="0" w:type="dxa"/>
            <w:tcBorders>
              <w:top w:val="single" w:sz="4" w:space="0" w:color="008089" w:themeColor="accent2"/>
              <w:left w:val="nil"/>
              <w:bottom w:val="single" w:sz="4" w:space="0" w:color="008089" w:themeColor="accent2"/>
              <w:right w:val="nil"/>
            </w:tcBorders>
            <w:shd w:val="clear" w:color="auto" w:fill="FFFFFF" w:themeFill="background1"/>
            <w:hideMark/>
          </w:tcPr>
          <w:p w14:paraId="3809D33D" w14:textId="77777777" w:rsidR="00C74171" w:rsidRPr="00BD355F" w:rsidRDefault="00C74171">
            <w:pPr>
              <w:jc w:val="center"/>
              <w:cnfStyle w:val="000000000000" w:firstRow="0" w:lastRow="0" w:firstColumn="0" w:lastColumn="0" w:oddVBand="0" w:evenVBand="0" w:oddHBand="0" w:evenHBand="0" w:firstRowFirstColumn="0" w:firstRowLastColumn="0" w:lastRowFirstColumn="0" w:lastRowLastColumn="0"/>
              <w:rPr>
                <w:sz w:val="20"/>
                <w:szCs w:val="20"/>
              </w:rPr>
            </w:pPr>
            <w:r w:rsidRPr="00BD355F">
              <w:rPr>
                <w:sz w:val="20"/>
                <w:szCs w:val="20"/>
              </w:rPr>
              <w:t>1</w:t>
            </w:r>
          </w:p>
        </w:tc>
      </w:tr>
      <w:tr w:rsidR="00E32426" w14:paraId="1461C5C7" w14:textId="77777777" w:rsidTr="009D4A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8089" w:themeColor="accent2"/>
              <w:left w:val="nil"/>
              <w:bottom w:val="single" w:sz="4" w:space="0" w:color="008089" w:themeColor="accent2"/>
              <w:right w:val="nil"/>
            </w:tcBorders>
            <w:hideMark/>
          </w:tcPr>
          <w:p w14:paraId="648EF369" w14:textId="77777777" w:rsidR="00C74171" w:rsidRDefault="00C74171">
            <w:pPr>
              <w:rPr>
                <w:sz w:val="18"/>
                <w:szCs w:val="18"/>
              </w:rPr>
            </w:pPr>
            <w:r>
              <w:rPr>
                <w:sz w:val="18"/>
                <w:szCs w:val="18"/>
              </w:rPr>
              <w:t>Radio via the internet or an app (excluding podcasts)</w:t>
            </w:r>
          </w:p>
        </w:tc>
        <w:tc>
          <w:tcPr>
            <w:tcW w:w="0" w:type="dxa"/>
            <w:tcBorders>
              <w:top w:val="single" w:sz="4" w:space="0" w:color="008089" w:themeColor="accent2"/>
              <w:left w:val="nil"/>
              <w:bottom w:val="single" w:sz="4" w:space="0" w:color="008089" w:themeColor="accent2"/>
              <w:right w:val="nil"/>
            </w:tcBorders>
            <w:hideMark/>
          </w:tcPr>
          <w:p w14:paraId="5B1CE8F9" w14:textId="3A63DDEF" w:rsidR="00C74171" w:rsidRDefault="00C56AFA">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31</w:t>
            </w:r>
          </w:p>
        </w:tc>
        <w:tc>
          <w:tcPr>
            <w:tcW w:w="0" w:type="dxa"/>
            <w:tcBorders>
              <w:top w:val="single" w:sz="4" w:space="0" w:color="008089" w:themeColor="accent2"/>
              <w:left w:val="nil"/>
              <w:bottom w:val="single" w:sz="4" w:space="0" w:color="008089" w:themeColor="accent2"/>
              <w:right w:val="nil"/>
            </w:tcBorders>
            <w:hideMark/>
          </w:tcPr>
          <w:p w14:paraId="7F226C86" w14:textId="33675793" w:rsidR="00C74171" w:rsidRPr="004B48C5" w:rsidRDefault="00C56AFA">
            <w:pPr>
              <w:jc w:val="center"/>
              <w:cnfStyle w:val="000000010000" w:firstRow="0" w:lastRow="0" w:firstColumn="0" w:lastColumn="0" w:oddVBand="0" w:evenVBand="0" w:oddHBand="0" w:evenHBand="1" w:firstRowFirstColumn="0" w:firstRowLastColumn="0" w:lastRowFirstColumn="0" w:lastRowLastColumn="0"/>
              <w:rPr>
                <w:sz w:val="20"/>
                <w:szCs w:val="20"/>
              </w:rPr>
            </w:pPr>
            <w:r w:rsidRPr="004B48C5">
              <w:rPr>
                <w:sz w:val="20"/>
                <w:szCs w:val="20"/>
              </w:rPr>
              <w:t>11</w:t>
            </w:r>
          </w:p>
        </w:tc>
        <w:tc>
          <w:tcPr>
            <w:tcW w:w="0" w:type="dxa"/>
            <w:tcBorders>
              <w:top w:val="single" w:sz="4" w:space="0" w:color="008089" w:themeColor="accent2"/>
              <w:left w:val="nil"/>
              <w:bottom w:val="single" w:sz="4" w:space="0" w:color="008089" w:themeColor="accent2"/>
              <w:right w:val="nil"/>
            </w:tcBorders>
            <w:hideMark/>
          </w:tcPr>
          <w:p w14:paraId="66AA493D" w14:textId="3B543285" w:rsidR="00C74171" w:rsidRPr="004B48C5" w:rsidRDefault="00C56AFA">
            <w:pPr>
              <w:jc w:val="center"/>
              <w:cnfStyle w:val="000000010000" w:firstRow="0" w:lastRow="0" w:firstColumn="0" w:lastColumn="0" w:oddVBand="0" w:evenVBand="0" w:oddHBand="0" w:evenHBand="1" w:firstRowFirstColumn="0" w:firstRowLastColumn="0" w:lastRowFirstColumn="0" w:lastRowLastColumn="0"/>
              <w:rPr>
                <w:sz w:val="20"/>
                <w:szCs w:val="20"/>
              </w:rPr>
            </w:pPr>
            <w:r w:rsidRPr="004B48C5">
              <w:rPr>
                <w:sz w:val="20"/>
                <w:szCs w:val="20"/>
              </w:rPr>
              <w:t>56</w:t>
            </w:r>
          </w:p>
        </w:tc>
        <w:tc>
          <w:tcPr>
            <w:tcW w:w="0" w:type="dxa"/>
            <w:tcBorders>
              <w:top w:val="single" w:sz="4" w:space="0" w:color="008089" w:themeColor="accent2"/>
              <w:left w:val="nil"/>
              <w:bottom w:val="single" w:sz="4" w:space="0" w:color="008089" w:themeColor="accent2"/>
              <w:right w:val="nil"/>
            </w:tcBorders>
            <w:hideMark/>
          </w:tcPr>
          <w:p w14:paraId="2DC88D0A" w14:textId="7DE25E61" w:rsidR="00C74171" w:rsidRPr="004B48C5" w:rsidRDefault="00C56AFA">
            <w:pPr>
              <w:jc w:val="center"/>
              <w:cnfStyle w:val="000000010000" w:firstRow="0" w:lastRow="0" w:firstColumn="0" w:lastColumn="0" w:oddVBand="0" w:evenVBand="0" w:oddHBand="0" w:evenHBand="1" w:firstRowFirstColumn="0" w:firstRowLastColumn="0" w:lastRowFirstColumn="0" w:lastRowLastColumn="0"/>
              <w:rPr>
                <w:sz w:val="20"/>
                <w:szCs w:val="20"/>
              </w:rPr>
            </w:pPr>
            <w:r w:rsidRPr="004B48C5">
              <w:rPr>
                <w:sz w:val="20"/>
                <w:szCs w:val="20"/>
              </w:rPr>
              <w:t>3</w:t>
            </w:r>
            <w:r w:rsidR="00C74171" w:rsidRPr="004B48C5">
              <w:rPr>
                <w:sz w:val="20"/>
                <w:szCs w:val="20"/>
              </w:rPr>
              <w:t>7</w:t>
            </w:r>
          </w:p>
        </w:tc>
        <w:tc>
          <w:tcPr>
            <w:tcW w:w="0" w:type="dxa"/>
            <w:tcBorders>
              <w:top w:val="single" w:sz="4" w:space="0" w:color="008089" w:themeColor="accent2"/>
              <w:left w:val="nil"/>
              <w:bottom w:val="single" w:sz="4" w:space="0" w:color="008089" w:themeColor="accent2"/>
              <w:right w:val="nil"/>
            </w:tcBorders>
            <w:hideMark/>
          </w:tcPr>
          <w:p w14:paraId="01D79759" w14:textId="6F88C645" w:rsidR="00C74171" w:rsidRPr="004B48C5" w:rsidRDefault="00C74171">
            <w:pPr>
              <w:jc w:val="center"/>
              <w:cnfStyle w:val="000000010000" w:firstRow="0" w:lastRow="0" w:firstColumn="0" w:lastColumn="0" w:oddVBand="0" w:evenVBand="0" w:oddHBand="0" w:evenHBand="1" w:firstRowFirstColumn="0" w:firstRowLastColumn="0" w:lastRowFirstColumn="0" w:lastRowLastColumn="0"/>
              <w:rPr>
                <w:sz w:val="20"/>
                <w:szCs w:val="20"/>
              </w:rPr>
            </w:pPr>
            <w:r w:rsidRPr="004B48C5">
              <w:rPr>
                <w:sz w:val="20"/>
                <w:szCs w:val="20"/>
              </w:rPr>
              <w:t>2</w:t>
            </w:r>
            <w:r w:rsidR="00C56AFA" w:rsidRPr="004B48C5">
              <w:rPr>
                <w:sz w:val="20"/>
                <w:szCs w:val="20"/>
              </w:rPr>
              <w:t>6</w:t>
            </w:r>
          </w:p>
        </w:tc>
        <w:tc>
          <w:tcPr>
            <w:tcW w:w="0" w:type="dxa"/>
            <w:tcBorders>
              <w:top w:val="single" w:sz="4" w:space="0" w:color="008089" w:themeColor="accent2"/>
              <w:left w:val="nil"/>
              <w:bottom w:val="single" w:sz="4" w:space="0" w:color="008089" w:themeColor="accent2"/>
              <w:right w:val="nil"/>
            </w:tcBorders>
            <w:hideMark/>
          </w:tcPr>
          <w:p w14:paraId="46D5D539" w14:textId="462E9CD4" w:rsidR="00C74171" w:rsidRPr="00BD355F" w:rsidRDefault="00C56AFA">
            <w:pPr>
              <w:jc w:val="center"/>
              <w:cnfStyle w:val="000000010000" w:firstRow="0" w:lastRow="0" w:firstColumn="0" w:lastColumn="0" w:oddVBand="0" w:evenVBand="0" w:oddHBand="0" w:evenHBand="1" w:firstRowFirstColumn="0" w:firstRowLastColumn="0" w:lastRowFirstColumn="0" w:lastRowLastColumn="0"/>
              <w:rPr>
                <w:sz w:val="20"/>
                <w:szCs w:val="20"/>
              </w:rPr>
            </w:pPr>
            <w:r w:rsidRPr="00BD355F">
              <w:rPr>
                <w:sz w:val="20"/>
                <w:szCs w:val="20"/>
              </w:rPr>
              <w:t>3</w:t>
            </w:r>
          </w:p>
        </w:tc>
      </w:tr>
      <w:tr w:rsidR="000E6BE6" w14:paraId="3A06E0FF" w14:textId="77777777" w:rsidTr="004B48C5">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8089" w:themeColor="accent2"/>
              <w:left w:val="nil"/>
              <w:bottom w:val="single" w:sz="4" w:space="0" w:color="008089" w:themeColor="accent2"/>
              <w:right w:val="nil"/>
            </w:tcBorders>
            <w:hideMark/>
          </w:tcPr>
          <w:p w14:paraId="05ED1426" w14:textId="77777777" w:rsidR="00C74171" w:rsidRDefault="00C74171">
            <w:pPr>
              <w:rPr>
                <w:sz w:val="18"/>
                <w:szCs w:val="18"/>
              </w:rPr>
            </w:pPr>
            <w:r>
              <w:rPr>
                <w:sz w:val="18"/>
                <w:szCs w:val="18"/>
              </w:rPr>
              <w:t>Online music streaming service</w:t>
            </w:r>
          </w:p>
        </w:tc>
        <w:tc>
          <w:tcPr>
            <w:tcW w:w="0" w:type="dxa"/>
            <w:tcBorders>
              <w:top w:val="single" w:sz="4" w:space="0" w:color="008089" w:themeColor="accent2"/>
              <w:left w:val="nil"/>
              <w:bottom w:val="single" w:sz="4" w:space="0" w:color="008089" w:themeColor="accent2"/>
              <w:right w:val="nil"/>
            </w:tcBorders>
            <w:hideMark/>
          </w:tcPr>
          <w:p w14:paraId="732AB9C3" w14:textId="77777777" w:rsidR="00C74171" w:rsidRDefault="00C74171">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30</w:t>
            </w:r>
          </w:p>
        </w:tc>
        <w:tc>
          <w:tcPr>
            <w:tcW w:w="0" w:type="dxa"/>
            <w:tcBorders>
              <w:top w:val="single" w:sz="4" w:space="0" w:color="008089" w:themeColor="accent2"/>
              <w:left w:val="nil"/>
              <w:bottom w:val="single" w:sz="4" w:space="0" w:color="008089" w:themeColor="accent2"/>
              <w:right w:val="nil"/>
            </w:tcBorders>
            <w:hideMark/>
          </w:tcPr>
          <w:p w14:paraId="49256460" w14:textId="77777777" w:rsidR="00C74171" w:rsidRPr="004B48C5" w:rsidRDefault="00C74171">
            <w:pPr>
              <w:jc w:val="center"/>
              <w:cnfStyle w:val="000000000000" w:firstRow="0" w:lastRow="0" w:firstColumn="0" w:lastColumn="0" w:oddVBand="0" w:evenVBand="0" w:oddHBand="0" w:evenHBand="0" w:firstRowFirstColumn="0" w:firstRowLastColumn="0" w:lastRowFirstColumn="0" w:lastRowLastColumn="0"/>
              <w:rPr>
                <w:sz w:val="20"/>
                <w:szCs w:val="20"/>
              </w:rPr>
            </w:pPr>
            <w:r w:rsidRPr="004B48C5">
              <w:rPr>
                <w:sz w:val="20"/>
                <w:szCs w:val="20"/>
              </w:rPr>
              <w:t>2</w:t>
            </w:r>
          </w:p>
        </w:tc>
        <w:tc>
          <w:tcPr>
            <w:tcW w:w="0" w:type="dxa"/>
            <w:tcBorders>
              <w:top w:val="single" w:sz="4" w:space="0" w:color="008089" w:themeColor="accent2"/>
              <w:left w:val="nil"/>
              <w:bottom w:val="single" w:sz="4" w:space="0" w:color="008089" w:themeColor="accent2"/>
              <w:right w:val="nil"/>
            </w:tcBorders>
            <w:shd w:val="clear" w:color="auto" w:fill="FFFFFF" w:themeFill="background1"/>
            <w:hideMark/>
          </w:tcPr>
          <w:p w14:paraId="3A889E80" w14:textId="00B07F94" w:rsidR="00C74171" w:rsidRPr="004B48C5" w:rsidRDefault="00C74171">
            <w:pPr>
              <w:jc w:val="center"/>
              <w:cnfStyle w:val="000000000000" w:firstRow="0" w:lastRow="0" w:firstColumn="0" w:lastColumn="0" w:oddVBand="0" w:evenVBand="0" w:oddHBand="0" w:evenHBand="0" w:firstRowFirstColumn="0" w:firstRowLastColumn="0" w:lastRowFirstColumn="0" w:lastRowLastColumn="0"/>
              <w:rPr>
                <w:sz w:val="20"/>
                <w:szCs w:val="20"/>
              </w:rPr>
            </w:pPr>
            <w:r w:rsidRPr="004B48C5">
              <w:rPr>
                <w:sz w:val="20"/>
                <w:szCs w:val="20"/>
              </w:rPr>
              <w:t>8</w:t>
            </w:r>
            <w:r w:rsidR="00C56AFA" w:rsidRPr="004B48C5">
              <w:rPr>
                <w:sz w:val="20"/>
                <w:szCs w:val="20"/>
              </w:rPr>
              <w:t>3</w:t>
            </w:r>
          </w:p>
        </w:tc>
        <w:tc>
          <w:tcPr>
            <w:tcW w:w="0" w:type="dxa"/>
            <w:tcBorders>
              <w:top w:val="single" w:sz="4" w:space="0" w:color="008089" w:themeColor="accent2"/>
              <w:left w:val="nil"/>
              <w:bottom w:val="single" w:sz="4" w:space="0" w:color="008089" w:themeColor="accent2"/>
              <w:right w:val="nil"/>
            </w:tcBorders>
            <w:shd w:val="clear" w:color="auto" w:fill="FFFFFF" w:themeFill="background1"/>
            <w:hideMark/>
          </w:tcPr>
          <w:p w14:paraId="2635765C" w14:textId="77777777" w:rsidR="00C74171" w:rsidRPr="004B48C5" w:rsidRDefault="00C74171">
            <w:pPr>
              <w:jc w:val="center"/>
              <w:cnfStyle w:val="000000000000" w:firstRow="0" w:lastRow="0" w:firstColumn="0" w:lastColumn="0" w:oddVBand="0" w:evenVBand="0" w:oddHBand="0" w:evenHBand="0" w:firstRowFirstColumn="0" w:firstRowLastColumn="0" w:lastRowFirstColumn="0" w:lastRowLastColumn="0"/>
              <w:rPr>
                <w:sz w:val="20"/>
                <w:szCs w:val="20"/>
              </w:rPr>
            </w:pPr>
            <w:r w:rsidRPr="004B48C5">
              <w:rPr>
                <w:sz w:val="20"/>
                <w:szCs w:val="20"/>
              </w:rPr>
              <w:t>31</w:t>
            </w:r>
          </w:p>
        </w:tc>
        <w:tc>
          <w:tcPr>
            <w:tcW w:w="0" w:type="dxa"/>
            <w:tcBorders>
              <w:top w:val="single" w:sz="4" w:space="0" w:color="008089" w:themeColor="accent2"/>
              <w:left w:val="nil"/>
              <w:bottom w:val="single" w:sz="4" w:space="0" w:color="008089" w:themeColor="accent2"/>
              <w:right w:val="nil"/>
            </w:tcBorders>
            <w:shd w:val="clear" w:color="auto" w:fill="FFFFFF" w:themeFill="background1"/>
            <w:hideMark/>
          </w:tcPr>
          <w:p w14:paraId="6C0A6370" w14:textId="6E281F1F" w:rsidR="00C74171" w:rsidRPr="004B48C5" w:rsidRDefault="00C74171">
            <w:pPr>
              <w:jc w:val="center"/>
              <w:cnfStyle w:val="000000000000" w:firstRow="0" w:lastRow="0" w:firstColumn="0" w:lastColumn="0" w:oddVBand="0" w:evenVBand="0" w:oddHBand="0" w:evenHBand="0" w:firstRowFirstColumn="0" w:firstRowLastColumn="0" w:lastRowFirstColumn="0" w:lastRowLastColumn="0"/>
              <w:rPr>
                <w:sz w:val="20"/>
                <w:szCs w:val="20"/>
              </w:rPr>
            </w:pPr>
            <w:r w:rsidRPr="004B48C5">
              <w:rPr>
                <w:sz w:val="20"/>
                <w:szCs w:val="20"/>
              </w:rPr>
              <w:t>2</w:t>
            </w:r>
            <w:r w:rsidR="00C56AFA" w:rsidRPr="004B48C5">
              <w:rPr>
                <w:sz w:val="20"/>
                <w:szCs w:val="20"/>
              </w:rPr>
              <w:t>4</w:t>
            </w:r>
          </w:p>
        </w:tc>
        <w:tc>
          <w:tcPr>
            <w:tcW w:w="0" w:type="dxa"/>
            <w:tcBorders>
              <w:top w:val="single" w:sz="4" w:space="0" w:color="008089" w:themeColor="accent2"/>
              <w:left w:val="nil"/>
              <w:bottom w:val="single" w:sz="4" w:space="0" w:color="008089" w:themeColor="accent2"/>
              <w:right w:val="nil"/>
            </w:tcBorders>
            <w:shd w:val="clear" w:color="auto" w:fill="FFFFFF" w:themeFill="background1"/>
            <w:hideMark/>
          </w:tcPr>
          <w:p w14:paraId="6595AC7B" w14:textId="13CE41C6" w:rsidR="00C74171" w:rsidRPr="00BD355F" w:rsidRDefault="00C56AFA">
            <w:pPr>
              <w:jc w:val="center"/>
              <w:cnfStyle w:val="000000000000" w:firstRow="0" w:lastRow="0" w:firstColumn="0" w:lastColumn="0" w:oddVBand="0" w:evenVBand="0" w:oddHBand="0" w:evenHBand="0" w:firstRowFirstColumn="0" w:firstRowLastColumn="0" w:lastRowFirstColumn="0" w:lastRowLastColumn="0"/>
              <w:rPr>
                <w:sz w:val="20"/>
                <w:szCs w:val="20"/>
              </w:rPr>
            </w:pPr>
            <w:r w:rsidRPr="00BD355F">
              <w:rPr>
                <w:sz w:val="20"/>
                <w:szCs w:val="20"/>
              </w:rPr>
              <w:t>3</w:t>
            </w:r>
          </w:p>
        </w:tc>
      </w:tr>
      <w:tr w:rsidR="000E6BE6" w14:paraId="35255BA8" w14:textId="77777777" w:rsidTr="009D4A0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8089" w:themeColor="accent2"/>
              <w:left w:val="nil"/>
              <w:bottom w:val="single" w:sz="4" w:space="0" w:color="008089" w:themeColor="accent2"/>
              <w:right w:val="nil"/>
            </w:tcBorders>
            <w:shd w:val="clear" w:color="auto" w:fill="E7E7E7" w:themeFill="background2"/>
            <w:hideMark/>
          </w:tcPr>
          <w:p w14:paraId="34F26935" w14:textId="77777777" w:rsidR="00C74171" w:rsidRDefault="00C74171">
            <w:pPr>
              <w:rPr>
                <w:sz w:val="18"/>
                <w:szCs w:val="18"/>
              </w:rPr>
            </w:pPr>
            <w:r>
              <w:rPr>
                <w:sz w:val="18"/>
                <w:szCs w:val="18"/>
              </w:rPr>
              <w:t>Podcasts</w:t>
            </w:r>
          </w:p>
        </w:tc>
        <w:tc>
          <w:tcPr>
            <w:tcW w:w="0" w:type="dxa"/>
            <w:tcBorders>
              <w:top w:val="single" w:sz="4" w:space="0" w:color="008089" w:themeColor="accent2"/>
              <w:left w:val="nil"/>
              <w:bottom w:val="single" w:sz="4" w:space="0" w:color="008089" w:themeColor="accent2"/>
              <w:right w:val="nil"/>
            </w:tcBorders>
            <w:shd w:val="clear" w:color="auto" w:fill="E7E7E7" w:themeFill="background2"/>
            <w:hideMark/>
          </w:tcPr>
          <w:p w14:paraId="52BAF689" w14:textId="77777777" w:rsidR="00C74171" w:rsidRDefault="00C74171">
            <w:pPr>
              <w:jc w:val="center"/>
              <w:cnfStyle w:val="010000000000" w:firstRow="0" w:lastRow="1" w:firstColumn="0" w:lastColumn="0" w:oddVBand="0" w:evenVBand="0" w:oddHBand="0" w:evenHBand="0" w:firstRowFirstColumn="0" w:firstRowLastColumn="0" w:lastRowFirstColumn="0" w:lastRowLastColumn="0"/>
              <w:rPr>
                <w:b w:val="0"/>
                <w:sz w:val="20"/>
                <w:szCs w:val="20"/>
              </w:rPr>
            </w:pPr>
            <w:r>
              <w:rPr>
                <w:b w:val="0"/>
                <w:sz w:val="20"/>
                <w:szCs w:val="20"/>
              </w:rPr>
              <w:t>19</w:t>
            </w:r>
          </w:p>
        </w:tc>
        <w:tc>
          <w:tcPr>
            <w:tcW w:w="0" w:type="dxa"/>
            <w:tcBorders>
              <w:top w:val="single" w:sz="4" w:space="0" w:color="008089" w:themeColor="accent2"/>
              <w:left w:val="nil"/>
              <w:bottom w:val="single" w:sz="4" w:space="0" w:color="008089" w:themeColor="accent2"/>
              <w:right w:val="nil"/>
            </w:tcBorders>
            <w:shd w:val="clear" w:color="auto" w:fill="E7E7E7" w:themeFill="background2"/>
            <w:hideMark/>
          </w:tcPr>
          <w:p w14:paraId="6990CF44" w14:textId="77777777" w:rsidR="00C74171" w:rsidRPr="00BD355F" w:rsidRDefault="00C74171">
            <w:pPr>
              <w:jc w:val="center"/>
              <w:cnfStyle w:val="010000000000" w:firstRow="0" w:lastRow="1" w:firstColumn="0" w:lastColumn="0" w:oddVBand="0" w:evenVBand="0" w:oddHBand="0" w:evenHBand="0" w:firstRowFirstColumn="0" w:firstRowLastColumn="0" w:lastRowFirstColumn="0" w:lastRowLastColumn="0"/>
              <w:rPr>
                <w:b w:val="0"/>
                <w:bCs/>
                <w:sz w:val="20"/>
                <w:szCs w:val="20"/>
              </w:rPr>
            </w:pPr>
            <w:r w:rsidRPr="00BD355F">
              <w:rPr>
                <w:b w:val="0"/>
                <w:bCs/>
                <w:sz w:val="20"/>
                <w:szCs w:val="20"/>
              </w:rPr>
              <w:t>2</w:t>
            </w:r>
          </w:p>
        </w:tc>
        <w:tc>
          <w:tcPr>
            <w:tcW w:w="0" w:type="dxa"/>
            <w:tcBorders>
              <w:top w:val="single" w:sz="4" w:space="0" w:color="008089" w:themeColor="accent2"/>
              <w:left w:val="nil"/>
              <w:bottom w:val="single" w:sz="4" w:space="0" w:color="008089" w:themeColor="accent2"/>
              <w:right w:val="nil"/>
            </w:tcBorders>
            <w:shd w:val="clear" w:color="auto" w:fill="F2F2F2" w:themeFill="background1" w:themeFillShade="F2"/>
            <w:hideMark/>
          </w:tcPr>
          <w:p w14:paraId="736C5A50" w14:textId="0E4CE4EE" w:rsidR="00C74171" w:rsidRPr="004B48C5" w:rsidRDefault="00C74171">
            <w:pPr>
              <w:jc w:val="center"/>
              <w:cnfStyle w:val="010000000000" w:firstRow="0" w:lastRow="1" w:firstColumn="0" w:lastColumn="0" w:oddVBand="0" w:evenVBand="0" w:oddHBand="0" w:evenHBand="0" w:firstRowFirstColumn="0" w:firstRowLastColumn="0" w:lastRowFirstColumn="0" w:lastRowLastColumn="0"/>
              <w:rPr>
                <w:b w:val="0"/>
                <w:sz w:val="20"/>
                <w:szCs w:val="20"/>
              </w:rPr>
            </w:pPr>
            <w:r w:rsidRPr="004B48C5">
              <w:rPr>
                <w:b w:val="0"/>
                <w:sz w:val="20"/>
                <w:szCs w:val="20"/>
              </w:rPr>
              <w:t>8</w:t>
            </w:r>
            <w:r w:rsidR="00C56AFA" w:rsidRPr="004B48C5">
              <w:rPr>
                <w:b w:val="0"/>
                <w:sz w:val="20"/>
                <w:szCs w:val="20"/>
              </w:rPr>
              <w:t>6</w:t>
            </w:r>
          </w:p>
        </w:tc>
        <w:tc>
          <w:tcPr>
            <w:tcW w:w="0" w:type="dxa"/>
            <w:tcBorders>
              <w:top w:val="single" w:sz="4" w:space="0" w:color="008089" w:themeColor="accent2"/>
              <w:left w:val="nil"/>
              <w:bottom w:val="single" w:sz="4" w:space="0" w:color="008089" w:themeColor="accent2"/>
              <w:right w:val="nil"/>
            </w:tcBorders>
            <w:shd w:val="clear" w:color="auto" w:fill="F2F2F2" w:themeFill="background1" w:themeFillShade="F2"/>
            <w:hideMark/>
          </w:tcPr>
          <w:p w14:paraId="1ED19D82" w14:textId="2E1FB5E7" w:rsidR="00C74171" w:rsidRPr="004B48C5" w:rsidRDefault="00C74171">
            <w:pPr>
              <w:jc w:val="center"/>
              <w:cnfStyle w:val="010000000000" w:firstRow="0" w:lastRow="1" w:firstColumn="0" w:lastColumn="0" w:oddVBand="0" w:evenVBand="0" w:oddHBand="0" w:evenHBand="0" w:firstRowFirstColumn="0" w:firstRowLastColumn="0" w:lastRowFirstColumn="0" w:lastRowLastColumn="0"/>
              <w:rPr>
                <w:b w:val="0"/>
                <w:sz w:val="20"/>
                <w:szCs w:val="20"/>
              </w:rPr>
            </w:pPr>
            <w:r w:rsidRPr="004B48C5">
              <w:rPr>
                <w:b w:val="0"/>
                <w:sz w:val="20"/>
                <w:szCs w:val="20"/>
              </w:rPr>
              <w:t>2</w:t>
            </w:r>
            <w:r w:rsidR="00C56AFA" w:rsidRPr="004B48C5">
              <w:rPr>
                <w:b w:val="0"/>
                <w:sz w:val="20"/>
                <w:szCs w:val="20"/>
              </w:rPr>
              <w:t>0</w:t>
            </w:r>
          </w:p>
        </w:tc>
        <w:tc>
          <w:tcPr>
            <w:tcW w:w="0" w:type="dxa"/>
            <w:tcBorders>
              <w:top w:val="single" w:sz="4" w:space="0" w:color="008089" w:themeColor="accent2"/>
              <w:left w:val="nil"/>
              <w:bottom w:val="single" w:sz="4" w:space="0" w:color="008089" w:themeColor="accent2"/>
              <w:right w:val="nil"/>
            </w:tcBorders>
            <w:shd w:val="clear" w:color="auto" w:fill="F2F2F2" w:themeFill="background1" w:themeFillShade="F2"/>
            <w:hideMark/>
          </w:tcPr>
          <w:p w14:paraId="6A94542C" w14:textId="77777777" w:rsidR="00C74171" w:rsidRPr="004B48C5" w:rsidRDefault="00C74171">
            <w:pPr>
              <w:jc w:val="center"/>
              <w:cnfStyle w:val="010000000000" w:firstRow="0" w:lastRow="1" w:firstColumn="0" w:lastColumn="0" w:oddVBand="0" w:evenVBand="0" w:oddHBand="0" w:evenHBand="0" w:firstRowFirstColumn="0" w:firstRowLastColumn="0" w:lastRowFirstColumn="0" w:lastRowLastColumn="0"/>
              <w:rPr>
                <w:b w:val="0"/>
                <w:sz w:val="20"/>
                <w:szCs w:val="20"/>
              </w:rPr>
            </w:pPr>
            <w:r w:rsidRPr="004B48C5">
              <w:rPr>
                <w:b w:val="0"/>
                <w:sz w:val="20"/>
                <w:szCs w:val="20"/>
              </w:rPr>
              <w:t>7</w:t>
            </w:r>
          </w:p>
        </w:tc>
        <w:tc>
          <w:tcPr>
            <w:tcW w:w="0" w:type="dxa"/>
            <w:tcBorders>
              <w:top w:val="single" w:sz="4" w:space="0" w:color="008089" w:themeColor="accent2"/>
              <w:left w:val="nil"/>
              <w:bottom w:val="single" w:sz="4" w:space="0" w:color="008089" w:themeColor="accent2"/>
              <w:right w:val="nil"/>
            </w:tcBorders>
            <w:shd w:val="clear" w:color="auto" w:fill="F2F2F2" w:themeFill="background1" w:themeFillShade="F2"/>
            <w:hideMark/>
          </w:tcPr>
          <w:p w14:paraId="576E14EB" w14:textId="71442536" w:rsidR="00C74171" w:rsidRPr="00BD355F" w:rsidRDefault="00C56AFA">
            <w:pPr>
              <w:jc w:val="center"/>
              <w:cnfStyle w:val="010000000000" w:firstRow="0" w:lastRow="1" w:firstColumn="0" w:lastColumn="0" w:oddVBand="0" w:evenVBand="0" w:oddHBand="0" w:evenHBand="0" w:firstRowFirstColumn="0" w:firstRowLastColumn="0" w:lastRowFirstColumn="0" w:lastRowLastColumn="0"/>
              <w:rPr>
                <w:b w:val="0"/>
                <w:bCs/>
                <w:sz w:val="20"/>
                <w:szCs w:val="20"/>
              </w:rPr>
            </w:pPr>
            <w:r w:rsidRPr="00BD355F">
              <w:rPr>
                <w:b w:val="0"/>
                <w:bCs/>
                <w:sz w:val="20"/>
                <w:szCs w:val="20"/>
              </w:rPr>
              <w:t>1</w:t>
            </w:r>
          </w:p>
        </w:tc>
      </w:tr>
    </w:tbl>
    <w:p w14:paraId="7539FF2A" w14:textId="72B0EC86" w:rsidR="00C74171" w:rsidRDefault="00C74171" w:rsidP="00C74171">
      <w:pPr>
        <w:pStyle w:val="Sourcenotes"/>
      </w:pPr>
      <w:r>
        <w:t>Source:</w:t>
      </w:r>
      <w:r>
        <w:rPr>
          <w:lang w:val="en-AU"/>
        </w:rPr>
        <w:t xml:space="preserve"> </w:t>
      </w:r>
      <w:r>
        <w:rPr>
          <w:i/>
          <w:lang w:val="en-AU"/>
        </w:rPr>
        <w:t>Television &amp; Media Survey 202</w:t>
      </w:r>
      <w:r w:rsidR="00B90A07">
        <w:rPr>
          <w:i/>
          <w:lang w:val="en-AU"/>
        </w:rPr>
        <w:t>4</w:t>
      </w:r>
      <w:r>
        <w:rPr>
          <w:lang w:val="en-AU"/>
        </w:rPr>
        <w:t>, Q:</w:t>
      </w:r>
      <w:r>
        <w:t xml:space="preserve"> </w:t>
      </w:r>
      <w:r>
        <w:rPr>
          <w:lang w:val="en-AU"/>
        </w:rPr>
        <w:t>“</w:t>
      </w:r>
      <w:r>
        <w:t>In general, what do you use to listen to</w:t>
      </w:r>
      <w:r>
        <w:rPr>
          <w:lang w:val="en-AU"/>
        </w:rPr>
        <w:t>…”. Percentage of listening by device</w:t>
      </w:r>
      <w:r w:rsidRPr="0005390B">
        <w:rPr>
          <w:lang w:val="en-AU"/>
        </w:rPr>
        <w:t xml:space="preserve">. Note: the survey results </w:t>
      </w:r>
      <w:r w:rsidR="00632AE6" w:rsidRPr="009A7A88">
        <w:rPr>
          <w:lang w:val="en-AU"/>
        </w:rPr>
        <w:t>reflect consumer understanding of audio technology and should be treated with care;</w:t>
      </w:r>
      <w:r w:rsidRPr="0005390B">
        <w:rPr>
          <w:lang w:val="en-AU"/>
        </w:rPr>
        <w:t xml:space="preserve"> </w:t>
      </w:r>
      <w:proofErr w:type="spellStart"/>
      <w:r w:rsidR="00632AE6" w:rsidRPr="009A7A88">
        <w:rPr>
          <w:lang w:val="en-AU"/>
        </w:rPr>
        <w:t>eg.</w:t>
      </w:r>
      <w:proofErr w:type="spellEnd"/>
      <w:r w:rsidR="00632AE6" w:rsidRPr="009A7A88">
        <w:rPr>
          <w:lang w:val="en-AU"/>
        </w:rPr>
        <w:t xml:space="preserve"> </w:t>
      </w:r>
      <w:r w:rsidRPr="0005390B">
        <w:rPr>
          <w:lang w:val="en-AU"/>
        </w:rPr>
        <w:t>smart speaker</w:t>
      </w:r>
      <w:r w:rsidR="00632AE6" w:rsidRPr="009A7A88">
        <w:rPr>
          <w:lang w:val="en-AU"/>
        </w:rPr>
        <w:t>s are unlikely to have a</w:t>
      </w:r>
      <w:r w:rsidRPr="0005390B" w:rsidDel="00632AE6">
        <w:rPr>
          <w:lang w:val="en-AU"/>
        </w:rPr>
        <w:t xml:space="preserve"> </w:t>
      </w:r>
      <w:r w:rsidRPr="0005390B">
        <w:rPr>
          <w:lang w:val="en-AU"/>
        </w:rPr>
        <w:t>radio frequency tuner</w:t>
      </w:r>
      <w:r w:rsidR="00632AE6" w:rsidRPr="009A7A88">
        <w:rPr>
          <w:lang w:val="en-AU"/>
        </w:rPr>
        <w:t xml:space="preserve"> and are connected to the internet</w:t>
      </w:r>
      <w:r w:rsidRPr="0005390B">
        <w:rPr>
          <w:lang w:val="en-AU"/>
        </w:rPr>
        <w:t>.</w:t>
      </w:r>
    </w:p>
    <w:p w14:paraId="4CFEE4DE" w14:textId="33BED77A" w:rsidR="00C74171" w:rsidRDefault="00C74171" w:rsidP="00101A53">
      <w:pPr>
        <w:spacing w:before="80"/>
      </w:pPr>
      <w:r>
        <w:t>Research commissioned by CRA in 2022 highlights the importance of listening to radio in the home environment.</w:t>
      </w:r>
      <w:r>
        <w:rPr>
          <w:rStyle w:val="FootnoteReference"/>
        </w:rPr>
        <w:footnoteReference w:id="20"/>
      </w:r>
    </w:p>
    <w:p w14:paraId="40EE5A8B" w14:textId="3D323B94" w:rsidR="00F72B8A" w:rsidRDefault="00C74171" w:rsidP="00101A53">
      <w:pPr>
        <w:pStyle w:val="ListParagraph"/>
        <w:numPr>
          <w:ilvl w:val="0"/>
          <w:numId w:val="18"/>
        </w:numPr>
        <w:spacing w:before="80"/>
        <w:ind w:left="357" w:hanging="357"/>
        <w:contextualSpacing w:val="0"/>
      </w:pPr>
      <w:r>
        <w:t>At home listening constituted more than 53</w:t>
      </w:r>
      <w:r w:rsidR="003B36F6">
        <w:t>%</w:t>
      </w:r>
      <w:r>
        <w:t xml:space="preserve"> of metropolitan listeners average daily listening time, with 70</w:t>
      </w:r>
      <w:r w:rsidR="003B36F6">
        <w:t>%</w:t>
      </w:r>
      <w:r>
        <w:t xml:space="preserve"> of that time spent listening to commercial radio.</w:t>
      </w:r>
      <w:r>
        <w:rPr>
          <w:rStyle w:val="FootnoteReference"/>
        </w:rPr>
        <w:footnoteReference w:id="21"/>
      </w:r>
    </w:p>
    <w:p w14:paraId="7C8016DB" w14:textId="57920E92" w:rsidR="00E4133D" w:rsidRPr="00C74171" w:rsidRDefault="00C74171" w:rsidP="00101A53">
      <w:pPr>
        <w:pStyle w:val="ListParagraph"/>
        <w:numPr>
          <w:ilvl w:val="0"/>
          <w:numId w:val="18"/>
        </w:numPr>
        <w:spacing w:before="80"/>
        <w:ind w:left="357" w:hanging="357"/>
        <w:contextualSpacing w:val="0"/>
      </w:pPr>
      <w:r>
        <w:t>Metropolitan listeners only spent 28</w:t>
      </w:r>
      <w:r w:rsidR="003B36F6">
        <w:t>%</w:t>
      </w:r>
      <w:r>
        <w:t xml:space="preserve"> of their average daily listening time in the car, although 87</w:t>
      </w:r>
      <w:r w:rsidR="003B36F6">
        <w:t>%</w:t>
      </w:r>
      <w:r>
        <w:t xml:space="preserve"> of that was spent listening to commercial radio.</w:t>
      </w:r>
      <w:r>
        <w:rPr>
          <w:rStyle w:val="FootnoteReference"/>
        </w:rPr>
        <w:footnoteReference w:id="22"/>
      </w:r>
      <w:r>
        <w:rPr>
          <w:rFonts w:ascii="Times New Roman" w:hAnsi="Times New Roman" w:cs="Times New Roman"/>
          <w:color w:val="auto"/>
          <w:sz w:val="24"/>
          <w:szCs w:val="24"/>
          <w:lang w:eastAsia="en-AU"/>
        </w:rPr>
        <w:t xml:space="preserve"> </w:t>
      </w:r>
    </w:p>
    <w:p w14:paraId="7CFA8256" w14:textId="3CEE8CB5" w:rsidR="00B047D5" w:rsidRDefault="00B047D5" w:rsidP="00B047D5">
      <w:pPr>
        <w:pStyle w:val="Heading2Numbered"/>
      </w:pPr>
      <w:bookmarkStart w:id="20" w:name="_Toc236825142"/>
      <w:r>
        <w:t>Radio services face prominence challenges</w:t>
      </w:r>
      <w:bookmarkEnd w:id="20"/>
    </w:p>
    <w:p w14:paraId="6926F7AE" w14:textId="51880332" w:rsidR="00EF4DCF" w:rsidRDefault="00F864E8" w:rsidP="00101A53">
      <w:pPr>
        <w:spacing w:before="80"/>
      </w:pPr>
      <w:bookmarkStart w:id="21" w:name="_Hlk164334082"/>
      <w:r>
        <w:t xml:space="preserve">Developments in </w:t>
      </w:r>
      <w:r w:rsidR="00A77161">
        <w:t xml:space="preserve">technology have fundamentally altered the ways in which </w:t>
      </w:r>
      <w:r w:rsidR="00CE23F5">
        <w:t>audio</w:t>
      </w:r>
      <w:r w:rsidR="00A77161">
        <w:t xml:space="preserve"> content is</w:t>
      </w:r>
      <w:r w:rsidR="00CE23F5">
        <w:t xml:space="preserve"> </w:t>
      </w:r>
      <w:r w:rsidR="00A77161">
        <w:t xml:space="preserve">distributed and consumed. </w:t>
      </w:r>
      <w:r w:rsidR="00EF4DCF">
        <w:t xml:space="preserve">Although media markets are growing, </w:t>
      </w:r>
      <w:r w:rsidR="00CE23F5">
        <w:t>radio services are facing three key prominence challenges in deliver their content to Australian listeners.</w:t>
      </w:r>
      <w:r w:rsidR="00E709C6">
        <w:t xml:space="preserve"> </w:t>
      </w:r>
      <w:r w:rsidR="00CE23F5">
        <w:t>This</w:t>
      </w:r>
      <w:r w:rsidR="00EF4DCF">
        <w:t xml:space="preserve"> has </w:t>
      </w:r>
      <w:r w:rsidR="007301DC">
        <w:t xml:space="preserve">significant repercussions </w:t>
      </w:r>
      <w:r w:rsidR="00EF4DCF">
        <w:t>for</w:t>
      </w:r>
      <w:r w:rsidR="00CE23F5">
        <w:t xml:space="preserve"> the listeners that rely on radio services, and the ability of the sector to delivery on the</w:t>
      </w:r>
      <w:r w:rsidR="00EF4DCF">
        <w:t xml:space="preserve"> public policy </w:t>
      </w:r>
      <w:r w:rsidR="00CE23F5">
        <w:t>objectives outlined in section 1.2</w:t>
      </w:r>
      <w:r w:rsidR="00EF4DCF">
        <w:t>.</w:t>
      </w:r>
      <w:r w:rsidR="007301DC">
        <w:t xml:space="preserve"> </w:t>
      </w:r>
    </w:p>
    <w:p w14:paraId="5DE43AF7" w14:textId="57957485" w:rsidR="0035273D" w:rsidRDefault="00E709C6" w:rsidP="0035273D">
      <w:pPr>
        <w:pStyle w:val="Heading3Numbered"/>
      </w:pPr>
      <w:bookmarkStart w:id="22" w:name="_Toc236825143"/>
      <w:r w:rsidRPr="00E709C6">
        <w:t>C</w:t>
      </w:r>
      <w:r w:rsidR="00EF4DCF" w:rsidRPr="00E709C6">
        <w:t xml:space="preserve">hallenge 1 – </w:t>
      </w:r>
      <w:r w:rsidRPr="00E709C6">
        <w:t>‘</w:t>
      </w:r>
      <w:r w:rsidR="00E62AB2">
        <w:t>i</w:t>
      </w:r>
      <w:r w:rsidR="0035273D">
        <w:t>naccurate surfacing’</w:t>
      </w:r>
      <w:bookmarkEnd w:id="22"/>
    </w:p>
    <w:p w14:paraId="3D99977A" w14:textId="6AE85B09" w:rsidR="00F14246" w:rsidRDefault="004F087B" w:rsidP="00F14246">
      <w:r>
        <w:rPr>
          <w:rFonts w:cstheme="minorHAnsi"/>
        </w:rPr>
        <w:t>A</w:t>
      </w:r>
      <w:r w:rsidRPr="00991082">
        <w:rPr>
          <w:rFonts w:cstheme="minorHAnsi"/>
        </w:rPr>
        <w:t xml:space="preserve">ccess to connected devices is increasingly being monetised, with content services having to pay to enable their audience and device users to be able to receive a basic level of accurate discoverability of the radio service. </w:t>
      </w:r>
      <w:r>
        <w:rPr>
          <w:rFonts w:cstheme="minorHAnsi"/>
        </w:rPr>
        <w:t>It is not realistic for</w:t>
      </w:r>
      <w:r w:rsidRPr="00991082">
        <w:rPr>
          <w:rFonts w:cstheme="minorHAnsi"/>
        </w:rPr>
        <w:t xml:space="preserve"> Australian</w:t>
      </w:r>
      <w:r w:rsidRPr="00991082">
        <w:rPr>
          <w:rFonts w:cstheme="minorHAnsi"/>
          <w:lang w:val="en-US"/>
        </w:rPr>
        <w:t xml:space="preserve"> radio</w:t>
      </w:r>
      <w:r w:rsidRPr="00991082">
        <w:rPr>
          <w:rFonts w:cstheme="minorHAnsi"/>
        </w:rPr>
        <w:t xml:space="preserve"> broadcasters to </w:t>
      </w:r>
      <w:r w:rsidRPr="00991082">
        <w:t xml:space="preserve">‘walk away’ from negotiations with </w:t>
      </w:r>
      <w:r w:rsidRPr="00991082">
        <w:rPr>
          <w:lang w:val="en-US"/>
        </w:rPr>
        <w:t xml:space="preserve">voice assistant platforms and </w:t>
      </w:r>
      <w:r w:rsidRPr="00991082">
        <w:t xml:space="preserve">the manufacturers of smart </w:t>
      </w:r>
      <w:r w:rsidRPr="00991082">
        <w:rPr>
          <w:lang w:val="en-US"/>
        </w:rPr>
        <w:t>speakers</w:t>
      </w:r>
      <w:r w:rsidRPr="00991082">
        <w:t xml:space="preserve"> (and pursue alternative means of reaching </w:t>
      </w:r>
      <w:r w:rsidRPr="00991082">
        <w:lastRenderedPageBreak/>
        <w:t>audiences)</w:t>
      </w:r>
      <w:r>
        <w:t>,</w:t>
      </w:r>
      <w:r w:rsidRPr="00991082">
        <w:t xml:space="preserve"> as these </w:t>
      </w:r>
      <w:r>
        <w:rPr>
          <w:lang w:val="en-US"/>
        </w:rPr>
        <w:t>platforms</w:t>
      </w:r>
      <w:r w:rsidRPr="00991082">
        <w:t xml:space="preserve"> </w:t>
      </w:r>
      <w:r>
        <w:t xml:space="preserve">are </w:t>
      </w:r>
      <w:r w:rsidRPr="00991082">
        <w:t>increasingly the key gateways for reaching audiences as traditional receiving equipment for terrestrial broadcasts declin</w:t>
      </w:r>
      <w:r>
        <w:t>es</w:t>
      </w:r>
      <w:r w:rsidRPr="00991082">
        <w:t xml:space="preserve"> in popularity.</w:t>
      </w:r>
    </w:p>
    <w:p w14:paraId="61E61C18" w14:textId="77777777" w:rsidR="0035273D" w:rsidRDefault="0035273D" w:rsidP="0035273D">
      <w:pPr>
        <w:pStyle w:val="Heading4"/>
      </w:pPr>
      <w:r>
        <w:t>RMIT University device testing</w:t>
      </w:r>
    </w:p>
    <w:p w14:paraId="53D0A8E6" w14:textId="77777777" w:rsidR="0035273D" w:rsidRDefault="0035273D" w:rsidP="00101A53">
      <w:pPr>
        <w:spacing w:before="80"/>
      </w:pPr>
      <w:r>
        <w:t>In response to the Department’s proposals paper, researchers in the RMIT School of Media and Communication provided a submission containing original research about surfacing accuracy on smart speakers in Australia.</w:t>
      </w:r>
      <w:r>
        <w:rPr>
          <w:rStyle w:val="FootnoteReference"/>
        </w:rPr>
        <w:footnoteReference w:id="23"/>
      </w:r>
    </w:p>
    <w:p w14:paraId="06EC53C7" w14:textId="0C74210A" w:rsidR="0035273D" w:rsidRPr="00CA32A2" w:rsidRDefault="0035273D" w:rsidP="00101A53">
      <w:pPr>
        <w:spacing w:before="80"/>
      </w:pPr>
      <w:r w:rsidRPr="00CA32A2">
        <w:t>The research assessed Google Assistant, Amazon Alexa and Apple Siri by issuing voice commands to first-party devices to test the accuracy of responses. The research test</w:t>
      </w:r>
      <w:r w:rsidR="00E62AB2" w:rsidRPr="00CA32A2">
        <w:t>ed response rates for</w:t>
      </w:r>
      <w:r w:rsidRPr="00CA32A2">
        <w:t xml:space="preserve"> 374 radio stations across the three </w:t>
      </w:r>
      <w:proofErr w:type="gramStart"/>
      <w:r w:rsidRPr="00CA32A2">
        <w:t>platforms, and</w:t>
      </w:r>
      <w:proofErr w:type="gramEnd"/>
      <w:r w:rsidRPr="00CA32A2">
        <w:t xml:space="preserve"> found that accura</w:t>
      </w:r>
      <w:r w:rsidR="00E62AB2" w:rsidRPr="00CA32A2">
        <w:t>cy results varied significantly. Stations were accurately surfaced</w:t>
      </w:r>
      <w:r w:rsidRPr="00CA32A2">
        <w:t>:</w:t>
      </w:r>
    </w:p>
    <w:p w14:paraId="3356B310" w14:textId="77777777" w:rsidR="0035273D" w:rsidRPr="00CA32A2" w:rsidRDefault="0035273D" w:rsidP="00101A53">
      <w:pPr>
        <w:pStyle w:val="ListParagraph"/>
        <w:numPr>
          <w:ilvl w:val="0"/>
          <w:numId w:val="25"/>
        </w:numPr>
        <w:spacing w:before="80"/>
        <w:contextualSpacing w:val="0"/>
      </w:pPr>
      <w:r w:rsidRPr="00CA32A2">
        <w:t>68% of the time by Google Assistant;</w:t>
      </w:r>
    </w:p>
    <w:p w14:paraId="20204861" w14:textId="77777777" w:rsidR="0035273D" w:rsidRPr="00CA32A2" w:rsidRDefault="0035273D" w:rsidP="00101A53">
      <w:pPr>
        <w:pStyle w:val="ListParagraph"/>
        <w:numPr>
          <w:ilvl w:val="0"/>
          <w:numId w:val="25"/>
        </w:numPr>
        <w:spacing w:before="80"/>
        <w:contextualSpacing w:val="0"/>
      </w:pPr>
      <w:r w:rsidRPr="00CA32A2">
        <w:t>67% of the time by Alexa; and</w:t>
      </w:r>
    </w:p>
    <w:p w14:paraId="1185635E" w14:textId="77777777" w:rsidR="0035273D" w:rsidRPr="00CA32A2" w:rsidRDefault="0035273D" w:rsidP="00101A53">
      <w:pPr>
        <w:pStyle w:val="ListParagraph"/>
        <w:numPr>
          <w:ilvl w:val="0"/>
          <w:numId w:val="25"/>
        </w:numPr>
        <w:spacing w:before="80"/>
        <w:contextualSpacing w:val="0"/>
      </w:pPr>
      <w:r w:rsidRPr="00CA32A2">
        <w:t>41% of the time by Siri.</w:t>
      </w:r>
      <w:r w:rsidRPr="00CA32A2">
        <w:rPr>
          <w:rStyle w:val="FootnoteReference"/>
        </w:rPr>
        <w:t xml:space="preserve"> </w:t>
      </w:r>
      <w:r w:rsidRPr="00CA32A2">
        <w:rPr>
          <w:rStyle w:val="FootnoteReference"/>
        </w:rPr>
        <w:footnoteReference w:id="24"/>
      </w:r>
    </w:p>
    <w:p w14:paraId="413AAA4A" w14:textId="13D26F7C" w:rsidR="00E62AB2" w:rsidRDefault="00E62AB2" w:rsidP="00101A53">
      <w:pPr>
        <w:spacing w:before="80"/>
      </w:pPr>
      <w:r w:rsidRPr="00CA32A2">
        <w:t>This demonstrates that between 3 in 10 and 6 in 10 requests to play radio stations did not result in the device accurately playing the requested radio station.</w:t>
      </w:r>
      <w:r>
        <w:t xml:space="preserve">  </w:t>
      </w:r>
    </w:p>
    <w:p w14:paraId="4541D47B" w14:textId="77777777" w:rsidR="0035273D" w:rsidRDefault="0035273D" w:rsidP="0035273D">
      <w:pPr>
        <w:pStyle w:val="Heading4"/>
      </w:pPr>
      <w:r>
        <w:t xml:space="preserve">Ofcom’s </w:t>
      </w:r>
      <w:r w:rsidRPr="0094598E">
        <w:rPr>
          <w:i/>
        </w:rPr>
        <w:t>Smart speakers research with the public</w:t>
      </w:r>
      <w:r>
        <w:t xml:space="preserve"> report</w:t>
      </w:r>
    </w:p>
    <w:p w14:paraId="09814987" w14:textId="1EF22607" w:rsidR="0035273D" w:rsidRDefault="0035273D" w:rsidP="00101A53">
      <w:pPr>
        <w:spacing w:before="80"/>
        <w:rPr>
          <w:lang w:val="en-US"/>
        </w:rPr>
      </w:pPr>
      <w:r w:rsidRPr="00F74AB2">
        <w:rPr>
          <w:lang w:val="en-US"/>
        </w:rPr>
        <w:t>Research commissioned by Ofcom in 2022</w:t>
      </w:r>
      <w:r>
        <w:rPr>
          <w:lang w:val="en-US"/>
        </w:rPr>
        <w:t xml:space="preserve"> found that consumers were generally positive about voice activated smart speakers</w:t>
      </w:r>
      <w:r w:rsidR="00CA32A2">
        <w:rPr>
          <w:lang w:val="en-US"/>
        </w:rPr>
        <w:t>,</w:t>
      </w:r>
      <w:r>
        <w:rPr>
          <w:lang w:val="en-US"/>
        </w:rPr>
        <w:t xml:space="preserve"> citing convenience, integration and a wide range of functions as key benefits (among others).</w:t>
      </w:r>
      <w:r>
        <w:rPr>
          <w:rStyle w:val="FootnoteReference"/>
          <w:lang w:val="en-US"/>
        </w:rPr>
        <w:footnoteReference w:id="25"/>
      </w:r>
      <w:r>
        <w:rPr>
          <w:lang w:val="en-US"/>
        </w:rPr>
        <w:t xml:space="preserve"> However, the research identified several drawbacks or downsides to the technology. The two </w:t>
      </w:r>
      <w:proofErr w:type="gramStart"/>
      <w:r>
        <w:rPr>
          <w:lang w:val="en-US"/>
        </w:rPr>
        <w:t>most commonly identified</w:t>
      </w:r>
      <w:proofErr w:type="gramEnd"/>
      <w:r>
        <w:rPr>
          <w:lang w:val="en-US"/>
        </w:rPr>
        <w:t xml:space="preserve"> were:</w:t>
      </w:r>
    </w:p>
    <w:p w14:paraId="3FEE8786" w14:textId="77777777" w:rsidR="0035273D" w:rsidRDefault="0035273D" w:rsidP="00101A53">
      <w:pPr>
        <w:pStyle w:val="ListParagraph"/>
        <w:numPr>
          <w:ilvl w:val="0"/>
          <w:numId w:val="25"/>
        </w:numPr>
        <w:spacing w:before="80"/>
        <w:contextualSpacing w:val="0"/>
        <w:rPr>
          <w:lang w:val="en-US"/>
        </w:rPr>
      </w:pPr>
      <w:r>
        <w:rPr>
          <w:lang w:val="en-US"/>
        </w:rPr>
        <w:t>the speaker misunderstanding or not understanding the commands of the user; and</w:t>
      </w:r>
    </w:p>
    <w:p w14:paraId="3CD20475" w14:textId="77777777" w:rsidR="0035273D" w:rsidRDefault="0035273D" w:rsidP="00101A53">
      <w:pPr>
        <w:pStyle w:val="ListParagraph"/>
        <w:numPr>
          <w:ilvl w:val="0"/>
          <w:numId w:val="25"/>
        </w:numPr>
        <w:spacing w:before="80"/>
        <w:contextualSpacing w:val="0"/>
        <w:rPr>
          <w:lang w:val="en-US"/>
        </w:rPr>
      </w:pPr>
      <w:r>
        <w:rPr>
          <w:lang w:val="en-US"/>
        </w:rPr>
        <w:t>the speaker playing inaccurate or wrong results in response to a request.</w:t>
      </w:r>
      <w:r>
        <w:rPr>
          <w:rStyle w:val="FootnoteReference"/>
          <w:lang w:val="en-US"/>
        </w:rPr>
        <w:footnoteReference w:id="26"/>
      </w:r>
    </w:p>
    <w:p w14:paraId="6001E21B" w14:textId="77777777" w:rsidR="0035273D" w:rsidRPr="00244213" w:rsidRDefault="0035273D" w:rsidP="00101A53">
      <w:pPr>
        <w:spacing w:before="80"/>
        <w:rPr>
          <w:lang w:val="en-US"/>
        </w:rPr>
      </w:pPr>
      <w:r>
        <w:rPr>
          <w:lang w:val="en-US"/>
        </w:rPr>
        <w:t>Survey participants considered the issue of misunderstanding to be linked to a broad range of reasons, including accent, speech pattern, vocal pitch and volume of the user, with women and children having the most reported issues.</w:t>
      </w:r>
      <w:r>
        <w:rPr>
          <w:rStyle w:val="FootnoteReference"/>
          <w:lang w:val="en-US"/>
        </w:rPr>
        <w:footnoteReference w:id="27"/>
      </w:r>
      <w:r>
        <w:rPr>
          <w:lang w:val="en-US"/>
        </w:rPr>
        <w:t xml:space="preserve"> Inaccuracy of results were not generally considered linked to the issue of misunderstanding the user.</w:t>
      </w:r>
    </w:p>
    <w:p w14:paraId="434C0B56" w14:textId="77777777" w:rsidR="0035273D" w:rsidRPr="00A0222F" w:rsidRDefault="0035273D" w:rsidP="0035273D">
      <w:pPr>
        <w:pStyle w:val="Heading4"/>
      </w:pPr>
      <w:r w:rsidRPr="00A0222F">
        <w:t xml:space="preserve">2018 </w:t>
      </w:r>
      <w:r>
        <w:t>Voice Request Audit</w:t>
      </w:r>
    </w:p>
    <w:p w14:paraId="575BC0CD" w14:textId="77777777" w:rsidR="0035273D" w:rsidRDefault="0035273D" w:rsidP="00101A53">
      <w:pPr>
        <w:spacing w:before="80"/>
        <w:rPr>
          <w:lang w:val="en-US"/>
        </w:rPr>
      </w:pPr>
      <w:r>
        <w:rPr>
          <w:lang w:val="en-US"/>
        </w:rPr>
        <w:t xml:space="preserve">The Audit was conducted by CRA to determine if radio station call IDs would be </w:t>
      </w:r>
      <w:proofErr w:type="spellStart"/>
      <w:r>
        <w:rPr>
          <w:lang w:val="en-US"/>
        </w:rPr>
        <w:t>recognised</w:t>
      </w:r>
      <w:proofErr w:type="spellEnd"/>
      <w:r>
        <w:rPr>
          <w:lang w:val="en-US"/>
        </w:rPr>
        <w:t xml:space="preserve"> by the Google Assistant on Google Home and, if so, through which aggregator or nominated station app it would be played.</w:t>
      </w:r>
    </w:p>
    <w:p w14:paraId="76005B26" w14:textId="77777777" w:rsidR="0035273D" w:rsidRDefault="0035273D" w:rsidP="00101A53">
      <w:pPr>
        <w:spacing w:before="80"/>
        <w:rPr>
          <w:lang w:val="en-US"/>
        </w:rPr>
      </w:pPr>
      <w:r>
        <w:rPr>
          <w:lang w:val="en-US"/>
        </w:rPr>
        <w:t>CRA requested a Google Home device to play some 370 Australian radio stations, either online streams of terrestrial radio services (such as 702 ABC Sydney or 2GB), or popular online- or digital-only services (such as SBS Chill or Coles Radio).</w:t>
      </w:r>
    </w:p>
    <w:p w14:paraId="06B5C97A" w14:textId="77777777" w:rsidR="0035273D" w:rsidRDefault="0035273D" w:rsidP="00101A53">
      <w:pPr>
        <w:spacing w:before="80"/>
        <w:rPr>
          <w:lang w:val="en-US"/>
        </w:rPr>
      </w:pPr>
      <w:r>
        <w:rPr>
          <w:lang w:val="en-US"/>
        </w:rPr>
        <w:t>According to CRA, the Audit found that, overall, only 43% of requests resulted in the requested station being played (a failure rate of 57%, or 210 of the 370 stations). The Google Assistant reportedly responded to the call ID requests with responses such as</w:t>
      </w:r>
      <w:r w:rsidRPr="00434FC4">
        <w:rPr>
          <w:lang w:val="en-US"/>
        </w:rPr>
        <w:t>: ‘[call ID] isn’t available or can’t be played right now</w:t>
      </w:r>
      <w:r>
        <w:rPr>
          <w:lang w:val="en-US"/>
        </w:rPr>
        <w:t>’</w:t>
      </w:r>
      <w:r w:rsidRPr="00434FC4">
        <w:rPr>
          <w:lang w:val="en-US"/>
        </w:rPr>
        <w:t>; ‘Sorry, I don’t know how to help with that’</w:t>
      </w:r>
      <w:r>
        <w:rPr>
          <w:lang w:val="en-US"/>
        </w:rPr>
        <w:t xml:space="preserve">; or asked for further information such as which devices to use. In other cases, a playlist or song (often unrelated) was reported to have been played </w:t>
      </w:r>
      <w:proofErr w:type="gramStart"/>
      <w:r>
        <w:rPr>
          <w:lang w:val="en-US"/>
        </w:rPr>
        <w:t>from</w:t>
      </w:r>
      <w:proofErr w:type="gramEnd"/>
      <w:r>
        <w:rPr>
          <w:lang w:val="en-US"/>
        </w:rPr>
        <w:t xml:space="preserve"> YouTube or Google Music.</w:t>
      </w:r>
    </w:p>
    <w:p w14:paraId="06FF0CCA" w14:textId="2E8EB343" w:rsidR="0035273D" w:rsidRDefault="0035273D" w:rsidP="00101A53">
      <w:pPr>
        <w:spacing w:before="80"/>
        <w:rPr>
          <w:lang w:val="en-US"/>
        </w:rPr>
      </w:pPr>
      <w:r>
        <w:rPr>
          <w:lang w:val="en-US"/>
        </w:rPr>
        <w:t xml:space="preserve">Subsequently, CRA entered into a commercial agreement with Google and a separate arrangement with Amazon to improve the identification of Australian radio stations. CRA has indicated that the request accuracy </w:t>
      </w:r>
      <w:r>
        <w:rPr>
          <w:lang w:val="en-US"/>
        </w:rPr>
        <w:lastRenderedPageBreak/>
        <w:t xml:space="preserve">on Google and Amazon smart speakers improved </w:t>
      </w:r>
      <w:proofErr w:type="gramStart"/>
      <w:r>
        <w:rPr>
          <w:lang w:val="en-US"/>
        </w:rPr>
        <w:t>substantially</w:t>
      </w:r>
      <w:r w:rsidR="0038343E">
        <w:rPr>
          <w:lang w:val="en-US"/>
        </w:rPr>
        <w:t>,</w:t>
      </w:r>
      <w:r>
        <w:rPr>
          <w:lang w:val="en-US"/>
        </w:rPr>
        <w:t xml:space="preserve"> but</w:t>
      </w:r>
      <w:proofErr w:type="gramEnd"/>
      <w:r>
        <w:rPr>
          <w:lang w:val="en-US"/>
        </w:rPr>
        <w:t xml:space="preserve"> remains concerned that there is no guarantee that the large digital platforms will continue to provide access to Australian radio </w:t>
      </w:r>
      <w:proofErr w:type="gramStart"/>
      <w:r>
        <w:rPr>
          <w:lang w:val="en-US"/>
        </w:rPr>
        <w:t>if and when</w:t>
      </w:r>
      <w:proofErr w:type="gramEnd"/>
      <w:r>
        <w:rPr>
          <w:lang w:val="en-US"/>
        </w:rPr>
        <w:t xml:space="preserve"> those agreements expire. </w:t>
      </w:r>
      <w:r w:rsidR="00E62AB2">
        <w:rPr>
          <w:lang w:val="en-US"/>
        </w:rPr>
        <w:t xml:space="preserve">The 2024 RMIT research noted above indicates that failure rates remain relatively high. </w:t>
      </w:r>
    </w:p>
    <w:p w14:paraId="16F8C5CD" w14:textId="17482A1B" w:rsidR="00EF4DCF" w:rsidRDefault="00E709C6" w:rsidP="00E709C6">
      <w:pPr>
        <w:pStyle w:val="Heading3Numbered"/>
      </w:pPr>
      <w:bookmarkStart w:id="23" w:name="_Toc236825144"/>
      <w:r w:rsidRPr="00E709C6">
        <w:t>C</w:t>
      </w:r>
      <w:r w:rsidR="00EF4DCF" w:rsidRPr="00E709C6">
        <w:t xml:space="preserve">hallenge </w:t>
      </w:r>
      <w:r w:rsidR="0035273D">
        <w:t>2</w:t>
      </w:r>
      <w:r w:rsidR="00EF4DCF" w:rsidRPr="00E709C6">
        <w:t xml:space="preserve"> – </w:t>
      </w:r>
      <w:r w:rsidRPr="00E709C6">
        <w:t>‘</w:t>
      </w:r>
      <w:r w:rsidR="00E62AB2">
        <w:t>g</w:t>
      </w:r>
      <w:r w:rsidR="00EF4DCF" w:rsidRPr="00E709C6">
        <w:t>ateway</w:t>
      </w:r>
      <w:r w:rsidRPr="00E709C6">
        <w:t>’</w:t>
      </w:r>
      <w:r w:rsidR="00EF4DCF" w:rsidRPr="00E709C6">
        <w:t xml:space="preserve"> devices</w:t>
      </w:r>
      <w:bookmarkEnd w:id="23"/>
    </w:p>
    <w:p w14:paraId="2F3F3645" w14:textId="4DEACE6C" w:rsidR="002B28D8" w:rsidRDefault="002B28D8" w:rsidP="00101A53">
      <w:pPr>
        <w:spacing w:before="80"/>
        <w:rPr>
          <w:lang w:val="en-US"/>
        </w:rPr>
      </w:pPr>
      <w:r>
        <w:rPr>
          <w:rFonts w:ascii="Calibri" w:eastAsia="Calibri" w:hAnsi="Calibri" w:cs="Times New Roman"/>
        </w:rPr>
        <w:t xml:space="preserve">The Australian Competition and Consumer Commission (ACCC), in its </w:t>
      </w:r>
      <w:r>
        <w:rPr>
          <w:lang w:val="en-US"/>
        </w:rPr>
        <w:t>Digital Platform Services Inquiry, found that smart speakers (along with other smart home-devices) are ‘gateway devices’: playing an important role in governing how consumers access content and services through the internet, and how consumers use other smart home-devices.</w:t>
      </w:r>
      <w:r>
        <w:rPr>
          <w:rStyle w:val="FootnoteReference"/>
          <w:lang w:val="en-US"/>
        </w:rPr>
        <w:footnoteReference w:id="28"/>
      </w:r>
    </w:p>
    <w:p w14:paraId="19074EAD" w14:textId="0FEC5C77" w:rsidR="00EF4DCF" w:rsidRDefault="00EF4DCF" w:rsidP="00101A53">
      <w:pPr>
        <w:pStyle w:val="ListParagraph"/>
        <w:numPr>
          <w:ilvl w:val="0"/>
          <w:numId w:val="22"/>
        </w:numPr>
        <w:spacing w:before="80"/>
        <w:contextualSpacing w:val="0"/>
      </w:pPr>
      <w:r>
        <w:t>Radio stations need to pass through the smart speaker ‘gateway’ to reach their audiences. In this way, a radio service carried across a voice assistant interface is dependent on the platform – in contrast to the situation with a traditional radio device with a radiofrequency tuner, or even a website or an app.</w:t>
      </w:r>
      <w:r>
        <w:rPr>
          <w:rStyle w:val="FootnoteReference"/>
        </w:rPr>
        <w:footnoteReference w:id="29"/>
      </w:r>
    </w:p>
    <w:p w14:paraId="48620C5A" w14:textId="77777777" w:rsidR="00EF4DCF" w:rsidRDefault="00EF4DCF" w:rsidP="00101A53">
      <w:pPr>
        <w:pStyle w:val="ListParagraph"/>
        <w:numPr>
          <w:ilvl w:val="0"/>
          <w:numId w:val="22"/>
        </w:numPr>
        <w:spacing w:before="80"/>
        <w:contextualSpacing w:val="0"/>
      </w:pPr>
      <w:r>
        <w:t>This, in turn, requires some form of direct relationship between the radio station and the platform, or between the radio station and an aggregator, who then manages the relationship with the platform. By its nature, this is an asymmetric relationship.</w:t>
      </w:r>
      <w:r>
        <w:rPr>
          <w:rStyle w:val="FootnoteReference"/>
        </w:rPr>
        <w:footnoteReference w:id="30"/>
      </w:r>
    </w:p>
    <w:bookmarkEnd w:id="21"/>
    <w:p w14:paraId="6BC725A7" w14:textId="3019F5A3" w:rsidR="000748C9" w:rsidRPr="007D2741" w:rsidRDefault="00EF4DCF" w:rsidP="00101A53">
      <w:pPr>
        <w:spacing w:before="80"/>
      </w:pPr>
      <w:r>
        <w:rPr>
          <w:rFonts w:ascii="Calibri" w:eastAsia="Calibri" w:hAnsi="Calibri" w:cs="Times New Roman"/>
        </w:rPr>
        <w:t xml:space="preserve">At noted in </w:t>
      </w:r>
      <w:r w:rsidR="00D44CD2">
        <w:rPr>
          <w:rFonts w:ascii="Calibri" w:eastAsia="Calibri" w:hAnsi="Calibri" w:cs="Times New Roman"/>
        </w:rPr>
        <w:t>sub</w:t>
      </w:r>
      <w:r w:rsidRPr="00F00107">
        <w:rPr>
          <w:rFonts w:ascii="Calibri" w:eastAsia="Calibri" w:hAnsi="Calibri" w:cs="Times New Roman"/>
        </w:rPr>
        <w:t>section 1.</w:t>
      </w:r>
      <w:r w:rsidR="000748C9">
        <w:rPr>
          <w:rFonts w:ascii="Calibri" w:eastAsia="Calibri" w:hAnsi="Calibri" w:cs="Times New Roman"/>
        </w:rPr>
        <w:t>1.1</w:t>
      </w:r>
      <w:r w:rsidRPr="00F00107">
        <w:rPr>
          <w:rFonts w:ascii="Calibri" w:eastAsia="Calibri" w:hAnsi="Calibri" w:cs="Times New Roman"/>
        </w:rPr>
        <w:t>, Google, Amazon and Apple are the leading providers of voice assistants in Australia and integrate these assistants</w:t>
      </w:r>
      <w:r>
        <w:rPr>
          <w:rFonts w:ascii="Calibri" w:eastAsia="Calibri" w:hAnsi="Calibri" w:cs="Times New Roman"/>
        </w:rPr>
        <w:t xml:space="preserve"> into their own-brand smart speakers </w:t>
      </w:r>
      <w:proofErr w:type="gramStart"/>
      <w:r>
        <w:rPr>
          <w:rFonts w:ascii="Calibri" w:eastAsia="Calibri" w:hAnsi="Calibri" w:cs="Times New Roman"/>
        </w:rPr>
        <w:t>and also</w:t>
      </w:r>
      <w:proofErr w:type="gramEnd"/>
      <w:r>
        <w:rPr>
          <w:rFonts w:ascii="Calibri" w:eastAsia="Calibri" w:hAnsi="Calibri" w:cs="Times New Roman"/>
        </w:rPr>
        <w:t xml:space="preserve"> make them available for other device manufacturers.</w:t>
      </w:r>
      <w:r w:rsidR="000748C9">
        <w:rPr>
          <w:rFonts w:ascii="Calibri" w:eastAsia="Calibri" w:hAnsi="Calibri" w:cs="Times New Roman"/>
        </w:rPr>
        <w:t xml:space="preserve"> </w:t>
      </w:r>
      <w:r w:rsidR="000748C9">
        <w:t xml:space="preserve">Google is the market leader in the smart speaker product </w:t>
      </w:r>
      <w:r w:rsidR="000748C9" w:rsidRPr="007D2741">
        <w:t>category in Australia, with around 6</w:t>
      </w:r>
      <w:r w:rsidR="00E464AC">
        <w:t>6</w:t>
      </w:r>
      <w:r w:rsidR="003B36F6">
        <w:t>%</w:t>
      </w:r>
      <w:r w:rsidR="000748C9" w:rsidRPr="007D2741">
        <w:t xml:space="preserve"> of Australian adults owning a Google device as </w:t>
      </w:r>
      <w:proofErr w:type="gramStart"/>
      <w:r w:rsidR="000748C9" w:rsidRPr="007D2741">
        <w:t>at</w:t>
      </w:r>
      <w:proofErr w:type="gramEnd"/>
      <w:r w:rsidR="000748C9" w:rsidRPr="007D2741">
        <w:t xml:space="preserve"> December 202</w:t>
      </w:r>
      <w:r w:rsidR="00E464AC">
        <w:t>4</w:t>
      </w:r>
      <w:r w:rsidR="000748C9" w:rsidRPr="007D2741">
        <w:t>:</w:t>
      </w:r>
    </w:p>
    <w:p w14:paraId="51FC55ED" w14:textId="6EF13AB7" w:rsidR="000748C9" w:rsidRPr="00926054" w:rsidRDefault="00E464AC" w:rsidP="00101A53">
      <w:pPr>
        <w:pStyle w:val="ListParagraph"/>
        <w:numPr>
          <w:ilvl w:val="0"/>
          <w:numId w:val="21"/>
        </w:numPr>
        <w:spacing w:before="80"/>
        <w:ind w:left="357"/>
        <w:contextualSpacing w:val="0"/>
      </w:pPr>
      <w:r w:rsidRPr="004F087B">
        <w:t>40</w:t>
      </w:r>
      <w:r w:rsidR="003B36F6" w:rsidRPr="00926054">
        <w:t>%</w:t>
      </w:r>
      <w:r w:rsidR="000748C9" w:rsidRPr="00926054">
        <w:t xml:space="preserve"> owned a Google Home device (Google’s smart speaker offering until 2019); and</w:t>
      </w:r>
    </w:p>
    <w:p w14:paraId="5879526B" w14:textId="376669C7" w:rsidR="000748C9" w:rsidRPr="00926054" w:rsidRDefault="000748C9" w:rsidP="00101A53">
      <w:pPr>
        <w:pStyle w:val="ListParagraph"/>
        <w:numPr>
          <w:ilvl w:val="0"/>
          <w:numId w:val="21"/>
        </w:numPr>
        <w:spacing w:before="80"/>
        <w:ind w:left="357"/>
        <w:contextualSpacing w:val="0"/>
      </w:pPr>
      <w:r w:rsidRPr="00926054">
        <w:t>2</w:t>
      </w:r>
      <w:r w:rsidR="00E464AC" w:rsidRPr="004F087B">
        <w:t>6</w:t>
      </w:r>
      <w:r w:rsidR="003B36F6" w:rsidRPr="00926054">
        <w:t>%</w:t>
      </w:r>
      <w:r w:rsidRPr="00926054">
        <w:t xml:space="preserve"> owned a Google Nest device (available from 2019).</w:t>
      </w:r>
      <w:r w:rsidRPr="00926054">
        <w:rPr>
          <w:rStyle w:val="FootnoteReference"/>
        </w:rPr>
        <w:footnoteReference w:id="31"/>
      </w:r>
    </w:p>
    <w:p w14:paraId="415BAD3C" w14:textId="41A8CFC8" w:rsidR="000748C9" w:rsidRDefault="000748C9" w:rsidP="00101A53">
      <w:pPr>
        <w:spacing w:before="80"/>
      </w:pPr>
      <w:r>
        <w:t>This was followed by households with an Amazon Echo smart speaker (3</w:t>
      </w:r>
      <w:r w:rsidR="00E34469">
        <w:t>1</w:t>
      </w:r>
      <w:r w:rsidR="003B36F6">
        <w:t>%</w:t>
      </w:r>
      <w:r>
        <w:t>) and an Apple HomePod smart speak</w:t>
      </w:r>
      <w:r w:rsidR="000D4C03">
        <w:t>er</w:t>
      </w:r>
      <w:r>
        <w:t xml:space="preserve"> (</w:t>
      </w:r>
      <w:r w:rsidR="00E34469">
        <w:t>18</w:t>
      </w:r>
      <w:r w:rsidR="003B36F6">
        <w:t>%</w:t>
      </w:r>
      <w:r>
        <w:t>), along with a ‘tail’ of manufacturers with a smaller market share: Bose; JBL; and Edifier, among others.</w:t>
      </w:r>
      <w:r>
        <w:rPr>
          <w:rStyle w:val="FootnoteReference"/>
        </w:rPr>
        <w:footnoteReference w:id="32"/>
      </w:r>
    </w:p>
    <w:p w14:paraId="7F259E2C" w14:textId="7B6ABAF7" w:rsidR="00984F56" w:rsidRDefault="00984F56" w:rsidP="00101A53">
      <w:pPr>
        <w:spacing w:before="80"/>
        <w:rPr>
          <w:rFonts w:ascii="Calibri" w:eastAsia="Calibri" w:hAnsi="Calibri" w:cs="Times New Roman"/>
        </w:rPr>
      </w:pPr>
      <w:r>
        <w:rPr>
          <w:rFonts w:ascii="Calibri" w:eastAsia="Calibri" w:hAnsi="Calibri" w:cs="Times New Roman"/>
        </w:rPr>
        <w:t>Interconnected products</w:t>
      </w:r>
      <w:r w:rsidR="002546F8">
        <w:rPr>
          <w:rFonts w:ascii="Calibri" w:eastAsia="Calibri" w:hAnsi="Calibri" w:cs="Times New Roman"/>
        </w:rPr>
        <w:t>,</w:t>
      </w:r>
      <w:r>
        <w:rPr>
          <w:rFonts w:ascii="Calibri" w:eastAsia="Calibri" w:hAnsi="Calibri" w:cs="Times New Roman"/>
        </w:rPr>
        <w:t xml:space="preserve"> such as smart speakers </w:t>
      </w:r>
      <w:r w:rsidR="002546F8">
        <w:rPr>
          <w:rFonts w:ascii="Calibri" w:eastAsia="Calibri" w:hAnsi="Calibri" w:cs="Times New Roman"/>
        </w:rPr>
        <w:t xml:space="preserve">that can connect to other products in a brand’s range, </w:t>
      </w:r>
      <w:r>
        <w:rPr>
          <w:rFonts w:ascii="Calibri" w:eastAsia="Calibri" w:hAnsi="Calibri" w:cs="Times New Roman"/>
        </w:rPr>
        <w:t>can create a range of benefits for consumers, enabling a seamless experience across products and services and greater personalisation and tailoring of services. They can also provide media firms with additional avenues t</w:t>
      </w:r>
      <w:r w:rsidR="002546F8">
        <w:rPr>
          <w:rFonts w:ascii="Calibri" w:eastAsia="Calibri" w:hAnsi="Calibri" w:cs="Times New Roman"/>
        </w:rPr>
        <w:t>hrough access t</w:t>
      </w:r>
      <w:r>
        <w:rPr>
          <w:rFonts w:ascii="Calibri" w:eastAsia="Calibri" w:hAnsi="Calibri" w:cs="Times New Roman"/>
        </w:rPr>
        <w:t xml:space="preserve">o </w:t>
      </w:r>
      <w:r w:rsidR="00B541BF">
        <w:rPr>
          <w:rFonts w:ascii="Calibri" w:eastAsia="Calibri" w:hAnsi="Calibri" w:cs="Times New Roman"/>
        </w:rPr>
        <w:t xml:space="preserve">broader </w:t>
      </w:r>
      <w:r>
        <w:rPr>
          <w:rFonts w:ascii="Calibri" w:eastAsia="Calibri" w:hAnsi="Calibri" w:cs="Times New Roman"/>
        </w:rPr>
        <w:t>audience</w:t>
      </w:r>
      <w:r w:rsidR="00B541BF">
        <w:rPr>
          <w:rFonts w:ascii="Calibri" w:eastAsia="Calibri" w:hAnsi="Calibri" w:cs="Times New Roman"/>
        </w:rPr>
        <w:t>s</w:t>
      </w:r>
      <w:r w:rsidR="0081272A">
        <w:rPr>
          <w:rFonts w:ascii="Calibri" w:eastAsia="Calibri" w:hAnsi="Calibri" w:cs="Times New Roman"/>
        </w:rPr>
        <w:t xml:space="preserve"> that may not </w:t>
      </w:r>
      <w:r w:rsidR="0043369F">
        <w:rPr>
          <w:rFonts w:ascii="Calibri" w:eastAsia="Calibri" w:hAnsi="Calibri" w:cs="Times New Roman"/>
        </w:rPr>
        <w:t>be currently using a service or product</w:t>
      </w:r>
      <w:r>
        <w:rPr>
          <w:rFonts w:ascii="Calibri" w:eastAsia="Calibri" w:hAnsi="Calibri" w:cs="Times New Roman"/>
        </w:rPr>
        <w:t>.</w:t>
      </w:r>
    </w:p>
    <w:p w14:paraId="10AE21A2" w14:textId="3C1C4244" w:rsidR="00EF4DCF" w:rsidRDefault="00EF4DCF" w:rsidP="00101A53">
      <w:pPr>
        <w:pStyle w:val="ListParagraph"/>
        <w:numPr>
          <w:ilvl w:val="0"/>
          <w:numId w:val="23"/>
        </w:numPr>
        <w:spacing w:before="80"/>
        <w:ind w:left="357"/>
        <w:contextualSpacing w:val="0"/>
        <w:rPr>
          <w:rFonts w:ascii="Calibri" w:eastAsia="Calibri" w:hAnsi="Calibri" w:cs="Times New Roman"/>
        </w:rPr>
      </w:pPr>
      <w:bookmarkStart w:id="24" w:name="_Hlk164327469"/>
      <w:r w:rsidRPr="009810A7">
        <w:rPr>
          <w:rFonts w:ascii="Calibri" w:eastAsia="Calibri" w:hAnsi="Calibri" w:cs="Times New Roman"/>
        </w:rPr>
        <w:t xml:space="preserve">Radio </w:t>
      </w:r>
      <w:r>
        <w:rPr>
          <w:rFonts w:ascii="Calibri" w:eastAsia="Calibri" w:hAnsi="Calibri" w:cs="Times New Roman"/>
        </w:rPr>
        <w:t xml:space="preserve">stations can </w:t>
      </w:r>
      <w:r w:rsidR="0038343E">
        <w:rPr>
          <w:rFonts w:ascii="Calibri" w:eastAsia="Calibri" w:hAnsi="Calibri" w:cs="Times New Roman"/>
        </w:rPr>
        <w:t>maintain</w:t>
      </w:r>
      <w:r w:rsidRPr="009810A7">
        <w:rPr>
          <w:rFonts w:ascii="Calibri" w:eastAsia="Calibri" w:hAnsi="Calibri" w:cs="Times New Roman"/>
        </w:rPr>
        <w:t xml:space="preserve"> and gain </w:t>
      </w:r>
      <w:r w:rsidR="0038343E">
        <w:rPr>
          <w:rFonts w:ascii="Calibri" w:eastAsia="Calibri" w:hAnsi="Calibri" w:cs="Times New Roman"/>
        </w:rPr>
        <w:t>listeners</w:t>
      </w:r>
      <w:r>
        <w:rPr>
          <w:rFonts w:ascii="Calibri" w:eastAsia="Calibri" w:hAnsi="Calibri" w:cs="Times New Roman"/>
        </w:rPr>
        <w:t>,</w:t>
      </w:r>
      <w:r w:rsidRPr="009810A7">
        <w:rPr>
          <w:rFonts w:ascii="Calibri" w:eastAsia="Calibri" w:hAnsi="Calibri" w:cs="Times New Roman"/>
        </w:rPr>
        <w:t xml:space="preserve"> which enables </w:t>
      </w:r>
      <w:r>
        <w:rPr>
          <w:rFonts w:ascii="Calibri" w:eastAsia="Calibri" w:hAnsi="Calibri" w:cs="Times New Roman"/>
        </w:rPr>
        <w:t xml:space="preserve">them to earn </w:t>
      </w:r>
      <w:r w:rsidRPr="009810A7">
        <w:rPr>
          <w:rFonts w:ascii="Calibri" w:eastAsia="Calibri" w:hAnsi="Calibri" w:cs="Times New Roman"/>
        </w:rPr>
        <w:t>incremental commercial revenues</w:t>
      </w:r>
      <w:r>
        <w:rPr>
          <w:rFonts w:ascii="Calibri" w:eastAsia="Calibri" w:hAnsi="Calibri" w:cs="Times New Roman"/>
        </w:rPr>
        <w:t>.</w:t>
      </w:r>
    </w:p>
    <w:p w14:paraId="034CEC64" w14:textId="77777777" w:rsidR="00EF4DCF" w:rsidRPr="009810A7" w:rsidRDefault="00EF4DCF" w:rsidP="00101A53">
      <w:pPr>
        <w:pStyle w:val="ListParagraph"/>
        <w:numPr>
          <w:ilvl w:val="0"/>
          <w:numId w:val="23"/>
        </w:numPr>
        <w:spacing w:before="80"/>
        <w:ind w:left="357"/>
        <w:contextualSpacing w:val="0"/>
        <w:rPr>
          <w:rFonts w:ascii="Calibri" w:eastAsia="Calibri" w:hAnsi="Calibri" w:cs="Times New Roman"/>
        </w:rPr>
      </w:pPr>
      <w:r>
        <w:rPr>
          <w:rFonts w:ascii="Calibri" w:eastAsia="Calibri" w:hAnsi="Calibri" w:cs="Times New Roman"/>
        </w:rPr>
        <w:t>S</w:t>
      </w:r>
      <w:r w:rsidRPr="009810A7">
        <w:rPr>
          <w:rFonts w:ascii="Calibri" w:eastAsia="Calibri" w:hAnsi="Calibri" w:cs="Times New Roman"/>
        </w:rPr>
        <w:t xml:space="preserve">mart speaker providers </w:t>
      </w:r>
      <w:r>
        <w:rPr>
          <w:rFonts w:ascii="Calibri" w:eastAsia="Calibri" w:hAnsi="Calibri" w:cs="Times New Roman"/>
        </w:rPr>
        <w:t xml:space="preserve">can </w:t>
      </w:r>
      <w:r w:rsidRPr="009810A7">
        <w:rPr>
          <w:rFonts w:ascii="Calibri" w:eastAsia="Calibri" w:hAnsi="Calibri" w:cs="Times New Roman"/>
        </w:rPr>
        <w:t xml:space="preserve">gain from having radio present </w:t>
      </w:r>
      <w:r>
        <w:rPr>
          <w:rFonts w:ascii="Calibri" w:eastAsia="Calibri" w:hAnsi="Calibri" w:cs="Times New Roman"/>
        </w:rPr>
        <w:t xml:space="preserve">on devices </w:t>
      </w:r>
      <w:r w:rsidRPr="009810A7">
        <w:rPr>
          <w:rFonts w:ascii="Calibri" w:eastAsia="Calibri" w:hAnsi="Calibri" w:cs="Times New Roman"/>
        </w:rPr>
        <w:t>through incremental product sales, the familiarisation of users with voice commands and apps that support the interface</w:t>
      </w:r>
      <w:r>
        <w:rPr>
          <w:rFonts w:ascii="Calibri" w:eastAsia="Calibri" w:hAnsi="Calibri" w:cs="Times New Roman"/>
        </w:rPr>
        <w:t>,</w:t>
      </w:r>
      <w:r w:rsidRPr="009810A7">
        <w:rPr>
          <w:rFonts w:ascii="Calibri" w:eastAsia="Calibri" w:hAnsi="Calibri" w:cs="Times New Roman"/>
        </w:rPr>
        <w:t xml:space="preserve"> </w:t>
      </w:r>
      <w:r>
        <w:rPr>
          <w:rFonts w:ascii="Calibri" w:eastAsia="Calibri" w:hAnsi="Calibri" w:cs="Times New Roman"/>
        </w:rPr>
        <w:t>and</w:t>
      </w:r>
      <w:r w:rsidRPr="009810A7">
        <w:rPr>
          <w:rFonts w:ascii="Calibri" w:eastAsia="Calibri" w:hAnsi="Calibri" w:cs="Times New Roman"/>
        </w:rPr>
        <w:t xml:space="preserve"> </w:t>
      </w:r>
      <w:proofErr w:type="gramStart"/>
      <w:r w:rsidRPr="009810A7">
        <w:rPr>
          <w:rFonts w:ascii="Calibri" w:eastAsia="Calibri" w:hAnsi="Calibri" w:cs="Times New Roman"/>
        </w:rPr>
        <w:t>through the use of</w:t>
      </w:r>
      <w:proofErr w:type="gramEnd"/>
      <w:r w:rsidRPr="009810A7">
        <w:rPr>
          <w:rFonts w:ascii="Calibri" w:eastAsia="Calibri" w:hAnsi="Calibri" w:cs="Times New Roman"/>
        </w:rPr>
        <w:t xml:space="preserve"> data.</w:t>
      </w:r>
      <w:r>
        <w:rPr>
          <w:rStyle w:val="FootnoteReference"/>
          <w:rFonts w:ascii="Calibri" w:eastAsia="Calibri" w:hAnsi="Calibri" w:cs="Times New Roman"/>
        </w:rPr>
        <w:footnoteReference w:id="33"/>
      </w:r>
    </w:p>
    <w:bookmarkEnd w:id="24"/>
    <w:p w14:paraId="709E09A3" w14:textId="65C6CC94" w:rsidR="00EF4DCF" w:rsidRDefault="00EF4DCF" w:rsidP="00101A53">
      <w:pPr>
        <w:spacing w:before="80"/>
      </w:pPr>
      <w:r>
        <w:rPr>
          <w:rFonts w:ascii="Calibri" w:eastAsia="Calibri" w:hAnsi="Calibri" w:cs="Times New Roman"/>
        </w:rPr>
        <w:t xml:space="preserve">However, the ACCC has identified competition issues that can arise where digital platform service providers </w:t>
      </w:r>
      <w:r w:rsidR="00984F56">
        <w:rPr>
          <w:rFonts w:ascii="Calibri" w:eastAsia="Calibri" w:hAnsi="Calibri" w:cs="Times New Roman"/>
        </w:rPr>
        <w:t xml:space="preserve">that </w:t>
      </w:r>
      <w:r>
        <w:rPr>
          <w:rFonts w:ascii="Calibri" w:eastAsia="Calibri" w:hAnsi="Calibri" w:cs="Times New Roman"/>
        </w:rPr>
        <w:t xml:space="preserve">have a gatekeeper </w:t>
      </w:r>
      <w:r w:rsidR="00984F56">
        <w:rPr>
          <w:rFonts w:ascii="Calibri" w:eastAsia="Calibri" w:hAnsi="Calibri" w:cs="Times New Roman"/>
        </w:rPr>
        <w:t>posit</w:t>
      </w:r>
      <w:r w:rsidR="00984F56">
        <w:t>ion</w:t>
      </w:r>
      <w:r>
        <w:t xml:space="preserve"> may also have an increased ability and incentive to engage in ‘steering’ practices that direct </w:t>
      </w:r>
      <w:r w:rsidR="0096126A">
        <w:t xml:space="preserve">a </w:t>
      </w:r>
      <w:r>
        <w:t>user’s attention to services that generate higher profits for the platform.</w:t>
      </w:r>
      <w:r>
        <w:rPr>
          <w:rStyle w:val="FootnoteReference"/>
        </w:rPr>
        <w:footnoteReference w:id="34"/>
      </w:r>
      <w:r>
        <w:t xml:space="preserve"> Of</w:t>
      </w:r>
      <w:r w:rsidR="008D28A1">
        <w:t xml:space="preserve"> particular</w:t>
      </w:r>
      <w:r>
        <w:t xml:space="preserve"> relevance to this </w:t>
      </w:r>
      <w:r w:rsidR="00984F56">
        <w:t xml:space="preserve">impact assessment are </w:t>
      </w:r>
      <w:r>
        <w:t>first-party audio services</w:t>
      </w:r>
      <w:r w:rsidR="008D28A1">
        <w:t>,</w:t>
      </w:r>
      <w:r>
        <w:t xml:space="preserve"> includ</w:t>
      </w:r>
      <w:r w:rsidR="008D28A1">
        <w:t>ing</w:t>
      </w:r>
      <w:r>
        <w:t>: Amazon Music and Audible; Apple Music and Apple Podcasts; and YouTube Music and Google Podcasts.</w:t>
      </w:r>
    </w:p>
    <w:p w14:paraId="79E4AAB2" w14:textId="7DA598E4" w:rsidR="00EF4DCF" w:rsidRDefault="00EF4DCF" w:rsidP="00101A53">
      <w:pPr>
        <w:spacing w:before="80"/>
      </w:pPr>
      <w:r>
        <w:t xml:space="preserve">The ACCC </w:t>
      </w:r>
      <w:r w:rsidR="008D28A1">
        <w:t xml:space="preserve">also </w:t>
      </w:r>
      <w:r>
        <w:t>note</w:t>
      </w:r>
      <w:r w:rsidR="008D28A1">
        <w:t>d</w:t>
      </w:r>
      <w:r>
        <w:t xml:space="preserve"> that voice assistants can provide a further opportunity for digital platforms to steer users in favour of first-party products and services.</w:t>
      </w:r>
      <w:r>
        <w:rPr>
          <w:rStyle w:val="FootnoteReference"/>
        </w:rPr>
        <w:footnoteReference w:id="35"/>
      </w:r>
      <w:r>
        <w:t xml:space="preserve"> Browsing products by voice also tends to provide consumers with fewer options and less information compared with websites, particularly when using smart speakers.</w:t>
      </w:r>
      <w:r>
        <w:rPr>
          <w:rStyle w:val="FootnoteReference"/>
        </w:rPr>
        <w:footnoteReference w:id="36"/>
      </w:r>
    </w:p>
    <w:p w14:paraId="547571DD" w14:textId="54E76068" w:rsidR="00EF4DCF" w:rsidRDefault="008D28A1" w:rsidP="00101A53">
      <w:pPr>
        <w:spacing w:before="80"/>
        <w:rPr>
          <w:lang w:val="en-US"/>
        </w:rPr>
      </w:pPr>
      <w:r>
        <w:rPr>
          <w:lang w:val="en-US"/>
        </w:rPr>
        <w:lastRenderedPageBreak/>
        <w:t>Similarly, a</w:t>
      </w:r>
      <w:r w:rsidR="00EF4DCF">
        <w:rPr>
          <w:lang w:val="en-US"/>
        </w:rPr>
        <w:t xml:space="preserve"> report from Frontier Economics, commissioned by Bauer Media in the context of the UK’s Digital Radio and Audio Review, found that the value exchange between the two parties – which has tended to be mutually beneficial to date – is expected to shift in </w:t>
      </w:r>
      <w:proofErr w:type="spellStart"/>
      <w:r w:rsidR="00EF4DCF">
        <w:rPr>
          <w:lang w:val="en-US"/>
        </w:rPr>
        <w:t>favour</w:t>
      </w:r>
      <w:proofErr w:type="spellEnd"/>
      <w:r w:rsidR="00EF4DCF">
        <w:rPr>
          <w:lang w:val="en-US"/>
        </w:rPr>
        <w:t xml:space="preserve"> of the platforms over the coming years as the share of listening carried on these devices grows.</w:t>
      </w:r>
      <w:r w:rsidR="00EF4DCF">
        <w:rPr>
          <w:rStyle w:val="FootnoteReference"/>
          <w:lang w:val="en-US"/>
        </w:rPr>
        <w:footnoteReference w:id="37"/>
      </w:r>
      <w:r w:rsidR="00EF4DCF">
        <w:rPr>
          <w:lang w:val="en-US"/>
        </w:rPr>
        <w:t xml:space="preserve"> This is because:</w:t>
      </w:r>
    </w:p>
    <w:p w14:paraId="389E0739" w14:textId="77777777" w:rsidR="00EF4DCF" w:rsidRPr="00253DAA" w:rsidRDefault="00EF4DCF" w:rsidP="00101A53">
      <w:pPr>
        <w:pStyle w:val="ListParagraph"/>
        <w:numPr>
          <w:ilvl w:val="0"/>
          <w:numId w:val="24"/>
        </w:numPr>
        <w:spacing w:before="80"/>
        <w:contextualSpacing w:val="0"/>
        <w:rPr>
          <w:lang w:val="en-US"/>
        </w:rPr>
      </w:pPr>
      <w:proofErr w:type="gramStart"/>
      <w:r w:rsidRPr="00E60DA7">
        <w:rPr>
          <w:lang w:val="en-US"/>
        </w:rPr>
        <w:t>s</w:t>
      </w:r>
      <w:r>
        <w:t>mart</w:t>
      </w:r>
      <w:proofErr w:type="gramEnd"/>
      <w:r>
        <w:t xml:space="preserve"> speakers will become less reliant on radio (due to the maturation of the smart speaker market and the development of alternative streaming services); while</w:t>
      </w:r>
    </w:p>
    <w:p w14:paraId="2187EAAE" w14:textId="7D19026D" w:rsidR="00EF4DCF" w:rsidRDefault="00EF4DCF" w:rsidP="00101A53">
      <w:pPr>
        <w:pStyle w:val="ListParagraph"/>
        <w:numPr>
          <w:ilvl w:val="0"/>
          <w:numId w:val="24"/>
        </w:numPr>
        <w:spacing w:before="80"/>
        <w:contextualSpacing w:val="0"/>
        <w:rPr>
          <w:lang w:val="en-US"/>
        </w:rPr>
      </w:pPr>
      <w:r w:rsidRPr="00E60DA7">
        <w:rPr>
          <w:lang w:val="en-US"/>
        </w:rPr>
        <w:t>r</w:t>
      </w:r>
      <w:r w:rsidRPr="00253DAA">
        <w:rPr>
          <w:lang w:val="en-US"/>
        </w:rPr>
        <w:t>adio broadcasters will likely be more dependent on voice assistant platforms</w:t>
      </w:r>
      <w:r w:rsidRPr="00E60DA7">
        <w:rPr>
          <w:lang w:val="en-US"/>
        </w:rPr>
        <w:t xml:space="preserve"> (due to a higher share of radio listening being via voice assisted </w:t>
      </w:r>
      <w:r w:rsidR="00C075CB">
        <w:rPr>
          <w:lang w:val="en-US"/>
        </w:rPr>
        <w:t>software</w:t>
      </w:r>
      <w:r w:rsidRPr="00E60DA7">
        <w:rPr>
          <w:lang w:val="en-US"/>
        </w:rPr>
        <w:t>, and a decline in the number of households with traditional analogue or digital radio sets).</w:t>
      </w:r>
      <w:r>
        <w:rPr>
          <w:rStyle w:val="FootnoteReference"/>
          <w:lang w:val="en-US"/>
        </w:rPr>
        <w:footnoteReference w:id="38"/>
      </w:r>
    </w:p>
    <w:p w14:paraId="7642C7EF" w14:textId="77777777" w:rsidR="00EF4DCF" w:rsidRDefault="00EF4DCF" w:rsidP="00101A53">
      <w:pPr>
        <w:spacing w:before="80"/>
      </w:pPr>
      <w:r>
        <w:rPr>
          <w:lang w:val="en-US"/>
        </w:rPr>
        <w:t xml:space="preserve">The Impact Analysis undertaken by the Department of Culture, Media and Sport for the UK’s radio prominence framework found that there is </w:t>
      </w:r>
      <w:r>
        <w:t>likely to be a ‘tipping point’ whereby radio will become dependent on the platforms for access to its listeners, which would provide the platforms with a clear economic incentive to seek to monetise the provision of radio services.</w:t>
      </w:r>
      <w:r>
        <w:rPr>
          <w:rStyle w:val="FootnoteReference"/>
        </w:rPr>
        <w:footnoteReference w:id="39"/>
      </w:r>
    </w:p>
    <w:p w14:paraId="7AFD1AE6" w14:textId="77777777" w:rsidR="00EF4DCF" w:rsidRPr="00253DAA" w:rsidRDefault="00EF4DCF" w:rsidP="00101A53">
      <w:pPr>
        <w:spacing w:before="80"/>
        <w:ind w:left="720" w:right="933"/>
        <w:rPr>
          <w:i/>
        </w:rPr>
      </w:pPr>
      <w:r w:rsidRPr="00253DAA">
        <w:rPr>
          <w:i/>
        </w:rPr>
        <w:t>“Although relationships have been benign since the emergence of voice activated smart speaker devices in 2016, it is this risk - the risk that the public value inherent in continued access to live, licensed radio services will be intermediated and monetised by the platforms - that the new measures to regulate radio access across voice assistant interfaces in the draft Media Bill seek to address.”</w:t>
      </w:r>
      <w:r>
        <w:rPr>
          <w:i/>
        </w:rPr>
        <w:t xml:space="preserve"> </w:t>
      </w:r>
      <w:r w:rsidRPr="00A7059B">
        <w:rPr>
          <w:rStyle w:val="FootnoteReference"/>
        </w:rPr>
        <w:footnoteReference w:id="40"/>
      </w:r>
    </w:p>
    <w:p w14:paraId="766AAB57" w14:textId="22964C3A" w:rsidR="0008025E" w:rsidRPr="0008025E" w:rsidRDefault="00EF4DCF" w:rsidP="00101A53">
      <w:pPr>
        <w:spacing w:before="80"/>
        <w:ind w:right="933"/>
      </w:pPr>
      <w:r>
        <w:t>The Impact Analysis further noted that although the tipping point is unlikely to have been reached, other media sectors – such as news publishing – highlight how quickly and dramatically market changes can impact content providers’ long-term sustainability.</w:t>
      </w:r>
      <w:r>
        <w:rPr>
          <w:rStyle w:val="FootnoteReference"/>
        </w:rPr>
        <w:footnoteReference w:id="41"/>
      </w:r>
    </w:p>
    <w:p w14:paraId="78C5A644" w14:textId="4B42EC89" w:rsidR="00A70214" w:rsidRPr="0038343E" w:rsidRDefault="00A70214" w:rsidP="007F3AA5">
      <w:pPr>
        <w:pStyle w:val="Heading3Numbered"/>
      </w:pPr>
      <w:bookmarkStart w:id="25" w:name="_Toc224299695"/>
      <w:bookmarkStart w:id="26" w:name="_Toc225144963"/>
      <w:bookmarkStart w:id="27" w:name="_Toc224299696"/>
      <w:bookmarkStart w:id="28" w:name="_Toc225144964"/>
      <w:bookmarkStart w:id="29" w:name="_Toc224299697"/>
      <w:bookmarkStart w:id="30" w:name="_Toc225144965"/>
      <w:bookmarkStart w:id="31" w:name="_Toc224299698"/>
      <w:bookmarkStart w:id="32" w:name="_Toc225144966"/>
      <w:bookmarkStart w:id="33" w:name="_Toc224299699"/>
      <w:bookmarkStart w:id="34" w:name="_Toc225144967"/>
      <w:bookmarkStart w:id="35" w:name="_Toc224299700"/>
      <w:bookmarkStart w:id="36" w:name="_Toc225144968"/>
      <w:bookmarkStart w:id="37" w:name="_Toc224299701"/>
      <w:bookmarkStart w:id="38" w:name="_Toc225144969"/>
      <w:bookmarkStart w:id="39" w:name="_Toc224299702"/>
      <w:bookmarkStart w:id="40" w:name="_Toc225144970"/>
      <w:bookmarkStart w:id="41" w:name="_Toc224299703"/>
      <w:bookmarkStart w:id="42" w:name="_Toc225144971"/>
      <w:bookmarkStart w:id="43" w:name="_Toc224299704"/>
      <w:bookmarkStart w:id="44" w:name="_Toc225144972"/>
      <w:bookmarkStart w:id="45" w:name="_Toc224299705"/>
      <w:bookmarkStart w:id="46" w:name="_Toc225144973"/>
      <w:bookmarkStart w:id="47" w:name="_Toc224299706"/>
      <w:bookmarkStart w:id="48" w:name="_Toc225144974"/>
      <w:bookmarkStart w:id="49" w:name="_Toc224299707"/>
      <w:bookmarkStart w:id="50" w:name="_Toc225144975"/>
      <w:bookmarkStart w:id="51" w:name="_Toc224299708"/>
      <w:bookmarkStart w:id="52" w:name="_Toc225144976"/>
      <w:bookmarkStart w:id="53" w:name="_Toc224299709"/>
      <w:bookmarkStart w:id="54" w:name="_Toc225144977"/>
      <w:bookmarkStart w:id="55" w:name="_Toc224299710"/>
      <w:bookmarkStart w:id="56" w:name="_Toc225144978"/>
      <w:bookmarkStart w:id="57" w:name="_Toc224299711"/>
      <w:bookmarkStart w:id="58" w:name="_Toc225144979"/>
      <w:bookmarkStart w:id="59" w:name="_Toc224299712"/>
      <w:bookmarkStart w:id="60" w:name="_Toc225144980"/>
      <w:bookmarkStart w:id="61" w:name="_Toc236825145"/>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38343E">
        <w:t xml:space="preserve">Challenge 3 </w:t>
      </w:r>
      <w:r w:rsidR="007F3AA5" w:rsidRPr="0038343E">
        <w:t>–</w:t>
      </w:r>
      <w:r w:rsidRPr="0038343E">
        <w:t xml:space="preserve"> </w:t>
      </w:r>
      <w:r w:rsidR="00AC0448" w:rsidRPr="0038343E">
        <w:t>s</w:t>
      </w:r>
      <w:r w:rsidR="00685028" w:rsidRPr="0038343E">
        <w:t>ustainability</w:t>
      </w:r>
      <w:r w:rsidR="007F3AA5" w:rsidRPr="0038343E">
        <w:t xml:space="preserve"> of radio services</w:t>
      </w:r>
      <w:bookmarkEnd w:id="61"/>
    </w:p>
    <w:p w14:paraId="7581C0DF" w14:textId="440293C9" w:rsidR="00554501" w:rsidRPr="00B16F74" w:rsidRDefault="001C3444" w:rsidP="00101A53">
      <w:pPr>
        <w:spacing w:before="80"/>
        <w:rPr>
          <w:rFonts w:ascii="Calibri" w:eastAsia="Calibri" w:hAnsi="Calibri" w:cs="Times New Roman"/>
        </w:rPr>
      </w:pPr>
      <w:r w:rsidRPr="00B16F74">
        <w:rPr>
          <w:rFonts w:ascii="Calibri" w:eastAsia="Calibri" w:hAnsi="Calibri" w:cs="Times New Roman"/>
        </w:rPr>
        <w:t>As</w:t>
      </w:r>
      <w:r w:rsidR="00FF5A2F" w:rsidRPr="00B16F74">
        <w:rPr>
          <w:rFonts w:ascii="Calibri" w:eastAsia="Calibri" w:hAnsi="Calibri" w:cs="Times New Roman"/>
        </w:rPr>
        <w:t xml:space="preserve"> </w:t>
      </w:r>
      <w:r w:rsidR="00350BD1" w:rsidRPr="00B16F74">
        <w:rPr>
          <w:rFonts w:ascii="Calibri" w:eastAsia="Calibri" w:hAnsi="Calibri" w:cs="Times New Roman"/>
        </w:rPr>
        <w:t xml:space="preserve">new technologies and consumer preferences </w:t>
      </w:r>
      <w:r w:rsidR="0038343E" w:rsidRPr="00B16F74">
        <w:rPr>
          <w:rFonts w:ascii="Calibri" w:eastAsia="Calibri" w:hAnsi="Calibri" w:cs="Times New Roman"/>
        </w:rPr>
        <w:t xml:space="preserve">have </w:t>
      </w:r>
      <w:r w:rsidR="00350BD1" w:rsidRPr="00B16F74">
        <w:rPr>
          <w:rFonts w:ascii="Calibri" w:eastAsia="Calibri" w:hAnsi="Calibri" w:cs="Times New Roman"/>
        </w:rPr>
        <w:t>emerge</w:t>
      </w:r>
      <w:r w:rsidR="0038343E" w:rsidRPr="00B16F74">
        <w:rPr>
          <w:rFonts w:ascii="Calibri" w:eastAsia="Calibri" w:hAnsi="Calibri" w:cs="Times New Roman"/>
        </w:rPr>
        <w:t>d</w:t>
      </w:r>
      <w:r w:rsidR="008A47F1" w:rsidRPr="00B16F74">
        <w:rPr>
          <w:rFonts w:ascii="Calibri" w:eastAsia="Calibri" w:hAnsi="Calibri" w:cs="Times New Roman"/>
        </w:rPr>
        <w:t>,</w:t>
      </w:r>
      <w:r w:rsidR="00350BD1" w:rsidRPr="00B16F74">
        <w:rPr>
          <w:rFonts w:ascii="Calibri" w:eastAsia="Calibri" w:hAnsi="Calibri" w:cs="Times New Roman"/>
        </w:rPr>
        <w:t xml:space="preserve"> broadcasters </w:t>
      </w:r>
      <w:r w:rsidR="0038343E" w:rsidRPr="00B16F74">
        <w:rPr>
          <w:rFonts w:ascii="Calibri" w:eastAsia="Calibri" w:hAnsi="Calibri" w:cs="Times New Roman"/>
        </w:rPr>
        <w:t>have faced</w:t>
      </w:r>
      <w:r w:rsidR="00392CE1" w:rsidRPr="00B16F74">
        <w:rPr>
          <w:rFonts w:ascii="Calibri" w:eastAsia="Calibri" w:hAnsi="Calibri" w:cs="Times New Roman"/>
        </w:rPr>
        <w:t xml:space="preserve"> increasing </w:t>
      </w:r>
      <w:r w:rsidR="0038343E" w:rsidRPr="00B16F74">
        <w:rPr>
          <w:rFonts w:ascii="Calibri" w:eastAsia="Calibri" w:hAnsi="Calibri" w:cs="Times New Roman"/>
        </w:rPr>
        <w:t xml:space="preserve">financial </w:t>
      </w:r>
      <w:r w:rsidR="00392CE1" w:rsidRPr="00B16F74">
        <w:rPr>
          <w:rFonts w:ascii="Calibri" w:eastAsia="Calibri" w:hAnsi="Calibri" w:cs="Times New Roman"/>
        </w:rPr>
        <w:t xml:space="preserve">challenges </w:t>
      </w:r>
      <w:r w:rsidR="0038343E" w:rsidRPr="00B16F74">
        <w:rPr>
          <w:rFonts w:ascii="Calibri" w:eastAsia="Calibri" w:hAnsi="Calibri" w:cs="Times New Roman"/>
        </w:rPr>
        <w:t>as</w:t>
      </w:r>
      <w:r w:rsidR="00350BD1" w:rsidRPr="00B16F74">
        <w:rPr>
          <w:rFonts w:ascii="Calibri" w:eastAsia="Calibri" w:hAnsi="Calibri" w:cs="Times New Roman"/>
        </w:rPr>
        <w:t xml:space="preserve"> advertising revenue has </w:t>
      </w:r>
      <w:r w:rsidR="0038343E" w:rsidRPr="00B16F74">
        <w:rPr>
          <w:rFonts w:ascii="Calibri" w:eastAsia="Calibri" w:hAnsi="Calibri" w:cs="Times New Roman"/>
        </w:rPr>
        <w:t>moved</w:t>
      </w:r>
      <w:r w:rsidR="00350BD1" w:rsidRPr="00B16F74">
        <w:rPr>
          <w:rFonts w:ascii="Calibri" w:eastAsia="Calibri" w:hAnsi="Calibri" w:cs="Times New Roman"/>
        </w:rPr>
        <w:t xml:space="preserve"> from </w:t>
      </w:r>
      <w:r w:rsidR="003F77FB" w:rsidRPr="00B16F74">
        <w:rPr>
          <w:rFonts w:ascii="Calibri" w:eastAsia="Calibri" w:hAnsi="Calibri" w:cs="Times New Roman"/>
        </w:rPr>
        <w:t>‘</w:t>
      </w:r>
      <w:r w:rsidR="00350BD1" w:rsidRPr="00B16F74">
        <w:rPr>
          <w:rFonts w:ascii="Calibri" w:eastAsia="Calibri" w:hAnsi="Calibri" w:cs="Times New Roman"/>
        </w:rPr>
        <w:t>traditional</w:t>
      </w:r>
      <w:r w:rsidR="003F77FB" w:rsidRPr="00B16F74">
        <w:rPr>
          <w:rFonts w:ascii="Calibri" w:eastAsia="Calibri" w:hAnsi="Calibri" w:cs="Times New Roman"/>
        </w:rPr>
        <w:t>'</w:t>
      </w:r>
      <w:r w:rsidR="00350BD1" w:rsidRPr="00B16F74">
        <w:rPr>
          <w:rFonts w:ascii="Calibri" w:eastAsia="Calibri" w:hAnsi="Calibri" w:cs="Times New Roman"/>
        </w:rPr>
        <w:t xml:space="preserve"> </w:t>
      </w:r>
      <w:r w:rsidR="003F77FB" w:rsidRPr="00B16F74">
        <w:rPr>
          <w:rFonts w:ascii="Calibri" w:eastAsia="Calibri" w:hAnsi="Calibri" w:cs="Times New Roman"/>
        </w:rPr>
        <w:t>media</w:t>
      </w:r>
      <w:r w:rsidR="008A47F1" w:rsidRPr="00B16F74">
        <w:rPr>
          <w:rFonts w:ascii="Calibri" w:eastAsia="Calibri" w:hAnsi="Calibri" w:cs="Times New Roman"/>
        </w:rPr>
        <w:t>,</w:t>
      </w:r>
      <w:r w:rsidR="00350BD1" w:rsidRPr="00B16F74">
        <w:rPr>
          <w:rFonts w:ascii="Calibri" w:eastAsia="Calibri" w:hAnsi="Calibri" w:cs="Times New Roman"/>
        </w:rPr>
        <w:t xml:space="preserve"> such as TV and radio</w:t>
      </w:r>
      <w:r w:rsidR="008A47F1" w:rsidRPr="00B16F74">
        <w:rPr>
          <w:rFonts w:ascii="Calibri" w:eastAsia="Calibri" w:hAnsi="Calibri" w:cs="Times New Roman"/>
        </w:rPr>
        <w:t xml:space="preserve">, </w:t>
      </w:r>
      <w:r w:rsidR="00350BD1" w:rsidRPr="00B16F74">
        <w:rPr>
          <w:rFonts w:ascii="Calibri" w:eastAsia="Calibri" w:hAnsi="Calibri" w:cs="Times New Roman"/>
        </w:rPr>
        <w:t>to online</w:t>
      </w:r>
      <w:r w:rsidR="003F77FB" w:rsidRPr="00B16F74">
        <w:rPr>
          <w:rFonts w:ascii="Calibri" w:eastAsia="Calibri" w:hAnsi="Calibri" w:cs="Times New Roman"/>
        </w:rPr>
        <w:t xml:space="preserve"> platforms</w:t>
      </w:r>
      <w:r w:rsidR="00327E2B" w:rsidRPr="00B16F74">
        <w:rPr>
          <w:rFonts w:ascii="Calibri" w:eastAsia="Calibri" w:hAnsi="Calibri" w:cs="Times New Roman"/>
        </w:rPr>
        <w:t xml:space="preserve"> (see Figure 2)</w:t>
      </w:r>
      <w:r w:rsidR="00350BD1" w:rsidRPr="00B16F74">
        <w:rPr>
          <w:rFonts w:ascii="Calibri" w:eastAsia="Calibri" w:hAnsi="Calibri" w:cs="Times New Roman"/>
        </w:rPr>
        <w:t>.</w:t>
      </w:r>
    </w:p>
    <w:p w14:paraId="720C0590" w14:textId="7182EA81" w:rsidR="00554501" w:rsidRPr="00B16F74" w:rsidRDefault="00813BF1" w:rsidP="00554501">
      <w:pPr>
        <w:pStyle w:val="Caption"/>
      </w:pPr>
      <w:bookmarkStart w:id="62" w:name="_Toc236825665"/>
      <w:r w:rsidRPr="00B16F74">
        <w:t>Figure</w:t>
      </w:r>
      <w:r w:rsidR="00554501" w:rsidRPr="00B16F74">
        <w:t xml:space="preserve"> </w:t>
      </w:r>
      <w:r w:rsidR="00712DB7" w:rsidRPr="00B16F74">
        <w:t>2</w:t>
      </w:r>
      <w:r w:rsidR="00554501" w:rsidRPr="00B16F74">
        <w:t>: Advertising in the entertainment and media industry (industry percentage share)</w:t>
      </w:r>
      <w:bookmarkEnd w:id="62"/>
    </w:p>
    <w:p w14:paraId="755EC911" w14:textId="7A930227" w:rsidR="00B52932" w:rsidRPr="00B16F74" w:rsidRDefault="00E834EB" w:rsidP="00101A53">
      <w:pPr>
        <w:jc w:val="center"/>
        <w:rPr>
          <w:b/>
        </w:rPr>
      </w:pPr>
      <w:r>
        <w:rPr>
          <w:b/>
          <w:noProof/>
        </w:rPr>
        <w:drawing>
          <wp:inline distT="0" distB="0" distL="0" distR="0" wp14:anchorId="17A3829B" wp14:editId="596B0B07">
            <wp:extent cx="5627370" cy="2011680"/>
            <wp:effectExtent l="0" t="0" r="0" b="7620"/>
            <wp:docPr id="96354989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27370" cy="2011680"/>
                    </a:xfrm>
                    <a:prstGeom prst="rect">
                      <a:avLst/>
                    </a:prstGeom>
                    <a:noFill/>
                  </pic:spPr>
                </pic:pic>
              </a:graphicData>
            </a:graphic>
          </wp:inline>
        </w:drawing>
      </w:r>
    </w:p>
    <w:p w14:paraId="23A02A02" w14:textId="02FBF659" w:rsidR="00B019FB" w:rsidRPr="00B16F74" w:rsidRDefault="00B019FB" w:rsidP="00101A53">
      <w:pPr>
        <w:pStyle w:val="Sourcenotes"/>
        <w:spacing w:before="0" w:after="0"/>
      </w:pPr>
      <w:r w:rsidRPr="00B16F74">
        <w:t>Source: Department analysis of PwC Global Entertainment &amp; Media Outlook (GEMO) 2019-2028 data, using PwC’s ‘Advertising’ cut of entertainment and media sector financials. GEMO’s calendar year 2023 data is not yet final, indicated by ‘2023p’.</w:t>
      </w:r>
      <w:r w:rsidRPr="00B16F74">
        <w:rPr>
          <w:rStyle w:val="FootnoteReference"/>
        </w:rPr>
        <w:footnoteReference w:id="42"/>
      </w:r>
      <w:r w:rsidRPr="00B16F74">
        <w:t xml:space="preserve"> </w:t>
      </w:r>
    </w:p>
    <w:p w14:paraId="73CF8929" w14:textId="38E64B2D" w:rsidR="007F3AA5" w:rsidRPr="00B16F74" w:rsidRDefault="00F467AA" w:rsidP="00101A53">
      <w:pPr>
        <w:spacing w:before="80"/>
        <w:rPr>
          <w:rFonts w:ascii="Calibri" w:eastAsia="Calibri" w:hAnsi="Calibri" w:cs="Times New Roman"/>
        </w:rPr>
      </w:pPr>
      <w:r w:rsidRPr="00B16F74">
        <w:rPr>
          <w:rFonts w:ascii="Calibri" w:eastAsia="Calibri" w:hAnsi="Calibri" w:cs="Times New Roman"/>
        </w:rPr>
        <w:lastRenderedPageBreak/>
        <w:t xml:space="preserve">As detailed in the UK’s Media Bill </w:t>
      </w:r>
      <w:r w:rsidR="00F81F8C" w:rsidRPr="00B16F74">
        <w:rPr>
          <w:rFonts w:ascii="Calibri" w:eastAsia="Calibri" w:hAnsi="Calibri" w:cs="Times New Roman"/>
        </w:rPr>
        <w:t xml:space="preserve">Overarching </w:t>
      </w:r>
      <w:r w:rsidRPr="00B16F74">
        <w:rPr>
          <w:rFonts w:ascii="Calibri" w:eastAsia="Calibri" w:hAnsi="Calibri" w:cs="Times New Roman"/>
        </w:rPr>
        <w:t>Impact Assessment, the</w:t>
      </w:r>
      <w:r w:rsidR="00012337" w:rsidRPr="00B16F74">
        <w:rPr>
          <w:rFonts w:ascii="Calibri" w:eastAsia="Calibri" w:hAnsi="Calibri" w:cs="Times New Roman"/>
        </w:rPr>
        <w:t xml:space="preserve"> transfer of value from radio stations to voice assistant platforms </w:t>
      </w:r>
      <w:r w:rsidR="00EA7B66" w:rsidRPr="00B16F74">
        <w:rPr>
          <w:rFonts w:ascii="Calibri" w:eastAsia="Calibri" w:hAnsi="Calibri" w:cs="Times New Roman"/>
        </w:rPr>
        <w:t xml:space="preserve">as listening trends shift over the next decade </w:t>
      </w:r>
      <w:r w:rsidR="00012337" w:rsidRPr="00B16F74">
        <w:rPr>
          <w:rFonts w:ascii="Calibri" w:eastAsia="Calibri" w:hAnsi="Calibri" w:cs="Times New Roman"/>
        </w:rPr>
        <w:t>is a potential risk.</w:t>
      </w:r>
      <w:r w:rsidR="00F81F8C" w:rsidRPr="00B16F74">
        <w:rPr>
          <w:rStyle w:val="FootnoteReference"/>
          <w:rFonts w:ascii="Calibri" w:eastAsia="Calibri" w:hAnsi="Calibri" w:cs="Times New Roman"/>
        </w:rPr>
        <w:footnoteReference w:id="43"/>
      </w:r>
      <w:r w:rsidR="00012337" w:rsidRPr="00B16F74">
        <w:rPr>
          <w:rFonts w:ascii="Calibri" w:eastAsia="Calibri" w:hAnsi="Calibri" w:cs="Times New Roman"/>
        </w:rPr>
        <w:t xml:space="preserve"> Modelling by Frontier Economics </w:t>
      </w:r>
      <w:r w:rsidR="00837A56" w:rsidRPr="00B16F74">
        <w:rPr>
          <w:rFonts w:ascii="Calibri" w:eastAsia="Calibri" w:hAnsi="Calibri" w:cs="Times New Roman"/>
        </w:rPr>
        <w:t xml:space="preserve">from the impact assessment </w:t>
      </w:r>
      <w:r w:rsidR="00DB1870" w:rsidRPr="00B16F74">
        <w:rPr>
          <w:rFonts w:ascii="Calibri" w:eastAsia="Calibri" w:hAnsi="Calibri" w:cs="Times New Roman"/>
        </w:rPr>
        <w:t>estimated</w:t>
      </w:r>
      <w:r w:rsidR="00012337" w:rsidRPr="00B16F74">
        <w:rPr>
          <w:rFonts w:ascii="Calibri" w:eastAsia="Calibri" w:hAnsi="Calibri" w:cs="Times New Roman"/>
        </w:rPr>
        <w:t xml:space="preserve"> that in 2022 8</w:t>
      </w:r>
      <w:r w:rsidR="00664B00" w:rsidRPr="00B16F74">
        <w:rPr>
          <w:rFonts w:ascii="Calibri" w:eastAsia="Calibri" w:hAnsi="Calibri" w:cs="Times New Roman"/>
        </w:rPr>
        <w:t>%</w:t>
      </w:r>
      <w:r w:rsidR="00012337" w:rsidRPr="00B16F74">
        <w:rPr>
          <w:rFonts w:ascii="Calibri" w:eastAsia="Calibri" w:hAnsi="Calibri" w:cs="Times New Roman"/>
        </w:rPr>
        <w:t xml:space="preserve"> of total radio value was attributable </w:t>
      </w:r>
      <w:r w:rsidR="00F81F8C" w:rsidRPr="00B16F74">
        <w:rPr>
          <w:rFonts w:ascii="Calibri" w:eastAsia="Calibri" w:hAnsi="Calibri" w:cs="Times New Roman"/>
        </w:rPr>
        <w:t>to</w:t>
      </w:r>
      <w:r w:rsidR="00012337" w:rsidRPr="00B16F74">
        <w:rPr>
          <w:rFonts w:ascii="Calibri" w:eastAsia="Calibri" w:hAnsi="Calibri" w:cs="Times New Roman"/>
        </w:rPr>
        <w:t xml:space="preserve"> voice assistants; by 2032 this figure </w:t>
      </w:r>
      <w:r w:rsidR="00F81F8C" w:rsidRPr="00B16F74">
        <w:rPr>
          <w:rFonts w:ascii="Calibri" w:eastAsia="Calibri" w:hAnsi="Calibri" w:cs="Times New Roman"/>
        </w:rPr>
        <w:t>is expected to</w:t>
      </w:r>
      <w:r w:rsidR="00012337" w:rsidRPr="00B16F74">
        <w:rPr>
          <w:rFonts w:ascii="Calibri" w:eastAsia="Calibri" w:hAnsi="Calibri" w:cs="Times New Roman"/>
        </w:rPr>
        <w:t xml:space="preserve"> rise to 22</w:t>
      </w:r>
      <w:r w:rsidR="00664B00" w:rsidRPr="00B16F74">
        <w:rPr>
          <w:rFonts w:ascii="Calibri" w:eastAsia="Calibri" w:hAnsi="Calibri" w:cs="Times New Roman"/>
        </w:rPr>
        <w:t>%</w:t>
      </w:r>
      <w:r w:rsidR="00012337" w:rsidRPr="00B16F74">
        <w:rPr>
          <w:rFonts w:ascii="Calibri" w:eastAsia="Calibri" w:hAnsi="Calibri" w:cs="Times New Roman"/>
        </w:rPr>
        <w:t xml:space="preserve">. Conversely, </w:t>
      </w:r>
      <w:r w:rsidR="00F81F8C" w:rsidRPr="00B16F74">
        <w:rPr>
          <w:rFonts w:ascii="Calibri" w:eastAsia="Calibri" w:hAnsi="Calibri" w:cs="Times New Roman"/>
        </w:rPr>
        <w:t xml:space="preserve">total voice assistant value attributable to radio </w:t>
      </w:r>
      <w:r w:rsidR="002F0651" w:rsidRPr="00B16F74">
        <w:rPr>
          <w:rFonts w:ascii="Calibri" w:eastAsia="Calibri" w:hAnsi="Calibri" w:cs="Times New Roman"/>
        </w:rPr>
        <w:t xml:space="preserve">in 2022 </w:t>
      </w:r>
      <w:r w:rsidR="00F81F8C" w:rsidRPr="00B16F74">
        <w:rPr>
          <w:rFonts w:ascii="Calibri" w:eastAsia="Calibri" w:hAnsi="Calibri" w:cs="Times New Roman"/>
        </w:rPr>
        <w:t xml:space="preserve">was calculated at </w:t>
      </w:r>
      <w:r w:rsidR="00012337" w:rsidRPr="00B16F74">
        <w:rPr>
          <w:rFonts w:ascii="Calibri" w:eastAsia="Calibri" w:hAnsi="Calibri" w:cs="Times New Roman"/>
        </w:rPr>
        <w:t>37</w:t>
      </w:r>
      <w:r w:rsidR="00BB4B30" w:rsidRPr="00B16F74">
        <w:rPr>
          <w:rFonts w:ascii="Calibri" w:eastAsia="Calibri" w:hAnsi="Calibri" w:cs="Times New Roman"/>
        </w:rPr>
        <w:t>%</w:t>
      </w:r>
      <w:r w:rsidR="00012337" w:rsidRPr="00B16F74">
        <w:rPr>
          <w:rFonts w:ascii="Calibri" w:eastAsia="Calibri" w:hAnsi="Calibri" w:cs="Times New Roman"/>
        </w:rPr>
        <w:t xml:space="preserve"> </w:t>
      </w:r>
      <w:r w:rsidR="00EA7B66" w:rsidRPr="00B16F74">
        <w:rPr>
          <w:rFonts w:ascii="Calibri" w:eastAsia="Calibri" w:hAnsi="Calibri" w:cs="Times New Roman"/>
        </w:rPr>
        <w:t>or</w:t>
      </w:r>
      <w:r w:rsidR="00012337" w:rsidRPr="00B16F74">
        <w:rPr>
          <w:rFonts w:ascii="Calibri" w:eastAsia="Calibri" w:hAnsi="Calibri" w:cs="Times New Roman"/>
        </w:rPr>
        <w:t xml:space="preserve"> 43</w:t>
      </w:r>
      <w:r w:rsidR="00664B00" w:rsidRPr="00B16F74">
        <w:rPr>
          <w:rFonts w:ascii="Calibri" w:eastAsia="Calibri" w:hAnsi="Calibri" w:cs="Times New Roman"/>
        </w:rPr>
        <w:t>%</w:t>
      </w:r>
      <w:r w:rsidR="00012337" w:rsidRPr="00B16F74">
        <w:rPr>
          <w:rFonts w:ascii="Calibri" w:eastAsia="Calibri" w:hAnsi="Calibri" w:cs="Times New Roman"/>
        </w:rPr>
        <w:t>; this is predicted to have dropped to 2</w:t>
      </w:r>
      <w:r w:rsidR="00EA7B66" w:rsidRPr="00B16F74">
        <w:rPr>
          <w:rFonts w:ascii="Calibri" w:eastAsia="Calibri" w:hAnsi="Calibri" w:cs="Times New Roman"/>
        </w:rPr>
        <w:t>0</w:t>
      </w:r>
      <w:r w:rsidR="00BB4B30" w:rsidRPr="00B16F74">
        <w:rPr>
          <w:rFonts w:ascii="Calibri" w:eastAsia="Calibri" w:hAnsi="Calibri" w:cs="Times New Roman"/>
        </w:rPr>
        <w:t>%</w:t>
      </w:r>
      <w:r w:rsidR="00012337" w:rsidRPr="00B16F74">
        <w:rPr>
          <w:rFonts w:ascii="Calibri" w:eastAsia="Calibri" w:hAnsi="Calibri" w:cs="Times New Roman"/>
        </w:rPr>
        <w:t xml:space="preserve"> </w:t>
      </w:r>
      <w:r w:rsidR="00F81F8C" w:rsidRPr="00B16F74">
        <w:rPr>
          <w:rFonts w:ascii="Calibri" w:eastAsia="Calibri" w:hAnsi="Calibri" w:cs="Times New Roman"/>
        </w:rPr>
        <w:t>or</w:t>
      </w:r>
      <w:r w:rsidR="00012337" w:rsidRPr="00B16F74">
        <w:rPr>
          <w:rFonts w:ascii="Calibri" w:eastAsia="Calibri" w:hAnsi="Calibri" w:cs="Times New Roman"/>
        </w:rPr>
        <w:t xml:space="preserve"> 2</w:t>
      </w:r>
      <w:r w:rsidR="00EA7B66" w:rsidRPr="00B16F74">
        <w:rPr>
          <w:rFonts w:ascii="Calibri" w:eastAsia="Calibri" w:hAnsi="Calibri" w:cs="Times New Roman"/>
        </w:rPr>
        <w:t>9</w:t>
      </w:r>
      <w:r w:rsidR="00664B00" w:rsidRPr="00B16F74">
        <w:rPr>
          <w:rFonts w:ascii="Calibri" w:eastAsia="Calibri" w:hAnsi="Calibri" w:cs="Times New Roman"/>
        </w:rPr>
        <w:t>%</w:t>
      </w:r>
      <w:r w:rsidR="00595F2A" w:rsidRPr="00B16F74">
        <w:rPr>
          <w:rFonts w:ascii="Calibri" w:eastAsia="Calibri" w:hAnsi="Calibri" w:cs="Times New Roman"/>
        </w:rPr>
        <w:t xml:space="preserve"> by 2032</w:t>
      </w:r>
      <w:r w:rsidR="00012337" w:rsidRPr="00B16F74">
        <w:rPr>
          <w:rFonts w:ascii="Calibri" w:eastAsia="Calibri" w:hAnsi="Calibri" w:cs="Times New Roman"/>
        </w:rPr>
        <w:t>.</w:t>
      </w:r>
      <w:r w:rsidR="00146914" w:rsidRPr="00B16F74">
        <w:rPr>
          <w:rStyle w:val="FootnoteReference"/>
          <w:rFonts w:ascii="Calibri" w:eastAsia="Calibri" w:hAnsi="Calibri" w:cs="Times New Roman"/>
        </w:rPr>
        <w:footnoteReference w:id="44"/>
      </w:r>
    </w:p>
    <w:p w14:paraId="09CB59D9" w14:textId="47B67612" w:rsidR="003A4A0B" w:rsidRPr="00AA4BEC" w:rsidRDefault="003A4A0B" w:rsidP="00101A53">
      <w:pPr>
        <w:spacing w:before="80"/>
        <w:rPr>
          <w:rFonts w:ascii="Calibri" w:eastAsia="Calibri" w:hAnsi="Calibri" w:cs="Times New Roman"/>
        </w:rPr>
      </w:pPr>
      <w:r w:rsidRPr="00B16F74">
        <w:rPr>
          <w:rFonts w:ascii="Calibri" w:eastAsia="Calibri" w:hAnsi="Calibri" w:cs="Times New Roman"/>
        </w:rPr>
        <w:t>The sustainability of the radio sector is important because, as identified in section 1.2, it remains central to the achievement of the government’s broader policy objectives, including: an informed citizenry; a strong and vibrant democracy; and engaged and cohesive local communities.</w:t>
      </w:r>
    </w:p>
    <w:p w14:paraId="2C3B9F77" w14:textId="38D0769C" w:rsidR="00B047D5" w:rsidRDefault="00B047D5" w:rsidP="00B047D5">
      <w:pPr>
        <w:pStyle w:val="Heading2Numbered"/>
      </w:pPr>
      <w:bookmarkStart w:id="63" w:name="_Toc236825146"/>
      <w:r>
        <w:t>International approach to resolving access issue for local radio stations</w:t>
      </w:r>
      <w:bookmarkEnd w:id="63"/>
    </w:p>
    <w:p w14:paraId="48347227" w14:textId="27A08B22" w:rsidR="00D40176" w:rsidRDefault="00807EB6" w:rsidP="00D40176">
      <w:pPr>
        <w:spacing w:before="80"/>
      </w:pPr>
      <w:r>
        <w:rPr>
          <w:lang w:val="en-US"/>
        </w:rPr>
        <w:t xml:space="preserve">Regulation to support the prominence of broadcasting services is relatively novel, with most interventions focusing on content type rather than service type. While Australia </w:t>
      </w:r>
      <w:r w:rsidR="00D40176">
        <w:rPr>
          <w:lang w:val="en-US"/>
        </w:rPr>
        <w:t>has implemented</w:t>
      </w:r>
      <w:r>
        <w:rPr>
          <w:lang w:val="en-US"/>
        </w:rPr>
        <w:t xml:space="preserve"> a prominence framework for free-to-air television services on internet connected television devices, only the United Kingdom (UK) has legislated frameworks for both television and radio broadcasting services. </w:t>
      </w:r>
      <w:r w:rsidR="0011124E">
        <w:t xml:space="preserve">While the UK experience is unlikely to be identical to Australia, it provides a </w:t>
      </w:r>
      <w:r w:rsidR="00D40176">
        <w:t xml:space="preserve">useful </w:t>
      </w:r>
      <w:r w:rsidR="0011124E">
        <w:t>case study for considering radio prominence options</w:t>
      </w:r>
      <w:r w:rsidR="00D40176">
        <w:t>, as outlined in Box 1</w:t>
      </w:r>
      <w:r w:rsidR="0011124E">
        <w:t xml:space="preserve">. </w:t>
      </w:r>
    </w:p>
    <w:p w14:paraId="6017C040" w14:textId="1E5891B6" w:rsidR="00D40176" w:rsidRPr="00D40176" w:rsidRDefault="00D40176" w:rsidP="00B16F74">
      <w:pPr>
        <w:pBdr>
          <w:top w:val="single" w:sz="4" w:space="1" w:color="auto"/>
          <w:left w:val="single" w:sz="4" w:space="4" w:color="auto"/>
          <w:bottom w:val="single" w:sz="4" w:space="1" w:color="auto"/>
          <w:right w:val="single" w:sz="4" w:space="4" w:color="auto"/>
        </w:pBdr>
        <w:shd w:val="clear" w:color="auto" w:fill="E7E7E7" w:themeFill="background2"/>
        <w:rPr>
          <w:lang w:val="en-US"/>
        </w:rPr>
      </w:pPr>
      <w:r w:rsidRPr="00101A53">
        <w:rPr>
          <w:b/>
          <w:bCs/>
        </w:rPr>
        <w:t>Box 1: the UK’s radio prominence framework</w:t>
      </w:r>
    </w:p>
    <w:p w14:paraId="741A2F0A" w14:textId="4B9DFED2" w:rsidR="00D40176" w:rsidRDefault="000724B1" w:rsidP="00B16F74">
      <w:pPr>
        <w:pBdr>
          <w:top w:val="single" w:sz="4" w:space="1" w:color="auto"/>
          <w:left w:val="single" w:sz="4" w:space="4" w:color="auto"/>
          <w:bottom w:val="single" w:sz="4" w:space="1" w:color="auto"/>
          <w:right w:val="single" w:sz="4" w:space="4" w:color="auto"/>
        </w:pBdr>
        <w:shd w:val="clear" w:color="auto" w:fill="E7E7E7" w:themeFill="background2"/>
        <w:spacing w:before="80"/>
        <w:rPr>
          <w:lang w:val="en-US"/>
        </w:rPr>
      </w:pPr>
      <w:r>
        <w:rPr>
          <w:lang w:val="en-US"/>
        </w:rPr>
        <w:t xml:space="preserve">The UK’s Media Act 2024 </w:t>
      </w:r>
      <w:r w:rsidR="00D40176">
        <w:rPr>
          <w:lang w:val="en-US"/>
        </w:rPr>
        <w:t>(Media Act)</w:t>
      </w:r>
      <w:r w:rsidR="00D40176" w:rsidRPr="00D40176">
        <w:rPr>
          <w:rStyle w:val="FootnoteReference"/>
        </w:rPr>
        <w:t xml:space="preserve"> </w:t>
      </w:r>
      <w:r w:rsidR="00D40176">
        <w:rPr>
          <w:rStyle w:val="FootnoteReference"/>
        </w:rPr>
        <w:footnoteReference w:id="45"/>
      </w:r>
      <w:r w:rsidR="00D40176">
        <w:rPr>
          <w:lang w:val="en-US"/>
        </w:rPr>
        <w:t xml:space="preserve"> </w:t>
      </w:r>
      <w:r>
        <w:rPr>
          <w:lang w:val="en-US"/>
        </w:rPr>
        <w:t>s</w:t>
      </w:r>
      <w:r w:rsidR="00D40176">
        <w:rPr>
          <w:lang w:val="en-US"/>
        </w:rPr>
        <w:t>ought</w:t>
      </w:r>
      <w:r>
        <w:rPr>
          <w:lang w:val="en-US"/>
        </w:rPr>
        <w:t xml:space="preserve"> to protect the availability of UK radio stations on connected audio devices, such as smart speakers, and ensure that they are accessible in response to a user’s voice request.</w:t>
      </w:r>
      <w:r>
        <w:rPr>
          <w:rStyle w:val="FootnoteReference"/>
          <w:lang w:val="en-US"/>
        </w:rPr>
        <w:footnoteReference w:id="46"/>
      </w:r>
      <w:r>
        <w:rPr>
          <w:lang w:val="en-US"/>
        </w:rPr>
        <w:t xml:space="preserve"> In effect, the </w:t>
      </w:r>
      <w:r w:rsidR="00D40176">
        <w:rPr>
          <w:lang w:val="en-US"/>
        </w:rPr>
        <w:t xml:space="preserve">Media </w:t>
      </w:r>
      <w:r>
        <w:rPr>
          <w:lang w:val="en-US"/>
        </w:rPr>
        <w:t>Act regulates voice assistant technologies (referred to as</w:t>
      </w:r>
      <w:r w:rsidDel="00F0415E">
        <w:rPr>
          <w:lang w:val="en-US"/>
        </w:rPr>
        <w:t xml:space="preserve"> </w:t>
      </w:r>
      <w:r>
        <w:rPr>
          <w:lang w:val="en-US"/>
        </w:rPr>
        <w:t>‘designated radio selection services’ or RSS</w:t>
      </w:r>
      <w:r w:rsidR="00D40176">
        <w:rPr>
          <w:lang w:val="en-US"/>
        </w:rPr>
        <w:t>s</w:t>
      </w:r>
      <w:r>
        <w:rPr>
          <w:lang w:val="en-US"/>
        </w:rPr>
        <w:t>), and require</w:t>
      </w:r>
      <w:r w:rsidR="00D40176">
        <w:rPr>
          <w:lang w:val="en-US"/>
        </w:rPr>
        <w:t xml:space="preserve">s </w:t>
      </w:r>
      <w:r>
        <w:rPr>
          <w:lang w:val="en-US"/>
        </w:rPr>
        <w:t>Ofcom to provide the Secretary of State with a report making recommendations about which radio selection services should be designated, and to then maintain and publish a list of designated RSS on the Ofcom website.</w:t>
      </w:r>
      <w:r>
        <w:rPr>
          <w:rStyle w:val="FootnoteReference"/>
          <w:lang w:val="en-US"/>
        </w:rPr>
        <w:footnoteReference w:id="47"/>
      </w:r>
      <w:r w:rsidRPr="00E4133D">
        <w:rPr>
          <w:lang w:val="en-US"/>
        </w:rPr>
        <w:t xml:space="preserve"> </w:t>
      </w:r>
    </w:p>
    <w:p w14:paraId="3CA434AD" w14:textId="18AB0637" w:rsidR="000724B1" w:rsidRDefault="000724B1" w:rsidP="00B16F74">
      <w:pPr>
        <w:pBdr>
          <w:top w:val="single" w:sz="4" w:space="1" w:color="auto"/>
          <w:left w:val="single" w:sz="4" w:space="4" w:color="auto"/>
          <w:bottom w:val="single" w:sz="4" w:space="1" w:color="auto"/>
          <w:right w:val="single" w:sz="4" w:space="4" w:color="auto"/>
        </w:pBdr>
        <w:shd w:val="clear" w:color="auto" w:fill="E7E7E7" w:themeFill="background2"/>
        <w:spacing w:before="80"/>
        <w:rPr>
          <w:lang w:val="en-US"/>
        </w:rPr>
      </w:pPr>
      <w:r>
        <w:rPr>
          <w:lang w:val="en-US"/>
        </w:rPr>
        <w:t xml:space="preserve">The legislation defines an ‘internet radio service’ and sets out the regulatory framework for internet radio service providers, including penalties for non-compliance and the payment of an annual fee. The BBC, commercial and community radio services are in scope. </w:t>
      </w:r>
      <w:r>
        <w:t xml:space="preserve">An initial list of notified internet radio </w:t>
      </w:r>
      <w:r w:rsidR="000E5A21">
        <w:t xml:space="preserve">selection </w:t>
      </w:r>
      <w:r>
        <w:t xml:space="preserve">services </w:t>
      </w:r>
      <w:proofErr w:type="gramStart"/>
      <w:r>
        <w:t>are</w:t>
      </w:r>
      <w:proofErr w:type="gramEnd"/>
      <w:r>
        <w:t xml:space="preserve"> expected to be published by Ofcom in 2026, when the new codes come into force.</w:t>
      </w:r>
      <w:r>
        <w:rPr>
          <w:rStyle w:val="FootnoteReference"/>
        </w:rPr>
        <w:footnoteReference w:id="48"/>
      </w:r>
    </w:p>
    <w:p w14:paraId="0285ADD6" w14:textId="322CDCFC" w:rsidR="000724B1" w:rsidRDefault="000724B1" w:rsidP="00B16F74">
      <w:pPr>
        <w:pBdr>
          <w:top w:val="single" w:sz="4" w:space="1" w:color="auto"/>
          <w:left w:val="single" w:sz="4" w:space="4" w:color="auto"/>
          <w:bottom w:val="single" w:sz="4" w:space="1" w:color="auto"/>
          <w:right w:val="single" w:sz="4" w:space="4" w:color="auto"/>
        </w:pBdr>
        <w:shd w:val="clear" w:color="auto" w:fill="E7E7E7" w:themeFill="background2"/>
        <w:spacing w:before="80"/>
        <w:rPr>
          <w:lang w:val="en-US"/>
        </w:rPr>
      </w:pPr>
      <w:r>
        <w:rPr>
          <w:lang w:val="en-US"/>
        </w:rPr>
        <w:t xml:space="preserve">The </w:t>
      </w:r>
      <w:r w:rsidR="00D40176">
        <w:rPr>
          <w:lang w:val="en-US"/>
        </w:rPr>
        <w:t xml:space="preserve">Media Act </w:t>
      </w:r>
      <w:r>
        <w:rPr>
          <w:lang w:val="en-US"/>
        </w:rPr>
        <w:t xml:space="preserve">creates an obligation for </w:t>
      </w:r>
      <w:r w:rsidR="00D40176">
        <w:rPr>
          <w:lang w:val="en-US"/>
        </w:rPr>
        <w:t>RSSs</w:t>
      </w:r>
      <w:r>
        <w:rPr>
          <w:lang w:val="en-US"/>
        </w:rPr>
        <w:t xml:space="preserve">, and their providers, to ensure that </w:t>
      </w:r>
      <w:r w:rsidRPr="00A36748">
        <w:rPr>
          <w:lang w:val="en-US"/>
        </w:rPr>
        <w:t xml:space="preserve">listeners </w:t>
      </w:r>
      <w:r>
        <w:rPr>
          <w:lang w:val="en-US"/>
        </w:rPr>
        <w:t xml:space="preserve">are </w:t>
      </w:r>
      <w:r w:rsidRPr="00A36748">
        <w:rPr>
          <w:lang w:val="en-US"/>
        </w:rPr>
        <w:t xml:space="preserve">able to use </w:t>
      </w:r>
      <w:r>
        <w:rPr>
          <w:lang w:val="en-US"/>
        </w:rPr>
        <w:t>a</w:t>
      </w:r>
      <w:r w:rsidRPr="00A36748">
        <w:rPr>
          <w:lang w:val="en-US"/>
        </w:rPr>
        <w:t xml:space="preserve"> </w:t>
      </w:r>
      <w:r>
        <w:rPr>
          <w:lang w:val="en-US"/>
        </w:rPr>
        <w:t xml:space="preserve">radio selection </w:t>
      </w:r>
      <w:r w:rsidRPr="00A36748">
        <w:rPr>
          <w:lang w:val="en-US"/>
        </w:rPr>
        <w:t>service to select and listen to relevant internet radio services</w:t>
      </w:r>
      <w:r>
        <w:rPr>
          <w:lang w:val="en-US"/>
        </w:rPr>
        <w:t xml:space="preserve">, and if this fails, </w:t>
      </w:r>
      <w:r>
        <w:t xml:space="preserve">the service should take reasonable steps to comply with the request such as ask the listener to repeat or clarify the request. </w:t>
      </w:r>
      <w:r>
        <w:rPr>
          <w:lang w:val="en-US"/>
        </w:rPr>
        <w:t>The legislation also prevents providers of designated radio selection services from charging UK radio stations for facilitating user access to radio stations live services on internet enabled audio devices, or from altering the content of the live service, such as overlaying advertisements.</w:t>
      </w:r>
    </w:p>
    <w:p w14:paraId="2F592ECE" w14:textId="7D1A731E" w:rsidR="00D40176" w:rsidRDefault="000724B1" w:rsidP="00B16F74">
      <w:pPr>
        <w:pBdr>
          <w:top w:val="single" w:sz="4" w:space="1" w:color="auto"/>
          <w:left w:val="single" w:sz="4" w:space="4" w:color="auto"/>
          <w:bottom w:val="single" w:sz="4" w:space="1" w:color="auto"/>
          <w:right w:val="single" w:sz="4" w:space="4" w:color="auto"/>
        </w:pBdr>
        <w:shd w:val="clear" w:color="auto" w:fill="E7E7E7" w:themeFill="background2"/>
        <w:spacing w:before="80"/>
        <w:rPr>
          <w:lang w:val="en-US"/>
        </w:rPr>
      </w:pPr>
      <w:r>
        <w:rPr>
          <w:lang w:val="en-US"/>
        </w:rPr>
        <w:t xml:space="preserve">The UK’s regime also requires the </w:t>
      </w:r>
      <w:r w:rsidR="00D40176">
        <w:rPr>
          <w:lang w:val="en-US"/>
        </w:rPr>
        <w:t>RSS</w:t>
      </w:r>
      <w:r w:rsidRPr="00A36748">
        <w:rPr>
          <w:lang w:val="en-US"/>
        </w:rPr>
        <w:t xml:space="preserve"> </w:t>
      </w:r>
      <w:r>
        <w:rPr>
          <w:lang w:val="en-US"/>
        </w:rPr>
        <w:t xml:space="preserve">to use the preferred access method of the </w:t>
      </w:r>
      <w:r w:rsidRPr="00A36748">
        <w:rPr>
          <w:lang w:val="en-US"/>
        </w:rPr>
        <w:t>internet radio service, unless that would be unduly burdensome, or the listener has requested another method</w:t>
      </w:r>
      <w:r>
        <w:rPr>
          <w:lang w:val="en-US"/>
        </w:rPr>
        <w:t>. A</w:t>
      </w:r>
      <w:r w:rsidRPr="00B37013">
        <w:rPr>
          <w:lang w:val="en-US"/>
        </w:rPr>
        <w:t xml:space="preserve"> provider of a radio selection service </w:t>
      </w:r>
      <w:r>
        <w:rPr>
          <w:lang w:val="en-US"/>
        </w:rPr>
        <w:t>is</w:t>
      </w:r>
      <w:r w:rsidRPr="00B37013">
        <w:rPr>
          <w:lang w:val="en-US"/>
        </w:rPr>
        <w:t xml:space="preserve"> not required to provide access where the listener has failed to </w:t>
      </w:r>
      <w:r>
        <w:rPr>
          <w:lang w:val="en-US"/>
        </w:rPr>
        <w:t>t</w:t>
      </w:r>
      <w:r w:rsidRPr="00B37013">
        <w:rPr>
          <w:lang w:val="en-US"/>
        </w:rPr>
        <w:t>ake relevant action, such as install a relevant skill or app.</w:t>
      </w:r>
    </w:p>
    <w:p w14:paraId="5E023373" w14:textId="0EBA8B07" w:rsidR="00D40176" w:rsidRDefault="00E4133D" w:rsidP="00D40176">
      <w:pPr>
        <w:spacing w:before="80"/>
      </w:pPr>
      <w:r>
        <w:lastRenderedPageBreak/>
        <w:t xml:space="preserve">The UK’s approach to radio prominence regulation provides </w:t>
      </w:r>
      <w:r w:rsidR="00D40176">
        <w:t xml:space="preserve">some </w:t>
      </w:r>
      <w:r>
        <w:t xml:space="preserve">important learnings for Australia, </w:t>
      </w:r>
      <w:r w:rsidR="00F40146">
        <w:t>which</w:t>
      </w:r>
      <w:r>
        <w:t xml:space="preserve"> have been taken into consideration in the development of the proposal for an Australian radio prominence framework.</w:t>
      </w:r>
      <w:r w:rsidR="00741926">
        <w:t xml:space="preserve"> </w:t>
      </w:r>
    </w:p>
    <w:p w14:paraId="21B163BA" w14:textId="53A742AD" w:rsidR="00E4133D" w:rsidRDefault="00D40176" w:rsidP="00101A53">
      <w:pPr>
        <w:spacing w:before="80"/>
      </w:pPr>
      <w:r>
        <w:t xml:space="preserve">Of note, the </w:t>
      </w:r>
      <w:r w:rsidR="00E4133D">
        <w:t xml:space="preserve">UK has not sought to regulate television and radio services under a single prominence framework, nor in the same way. </w:t>
      </w:r>
      <w:r w:rsidR="000724B1">
        <w:t>T</w:t>
      </w:r>
      <w:r w:rsidR="00E4133D">
        <w:t xml:space="preserve">he </w:t>
      </w:r>
      <w:r>
        <w:t xml:space="preserve">Media Act </w:t>
      </w:r>
      <w:r w:rsidR="000724B1">
        <w:t xml:space="preserve">instead </w:t>
      </w:r>
      <w:r w:rsidR="00E4133D">
        <w:t>establishes separate frameworks for each sector, with a different regulatory model underlying each regime:</w:t>
      </w:r>
    </w:p>
    <w:p w14:paraId="2D4B9A4F" w14:textId="7C7C4A73" w:rsidR="00E4133D" w:rsidRPr="00BA6E34" w:rsidRDefault="00E4133D" w:rsidP="00101A53">
      <w:pPr>
        <w:pStyle w:val="ListParagraph"/>
        <w:numPr>
          <w:ilvl w:val="0"/>
          <w:numId w:val="11"/>
        </w:numPr>
        <w:spacing w:before="80"/>
        <w:ind w:left="357"/>
        <w:contextualSpacing w:val="0"/>
      </w:pPr>
      <w:r w:rsidRPr="00BA6E34">
        <w:t xml:space="preserve">The </w:t>
      </w:r>
      <w:r w:rsidR="00BC1979" w:rsidRPr="00BA6E34">
        <w:t xml:space="preserve">UK’s </w:t>
      </w:r>
      <w:r w:rsidRPr="00BA6E34">
        <w:t xml:space="preserve">television prominence framework </w:t>
      </w:r>
      <w:r w:rsidR="00BC1979" w:rsidRPr="00BA6E34">
        <w:t xml:space="preserve">is based on a </w:t>
      </w:r>
      <w:r w:rsidR="0051615E" w:rsidRPr="00BA6E34">
        <w:t xml:space="preserve">‘fair bargaining’ </w:t>
      </w:r>
      <w:r w:rsidR="00BC1979" w:rsidRPr="00BA6E34">
        <w:t xml:space="preserve">model. This </w:t>
      </w:r>
      <w:r w:rsidRPr="00BA6E34">
        <w:t>requires Public Service Broadcasters</w:t>
      </w:r>
      <w:r w:rsidRPr="00BA6E34" w:rsidDel="00C35294">
        <w:t xml:space="preserve"> </w:t>
      </w:r>
      <w:r w:rsidRPr="00BA6E34">
        <w:t xml:space="preserve">to offer their on-demand services to </w:t>
      </w:r>
      <w:r w:rsidR="007D205E" w:rsidRPr="00BA6E34">
        <w:t>d</w:t>
      </w:r>
      <w:r w:rsidRPr="00BA6E34">
        <w:t>esignated TV Platforms (largely device manufacturers), which</w:t>
      </w:r>
      <w:r w:rsidR="00BA6E34" w:rsidRPr="00BA6E34">
        <w:t>,</w:t>
      </w:r>
      <w:r w:rsidRPr="00BA6E34">
        <w:t xml:space="preserve"> in turn</w:t>
      </w:r>
      <w:r w:rsidR="00BA6E34" w:rsidRPr="00BA6E34">
        <w:t>,</w:t>
      </w:r>
      <w:r w:rsidRPr="00BA6E34">
        <w:t xml:space="preserve"> must carry those services</w:t>
      </w:r>
      <w:r w:rsidR="007D205E" w:rsidRPr="00BA6E34">
        <w:t xml:space="preserve"> once the terms of carriage are agreed by both parties. </w:t>
      </w:r>
      <w:r w:rsidRPr="00BA6E34">
        <w:t>Th</w:t>
      </w:r>
      <w:r w:rsidR="007D205E" w:rsidRPr="00BA6E34">
        <w:t xml:space="preserve">is </w:t>
      </w:r>
      <w:r w:rsidRPr="00BA6E34">
        <w:t>approach operat</w:t>
      </w:r>
      <w:r w:rsidR="007D205E" w:rsidRPr="00BA6E34">
        <w:t>es</w:t>
      </w:r>
      <w:r w:rsidRPr="00BA6E34">
        <w:t xml:space="preserve"> on the basis that Public Service Broadcasters and </w:t>
      </w:r>
      <w:r w:rsidR="007D205E" w:rsidRPr="00BA6E34">
        <w:t xml:space="preserve">TV </w:t>
      </w:r>
      <w:r w:rsidRPr="00BA6E34">
        <w:t>platforms should always seek to pursue mutually beneficial commercial arrangements in the first instance. Ofcom has oversight and administrative powers to resolve disputes and intervene to support effective negotiations based on statutory objectives.</w:t>
      </w:r>
    </w:p>
    <w:p w14:paraId="486B83F8" w14:textId="73672728" w:rsidR="00E4133D" w:rsidRPr="00BA6E34" w:rsidRDefault="00BC1979" w:rsidP="00101A53">
      <w:pPr>
        <w:pStyle w:val="ListParagraph"/>
        <w:numPr>
          <w:ilvl w:val="0"/>
          <w:numId w:val="11"/>
        </w:numPr>
        <w:spacing w:before="80"/>
        <w:ind w:left="351" w:hanging="357"/>
        <w:contextualSpacing w:val="0"/>
      </w:pPr>
      <w:r w:rsidRPr="00BA6E34">
        <w:t xml:space="preserve">By contrast, the UK’s </w:t>
      </w:r>
      <w:r w:rsidR="00E4133D" w:rsidRPr="00BA6E34">
        <w:t xml:space="preserve">radio prominence framework </w:t>
      </w:r>
      <w:r w:rsidRPr="00BA6E34">
        <w:t xml:space="preserve">is based on </w:t>
      </w:r>
      <w:r w:rsidR="00453B04" w:rsidRPr="00BA6E34">
        <w:t>a ‘</w:t>
      </w:r>
      <w:r w:rsidR="008D4E81" w:rsidRPr="00BA6E34">
        <w:t>no cost’</w:t>
      </w:r>
      <w:r w:rsidRPr="00BA6E34">
        <w:t xml:space="preserve"> model</w:t>
      </w:r>
      <w:r w:rsidR="00F0215A" w:rsidRPr="00BA6E34">
        <w:t>, with obligations of the framework applying to voice assistant technologies being designated into the framework based on a signification level of use of the technology by listeners of online radio services</w:t>
      </w:r>
      <w:r w:rsidR="008D4E81" w:rsidRPr="00BA6E34">
        <w:t>.</w:t>
      </w:r>
      <w:r w:rsidRPr="00BA6E34">
        <w:t xml:space="preserve"> As outlined in Box 1, </w:t>
      </w:r>
      <w:r w:rsidR="00475776" w:rsidRPr="00BA6E34">
        <w:t>the Media Act</w:t>
      </w:r>
      <w:r w:rsidR="00F0215A" w:rsidRPr="00BA6E34">
        <w:t xml:space="preserve"> </w:t>
      </w:r>
      <w:r w:rsidR="00E4133D" w:rsidRPr="00BA6E34">
        <w:t>requires the providers of voice assistant technologies to provide a user with access to a specified radio station</w:t>
      </w:r>
      <w:r w:rsidR="000724B1" w:rsidRPr="00BA6E34">
        <w:t xml:space="preserve"> via a defined pathway</w:t>
      </w:r>
      <w:r w:rsidR="00E4133D" w:rsidRPr="00BA6E34">
        <w:t xml:space="preserve">. It operates as a ‘no cost’ access framework and prohibits those providers </w:t>
      </w:r>
      <w:r w:rsidR="00E4133D" w:rsidRPr="00BA6E34">
        <w:rPr>
          <w:lang w:val="en-US"/>
        </w:rPr>
        <w:t>from charging UK radio stations for facilitating user access to live radio stations, or from altering the content of the live service.</w:t>
      </w:r>
      <w:r w:rsidR="000724B1" w:rsidRPr="00BA6E34">
        <w:rPr>
          <w:lang w:val="en-US"/>
        </w:rPr>
        <w:t xml:space="preserve"> The radio services must be designated by the Minister responsible. This designation process and the use of a defined pathway are not features of the preferred framework discussed in this IA.</w:t>
      </w:r>
    </w:p>
    <w:p w14:paraId="5FB28E91" w14:textId="505C1105" w:rsidR="00E4133D" w:rsidRDefault="00D40176" w:rsidP="00101A53">
      <w:pPr>
        <w:spacing w:before="80"/>
      </w:pPr>
      <w:r>
        <w:t xml:space="preserve">In addition, the UK’s </w:t>
      </w:r>
      <w:r w:rsidR="00E4133D">
        <w:t xml:space="preserve">radio prominence framework applies to smart speakers, and not </w:t>
      </w:r>
      <w:r w:rsidR="0004279E">
        <w:t>in-</w:t>
      </w:r>
      <w:r w:rsidR="00E4133D">
        <w:t xml:space="preserve">car </w:t>
      </w:r>
      <w:r w:rsidR="00EB76E3">
        <w:t>infotainment systems</w:t>
      </w:r>
      <w:r w:rsidR="00E4133D">
        <w:t>. While the UK Government has agreed to keep in-car infotainment systems under review, it is not currently the key focus for its radio prominence framework.</w:t>
      </w:r>
      <w:r w:rsidR="00E4133D">
        <w:rPr>
          <w:rStyle w:val="FootnoteReference"/>
        </w:rPr>
        <w:footnoteReference w:id="49"/>
      </w:r>
      <w:r w:rsidR="001A4284">
        <w:t xml:space="preserve">  </w:t>
      </w:r>
    </w:p>
    <w:p w14:paraId="4B2FD420" w14:textId="30C44AF0" w:rsidR="00037684" w:rsidRDefault="00037684" w:rsidP="00101A53">
      <w:pPr>
        <w:spacing w:before="80"/>
      </w:pPr>
      <w:r>
        <w:t xml:space="preserve">However, there are significant differences between the UK and Australia. While Australia is home to a similar number of radio stations as the UK, Australia is a larger land mass with a much more dispersed population. This means that </w:t>
      </w:r>
      <w:r w:rsidR="00BA6E34">
        <w:t>the</w:t>
      </w:r>
      <w:r>
        <w:t xml:space="preserve"> provision of radio content in Australia is more reliant on </w:t>
      </w:r>
      <w:r w:rsidR="00453B04">
        <w:t>a</w:t>
      </w:r>
      <w:r w:rsidR="00BA6E34">
        <w:t xml:space="preserve"> combination</w:t>
      </w:r>
      <w:r>
        <w:t xml:space="preserve"> of older and newer technologies, with </w:t>
      </w:r>
      <w:r w:rsidR="00587EFE">
        <w:t xml:space="preserve">differences </w:t>
      </w:r>
      <w:r>
        <w:t>between metropolitan and rural regions.</w:t>
      </w:r>
    </w:p>
    <w:p w14:paraId="2AF3D205" w14:textId="0A07BBDA" w:rsidR="00E4133D" w:rsidRDefault="00E4133D" w:rsidP="00453B04">
      <w:pPr>
        <w:pStyle w:val="Box1Text"/>
        <w:pBdr>
          <w:top w:val="none" w:sz="0" w:space="0" w:color="auto"/>
          <w:left w:val="none" w:sz="0" w:space="0" w:color="auto"/>
          <w:bottom w:val="none" w:sz="0" w:space="0" w:color="auto"/>
          <w:right w:val="none" w:sz="0" w:space="0" w:color="auto"/>
        </w:pBdr>
        <w:spacing w:before="80"/>
      </w:pPr>
      <w:r>
        <w:br w:type="page"/>
      </w:r>
    </w:p>
    <w:p w14:paraId="5AB9E985" w14:textId="61D5176C" w:rsidR="007F6504" w:rsidRPr="00AD7703" w:rsidRDefault="007F6504" w:rsidP="007F6504">
      <w:pPr>
        <w:pStyle w:val="Heading1Numbered"/>
      </w:pPr>
      <w:bookmarkStart w:id="64" w:name="_Toc236825147"/>
      <w:r>
        <w:lastRenderedPageBreak/>
        <w:t>Wh</w:t>
      </w:r>
      <w:r w:rsidR="003A6B83">
        <w:t>at</w:t>
      </w:r>
      <w:r>
        <w:t xml:space="preserve"> </w:t>
      </w:r>
      <w:r w:rsidR="003A6B83">
        <w:t xml:space="preserve">are the </w:t>
      </w:r>
      <w:r w:rsidR="00453B04">
        <w:t xml:space="preserve">policy </w:t>
      </w:r>
      <w:r w:rsidR="003A6B83">
        <w:t xml:space="preserve">objectives, why </w:t>
      </w:r>
      <w:r>
        <w:t xml:space="preserve">is </w:t>
      </w:r>
      <w:r w:rsidR="00453B04">
        <w:t>g</w:t>
      </w:r>
      <w:r>
        <w:t xml:space="preserve">overnment </w:t>
      </w:r>
      <w:r w:rsidR="00A12797">
        <w:t xml:space="preserve">intervention </w:t>
      </w:r>
      <w:r>
        <w:t>needed</w:t>
      </w:r>
      <w:r w:rsidR="00453B04">
        <w:t xml:space="preserve"> to achieve them</w:t>
      </w:r>
      <w:r w:rsidR="00A12797">
        <w:t>,</w:t>
      </w:r>
      <w:r>
        <w:t xml:space="preserve"> and </w:t>
      </w:r>
      <w:r w:rsidR="003A6B83">
        <w:t>how will success be measured</w:t>
      </w:r>
      <w:r>
        <w:t>?</w:t>
      </w:r>
      <w:bookmarkEnd w:id="64"/>
    </w:p>
    <w:p w14:paraId="7E8635A6" w14:textId="7E45E615" w:rsidR="004C40E3" w:rsidRPr="00993B20" w:rsidRDefault="004C40E3" w:rsidP="00101A53">
      <w:pPr>
        <w:spacing w:before="80"/>
      </w:pPr>
      <w:r w:rsidRPr="00993B20">
        <w:t xml:space="preserve">The Government is committed to a program of work to modernise media laws and fulfil the legitimate expectations of consumers and industry for consistency, transparency and equity in our regulatory environment. Access to services </w:t>
      </w:r>
      <w:r w:rsidR="00D647BC">
        <w:t>of broadcasting organisations</w:t>
      </w:r>
      <w:r w:rsidRPr="00993B20">
        <w:t xml:space="preserve"> is a key component of this reform agenda</w:t>
      </w:r>
      <w:r w:rsidR="00A65936">
        <w:t xml:space="preserve">, reflecting </w:t>
      </w:r>
      <w:r w:rsidRPr="00993B20">
        <w:t>the importance of these services to all Australians, particularly those living in remote and regional Australia.</w:t>
      </w:r>
    </w:p>
    <w:p w14:paraId="2D522230" w14:textId="0A8049F6" w:rsidR="00524CC5" w:rsidRDefault="00870B4C" w:rsidP="00101A53">
      <w:pPr>
        <w:suppressAutoHyphens w:val="0"/>
        <w:spacing w:before="80"/>
      </w:pPr>
      <w:r w:rsidRPr="00745B27">
        <w:t>There are</w:t>
      </w:r>
      <w:r w:rsidR="00F97BD7" w:rsidRPr="00745B27">
        <w:t xml:space="preserve"> currently no legislative requirements on audio devices to carry Australian radio services</w:t>
      </w:r>
      <w:r w:rsidRPr="00745B27">
        <w:t>. Traditionally, carriage has been assured by the</w:t>
      </w:r>
      <w:r w:rsidR="00F97BD7" w:rsidRPr="00745B27">
        <w:t xml:space="preserve"> </w:t>
      </w:r>
      <w:r w:rsidRPr="00745B27">
        <w:t>presence of</w:t>
      </w:r>
      <w:r w:rsidR="00F97BD7" w:rsidRPr="00745B27">
        <w:t xml:space="preserve"> radiofrequency tuner</w:t>
      </w:r>
      <w:r w:rsidRPr="00745B27">
        <w:t>s in radio devices</w:t>
      </w:r>
      <w:r w:rsidR="00F97BD7" w:rsidRPr="00745B27">
        <w:t>.</w:t>
      </w:r>
      <w:r w:rsidR="00524CC5">
        <w:t xml:space="preserve"> </w:t>
      </w:r>
      <w:r w:rsidR="00F97BD7" w:rsidRPr="00745B27">
        <w:t>However</w:t>
      </w:r>
      <w:r w:rsidR="008B4973" w:rsidRPr="00745B27">
        <w:t>,</w:t>
      </w:r>
      <w:r w:rsidR="00F97BD7" w:rsidRPr="00745B27">
        <w:t xml:space="preserve"> </w:t>
      </w:r>
      <w:r w:rsidR="003E053E">
        <w:t xml:space="preserve">as part of this </w:t>
      </w:r>
      <w:r w:rsidR="00453B04">
        <w:t>IA</w:t>
      </w:r>
      <w:r w:rsidR="00A01C2B">
        <w:t>,</w:t>
      </w:r>
      <w:r w:rsidR="003E053E">
        <w:t xml:space="preserve"> </w:t>
      </w:r>
      <w:r w:rsidR="00A01C2B">
        <w:t>consideration has been given to whe</w:t>
      </w:r>
      <w:r w:rsidR="003E053E">
        <w:t>ther</w:t>
      </w:r>
      <w:r w:rsidR="00F97BD7" w:rsidRPr="00745B27">
        <w:t xml:space="preserve"> a non-regulatory approach </w:t>
      </w:r>
      <w:r w:rsidR="00BE2D0A">
        <w:t>to</w:t>
      </w:r>
      <w:r w:rsidR="00F97BD7" w:rsidRPr="00745B27">
        <w:t xml:space="preserve"> online radio services </w:t>
      </w:r>
      <w:r w:rsidR="00BE2D0A">
        <w:t>will</w:t>
      </w:r>
      <w:r w:rsidRPr="00745B27">
        <w:t xml:space="preserve"> </w:t>
      </w:r>
      <w:r w:rsidR="00BE2D0A">
        <w:t>be adequate</w:t>
      </w:r>
      <w:r w:rsidRPr="00745B27">
        <w:t xml:space="preserve"> to ensure that the</w:t>
      </w:r>
      <w:r w:rsidR="008B4973" w:rsidRPr="00745B27">
        <w:t xml:space="preserve"> media policy objectives </w:t>
      </w:r>
      <w:r w:rsidRPr="00745B27">
        <w:t>outlined at 1.</w:t>
      </w:r>
      <w:r w:rsidR="00590A9C">
        <w:t>2</w:t>
      </w:r>
      <w:r w:rsidRPr="00745B27">
        <w:t xml:space="preserve"> are </w:t>
      </w:r>
      <w:r w:rsidR="00BE2D0A">
        <w:t>supported</w:t>
      </w:r>
      <w:r w:rsidR="00F97BD7" w:rsidRPr="00745B27">
        <w:t xml:space="preserve">. </w:t>
      </w:r>
    </w:p>
    <w:p w14:paraId="5B336C72" w14:textId="3BEDB082" w:rsidR="00A12797" w:rsidRDefault="00A12797" w:rsidP="00514123">
      <w:pPr>
        <w:pStyle w:val="Heading2Numbered"/>
      </w:pPr>
      <w:bookmarkStart w:id="65" w:name="_Toc236825148"/>
      <w:r>
        <w:t xml:space="preserve">Why </w:t>
      </w:r>
      <w:r w:rsidR="001365EB">
        <w:t xml:space="preserve">is </w:t>
      </w:r>
      <w:r>
        <w:t>Government intervention needed</w:t>
      </w:r>
      <w:r w:rsidR="00745B27">
        <w:t>?</w:t>
      </w:r>
      <w:bookmarkEnd w:id="65"/>
    </w:p>
    <w:p w14:paraId="0EAE9B5A" w14:textId="49CE6B5B" w:rsidR="00B368E4" w:rsidRDefault="00BA13E7" w:rsidP="004233A7">
      <w:pPr>
        <w:rPr>
          <w:rFonts w:cstheme="minorHAnsi"/>
        </w:rPr>
      </w:pPr>
      <w:r>
        <w:rPr>
          <w:rFonts w:cstheme="minorHAnsi"/>
        </w:rPr>
        <w:t>At present</w:t>
      </w:r>
      <w:r w:rsidR="00524CC5">
        <w:rPr>
          <w:rFonts w:cstheme="minorHAnsi"/>
        </w:rPr>
        <w:t>,</w:t>
      </w:r>
      <w:r w:rsidR="00B368E4">
        <w:rPr>
          <w:rFonts w:cstheme="minorHAnsi"/>
        </w:rPr>
        <w:t xml:space="preserve"> the relationships between voice assistant platforms and Australian radio broadcasters </w:t>
      </w:r>
      <w:r>
        <w:rPr>
          <w:rFonts w:cstheme="minorHAnsi"/>
        </w:rPr>
        <w:t>are</w:t>
      </w:r>
      <w:r w:rsidR="00B368E4">
        <w:rPr>
          <w:rFonts w:cstheme="minorHAnsi"/>
        </w:rPr>
        <w:t xml:space="preserve"> </w:t>
      </w:r>
      <w:r w:rsidR="00A93B2E">
        <w:rPr>
          <w:rFonts w:cstheme="minorHAnsi"/>
        </w:rPr>
        <w:t xml:space="preserve">a product of </w:t>
      </w:r>
      <w:r w:rsidR="00B368E4">
        <w:rPr>
          <w:rFonts w:cstheme="minorHAnsi"/>
        </w:rPr>
        <w:t xml:space="preserve">market forces and technological change. </w:t>
      </w:r>
      <w:r w:rsidR="00A93B2E">
        <w:rPr>
          <w:rFonts w:cstheme="minorHAnsi"/>
        </w:rPr>
        <w:t>In this regard, t</w:t>
      </w:r>
      <w:r w:rsidR="00B368E4">
        <w:rPr>
          <w:rFonts w:cstheme="minorHAnsi"/>
        </w:rPr>
        <w:t xml:space="preserve">he availability and surfacing of radio content, as well as the use of third-party aggregators, </w:t>
      </w:r>
      <w:r w:rsidR="00A93B2E">
        <w:rPr>
          <w:rFonts w:cstheme="minorHAnsi"/>
        </w:rPr>
        <w:t xml:space="preserve">is typically </w:t>
      </w:r>
      <w:r w:rsidR="00B368E4">
        <w:rPr>
          <w:rFonts w:cstheme="minorHAnsi"/>
        </w:rPr>
        <w:t>determined by a combination of:</w:t>
      </w:r>
    </w:p>
    <w:p w14:paraId="5B8A7F78" w14:textId="04917E11" w:rsidR="00B368E4" w:rsidRDefault="00B368E4" w:rsidP="00664B00">
      <w:pPr>
        <w:pStyle w:val="ListParagraph"/>
        <w:numPr>
          <w:ilvl w:val="0"/>
          <w:numId w:val="32"/>
        </w:numPr>
        <w:suppressAutoHyphens w:val="0"/>
        <w:ind w:left="357" w:hanging="357"/>
        <w:contextualSpacing w:val="0"/>
        <w:rPr>
          <w:rFonts w:cstheme="minorHAnsi"/>
        </w:rPr>
      </w:pPr>
      <w:r>
        <w:rPr>
          <w:rFonts w:cstheme="minorHAnsi"/>
          <w:lang w:val="en-US"/>
        </w:rPr>
        <w:t>c</w:t>
      </w:r>
      <w:r w:rsidRPr="00831848">
        <w:rPr>
          <w:rFonts w:cstheme="minorHAnsi"/>
          <w:lang w:val="en-US"/>
        </w:rPr>
        <w:t>ommercial</w:t>
      </w:r>
      <w:r>
        <w:rPr>
          <w:rFonts w:cstheme="minorHAnsi"/>
        </w:rPr>
        <w:t xml:space="preserve"> agreements between </w:t>
      </w:r>
      <w:r w:rsidR="00A362F9">
        <w:rPr>
          <w:rFonts w:cstheme="minorHAnsi"/>
        </w:rPr>
        <w:t xml:space="preserve">voice assistant </w:t>
      </w:r>
      <w:r>
        <w:rPr>
          <w:rFonts w:cstheme="minorHAnsi"/>
        </w:rPr>
        <w:t>platforms</w:t>
      </w:r>
      <w:r w:rsidR="00A362F9">
        <w:rPr>
          <w:rFonts w:cstheme="minorHAnsi"/>
        </w:rPr>
        <w:t xml:space="preserve"> and radio service</w:t>
      </w:r>
      <w:r>
        <w:rPr>
          <w:rFonts w:cstheme="minorHAnsi"/>
        </w:rPr>
        <w:t xml:space="preserve"> providers;</w:t>
      </w:r>
    </w:p>
    <w:p w14:paraId="0C7D6147" w14:textId="77777777" w:rsidR="00A362F9" w:rsidRPr="00A31EA8" w:rsidRDefault="00A362F9" w:rsidP="00664B00">
      <w:pPr>
        <w:pStyle w:val="Bullet3"/>
        <w:numPr>
          <w:ilvl w:val="0"/>
          <w:numId w:val="32"/>
        </w:numPr>
        <w:spacing w:before="160"/>
        <w:rPr>
          <w:lang w:val="en-US"/>
        </w:rPr>
      </w:pPr>
      <w:r w:rsidRPr="00A31EA8">
        <w:rPr>
          <w:lang w:val="en-US"/>
        </w:rPr>
        <w:t xml:space="preserve">any commercial arrangements between voice assistant platforms and other audio content service providers, including ‘own brand’ services; and </w:t>
      </w:r>
    </w:p>
    <w:p w14:paraId="12FCB078" w14:textId="7F2AF1D6" w:rsidR="00B368E4" w:rsidRDefault="00A362F9" w:rsidP="00664B00">
      <w:pPr>
        <w:pStyle w:val="ListParagraph"/>
        <w:numPr>
          <w:ilvl w:val="0"/>
          <w:numId w:val="32"/>
        </w:numPr>
        <w:suppressAutoHyphens w:val="0"/>
        <w:ind w:left="357" w:hanging="357"/>
        <w:contextualSpacing w:val="0"/>
        <w:rPr>
          <w:rFonts w:cstheme="minorHAnsi"/>
        </w:rPr>
      </w:pPr>
      <w:r w:rsidRPr="00A31EA8">
        <w:rPr>
          <w:lang w:val="en-US"/>
        </w:rPr>
        <w:t>other mechanisms used to surface content on a smart speaker, such as algorithms that use user data to determine a play list.</w:t>
      </w:r>
    </w:p>
    <w:p w14:paraId="631185B6" w14:textId="273709DD" w:rsidR="00EB1525" w:rsidRPr="00A755DB" w:rsidRDefault="00EB1525" w:rsidP="00EB1525">
      <w:pPr>
        <w:suppressAutoHyphens w:val="0"/>
        <w:rPr>
          <w:rFonts w:cstheme="minorHAnsi"/>
        </w:rPr>
      </w:pPr>
      <w:r w:rsidRPr="00A755DB">
        <w:rPr>
          <w:rFonts w:cstheme="minorHAnsi"/>
        </w:rPr>
        <w:t>In this environment, there are emerging risks that Australian radio services will not be easily available to Australian audiences, which in turn threaten</w:t>
      </w:r>
      <w:r>
        <w:rPr>
          <w:rFonts w:cstheme="minorHAnsi"/>
        </w:rPr>
        <w:t>s</w:t>
      </w:r>
      <w:r w:rsidRPr="00A755DB">
        <w:rPr>
          <w:rFonts w:cstheme="minorHAnsi"/>
        </w:rPr>
        <w:t xml:space="preserve"> the achievement of </w:t>
      </w:r>
      <w:r>
        <w:rPr>
          <w:rFonts w:cstheme="minorHAnsi"/>
        </w:rPr>
        <w:t xml:space="preserve">key </w:t>
      </w:r>
      <w:r w:rsidRPr="00A755DB">
        <w:rPr>
          <w:rFonts w:cstheme="minorHAnsi"/>
        </w:rPr>
        <w:t>media policy objectives. Th</w:t>
      </w:r>
      <w:r>
        <w:rPr>
          <w:rFonts w:cstheme="minorHAnsi"/>
        </w:rPr>
        <w:t xml:space="preserve">is dynamic was summarised in chapter 1 in terms of </w:t>
      </w:r>
      <w:r w:rsidR="00596A08">
        <w:rPr>
          <w:rFonts w:cstheme="minorHAnsi"/>
        </w:rPr>
        <w:t>the</w:t>
      </w:r>
      <w:r w:rsidR="00A93B2E">
        <w:rPr>
          <w:rFonts w:cstheme="minorHAnsi"/>
        </w:rPr>
        <w:t xml:space="preserve"> </w:t>
      </w:r>
      <w:r>
        <w:rPr>
          <w:rFonts w:cstheme="minorHAnsi"/>
        </w:rPr>
        <w:t>prominence challenges.</w:t>
      </w:r>
    </w:p>
    <w:p w14:paraId="6A948898" w14:textId="02381B48" w:rsidR="00D44372" w:rsidRPr="0011124E" w:rsidRDefault="00D44372" w:rsidP="00453B04">
      <w:pPr>
        <w:spacing w:before="80"/>
        <w:rPr>
          <w:rFonts w:cstheme="minorHAnsi"/>
          <w:lang w:val="en-US"/>
        </w:rPr>
      </w:pPr>
      <w:r w:rsidRPr="004233A7">
        <w:rPr>
          <w:rFonts w:cstheme="minorHAnsi"/>
          <w:i/>
        </w:rPr>
        <w:t>Inaccurate surfacing</w:t>
      </w:r>
      <w:r w:rsidRPr="00991082">
        <w:rPr>
          <w:rFonts w:cstheme="minorHAnsi"/>
        </w:rPr>
        <w:t xml:space="preserve"> –</w:t>
      </w:r>
      <w:r w:rsidR="001D77F3">
        <w:t>a key concern for listeners and for the radio industry is ‘</w:t>
      </w:r>
      <w:r w:rsidR="001D77F3" w:rsidRPr="00530972">
        <w:t>inaccurate surfacing</w:t>
      </w:r>
      <w:r w:rsidR="001D77F3">
        <w:t>’.</w:t>
      </w:r>
      <w:r w:rsidR="001D77F3" w:rsidRPr="00530972">
        <w:t xml:space="preserve"> </w:t>
      </w:r>
      <w:r w:rsidR="001D77F3">
        <w:t>I</w:t>
      </w:r>
      <w:r w:rsidR="001D77F3" w:rsidRPr="00530972">
        <w:t>naccurate surfacing</w:t>
      </w:r>
      <w:r w:rsidR="001D77F3">
        <w:t xml:space="preserve"> is the inability of a device equipped with a voice assistant to play a</w:t>
      </w:r>
      <w:r w:rsidR="001D77F3" w:rsidRPr="00530972">
        <w:t xml:space="preserve"> </w:t>
      </w:r>
      <w:r w:rsidR="001D77F3">
        <w:t>particular r</w:t>
      </w:r>
      <w:r w:rsidR="001D77F3" w:rsidRPr="00530972">
        <w:t xml:space="preserve">adio station in response to </w:t>
      </w:r>
      <w:r w:rsidR="001D77F3" w:rsidRPr="00914161">
        <w:rPr>
          <w:lang w:val="en-US"/>
        </w:rPr>
        <w:t xml:space="preserve">a user’s voice command. </w:t>
      </w:r>
      <w:r w:rsidR="001D77F3" w:rsidRPr="00530972">
        <w:t>This</w:t>
      </w:r>
      <w:r w:rsidR="001D77F3">
        <w:t xml:space="preserve"> issue has been identified in </w:t>
      </w:r>
      <w:proofErr w:type="gramStart"/>
      <w:r w:rsidR="001D77F3">
        <w:t>a number of</w:t>
      </w:r>
      <w:proofErr w:type="gramEnd"/>
      <w:r w:rsidR="001D77F3">
        <w:t xml:space="preserve"> fora, including Australian academic research conducted by RMIT, consumer research commissioned by the Office of Communications (Ofcom) in the UK, and a 2018 Voice Request Audit undertaken by the peak body for Australian commercial radio broadcasters, Commercial Radio &amp; Audio (CRA).</w:t>
      </w:r>
      <w:r w:rsidR="001D77F3">
        <w:rPr>
          <w:rStyle w:val="FootnoteReference"/>
        </w:rPr>
        <w:footnoteReference w:id="50"/>
      </w:r>
    </w:p>
    <w:p w14:paraId="32437C46" w14:textId="3D7B3781" w:rsidR="00EB1525" w:rsidRPr="00460256" w:rsidRDefault="00EB1525" w:rsidP="00596A08">
      <w:pPr>
        <w:widowControl w:val="0"/>
        <w:suppressAutoHyphens w:val="0"/>
        <w:rPr>
          <w:rFonts w:cstheme="minorHAnsi"/>
          <w:lang w:val="en-US"/>
        </w:rPr>
      </w:pPr>
      <w:r w:rsidRPr="004233A7">
        <w:rPr>
          <w:rFonts w:cstheme="minorHAnsi"/>
          <w:i/>
        </w:rPr>
        <w:t>Gateway to an audience</w:t>
      </w:r>
      <w:r w:rsidRPr="00460256">
        <w:rPr>
          <w:rFonts w:cstheme="minorHAnsi"/>
        </w:rPr>
        <w:t xml:space="preserve"> – </w:t>
      </w:r>
      <w:r w:rsidR="00A93B2E">
        <w:rPr>
          <w:rFonts w:cstheme="minorHAnsi"/>
        </w:rPr>
        <w:t>c</w:t>
      </w:r>
      <w:r>
        <w:rPr>
          <w:rFonts w:cstheme="minorHAnsi"/>
        </w:rPr>
        <w:t xml:space="preserve">onsumers are often </w:t>
      </w:r>
      <w:r w:rsidRPr="00237095">
        <w:rPr>
          <w:rFonts w:cstheme="minorHAnsi"/>
          <w:lang w:val="en-US"/>
        </w:rPr>
        <w:t>‘takers’ of the default experience set by connected device manufacturers and are more likely to be influenced by recommendations of the voice assistant and search function if their original request is incorrectly answered. This is a recent development for radio audience</w:t>
      </w:r>
      <w:r>
        <w:rPr>
          <w:rFonts w:cstheme="minorHAnsi"/>
          <w:lang w:val="en-US"/>
        </w:rPr>
        <w:t>s, who on a traditional radio device</w:t>
      </w:r>
      <w:r w:rsidRPr="00237095">
        <w:rPr>
          <w:rFonts w:cstheme="minorHAnsi"/>
          <w:lang w:val="en-US"/>
        </w:rPr>
        <w:t xml:space="preserve"> </w:t>
      </w:r>
      <w:r>
        <w:rPr>
          <w:rFonts w:cstheme="minorHAnsi"/>
          <w:lang w:val="en-US"/>
        </w:rPr>
        <w:t>had full control of the device and actively choose a service to listen to.</w:t>
      </w:r>
      <w:r w:rsidRPr="00460256">
        <w:t xml:space="preserve"> </w:t>
      </w:r>
    </w:p>
    <w:p w14:paraId="328093BA" w14:textId="16670E6A" w:rsidR="00EB1525" w:rsidRPr="004608ED" w:rsidRDefault="00EB1525" w:rsidP="00596A08">
      <w:pPr>
        <w:widowControl w:val="0"/>
        <w:suppressAutoHyphens w:val="0"/>
        <w:rPr>
          <w:rFonts w:cstheme="minorHAnsi"/>
          <w:lang w:val="en-US"/>
        </w:rPr>
      </w:pPr>
      <w:r w:rsidRPr="00B16F74">
        <w:rPr>
          <w:rFonts w:cstheme="minorHAnsi"/>
          <w:i/>
          <w:lang w:val="en-US"/>
        </w:rPr>
        <w:t>Sustainability of radio services</w:t>
      </w:r>
      <w:r w:rsidRPr="00B16F74">
        <w:rPr>
          <w:rFonts w:cstheme="minorHAnsi"/>
          <w:lang w:val="en-US"/>
        </w:rPr>
        <w:t xml:space="preserve"> – </w:t>
      </w:r>
      <w:r w:rsidR="00596A08" w:rsidRPr="00B16F74">
        <w:rPr>
          <w:rFonts w:cstheme="minorHAnsi"/>
          <w:lang w:val="en-US"/>
        </w:rPr>
        <w:t>a</w:t>
      </w:r>
      <w:r w:rsidRPr="00B16F74">
        <w:rPr>
          <w:rFonts w:cstheme="minorHAnsi"/>
          <w:lang w:val="en-US"/>
        </w:rPr>
        <w:t xml:space="preserve">lthough Australian radio stations and voice assistant platforms have </w:t>
      </w:r>
      <w:proofErr w:type="gramStart"/>
      <w:r w:rsidRPr="00B16F74">
        <w:rPr>
          <w:rFonts w:cstheme="minorHAnsi"/>
          <w:lang w:val="en-US"/>
        </w:rPr>
        <w:t>entered into</w:t>
      </w:r>
      <w:proofErr w:type="gramEnd"/>
      <w:r w:rsidRPr="00B16F74">
        <w:rPr>
          <w:rFonts w:cstheme="minorHAnsi"/>
          <w:lang w:val="en-US"/>
        </w:rPr>
        <w:t xml:space="preserve"> commercial arrangements in the past, this appears to be through necessity on the part of radio broadcasters. </w:t>
      </w:r>
      <w:r w:rsidR="00596A08" w:rsidRPr="00B16F74">
        <w:rPr>
          <w:rFonts w:cstheme="minorHAnsi"/>
          <w:lang w:val="en-US"/>
        </w:rPr>
        <w:t>Commercial f</w:t>
      </w:r>
      <w:r w:rsidRPr="00B16F74">
        <w:rPr>
          <w:rFonts w:cstheme="minorHAnsi"/>
          <w:lang w:val="en-US"/>
        </w:rPr>
        <w:t xml:space="preserve">ree-to-air broadcasting </w:t>
      </w:r>
      <w:r w:rsidR="00596A08" w:rsidRPr="00B16F74">
        <w:rPr>
          <w:rFonts w:cstheme="minorHAnsi"/>
          <w:lang w:val="en-US"/>
        </w:rPr>
        <w:t>services rely</w:t>
      </w:r>
      <w:r w:rsidRPr="00B16F74">
        <w:rPr>
          <w:rFonts w:cstheme="minorHAnsi"/>
          <w:lang w:val="en-US"/>
        </w:rPr>
        <w:t xml:space="preserve"> on advertising revenue </w:t>
      </w:r>
      <w:proofErr w:type="gramStart"/>
      <w:r w:rsidRPr="00B16F74">
        <w:rPr>
          <w:rFonts w:cstheme="minorHAnsi"/>
          <w:lang w:val="en-US"/>
        </w:rPr>
        <w:t>in order to</w:t>
      </w:r>
      <w:proofErr w:type="gramEnd"/>
      <w:r w:rsidRPr="00B16F74">
        <w:rPr>
          <w:rFonts w:cstheme="minorHAnsi"/>
          <w:lang w:val="en-US"/>
        </w:rPr>
        <w:t xml:space="preserve"> bring their product (a radio station) to the market (the </w:t>
      </w:r>
      <w:proofErr w:type="gramStart"/>
      <w:r w:rsidRPr="00B16F74">
        <w:rPr>
          <w:rFonts w:cstheme="minorHAnsi"/>
          <w:lang w:val="en-US"/>
        </w:rPr>
        <w:t>general public</w:t>
      </w:r>
      <w:proofErr w:type="gramEnd"/>
      <w:r w:rsidRPr="00B16F74">
        <w:rPr>
          <w:rFonts w:cstheme="minorHAnsi"/>
          <w:lang w:val="en-US"/>
        </w:rPr>
        <w:t>) at no cost, and this business model will become increasingly unviable if they are required to pay to be available on a given platform.</w:t>
      </w:r>
      <w:r>
        <w:rPr>
          <w:rFonts w:cstheme="minorHAnsi"/>
          <w:lang w:val="en-US"/>
        </w:rPr>
        <w:t xml:space="preserve"> </w:t>
      </w:r>
      <w:r w:rsidRPr="004608ED">
        <w:rPr>
          <w:rFonts w:cstheme="minorHAnsi"/>
          <w:lang w:val="en-US"/>
        </w:rPr>
        <w:t xml:space="preserve">   </w:t>
      </w:r>
    </w:p>
    <w:p w14:paraId="09B02702" w14:textId="2100C8E5" w:rsidR="00EB1525" w:rsidRPr="00967B9B" w:rsidRDefault="00EB1525" w:rsidP="00EB1525">
      <w:pPr>
        <w:pStyle w:val="Paragraph"/>
        <w:spacing w:before="160" w:after="80" w:line="240" w:lineRule="auto"/>
        <w:rPr>
          <w:rFonts w:asciiTheme="minorHAnsi" w:eastAsiaTheme="minorHAnsi" w:hAnsiTheme="minorHAnsi" w:cstheme="minorHAnsi"/>
          <w:color w:val="000000" w:themeColor="text1"/>
          <w:sz w:val="22"/>
          <w:szCs w:val="22"/>
          <w:lang w:eastAsia="en-US"/>
        </w:rPr>
      </w:pPr>
      <w:r w:rsidRPr="00A95A3A">
        <w:rPr>
          <w:rFonts w:asciiTheme="minorHAnsi" w:eastAsiaTheme="minorHAnsi" w:hAnsiTheme="minorHAnsi" w:cstheme="minorHAnsi"/>
          <w:color w:val="000000" w:themeColor="text1"/>
          <w:sz w:val="22"/>
          <w:szCs w:val="22"/>
          <w:lang w:eastAsia="en-US"/>
        </w:rPr>
        <w:lastRenderedPageBreak/>
        <w:t xml:space="preserve">Market outcomes alone are unlikely to result in Australian consumers being able to </w:t>
      </w:r>
      <w:r>
        <w:rPr>
          <w:rFonts w:asciiTheme="minorHAnsi" w:eastAsiaTheme="minorHAnsi" w:hAnsiTheme="minorHAnsi" w:cstheme="minorHAnsi"/>
          <w:color w:val="000000" w:themeColor="text1"/>
          <w:sz w:val="22"/>
          <w:szCs w:val="22"/>
          <w:lang w:eastAsia="en-US"/>
        </w:rPr>
        <w:t>continue to</w:t>
      </w:r>
      <w:r w:rsidRPr="00A95A3A">
        <w:rPr>
          <w:rFonts w:asciiTheme="minorHAnsi" w:eastAsiaTheme="minorHAnsi" w:hAnsiTheme="minorHAnsi" w:cstheme="minorHAnsi"/>
          <w:color w:val="000000" w:themeColor="text1"/>
          <w:sz w:val="22"/>
          <w:szCs w:val="22"/>
          <w:lang w:eastAsia="en-US"/>
        </w:rPr>
        <w:t xml:space="preserve"> easily and accurately access the services radio broadcasters. G</w:t>
      </w:r>
      <w:r w:rsidRPr="00967B9B">
        <w:rPr>
          <w:rFonts w:asciiTheme="minorHAnsi" w:eastAsiaTheme="minorHAnsi" w:hAnsiTheme="minorHAnsi" w:cstheme="minorHAnsi"/>
          <w:color w:val="000000" w:themeColor="text1"/>
          <w:sz w:val="22"/>
          <w:szCs w:val="22"/>
          <w:lang w:eastAsia="en-US"/>
        </w:rPr>
        <w:t>overnment intervention is therefore warranted to support the objective of enabling Australians to easily and accurately access radio services on connected audio devices with minimal effort, input or technical skills on the part of the user.</w:t>
      </w:r>
    </w:p>
    <w:p w14:paraId="7B62D3CE" w14:textId="30464D09" w:rsidR="008B010C" w:rsidRPr="00D8466A" w:rsidRDefault="00EB1525" w:rsidP="00D8466A">
      <w:pPr>
        <w:pStyle w:val="Heading3Numbered"/>
      </w:pPr>
      <w:bookmarkStart w:id="66" w:name="_Toc236825149"/>
      <w:bookmarkStart w:id="67" w:name="_Hlk145927349"/>
      <w:r>
        <w:t>Government’</w:t>
      </w:r>
      <w:r w:rsidR="00D8466A" w:rsidRPr="00D8466A">
        <w:t>s</w:t>
      </w:r>
      <w:r>
        <w:t xml:space="preserve"> capacity to intervene</w:t>
      </w:r>
      <w:bookmarkEnd w:id="66"/>
    </w:p>
    <w:p w14:paraId="412B45F5" w14:textId="24250CDD" w:rsidR="007A66EF" w:rsidRDefault="007A66EF" w:rsidP="000B7CBD">
      <w:r>
        <w:t>T</w:t>
      </w:r>
      <w:r w:rsidR="00E91BF5">
        <w:t>wo</w:t>
      </w:r>
      <w:r>
        <w:t xml:space="preserve"> of the more commonly used </w:t>
      </w:r>
      <w:r w:rsidR="00E91BF5">
        <w:t xml:space="preserve">mechanisms </w:t>
      </w:r>
      <w:r>
        <w:t xml:space="preserve">to address concerns regarding access to services and to improve consumer outcomes are legislation and </w:t>
      </w:r>
      <w:r w:rsidR="00FA2FF0">
        <w:t xml:space="preserve">industry incentives and support programs. </w:t>
      </w:r>
    </w:p>
    <w:p w14:paraId="58B0117A" w14:textId="306A2D37" w:rsidR="00524606" w:rsidRPr="00941E2A" w:rsidRDefault="00FA2FF0" w:rsidP="00127BF6">
      <w:pPr>
        <w:pStyle w:val="ListParagraph"/>
        <w:numPr>
          <w:ilvl w:val="0"/>
          <w:numId w:val="61"/>
        </w:numPr>
        <w:suppressAutoHyphens w:val="0"/>
        <w:ind w:left="357" w:hanging="357"/>
        <w:contextualSpacing w:val="0"/>
        <w:rPr>
          <w:b/>
        </w:rPr>
      </w:pPr>
      <w:r>
        <w:t xml:space="preserve">With respect to the radio prominence issue, legislation could </w:t>
      </w:r>
      <w:r w:rsidR="00CC045B">
        <w:t>establish</w:t>
      </w:r>
      <w:r>
        <w:t xml:space="preserve"> </w:t>
      </w:r>
      <w:r w:rsidR="00CC045B">
        <w:t>a</w:t>
      </w:r>
      <w:r w:rsidR="000B7CBD" w:rsidRPr="00510ECA">
        <w:t xml:space="preserve"> radio prominence framework </w:t>
      </w:r>
      <w:r w:rsidR="00C55A7F" w:rsidRPr="00127BF6">
        <w:rPr>
          <w:rFonts w:cstheme="minorHAnsi"/>
          <w:lang w:val="en-US"/>
        </w:rPr>
        <w:t xml:space="preserve">to </w:t>
      </w:r>
      <w:r>
        <w:rPr>
          <w:rFonts w:cstheme="minorHAnsi"/>
          <w:lang w:val="en-US"/>
        </w:rPr>
        <w:t xml:space="preserve">directly </w:t>
      </w:r>
      <w:r w:rsidR="00C55A7F" w:rsidRPr="00127BF6">
        <w:rPr>
          <w:rFonts w:cstheme="minorHAnsi"/>
          <w:lang w:val="en-US"/>
        </w:rPr>
        <w:t xml:space="preserve">address the challenges identified </w:t>
      </w:r>
      <w:r w:rsidR="00C55A7F">
        <w:rPr>
          <w:rFonts w:cstheme="minorHAnsi"/>
          <w:lang w:val="en-US"/>
        </w:rPr>
        <w:t>above</w:t>
      </w:r>
      <w:r w:rsidR="00C55A7F" w:rsidRPr="00127BF6">
        <w:rPr>
          <w:rFonts w:cstheme="minorHAnsi"/>
          <w:lang w:val="en-US"/>
        </w:rPr>
        <w:t xml:space="preserve"> </w:t>
      </w:r>
      <w:r w:rsidR="00C55A7F">
        <w:rPr>
          <w:rFonts w:cstheme="minorHAnsi"/>
          <w:lang w:val="en-US"/>
        </w:rPr>
        <w:t xml:space="preserve">and </w:t>
      </w:r>
      <w:r w:rsidR="000B7CBD" w:rsidRPr="001365EB">
        <w:t xml:space="preserve">enable Australian audiences to access radio services on smart speakers accurately, with minimal effort on the part of the user. </w:t>
      </w:r>
    </w:p>
    <w:p w14:paraId="24421EE8" w14:textId="173ECC20" w:rsidR="00FA2FF0" w:rsidRDefault="00FA2FF0" w:rsidP="0009082B">
      <w:pPr>
        <w:pStyle w:val="ListParagraph"/>
        <w:numPr>
          <w:ilvl w:val="0"/>
          <w:numId w:val="61"/>
        </w:numPr>
        <w:suppressAutoHyphens w:val="0"/>
        <w:ind w:left="357" w:hanging="357"/>
        <w:contextualSpacing w:val="0"/>
        <w:rPr>
          <w:rFonts w:cstheme="minorHAnsi"/>
        </w:rPr>
      </w:pPr>
      <w:r>
        <w:rPr>
          <w:rFonts w:cstheme="minorHAnsi"/>
        </w:rPr>
        <w:t xml:space="preserve">As an alternative, or in addition to legislation, financial incentives or supports could be provided to radio industry participants to enable them to negotiate with the providers of voice assistant software and enhance the accuracy of the surfacing of user requests for radio services. </w:t>
      </w:r>
    </w:p>
    <w:p w14:paraId="30F74D75" w14:textId="6A5C96AC" w:rsidR="00487139" w:rsidRPr="0027560D" w:rsidRDefault="0027560D" w:rsidP="00DA6C0C">
      <w:pPr>
        <w:pStyle w:val="Heading2Numbered"/>
        <w:keepNext w:val="0"/>
        <w:keepLines w:val="0"/>
      </w:pPr>
      <w:bookmarkStart w:id="68" w:name="_Toc236825150"/>
      <w:bookmarkEnd w:id="67"/>
      <w:r w:rsidRPr="0027560D">
        <w:t xml:space="preserve">Barriers and constraints </w:t>
      </w:r>
      <w:r w:rsidR="00EB1525">
        <w:t>to Government intervention</w:t>
      </w:r>
      <w:bookmarkEnd w:id="68"/>
    </w:p>
    <w:p w14:paraId="01585DAA" w14:textId="357E2A2C" w:rsidR="00FA2FF0" w:rsidRDefault="00FA2FF0" w:rsidP="00101A53">
      <w:pPr>
        <w:widowControl w:val="0"/>
        <w:spacing w:before="80"/>
        <w:rPr>
          <w:rFonts w:cstheme="minorHAnsi"/>
        </w:rPr>
      </w:pPr>
      <w:r>
        <w:rPr>
          <w:rFonts w:cstheme="minorHAnsi"/>
        </w:rPr>
        <w:t xml:space="preserve">Any form of Government intervention – regulatory or financial – has the potential to impose costs on industry (which may ultimately be passed on to consumers) and to distort markets. </w:t>
      </w:r>
    </w:p>
    <w:p w14:paraId="29F6F225" w14:textId="77777777" w:rsidR="008A304B" w:rsidRDefault="00FA2FF0" w:rsidP="00101A53">
      <w:pPr>
        <w:widowControl w:val="0"/>
        <w:spacing w:before="80"/>
        <w:rPr>
          <w:rFonts w:cstheme="minorHAnsi"/>
        </w:rPr>
      </w:pPr>
      <w:r>
        <w:rPr>
          <w:rFonts w:cstheme="minorHAnsi"/>
        </w:rPr>
        <w:t xml:space="preserve">A regulatory framework for radio prominence, or the provision of financial supports to radio providers to secure better prominence outcomes, would be a novel intervention in the Australian audio market. </w:t>
      </w:r>
    </w:p>
    <w:p w14:paraId="38CFC141" w14:textId="386938C4" w:rsidR="008A304B" w:rsidRDefault="00FA2FF0" w:rsidP="00101A53">
      <w:pPr>
        <w:widowControl w:val="0"/>
        <w:spacing w:before="80"/>
        <w:rPr>
          <w:rFonts w:cstheme="minorHAnsi"/>
        </w:rPr>
      </w:pPr>
      <w:r w:rsidRPr="008A304B">
        <w:rPr>
          <w:rFonts w:cstheme="minorHAnsi"/>
        </w:rPr>
        <w:t xml:space="preserve">Legislation </w:t>
      </w:r>
      <w:r w:rsidR="008A304B">
        <w:rPr>
          <w:rFonts w:cstheme="minorHAnsi"/>
        </w:rPr>
        <w:t>has the potential to</w:t>
      </w:r>
      <w:r w:rsidR="008A304B" w:rsidRPr="008A304B">
        <w:rPr>
          <w:rFonts w:cstheme="minorHAnsi"/>
        </w:rPr>
        <w:t xml:space="preserve"> impose costs on </w:t>
      </w:r>
      <w:r w:rsidR="008A304B">
        <w:rPr>
          <w:rFonts w:cstheme="minorHAnsi"/>
        </w:rPr>
        <w:t>the</w:t>
      </w:r>
      <w:r w:rsidR="008A304B" w:rsidRPr="008A304B">
        <w:rPr>
          <w:rFonts w:cstheme="minorHAnsi"/>
        </w:rPr>
        <w:t xml:space="preserve"> parties that are required to alter their actions or behaviour, and these potential costs are assessed in further detail in this IA. In terms of a </w:t>
      </w:r>
      <w:r w:rsidR="008A304B">
        <w:rPr>
          <w:rFonts w:cstheme="minorHAnsi"/>
        </w:rPr>
        <w:t xml:space="preserve">radio </w:t>
      </w:r>
      <w:r w:rsidR="008A304B" w:rsidRPr="008A304B">
        <w:rPr>
          <w:rFonts w:cstheme="minorHAnsi"/>
        </w:rPr>
        <w:t xml:space="preserve">prominence framework, radio services and software providers </w:t>
      </w:r>
      <w:r w:rsidR="008A304B">
        <w:rPr>
          <w:rFonts w:cstheme="minorHAnsi"/>
        </w:rPr>
        <w:t xml:space="preserve">may be required to dedicate resources to comply with requirements of the framework, including ensuring the compliance of services and products with obligations. These costs may be passed through to consumers in terms of higher retail prices for devices.   </w:t>
      </w:r>
    </w:p>
    <w:p w14:paraId="2DC5D8BF" w14:textId="7BF21804" w:rsidR="000F3DCB" w:rsidRPr="00A83C90" w:rsidRDefault="008A304B" w:rsidP="00101A53">
      <w:pPr>
        <w:widowControl w:val="0"/>
        <w:spacing w:before="80"/>
      </w:pPr>
      <w:r>
        <w:rPr>
          <w:rFonts w:cstheme="minorHAnsi"/>
        </w:rPr>
        <w:t xml:space="preserve">The imposition of regulatory obligations may also benefit those larger or incumbent industry participants, relative to potential new entrants, as they are better able to accommodate the additional costs. </w:t>
      </w:r>
    </w:p>
    <w:p w14:paraId="28BB4855" w14:textId="22ECA9F8" w:rsidR="008F427E" w:rsidRPr="00B91A25" w:rsidRDefault="00E507AB" w:rsidP="008F427E">
      <w:pPr>
        <w:pStyle w:val="Heading2Numbered"/>
        <w:keepNext w:val="0"/>
        <w:keepLines w:val="0"/>
      </w:pPr>
      <w:bookmarkStart w:id="69" w:name="_Toc236825151"/>
      <w:r>
        <w:t>Objectives of reform and h</w:t>
      </w:r>
      <w:r w:rsidR="008F427E" w:rsidRPr="00B91A25">
        <w:t>ow will success be measured?</w:t>
      </w:r>
      <w:bookmarkEnd w:id="69"/>
    </w:p>
    <w:p w14:paraId="3FD53F3E" w14:textId="52ECA6AE" w:rsidR="002B2727" w:rsidRPr="00B16F74" w:rsidRDefault="002B2727" w:rsidP="00101A53">
      <w:pPr>
        <w:pStyle w:val="Paragraph"/>
        <w:spacing w:before="80" w:after="80" w:line="240" w:lineRule="auto"/>
        <w:rPr>
          <w:rFonts w:asciiTheme="minorHAnsi" w:eastAsiaTheme="minorHAnsi" w:hAnsiTheme="minorHAnsi" w:cstheme="minorHAnsi"/>
          <w:color w:val="000000" w:themeColor="text1"/>
          <w:sz w:val="22"/>
          <w:szCs w:val="22"/>
          <w:lang w:eastAsia="en-US"/>
        </w:rPr>
      </w:pPr>
      <w:r w:rsidRPr="00101A53">
        <w:rPr>
          <w:rFonts w:asciiTheme="minorHAnsi" w:eastAsiaTheme="minorHAnsi" w:hAnsiTheme="minorHAnsi" w:cstheme="minorHAnsi"/>
          <w:color w:val="000000" w:themeColor="text1"/>
          <w:sz w:val="22"/>
          <w:szCs w:val="22"/>
          <w:lang w:eastAsia="en-US"/>
        </w:rPr>
        <w:t xml:space="preserve">The objective for the radio prominence proposal is to enable </w:t>
      </w:r>
      <w:r w:rsidRPr="00967B9B">
        <w:rPr>
          <w:rFonts w:asciiTheme="minorHAnsi" w:eastAsiaTheme="minorHAnsi" w:hAnsiTheme="minorHAnsi" w:cstheme="minorHAnsi"/>
          <w:color w:val="000000" w:themeColor="text1"/>
          <w:sz w:val="22"/>
          <w:szCs w:val="22"/>
          <w:lang w:eastAsia="en-US"/>
        </w:rPr>
        <w:t>Australians to easily and accurately access radio services on connected audio devices with minimal effort, input or technical skills on the part of the user.</w:t>
      </w:r>
      <w:r>
        <w:rPr>
          <w:rFonts w:asciiTheme="minorHAnsi" w:eastAsiaTheme="minorHAnsi" w:hAnsiTheme="minorHAnsi" w:cstheme="minorHAnsi"/>
          <w:color w:val="000000" w:themeColor="text1"/>
          <w:sz w:val="22"/>
          <w:szCs w:val="22"/>
          <w:lang w:eastAsia="en-US"/>
        </w:rPr>
        <w:t xml:space="preserve"> This </w:t>
      </w:r>
      <w:r w:rsidRPr="00B16F74">
        <w:rPr>
          <w:rFonts w:asciiTheme="minorHAnsi" w:eastAsiaTheme="minorHAnsi" w:hAnsiTheme="minorHAnsi" w:cstheme="minorHAnsi"/>
          <w:color w:val="000000" w:themeColor="text1"/>
          <w:sz w:val="22"/>
          <w:szCs w:val="22"/>
          <w:lang w:eastAsia="en-US"/>
        </w:rPr>
        <w:t>can be broken down to t</w:t>
      </w:r>
      <w:r w:rsidR="00B16F74" w:rsidRPr="00B16F74">
        <w:rPr>
          <w:rFonts w:asciiTheme="minorHAnsi" w:eastAsiaTheme="minorHAnsi" w:hAnsiTheme="minorHAnsi" w:cstheme="minorHAnsi"/>
          <w:color w:val="000000" w:themeColor="text1"/>
          <w:sz w:val="22"/>
          <w:szCs w:val="22"/>
          <w:lang w:eastAsia="en-US"/>
        </w:rPr>
        <w:t>hree</w:t>
      </w:r>
      <w:r w:rsidRPr="00B16F74">
        <w:rPr>
          <w:rFonts w:asciiTheme="minorHAnsi" w:eastAsiaTheme="minorHAnsi" w:hAnsiTheme="minorHAnsi" w:cstheme="minorHAnsi"/>
          <w:color w:val="000000" w:themeColor="text1"/>
          <w:sz w:val="22"/>
          <w:szCs w:val="22"/>
          <w:lang w:eastAsia="en-US"/>
        </w:rPr>
        <w:t xml:space="preserve"> limbs: </w:t>
      </w:r>
    </w:p>
    <w:p w14:paraId="50633E76" w14:textId="2E78401E" w:rsidR="00275C0C" w:rsidRPr="00B16F74" w:rsidRDefault="00275C0C" w:rsidP="00101A53">
      <w:pPr>
        <w:pStyle w:val="ListParagraph"/>
        <w:widowControl w:val="0"/>
        <w:numPr>
          <w:ilvl w:val="0"/>
          <w:numId w:val="30"/>
        </w:numPr>
        <w:spacing w:before="80"/>
        <w:ind w:left="357" w:hanging="357"/>
        <w:contextualSpacing w:val="0"/>
        <w:rPr>
          <w:rFonts w:cstheme="minorHAnsi"/>
        </w:rPr>
      </w:pPr>
      <w:r w:rsidRPr="00B16F74">
        <w:rPr>
          <w:rFonts w:cstheme="minorHAnsi"/>
        </w:rPr>
        <w:t xml:space="preserve">Australian radio services are available to be </w:t>
      </w:r>
      <w:r w:rsidR="00737378" w:rsidRPr="00B16F74">
        <w:rPr>
          <w:rFonts w:cstheme="minorHAnsi"/>
        </w:rPr>
        <w:t>accessed</w:t>
      </w:r>
      <w:r w:rsidRPr="00B16F74">
        <w:rPr>
          <w:rFonts w:cstheme="minorHAnsi"/>
        </w:rPr>
        <w:t xml:space="preserve"> on smart speakers;</w:t>
      </w:r>
      <w:r w:rsidR="00883DE8" w:rsidRPr="00B16F74">
        <w:rPr>
          <w:rFonts w:cstheme="minorHAnsi"/>
        </w:rPr>
        <w:t xml:space="preserve"> </w:t>
      </w:r>
      <w:r w:rsidR="002B2727" w:rsidRPr="00B16F74">
        <w:rPr>
          <w:rFonts w:cstheme="minorHAnsi"/>
        </w:rPr>
        <w:t>and</w:t>
      </w:r>
      <w:r w:rsidR="00883DE8" w:rsidRPr="00B16F74">
        <w:rPr>
          <w:rFonts w:cstheme="minorHAnsi"/>
        </w:rPr>
        <w:t xml:space="preserve"> </w:t>
      </w:r>
    </w:p>
    <w:p w14:paraId="77159D4E" w14:textId="70DD2ADB" w:rsidR="00883DE8" w:rsidRPr="00B16F74" w:rsidRDefault="005E4545" w:rsidP="00101A53">
      <w:pPr>
        <w:pStyle w:val="ListParagraph"/>
        <w:widowControl w:val="0"/>
        <w:numPr>
          <w:ilvl w:val="0"/>
          <w:numId w:val="30"/>
        </w:numPr>
        <w:spacing w:before="80"/>
        <w:ind w:left="357" w:hanging="357"/>
        <w:contextualSpacing w:val="0"/>
        <w:rPr>
          <w:rFonts w:cstheme="minorHAnsi"/>
        </w:rPr>
      </w:pPr>
      <w:r w:rsidRPr="00B16F74">
        <w:rPr>
          <w:rFonts w:cstheme="minorHAnsi"/>
        </w:rPr>
        <w:t>U</w:t>
      </w:r>
      <w:r w:rsidR="005C6C9F" w:rsidRPr="00B16F74">
        <w:rPr>
          <w:rFonts w:cstheme="minorHAnsi"/>
        </w:rPr>
        <w:t>ser requests for Australian radio services are accurately responded to b</w:t>
      </w:r>
      <w:r w:rsidR="00737378" w:rsidRPr="00B16F74">
        <w:rPr>
          <w:rFonts w:cstheme="minorHAnsi"/>
        </w:rPr>
        <w:t>y</w:t>
      </w:r>
      <w:r w:rsidR="005C6C9F" w:rsidRPr="00B16F74">
        <w:rPr>
          <w:rFonts w:cstheme="minorHAnsi"/>
        </w:rPr>
        <w:t xml:space="preserve"> voice assistant software;</w:t>
      </w:r>
      <w:r w:rsidR="00883DE8" w:rsidRPr="00B16F74">
        <w:rPr>
          <w:rFonts w:cstheme="minorHAnsi"/>
        </w:rPr>
        <w:t xml:space="preserve"> </w:t>
      </w:r>
      <w:r w:rsidR="00636395" w:rsidRPr="00B16F74">
        <w:rPr>
          <w:rFonts w:cstheme="minorHAnsi"/>
        </w:rPr>
        <w:t>and</w:t>
      </w:r>
    </w:p>
    <w:p w14:paraId="0368F75B" w14:textId="6F76F3C0" w:rsidR="0031234D" w:rsidRPr="00B16F74" w:rsidRDefault="005C6C9F" w:rsidP="00101A53">
      <w:pPr>
        <w:pStyle w:val="ListParagraph"/>
        <w:widowControl w:val="0"/>
        <w:numPr>
          <w:ilvl w:val="0"/>
          <w:numId w:val="30"/>
        </w:numPr>
        <w:spacing w:before="80"/>
        <w:ind w:left="357" w:hanging="357"/>
        <w:contextualSpacing w:val="0"/>
        <w:rPr>
          <w:rFonts w:cstheme="minorHAnsi"/>
        </w:rPr>
      </w:pPr>
      <w:r w:rsidRPr="00B16F74">
        <w:rPr>
          <w:rFonts w:cstheme="minorHAnsi"/>
        </w:rPr>
        <w:t xml:space="preserve">Australian radio services </w:t>
      </w:r>
      <w:proofErr w:type="gramStart"/>
      <w:r w:rsidRPr="00B16F74">
        <w:rPr>
          <w:rFonts w:cstheme="minorHAnsi"/>
        </w:rPr>
        <w:t>are able to</w:t>
      </w:r>
      <w:proofErr w:type="gramEnd"/>
      <w:r w:rsidRPr="00B16F74">
        <w:rPr>
          <w:rFonts w:cstheme="minorHAnsi"/>
        </w:rPr>
        <w:t xml:space="preserve"> compete effectively with other audio services available on smart speakers.</w:t>
      </w:r>
      <w:r w:rsidR="00883DE8" w:rsidRPr="00B16F74">
        <w:rPr>
          <w:rFonts w:cstheme="minorHAnsi"/>
        </w:rPr>
        <w:t xml:space="preserve"> </w:t>
      </w:r>
    </w:p>
    <w:p w14:paraId="0DDCD083" w14:textId="77777777" w:rsidR="00665BFA" w:rsidRDefault="00665BFA" w:rsidP="00101A53">
      <w:pPr>
        <w:widowControl w:val="0"/>
        <w:spacing w:before="80"/>
        <w:rPr>
          <w:highlight w:val="yellow"/>
        </w:rPr>
      </w:pPr>
      <w:r>
        <w:rPr>
          <w:rFonts w:cstheme="minorHAnsi"/>
        </w:rPr>
        <w:t>The three objectives and their corresponding potential measurement metrics are described below in Table 2.</w:t>
      </w:r>
      <w:r w:rsidRPr="0031234D">
        <w:rPr>
          <w:highlight w:val="yellow"/>
        </w:rPr>
        <w:t xml:space="preserve"> </w:t>
      </w:r>
    </w:p>
    <w:p w14:paraId="53CFCFE8" w14:textId="7B5298F3" w:rsidR="00482BEA" w:rsidRPr="00FD67E3" w:rsidRDefault="00665BFA" w:rsidP="00FD67E3">
      <w:pPr>
        <w:pStyle w:val="Caption"/>
      </w:pPr>
      <w:bookmarkStart w:id="70" w:name="_Toc236825666"/>
      <w:r w:rsidRPr="00FD67E3">
        <w:t>Table 2: Evaluation metrics for reform objectives</w:t>
      </w:r>
      <w:bookmarkEnd w:id="70"/>
    </w:p>
    <w:tbl>
      <w:tblPr>
        <w:tblStyle w:val="DefaultTable1"/>
        <w:tblW w:w="0" w:type="auto"/>
        <w:tblLook w:val="04A0" w:firstRow="1" w:lastRow="0" w:firstColumn="1" w:lastColumn="0" w:noHBand="0" w:noVBand="1"/>
      </w:tblPr>
      <w:tblGrid>
        <w:gridCol w:w="3034"/>
        <w:gridCol w:w="3028"/>
        <w:gridCol w:w="3802"/>
      </w:tblGrid>
      <w:tr w:rsidR="00204CD2" w14:paraId="30C5407E" w14:textId="77777777" w:rsidTr="00204C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4" w:type="dxa"/>
          </w:tcPr>
          <w:p w14:paraId="59030037" w14:textId="0A52E516" w:rsidR="00204CD2" w:rsidRPr="00FD67E3" w:rsidRDefault="00204CD2" w:rsidP="0031234D">
            <w:pPr>
              <w:widowControl w:val="0"/>
            </w:pPr>
            <w:r w:rsidRPr="00FD67E3">
              <w:t>Objective</w:t>
            </w:r>
          </w:p>
        </w:tc>
        <w:tc>
          <w:tcPr>
            <w:tcW w:w="3028" w:type="dxa"/>
          </w:tcPr>
          <w:p w14:paraId="603BB6B9" w14:textId="1A1327D9" w:rsidR="00204CD2" w:rsidRPr="00204CD2" w:rsidRDefault="00204CD2" w:rsidP="0031234D">
            <w:pPr>
              <w:widowControl w:val="0"/>
              <w:cnfStyle w:val="100000000000" w:firstRow="1" w:lastRow="0" w:firstColumn="0" w:lastColumn="0" w:oddVBand="0" w:evenVBand="0" w:oddHBand="0" w:evenHBand="0" w:firstRowFirstColumn="0" w:firstRowLastColumn="0" w:lastRowFirstColumn="0" w:lastRowLastColumn="0"/>
            </w:pPr>
            <w:r w:rsidRPr="00FD67E3">
              <w:t>Metrics for evaluation</w:t>
            </w:r>
          </w:p>
        </w:tc>
        <w:tc>
          <w:tcPr>
            <w:tcW w:w="3802" w:type="dxa"/>
          </w:tcPr>
          <w:p w14:paraId="632C2CF3" w14:textId="475F7B87" w:rsidR="00204CD2" w:rsidRPr="00FD67E3" w:rsidRDefault="00204CD2" w:rsidP="0031234D">
            <w:pPr>
              <w:widowControl w:val="0"/>
              <w:cnfStyle w:val="100000000000" w:firstRow="1" w:lastRow="0" w:firstColumn="0" w:lastColumn="0" w:oddVBand="0" w:evenVBand="0" w:oddHBand="0" w:evenHBand="0" w:firstRowFirstColumn="0" w:firstRowLastColumn="0" w:lastRowFirstColumn="0" w:lastRowLastColumn="0"/>
            </w:pPr>
            <w:r>
              <w:t>Evaluation methodology</w:t>
            </w:r>
          </w:p>
        </w:tc>
      </w:tr>
      <w:tr w:rsidR="00204CD2" w14:paraId="35567D33" w14:textId="77777777" w:rsidTr="00204CD2">
        <w:tc>
          <w:tcPr>
            <w:cnfStyle w:val="001000000000" w:firstRow="0" w:lastRow="0" w:firstColumn="1" w:lastColumn="0" w:oddVBand="0" w:evenVBand="0" w:oddHBand="0" w:evenHBand="0" w:firstRowFirstColumn="0" w:firstRowLastColumn="0" w:lastRowFirstColumn="0" w:lastRowLastColumn="0"/>
            <w:tcW w:w="3034" w:type="dxa"/>
          </w:tcPr>
          <w:p w14:paraId="1A47EFED" w14:textId="60A5DAB7" w:rsidR="00204CD2" w:rsidRPr="00FD67E3" w:rsidRDefault="00204CD2" w:rsidP="0031234D">
            <w:pPr>
              <w:widowControl w:val="0"/>
              <w:rPr>
                <w:b w:val="0"/>
                <w:bCs/>
              </w:rPr>
            </w:pPr>
            <w:r w:rsidRPr="00D11ACB">
              <w:rPr>
                <w:rFonts w:cstheme="minorHAnsi"/>
                <w:bCs/>
              </w:rPr>
              <w:t>Australian radio services are available to be accessed on smart speakers</w:t>
            </w:r>
          </w:p>
        </w:tc>
        <w:tc>
          <w:tcPr>
            <w:tcW w:w="3028" w:type="dxa"/>
          </w:tcPr>
          <w:p w14:paraId="12AA3642" w14:textId="486FC445" w:rsidR="00204CD2" w:rsidRPr="009844AC" w:rsidRDefault="00204CD2" w:rsidP="009844AC">
            <w:pPr>
              <w:widowControl w:val="0"/>
              <w:ind w:left="57"/>
              <w:cnfStyle w:val="000000000000" w:firstRow="0" w:lastRow="0" w:firstColumn="0" w:lastColumn="0" w:oddVBand="0" w:evenVBand="0" w:oddHBand="0" w:evenHBand="0" w:firstRowFirstColumn="0" w:firstRowLastColumn="0" w:lastRowFirstColumn="0" w:lastRowLastColumn="0"/>
              <w:rPr>
                <w:rFonts w:cstheme="minorHAnsi"/>
                <w:bCs/>
              </w:rPr>
            </w:pPr>
            <w:r w:rsidRPr="009844AC">
              <w:rPr>
                <w:rFonts w:cstheme="minorHAnsi"/>
                <w:bCs/>
              </w:rPr>
              <w:t>Australian radio services are available on all smart speakers in response to voice requests</w:t>
            </w:r>
          </w:p>
        </w:tc>
        <w:tc>
          <w:tcPr>
            <w:tcW w:w="3802" w:type="dxa"/>
          </w:tcPr>
          <w:p w14:paraId="1BD69518" w14:textId="6A9FE1E6" w:rsidR="00204CD2" w:rsidRPr="00665BFA" w:rsidRDefault="00204CD2" w:rsidP="00FD67E3">
            <w:pPr>
              <w:pStyle w:val="ListParagraph"/>
              <w:widowControl w:val="0"/>
              <w:numPr>
                <w:ilvl w:val="0"/>
                <w:numId w:val="72"/>
              </w:numPr>
              <w:ind w:left="414" w:hanging="357"/>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bCs/>
              </w:rPr>
              <w:t xml:space="preserve">Commissioned research - </w:t>
            </w:r>
            <w:r w:rsidRPr="00665BFA">
              <w:rPr>
                <w:rFonts w:cstheme="minorHAnsi"/>
                <w:bCs/>
              </w:rPr>
              <w:t>audit of accurate surfacing</w:t>
            </w:r>
            <w:r>
              <w:rPr>
                <w:rFonts w:cstheme="minorHAnsi"/>
                <w:bCs/>
              </w:rPr>
              <w:t xml:space="preserve"> results</w:t>
            </w:r>
            <w:r w:rsidRPr="00665BFA">
              <w:rPr>
                <w:rFonts w:cstheme="minorHAnsi"/>
                <w:bCs/>
              </w:rPr>
              <w:t xml:space="preserve"> on smart speakers</w:t>
            </w:r>
          </w:p>
          <w:p w14:paraId="54CC1BE2" w14:textId="5AE5348E" w:rsidR="00204CD2" w:rsidRPr="00FD67E3" w:rsidRDefault="00204CD2" w:rsidP="00FD67E3">
            <w:pPr>
              <w:pStyle w:val="ListParagraph"/>
              <w:widowControl w:val="0"/>
              <w:numPr>
                <w:ilvl w:val="0"/>
                <w:numId w:val="72"/>
              </w:numPr>
              <w:ind w:left="414" w:hanging="357"/>
              <w:cnfStyle w:val="000000000000" w:firstRow="0" w:lastRow="0" w:firstColumn="0" w:lastColumn="0" w:oddVBand="0" w:evenVBand="0" w:oddHBand="0" w:evenHBand="0" w:firstRowFirstColumn="0" w:firstRowLastColumn="0" w:lastRowFirstColumn="0" w:lastRowLastColumn="0"/>
              <w:rPr>
                <w:bCs/>
              </w:rPr>
            </w:pPr>
            <w:r>
              <w:rPr>
                <w:rFonts w:cstheme="minorHAnsi"/>
                <w:bCs/>
              </w:rPr>
              <w:t>ACMA data - c</w:t>
            </w:r>
            <w:r w:rsidRPr="00665BFA">
              <w:rPr>
                <w:rFonts w:cstheme="minorHAnsi"/>
                <w:bCs/>
              </w:rPr>
              <w:t xml:space="preserve">ompliance data </w:t>
            </w:r>
            <w:r>
              <w:rPr>
                <w:rFonts w:cstheme="minorHAnsi"/>
                <w:bCs/>
              </w:rPr>
              <w:t xml:space="preserve">from any reform resulting in a legislative </w:t>
            </w:r>
            <w:r>
              <w:rPr>
                <w:rFonts w:cstheme="minorHAnsi"/>
                <w:bCs/>
              </w:rPr>
              <w:lastRenderedPageBreak/>
              <w:t>framework</w:t>
            </w:r>
          </w:p>
        </w:tc>
      </w:tr>
      <w:tr w:rsidR="00204CD2" w14:paraId="522C6BF2" w14:textId="77777777" w:rsidTr="00204C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4" w:type="dxa"/>
          </w:tcPr>
          <w:p w14:paraId="520DEE09" w14:textId="0619520C" w:rsidR="00204CD2" w:rsidRPr="00FD67E3" w:rsidRDefault="00204CD2" w:rsidP="0031234D">
            <w:pPr>
              <w:widowControl w:val="0"/>
              <w:rPr>
                <w:b w:val="0"/>
                <w:bCs/>
              </w:rPr>
            </w:pPr>
            <w:r w:rsidRPr="00D11ACB">
              <w:rPr>
                <w:rFonts w:cstheme="minorHAnsi"/>
                <w:bCs/>
              </w:rPr>
              <w:lastRenderedPageBreak/>
              <w:t>User requests for Australian radio services are accurately responded to by voice assistant software</w:t>
            </w:r>
          </w:p>
        </w:tc>
        <w:tc>
          <w:tcPr>
            <w:tcW w:w="3028" w:type="dxa"/>
          </w:tcPr>
          <w:p w14:paraId="06544277" w14:textId="73488F47" w:rsidR="00204CD2" w:rsidRPr="009844AC" w:rsidRDefault="009844AC" w:rsidP="009844AC">
            <w:pPr>
              <w:widowControl w:val="0"/>
              <w:ind w:left="57"/>
              <w:cnfStyle w:val="000000010000" w:firstRow="0" w:lastRow="0" w:firstColumn="0" w:lastColumn="0" w:oddVBand="0" w:evenVBand="0" w:oddHBand="0" w:evenHBand="1" w:firstRowFirstColumn="0" w:firstRowLastColumn="0" w:lastRowFirstColumn="0" w:lastRowLastColumn="0"/>
              <w:rPr>
                <w:rFonts w:cstheme="minorHAnsi"/>
                <w:bCs/>
              </w:rPr>
            </w:pPr>
            <w:r w:rsidRPr="009844AC">
              <w:rPr>
                <w:rFonts w:cstheme="minorHAnsi"/>
                <w:bCs/>
              </w:rPr>
              <w:t>User requests for smart speakers to play Australian radio services produce an accurate response above a specified threshold</w:t>
            </w:r>
          </w:p>
        </w:tc>
        <w:tc>
          <w:tcPr>
            <w:tcW w:w="3802" w:type="dxa"/>
          </w:tcPr>
          <w:p w14:paraId="2A8A0337" w14:textId="02941773" w:rsidR="00204CD2" w:rsidRDefault="00204CD2" w:rsidP="003D1269">
            <w:pPr>
              <w:pStyle w:val="ListParagraph"/>
              <w:widowControl w:val="0"/>
              <w:numPr>
                <w:ilvl w:val="0"/>
                <w:numId w:val="72"/>
              </w:numPr>
              <w:ind w:left="414" w:hanging="357"/>
              <w:cnfStyle w:val="000000010000" w:firstRow="0" w:lastRow="0" w:firstColumn="0" w:lastColumn="0" w:oddVBand="0" w:evenVBand="0" w:oddHBand="0" w:evenHBand="1" w:firstRowFirstColumn="0" w:firstRowLastColumn="0" w:lastRowFirstColumn="0" w:lastRowLastColumn="0"/>
              <w:rPr>
                <w:rFonts w:cstheme="minorHAnsi"/>
                <w:bCs/>
              </w:rPr>
            </w:pPr>
            <w:r>
              <w:rPr>
                <w:rFonts w:cstheme="minorHAnsi"/>
                <w:bCs/>
              </w:rPr>
              <w:t xml:space="preserve">Commissioned research - </w:t>
            </w:r>
            <w:r w:rsidRPr="00665BFA">
              <w:rPr>
                <w:rFonts w:cstheme="minorHAnsi"/>
                <w:bCs/>
              </w:rPr>
              <w:t>audit of accurate surfacing</w:t>
            </w:r>
            <w:r>
              <w:rPr>
                <w:rFonts w:cstheme="minorHAnsi"/>
                <w:bCs/>
              </w:rPr>
              <w:t xml:space="preserve"> results</w:t>
            </w:r>
            <w:r w:rsidRPr="00665BFA">
              <w:rPr>
                <w:rFonts w:cstheme="minorHAnsi"/>
                <w:bCs/>
              </w:rPr>
              <w:t xml:space="preserve"> on smart speakers</w:t>
            </w:r>
          </w:p>
          <w:p w14:paraId="7B71A74F" w14:textId="0BAA187F" w:rsidR="00204CD2" w:rsidRPr="00FD67E3" w:rsidRDefault="00204CD2" w:rsidP="00FD67E3">
            <w:pPr>
              <w:pStyle w:val="ListParagraph"/>
              <w:widowControl w:val="0"/>
              <w:numPr>
                <w:ilvl w:val="0"/>
                <w:numId w:val="72"/>
              </w:numPr>
              <w:ind w:left="414" w:hanging="357"/>
              <w:cnfStyle w:val="000000010000" w:firstRow="0" w:lastRow="0" w:firstColumn="0" w:lastColumn="0" w:oddVBand="0" w:evenVBand="0" w:oddHBand="0" w:evenHBand="1" w:firstRowFirstColumn="0" w:firstRowLastColumn="0" w:lastRowFirstColumn="0" w:lastRowLastColumn="0"/>
              <w:rPr>
                <w:rFonts w:cstheme="minorHAnsi"/>
                <w:bCs/>
              </w:rPr>
            </w:pPr>
            <w:r w:rsidRPr="003D1269">
              <w:rPr>
                <w:rFonts w:cstheme="minorHAnsi"/>
                <w:bCs/>
              </w:rPr>
              <w:t>ACMA data - compliance data from any reform resulting in a legislative framework</w:t>
            </w:r>
          </w:p>
        </w:tc>
      </w:tr>
      <w:tr w:rsidR="00204CD2" w14:paraId="3222457C" w14:textId="77777777" w:rsidTr="00204CD2">
        <w:tc>
          <w:tcPr>
            <w:cnfStyle w:val="001000000000" w:firstRow="0" w:lastRow="0" w:firstColumn="1" w:lastColumn="0" w:oddVBand="0" w:evenVBand="0" w:oddHBand="0" w:evenHBand="0" w:firstRowFirstColumn="0" w:firstRowLastColumn="0" w:lastRowFirstColumn="0" w:lastRowLastColumn="0"/>
            <w:tcW w:w="3034" w:type="dxa"/>
          </w:tcPr>
          <w:p w14:paraId="0D3612A3" w14:textId="6FEB8420" w:rsidR="00204CD2" w:rsidRPr="00B16F74" w:rsidRDefault="00204CD2" w:rsidP="0031234D">
            <w:pPr>
              <w:widowControl w:val="0"/>
              <w:rPr>
                <w:b w:val="0"/>
              </w:rPr>
            </w:pPr>
            <w:r w:rsidRPr="00B16F74">
              <w:rPr>
                <w:rFonts w:cstheme="minorHAnsi"/>
              </w:rPr>
              <w:t xml:space="preserve">Australian radio services </w:t>
            </w:r>
            <w:proofErr w:type="gramStart"/>
            <w:r w:rsidRPr="00B16F74">
              <w:rPr>
                <w:rFonts w:cstheme="minorHAnsi"/>
              </w:rPr>
              <w:t>are able to</w:t>
            </w:r>
            <w:proofErr w:type="gramEnd"/>
            <w:r w:rsidRPr="00B16F74">
              <w:rPr>
                <w:rFonts w:cstheme="minorHAnsi"/>
              </w:rPr>
              <w:t xml:space="preserve"> compete effectively with other audio services available on smart speakers</w:t>
            </w:r>
          </w:p>
        </w:tc>
        <w:tc>
          <w:tcPr>
            <w:tcW w:w="3028" w:type="dxa"/>
          </w:tcPr>
          <w:p w14:paraId="34F4B1A3" w14:textId="1E12D522" w:rsidR="00204CD2" w:rsidRPr="00B16F74" w:rsidRDefault="009844AC" w:rsidP="009844AC">
            <w:pPr>
              <w:widowControl w:val="0"/>
              <w:ind w:left="57"/>
              <w:cnfStyle w:val="000000000000" w:firstRow="0" w:lastRow="0" w:firstColumn="0" w:lastColumn="0" w:oddVBand="0" w:evenVBand="0" w:oddHBand="0" w:evenHBand="0" w:firstRowFirstColumn="0" w:firstRowLastColumn="0" w:lastRowFirstColumn="0" w:lastRowLastColumn="0"/>
              <w:rPr>
                <w:rFonts w:cstheme="minorHAnsi"/>
              </w:rPr>
            </w:pPr>
            <w:r w:rsidRPr="00B16F74">
              <w:rPr>
                <w:rFonts w:cstheme="minorHAnsi"/>
              </w:rPr>
              <w:t>Radio broadcasters have a sustainable business model to provide their services on smart speakers</w:t>
            </w:r>
          </w:p>
        </w:tc>
        <w:tc>
          <w:tcPr>
            <w:tcW w:w="3802" w:type="dxa"/>
          </w:tcPr>
          <w:p w14:paraId="48803A64" w14:textId="3BD9FE11" w:rsidR="00204CD2" w:rsidRPr="00B16F74" w:rsidRDefault="00204CD2" w:rsidP="00FD67E3">
            <w:pPr>
              <w:pStyle w:val="ListParagraph"/>
              <w:widowControl w:val="0"/>
              <w:numPr>
                <w:ilvl w:val="0"/>
                <w:numId w:val="72"/>
              </w:numPr>
              <w:ind w:left="414" w:hanging="357"/>
              <w:cnfStyle w:val="000000000000" w:firstRow="0" w:lastRow="0" w:firstColumn="0" w:lastColumn="0" w:oddVBand="0" w:evenVBand="0" w:oddHBand="0" w:evenHBand="0" w:firstRowFirstColumn="0" w:firstRowLastColumn="0" w:lastRowFirstColumn="0" w:lastRowLastColumn="0"/>
              <w:rPr>
                <w:rFonts w:cstheme="minorHAnsi"/>
              </w:rPr>
            </w:pPr>
            <w:r w:rsidRPr="00B16F74">
              <w:rPr>
                <w:rFonts w:cstheme="minorHAnsi"/>
              </w:rPr>
              <w:t xml:space="preserve">Consultation with radio services stakeholders to understand changes in competition in market </w:t>
            </w:r>
          </w:p>
          <w:p w14:paraId="6E75A405" w14:textId="0FB09E4A" w:rsidR="00204CD2" w:rsidRPr="00B16F74" w:rsidRDefault="00204CD2" w:rsidP="00FD67E3">
            <w:pPr>
              <w:pStyle w:val="ListParagraph"/>
              <w:widowControl w:val="0"/>
              <w:numPr>
                <w:ilvl w:val="0"/>
                <w:numId w:val="72"/>
              </w:numPr>
              <w:ind w:left="414" w:hanging="357"/>
              <w:cnfStyle w:val="000000000000" w:firstRow="0" w:lastRow="0" w:firstColumn="0" w:lastColumn="0" w:oddVBand="0" w:evenVBand="0" w:oddHBand="0" w:evenHBand="0" w:firstRowFirstColumn="0" w:firstRowLastColumn="0" w:lastRowFirstColumn="0" w:lastRowLastColumn="0"/>
              <w:rPr>
                <w:rFonts w:cstheme="minorHAnsi"/>
              </w:rPr>
            </w:pPr>
            <w:r w:rsidRPr="00B16F74">
              <w:rPr>
                <w:rFonts w:cstheme="minorHAnsi"/>
              </w:rPr>
              <w:t>Data gathering – analysis of market conditions, including competition factors such as new entrants to audio content services sector</w:t>
            </w:r>
          </w:p>
        </w:tc>
      </w:tr>
    </w:tbl>
    <w:p w14:paraId="755ACAE0" w14:textId="0B84EADD" w:rsidR="000F3DCB" w:rsidRPr="00C55A7F" w:rsidRDefault="000F3DCB" w:rsidP="0031234D">
      <w:pPr>
        <w:widowControl w:val="0"/>
        <w:rPr>
          <w:rFonts w:cstheme="minorHAnsi"/>
        </w:rPr>
      </w:pPr>
      <w:r w:rsidRPr="0031234D">
        <w:rPr>
          <w:highlight w:val="yellow"/>
        </w:rPr>
        <w:br w:type="page"/>
      </w:r>
    </w:p>
    <w:p w14:paraId="5331306E" w14:textId="40C9A643" w:rsidR="007F6504" w:rsidRPr="00AD7703" w:rsidRDefault="007F6504" w:rsidP="007F6504">
      <w:pPr>
        <w:pStyle w:val="Heading1Numbered"/>
      </w:pPr>
      <w:bookmarkStart w:id="71" w:name="_Toc236825152"/>
      <w:r>
        <w:lastRenderedPageBreak/>
        <w:t xml:space="preserve">What policy options are </w:t>
      </w:r>
      <w:r w:rsidR="000A3FEE">
        <w:t>being</w:t>
      </w:r>
      <w:r w:rsidR="004F01C3">
        <w:t xml:space="preserve"> considering</w:t>
      </w:r>
      <w:r>
        <w:t>?</w:t>
      </w:r>
      <w:bookmarkEnd w:id="71"/>
    </w:p>
    <w:p w14:paraId="40EEDEF5" w14:textId="4DD5806A" w:rsidR="002B44BE" w:rsidRPr="00C62008" w:rsidRDefault="00890344" w:rsidP="00101A53">
      <w:pPr>
        <w:pStyle w:val="Bullet1"/>
        <w:rPr>
          <w:rFonts w:cstheme="minorHAnsi"/>
          <w:lang w:val="en-US"/>
        </w:rPr>
      </w:pPr>
      <w:bookmarkStart w:id="72" w:name="_Hlk147911295"/>
      <w:r>
        <w:rPr>
          <w:rFonts w:cstheme="minorHAnsi"/>
          <w:lang w:val="en-US"/>
        </w:rPr>
        <w:t>T</w:t>
      </w:r>
      <w:r w:rsidR="002B44BE" w:rsidRPr="00C62008">
        <w:rPr>
          <w:rFonts w:cstheme="minorHAnsi"/>
          <w:lang w:val="en-US"/>
        </w:rPr>
        <w:t>his IA considers three options</w:t>
      </w:r>
      <w:r w:rsidR="00C97706">
        <w:rPr>
          <w:rFonts w:cstheme="minorHAnsi"/>
          <w:lang w:val="en-US"/>
        </w:rPr>
        <w:t xml:space="preserve"> to address the objectives for reform set out in Chapter 2</w:t>
      </w:r>
      <w:r w:rsidR="002B44BE" w:rsidRPr="00C62008">
        <w:rPr>
          <w:rFonts w:cstheme="minorHAnsi"/>
          <w:lang w:val="en-US"/>
        </w:rPr>
        <w:t>:</w:t>
      </w:r>
    </w:p>
    <w:p w14:paraId="26EC2C81" w14:textId="73DEDC26" w:rsidR="002B44BE" w:rsidRPr="00572805" w:rsidRDefault="002B44BE" w:rsidP="00101A53">
      <w:pPr>
        <w:pStyle w:val="ListParagraph"/>
        <w:numPr>
          <w:ilvl w:val="0"/>
          <w:numId w:val="27"/>
        </w:numPr>
        <w:tabs>
          <w:tab w:val="left" w:pos="851"/>
        </w:tabs>
        <w:suppressAutoHyphens w:val="0"/>
        <w:spacing w:before="80"/>
        <w:contextualSpacing w:val="0"/>
        <w:rPr>
          <w:rFonts w:cstheme="minorHAnsi"/>
          <w:lang w:val="en-US"/>
        </w:rPr>
      </w:pPr>
      <w:r w:rsidRPr="00572805">
        <w:rPr>
          <w:rFonts w:cstheme="minorHAnsi"/>
          <w:lang w:val="en-US"/>
        </w:rPr>
        <w:t>Option 1: no intervention (status quo) – no change to current arrangements</w:t>
      </w:r>
    </w:p>
    <w:p w14:paraId="37DA0B71" w14:textId="5C4334B6" w:rsidR="002B44BE" w:rsidRPr="00572805" w:rsidRDefault="002B44BE" w:rsidP="00101A53">
      <w:pPr>
        <w:pStyle w:val="ListParagraph"/>
        <w:numPr>
          <w:ilvl w:val="0"/>
          <w:numId w:val="27"/>
        </w:numPr>
        <w:tabs>
          <w:tab w:val="left" w:pos="851"/>
        </w:tabs>
        <w:suppressAutoHyphens w:val="0"/>
        <w:spacing w:before="80"/>
        <w:contextualSpacing w:val="0"/>
        <w:rPr>
          <w:rFonts w:cstheme="minorHAnsi"/>
          <w:lang w:val="en-US"/>
        </w:rPr>
      </w:pPr>
      <w:r w:rsidRPr="00572805">
        <w:rPr>
          <w:rFonts w:cstheme="minorHAnsi"/>
          <w:lang w:val="en-US"/>
        </w:rPr>
        <w:t xml:space="preserve">Option 2: a </w:t>
      </w:r>
      <w:r w:rsidR="002B2727">
        <w:rPr>
          <w:rFonts w:cstheme="minorHAnsi"/>
          <w:lang w:val="en-US"/>
        </w:rPr>
        <w:t xml:space="preserve">regulated </w:t>
      </w:r>
      <w:r w:rsidRPr="00572805">
        <w:rPr>
          <w:rFonts w:cstheme="minorHAnsi"/>
          <w:lang w:val="en-US"/>
        </w:rPr>
        <w:t>prominence framework</w:t>
      </w:r>
    </w:p>
    <w:p w14:paraId="0C76BA1A" w14:textId="0C7C4714" w:rsidR="00D56427" w:rsidRPr="0026022D" w:rsidRDefault="002B44BE" w:rsidP="00101A53">
      <w:pPr>
        <w:pStyle w:val="ListParagraph"/>
        <w:numPr>
          <w:ilvl w:val="0"/>
          <w:numId w:val="27"/>
        </w:numPr>
        <w:tabs>
          <w:tab w:val="left" w:pos="851"/>
        </w:tabs>
        <w:suppressAutoHyphens w:val="0"/>
        <w:spacing w:before="80"/>
        <w:contextualSpacing w:val="0"/>
        <w:rPr>
          <w:rFonts w:cstheme="minorHAnsi"/>
          <w:lang w:val="en-US"/>
        </w:rPr>
      </w:pPr>
      <w:r w:rsidRPr="00572805">
        <w:rPr>
          <w:rFonts w:cstheme="minorHAnsi"/>
          <w:lang w:val="en-US"/>
        </w:rPr>
        <w:t xml:space="preserve">Option 3: </w:t>
      </w:r>
      <w:r w:rsidR="00572805" w:rsidRPr="00572805">
        <w:rPr>
          <w:rFonts w:cstheme="minorHAnsi"/>
          <w:lang w:val="en-US"/>
        </w:rPr>
        <w:t>industry incentives</w:t>
      </w:r>
      <w:r w:rsidR="00637865">
        <w:rPr>
          <w:rFonts w:cstheme="minorHAnsi"/>
          <w:lang w:val="en-US"/>
        </w:rPr>
        <w:t xml:space="preserve"> and consumer education</w:t>
      </w:r>
      <w:r w:rsidRPr="00572805">
        <w:rPr>
          <w:rFonts w:cstheme="minorHAnsi"/>
          <w:lang w:val="en-US"/>
        </w:rPr>
        <w:t>.</w:t>
      </w:r>
      <w:r w:rsidR="009B5460" w:rsidRPr="0026022D">
        <w:rPr>
          <w:lang w:val="en-US"/>
        </w:rPr>
        <w:t xml:space="preserve"> </w:t>
      </w:r>
    </w:p>
    <w:p w14:paraId="08E1A7E7" w14:textId="78EA0510" w:rsidR="00396B4D" w:rsidRPr="006D4287" w:rsidRDefault="009B5460" w:rsidP="006D4287">
      <w:pPr>
        <w:pStyle w:val="Heading2Numbered"/>
      </w:pPr>
      <w:r w:rsidRPr="009B5460" w:rsidDel="009B5460">
        <w:rPr>
          <w:lang w:val="en-US"/>
        </w:rPr>
        <w:t xml:space="preserve"> </w:t>
      </w:r>
      <w:bookmarkStart w:id="73" w:name="_Toc236825153"/>
      <w:bookmarkEnd w:id="72"/>
      <w:r w:rsidR="00396B4D" w:rsidRPr="006D4287">
        <w:t>Option 1: No intervention</w:t>
      </w:r>
      <w:bookmarkEnd w:id="73"/>
    </w:p>
    <w:p w14:paraId="2CCE1940" w14:textId="2984CA8E" w:rsidR="004521D6" w:rsidRDefault="004521D6" w:rsidP="00101A53">
      <w:pPr>
        <w:pStyle w:val="Bullet3"/>
        <w:numPr>
          <w:ilvl w:val="0"/>
          <w:numId w:val="0"/>
        </w:numPr>
        <w:rPr>
          <w:lang w:val="en-US"/>
        </w:rPr>
      </w:pPr>
      <w:r>
        <w:rPr>
          <w:lang w:val="en-US"/>
        </w:rPr>
        <w:t>This option represents the status quo</w:t>
      </w:r>
      <w:r w:rsidR="004D54A6">
        <w:rPr>
          <w:lang w:val="en-US"/>
        </w:rPr>
        <w:t>:</w:t>
      </w:r>
      <w:r>
        <w:rPr>
          <w:lang w:val="en-US"/>
        </w:rPr>
        <w:t xml:space="preserve"> what is expected to occur if no Government action is taken.</w:t>
      </w:r>
    </w:p>
    <w:p w14:paraId="4B0374FA" w14:textId="2285E94F" w:rsidR="00A709C0" w:rsidRDefault="008430D7" w:rsidP="00273C28">
      <w:pPr>
        <w:spacing w:before="80"/>
        <w:rPr>
          <w:lang w:val="en-US"/>
        </w:rPr>
      </w:pPr>
      <w:r w:rsidRPr="008430D7">
        <w:rPr>
          <w:lang w:val="en-US"/>
        </w:rPr>
        <w:t>Under this option, the relationship between voice assistant platforms and Australian radio services would continue to be determined by market forces</w:t>
      </w:r>
      <w:r w:rsidR="00343C5B">
        <w:rPr>
          <w:lang w:val="en-US"/>
        </w:rPr>
        <w:t xml:space="preserve">, </w:t>
      </w:r>
      <w:r w:rsidR="00D44B91">
        <w:rPr>
          <w:lang w:val="en-US"/>
        </w:rPr>
        <w:t xml:space="preserve">consumer </w:t>
      </w:r>
      <w:r w:rsidR="000305C2">
        <w:rPr>
          <w:lang w:val="en-US"/>
        </w:rPr>
        <w:t>preferences</w:t>
      </w:r>
      <w:r w:rsidRPr="008430D7">
        <w:rPr>
          <w:lang w:val="en-US"/>
        </w:rPr>
        <w:t xml:space="preserve"> and technological change. </w:t>
      </w:r>
      <w:r w:rsidR="00A709C0">
        <w:rPr>
          <w:lang w:val="en-US"/>
        </w:rPr>
        <w:t>In the foreseeable future, the accuracy of voice assistant responses to a user request to access a particular radio service would be determined by:</w:t>
      </w:r>
    </w:p>
    <w:p w14:paraId="5EAB807F" w14:textId="77777777" w:rsidR="00A709C0" w:rsidRPr="00A31EA8" w:rsidRDefault="00A709C0" w:rsidP="00273C28">
      <w:pPr>
        <w:pStyle w:val="Bullet3"/>
        <w:numPr>
          <w:ilvl w:val="0"/>
          <w:numId w:val="31"/>
        </w:numPr>
        <w:ind w:left="357" w:hanging="357"/>
        <w:rPr>
          <w:lang w:val="en-US"/>
        </w:rPr>
      </w:pPr>
      <w:r w:rsidRPr="00A31EA8">
        <w:rPr>
          <w:lang w:val="en-US"/>
        </w:rPr>
        <w:t xml:space="preserve">any commercial arrangements between voice assistant platforms and radio service providers; </w:t>
      </w:r>
    </w:p>
    <w:p w14:paraId="746D74A1" w14:textId="77777777" w:rsidR="00A709C0" w:rsidRPr="00A31EA8" w:rsidRDefault="00A709C0" w:rsidP="00273C28">
      <w:pPr>
        <w:pStyle w:val="Bullet3"/>
        <w:numPr>
          <w:ilvl w:val="0"/>
          <w:numId w:val="31"/>
        </w:numPr>
        <w:ind w:left="357" w:hanging="357"/>
        <w:rPr>
          <w:lang w:val="en-US"/>
        </w:rPr>
      </w:pPr>
      <w:r w:rsidRPr="00A31EA8">
        <w:rPr>
          <w:lang w:val="en-US"/>
        </w:rPr>
        <w:t xml:space="preserve">any commercial arrangements between voice assistant platforms and other audio content service providers, including ‘own brand’ services; and </w:t>
      </w:r>
    </w:p>
    <w:p w14:paraId="2620454B" w14:textId="77777777" w:rsidR="00A709C0" w:rsidRDefault="00A709C0" w:rsidP="00273C28">
      <w:pPr>
        <w:pStyle w:val="Bullet3"/>
        <w:numPr>
          <w:ilvl w:val="0"/>
          <w:numId w:val="31"/>
        </w:numPr>
        <w:ind w:left="357" w:hanging="357"/>
        <w:rPr>
          <w:lang w:val="en-US"/>
        </w:rPr>
      </w:pPr>
      <w:r w:rsidRPr="00A31EA8">
        <w:rPr>
          <w:lang w:val="en-US"/>
        </w:rPr>
        <w:t xml:space="preserve">other mechanisms used to surface content on a smart speaker, such as algorithms that use user data to determine a play list. </w:t>
      </w:r>
    </w:p>
    <w:p w14:paraId="75DE7524" w14:textId="5BC4DD5A" w:rsidR="00A709C0" w:rsidRDefault="00D44B91" w:rsidP="00273C28">
      <w:pPr>
        <w:spacing w:before="80"/>
        <w:rPr>
          <w:lang w:val="en-US"/>
        </w:rPr>
      </w:pPr>
      <w:r>
        <w:rPr>
          <w:lang w:val="en-US"/>
        </w:rPr>
        <w:t>Th</w:t>
      </w:r>
      <w:r w:rsidR="00A709C0">
        <w:rPr>
          <w:lang w:val="en-US"/>
        </w:rPr>
        <w:t xml:space="preserve">is </w:t>
      </w:r>
      <w:r w:rsidR="004D54A6">
        <w:rPr>
          <w:lang w:val="en-US"/>
        </w:rPr>
        <w:t xml:space="preserve">would </w:t>
      </w:r>
      <w:r w:rsidR="00A709C0">
        <w:rPr>
          <w:lang w:val="en-US"/>
        </w:rPr>
        <w:t xml:space="preserve">not </w:t>
      </w:r>
      <w:r w:rsidR="004D54A6">
        <w:rPr>
          <w:lang w:val="en-US"/>
        </w:rPr>
        <w:t xml:space="preserve">be </w:t>
      </w:r>
      <w:r>
        <w:rPr>
          <w:lang w:val="en-US"/>
        </w:rPr>
        <w:t>a static</w:t>
      </w:r>
      <w:r w:rsidR="004D54A6">
        <w:rPr>
          <w:lang w:val="en-US"/>
        </w:rPr>
        <w:t xml:space="preserve"> situation</w:t>
      </w:r>
      <w:r w:rsidR="00273C28">
        <w:rPr>
          <w:lang w:val="en-US"/>
        </w:rPr>
        <w:t xml:space="preserve">, and </w:t>
      </w:r>
      <w:r w:rsidR="004D54A6">
        <w:rPr>
          <w:lang w:val="en-US"/>
        </w:rPr>
        <w:t>developments such as</w:t>
      </w:r>
      <w:r w:rsidR="00913097">
        <w:rPr>
          <w:lang w:val="en-US"/>
        </w:rPr>
        <w:t xml:space="preserve"> </w:t>
      </w:r>
      <w:r w:rsidR="00CF27D1">
        <w:rPr>
          <w:lang w:val="en-US"/>
        </w:rPr>
        <w:t xml:space="preserve">the </w:t>
      </w:r>
      <w:r w:rsidR="008A4C73">
        <w:rPr>
          <w:lang w:val="en-US"/>
        </w:rPr>
        <w:t xml:space="preserve">uptake and </w:t>
      </w:r>
      <w:r w:rsidR="00CF27D1">
        <w:rPr>
          <w:lang w:val="en-US"/>
        </w:rPr>
        <w:t xml:space="preserve">use of </w:t>
      </w:r>
      <w:r w:rsidR="00FF655F">
        <w:rPr>
          <w:lang w:val="en-US"/>
        </w:rPr>
        <w:t>a</w:t>
      </w:r>
      <w:r w:rsidR="00CF27D1">
        <w:rPr>
          <w:lang w:val="en-US"/>
        </w:rPr>
        <w:t xml:space="preserve">rtificial </w:t>
      </w:r>
      <w:r w:rsidR="00FF655F">
        <w:rPr>
          <w:lang w:val="en-US"/>
        </w:rPr>
        <w:t>i</w:t>
      </w:r>
      <w:r w:rsidR="00CF27D1">
        <w:rPr>
          <w:lang w:val="en-US"/>
        </w:rPr>
        <w:t>ntelligence</w:t>
      </w:r>
      <w:r w:rsidR="00913097">
        <w:rPr>
          <w:lang w:val="en-US"/>
        </w:rPr>
        <w:t xml:space="preserve"> in audio production</w:t>
      </w:r>
      <w:r w:rsidR="008A4C73">
        <w:rPr>
          <w:lang w:val="en-US"/>
        </w:rPr>
        <w:t xml:space="preserve"> and distribution</w:t>
      </w:r>
      <w:r w:rsidR="00273C28">
        <w:rPr>
          <w:lang w:val="en-US"/>
        </w:rPr>
        <w:t xml:space="preserve"> may </w:t>
      </w:r>
      <w:r w:rsidR="00CF27D1">
        <w:rPr>
          <w:lang w:val="en-US"/>
        </w:rPr>
        <w:t xml:space="preserve">change </w:t>
      </w:r>
      <w:r w:rsidR="004D54A6">
        <w:rPr>
          <w:lang w:val="en-US"/>
        </w:rPr>
        <w:t>this dynamic</w:t>
      </w:r>
      <w:r w:rsidR="00273C28">
        <w:rPr>
          <w:lang w:val="en-US"/>
        </w:rPr>
        <w:t xml:space="preserve">. </w:t>
      </w:r>
      <w:r w:rsidR="004D54A6">
        <w:rPr>
          <w:lang w:val="en-US"/>
        </w:rPr>
        <w:t>However, in terms of what is reasonable to forecast,</w:t>
      </w:r>
      <w:r w:rsidR="00CF27D1">
        <w:rPr>
          <w:lang w:val="en-US"/>
        </w:rPr>
        <w:t xml:space="preserve"> the </w:t>
      </w:r>
      <w:r w:rsidR="004D54A6">
        <w:rPr>
          <w:lang w:val="en-US"/>
        </w:rPr>
        <w:t xml:space="preserve">dynamic outlined above </w:t>
      </w:r>
      <w:r w:rsidR="000A3FEE">
        <w:rPr>
          <w:lang w:val="en-US"/>
        </w:rPr>
        <w:t>is</w:t>
      </w:r>
      <w:r w:rsidR="004D54A6">
        <w:rPr>
          <w:lang w:val="en-US"/>
        </w:rPr>
        <w:t xml:space="preserve"> </w:t>
      </w:r>
      <w:r w:rsidR="00273C28">
        <w:rPr>
          <w:lang w:val="en-US"/>
        </w:rPr>
        <w:t>the</w:t>
      </w:r>
      <w:r w:rsidR="00D379B7">
        <w:rPr>
          <w:lang w:val="en-US"/>
        </w:rPr>
        <w:t xml:space="preserve"> </w:t>
      </w:r>
      <w:r w:rsidR="004D54A6">
        <w:rPr>
          <w:lang w:val="en-US"/>
        </w:rPr>
        <w:t>most likely situation for</w:t>
      </w:r>
      <w:r w:rsidR="00273C28">
        <w:rPr>
          <w:lang w:val="en-US"/>
        </w:rPr>
        <w:t xml:space="preserve"> the </w:t>
      </w:r>
      <w:r w:rsidR="004D54A6">
        <w:rPr>
          <w:lang w:val="en-US"/>
        </w:rPr>
        <w:t>near-to medium-term.</w:t>
      </w:r>
      <w:r w:rsidR="00273C28">
        <w:rPr>
          <w:lang w:val="en-US"/>
        </w:rPr>
        <w:t xml:space="preserve"> </w:t>
      </w:r>
      <w:r w:rsidR="00D379B7">
        <w:rPr>
          <w:lang w:val="en-US"/>
        </w:rPr>
        <w:t xml:space="preserve"> </w:t>
      </w:r>
      <w:r w:rsidR="00CF27D1">
        <w:rPr>
          <w:lang w:val="en-US"/>
        </w:rPr>
        <w:t xml:space="preserve"> </w:t>
      </w:r>
    </w:p>
    <w:p w14:paraId="16D4ED27" w14:textId="6B23986D" w:rsidR="00396B4D" w:rsidRPr="0088133D" w:rsidRDefault="00396B4D" w:rsidP="0088133D">
      <w:pPr>
        <w:pStyle w:val="Heading2Numbered"/>
        <w:rPr>
          <w:lang w:val="en-US"/>
        </w:rPr>
      </w:pPr>
      <w:bookmarkStart w:id="74" w:name="_Toc236825154"/>
      <w:r w:rsidRPr="0088133D">
        <w:rPr>
          <w:lang w:val="en-US"/>
        </w:rPr>
        <w:t xml:space="preserve">Option 2: </w:t>
      </w:r>
      <w:r w:rsidR="006D4287" w:rsidRPr="0088133D">
        <w:rPr>
          <w:lang w:val="en-US"/>
        </w:rPr>
        <w:t xml:space="preserve">Legislate a </w:t>
      </w:r>
      <w:r w:rsidR="003B7844" w:rsidRPr="0088133D">
        <w:rPr>
          <w:lang w:val="en-US"/>
        </w:rPr>
        <w:t xml:space="preserve">radio </w:t>
      </w:r>
      <w:r w:rsidR="006D4287" w:rsidRPr="0088133D">
        <w:rPr>
          <w:lang w:val="en-US"/>
        </w:rPr>
        <w:t>prominence framework</w:t>
      </w:r>
      <w:bookmarkEnd w:id="74"/>
    </w:p>
    <w:p w14:paraId="662AAA81" w14:textId="67DE890B" w:rsidR="006E4FBF" w:rsidRDefault="00177171" w:rsidP="00101A53">
      <w:pPr>
        <w:tabs>
          <w:tab w:val="left" w:pos="851"/>
        </w:tabs>
        <w:rPr>
          <w:lang w:val="en-US"/>
        </w:rPr>
      </w:pPr>
      <w:r w:rsidRPr="00F722A1">
        <w:rPr>
          <w:lang w:val="en-US"/>
        </w:rPr>
        <w:t xml:space="preserve">This option would implement a legislative framework in the BSA to </w:t>
      </w:r>
      <w:r w:rsidR="000F1046" w:rsidRPr="00F722A1">
        <w:rPr>
          <w:lang w:val="en-US"/>
        </w:rPr>
        <w:t xml:space="preserve">require </w:t>
      </w:r>
      <w:r w:rsidR="00273C28">
        <w:rPr>
          <w:lang w:val="en-US"/>
        </w:rPr>
        <w:t xml:space="preserve">the </w:t>
      </w:r>
      <w:r w:rsidR="003E7C13" w:rsidRPr="00F722A1">
        <w:rPr>
          <w:lang w:val="en-US"/>
        </w:rPr>
        <w:t xml:space="preserve">providers of voice assistant software </w:t>
      </w:r>
      <w:r w:rsidR="00CF186D">
        <w:rPr>
          <w:lang w:val="en-US"/>
        </w:rPr>
        <w:t xml:space="preserve">to </w:t>
      </w:r>
      <w:r w:rsidR="003802FA" w:rsidRPr="00F722A1">
        <w:rPr>
          <w:lang w:val="en-US"/>
        </w:rPr>
        <w:t xml:space="preserve">ensure </w:t>
      </w:r>
      <w:r w:rsidR="00F722A1" w:rsidRPr="00F722A1">
        <w:rPr>
          <w:lang w:val="en-US"/>
        </w:rPr>
        <w:t xml:space="preserve">that when a user requests a local radio service </w:t>
      </w:r>
      <w:r w:rsidR="00971756">
        <w:rPr>
          <w:lang w:val="en-US"/>
        </w:rPr>
        <w:t xml:space="preserve">to </w:t>
      </w:r>
      <w:r w:rsidR="00F722A1" w:rsidRPr="00F722A1">
        <w:rPr>
          <w:lang w:val="en-US"/>
        </w:rPr>
        <w:t xml:space="preserve">be played by voice command, that radio service is accurately identified and played on the </w:t>
      </w:r>
      <w:r w:rsidR="006107E6">
        <w:rPr>
          <w:lang w:val="en-US"/>
        </w:rPr>
        <w:t>regulated</w:t>
      </w:r>
      <w:r w:rsidR="006107E6" w:rsidRPr="00F722A1">
        <w:rPr>
          <w:lang w:val="en-US"/>
        </w:rPr>
        <w:t xml:space="preserve"> </w:t>
      </w:r>
      <w:r w:rsidR="00F722A1" w:rsidRPr="00F722A1">
        <w:rPr>
          <w:lang w:val="en-US"/>
        </w:rPr>
        <w:t>device.</w:t>
      </w:r>
      <w:r w:rsidR="00273C28">
        <w:rPr>
          <w:lang w:val="en-US"/>
        </w:rPr>
        <w:t xml:space="preserve"> </w:t>
      </w:r>
      <w:r w:rsidR="00D627D4" w:rsidRPr="00420C83">
        <w:rPr>
          <w:lang w:val="en-US"/>
        </w:rPr>
        <w:t xml:space="preserve">The </w:t>
      </w:r>
      <w:r w:rsidR="00CB1EC0">
        <w:rPr>
          <w:lang w:val="en-US"/>
        </w:rPr>
        <w:t xml:space="preserve">elements </w:t>
      </w:r>
      <w:r w:rsidR="00273C28">
        <w:rPr>
          <w:lang w:val="en-US"/>
        </w:rPr>
        <w:t>of the option</w:t>
      </w:r>
      <w:r w:rsidR="00CB1EC0">
        <w:rPr>
          <w:lang w:val="en-US"/>
        </w:rPr>
        <w:t xml:space="preserve"> </w:t>
      </w:r>
      <w:r w:rsidR="00D627D4" w:rsidRPr="00420C83">
        <w:rPr>
          <w:lang w:val="en-US"/>
        </w:rPr>
        <w:t xml:space="preserve">are </w:t>
      </w:r>
      <w:r w:rsidR="0026022D">
        <w:rPr>
          <w:lang w:val="en-US"/>
        </w:rPr>
        <w:t>summarized</w:t>
      </w:r>
      <w:r w:rsidR="00D627D4" w:rsidRPr="00420C83">
        <w:rPr>
          <w:lang w:val="en-US"/>
        </w:rPr>
        <w:t xml:space="preserve"> in</w:t>
      </w:r>
      <w:r w:rsidR="0026022D">
        <w:rPr>
          <w:lang w:val="en-US"/>
        </w:rPr>
        <w:t xml:space="preserve"> T</w:t>
      </w:r>
      <w:r w:rsidR="00A83526" w:rsidRPr="00420C83">
        <w:rPr>
          <w:lang w:val="en-US"/>
        </w:rPr>
        <w:t xml:space="preserve">able </w:t>
      </w:r>
      <w:r w:rsidR="00D67FB8">
        <w:rPr>
          <w:lang w:val="en-US"/>
        </w:rPr>
        <w:t>3</w:t>
      </w:r>
      <w:r w:rsidR="00D627D4" w:rsidRPr="00420C83">
        <w:rPr>
          <w:lang w:val="en-US"/>
        </w:rPr>
        <w:t>, which</w:t>
      </w:r>
      <w:r w:rsidR="00A83526" w:rsidRPr="00420C83">
        <w:rPr>
          <w:lang w:val="en-US"/>
        </w:rPr>
        <w:t xml:space="preserve"> sets out </w:t>
      </w:r>
      <w:r w:rsidR="003A64C0">
        <w:rPr>
          <w:lang w:val="en-US"/>
        </w:rPr>
        <w:t xml:space="preserve">two </w:t>
      </w:r>
      <w:r w:rsidR="006A3510">
        <w:rPr>
          <w:lang w:val="en-US"/>
        </w:rPr>
        <w:t>models</w:t>
      </w:r>
      <w:r w:rsidR="003A64C0">
        <w:rPr>
          <w:lang w:val="en-US"/>
        </w:rPr>
        <w:t xml:space="preserve"> for</w:t>
      </w:r>
      <w:r w:rsidR="00A83526" w:rsidRPr="00420C83">
        <w:rPr>
          <w:lang w:val="en-US"/>
        </w:rPr>
        <w:t xml:space="preserve"> a radio prominence </w:t>
      </w:r>
      <w:r w:rsidR="00A83526" w:rsidRPr="008C7652">
        <w:rPr>
          <w:lang w:val="en-US"/>
        </w:rPr>
        <w:t>framework</w:t>
      </w:r>
      <w:r w:rsidR="00273C28">
        <w:rPr>
          <w:lang w:val="en-US"/>
        </w:rPr>
        <w:t>: a ‘defined terms’ model; and a ‘negotiated outcomes’ model</w:t>
      </w:r>
      <w:r w:rsidR="008D5FC6">
        <w:rPr>
          <w:lang w:val="en-US"/>
        </w:rPr>
        <w:t>.</w:t>
      </w:r>
    </w:p>
    <w:p w14:paraId="641C69B4" w14:textId="2EE1EFAB" w:rsidR="003B7844" w:rsidRDefault="003B7844" w:rsidP="003B7844">
      <w:pPr>
        <w:pStyle w:val="Caption"/>
      </w:pPr>
      <w:bookmarkStart w:id="75" w:name="_Toc236825667"/>
      <w:r>
        <w:t xml:space="preserve">Table </w:t>
      </w:r>
      <w:r w:rsidR="00D67FB8">
        <w:t>3</w:t>
      </w:r>
      <w:r>
        <w:t xml:space="preserve">: Comparison of elements for different </w:t>
      </w:r>
      <w:r w:rsidR="007331E9">
        <w:t xml:space="preserve">models </w:t>
      </w:r>
      <w:r w:rsidR="0026022D">
        <w:t>of</w:t>
      </w:r>
      <w:r>
        <w:t xml:space="preserve"> a radio prominence framework</w:t>
      </w:r>
      <w:bookmarkEnd w:id="75"/>
      <w:r>
        <w:t xml:space="preserve"> </w:t>
      </w:r>
      <w:r w:rsidRPr="005F794B">
        <w:t xml:space="preserve"> </w:t>
      </w:r>
    </w:p>
    <w:tbl>
      <w:tblPr>
        <w:tblStyle w:val="DefaultTable1"/>
        <w:tblW w:w="9923" w:type="dxa"/>
        <w:tblLook w:val="04E0" w:firstRow="1" w:lastRow="1" w:firstColumn="1" w:lastColumn="0" w:noHBand="0" w:noVBand="1"/>
        <w:tblCaption w:val="Sample table"/>
        <w:tblDescription w:val="Sample table"/>
      </w:tblPr>
      <w:tblGrid>
        <w:gridCol w:w="2420"/>
        <w:gridCol w:w="3751"/>
        <w:gridCol w:w="3752"/>
      </w:tblGrid>
      <w:tr w:rsidR="006D02E6" w14:paraId="604436F8" w14:textId="77777777" w:rsidTr="006D02E6">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2420" w:type="dxa"/>
          </w:tcPr>
          <w:p w14:paraId="31100CC3" w14:textId="77777777" w:rsidR="006D02E6" w:rsidRDefault="006D02E6" w:rsidP="003D31FF">
            <w:r>
              <w:t>Elements of framework</w:t>
            </w:r>
          </w:p>
        </w:tc>
        <w:tc>
          <w:tcPr>
            <w:tcW w:w="3751" w:type="dxa"/>
          </w:tcPr>
          <w:p w14:paraId="4FC65DAB" w14:textId="54E1A272" w:rsidR="006D02E6" w:rsidRDefault="006D02E6" w:rsidP="003D31FF">
            <w:pPr>
              <w:cnfStyle w:val="100000000000" w:firstRow="1" w:lastRow="0" w:firstColumn="0" w:lastColumn="0" w:oddVBand="0" w:evenVBand="0" w:oddHBand="0" w:evenHBand="0" w:firstRowFirstColumn="0" w:firstRowLastColumn="0" w:lastRowFirstColumn="0" w:lastRowLastColumn="0"/>
            </w:pPr>
            <w:r>
              <w:t>Option 2a – defined terms</w:t>
            </w:r>
          </w:p>
        </w:tc>
        <w:tc>
          <w:tcPr>
            <w:tcW w:w="3752" w:type="dxa"/>
          </w:tcPr>
          <w:p w14:paraId="0804583E" w14:textId="50330879" w:rsidR="006D02E6" w:rsidRDefault="006D02E6" w:rsidP="003D31FF">
            <w:pPr>
              <w:cnfStyle w:val="100000000000" w:firstRow="1" w:lastRow="0" w:firstColumn="0" w:lastColumn="0" w:oddVBand="0" w:evenVBand="0" w:oddHBand="0" w:evenHBand="0" w:firstRowFirstColumn="0" w:firstRowLastColumn="0" w:lastRowFirstColumn="0" w:lastRowLastColumn="0"/>
            </w:pPr>
            <w:r>
              <w:t xml:space="preserve">Option 2b – </w:t>
            </w:r>
            <w:r w:rsidR="00637865">
              <w:t>negotiated</w:t>
            </w:r>
            <w:r>
              <w:t xml:space="preserve"> terms</w:t>
            </w:r>
          </w:p>
        </w:tc>
      </w:tr>
      <w:tr w:rsidR="006D02E6" w14:paraId="79576BBE" w14:textId="77777777" w:rsidTr="006D02E6">
        <w:trPr>
          <w:trHeight w:val="391"/>
        </w:trPr>
        <w:tc>
          <w:tcPr>
            <w:cnfStyle w:val="001000000000" w:firstRow="0" w:lastRow="0" w:firstColumn="1" w:lastColumn="0" w:oddVBand="0" w:evenVBand="0" w:oddHBand="0" w:evenHBand="0" w:firstRowFirstColumn="0" w:firstRowLastColumn="0" w:lastRowFirstColumn="0" w:lastRowLastColumn="0"/>
            <w:tcW w:w="2420" w:type="dxa"/>
          </w:tcPr>
          <w:p w14:paraId="33FDB3FE" w14:textId="48EDF904" w:rsidR="006D02E6" w:rsidRDefault="006D02E6" w:rsidP="003D31FF">
            <w:r>
              <w:t>1.</w:t>
            </w:r>
            <w:r w:rsidR="0026022D">
              <w:t xml:space="preserve"> L</w:t>
            </w:r>
            <w:r>
              <w:t>evel of prominence</w:t>
            </w:r>
          </w:p>
        </w:tc>
        <w:tc>
          <w:tcPr>
            <w:tcW w:w="3751" w:type="dxa"/>
          </w:tcPr>
          <w:p w14:paraId="26EEE055" w14:textId="77777777" w:rsidR="006D02E6" w:rsidRDefault="006D02E6" w:rsidP="003D31FF">
            <w:pP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u w:val="single"/>
              </w:rPr>
              <w:t>Consistent and r</w:t>
            </w:r>
            <w:r w:rsidRPr="0014596A">
              <w:rPr>
                <w:rFonts w:ascii="Calibri" w:eastAsia="Calibri" w:hAnsi="Calibri" w:cs="Calibri"/>
                <w:u w:val="single"/>
              </w:rPr>
              <w:t>eliable access</w:t>
            </w:r>
            <w:r>
              <w:rPr>
                <w:rFonts w:ascii="Calibri" w:eastAsia="Calibri" w:hAnsi="Calibri" w:cs="Calibri"/>
              </w:rPr>
              <w:t xml:space="preserve"> – </w:t>
            </w:r>
            <w:r>
              <w:t xml:space="preserve">a regulated access provider must respond to and play a specific regulated radio service when requested to do so </w:t>
            </w:r>
            <w:r w:rsidRPr="003955DC">
              <w:rPr>
                <w:b/>
              </w:rPr>
              <w:t>by the user of a smart speaker</w:t>
            </w:r>
            <w:r>
              <w:t>, where this is reasonable in the circumstances.</w:t>
            </w:r>
          </w:p>
        </w:tc>
        <w:tc>
          <w:tcPr>
            <w:tcW w:w="3752" w:type="dxa"/>
          </w:tcPr>
          <w:p w14:paraId="3520D42D" w14:textId="6A7931CD" w:rsidR="006D02E6" w:rsidRPr="0026022D" w:rsidRDefault="0026022D" w:rsidP="003D31FF">
            <w:pPr>
              <w:cnfStyle w:val="000000000000" w:firstRow="0" w:lastRow="0" w:firstColumn="0" w:lastColumn="0" w:oddVBand="0" w:evenVBand="0" w:oddHBand="0" w:evenHBand="0" w:firstRowFirstColumn="0" w:firstRowLastColumn="0" w:lastRowFirstColumn="0" w:lastRowLastColumn="0"/>
            </w:pPr>
            <w:r w:rsidRPr="0026022D">
              <w:rPr>
                <w:rFonts w:ascii="Calibri" w:eastAsia="Calibri" w:hAnsi="Calibri" w:cs="Calibri"/>
              </w:rPr>
              <w:t>As per option 2a</w:t>
            </w:r>
            <w:r w:rsidR="006D02E6" w:rsidRPr="0026022D">
              <w:t>.</w:t>
            </w:r>
          </w:p>
        </w:tc>
      </w:tr>
      <w:tr w:rsidR="006D02E6" w14:paraId="0DD91D28" w14:textId="77777777" w:rsidTr="006D02E6">
        <w:trPr>
          <w:cnfStyle w:val="000000010000" w:firstRow="0" w:lastRow="0" w:firstColumn="0" w:lastColumn="0" w:oddVBand="0" w:evenVBand="0" w:oddHBand="0" w:evenHBand="1"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2420" w:type="dxa"/>
          </w:tcPr>
          <w:p w14:paraId="29CD5FB8" w14:textId="77777777" w:rsidR="006D02E6" w:rsidRDefault="006D02E6" w:rsidP="007331E9">
            <w:r>
              <w:t>2. Payment for prominence</w:t>
            </w:r>
          </w:p>
        </w:tc>
        <w:tc>
          <w:tcPr>
            <w:tcW w:w="3751" w:type="dxa"/>
          </w:tcPr>
          <w:p w14:paraId="46DDEDE2" w14:textId="77777777" w:rsidR="006D02E6" w:rsidRDefault="006D02E6" w:rsidP="007331E9">
            <w:pPr>
              <w:cnfStyle w:val="000000010000" w:firstRow="0" w:lastRow="0" w:firstColumn="0" w:lastColumn="0" w:oddVBand="0" w:evenVBand="0" w:oddHBand="0" w:evenHBand="1" w:firstRowFirstColumn="0" w:firstRowLastColumn="0" w:lastRowFirstColumn="0" w:lastRowLastColumn="0"/>
            </w:pPr>
            <w:r w:rsidRPr="0014596A">
              <w:rPr>
                <w:rFonts w:ascii="Calibri" w:eastAsia="Calibri" w:hAnsi="Calibri" w:cs="Calibri"/>
                <w:u w:val="single"/>
              </w:rPr>
              <w:t>No cost</w:t>
            </w:r>
            <w:r>
              <w:rPr>
                <w:rFonts w:ascii="Calibri" w:eastAsia="Calibri" w:hAnsi="Calibri" w:cs="Calibri"/>
              </w:rPr>
              <w:t xml:space="preserve"> – a regulated access provider must</w:t>
            </w:r>
            <w:r>
              <w:t xml:space="preserve"> provide the required level of prominence for a regulated radio service (as above) </w:t>
            </w:r>
            <w:r w:rsidRPr="003955DC">
              <w:rPr>
                <w:b/>
              </w:rPr>
              <w:t>without the imposition of a fee, charge or other form of consideration</w:t>
            </w:r>
            <w:r w:rsidRPr="003955DC">
              <w:t>.</w:t>
            </w:r>
          </w:p>
        </w:tc>
        <w:tc>
          <w:tcPr>
            <w:tcW w:w="3752" w:type="dxa"/>
          </w:tcPr>
          <w:p w14:paraId="4AFBE159" w14:textId="1F7E74C3" w:rsidR="006D02E6" w:rsidRDefault="006D02E6" w:rsidP="007331E9">
            <w:pPr>
              <w:cnfStyle w:val="000000010000" w:firstRow="0" w:lastRow="0" w:firstColumn="0" w:lastColumn="0" w:oddVBand="0" w:evenVBand="0" w:oddHBand="0" w:evenHBand="1" w:firstRowFirstColumn="0" w:firstRowLastColumn="0" w:lastRowFirstColumn="0" w:lastRowLastColumn="0"/>
            </w:pPr>
            <w:r>
              <w:rPr>
                <w:rFonts w:ascii="Calibri" w:eastAsia="Calibri" w:hAnsi="Calibri" w:cs="Calibri"/>
                <w:u w:val="single"/>
              </w:rPr>
              <w:t>Fair bargaining</w:t>
            </w:r>
            <w:r>
              <w:rPr>
                <w:rFonts w:ascii="Calibri" w:eastAsia="Calibri" w:hAnsi="Calibri" w:cs="Calibri"/>
              </w:rPr>
              <w:t xml:space="preserve"> – a regulated access provider must</w:t>
            </w:r>
            <w:r>
              <w:t xml:space="preserve"> provide the required level of prominence for a regulated radio service (as above) following agreement of terms of access. R</w:t>
            </w:r>
            <w:r>
              <w:rPr>
                <w:rFonts w:ascii="Calibri" w:eastAsia="Calibri" w:hAnsi="Calibri" w:cs="Times New Roman"/>
                <w:color w:val="000000"/>
              </w:rPr>
              <w:t xml:space="preserve">equires the technical and commercial terms of </w:t>
            </w:r>
            <w:r>
              <w:rPr>
                <w:rFonts w:ascii="Calibri" w:eastAsia="Calibri" w:hAnsi="Calibri" w:cs="Times New Roman"/>
                <w:b/>
                <w:color w:val="000000"/>
              </w:rPr>
              <w:t>access to voice assistant platforms to be fair and reasonable</w:t>
            </w:r>
            <w:r>
              <w:rPr>
                <w:rFonts w:ascii="Calibri" w:eastAsia="Calibri" w:hAnsi="Calibri" w:cs="Times New Roman"/>
                <w:color w:val="000000"/>
              </w:rPr>
              <w:t xml:space="preserve">, and stipulate </w:t>
            </w:r>
            <w:r>
              <w:rPr>
                <w:rFonts w:ascii="Calibri" w:eastAsia="Calibri" w:hAnsi="Calibri" w:cs="Times New Roman"/>
                <w:color w:val="000000"/>
              </w:rPr>
              <w:lastRenderedPageBreak/>
              <w:t xml:space="preserve">that all regulated radio service providers and the parties responsible for voice assistant platforms to </w:t>
            </w:r>
            <w:r>
              <w:rPr>
                <w:rFonts w:ascii="Calibri" w:eastAsia="Calibri" w:hAnsi="Calibri" w:cs="Times New Roman"/>
                <w:b/>
                <w:color w:val="000000"/>
              </w:rPr>
              <w:t>engage in good faith negotiations</w:t>
            </w:r>
            <w:r>
              <w:t>.</w:t>
            </w:r>
          </w:p>
        </w:tc>
      </w:tr>
      <w:tr w:rsidR="006D02E6" w14:paraId="7DFBB556" w14:textId="77777777" w:rsidTr="006D02E6">
        <w:trPr>
          <w:trHeight w:val="391"/>
        </w:trPr>
        <w:tc>
          <w:tcPr>
            <w:cnfStyle w:val="001000000000" w:firstRow="0" w:lastRow="0" w:firstColumn="1" w:lastColumn="0" w:oddVBand="0" w:evenVBand="0" w:oddHBand="0" w:evenHBand="0" w:firstRowFirstColumn="0" w:firstRowLastColumn="0" w:lastRowFirstColumn="0" w:lastRowLastColumn="0"/>
            <w:tcW w:w="2420" w:type="dxa"/>
          </w:tcPr>
          <w:p w14:paraId="5D4034B6" w14:textId="77777777" w:rsidR="006D02E6" w:rsidRDefault="006D02E6" w:rsidP="007331E9">
            <w:r>
              <w:lastRenderedPageBreak/>
              <w:t>3. Service integrity</w:t>
            </w:r>
          </w:p>
        </w:tc>
        <w:tc>
          <w:tcPr>
            <w:tcW w:w="3751" w:type="dxa"/>
          </w:tcPr>
          <w:p w14:paraId="03331844" w14:textId="77777777" w:rsidR="006D02E6" w:rsidRDefault="006D02E6" w:rsidP="007331E9">
            <w:pPr>
              <w:cnfStyle w:val="000000000000" w:firstRow="0" w:lastRow="0" w:firstColumn="0" w:lastColumn="0" w:oddVBand="0" w:evenVBand="0" w:oddHBand="0" w:evenHBand="0" w:firstRowFirstColumn="0" w:firstRowLastColumn="0" w:lastRowFirstColumn="0" w:lastRowLastColumn="0"/>
            </w:pPr>
            <w:r w:rsidRPr="0014596A">
              <w:rPr>
                <w:rFonts w:ascii="Calibri" w:eastAsia="Calibri" w:hAnsi="Calibri" w:cs="Calibri"/>
                <w:u w:val="single"/>
              </w:rPr>
              <w:t>No alteration</w:t>
            </w:r>
            <w:r>
              <w:rPr>
                <w:rFonts w:ascii="Calibri" w:eastAsia="Calibri" w:hAnsi="Calibri" w:cs="Calibri"/>
              </w:rPr>
              <w:t xml:space="preserve"> – a regulated access provider would be prohibited from </w:t>
            </w:r>
            <w:r>
              <w:t>altering the content (including advertising) of a regulated radio service when providing prominence for the service.</w:t>
            </w:r>
          </w:p>
        </w:tc>
        <w:tc>
          <w:tcPr>
            <w:tcW w:w="3752" w:type="dxa"/>
          </w:tcPr>
          <w:p w14:paraId="5A369CA1" w14:textId="221FD5C9" w:rsidR="006D02E6" w:rsidRDefault="006D02E6" w:rsidP="007331E9">
            <w:pPr>
              <w:cnfStyle w:val="000000000000" w:firstRow="0" w:lastRow="0" w:firstColumn="0" w:lastColumn="0" w:oddVBand="0" w:evenVBand="0" w:oddHBand="0" w:evenHBand="0" w:firstRowFirstColumn="0" w:firstRowLastColumn="0" w:lastRowFirstColumn="0" w:lastRowLastColumn="0"/>
            </w:pPr>
            <w:r w:rsidRPr="0014596A">
              <w:rPr>
                <w:rFonts w:ascii="Calibri" w:eastAsia="Calibri" w:hAnsi="Calibri" w:cs="Calibri"/>
                <w:u w:val="single"/>
              </w:rPr>
              <w:t>No alteration</w:t>
            </w:r>
            <w:r>
              <w:rPr>
                <w:rFonts w:ascii="Calibri" w:eastAsia="Calibri" w:hAnsi="Calibri" w:cs="Calibri"/>
                <w:u w:val="single"/>
              </w:rPr>
              <w:t xml:space="preserve"> as default</w:t>
            </w:r>
            <w:r>
              <w:rPr>
                <w:rFonts w:ascii="Calibri" w:eastAsia="Calibri" w:hAnsi="Calibri" w:cs="Calibri"/>
              </w:rPr>
              <w:t xml:space="preserve"> – a regulated access provider would be prohibited from </w:t>
            </w:r>
            <w:r>
              <w:t>altering the content (including advertising) of a regulated radio service</w:t>
            </w:r>
            <w:r w:rsidR="009B064D">
              <w:t>,</w:t>
            </w:r>
            <w:r>
              <w:t xml:space="preserve"> </w:t>
            </w:r>
            <w:r w:rsidRPr="00F06648">
              <w:rPr>
                <w:b/>
              </w:rPr>
              <w:t xml:space="preserve">unless </w:t>
            </w:r>
            <w:r w:rsidR="0026022D">
              <w:rPr>
                <w:b/>
              </w:rPr>
              <w:t>alternative agreement was st</w:t>
            </w:r>
            <w:r w:rsidR="00207279">
              <w:rPr>
                <w:b/>
              </w:rPr>
              <w:t>r</w:t>
            </w:r>
            <w:r w:rsidR="0026022D">
              <w:rPr>
                <w:b/>
              </w:rPr>
              <w:t>uck between the access provider and regulated radio service.</w:t>
            </w:r>
          </w:p>
        </w:tc>
      </w:tr>
      <w:tr w:rsidR="006D02E6" w14:paraId="352B77F0" w14:textId="77777777" w:rsidTr="006D02E6">
        <w:trPr>
          <w:cnfStyle w:val="000000010000" w:firstRow="0" w:lastRow="0" w:firstColumn="0" w:lastColumn="0" w:oddVBand="0" w:evenVBand="0" w:oddHBand="0" w:evenHBand="1"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2420" w:type="dxa"/>
          </w:tcPr>
          <w:p w14:paraId="3C68922A" w14:textId="77777777" w:rsidR="006D02E6" w:rsidRDefault="006D02E6" w:rsidP="007331E9">
            <w:r>
              <w:t>4. Regulated entity – regulated radio service providers</w:t>
            </w:r>
          </w:p>
        </w:tc>
        <w:tc>
          <w:tcPr>
            <w:tcW w:w="3751" w:type="dxa"/>
          </w:tcPr>
          <w:p w14:paraId="12BC1AB8" w14:textId="77777777" w:rsidR="006D02E6" w:rsidRDefault="006D02E6" w:rsidP="007331E9">
            <w:pPr>
              <w:cnfStyle w:val="000000010000" w:firstRow="0" w:lastRow="0" w:firstColumn="0" w:lastColumn="0" w:oddVBand="0" w:evenVBand="0" w:oddHBand="0" w:evenHBand="1" w:firstRowFirstColumn="0" w:firstRowLastColumn="0" w:lastRowFirstColumn="0" w:lastRowLastColumn="0"/>
            </w:pPr>
            <w:r w:rsidRPr="0014596A">
              <w:rPr>
                <w:rFonts w:ascii="Calibri" w:eastAsia="Calibri" w:hAnsi="Calibri" w:cs="Calibri"/>
                <w:u w:val="single"/>
              </w:rPr>
              <w:t>Australian national, commercial and community broadcasters</w:t>
            </w:r>
            <w:r>
              <w:rPr>
                <w:rFonts w:ascii="Calibri" w:eastAsia="Calibri" w:hAnsi="Calibri" w:cs="Calibri"/>
              </w:rPr>
              <w:t xml:space="preserve"> – the framework </w:t>
            </w:r>
            <w:r>
              <w:t>would provide prominence for ‘mainstream’ Australian radio broadcasters that maintain an online presence.</w:t>
            </w:r>
          </w:p>
        </w:tc>
        <w:tc>
          <w:tcPr>
            <w:tcW w:w="3752" w:type="dxa"/>
          </w:tcPr>
          <w:p w14:paraId="5559C6EE" w14:textId="574F37FC" w:rsidR="006D02E6" w:rsidRDefault="009B064D" w:rsidP="007331E9">
            <w:pPr>
              <w:cnfStyle w:val="000000010000" w:firstRow="0" w:lastRow="0" w:firstColumn="0" w:lastColumn="0" w:oddVBand="0" w:evenVBand="0" w:oddHBand="0" w:evenHBand="1" w:firstRowFirstColumn="0" w:firstRowLastColumn="0" w:lastRowFirstColumn="0" w:lastRowLastColumn="0"/>
            </w:pPr>
            <w:r w:rsidRPr="009B064D">
              <w:rPr>
                <w:rFonts w:ascii="Calibri" w:eastAsia="Calibri" w:hAnsi="Calibri" w:cs="Calibri"/>
              </w:rPr>
              <w:t>As per Option 2a</w:t>
            </w:r>
            <w:r w:rsidRPr="00444398">
              <w:rPr>
                <w:rFonts w:ascii="Calibri" w:eastAsia="Calibri" w:hAnsi="Calibri" w:cs="Calibri"/>
              </w:rPr>
              <w:t>.</w:t>
            </w:r>
          </w:p>
        </w:tc>
      </w:tr>
      <w:tr w:rsidR="006D02E6" w14:paraId="6041EA92" w14:textId="77777777" w:rsidTr="006D02E6">
        <w:trPr>
          <w:trHeight w:val="391"/>
        </w:trPr>
        <w:tc>
          <w:tcPr>
            <w:cnfStyle w:val="001000000000" w:firstRow="0" w:lastRow="0" w:firstColumn="1" w:lastColumn="0" w:oddVBand="0" w:evenVBand="0" w:oddHBand="0" w:evenHBand="0" w:firstRowFirstColumn="0" w:firstRowLastColumn="0" w:lastRowFirstColumn="0" w:lastRowLastColumn="0"/>
            <w:tcW w:w="2420" w:type="dxa"/>
          </w:tcPr>
          <w:p w14:paraId="5FA4FCBD" w14:textId="77777777" w:rsidR="006D02E6" w:rsidRDefault="006D02E6" w:rsidP="00F06648">
            <w:r>
              <w:t>5. Coverage – regulated radio services</w:t>
            </w:r>
          </w:p>
        </w:tc>
        <w:tc>
          <w:tcPr>
            <w:tcW w:w="3751" w:type="dxa"/>
          </w:tcPr>
          <w:p w14:paraId="5780D499" w14:textId="77777777" w:rsidR="006D02E6" w:rsidRDefault="006D02E6" w:rsidP="00F06648">
            <w:pPr>
              <w:cnfStyle w:val="000000000000" w:firstRow="0" w:lastRow="0" w:firstColumn="0" w:lastColumn="0" w:oddVBand="0" w:evenVBand="0" w:oddHBand="0" w:evenHBand="0" w:firstRowFirstColumn="0" w:firstRowLastColumn="0" w:lastRowFirstColumn="0" w:lastRowLastColumn="0"/>
            </w:pPr>
            <w:r w:rsidRPr="0014596A">
              <w:rPr>
                <w:rFonts w:ascii="Calibri" w:eastAsia="Calibri" w:hAnsi="Calibri" w:cs="Calibri"/>
                <w:u w:val="single"/>
              </w:rPr>
              <w:t xml:space="preserve">Online </w:t>
            </w:r>
            <w:r>
              <w:rPr>
                <w:rFonts w:ascii="Calibri" w:eastAsia="Calibri" w:hAnsi="Calibri" w:cs="Calibri"/>
                <w:u w:val="single"/>
              </w:rPr>
              <w:t>simulcasts</w:t>
            </w:r>
            <w:r w:rsidRPr="0014596A">
              <w:rPr>
                <w:rFonts w:ascii="Calibri" w:eastAsia="Calibri" w:hAnsi="Calibri" w:cs="Calibri"/>
                <w:u w:val="single"/>
              </w:rPr>
              <w:t xml:space="preserve"> of </w:t>
            </w:r>
            <w:r>
              <w:rPr>
                <w:rFonts w:ascii="Calibri" w:eastAsia="Calibri" w:hAnsi="Calibri" w:cs="Calibri"/>
                <w:u w:val="single"/>
              </w:rPr>
              <w:t xml:space="preserve">radio </w:t>
            </w:r>
            <w:r w:rsidRPr="0014596A">
              <w:rPr>
                <w:rFonts w:ascii="Calibri" w:eastAsia="Calibri" w:hAnsi="Calibri" w:cs="Calibri"/>
                <w:u w:val="single"/>
              </w:rPr>
              <w:t>broadcast</w:t>
            </w:r>
            <w:r>
              <w:rPr>
                <w:rFonts w:ascii="Calibri" w:eastAsia="Calibri" w:hAnsi="Calibri" w:cs="Calibri"/>
                <w:u w:val="single"/>
              </w:rPr>
              <w:t>ing service</w:t>
            </w:r>
            <w:r w:rsidRPr="0014596A">
              <w:rPr>
                <w:rFonts w:ascii="Calibri" w:eastAsia="Calibri" w:hAnsi="Calibri" w:cs="Calibri"/>
                <w:u w:val="single"/>
              </w:rPr>
              <w:t>s</w:t>
            </w:r>
            <w:r>
              <w:rPr>
                <w:rFonts w:ascii="Calibri" w:eastAsia="Calibri" w:hAnsi="Calibri" w:cs="Calibri"/>
              </w:rPr>
              <w:t xml:space="preserve"> – the framework would apply to the </w:t>
            </w:r>
            <w:r w:rsidRPr="004B38B7">
              <w:rPr>
                <w:b/>
              </w:rPr>
              <w:t>online simulcasts of the broadcasting services</w:t>
            </w:r>
            <w:r w:rsidRPr="00CA6694">
              <w:t xml:space="preserve"> provide</w:t>
            </w:r>
            <w:r>
              <w:t>d</w:t>
            </w:r>
            <w:r w:rsidRPr="00CA6694">
              <w:t xml:space="preserve"> by </w:t>
            </w:r>
            <w:r>
              <w:t>mainstream Australian radio broadcasters.</w:t>
            </w:r>
          </w:p>
        </w:tc>
        <w:tc>
          <w:tcPr>
            <w:tcW w:w="3752" w:type="dxa"/>
          </w:tcPr>
          <w:p w14:paraId="0468C7AE" w14:textId="0B29B51D" w:rsidR="006D02E6" w:rsidRDefault="009B064D" w:rsidP="00F06648">
            <w:pPr>
              <w:cnfStyle w:val="000000000000" w:firstRow="0" w:lastRow="0" w:firstColumn="0" w:lastColumn="0" w:oddVBand="0" w:evenVBand="0" w:oddHBand="0" w:evenHBand="0" w:firstRowFirstColumn="0" w:firstRowLastColumn="0" w:lastRowFirstColumn="0" w:lastRowLastColumn="0"/>
            </w:pPr>
            <w:r w:rsidRPr="009B064D">
              <w:rPr>
                <w:rFonts w:ascii="Calibri" w:eastAsia="Calibri" w:hAnsi="Calibri" w:cs="Calibri"/>
              </w:rPr>
              <w:t>As per Option 2a</w:t>
            </w:r>
            <w:r w:rsidRPr="00444398">
              <w:rPr>
                <w:rFonts w:ascii="Calibri" w:eastAsia="Calibri" w:hAnsi="Calibri" w:cs="Calibri"/>
              </w:rPr>
              <w:t>.</w:t>
            </w:r>
          </w:p>
        </w:tc>
      </w:tr>
      <w:tr w:rsidR="006D02E6" w14:paraId="1E86DF86" w14:textId="77777777" w:rsidTr="006D02E6">
        <w:trPr>
          <w:cnfStyle w:val="000000010000" w:firstRow="0" w:lastRow="0" w:firstColumn="0" w:lastColumn="0" w:oddVBand="0" w:evenVBand="0" w:oddHBand="0" w:evenHBand="1"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2420" w:type="dxa"/>
          </w:tcPr>
          <w:p w14:paraId="5BD0C56C" w14:textId="77777777" w:rsidR="006D02E6" w:rsidRDefault="006D02E6" w:rsidP="00F06648">
            <w:r>
              <w:t>6. Regulated entity – regulated access providers</w:t>
            </w:r>
          </w:p>
        </w:tc>
        <w:tc>
          <w:tcPr>
            <w:tcW w:w="3751" w:type="dxa"/>
          </w:tcPr>
          <w:p w14:paraId="73329DAB" w14:textId="77777777" w:rsidR="006D02E6" w:rsidRDefault="006D02E6" w:rsidP="00F06648">
            <w:pPr>
              <w:cnfStyle w:val="000000010000" w:firstRow="0" w:lastRow="0" w:firstColumn="0" w:lastColumn="0" w:oddVBand="0" w:evenVBand="0" w:oddHBand="0" w:evenHBand="1" w:firstRowFirstColumn="0" w:firstRowLastColumn="0" w:lastRowFirstColumn="0" w:lastRowLastColumn="0"/>
            </w:pPr>
            <w:r w:rsidRPr="00F20CA8">
              <w:rPr>
                <w:rFonts w:ascii="Calibri" w:eastAsia="Calibri" w:hAnsi="Calibri" w:cs="Calibri"/>
                <w:u w:val="single"/>
              </w:rPr>
              <w:t>Voice assistant platforms</w:t>
            </w:r>
            <w:r>
              <w:rPr>
                <w:rFonts w:ascii="Calibri" w:eastAsia="Calibri" w:hAnsi="Calibri" w:cs="Calibri"/>
              </w:rPr>
              <w:t xml:space="preserve"> – t</w:t>
            </w:r>
            <w:r>
              <w:rPr>
                <w:lang w:val="en-US"/>
              </w:rPr>
              <w:t xml:space="preserve">he prominence obligations would apply to the providers of voice activation software </w:t>
            </w:r>
            <w:r w:rsidRPr="00E27F7D">
              <w:rPr>
                <w:b/>
                <w:lang w:val="en-US"/>
              </w:rPr>
              <w:t>used in smart speakers</w:t>
            </w:r>
            <w:r>
              <w:rPr>
                <w:lang w:val="en-US"/>
              </w:rPr>
              <w:t>.</w:t>
            </w:r>
          </w:p>
        </w:tc>
        <w:tc>
          <w:tcPr>
            <w:tcW w:w="3752" w:type="dxa"/>
          </w:tcPr>
          <w:p w14:paraId="77D7965D" w14:textId="6ADFAC71" w:rsidR="006D02E6" w:rsidRDefault="009B064D" w:rsidP="00F06648">
            <w:pPr>
              <w:cnfStyle w:val="000000010000" w:firstRow="0" w:lastRow="0" w:firstColumn="0" w:lastColumn="0" w:oddVBand="0" w:evenVBand="0" w:oddHBand="0" w:evenHBand="1" w:firstRowFirstColumn="0" w:firstRowLastColumn="0" w:lastRowFirstColumn="0" w:lastRowLastColumn="0"/>
            </w:pPr>
            <w:r w:rsidRPr="009B064D">
              <w:rPr>
                <w:rFonts w:ascii="Calibri" w:eastAsia="Calibri" w:hAnsi="Calibri" w:cs="Calibri"/>
              </w:rPr>
              <w:t>As per Option 2a</w:t>
            </w:r>
            <w:r w:rsidRPr="00444398">
              <w:rPr>
                <w:rFonts w:ascii="Calibri" w:eastAsia="Calibri" w:hAnsi="Calibri" w:cs="Calibri"/>
              </w:rPr>
              <w:t>.</w:t>
            </w:r>
          </w:p>
        </w:tc>
      </w:tr>
      <w:tr w:rsidR="006D02E6" w14:paraId="40738BE3" w14:textId="77777777" w:rsidTr="006D02E6">
        <w:trPr>
          <w:trHeight w:val="391"/>
        </w:trPr>
        <w:tc>
          <w:tcPr>
            <w:cnfStyle w:val="001000000000" w:firstRow="0" w:lastRow="0" w:firstColumn="1" w:lastColumn="0" w:oddVBand="0" w:evenVBand="0" w:oddHBand="0" w:evenHBand="0" w:firstRowFirstColumn="0" w:firstRowLastColumn="0" w:lastRowFirstColumn="0" w:lastRowLastColumn="0"/>
            <w:tcW w:w="2420" w:type="dxa"/>
          </w:tcPr>
          <w:p w14:paraId="3739D293" w14:textId="77777777" w:rsidR="006D02E6" w:rsidRDefault="006D02E6" w:rsidP="00F06648">
            <w:r>
              <w:t>7. Access pathway</w:t>
            </w:r>
          </w:p>
        </w:tc>
        <w:tc>
          <w:tcPr>
            <w:tcW w:w="3751" w:type="dxa"/>
          </w:tcPr>
          <w:p w14:paraId="40502266" w14:textId="77777777" w:rsidR="006D02E6" w:rsidRDefault="006D02E6" w:rsidP="00F06648">
            <w:pPr>
              <w:cnfStyle w:val="000000000000" w:firstRow="0" w:lastRow="0" w:firstColumn="0" w:lastColumn="0" w:oddVBand="0" w:evenVBand="0" w:oddHBand="0" w:evenHBand="0" w:firstRowFirstColumn="0" w:firstRowLastColumn="0" w:lastRowFirstColumn="0" w:lastRowLastColumn="0"/>
            </w:pPr>
            <w:r w:rsidRPr="0014596A">
              <w:rPr>
                <w:rFonts w:ascii="Calibri" w:eastAsia="Calibri" w:hAnsi="Calibri" w:cs="Calibri"/>
                <w:u w:val="single"/>
              </w:rPr>
              <w:t>Open access pathway</w:t>
            </w:r>
            <w:r>
              <w:rPr>
                <w:rFonts w:ascii="Calibri" w:eastAsia="Calibri" w:hAnsi="Calibri" w:cs="Calibri"/>
              </w:rPr>
              <w:t xml:space="preserve"> – a regulated access provider would be able to </w:t>
            </w:r>
            <w:r w:rsidRPr="00D62595">
              <w:rPr>
                <w:lang w:val="en-US"/>
              </w:rPr>
              <w:t xml:space="preserve">determine </w:t>
            </w:r>
            <w:r>
              <w:rPr>
                <w:lang w:val="en-US"/>
              </w:rPr>
              <w:t>the source or pathway for users to access a regulated radio service, unless the user requests a particular source.</w:t>
            </w:r>
          </w:p>
        </w:tc>
        <w:tc>
          <w:tcPr>
            <w:tcW w:w="3752" w:type="dxa"/>
          </w:tcPr>
          <w:p w14:paraId="5D448A74" w14:textId="4D2857E8" w:rsidR="006D02E6" w:rsidRDefault="006D02E6" w:rsidP="00F06648">
            <w:pP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u w:val="single"/>
              </w:rPr>
              <w:t>Defined</w:t>
            </w:r>
            <w:r w:rsidRPr="0014596A">
              <w:rPr>
                <w:rFonts w:ascii="Calibri" w:eastAsia="Calibri" w:hAnsi="Calibri" w:cs="Calibri"/>
                <w:u w:val="single"/>
              </w:rPr>
              <w:t xml:space="preserve"> access pathway</w:t>
            </w:r>
            <w:r w:rsidR="00637865">
              <w:rPr>
                <w:rFonts w:ascii="Calibri" w:eastAsia="Calibri" w:hAnsi="Calibri" w:cs="Calibri"/>
              </w:rPr>
              <w:t xml:space="preserve"> </w:t>
            </w:r>
            <w:r>
              <w:rPr>
                <w:rFonts w:ascii="Calibri" w:eastAsia="Calibri" w:hAnsi="Calibri" w:cs="Calibri"/>
              </w:rPr>
              <w:t xml:space="preserve">– a regulated access provider would be required to use </w:t>
            </w:r>
            <w:r w:rsidRPr="00644A83">
              <w:rPr>
                <w:rFonts w:ascii="Calibri" w:eastAsia="Calibri" w:hAnsi="Calibri" w:cs="Calibri"/>
                <w:b/>
              </w:rPr>
              <w:t>the</w:t>
            </w:r>
            <w:r w:rsidRPr="00644A83">
              <w:rPr>
                <w:b/>
                <w:lang w:val="en-US"/>
              </w:rPr>
              <w:t xml:space="preserve"> source or pathway </w:t>
            </w:r>
            <w:r>
              <w:rPr>
                <w:b/>
                <w:lang w:val="en-US"/>
              </w:rPr>
              <w:t xml:space="preserve">nominated by the </w:t>
            </w:r>
            <w:r w:rsidRPr="00644A83">
              <w:rPr>
                <w:b/>
                <w:lang w:val="en-US"/>
              </w:rPr>
              <w:t>regulated radio service</w:t>
            </w:r>
            <w:r>
              <w:rPr>
                <w:lang w:val="en-US"/>
              </w:rPr>
              <w:t xml:space="preserve"> to respond to the user request, unless the user requests a particular source, or there is no designated access pathway.</w:t>
            </w:r>
          </w:p>
        </w:tc>
      </w:tr>
      <w:tr w:rsidR="006D02E6" w14:paraId="54AE5A46" w14:textId="77777777" w:rsidTr="009D127B">
        <w:trPr>
          <w:cnfStyle w:val="010000000000" w:firstRow="0" w:lastRow="1" w:firstColumn="0" w:lastColumn="0" w:oddVBand="0" w:evenVBand="0" w:oddHBand="0"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0" w:type="dxa"/>
            <w:shd w:val="clear" w:color="auto" w:fill="F2F2F2" w:themeFill="background1" w:themeFillShade="F2"/>
          </w:tcPr>
          <w:p w14:paraId="2BCA48C6" w14:textId="77777777" w:rsidR="006D02E6" w:rsidRDefault="006D02E6" w:rsidP="00F06648">
            <w:r>
              <w:t>8. Minimum technical standards</w:t>
            </w:r>
          </w:p>
        </w:tc>
        <w:tc>
          <w:tcPr>
            <w:tcW w:w="0" w:type="dxa"/>
            <w:shd w:val="clear" w:color="auto" w:fill="F2F2F2" w:themeFill="background1" w:themeFillShade="F2"/>
          </w:tcPr>
          <w:p w14:paraId="0A56AE72" w14:textId="77777777" w:rsidR="006D02E6" w:rsidRPr="006D02E6" w:rsidRDefault="006D02E6" w:rsidP="00F06648">
            <w:pPr>
              <w:cnfStyle w:val="010000000000" w:firstRow="0" w:lastRow="1" w:firstColumn="0" w:lastColumn="0" w:oddVBand="0" w:evenVBand="0" w:oddHBand="0" w:evenHBand="0" w:firstRowFirstColumn="0" w:firstRowLastColumn="0" w:lastRowFirstColumn="0" w:lastRowLastColumn="0"/>
              <w:rPr>
                <w:b w:val="0"/>
              </w:rPr>
            </w:pPr>
            <w:r w:rsidRPr="006D02E6">
              <w:rPr>
                <w:rFonts w:ascii="Calibri" w:eastAsia="Calibri" w:hAnsi="Calibri" w:cs="Calibri"/>
                <w:b w:val="0"/>
                <w:u w:val="single"/>
              </w:rPr>
              <w:t>Negotiated standards</w:t>
            </w:r>
            <w:r w:rsidRPr="006D02E6">
              <w:rPr>
                <w:rFonts w:ascii="Calibri" w:eastAsia="Calibri" w:hAnsi="Calibri" w:cs="Calibri"/>
                <w:b w:val="0"/>
              </w:rPr>
              <w:t xml:space="preserve"> – the framework </w:t>
            </w:r>
            <w:r w:rsidRPr="006D02E6">
              <w:rPr>
                <w:b w:val="0"/>
              </w:rPr>
              <w:t>would enable the relevant parties to determine any technical standards for the integration of regulated radio services and voice assistant platforms, with the ACMA to have the capacity to determine ‘offer’ requirements, should this prove to be necessary.</w:t>
            </w:r>
          </w:p>
        </w:tc>
        <w:tc>
          <w:tcPr>
            <w:tcW w:w="0" w:type="dxa"/>
            <w:shd w:val="clear" w:color="auto" w:fill="F2F2F2" w:themeFill="background1" w:themeFillShade="F2"/>
          </w:tcPr>
          <w:p w14:paraId="3A6F0F13" w14:textId="23C2FBB3" w:rsidR="006D02E6" w:rsidRPr="00444398" w:rsidRDefault="00637865" w:rsidP="00F06648">
            <w:pPr>
              <w:cnfStyle w:val="010000000000" w:firstRow="0" w:lastRow="1" w:firstColumn="0" w:lastColumn="0" w:oddVBand="0" w:evenVBand="0" w:oddHBand="0" w:evenHBand="0" w:firstRowFirstColumn="0" w:firstRowLastColumn="0" w:lastRowFirstColumn="0" w:lastRowLastColumn="0"/>
              <w:rPr>
                <w:b w:val="0"/>
              </w:rPr>
            </w:pPr>
            <w:r w:rsidRPr="00444398">
              <w:rPr>
                <w:rFonts w:ascii="Calibri" w:eastAsia="Calibri" w:hAnsi="Calibri" w:cs="Calibri"/>
                <w:b w:val="0"/>
              </w:rPr>
              <w:t>As per Option 2a</w:t>
            </w:r>
            <w:r w:rsidR="006D02E6" w:rsidRPr="00444398">
              <w:rPr>
                <w:b w:val="0"/>
              </w:rPr>
              <w:t>.</w:t>
            </w:r>
          </w:p>
        </w:tc>
      </w:tr>
    </w:tbl>
    <w:p w14:paraId="4C40BB38" w14:textId="69BC3829" w:rsidR="003950A2" w:rsidRPr="006D4287" w:rsidRDefault="003950A2" w:rsidP="003950A2">
      <w:pPr>
        <w:pStyle w:val="Heading3Numbered"/>
      </w:pPr>
      <w:bookmarkStart w:id="76" w:name="_Toc216959423"/>
      <w:bookmarkStart w:id="77" w:name="_Toc173333745"/>
      <w:bookmarkStart w:id="78" w:name="_Toc236825155"/>
      <w:bookmarkEnd w:id="76"/>
      <w:r w:rsidRPr="006D4287">
        <w:t>Option 2</w:t>
      </w:r>
      <w:r>
        <w:t>a</w:t>
      </w:r>
      <w:r w:rsidRPr="006D4287">
        <w:t xml:space="preserve">: </w:t>
      </w:r>
      <w:bookmarkEnd w:id="77"/>
      <w:r w:rsidR="00680BE3">
        <w:t>Defined terms model</w:t>
      </w:r>
      <w:bookmarkEnd w:id="78"/>
    </w:p>
    <w:p w14:paraId="67FB1939" w14:textId="42FD9BB3" w:rsidR="00AC745B" w:rsidRDefault="0068653F" w:rsidP="00101A53">
      <w:pPr>
        <w:pStyle w:val="Bullet3"/>
        <w:numPr>
          <w:ilvl w:val="0"/>
          <w:numId w:val="0"/>
        </w:numPr>
        <w:rPr>
          <w:lang w:val="en-US"/>
        </w:rPr>
      </w:pPr>
      <w:r>
        <w:rPr>
          <w:lang w:val="en-US"/>
        </w:rPr>
        <w:t xml:space="preserve">This </w:t>
      </w:r>
      <w:r w:rsidR="00EE2EA7">
        <w:rPr>
          <w:lang w:val="en-US"/>
        </w:rPr>
        <w:t>model</w:t>
      </w:r>
      <w:r w:rsidR="0022281F">
        <w:rPr>
          <w:lang w:val="en-US"/>
        </w:rPr>
        <w:t xml:space="preserve"> </w:t>
      </w:r>
      <w:r w:rsidR="00971756">
        <w:rPr>
          <w:lang w:val="en-US"/>
        </w:rPr>
        <w:t xml:space="preserve">– as </w:t>
      </w:r>
      <w:r>
        <w:rPr>
          <w:lang w:val="en-US"/>
        </w:rPr>
        <w:t xml:space="preserve">described in </w:t>
      </w:r>
      <w:r w:rsidR="007B1673">
        <w:rPr>
          <w:lang w:val="en-US"/>
        </w:rPr>
        <w:t xml:space="preserve">Table </w:t>
      </w:r>
      <w:r w:rsidR="00D67FB8">
        <w:rPr>
          <w:lang w:val="en-US"/>
        </w:rPr>
        <w:t>3</w:t>
      </w:r>
      <w:r w:rsidR="00971756">
        <w:rPr>
          <w:lang w:val="en-US"/>
        </w:rPr>
        <w:t xml:space="preserve">, </w:t>
      </w:r>
      <w:r w:rsidR="007B1673">
        <w:rPr>
          <w:lang w:val="en-US"/>
        </w:rPr>
        <w:t>column 2</w:t>
      </w:r>
      <w:r w:rsidR="00971756">
        <w:rPr>
          <w:lang w:val="en-US"/>
        </w:rPr>
        <w:t xml:space="preserve"> </w:t>
      </w:r>
      <w:r w:rsidR="005246BF">
        <w:rPr>
          <w:lang w:val="en-US"/>
        </w:rPr>
        <w:t>– is</w:t>
      </w:r>
      <w:r w:rsidR="007B1673">
        <w:rPr>
          <w:lang w:val="en-US"/>
        </w:rPr>
        <w:t xml:space="preserve"> </w:t>
      </w:r>
      <w:r w:rsidR="00971756">
        <w:rPr>
          <w:lang w:val="en-US"/>
        </w:rPr>
        <w:t xml:space="preserve">the same </w:t>
      </w:r>
      <w:r w:rsidR="006826E8">
        <w:rPr>
          <w:lang w:val="en-US"/>
        </w:rPr>
        <w:t xml:space="preserve">as that </w:t>
      </w:r>
      <w:r w:rsidR="00971756">
        <w:rPr>
          <w:lang w:val="en-US"/>
        </w:rPr>
        <w:t xml:space="preserve">outlined in the </w:t>
      </w:r>
      <w:r w:rsidR="00697FF0" w:rsidRPr="00697FF0">
        <w:rPr>
          <w:i/>
          <w:lang w:val="en-US"/>
        </w:rPr>
        <w:t xml:space="preserve">Radio prominence on smart </w:t>
      </w:r>
      <w:proofErr w:type="gramStart"/>
      <w:r w:rsidR="00697FF0" w:rsidRPr="00697FF0">
        <w:rPr>
          <w:i/>
          <w:lang w:val="en-US"/>
        </w:rPr>
        <w:t>speakers</w:t>
      </w:r>
      <w:proofErr w:type="gramEnd"/>
      <w:r w:rsidR="00697FF0">
        <w:rPr>
          <w:lang w:val="en-US"/>
        </w:rPr>
        <w:t xml:space="preserve"> proposals paper</w:t>
      </w:r>
      <w:r w:rsidR="00990834">
        <w:rPr>
          <w:lang w:val="en-US"/>
        </w:rPr>
        <w:t xml:space="preserve">. It would </w:t>
      </w:r>
      <w:r w:rsidR="00971756">
        <w:rPr>
          <w:lang w:val="en-US"/>
        </w:rPr>
        <w:t xml:space="preserve">establish </w:t>
      </w:r>
      <w:r w:rsidR="00990834">
        <w:rPr>
          <w:lang w:val="en-US"/>
        </w:rPr>
        <w:t>an</w:t>
      </w:r>
      <w:r w:rsidR="00971756">
        <w:rPr>
          <w:lang w:val="en-US"/>
        </w:rPr>
        <w:t xml:space="preserve"> </w:t>
      </w:r>
      <w:r w:rsidR="00990834">
        <w:rPr>
          <w:lang w:val="en-US"/>
        </w:rPr>
        <w:t>‘</w:t>
      </w:r>
      <w:r w:rsidR="002C157B">
        <w:rPr>
          <w:lang w:val="en-US"/>
        </w:rPr>
        <w:t>accurate surfacing</w:t>
      </w:r>
      <w:r w:rsidR="00990834">
        <w:rPr>
          <w:lang w:val="en-US"/>
        </w:rPr>
        <w:t>’</w:t>
      </w:r>
      <w:r w:rsidR="002C157B">
        <w:rPr>
          <w:lang w:val="en-US"/>
        </w:rPr>
        <w:t xml:space="preserve"> framework for Australia radio services on smart speakers</w:t>
      </w:r>
      <w:r w:rsidR="00990834">
        <w:rPr>
          <w:lang w:val="en-US"/>
        </w:rPr>
        <w:t>,</w:t>
      </w:r>
      <w:r w:rsidR="002C157B">
        <w:rPr>
          <w:lang w:val="en-US"/>
        </w:rPr>
        <w:t xml:space="preserve"> at no cost to </w:t>
      </w:r>
      <w:r w:rsidR="008A4C73">
        <w:rPr>
          <w:lang w:val="en-US"/>
        </w:rPr>
        <w:t>a</w:t>
      </w:r>
      <w:r w:rsidR="002C157B">
        <w:rPr>
          <w:lang w:val="en-US"/>
        </w:rPr>
        <w:t xml:space="preserve"> broadcaster</w:t>
      </w:r>
      <w:r w:rsidR="006826E8">
        <w:rPr>
          <w:lang w:val="en-US"/>
        </w:rPr>
        <w:t xml:space="preserve"> and without the capacity to alter the content of a regulated radio service. </w:t>
      </w:r>
    </w:p>
    <w:p w14:paraId="6A5B217E" w14:textId="2D366EB5" w:rsidR="003950A2" w:rsidRDefault="00AC745B" w:rsidP="00101A53">
      <w:pPr>
        <w:pStyle w:val="Bullet3"/>
        <w:numPr>
          <w:ilvl w:val="0"/>
          <w:numId w:val="0"/>
        </w:numPr>
        <w:rPr>
          <w:lang w:val="en-US"/>
        </w:rPr>
      </w:pPr>
      <w:r>
        <w:rPr>
          <w:rFonts w:asciiTheme="majorHAnsi" w:eastAsia="Times New Roman" w:hAnsiTheme="majorHAnsi" w:cstheme="majorHAnsi"/>
          <w:lang w:eastAsia="en-AU"/>
        </w:rPr>
        <w:lastRenderedPageBreak/>
        <w:t>Th</w:t>
      </w:r>
      <w:r w:rsidR="006826E8">
        <w:rPr>
          <w:rFonts w:asciiTheme="majorHAnsi" w:eastAsia="Times New Roman" w:hAnsiTheme="majorHAnsi" w:cstheme="majorHAnsi"/>
          <w:lang w:eastAsia="en-AU"/>
        </w:rPr>
        <w:t xml:space="preserve">is </w:t>
      </w:r>
      <w:r>
        <w:rPr>
          <w:rFonts w:asciiTheme="majorHAnsi" w:eastAsia="Times New Roman" w:hAnsiTheme="majorHAnsi" w:cstheme="majorHAnsi"/>
          <w:lang w:val="en-US" w:eastAsia="en-AU"/>
        </w:rPr>
        <w:t xml:space="preserve">model </w:t>
      </w:r>
      <w:r w:rsidR="00990834">
        <w:rPr>
          <w:rFonts w:asciiTheme="majorHAnsi" w:eastAsia="Times New Roman" w:hAnsiTheme="majorHAnsi" w:cstheme="majorHAnsi"/>
          <w:lang w:val="en-US" w:eastAsia="en-AU"/>
        </w:rPr>
        <w:t>would place t</w:t>
      </w:r>
      <w:r>
        <w:rPr>
          <w:rFonts w:asciiTheme="majorHAnsi" w:eastAsia="Times New Roman" w:hAnsiTheme="majorHAnsi" w:cstheme="majorHAnsi"/>
          <w:lang w:val="en-US" w:eastAsia="en-AU"/>
        </w:rPr>
        <w:t>he obligation for compliance on ‘</w:t>
      </w:r>
      <w:r>
        <w:rPr>
          <w:rFonts w:asciiTheme="majorHAnsi" w:eastAsia="Times New Roman" w:hAnsiTheme="majorHAnsi" w:cstheme="majorHAnsi"/>
          <w:lang w:eastAsia="en-AU"/>
        </w:rPr>
        <w:t>regulated access providers</w:t>
      </w:r>
      <w:r>
        <w:rPr>
          <w:rFonts w:asciiTheme="majorHAnsi" w:eastAsia="Times New Roman" w:hAnsiTheme="majorHAnsi" w:cstheme="majorHAnsi"/>
          <w:lang w:val="en-US" w:eastAsia="en-AU"/>
        </w:rPr>
        <w:t>’</w:t>
      </w:r>
      <w:r w:rsidR="00990834">
        <w:rPr>
          <w:rFonts w:asciiTheme="majorHAnsi" w:eastAsia="Times New Roman" w:hAnsiTheme="majorHAnsi" w:cstheme="majorHAnsi"/>
          <w:lang w:eastAsia="en-AU"/>
        </w:rPr>
        <w:t xml:space="preserve"> – the </w:t>
      </w:r>
      <w:r>
        <w:rPr>
          <w:rFonts w:asciiTheme="majorHAnsi" w:eastAsia="Times New Roman" w:hAnsiTheme="majorHAnsi" w:cstheme="majorHAnsi"/>
          <w:lang w:val="en-US" w:eastAsia="en-AU"/>
        </w:rPr>
        <w:t>provider</w:t>
      </w:r>
      <w:r w:rsidR="00990834">
        <w:rPr>
          <w:rFonts w:asciiTheme="majorHAnsi" w:eastAsia="Times New Roman" w:hAnsiTheme="majorHAnsi" w:cstheme="majorHAnsi"/>
          <w:lang w:val="en-US" w:eastAsia="en-AU"/>
        </w:rPr>
        <w:t>s</w:t>
      </w:r>
      <w:r>
        <w:rPr>
          <w:rFonts w:asciiTheme="majorHAnsi" w:eastAsia="Times New Roman" w:hAnsiTheme="majorHAnsi" w:cstheme="majorHAnsi"/>
          <w:lang w:val="en-US" w:eastAsia="en-AU"/>
        </w:rPr>
        <w:t xml:space="preserve"> of the </w:t>
      </w:r>
      <w:r w:rsidR="00990834">
        <w:rPr>
          <w:rFonts w:asciiTheme="majorHAnsi" w:eastAsia="Times New Roman" w:hAnsiTheme="majorHAnsi" w:cstheme="majorHAnsi"/>
          <w:lang w:eastAsia="en-AU"/>
        </w:rPr>
        <w:t xml:space="preserve">voice activation software through </w:t>
      </w:r>
      <w:r>
        <w:rPr>
          <w:rFonts w:asciiTheme="majorHAnsi" w:eastAsia="Times New Roman" w:hAnsiTheme="majorHAnsi" w:cstheme="majorHAnsi"/>
          <w:lang w:eastAsia="en-AU"/>
        </w:rPr>
        <w:t>which a user’s command is facilitated</w:t>
      </w:r>
      <w:r w:rsidR="00990834">
        <w:rPr>
          <w:rFonts w:asciiTheme="majorHAnsi" w:eastAsia="Times New Roman" w:hAnsiTheme="majorHAnsi" w:cstheme="majorHAnsi"/>
          <w:lang w:val="en-US" w:eastAsia="en-AU"/>
        </w:rPr>
        <w:t xml:space="preserve"> – </w:t>
      </w:r>
      <w:r>
        <w:rPr>
          <w:rFonts w:asciiTheme="majorHAnsi" w:eastAsia="Times New Roman" w:hAnsiTheme="majorHAnsi" w:cstheme="majorHAnsi"/>
          <w:lang w:val="en-US" w:eastAsia="en-AU"/>
        </w:rPr>
        <w:t>rather than the manufacturer</w:t>
      </w:r>
      <w:r w:rsidR="006826E8">
        <w:rPr>
          <w:rFonts w:asciiTheme="majorHAnsi" w:eastAsia="Times New Roman" w:hAnsiTheme="majorHAnsi" w:cstheme="majorHAnsi"/>
          <w:lang w:val="en-US" w:eastAsia="en-AU"/>
        </w:rPr>
        <w:t>s</w:t>
      </w:r>
      <w:r>
        <w:rPr>
          <w:rFonts w:asciiTheme="majorHAnsi" w:eastAsia="Times New Roman" w:hAnsiTheme="majorHAnsi" w:cstheme="majorHAnsi"/>
          <w:lang w:val="en-US" w:eastAsia="en-AU"/>
        </w:rPr>
        <w:t xml:space="preserve"> of smart speaker</w:t>
      </w:r>
      <w:r w:rsidR="008A4C73">
        <w:rPr>
          <w:rFonts w:asciiTheme="majorHAnsi" w:eastAsia="Times New Roman" w:hAnsiTheme="majorHAnsi" w:cstheme="majorHAnsi"/>
          <w:lang w:val="en-US" w:eastAsia="en-AU"/>
        </w:rPr>
        <w:t>s</w:t>
      </w:r>
      <w:r>
        <w:rPr>
          <w:rFonts w:asciiTheme="majorHAnsi" w:eastAsia="Times New Roman" w:hAnsiTheme="majorHAnsi" w:cstheme="majorHAnsi"/>
          <w:lang w:val="en-US" w:eastAsia="en-AU"/>
        </w:rPr>
        <w:t>, noting that in some instances it will be the same entity</w:t>
      </w:r>
      <w:r>
        <w:rPr>
          <w:rFonts w:asciiTheme="majorHAnsi" w:eastAsia="Times New Roman" w:hAnsiTheme="majorHAnsi" w:cstheme="majorHAnsi"/>
          <w:lang w:eastAsia="en-AU"/>
        </w:rPr>
        <w:t>.</w:t>
      </w:r>
      <w:r>
        <w:rPr>
          <w:rFonts w:asciiTheme="majorHAnsi" w:eastAsia="Times New Roman" w:hAnsiTheme="majorHAnsi" w:cstheme="majorHAnsi"/>
          <w:lang w:val="en-US" w:eastAsia="en-AU"/>
        </w:rPr>
        <w:t xml:space="preserve"> </w:t>
      </w:r>
      <w:r w:rsidR="00990834">
        <w:rPr>
          <w:lang w:val="en-US"/>
        </w:rPr>
        <w:t>R</w:t>
      </w:r>
      <w:r w:rsidR="002C157B">
        <w:rPr>
          <w:lang w:val="en-US"/>
        </w:rPr>
        <w:t xml:space="preserve">egulated radio services </w:t>
      </w:r>
      <w:r w:rsidR="00990834">
        <w:rPr>
          <w:lang w:val="en-US"/>
        </w:rPr>
        <w:t>would be the</w:t>
      </w:r>
      <w:r w:rsidR="002C157B">
        <w:rPr>
          <w:lang w:val="en-US"/>
        </w:rPr>
        <w:t xml:space="preserve"> online simulcasts of </w:t>
      </w:r>
      <w:r w:rsidR="00990834">
        <w:rPr>
          <w:lang w:val="en-US"/>
        </w:rPr>
        <w:t xml:space="preserve">radio </w:t>
      </w:r>
      <w:r w:rsidR="002C157B">
        <w:rPr>
          <w:lang w:val="en-US"/>
        </w:rPr>
        <w:t xml:space="preserve">broadcasting services, and the pathway that the regulated access provider uses to surface the requested radio station </w:t>
      </w:r>
      <w:r w:rsidR="00990834">
        <w:rPr>
          <w:lang w:val="en-US"/>
        </w:rPr>
        <w:t xml:space="preserve">would be </w:t>
      </w:r>
      <w:r w:rsidR="002C157B">
        <w:rPr>
          <w:lang w:val="en-US"/>
        </w:rPr>
        <w:t>left to</w:t>
      </w:r>
      <w:r w:rsidR="00990834">
        <w:rPr>
          <w:lang w:val="en-US"/>
        </w:rPr>
        <w:t xml:space="preserve"> regulated access providers. </w:t>
      </w:r>
      <w:r w:rsidR="002C157B">
        <w:rPr>
          <w:lang w:val="en-US"/>
        </w:rPr>
        <w:t xml:space="preserve"> </w:t>
      </w:r>
    </w:p>
    <w:p w14:paraId="4520C9EC" w14:textId="2F4BC880" w:rsidR="003950A2" w:rsidRPr="006D4287" w:rsidRDefault="003950A2" w:rsidP="003950A2">
      <w:pPr>
        <w:pStyle w:val="Heading3Numbered"/>
      </w:pPr>
      <w:bookmarkStart w:id="79" w:name="_Toc173333746"/>
      <w:bookmarkStart w:id="80" w:name="_Toc236825156"/>
      <w:r w:rsidRPr="006D4287">
        <w:t xml:space="preserve">Option </w:t>
      </w:r>
      <w:r>
        <w:t>2b</w:t>
      </w:r>
      <w:r w:rsidRPr="006D4287">
        <w:t xml:space="preserve">: </w:t>
      </w:r>
      <w:bookmarkEnd w:id="79"/>
      <w:r w:rsidR="00637865">
        <w:t>Negotiated</w:t>
      </w:r>
      <w:r w:rsidR="00680BE3">
        <w:t xml:space="preserve"> terms model</w:t>
      </w:r>
      <w:bookmarkEnd w:id="80"/>
    </w:p>
    <w:p w14:paraId="2FC2ED6B" w14:textId="6525DF5C" w:rsidR="007C56B5" w:rsidRDefault="005536EB" w:rsidP="003950A2">
      <w:pPr>
        <w:rPr>
          <w:lang w:val="en-US"/>
        </w:rPr>
      </w:pPr>
      <w:r>
        <w:rPr>
          <w:lang w:val="en-US"/>
        </w:rPr>
        <w:t xml:space="preserve">This </w:t>
      </w:r>
      <w:r w:rsidR="00FC3FC0">
        <w:rPr>
          <w:lang w:val="en-US"/>
        </w:rPr>
        <w:t>model</w:t>
      </w:r>
      <w:r w:rsidR="0022281F">
        <w:rPr>
          <w:lang w:val="en-US"/>
        </w:rPr>
        <w:t xml:space="preserve"> </w:t>
      </w:r>
      <w:r w:rsidR="007C56B5">
        <w:rPr>
          <w:lang w:val="en-US"/>
        </w:rPr>
        <w:t xml:space="preserve">– as described in </w:t>
      </w:r>
      <w:r w:rsidR="00C37500">
        <w:rPr>
          <w:lang w:val="en-US"/>
        </w:rPr>
        <w:t xml:space="preserve">Table </w:t>
      </w:r>
      <w:r w:rsidR="00D67FB8">
        <w:rPr>
          <w:lang w:val="en-US"/>
        </w:rPr>
        <w:t>3</w:t>
      </w:r>
      <w:r w:rsidR="007C56B5">
        <w:rPr>
          <w:lang w:val="en-US"/>
        </w:rPr>
        <w:t>, c</w:t>
      </w:r>
      <w:r w:rsidR="00C37500">
        <w:rPr>
          <w:lang w:val="en-US"/>
        </w:rPr>
        <w:t>olumn 3</w:t>
      </w:r>
      <w:r w:rsidR="007C56B5">
        <w:rPr>
          <w:lang w:val="en-US"/>
        </w:rPr>
        <w:t xml:space="preserve"> </w:t>
      </w:r>
      <w:r w:rsidR="005246BF">
        <w:rPr>
          <w:lang w:val="en-US"/>
        </w:rPr>
        <w:t>– shares</w:t>
      </w:r>
      <w:r w:rsidR="007C56B5">
        <w:rPr>
          <w:lang w:val="en-US"/>
        </w:rPr>
        <w:t xml:space="preserve"> some of the elements of the defined terms </w:t>
      </w:r>
      <w:proofErr w:type="gramStart"/>
      <w:r w:rsidR="007C56B5">
        <w:rPr>
          <w:lang w:val="en-US"/>
        </w:rPr>
        <w:t>approach, but</w:t>
      </w:r>
      <w:proofErr w:type="gramEnd"/>
      <w:r w:rsidR="007C56B5">
        <w:rPr>
          <w:lang w:val="en-US"/>
        </w:rPr>
        <w:t xml:space="preserve"> allows for certain aspects of the framework to be </w:t>
      </w:r>
      <w:r w:rsidR="008F221E">
        <w:rPr>
          <w:lang w:val="en-US"/>
        </w:rPr>
        <w:t>settled</w:t>
      </w:r>
      <w:r w:rsidR="007C56B5">
        <w:rPr>
          <w:lang w:val="en-US"/>
        </w:rPr>
        <w:t xml:space="preserve"> by negotiation: payment (allowing for relevant parties to negotiate any payment for the provision of prominence); and service integrity (allowing for the alteration of content and services if agreed between the parties</w:t>
      </w:r>
      <w:r w:rsidR="008F221E">
        <w:rPr>
          <w:lang w:val="en-US"/>
        </w:rPr>
        <w:t>)</w:t>
      </w:r>
      <w:r w:rsidR="007C56B5">
        <w:rPr>
          <w:lang w:val="en-US"/>
        </w:rPr>
        <w:t>. This model would also allow for regulated radio service</w:t>
      </w:r>
      <w:r w:rsidR="00F439CD">
        <w:rPr>
          <w:lang w:val="en-US"/>
        </w:rPr>
        <w:t xml:space="preserve"> providers</w:t>
      </w:r>
      <w:r w:rsidR="007C56B5">
        <w:rPr>
          <w:lang w:val="en-US"/>
        </w:rPr>
        <w:t xml:space="preserve"> to determine the access pathway by which user request</w:t>
      </w:r>
      <w:r w:rsidR="00F439CD">
        <w:rPr>
          <w:lang w:val="en-US"/>
        </w:rPr>
        <w:t>s</w:t>
      </w:r>
      <w:r w:rsidR="007C56B5">
        <w:rPr>
          <w:lang w:val="en-US"/>
        </w:rPr>
        <w:t xml:space="preserve"> for radio services are surfaced. </w:t>
      </w:r>
      <w:r w:rsidR="00F439CD">
        <w:rPr>
          <w:lang w:val="en-US"/>
        </w:rPr>
        <w:t xml:space="preserve">The other elements of the defined terms model would also form part of this model (in relation to the level of prominence, regulated entities and minimum technical standards).  </w:t>
      </w:r>
    </w:p>
    <w:p w14:paraId="20C60AE0" w14:textId="7AF5D713" w:rsidR="006D4287" w:rsidRPr="0091538B" w:rsidRDefault="006D4287" w:rsidP="006D4287">
      <w:pPr>
        <w:pStyle w:val="Heading2Numbered"/>
      </w:pPr>
      <w:bookmarkStart w:id="81" w:name="_Toc236825157"/>
      <w:r w:rsidRPr="006D4287">
        <w:t xml:space="preserve">Option 3: </w:t>
      </w:r>
      <w:r w:rsidR="003950A2" w:rsidRPr="0091538B">
        <w:t>Industry incentives</w:t>
      </w:r>
      <w:r w:rsidR="00637865">
        <w:t xml:space="preserve"> and consumer education</w:t>
      </w:r>
      <w:bookmarkEnd w:id="81"/>
      <w:r w:rsidR="00637865">
        <w:t xml:space="preserve"> </w:t>
      </w:r>
    </w:p>
    <w:p w14:paraId="26BCAB84" w14:textId="075B1695" w:rsidR="00313E04" w:rsidRDefault="001F519F" w:rsidP="0072064A">
      <w:r>
        <w:t xml:space="preserve">This option </w:t>
      </w:r>
      <w:r w:rsidR="0091538B">
        <w:t xml:space="preserve">would </w:t>
      </w:r>
      <w:r>
        <w:t xml:space="preserve">take a non-regulatory approach to </w:t>
      </w:r>
      <w:r w:rsidR="00623013">
        <w:t>addressing</w:t>
      </w:r>
      <w:r w:rsidR="0091538B">
        <w:t xml:space="preserve"> </w:t>
      </w:r>
      <w:r w:rsidR="007A5BC3">
        <w:t>the risk of</w:t>
      </w:r>
      <w:r w:rsidR="0091538B">
        <w:t xml:space="preserve"> inaccurate surfacing of Australian radio services on smart speakers. </w:t>
      </w:r>
      <w:r w:rsidR="00694A7F" w:rsidRPr="00694A7F">
        <w:t xml:space="preserve">It would entail providing a subsidy to radio broadcasters to partially compensate for the cost of entering arrangements with voice assistant </w:t>
      </w:r>
      <w:r w:rsidR="00694A7F">
        <w:t>providers</w:t>
      </w:r>
      <w:r w:rsidR="007A5BC3">
        <w:t xml:space="preserve"> to ensure that radio services are surfaced in response to user requests</w:t>
      </w:r>
      <w:r w:rsidR="00694A7F" w:rsidRPr="00694A7F">
        <w:t>, coupled with an education campaign for audiences on how to improve the set-up of their smart devices to access Australian radio stations.</w:t>
      </w:r>
    </w:p>
    <w:p w14:paraId="3AA92F91" w14:textId="1E94BFD9" w:rsidR="0056166E" w:rsidRDefault="00694A7F" w:rsidP="00796325">
      <w:r>
        <w:t xml:space="preserve">The </w:t>
      </w:r>
      <w:r w:rsidR="00796325">
        <w:t xml:space="preserve">education campaign </w:t>
      </w:r>
      <w:r>
        <w:t>would</w:t>
      </w:r>
      <w:r w:rsidR="00796325">
        <w:t xml:space="preserve"> </w:t>
      </w:r>
      <w:r w:rsidR="0056166E">
        <w:t xml:space="preserve">take the form of a </w:t>
      </w:r>
      <w:r w:rsidR="00796325">
        <w:t xml:space="preserve">web resource, possibly hosted on the ACMA website, listing the suggested ways to ask for Australian radio stations by category and for each major platform, for example. Major retailers would be asked to display the website address or QR code on their smart speaker displays. </w:t>
      </w:r>
      <w:r w:rsidR="008869DC">
        <w:t>In parallel, a</w:t>
      </w:r>
      <w:r w:rsidR="00796325">
        <w:t xml:space="preserve"> radio campaign could be run </w:t>
      </w:r>
      <w:r w:rsidR="008F221E">
        <w:t>in</w:t>
      </w:r>
      <w:r w:rsidR="00796325">
        <w:t xml:space="preserve"> the lead-up and implementation period of the scheme so that listeners are aware of the framework for smart speakers and the website resource.</w:t>
      </w:r>
      <w:r w:rsidR="00BB1FB6">
        <w:t xml:space="preserve"> </w:t>
      </w:r>
    </w:p>
    <w:p w14:paraId="2882EC8B" w14:textId="5A3C1905" w:rsidR="00B43295" w:rsidRDefault="00B43295" w:rsidP="00B43295">
      <w:pPr>
        <w:rPr>
          <w:rFonts w:cs="Arial"/>
          <w:color w:val="212529"/>
          <w:shd w:val="clear" w:color="auto" w:fill="FFFFFF"/>
        </w:rPr>
      </w:pPr>
    </w:p>
    <w:p w14:paraId="02B14DE5" w14:textId="41B96072" w:rsidR="000F3DCB" w:rsidRDefault="000F3DCB" w:rsidP="0072064A">
      <w:r>
        <w:br w:type="page"/>
      </w:r>
    </w:p>
    <w:p w14:paraId="181BB777" w14:textId="6129BD7D" w:rsidR="007F6504" w:rsidRPr="00AD7703" w:rsidRDefault="007F6504" w:rsidP="007F6504">
      <w:pPr>
        <w:pStyle w:val="Heading1Numbered"/>
      </w:pPr>
      <w:bookmarkStart w:id="82" w:name="_Toc236825158"/>
      <w:r>
        <w:lastRenderedPageBreak/>
        <w:t xml:space="preserve">What is the likely net benefit of </w:t>
      </w:r>
      <w:r w:rsidR="005246BF">
        <w:t>the</w:t>
      </w:r>
      <w:r>
        <w:t xml:space="preserve"> option?</w:t>
      </w:r>
      <w:bookmarkEnd w:id="82"/>
    </w:p>
    <w:p w14:paraId="55C857CE" w14:textId="2096F9C5" w:rsidR="00B61A24" w:rsidRDefault="00074D0C" w:rsidP="007F6504">
      <w:pPr>
        <w:rPr>
          <w:lang w:val="en-US"/>
        </w:rPr>
      </w:pPr>
      <w:r>
        <w:rPr>
          <w:lang w:val="en-US"/>
        </w:rPr>
        <w:t xml:space="preserve">The options described in chapter 3 </w:t>
      </w:r>
      <w:r w:rsidR="00C73CD5">
        <w:rPr>
          <w:lang w:val="en-US"/>
        </w:rPr>
        <w:t xml:space="preserve">would have a range of impacts on industry, </w:t>
      </w:r>
      <w:r w:rsidR="00637865">
        <w:rPr>
          <w:lang w:val="en-US"/>
        </w:rPr>
        <w:t>G</w:t>
      </w:r>
      <w:r w:rsidR="00C73CD5">
        <w:rPr>
          <w:lang w:val="en-US"/>
        </w:rPr>
        <w:t xml:space="preserve">overnment and consumers. These impacts are described in this chapter. However, a </w:t>
      </w:r>
      <w:r w:rsidR="003D4198">
        <w:rPr>
          <w:lang w:val="en-US"/>
        </w:rPr>
        <w:t xml:space="preserve">comprehensive, </w:t>
      </w:r>
      <w:r w:rsidR="00C73CD5">
        <w:rPr>
          <w:lang w:val="en-US"/>
        </w:rPr>
        <w:t xml:space="preserve">quantitative estimate of each option is not </w:t>
      </w:r>
      <w:r w:rsidR="007C7511">
        <w:rPr>
          <w:lang w:val="en-US"/>
        </w:rPr>
        <w:t xml:space="preserve">feasible </w:t>
      </w:r>
      <w:r w:rsidR="00C73CD5">
        <w:rPr>
          <w:lang w:val="en-US"/>
        </w:rPr>
        <w:t xml:space="preserve">due to a lack of </w:t>
      </w:r>
      <w:r w:rsidR="007C7511">
        <w:rPr>
          <w:lang w:val="en-US"/>
        </w:rPr>
        <w:t xml:space="preserve">detailed </w:t>
      </w:r>
      <w:r w:rsidR="00637865">
        <w:rPr>
          <w:lang w:val="en-US"/>
        </w:rPr>
        <w:t>cost and revenue information</w:t>
      </w:r>
      <w:r w:rsidR="003D2A5D">
        <w:rPr>
          <w:lang w:val="en-US"/>
        </w:rPr>
        <w:t xml:space="preserve"> from radio broadcasters and the three large voice assistant software providers</w:t>
      </w:r>
      <w:r w:rsidR="00D43E78">
        <w:rPr>
          <w:lang w:val="en-US"/>
        </w:rPr>
        <w:t xml:space="preserve"> operating in Australia</w:t>
      </w:r>
      <w:r w:rsidR="00637865">
        <w:rPr>
          <w:lang w:val="en-US"/>
        </w:rPr>
        <w:t xml:space="preserve">. </w:t>
      </w:r>
      <w:r w:rsidR="007C7511">
        <w:rPr>
          <w:rFonts w:cstheme="minorHAnsi"/>
          <w:lang w:val="en-US"/>
        </w:rPr>
        <w:t>This type of information tends to be</w:t>
      </w:r>
      <w:r w:rsidR="0047275D" w:rsidRPr="0047275D">
        <w:rPr>
          <w:rFonts w:cstheme="minorHAnsi"/>
          <w:lang w:val="en-US"/>
        </w:rPr>
        <w:t xml:space="preserve"> </w:t>
      </w:r>
      <w:r w:rsidR="007D4AD1">
        <w:rPr>
          <w:rFonts w:cstheme="minorHAnsi"/>
          <w:lang w:val="en-US"/>
        </w:rPr>
        <w:t>commercially sensitive</w:t>
      </w:r>
      <w:r w:rsidR="0047275D" w:rsidRPr="0047275D">
        <w:rPr>
          <w:rFonts w:cstheme="minorHAnsi"/>
          <w:lang w:val="en-US"/>
        </w:rPr>
        <w:t>, and relevant parties have been unable or unwilling to disclose such information</w:t>
      </w:r>
      <w:r w:rsidR="00B61A24">
        <w:rPr>
          <w:rFonts w:cstheme="minorHAnsi"/>
          <w:lang w:val="en-US"/>
        </w:rPr>
        <w:t xml:space="preserve"> to </w:t>
      </w:r>
      <w:r w:rsidR="007C7511">
        <w:rPr>
          <w:rFonts w:cstheme="minorHAnsi"/>
          <w:lang w:val="en-US"/>
        </w:rPr>
        <w:t xml:space="preserve">support the development of this IA. </w:t>
      </w:r>
      <w:r w:rsidR="00142360">
        <w:rPr>
          <w:lang w:val="en-US"/>
        </w:rPr>
        <w:t xml:space="preserve">Only one </w:t>
      </w:r>
      <w:r w:rsidR="007D4AD1">
        <w:rPr>
          <w:lang w:val="en-US"/>
        </w:rPr>
        <w:t xml:space="preserve">voice assistant software </w:t>
      </w:r>
      <w:r w:rsidR="00142360">
        <w:rPr>
          <w:lang w:val="en-US"/>
        </w:rPr>
        <w:t>company</w:t>
      </w:r>
      <w:r w:rsidR="007D4AD1">
        <w:rPr>
          <w:lang w:val="en-US"/>
        </w:rPr>
        <w:t xml:space="preserve"> provide</w:t>
      </w:r>
      <w:r w:rsidR="00142360">
        <w:rPr>
          <w:lang w:val="en-US"/>
        </w:rPr>
        <w:t>d</w:t>
      </w:r>
      <w:r w:rsidR="007D4AD1">
        <w:rPr>
          <w:lang w:val="en-US"/>
        </w:rPr>
        <w:t xml:space="preserve"> a submission to the radio prominence consultation. </w:t>
      </w:r>
      <w:r w:rsidR="007C7511">
        <w:rPr>
          <w:lang w:val="en-US"/>
        </w:rPr>
        <w:t xml:space="preserve">However, this did not include </w:t>
      </w:r>
      <w:r w:rsidR="003D4198">
        <w:rPr>
          <w:lang w:val="en-US"/>
        </w:rPr>
        <w:t xml:space="preserve">revenue or </w:t>
      </w:r>
      <w:r w:rsidR="007C7511">
        <w:rPr>
          <w:lang w:val="en-US"/>
        </w:rPr>
        <w:t xml:space="preserve">cost </w:t>
      </w:r>
      <w:r w:rsidR="003D4198">
        <w:rPr>
          <w:lang w:val="en-US"/>
        </w:rPr>
        <w:t>data</w:t>
      </w:r>
      <w:r w:rsidR="007C7511">
        <w:rPr>
          <w:lang w:val="en-US"/>
        </w:rPr>
        <w:t>.</w:t>
      </w:r>
      <w:r w:rsidR="00F838DE">
        <w:rPr>
          <w:lang w:val="en-US"/>
        </w:rPr>
        <w:t xml:space="preserve"> </w:t>
      </w:r>
      <w:r w:rsidR="00487BA7">
        <w:rPr>
          <w:lang w:val="en-US"/>
        </w:rPr>
        <w:t xml:space="preserve"> </w:t>
      </w:r>
    </w:p>
    <w:p w14:paraId="074E6963" w14:textId="1D5FEAB7" w:rsidR="00AD4618" w:rsidRDefault="00903A00" w:rsidP="00903A00">
      <w:pPr>
        <w:rPr>
          <w:lang w:val="en-US"/>
        </w:rPr>
      </w:pPr>
      <w:r>
        <w:rPr>
          <w:lang w:val="en-US"/>
        </w:rPr>
        <w:t xml:space="preserve">As a result, </w:t>
      </w:r>
      <w:r w:rsidR="003D4198">
        <w:rPr>
          <w:lang w:val="en-US"/>
        </w:rPr>
        <w:t xml:space="preserve">the </w:t>
      </w:r>
      <w:r>
        <w:rPr>
          <w:lang w:val="en-US"/>
        </w:rPr>
        <w:t xml:space="preserve">key elements of </w:t>
      </w:r>
      <w:r w:rsidR="003D4198">
        <w:rPr>
          <w:lang w:val="en-US"/>
        </w:rPr>
        <w:t xml:space="preserve">a </w:t>
      </w:r>
      <w:r>
        <w:rPr>
          <w:lang w:val="en-US"/>
        </w:rPr>
        <w:t xml:space="preserve">full cost benefit analysis could not be undertaken, including </w:t>
      </w:r>
      <w:r w:rsidR="003D4198">
        <w:rPr>
          <w:lang w:val="en-US"/>
        </w:rPr>
        <w:t xml:space="preserve">financial impacts and </w:t>
      </w:r>
      <w:r>
        <w:rPr>
          <w:lang w:val="en-US"/>
        </w:rPr>
        <w:t>discounting future costs and benefits to attain present values. Predicting the impacts o</w:t>
      </w:r>
      <w:r w:rsidR="003D4198">
        <w:rPr>
          <w:lang w:val="en-US"/>
        </w:rPr>
        <w:t>ver</w:t>
      </w:r>
      <w:r>
        <w:rPr>
          <w:lang w:val="en-US"/>
        </w:rPr>
        <w:t xml:space="preserve"> the life of the proposed regulation is also difficult due to the opaque financials of stakeholders </w:t>
      </w:r>
      <w:r w:rsidR="003D4198">
        <w:rPr>
          <w:lang w:val="en-US"/>
        </w:rPr>
        <w:t xml:space="preserve">and the </w:t>
      </w:r>
      <w:r>
        <w:rPr>
          <w:lang w:val="en-US"/>
        </w:rPr>
        <w:t xml:space="preserve">rapid </w:t>
      </w:r>
      <w:r w:rsidR="003D4198">
        <w:rPr>
          <w:lang w:val="en-US"/>
        </w:rPr>
        <w:t xml:space="preserve">changes playing out in terms of </w:t>
      </w:r>
      <w:r>
        <w:rPr>
          <w:lang w:val="en-US"/>
        </w:rPr>
        <w:t>audio technolog</w:t>
      </w:r>
      <w:r w:rsidR="003D4198">
        <w:rPr>
          <w:lang w:val="en-US"/>
        </w:rPr>
        <w:t>ies</w:t>
      </w:r>
      <w:r>
        <w:rPr>
          <w:lang w:val="en-US"/>
        </w:rPr>
        <w:t xml:space="preserve">. </w:t>
      </w:r>
    </w:p>
    <w:p w14:paraId="3675C316" w14:textId="27B03054" w:rsidR="000475B8" w:rsidRDefault="00AD4618" w:rsidP="007F6504">
      <w:pPr>
        <w:rPr>
          <w:lang w:val="en-US"/>
        </w:rPr>
      </w:pPr>
      <w:r>
        <w:rPr>
          <w:lang w:val="en-US"/>
        </w:rPr>
        <w:t xml:space="preserve">Instead, the analysis in this chapter takes the form of </w:t>
      </w:r>
      <w:r w:rsidR="00903A00">
        <w:rPr>
          <w:lang w:val="en-US"/>
        </w:rPr>
        <w:t xml:space="preserve">a semi-quantitative assessment, detailed at section 4.4. </w:t>
      </w:r>
      <w:r w:rsidR="00D43E78">
        <w:rPr>
          <w:lang w:val="en-US"/>
        </w:rPr>
        <w:t>Estimates</w:t>
      </w:r>
      <w:r w:rsidR="00903A00">
        <w:rPr>
          <w:lang w:val="en-US"/>
        </w:rPr>
        <w:t xml:space="preserve"> of industry costs (regulatory burden measure) </w:t>
      </w:r>
      <w:r w:rsidR="00D43E78">
        <w:rPr>
          <w:lang w:val="en-US"/>
        </w:rPr>
        <w:t>are</w:t>
      </w:r>
      <w:r w:rsidR="00903A00">
        <w:rPr>
          <w:lang w:val="en-US"/>
        </w:rPr>
        <w:t xml:space="preserve"> discussed further at section 4.3 and </w:t>
      </w:r>
      <w:r w:rsidR="00D43E78">
        <w:rPr>
          <w:lang w:val="en-US"/>
        </w:rPr>
        <w:t xml:space="preserve">in </w:t>
      </w:r>
      <w:r w:rsidR="00903A00">
        <w:rPr>
          <w:lang w:val="en-US"/>
        </w:rPr>
        <w:t>Appendix</w:t>
      </w:r>
      <w:r w:rsidR="00D43E78">
        <w:rPr>
          <w:lang w:val="en-US"/>
        </w:rPr>
        <w:t> </w:t>
      </w:r>
      <w:r w:rsidR="00903A00">
        <w:rPr>
          <w:lang w:val="en-US"/>
        </w:rPr>
        <w:t xml:space="preserve">A. </w:t>
      </w:r>
      <w:r>
        <w:rPr>
          <w:lang w:val="en-US"/>
        </w:rPr>
        <w:t xml:space="preserve">The analysis relies on information provided by stakeholders in response to the </w:t>
      </w:r>
      <w:r w:rsidR="000475B8">
        <w:rPr>
          <w:lang w:val="en-US"/>
        </w:rPr>
        <w:t>radio prominence consultation</w:t>
      </w:r>
      <w:r w:rsidR="00D43E78">
        <w:rPr>
          <w:lang w:val="en-US"/>
        </w:rPr>
        <w:t xml:space="preserve"> process</w:t>
      </w:r>
      <w:r w:rsidR="000475B8">
        <w:rPr>
          <w:lang w:val="en-US"/>
        </w:rPr>
        <w:t>.</w:t>
      </w:r>
      <w:r w:rsidR="003D4198">
        <w:rPr>
          <w:lang w:val="en-US"/>
        </w:rPr>
        <w:t xml:space="preserve"> T</w:t>
      </w:r>
      <w:r w:rsidR="00903A00">
        <w:rPr>
          <w:lang w:val="en-US"/>
        </w:rPr>
        <w:t xml:space="preserve">he analysis </w:t>
      </w:r>
      <w:r w:rsidR="003D4198">
        <w:rPr>
          <w:lang w:val="en-US"/>
        </w:rPr>
        <w:t xml:space="preserve">also </w:t>
      </w:r>
      <w:r w:rsidR="00903A00">
        <w:rPr>
          <w:lang w:val="en-US"/>
        </w:rPr>
        <w:t xml:space="preserve">relies on assumptions to inform a semi-quantitative breakdown of the </w:t>
      </w:r>
      <w:r w:rsidR="003D4198">
        <w:rPr>
          <w:lang w:val="en-US"/>
        </w:rPr>
        <w:t xml:space="preserve">expected </w:t>
      </w:r>
      <w:r w:rsidR="00903A00">
        <w:rPr>
          <w:lang w:val="en-US"/>
        </w:rPr>
        <w:t xml:space="preserve">impacts of each option on stakeholders. </w:t>
      </w:r>
      <w:r w:rsidR="000475B8">
        <w:rPr>
          <w:lang w:val="en-US"/>
        </w:rPr>
        <w:t xml:space="preserve">Key assumptions </w:t>
      </w:r>
      <w:r w:rsidR="00D43E78">
        <w:rPr>
          <w:lang w:val="en-US"/>
        </w:rPr>
        <w:t>include</w:t>
      </w:r>
      <w:r w:rsidR="000475B8">
        <w:rPr>
          <w:lang w:val="en-US"/>
        </w:rPr>
        <w:t>:</w:t>
      </w:r>
    </w:p>
    <w:p w14:paraId="4FF60B58" w14:textId="5FCE5A8D" w:rsidR="000475B8" w:rsidRDefault="000475B8" w:rsidP="000475B8">
      <w:pPr>
        <w:pStyle w:val="Bullet3"/>
        <w:numPr>
          <w:ilvl w:val="0"/>
          <w:numId w:val="31"/>
        </w:numPr>
        <w:spacing w:before="160"/>
        <w:ind w:left="357" w:hanging="357"/>
        <w:rPr>
          <w:lang w:val="en-US"/>
        </w:rPr>
      </w:pPr>
      <w:r>
        <w:rPr>
          <w:lang w:val="en-US"/>
        </w:rPr>
        <w:t xml:space="preserve">Under </w:t>
      </w:r>
      <w:r w:rsidR="00BE222B">
        <w:rPr>
          <w:lang w:val="en-US"/>
        </w:rPr>
        <w:t>O</w:t>
      </w:r>
      <w:r w:rsidR="00391337">
        <w:rPr>
          <w:lang w:val="en-US"/>
        </w:rPr>
        <w:t>ption</w:t>
      </w:r>
      <w:r w:rsidR="00BE222B">
        <w:rPr>
          <w:lang w:val="en-US"/>
        </w:rPr>
        <w:t xml:space="preserve"> 1 (status quo)</w:t>
      </w:r>
      <w:r>
        <w:rPr>
          <w:lang w:val="en-US"/>
        </w:rPr>
        <w:t xml:space="preserve">, </w:t>
      </w:r>
      <w:r w:rsidR="00391337">
        <w:rPr>
          <w:lang w:val="en-US"/>
        </w:rPr>
        <w:t xml:space="preserve">listeners </w:t>
      </w:r>
      <w:r w:rsidR="009D0735">
        <w:rPr>
          <w:lang w:val="en-US"/>
        </w:rPr>
        <w:t>are expected to</w:t>
      </w:r>
      <w:r w:rsidR="00391337">
        <w:rPr>
          <w:lang w:val="en-US"/>
        </w:rPr>
        <w:t xml:space="preserve"> continue to have </w:t>
      </w:r>
      <w:r w:rsidR="002D33BB">
        <w:rPr>
          <w:lang w:val="en-US"/>
        </w:rPr>
        <w:t>inconsistent</w:t>
      </w:r>
      <w:r w:rsidR="00391337">
        <w:rPr>
          <w:lang w:val="en-US"/>
        </w:rPr>
        <w:t xml:space="preserve"> and, in the longer term</w:t>
      </w:r>
      <w:r w:rsidR="00EB5E66">
        <w:rPr>
          <w:lang w:val="en-US"/>
        </w:rPr>
        <w:t>,</w:t>
      </w:r>
      <w:r w:rsidR="00391337">
        <w:rPr>
          <w:lang w:val="en-US"/>
        </w:rPr>
        <w:t xml:space="preserve"> reduced</w:t>
      </w:r>
      <w:r w:rsidR="002D3740">
        <w:rPr>
          <w:lang w:val="en-US"/>
        </w:rPr>
        <w:t>,</w:t>
      </w:r>
      <w:r w:rsidR="00391337">
        <w:rPr>
          <w:lang w:val="en-US"/>
        </w:rPr>
        <w:t xml:space="preserve"> access to Australian radio content on smart speakers, and radio broadcasters </w:t>
      </w:r>
      <w:r w:rsidR="009D0735">
        <w:rPr>
          <w:lang w:val="en-US"/>
        </w:rPr>
        <w:t>are likely to</w:t>
      </w:r>
      <w:r w:rsidR="00391337">
        <w:rPr>
          <w:lang w:val="en-US"/>
        </w:rPr>
        <w:t xml:space="preserve"> continue to </w:t>
      </w:r>
      <w:proofErr w:type="gramStart"/>
      <w:r w:rsidR="00391337">
        <w:rPr>
          <w:lang w:val="en-US"/>
        </w:rPr>
        <w:t>enter into</w:t>
      </w:r>
      <w:proofErr w:type="gramEnd"/>
      <w:r w:rsidR="00391337">
        <w:rPr>
          <w:lang w:val="en-US"/>
        </w:rPr>
        <w:t xml:space="preserve"> commercial arrangements with voice assistant software providers and other entities to disseminate their </w:t>
      </w:r>
      <w:r w:rsidR="00EB5E66">
        <w:rPr>
          <w:lang w:val="en-US"/>
        </w:rPr>
        <w:t>content</w:t>
      </w:r>
      <w:r w:rsidR="00BE222B">
        <w:rPr>
          <w:lang w:val="en-US"/>
        </w:rPr>
        <w:t xml:space="preserve">. </w:t>
      </w:r>
    </w:p>
    <w:p w14:paraId="0B6679A3" w14:textId="63EDF987" w:rsidR="000475B8" w:rsidRDefault="000475B8" w:rsidP="000475B8">
      <w:pPr>
        <w:pStyle w:val="Bullet3"/>
        <w:numPr>
          <w:ilvl w:val="0"/>
          <w:numId w:val="31"/>
        </w:numPr>
        <w:spacing w:before="160"/>
        <w:ind w:left="357" w:hanging="357"/>
        <w:rPr>
          <w:lang w:val="en-US"/>
        </w:rPr>
      </w:pPr>
      <w:r>
        <w:rPr>
          <w:lang w:val="en-US"/>
        </w:rPr>
        <w:t xml:space="preserve">Under </w:t>
      </w:r>
      <w:r w:rsidR="00BE222B">
        <w:rPr>
          <w:lang w:val="en-US"/>
        </w:rPr>
        <w:t>Option 2 (legislative intervention</w:t>
      </w:r>
      <w:r w:rsidR="002D3740">
        <w:rPr>
          <w:lang w:val="en-US"/>
        </w:rPr>
        <w:t>s</w:t>
      </w:r>
      <w:r w:rsidR="00BE222B">
        <w:rPr>
          <w:lang w:val="en-US"/>
        </w:rPr>
        <w:t>)</w:t>
      </w:r>
      <w:r>
        <w:rPr>
          <w:lang w:val="en-US"/>
        </w:rPr>
        <w:t xml:space="preserve">, </w:t>
      </w:r>
      <w:r w:rsidR="00435E6A">
        <w:rPr>
          <w:lang w:val="en-US"/>
        </w:rPr>
        <w:t xml:space="preserve">voice activation software providers </w:t>
      </w:r>
      <w:r>
        <w:rPr>
          <w:lang w:val="en-US"/>
        </w:rPr>
        <w:t>would comply with a radio prominence framework and</w:t>
      </w:r>
      <w:r w:rsidR="00435E6A">
        <w:rPr>
          <w:lang w:val="en-US"/>
        </w:rPr>
        <w:t xml:space="preserve"> consistently and reliably surface </w:t>
      </w:r>
      <w:r w:rsidR="002D33BB">
        <w:rPr>
          <w:lang w:val="en-US"/>
        </w:rPr>
        <w:t xml:space="preserve">unaltered </w:t>
      </w:r>
      <w:r w:rsidR="00435E6A">
        <w:rPr>
          <w:lang w:val="en-US"/>
        </w:rPr>
        <w:t xml:space="preserve">Australian radio content at </w:t>
      </w:r>
      <w:r w:rsidR="002D3740">
        <w:rPr>
          <w:lang w:val="en-US"/>
        </w:rPr>
        <w:t xml:space="preserve">either </w:t>
      </w:r>
      <w:r w:rsidR="00435E6A">
        <w:rPr>
          <w:lang w:val="en-US"/>
        </w:rPr>
        <w:t>no cost to the radio broadcaster</w:t>
      </w:r>
      <w:r w:rsidR="002D3740">
        <w:rPr>
          <w:lang w:val="en-US"/>
        </w:rPr>
        <w:t xml:space="preserve"> </w:t>
      </w:r>
      <w:r w:rsidR="00435E6A">
        <w:rPr>
          <w:lang w:val="en-US"/>
        </w:rPr>
        <w:t>via a</w:t>
      </w:r>
      <w:r w:rsidR="002D3740">
        <w:rPr>
          <w:lang w:val="en-US"/>
        </w:rPr>
        <w:t xml:space="preserve">n open access pathway (2a), or </w:t>
      </w:r>
      <w:r w:rsidR="00EB5E66">
        <w:rPr>
          <w:lang w:val="en-US"/>
        </w:rPr>
        <w:t xml:space="preserve">as a result of </w:t>
      </w:r>
      <w:r w:rsidR="002D3740">
        <w:rPr>
          <w:lang w:val="en-US"/>
        </w:rPr>
        <w:t>fair negotiations via a</w:t>
      </w:r>
      <w:r w:rsidR="00435E6A">
        <w:rPr>
          <w:lang w:val="en-US"/>
        </w:rPr>
        <w:t xml:space="preserve"> defined access pathway (2b).</w:t>
      </w:r>
    </w:p>
    <w:p w14:paraId="4EE7B984" w14:textId="3B8A9FC3" w:rsidR="00EB5E66" w:rsidRDefault="000475B8" w:rsidP="000475B8">
      <w:pPr>
        <w:pStyle w:val="Bullet3"/>
        <w:numPr>
          <w:ilvl w:val="0"/>
          <w:numId w:val="31"/>
        </w:numPr>
        <w:spacing w:before="160"/>
        <w:ind w:left="357" w:hanging="357"/>
        <w:rPr>
          <w:lang w:val="en-US"/>
        </w:rPr>
      </w:pPr>
      <w:r>
        <w:rPr>
          <w:lang w:val="en-US"/>
        </w:rPr>
        <w:t xml:space="preserve">Under Option 3 (industry incentives), </w:t>
      </w:r>
      <w:r w:rsidR="00435E6A">
        <w:rPr>
          <w:lang w:val="en-US"/>
        </w:rPr>
        <w:t xml:space="preserve">radio broadcasters </w:t>
      </w:r>
      <w:r w:rsidR="009D0735">
        <w:rPr>
          <w:lang w:val="en-US"/>
        </w:rPr>
        <w:t>are expected to</w:t>
      </w:r>
      <w:r w:rsidR="00435E6A">
        <w:rPr>
          <w:lang w:val="en-US"/>
        </w:rPr>
        <w:t xml:space="preserve"> continue to provide radio content to listeners on smart </w:t>
      </w:r>
      <w:proofErr w:type="gramStart"/>
      <w:r w:rsidR="00435E6A">
        <w:rPr>
          <w:lang w:val="en-US"/>
        </w:rPr>
        <w:t>speaker</w:t>
      </w:r>
      <w:r w:rsidR="00EB5E66">
        <w:rPr>
          <w:lang w:val="en-US"/>
        </w:rPr>
        <w:t>s,</w:t>
      </w:r>
      <w:r w:rsidR="00435E6A">
        <w:rPr>
          <w:lang w:val="en-US"/>
        </w:rPr>
        <w:t xml:space="preserve"> but</w:t>
      </w:r>
      <w:proofErr w:type="gramEnd"/>
      <w:r w:rsidR="00435E6A">
        <w:rPr>
          <w:lang w:val="en-US"/>
        </w:rPr>
        <w:t xml:space="preserve"> </w:t>
      </w:r>
      <w:r w:rsidR="009D0735">
        <w:rPr>
          <w:lang w:val="en-US"/>
        </w:rPr>
        <w:t>are likely to</w:t>
      </w:r>
      <w:r w:rsidR="00435E6A">
        <w:rPr>
          <w:lang w:val="en-US"/>
        </w:rPr>
        <w:t xml:space="preserve"> continue to </w:t>
      </w:r>
      <w:proofErr w:type="gramStart"/>
      <w:r w:rsidR="00435E6A">
        <w:rPr>
          <w:lang w:val="en-US"/>
        </w:rPr>
        <w:t>enter into</w:t>
      </w:r>
      <w:proofErr w:type="gramEnd"/>
      <w:r w:rsidR="00435E6A">
        <w:rPr>
          <w:lang w:val="en-US"/>
        </w:rPr>
        <w:t xml:space="preserve"> </w:t>
      </w:r>
      <w:r w:rsidR="00F744BD">
        <w:rPr>
          <w:lang w:val="en-US"/>
        </w:rPr>
        <w:t xml:space="preserve">asymmetric </w:t>
      </w:r>
      <w:r w:rsidR="00435E6A">
        <w:rPr>
          <w:lang w:val="en-US"/>
        </w:rPr>
        <w:t xml:space="preserve">commercial relationships with voice activation software providers </w:t>
      </w:r>
      <w:r w:rsidR="009D0735">
        <w:rPr>
          <w:lang w:val="en-US"/>
        </w:rPr>
        <w:t>to support</w:t>
      </w:r>
      <w:r w:rsidR="00435E6A">
        <w:rPr>
          <w:lang w:val="en-US"/>
        </w:rPr>
        <w:t xml:space="preserve"> access.</w:t>
      </w:r>
      <w:r w:rsidR="00CD5201">
        <w:rPr>
          <w:lang w:val="en-US"/>
        </w:rPr>
        <w:t xml:space="preserve"> </w:t>
      </w:r>
    </w:p>
    <w:p w14:paraId="6ED6542D" w14:textId="4A9E5254" w:rsidR="007F6504" w:rsidRDefault="00626833" w:rsidP="00101A53">
      <w:pPr>
        <w:pStyle w:val="Bullet3"/>
        <w:numPr>
          <w:ilvl w:val="0"/>
          <w:numId w:val="0"/>
        </w:numPr>
        <w:spacing w:before="160"/>
        <w:rPr>
          <w:lang w:val="en-US"/>
        </w:rPr>
      </w:pPr>
      <w:r>
        <w:rPr>
          <w:lang w:val="en-US"/>
        </w:rPr>
        <w:t xml:space="preserve">The interaction </w:t>
      </w:r>
      <w:proofErr w:type="gramStart"/>
      <w:r>
        <w:rPr>
          <w:lang w:val="en-US"/>
        </w:rPr>
        <w:t>of</w:t>
      </w:r>
      <w:proofErr w:type="gramEnd"/>
      <w:r>
        <w:rPr>
          <w:lang w:val="en-US"/>
        </w:rPr>
        <w:t xml:space="preserve"> these assumptions and </w:t>
      </w:r>
      <w:r w:rsidR="002340F4">
        <w:rPr>
          <w:lang w:val="en-US"/>
        </w:rPr>
        <w:t xml:space="preserve">the </w:t>
      </w:r>
      <w:r>
        <w:rPr>
          <w:lang w:val="en-US"/>
        </w:rPr>
        <w:t>impact of these options is discussed further below</w:t>
      </w:r>
      <w:r w:rsidR="00CD5201">
        <w:rPr>
          <w:lang w:val="en-US"/>
        </w:rPr>
        <w:t>.</w:t>
      </w:r>
    </w:p>
    <w:p w14:paraId="5566D8E5" w14:textId="27F47537" w:rsidR="00026B55" w:rsidRDefault="00026B55" w:rsidP="00A17F6B">
      <w:pPr>
        <w:pStyle w:val="Heading2Numbered"/>
      </w:pPr>
      <w:bookmarkStart w:id="83" w:name="_Toc236825159"/>
      <w:r>
        <w:t>Stakeholders identified and considered in the analysis</w:t>
      </w:r>
      <w:bookmarkEnd w:id="83"/>
    </w:p>
    <w:p w14:paraId="720C4701" w14:textId="3F47D960" w:rsidR="00026B55" w:rsidRDefault="00026B55" w:rsidP="00026B55">
      <w:r>
        <w:t>The following stakeholder groups were identified as being potentially impacted by the reform options:</w:t>
      </w:r>
    </w:p>
    <w:p w14:paraId="6D105A46" w14:textId="54809E44" w:rsidR="00026B55" w:rsidRDefault="00426C91" w:rsidP="00336C27">
      <w:pPr>
        <w:pStyle w:val="Bullet3"/>
        <w:numPr>
          <w:ilvl w:val="0"/>
          <w:numId w:val="31"/>
        </w:numPr>
        <w:spacing w:before="160"/>
        <w:ind w:left="357" w:hanging="357"/>
        <w:rPr>
          <w:lang w:val="en-US"/>
        </w:rPr>
      </w:pPr>
      <w:r>
        <w:rPr>
          <w:lang w:val="en-US"/>
        </w:rPr>
        <w:t>Australian</w:t>
      </w:r>
      <w:r w:rsidRPr="00336C27">
        <w:rPr>
          <w:lang w:val="en-US"/>
        </w:rPr>
        <w:t xml:space="preserve"> </w:t>
      </w:r>
      <w:r w:rsidR="00336C27" w:rsidRPr="00336C27">
        <w:rPr>
          <w:lang w:val="en-US"/>
        </w:rPr>
        <w:t>Government</w:t>
      </w:r>
      <w:r>
        <w:rPr>
          <w:lang w:val="en-US"/>
        </w:rPr>
        <w:t xml:space="preserve"> entities</w:t>
      </w:r>
    </w:p>
    <w:p w14:paraId="2FA40AD4" w14:textId="110F43A1" w:rsidR="00336C27" w:rsidRDefault="00336C27" w:rsidP="00336C27">
      <w:pPr>
        <w:pStyle w:val="Bullet3"/>
        <w:numPr>
          <w:ilvl w:val="0"/>
          <w:numId w:val="31"/>
        </w:numPr>
        <w:spacing w:before="160"/>
        <w:ind w:left="357" w:hanging="357"/>
        <w:rPr>
          <w:lang w:val="en-US"/>
        </w:rPr>
      </w:pPr>
      <w:r>
        <w:rPr>
          <w:lang w:val="en-US"/>
        </w:rPr>
        <w:t>Consumers and community groups</w:t>
      </w:r>
    </w:p>
    <w:p w14:paraId="576F8E7F" w14:textId="66D6F5BB" w:rsidR="00336C27" w:rsidRDefault="00336C27" w:rsidP="00336C27">
      <w:pPr>
        <w:pStyle w:val="Bullet3"/>
        <w:numPr>
          <w:ilvl w:val="0"/>
          <w:numId w:val="31"/>
        </w:numPr>
        <w:spacing w:before="160"/>
        <w:ind w:left="357" w:hanging="357"/>
        <w:rPr>
          <w:lang w:val="en-US"/>
        </w:rPr>
      </w:pPr>
      <w:r>
        <w:rPr>
          <w:lang w:val="en-US"/>
        </w:rPr>
        <w:t>Manufacturers of smart speakers and other devices capable of playing audio content</w:t>
      </w:r>
    </w:p>
    <w:p w14:paraId="45F72533" w14:textId="484D457C" w:rsidR="00336C27" w:rsidRDefault="00336C27" w:rsidP="00336C27">
      <w:pPr>
        <w:pStyle w:val="Bullet3"/>
        <w:numPr>
          <w:ilvl w:val="0"/>
          <w:numId w:val="31"/>
        </w:numPr>
        <w:spacing w:before="160"/>
        <w:ind w:left="357" w:hanging="357"/>
        <w:rPr>
          <w:lang w:val="en-US"/>
        </w:rPr>
      </w:pPr>
      <w:r>
        <w:rPr>
          <w:lang w:val="en-US"/>
        </w:rPr>
        <w:t>Radio broadcasters</w:t>
      </w:r>
    </w:p>
    <w:p w14:paraId="56D212F6" w14:textId="7938F42C" w:rsidR="00336C27" w:rsidRPr="00336C27" w:rsidRDefault="00BA4671" w:rsidP="00336C27">
      <w:pPr>
        <w:pStyle w:val="Bullet3"/>
        <w:numPr>
          <w:ilvl w:val="0"/>
          <w:numId w:val="31"/>
        </w:numPr>
        <w:spacing w:before="160"/>
        <w:ind w:left="357" w:hanging="357"/>
        <w:rPr>
          <w:lang w:val="en-US"/>
        </w:rPr>
      </w:pPr>
      <w:r>
        <w:rPr>
          <w:lang w:val="en-US"/>
        </w:rPr>
        <w:t>Providers of v</w:t>
      </w:r>
      <w:r w:rsidR="00336C27">
        <w:rPr>
          <w:lang w:val="en-US"/>
        </w:rPr>
        <w:t xml:space="preserve">oice assistant software </w:t>
      </w:r>
      <w:r w:rsidR="000D6291">
        <w:rPr>
          <w:lang w:val="en-US"/>
        </w:rPr>
        <w:t xml:space="preserve">which </w:t>
      </w:r>
      <w:r w:rsidR="00D23498">
        <w:rPr>
          <w:lang w:val="en-US"/>
        </w:rPr>
        <w:t>facilitat</w:t>
      </w:r>
      <w:r w:rsidR="000D6291">
        <w:rPr>
          <w:lang w:val="en-US"/>
        </w:rPr>
        <w:t>e</w:t>
      </w:r>
      <w:r w:rsidR="001E3C9A">
        <w:rPr>
          <w:lang w:val="en-US"/>
        </w:rPr>
        <w:t>s</w:t>
      </w:r>
      <w:r w:rsidR="00D23498">
        <w:rPr>
          <w:lang w:val="en-US"/>
        </w:rPr>
        <w:t xml:space="preserve"> the playing of audio content on smart speakers.</w:t>
      </w:r>
    </w:p>
    <w:p w14:paraId="48A1B3D3" w14:textId="2ED57FFC" w:rsidR="00336C27" w:rsidRDefault="00336C27" w:rsidP="00336C27">
      <w:r>
        <w:t>These stakeholder groups were considered when identifying</w:t>
      </w:r>
      <w:r w:rsidR="00445AC3">
        <w:t xml:space="preserve"> the impacts</w:t>
      </w:r>
      <w:r>
        <w:t xml:space="preserve"> </w:t>
      </w:r>
      <w:r w:rsidR="00445AC3">
        <w:t xml:space="preserve">and </w:t>
      </w:r>
      <w:r w:rsidRPr="00977506">
        <w:t>distributing</w:t>
      </w:r>
      <w:r>
        <w:t xml:space="preserve"> costs and benefits of the reform options.</w:t>
      </w:r>
    </w:p>
    <w:p w14:paraId="5232A88C" w14:textId="5DDF83A7" w:rsidR="00EA6C4A" w:rsidRDefault="00336C27" w:rsidP="00336C27">
      <w:r>
        <w:t xml:space="preserve">While the direct costs of </w:t>
      </w:r>
      <w:r w:rsidR="006770BB">
        <w:t xml:space="preserve">implementing </w:t>
      </w:r>
      <w:r>
        <w:t>the reforms will fall predominantly to voice assistant software providers</w:t>
      </w:r>
      <w:r w:rsidR="00B16F74">
        <w:t>, representatives for the radio sector</w:t>
      </w:r>
      <w:r>
        <w:t xml:space="preserve"> and the Commonwealth Government, the benefits will be distributed more broadly to consumers and the radio broadcasting sector.</w:t>
      </w:r>
    </w:p>
    <w:p w14:paraId="6A0BFBFE" w14:textId="77777777" w:rsidR="00EA6C4A" w:rsidRDefault="00EA6C4A" w:rsidP="00EA6C4A">
      <w:pPr>
        <w:pStyle w:val="Heading2Numbered"/>
      </w:pPr>
      <w:bookmarkStart w:id="84" w:name="_Toc236825160"/>
      <w:r>
        <w:lastRenderedPageBreak/>
        <w:t>Government costs estimation</w:t>
      </w:r>
      <w:bookmarkEnd w:id="84"/>
    </w:p>
    <w:p w14:paraId="4569E6BA" w14:textId="4FD12AFB" w:rsidR="00F956DF" w:rsidRDefault="00DC76C4" w:rsidP="00336C27">
      <w:r w:rsidRPr="00D5306F">
        <w:t xml:space="preserve">The </w:t>
      </w:r>
      <w:r w:rsidR="00EB5E66">
        <w:t>cost to government of</w:t>
      </w:r>
      <w:r w:rsidRPr="00D5306F">
        <w:t xml:space="preserve"> the legislative reforms </w:t>
      </w:r>
      <w:r w:rsidR="00AA3A23">
        <w:t xml:space="preserve">would be comparable to other </w:t>
      </w:r>
      <w:r w:rsidR="00C20A32">
        <w:t>schemes that the ACMA has oversight and enforcement responsibilities for, such as the television prominence framework. However, i</w:t>
      </w:r>
      <w:r w:rsidRPr="00D5306F">
        <w:t>t is not possible to precisely estimate the cost for the ACMA to implement and regulate</w:t>
      </w:r>
      <w:r w:rsidR="000418C5">
        <w:t xml:space="preserve"> new</w:t>
      </w:r>
      <w:r w:rsidRPr="00D5306F">
        <w:t xml:space="preserve"> requirements of the proposed legislative options. </w:t>
      </w:r>
      <w:r w:rsidR="00F956DF">
        <w:t>Instead,</w:t>
      </w:r>
      <w:r w:rsidR="000418C5">
        <w:t xml:space="preserve"> the general </w:t>
      </w:r>
      <w:r w:rsidR="00F956DF">
        <w:t xml:space="preserve">expected </w:t>
      </w:r>
      <w:r w:rsidR="000418C5">
        <w:t>impacts on the ACMA</w:t>
      </w:r>
      <w:r w:rsidR="00F43E6F">
        <w:t xml:space="preserve"> (as the regulator for the framework)</w:t>
      </w:r>
      <w:r w:rsidR="000418C5">
        <w:t xml:space="preserve"> can be described as</w:t>
      </w:r>
      <w:r w:rsidR="00732E9E">
        <w:t xml:space="preserve"> new and increased pressure on the regulator to undertake</w:t>
      </w:r>
      <w:r w:rsidR="00F956DF">
        <w:t>:</w:t>
      </w:r>
    </w:p>
    <w:p w14:paraId="13E47878" w14:textId="52B6661F" w:rsidR="00732E9E" w:rsidRDefault="00F43E6F" w:rsidP="00F956DF">
      <w:pPr>
        <w:pStyle w:val="Bullet3"/>
        <w:numPr>
          <w:ilvl w:val="0"/>
          <w:numId w:val="31"/>
        </w:numPr>
        <w:spacing w:before="160"/>
        <w:ind w:left="357" w:hanging="357"/>
        <w:rPr>
          <w:lang w:val="en-US"/>
        </w:rPr>
      </w:pPr>
      <w:r>
        <w:rPr>
          <w:lang w:val="en-US"/>
        </w:rPr>
        <w:t xml:space="preserve">consultative and administrative activities to provide guidance </w:t>
      </w:r>
      <w:r w:rsidR="00732E9E">
        <w:rPr>
          <w:lang w:val="en-US"/>
        </w:rPr>
        <w:t>to affected industry stakeholders and consumers;</w:t>
      </w:r>
    </w:p>
    <w:p w14:paraId="0DD3FF2E" w14:textId="4F04525C" w:rsidR="00120517" w:rsidRDefault="00732E9E" w:rsidP="00F956DF">
      <w:pPr>
        <w:pStyle w:val="Bullet3"/>
        <w:numPr>
          <w:ilvl w:val="0"/>
          <w:numId w:val="31"/>
        </w:numPr>
        <w:spacing w:before="160"/>
        <w:ind w:left="357" w:hanging="357"/>
        <w:rPr>
          <w:lang w:val="en-US"/>
        </w:rPr>
      </w:pPr>
      <w:r>
        <w:rPr>
          <w:lang w:val="en-US"/>
        </w:rPr>
        <w:t xml:space="preserve">monitoring and enforcement activities to </w:t>
      </w:r>
      <w:r w:rsidR="00120517">
        <w:rPr>
          <w:lang w:val="en-US"/>
        </w:rPr>
        <w:t xml:space="preserve">ensure compliance with the requirements of the framework; and </w:t>
      </w:r>
    </w:p>
    <w:p w14:paraId="38306725" w14:textId="73D2AE91" w:rsidR="00F956DF" w:rsidRPr="00AD4618" w:rsidRDefault="00120517" w:rsidP="00AD4618">
      <w:pPr>
        <w:pStyle w:val="Bullet3"/>
        <w:numPr>
          <w:ilvl w:val="0"/>
          <w:numId w:val="31"/>
        </w:numPr>
        <w:spacing w:before="160"/>
        <w:ind w:left="357" w:hanging="357"/>
        <w:rPr>
          <w:lang w:val="en-US"/>
        </w:rPr>
      </w:pPr>
      <w:r>
        <w:rPr>
          <w:lang w:val="en-US"/>
        </w:rPr>
        <w:t>analysis and reporting activities to provide clear advice to the Minister and Government as required.</w:t>
      </w:r>
      <w:r w:rsidR="00DC76C4" w:rsidRPr="00AD4618">
        <w:rPr>
          <w:lang w:val="en-US"/>
        </w:rPr>
        <w:t xml:space="preserve"> </w:t>
      </w:r>
    </w:p>
    <w:p w14:paraId="63592250" w14:textId="1AEE854B" w:rsidR="00E442B8" w:rsidRDefault="00EB5E66" w:rsidP="00336C27">
      <w:r>
        <w:t>T</w:t>
      </w:r>
      <w:r w:rsidR="00D5306F">
        <w:t>h</w:t>
      </w:r>
      <w:r w:rsidR="00F956DF">
        <w:t xml:space="preserve">ese impacts </w:t>
      </w:r>
      <w:r w:rsidR="00D5306F">
        <w:t xml:space="preserve">will be </w:t>
      </w:r>
      <w:r w:rsidR="00DC76C4" w:rsidRPr="00D5306F">
        <w:t xml:space="preserve">dependent on approaches to delegated powers.   </w:t>
      </w:r>
      <w:r w:rsidR="00EA6C4A" w:rsidRPr="00D5306F">
        <w:t xml:space="preserve"> </w:t>
      </w:r>
    </w:p>
    <w:p w14:paraId="414182FB" w14:textId="4B7C3F19" w:rsidR="00CD4C5E" w:rsidRDefault="00CD4C5E" w:rsidP="00A17F6B">
      <w:pPr>
        <w:pStyle w:val="Heading2Numbered"/>
      </w:pPr>
      <w:bookmarkStart w:id="85" w:name="_Toc236825161"/>
      <w:r>
        <w:t>Industry costs estimation</w:t>
      </w:r>
      <w:r w:rsidR="00193E27">
        <w:t xml:space="preserve"> (</w:t>
      </w:r>
      <w:r w:rsidR="00EB5E66">
        <w:t>r</w:t>
      </w:r>
      <w:r w:rsidR="00193E27">
        <w:t>egulatory burden)</w:t>
      </w:r>
      <w:bookmarkEnd w:id="85"/>
    </w:p>
    <w:p w14:paraId="6F77FF25" w14:textId="46FF1544" w:rsidR="00D630CB" w:rsidRDefault="00A21ECB" w:rsidP="00193E27">
      <w:r>
        <w:t>The industry costs are estimated for different segments of industry</w:t>
      </w:r>
      <w:r w:rsidR="009C2CFC">
        <w:t xml:space="preserve">, identified in the stakeholder listing at 4.1, </w:t>
      </w:r>
      <w:r w:rsidR="00922D4F">
        <w:t>and form the basis for the Regulatory Burden Measure.</w:t>
      </w:r>
      <w:r w:rsidR="009D5C1E">
        <w:t xml:space="preserve"> While </w:t>
      </w:r>
      <w:r w:rsidR="00EB5E66">
        <w:t>the</w:t>
      </w:r>
      <w:r w:rsidR="009D5C1E">
        <w:t xml:space="preserve"> providers of voice assistant software would be the regulated part</w:t>
      </w:r>
      <w:r w:rsidR="00EB5E66">
        <w:t>ies</w:t>
      </w:r>
      <w:r w:rsidR="009D5C1E">
        <w:t xml:space="preserve"> under any radio prominence framework</w:t>
      </w:r>
      <w:r w:rsidR="009E2C78">
        <w:t xml:space="preserve"> being considered in this IA</w:t>
      </w:r>
      <w:r w:rsidR="009D5C1E">
        <w:t>, it is anticipated that radio broadcasters would also face some costs associated with providing their services in the agreed manner.</w:t>
      </w:r>
    </w:p>
    <w:p w14:paraId="59744D82" w14:textId="44546F19" w:rsidR="00193E27" w:rsidRDefault="00E91303" w:rsidP="00193E27">
      <w:r>
        <w:t>Regulatory Burden Measurement was undertaken in line with the Australian Government guidance</w:t>
      </w:r>
      <w:r>
        <w:rPr>
          <w:rStyle w:val="FootnoteReference"/>
        </w:rPr>
        <w:footnoteReference w:id="51"/>
      </w:r>
      <w:r>
        <w:t xml:space="preserve"> and identifies the average annual change in regulatory </w:t>
      </w:r>
      <w:r w:rsidR="00D630CB">
        <w:t>costs against ‘business as usual’ costs. The framework includes consideration of administrative costs, substantive compliance costs</w:t>
      </w:r>
      <w:r w:rsidR="009E2C78">
        <w:t>,</w:t>
      </w:r>
      <w:r w:rsidR="00D630CB">
        <w:t xml:space="preserve"> and delay costs. </w:t>
      </w:r>
      <w:r w:rsidR="00E01B66">
        <w:t>No delay costs were identified for any of the options put forward in this IA.</w:t>
      </w:r>
    </w:p>
    <w:p w14:paraId="06F37099" w14:textId="36341464" w:rsidR="00D630CB" w:rsidRDefault="00D630CB" w:rsidP="00193E27">
      <w:r>
        <w:t xml:space="preserve">Each regulatory burden estimate is set out for each option below, with calculations in </w:t>
      </w:r>
      <w:r w:rsidR="00E01B66">
        <w:t>Appendix A</w:t>
      </w:r>
      <w:r>
        <w:t>.</w:t>
      </w:r>
    </w:p>
    <w:p w14:paraId="0A0BC981" w14:textId="6971CE09" w:rsidR="00A70AB2" w:rsidRDefault="00A70AB2" w:rsidP="00A17F6B">
      <w:pPr>
        <w:pStyle w:val="Heading2Numbered"/>
      </w:pPr>
      <w:bookmarkStart w:id="86" w:name="_Toc236825162"/>
      <w:r>
        <w:t>Semi-</w:t>
      </w:r>
      <w:r w:rsidR="00190219">
        <w:t>quantitative</w:t>
      </w:r>
      <w:r>
        <w:t xml:space="preserve"> breakdown of impacts on </w:t>
      </w:r>
      <w:r w:rsidR="00A17F6B">
        <w:t>business and consumers</w:t>
      </w:r>
      <w:bookmarkEnd w:id="86"/>
    </w:p>
    <w:p w14:paraId="101E80CA" w14:textId="639E284C" w:rsidR="00EB5E66" w:rsidRDefault="005C1D7A" w:rsidP="007F6504">
      <w:r>
        <w:t>A semi-qua</w:t>
      </w:r>
      <w:r w:rsidR="00190219">
        <w:t>ntitative</w:t>
      </w:r>
      <w:r>
        <w:t xml:space="preserve"> assessment has been undertaken to describe and evaluate </w:t>
      </w:r>
      <w:r w:rsidR="00637865">
        <w:t xml:space="preserve">the </w:t>
      </w:r>
      <w:r>
        <w:t xml:space="preserve">impacts </w:t>
      </w:r>
      <w:r w:rsidR="00637865">
        <w:t>of the options considered in this IA</w:t>
      </w:r>
      <w:r w:rsidR="00983ED5">
        <w:t xml:space="preserve"> on businesses and consumers</w:t>
      </w:r>
      <w:r w:rsidR="00637865">
        <w:t>.</w:t>
      </w:r>
      <w:r>
        <w:t xml:space="preserve"> Challenges in quantifying direct costs and benefits arise from </w:t>
      </w:r>
      <w:r w:rsidR="00CA12A7">
        <w:t>the</w:t>
      </w:r>
      <w:r>
        <w:t xml:space="preserve"> limited information </w:t>
      </w:r>
      <w:r w:rsidR="0093206B">
        <w:t>about the cost of compliance</w:t>
      </w:r>
      <w:r>
        <w:t xml:space="preserve"> currently available</w:t>
      </w:r>
      <w:r w:rsidR="00CA12A7">
        <w:t xml:space="preserve"> from the relevant sectors</w:t>
      </w:r>
      <w:r>
        <w:t xml:space="preserve">. </w:t>
      </w:r>
    </w:p>
    <w:p w14:paraId="4F8F5968" w14:textId="39F04FD1" w:rsidR="005C1D7A" w:rsidRDefault="00B25418" w:rsidP="007F6504">
      <w:r>
        <w:t>As stated above, sensitive commercial in confidence information from industry has not been available</w:t>
      </w:r>
      <w:r w:rsidR="00EB5E66">
        <w:t xml:space="preserve">. As such, this </w:t>
      </w:r>
      <w:r w:rsidR="009E2C78">
        <w:t>analysis</w:t>
      </w:r>
      <w:r w:rsidR="00EB5E66">
        <w:t xml:space="preserve"> </w:t>
      </w:r>
      <w:r>
        <w:t>relies on assumptions in determining impacts</w:t>
      </w:r>
      <w:r w:rsidR="00C0250A">
        <w:t xml:space="preserve"> for the options</w:t>
      </w:r>
      <w:r>
        <w:t xml:space="preserve"> (no intervention, legislative intervention</w:t>
      </w:r>
      <w:r w:rsidR="00EB5E66">
        <w:t>,</w:t>
      </w:r>
      <w:r>
        <w:t xml:space="preserve"> and non-legislative intervention).</w:t>
      </w:r>
    </w:p>
    <w:p w14:paraId="3B2BD484" w14:textId="6F2BE29F" w:rsidR="00EB5E66" w:rsidRDefault="005C1D7A" w:rsidP="007F6504">
      <w:r>
        <w:t xml:space="preserve">The following factors were </w:t>
      </w:r>
      <w:r w:rsidR="00561695">
        <w:t>considered</w:t>
      </w:r>
      <w:r>
        <w:t xml:space="preserve"> in assessing the impact of </w:t>
      </w:r>
      <w:r w:rsidR="00EB5E66">
        <w:t xml:space="preserve">each of the </w:t>
      </w:r>
      <w:r>
        <w:t xml:space="preserve">options: </w:t>
      </w:r>
    </w:p>
    <w:p w14:paraId="5A4D1C49" w14:textId="5332E1C3" w:rsidR="00EB5E66" w:rsidRDefault="00EB5E66" w:rsidP="00101A53">
      <w:pPr>
        <w:pStyle w:val="ListParagraph"/>
        <w:numPr>
          <w:ilvl w:val="0"/>
          <w:numId w:val="76"/>
        </w:numPr>
        <w:ind w:left="357" w:hanging="357"/>
        <w:contextualSpacing w:val="0"/>
      </w:pPr>
      <w:r>
        <w:t xml:space="preserve">the </w:t>
      </w:r>
      <w:r w:rsidR="007E298B">
        <w:t>potential for</w:t>
      </w:r>
      <w:r w:rsidR="005C1D7A">
        <w:t xml:space="preserve"> </w:t>
      </w:r>
      <w:r w:rsidR="007E298B">
        <w:t xml:space="preserve">change in </w:t>
      </w:r>
      <w:r w:rsidR="005C1D7A">
        <w:t xml:space="preserve">financial benefits for </w:t>
      </w:r>
      <w:r w:rsidR="007E298B">
        <w:t xml:space="preserve">radio broadcasters and voice assistant </w:t>
      </w:r>
      <w:r w:rsidR="004A08AA">
        <w:t>platform</w:t>
      </w:r>
      <w:r w:rsidR="00A31752">
        <w:t xml:space="preserve"> providers</w:t>
      </w:r>
      <w:r w:rsidR="007E298B">
        <w:t>;</w:t>
      </w:r>
      <w:r w:rsidR="005C1D7A">
        <w:t xml:space="preserve"> </w:t>
      </w:r>
    </w:p>
    <w:p w14:paraId="5A5A61A2" w14:textId="119B16EF" w:rsidR="00EB5E66" w:rsidRDefault="00EB5E66" w:rsidP="00101A53">
      <w:pPr>
        <w:pStyle w:val="ListParagraph"/>
        <w:numPr>
          <w:ilvl w:val="0"/>
          <w:numId w:val="76"/>
        </w:numPr>
        <w:ind w:left="357" w:hanging="357"/>
        <w:contextualSpacing w:val="0"/>
      </w:pPr>
      <w:r>
        <w:t>the</w:t>
      </w:r>
      <w:r w:rsidR="005C1D7A">
        <w:t xml:space="preserve"> likelihood and magnitude of changes </w:t>
      </w:r>
      <w:r w:rsidR="00573AD9">
        <w:t>required to voice assistant platform</w:t>
      </w:r>
      <w:r w:rsidR="00A31752">
        <w:t xml:space="preserve"> systems</w:t>
      </w:r>
      <w:r w:rsidR="005C1D7A">
        <w:t xml:space="preserve"> and </w:t>
      </w:r>
      <w:r w:rsidR="00A31752">
        <w:t>services</w:t>
      </w:r>
      <w:r w:rsidR="00573AD9">
        <w:t>;</w:t>
      </w:r>
      <w:r w:rsidR="005C1D7A">
        <w:t xml:space="preserve"> and </w:t>
      </w:r>
    </w:p>
    <w:p w14:paraId="61CABED2" w14:textId="228B7028" w:rsidR="005C1D7A" w:rsidRDefault="005C1D7A" w:rsidP="00101A53">
      <w:pPr>
        <w:pStyle w:val="ListParagraph"/>
        <w:numPr>
          <w:ilvl w:val="0"/>
          <w:numId w:val="76"/>
        </w:numPr>
        <w:ind w:left="357" w:hanging="357"/>
        <w:contextualSpacing w:val="0"/>
      </w:pPr>
      <w:r>
        <w:t xml:space="preserve">whether </w:t>
      </w:r>
      <w:r w:rsidR="00573AD9">
        <w:t xml:space="preserve">there are </w:t>
      </w:r>
      <w:r>
        <w:t xml:space="preserve">impacts </w:t>
      </w:r>
      <w:r w:rsidR="00573AD9">
        <w:t xml:space="preserve">that are </w:t>
      </w:r>
      <w:r>
        <w:t xml:space="preserve">likely to </w:t>
      </w:r>
      <w:r w:rsidR="00573AD9">
        <w:t>negatively affect consumers</w:t>
      </w:r>
      <w:r>
        <w:t xml:space="preserve">.  </w:t>
      </w:r>
    </w:p>
    <w:p w14:paraId="14761E57" w14:textId="042C8170" w:rsidR="005C1D7A" w:rsidRDefault="005C1D7A" w:rsidP="007F6504">
      <w:bookmarkStart w:id="87" w:name="_Hlk216986047"/>
      <w:r>
        <w:lastRenderedPageBreak/>
        <w:t xml:space="preserve">The </w:t>
      </w:r>
      <w:r w:rsidR="00640F14">
        <w:t xml:space="preserve">impact </w:t>
      </w:r>
      <w:r>
        <w:t>scale selected for the assessment of overall impact on stakeholders is</w:t>
      </w:r>
      <w:r w:rsidR="00640F14">
        <w:t xml:space="preserve"> an </w:t>
      </w:r>
      <w:r w:rsidR="001C28E2">
        <w:t>adapted</w:t>
      </w:r>
      <w:r w:rsidR="006402AB">
        <w:t xml:space="preserve"> </w:t>
      </w:r>
      <w:r w:rsidR="00640F14">
        <w:t xml:space="preserve">Likert </w:t>
      </w:r>
      <w:r w:rsidR="001C28E2">
        <w:t>r</w:t>
      </w:r>
      <w:r w:rsidR="00640F14">
        <w:t xml:space="preserve">atings </w:t>
      </w:r>
      <w:r w:rsidR="001C28E2">
        <w:t>s</w:t>
      </w:r>
      <w:r w:rsidR="00640F14">
        <w:t>cale</w:t>
      </w:r>
      <w:r w:rsidR="006402AB">
        <w:rPr>
          <w:rStyle w:val="FootnoteReference"/>
        </w:rPr>
        <w:footnoteReference w:id="52"/>
      </w:r>
      <w:r w:rsidR="001C28E2">
        <w:t xml:space="preserve">, </w:t>
      </w:r>
      <w:proofErr w:type="gramStart"/>
      <w:r w:rsidR="00190219">
        <w:t>similar to</w:t>
      </w:r>
      <w:proofErr w:type="gramEnd"/>
      <w:r w:rsidR="00190219">
        <w:t xml:space="preserve"> a ‘multi-criteria analysis’ (MCA)</w:t>
      </w:r>
      <w:r w:rsidR="00E02959">
        <w:t>,</w:t>
      </w:r>
      <w:r w:rsidR="00190219">
        <w:t xml:space="preserve"> </w:t>
      </w:r>
      <w:r w:rsidR="001C28E2">
        <w:t>represented as</w:t>
      </w:r>
      <w:r>
        <w:t xml:space="preserve">: </w:t>
      </w:r>
    </w:p>
    <w:tbl>
      <w:tblPr>
        <w:tblStyle w:val="TableGrid"/>
        <w:tblW w:w="0" w:type="auto"/>
        <w:tblLook w:val="04A0" w:firstRow="1" w:lastRow="0" w:firstColumn="1" w:lastColumn="0" w:noHBand="0" w:noVBand="1"/>
      </w:tblPr>
      <w:tblGrid>
        <w:gridCol w:w="1407"/>
        <w:gridCol w:w="1407"/>
        <w:gridCol w:w="1408"/>
        <w:gridCol w:w="1408"/>
        <w:gridCol w:w="1408"/>
        <w:gridCol w:w="1408"/>
        <w:gridCol w:w="1408"/>
      </w:tblGrid>
      <w:tr w:rsidR="005C1D7A" w14:paraId="483E3276" w14:textId="77777777" w:rsidTr="0080295B">
        <w:tc>
          <w:tcPr>
            <w:tcW w:w="1407" w:type="dxa"/>
            <w:shd w:val="clear" w:color="auto" w:fill="449F70" w:themeFill="accent6" w:themeFillShade="BF"/>
          </w:tcPr>
          <w:p w14:paraId="68B43587" w14:textId="68054016" w:rsidR="005C1D7A" w:rsidRDefault="005C1D7A" w:rsidP="00F60EA1">
            <w:pPr>
              <w:spacing w:before="60" w:after="60"/>
              <w:jc w:val="center"/>
            </w:pPr>
            <w:r>
              <w:t xml:space="preserve">High </w:t>
            </w:r>
            <w:r w:rsidR="006402AB">
              <w:br/>
            </w:r>
            <w:r>
              <w:t>positive</w:t>
            </w:r>
          </w:p>
          <w:p w14:paraId="000F8E5A" w14:textId="1878EFBD" w:rsidR="005C1D7A" w:rsidRDefault="005C1D7A" w:rsidP="00F60EA1">
            <w:pPr>
              <w:spacing w:before="60" w:after="60"/>
              <w:jc w:val="center"/>
            </w:pPr>
            <w:r>
              <w:t>1</w:t>
            </w:r>
          </w:p>
        </w:tc>
        <w:tc>
          <w:tcPr>
            <w:tcW w:w="1407" w:type="dxa"/>
            <w:shd w:val="clear" w:color="auto" w:fill="D9E5BB" w:themeFill="accent5" w:themeFillTint="99"/>
          </w:tcPr>
          <w:p w14:paraId="592EF4E6" w14:textId="77777777" w:rsidR="005C1D7A" w:rsidRDefault="005C1D7A" w:rsidP="00F60EA1">
            <w:pPr>
              <w:spacing w:before="60" w:after="60"/>
              <w:jc w:val="center"/>
            </w:pPr>
            <w:r>
              <w:t>Positive</w:t>
            </w:r>
          </w:p>
          <w:p w14:paraId="051D1457" w14:textId="77777777" w:rsidR="005C1D7A" w:rsidRDefault="005C1D7A" w:rsidP="00F60EA1">
            <w:pPr>
              <w:spacing w:before="60" w:after="60"/>
            </w:pPr>
          </w:p>
          <w:p w14:paraId="6FD4B469" w14:textId="58884129" w:rsidR="005C1D7A" w:rsidRDefault="005C1D7A" w:rsidP="00F60EA1">
            <w:pPr>
              <w:spacing w:before="60" w:after="60"/>
              <w:jc w:val="center"/>
            </w:pPr>
            <w:r>
              <w:t>2</w:t>
            </w:r>
          </w:p>
        </w:tc>
        <w:tc>
          <w:tcPr>
            <w:tcW w:w="1408" w:type="dxa"/>
            <w:shd w:val="clear" w:color="auto" w:fill="E2F2EA" w:themeFill="accent6" w:themeFillTint="33"/>
          </w:tcPr>
          <w:p w14:paraId="6EE9991A" w14:textId="178C8C06" w:rsidR="005C1D7A" w:rsidRDefault="005C1D7A" w:rsidP="00F60EA1">
            <w:pPr>
              <w:spacing w:before="60" w:after="60"/>
              <w:jc w:val="center"/>
            </w:pPr>
            <w:r>
              <w:t>Modest positive</w:t>
            </w:r>
          </w:p>
          <w:p w14:paraId="4E1A164F" w14:textId="3CA8FA72" w:rsidR="005C1D7A" w:rsidRDefault="005C1D7A" w:rsidP="00F60EA1">
            <w:pPr>
              <w:spacing w:before="60" w:after="60"/>
              <w:jc w:val="center"/>
            </w:pPr>
            <w:r>
              <w:t>3</w:t>
            </w:r>
          </w:p>
        </w:tc>
        <w:tc>
          <w:tcPr>
            <w:tcW w:w="1408" w:type="dxa"/>
            <w:shd w:val="clear" w:color="auto" w:fill="F2F2F2" w:themeFill="background1" w:themeFillShade="F2"/>
          </w:tcPr>
          <w:p w14:paraId="34F48930" w14:textId="77777777" w:rsidR="005C1D7A" w:rsidRDefault="005C1D7A" w:rsidP="00F60EA1">
            <w:pPr>
              <w:spacing w:before="60" w:after="60"/>
              <w:jc w:val="center"/>
            </w:pPr>
            <w:r>
              <w:t>Neutral</w:t>
            </w:r>
          </w:p>
          <w:p w14:paraId="63A761A0" w14:textId="77777777" w:rsidR="005C1D7A" w:rsidRDefault="005C1D7A" w:rsidP="00F60EA1">
            <w:pPr>
              <w:spacing w:before="60" w:after="60"/>
              <w:jc w:val="center"/>
            </w:pPr>
          </w:p>
          <w:p w14:paraId="59D6A70B" w14:textId="19D74496" w:rsidR="005C1D7A" w:rsidRDefault="005C1D7A" w:rsidP="00F60EA1">
            <w:pPr>
              <w:spacing w:before="60" w:after="60"/>
              <w:jc w:val="center"/>
            </w:pPr>
            <w:r>
              <w:t>4</w:t>
            </w:r>
          </w:p>
        </w:tc>
        <w:tc>
          <w:tcPr>
            <w:tcW w:w="1408" w:type="dxa"/>
            <w:shd w:val="clear" w:color="auto" w:fill="FFFF00"/>
          </w:tcPr>
          <w:p w14:paraId="4ED9421B" w14:textId="77777777" w:rsidR="005C1D7A" w:rsidRDefault="005C1D7A" w:rsidP="00F60EA1">
            <w:pPr>
              <w:spacing w:before="60" w:after="60"/>
              <w:jc w:val="center"/>
            </w:pPr>
            <w:r>
              <w:t>Modest negative</w:t>
            </w:r>
          </w:p>
          <w:p w14:paraId="1AD342BD" w14:textId="368FECA0" w:rsidR="005C1D7A" w:rsidRDefault="005C1D7A" w:rsidP="00F60EA1">
            <w:pPr>
              <w:spacing w:before="60" w:after="60"/>
              <w:jc w:val="center"/>
            </w:pPr>
            <w:r>
              <w:t>5</w:t>
            </w:r>
          </w:p>
        </w:tc>
        <w:tc>
          <w:tcPr>
            <w:tcW w:w="1408" w:type="dxa"/>
            <w:shd w:val="clear" w:color="auto" w:fill="FFC000"/>
          </w:tcPr>
          <w:p w14:paraId="078CC759" w14:textId="77777777" w:rsidR="005C1D7A" w:rsidRDefault="005C1D7A" w:rsidP="00F60EA1">
            <w:pPr>
              <w:spacing w:before="60" w:after="60"/>
              <w:jc w:val="center"/>
            </w:pPr>
            <w:r>
              <w:t>Negative</w:t>
            </w:r>
          </w:p>
          <w:p w14:paraId="6B689314" w14:textId="77777777" w:rsidR="005C1D7A" w:rsidRDefault="005C1D7A" w:rsidP="00F60EA1">
            <w:pPr>
              <w:spacing w:before="60" w:after="60"/>
              <w:jc w:val="center"/>
            </w:pPr>
          </w:p>
          <w:p w14:paraId="35B41C29" w14:textId="4FCC887A" w:rsidR="005C1D7A" w:rsidRDefault="005C1D7A" w:rsidP="00F60EA1">
            <w:pPr>
              <w:spacing w:before="60" w:after="60"/>
              <w:jc w:val="center"/>
            </w:pPr>
            <w:r>
              <w:t>6</w:t>
            </w:r>
          </w:p>
        </w:tc>
        <w:tc>
          <w:tcPr>
            <w:tcW w:w="1408" w:type="dxa"/>
            <w:shd w:val="clear" w:color="auto" w:fill="FF0000"/>
          </w:tcPr>
          <w:p w14:paraId="3A6EA94E" w14:textId="77777777" w:rsidR="005C1D7A" w:rsidRDefault="005C1D7A" w:rsidP="00F60EA1">
            <w:pPr>
              <w:spacing w:before="60" w:after="60"/>
              <w:jc w:val="center"/>
            </w:pPr>
            <w:r>
              <w:t>High negative</w:t>
            </w:r>
          </w:p>
          <w:p w14:paraId="59A92004" w14:textId="1F90A7DC" w:rsidR="005C1D7A" w:rsidRDefault="005C1D7A" w:rsidP="00F60EA1">
            <w:pPr>
              <w:spacing w:before="60" w:after="60"/>
              <w:jc w:val="center"/>
            </w:pPr>
            <w:r>
              <w:t>7</w:t>
            </w:r>
          </w:p>
        </w:tc>
      </w:tr>
    </w:tbl>
    <w:bookmarkEnd w:id="87"/>
    <w:p w14:paraId="67739119" w14:textId="3D8C222D" w:rsidR="005C1D7A" w:rsidRDefault="005C1D7A" w:rsidP="007F6504">
      <w:r>
        <w:t xml:space="preserve">Each rating is equally weighted and assigned a numerical rating of 1 (High Positive) to 7 (High Negative). The impact on each affected stakeholder group under </w:t>
      </w:r>
      <w:r w:rsidR="00A31752">
        <w:t xml:space="preserve">each </w:t>
      </w:r>
      <w:r>
        <w:t xml:space="preserve">option is individually rated, and the overall rating for that option is scored by taking the average of the individual ratings. </w:t>
      </w:r>
    </w:p>
    <w:p w14:paraId="0C511B5C" w14:textId="3D964BC8" w:rsidR="005C1D7A" w:rsidRDefault="005C1D7A" w:rsidP="007F6504">
      <w:r>
        <w:t xml:space="preserve">Options assessed </w:t>
      </w:r>
      <w:r w:rsidR="00190219">
        <w:t xml:space="preserve">using the MCA </w:t>
      </w:r>
      <w:r>
        <w:t xml:space="preserve">as ‘Negative’ or ‘High Negative’ are considered to have significant impacts </w:t>
      </w:r>
      <w:r w:rsidR="00B44B62">
        <w:t>that are overall less desirable for a policy outcome</w:t>
      </w:r>
      <w:r>
        <w:t>.</w:t>
      </w:r>
      <w:r w:rsidR="00D77D5C">
        <w:t xml:space="preserve"> </w:t>
      </w:r>
    </w:p>
    <w:p w14:paraId="4A9CC0E4" w14:textId="2C516D4F" w:rsidR="001E0CA7" w:rsidRDefault="001E0CA7" w:rsidP="007F6504">
      <w:pPr>
        <w:rPr>
          <w:lang w:val="en-US"/>
        </w:rPr>
      </w:pPr>
      <w:r>
        <w:t xml:space="preserve">A summary analysis </w:t>
      </w:r>
      <w:r w:rsidR="001C28E2">
        <w:t>and detailed semi-</w:t>
      </w:r>
      <w:r w:rsidR="009E2C78">
        <w:t>quantitative</w:t>
      </w:r>
      <w:r w:rsidR="001C28E2">
        <w:t xml:space="preserve"> assessments by stakeholder group </w:t>
      </w:r>
      <w:r w:rsidR="003A72AC">
        <w:t>are</w:t>
      </w:r>
      <w:r>
        <w:t xml:space="preserve"> presented in this chapter. </w:t>
      </w:r>
    </w:p>
    <w:p w14:paraId="5D9CC436" w14:textId="01F9E81F" w:rsidR="00EB52A6" w:rsidRPr="00AD7703" w:rsidRDefault="00981395" w:rsidP="005B354D">
      <w:pPr>
        <w:pStyle w:val="Heading2Numbered"/>
      </w:pPr>
      <w:bookmarkStart w:id="88" w:name="_Toc236825163"/>
      <w:r>
        <w:t>Option 1: No intervention</w:t>
      </w:r>
      <w:bookmarkEnd w:id="88"/>
    </w:p>
    <w:p w14:paraId="20C2E248" w14:textId="541B1B1A" w:rsidR="00242313" w:rsidRPr="00242313" w:rsidRDefault="00242313" w:rsidP="00242313">
      <w:pPr>
        <w:pStyle w:val="Heading3Numbered"/>
      </w:pPr>
      <w:bookmarkStart w:id="89" w:name="_Toc236825164"/>
      <w:r w:rsidRPr="00242313">
        <w:t xml:space="preserve">Regulatory </w:t>
      </w:r>
      <w:r w:rsidR="009D5C1E">
        <w:t>burden</w:t>
      </w:r>
      <w:bookmarkEnd w:id="89"/>
    </w:p>
    <w:p w14:paraId="170E9CC7" w14:textId="5F3C5864" w:rsidR="00242313" w:rsidRDefault="00C823E5">
      <w:pPr>
        <w:rPr>
          <w:lang w:val="en-US"/>
        </w:rPr>
      </w:pPr>
      <w:r>
        <w:rPr>
          <w:lang w:val="en-US"/>
        </w:rPr>
        <w:t>Option 1 forms</w:t>
      </w:r>
      <w:r w:rsidR="001D4C9B">
        <w:rPr>
          <w:lang w:val="en-US"/>
        </w:rPr>
        <w:t xml:space="preserve"> the base case for the analysis</w:t>
      </w:r>
      <w:r>
        <w:rPr>
          <w:lang w:val="en-US"/>
        </w:rPr>
        <w:t xml:space="preserve">, </w:t>
      </w:r>
      <w:r w:rsidR="009E2C78">
        <w:rPr>
          <w:lang w:val="en-US"/>
        </w:rPr>
        <w:t xml:space="preserve">and </w:t>
      </w:r>
      <w:r>
        <w:rPr>
          <w:lang w:val="en-US"/>
        </w:rPr>
        <w:t xml:space="preserve">it does not introduce any new regulatory costs on consumers (individuals), community </w:t>
      </w:r>
      <w:proofErr w:type="spellStart"/>
      <w:r>
        <w:rPr>
          <w:lang w:val="en-US"/>
        </w:rPr>
        <w:t>organisations</w:t>
      </w:r>
      <w:proofErr w:type="spellEnd"/>
      <w:r w:rsidR="001A4B76">
        <w:rPr>
          <w:lang w:val="en-US"/>
        </w:rPr>
        <w:t xml:space="preserve"> (community radio broadcasters)</w:t>
      </w:r>
      <w:r>
        <w:rPr>
          <w:lang w:val="en-US"/>
        </w:rPr>
        <w:t xml:space="preserve">, </w:t>
      </w:r>
      <w:r w:rsidR="00A31752">
        <w:rPr>
          <w:lang w:val="en-US"/>
        </w:rPr>
        <w:t xml:space="preserve">or </w:t>
      </w:r>
      <w:r>
        <w:rPr>
          <w:lang w:val="en-US"/>
        </w:rPr>
        <w:t>identified businesses (being Australian radio services, and providers of voice assistant software).</w:t>
      </w:r>
    </w:p>
    <w:p w14:paraId="69A60D6B" w14:textId="4CB3B241" w:rsidR="003803DE" w:rsidRPr="003803DE" w:rsidRDefault="003803DE" w:rsidP="003803DE">
      <w:pPr>
        <w:pStyle w:val="Caption"/>
      </w:pPr>
      <w:bookmarkStart w:id="90" w:name="_Toc236825668"/>
      <w:r>
        <w:t xml:space="preserve">Table </w:t>
      </w:r>
      <w:r w:rsidR="00CF089C">
        <w:t>4</w:t>
      </w:r>
      <w:r>
        <w:t>: Option 1 - a</w:t>
      </w:r>
      <w:r w:rsidRPr="003803DE">
        <w:t>verage annual regulatory costs (from business as usual)</w:t>
      </w:r>
      <w:bookmarkEnd w:id="90"/>
      <w:r w:rsidRPr="003803DE">
        <w:t> </w:t>
      </w:r>
    </w:p>
    <w:tbl>
      <w:tblPr>
        <w:tblStyle w:val="DefaultTable1"/>
        <w:tblW w:w="9800" w:type="dxa"/>
        <w:tblLook w:val="04A0" w:firstRow="1" w:lastRow="0" w:firstColumn="1" w:lastColumn="0" w:noHBand="0" w:noVBand="1"/>
      </w:tblPr>
      <w:tblGrid>
        <w:gridCol w:w="1960"/>
        <w:gridCol w:w="1960"/>
        <w:gridCol w:w="1960"/>
        <w:gridCol w:w="1960"/>
        <w:gridCol w:w="1960"/>
      </w:tblGrid>
      <w:tr w:rsidR="003803DE" w:rsidRPr="003803DE" w14:paraId="6A30F941" w14:textId="77777777" w:rsidTr="003803DE">
        <w:trPr>
          <w:cnfStyle w:val="100000000000" w:firstRow="1" w:lastRow="0" w:firstColumn="0" w:lastColumn="0" w:oddVBand="0" w:evenVBand="0" w:oddHBand="0"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960" w:type="dxa"/>
            <w:hideMark/>
          </w:tcPr>
          <w:p w14:paraId="225DB171" w14:textId="342DB97E" w:rsidR="003803DE" w:rsidRPr="003803DE" w:rsidRDefault="003803DE" w:rsidP="003803DE">
            <w:pPr>
              <w:spacing w:before="160"/>
              <w:rPr>
                <w:bCs/>
              </w:rPr>
            </w:pPr>
            <w:r w:rsidRPr="003803DE">
              <w:rPr>
                <w:bCs/>
              </w:rPr>
              <w:t>Change in costs  </w:t>
            </w:r>
          </w:p>
        </w:tc>
        <w:tc>
          <w:tcPr>
            <w:tcW w:w="1960" w:type="dxa"/>
            <w:hideMark/>
          </w:tcPr>
          <w:p w14:paraId="7F6D0148" w14:textId="77777777" w:rsidR="003803DE" w:rsidRPr="003803DE" w:rsidRDefault="003803DE" w:rsidP="003803DE">
            <w:pPr>
              <w:spacing w:before="160"/>
              <w:cnfStyle w:val="100000000000" w:firstRow="1" w:lastRow="0" w:firstColumn="0" w:lastColumn="0" w:oddVBand="0" w:evenVBand="0" w:oddHBand="0" w:evenHBand="0" w:firstRowFirstColumn="0" w:firstRowLastColumn="0" w:lastRowFirstColumn="0" w:lastRowLastColumn="0"/>
              <w:rPr>
                <w:bCs/>
              </w:rPr>
            </w:pPr>
            <w:r w:rsidRPr="003803DE">
              <w:rPr>
                <w:bCs/>
              </w:rPr>
              <w:t>Business </w:t>
            </w:r>
          </w:p>
        </w:tc>
        <w:tc>
          <w:tcPr>
            <w:tcW w:w="1960" w:type="dxa"/>
            <w:hideMark/>
          </w:tcPr>
          <w:p w14:paraId="13D72111" w14:textId="77777777" w:rsidR="003803DE" w:rsidRPr="003803DE" w:rsidRDefault="003803DE" w:rsidP="003803DE">
            <w:pPr>
              <w:spacing w:before="160"/>
              <w:cnfStyle w:val="100000000000" w:firstRow="1" w:lastRow="0" w:firstColumn="0" w:lastColumn="0" w:oddVBand="0" w:evenVBand="0" w:oddHBand="0" w:evenHBand="0" w:firstRowFirstColumn="0" w:firstRowLastColumn="0" w:lastRowFirstColumn="0" w:lastRowLastColumn="0"/>
              <w:rPr>
                <w:bCs/>
              </w:rPr>
            </w:pPr>
            <w:r w:rsidRPr="003803DE">
              <w:rPr>
                <w:bCs/>
              </w:rPr>
              <w:t>Community organisations </w:t>
            </w:r>
          </w:p>
        </w:tc>
        <w:tc>
          <w:tcPr>
            <w:tcW w:w="1960" w:type="dxa"/>
            <w:hideMark/>
          </w:tcPr>
          <w:p w14:paraId="3F1C5108" w14:textId="77777777" w:rsidR="003803DE" w:rsidRPr="003803DE" w:rsidRDefault="003803DE" w:rsidP="003803DE">
            <w:pPr>
              <w:spacing w:before="160"/>
              <w:cnfStyle w:val="100000000000" w:firstRow="1" w:lastRow="0" w:firstColumn="0" w:lastColumn="0" w:oddVBand="0" w:evenVBand="0" w:oddHBand="0" w:evenHBand="0" w:firstRowFirstColumn="0" w:firstRowLastColumn="0" w:lastRowFirstColumn="0" w:lastRowLastColumn="0"/>
              <w:rPr>
                <w:bCs/>
              </w:rPr>
            </w:pPr>
            <w:r w:rsidRPr="003803DE">
              <w:rPr>
                <w:bCs/>
              </w:rPr>
              <w:t>Individuals </w:t>
            </w:r>
          </w:p>
        </w:tc>
        <w:tc>
          <w:tcPr>
            <w:tcW w:w="1960" w:type="dxa"/>
            <w:hideMark/>
          </w:tcPr>
          <w:p w14:paraId="3C5D812A" w14:textId="77777777" w:rsidR="003803DE" w:rsidRPr="003803DE" w:rsidRDefault="003803DE" w:rsidP="003803DE">
            <w:pPr>
              <w:spacing w:before="160"/>
              <w:cnfStyle w:val="100000000000" w:firstRow="1" w:lastRow="0" w:firstColumn="0" w:lastColumn="0" w:oddVBand="0" w:evenVBand="0" w:oddHBand="0" w:evenHBand="0" w:firstRowFirstColumn="0" w:firstRowLastColumn="0" w:lastRowFirstColumn="0" w:lastRowLastColumn="0"/>
              <w:rPr>
                <w:bCs/>
              </w:rPr>
            </w:pPr>
            <w:r w:rsidRPr="003803DE">
              <w:rPr>
                <w:bCs/>
              </w:rPr>
              <w:t>Total change in costs </w:t>
            </w:r>
          </w:p>
        </w:tc>
      </w:tr>
      <w:tr w:rsidR="003803DE" w:rsidRPr="003803DE" w14:paraId="27094AAA" w14:textId="77777777" w:rsidTr="003803DE">
        <w:trPr>
          <w:trHeight w:val="294"/>
        </w:trPr>
        <w:tc>
          <w:tcPr>
            <w:cnfStyle w:val="001000000000" w:firstRow="0" w:lastRow="0" w:firstColumn="1" w:lastColumn="0" w:oddVBand="0" w:evenVBand="0" w:oddHBand="0" w:evenHBand="0" w:firstRowFirstColumn="0" w:firstRowLastColumn="0" w:lastRowFirstColumn="0" w:lastRowLastColumn="0"/>
            <w:tcW w:w="1960" w:type="dxa"/>
            <w:hideMark/>
          </w:tcPr>
          <w:p w14:paraId="73D71A03" w14:textId="5E7F6736" w:rsidR="003803DE" w:rsidRPr="003803DE" w:rsidRDefault="003803DE" w:rsidP="003803DE">
            <w:pPr>
              <w:spacing w:before="160"/>
            </w:pPr>
            <w:r w:rsidRPr="003803DE">
              <w:rPr>
                <w:bCs/>
              </w:rPr>
              <w:t>Total</w:t>
            </w:r>
            <w:r w:rsidR="00C823E5">
              <w:rPr>
                <w:bCs/>
              </w:rPr>
              <w:t xml:space="preserve"> ($million</w:t>
            </w:r>
            <w:r w:rsidR="00640C05">
              <w:rPr>
                <w:bCs/>
              </w:rPr>
              <w:t>s</w:t>
            </w:r>
            <w:r w:rsidR="00C823E5">
              <w:rPr>
                <w:bCs/>
              </w:rPr>
              <w:t>)</w:t>
            </w:r>
            <w:r w:rsidRPr="003803DE">
              <w:t> </w:t>
            </w:r>
          </w:p>
        </w:tc>
        <w:tc>
          <w:tcPr>
            <w:tcW w:w="1960" w:type="dxa"/>
            <w:hideMark/>
          </w:tcPr>
          <w:p w14:paraId="1E0DD868" w14:textId="044A9FC9" w:rsidR="003803DE" w:rsidRPr="003803DE" w:rsidRDefault="003803DE" w:rsidP="003803DE">
            <w:pPr>
              <w:spacing w:before="160"/>
              <w:cnfStyle w:val="000000000000" w:firstRow="0" w:lastRow="0" w:firstColumn="0" w:lastColumn="0" w:oddVBand="0" w:evenVBand="0" w:oddHBand="0" w:evenHBand="0" w:firstRowFirstColumn="0" w:firstRowLastColumn="0" w:lastRowFirstColumn="0" w:lastRowLastColumn="0"/>
            </w:pPr>
            <w:r w:rsidRPr="003803DE">
              <w:t>$ </w:t>
            </w:r>
            <w:r w:rsidR="00C823E5">
              <w:t>0.000</w:t>
            </w:r>
          </w:p>
        </w:tc>
        <w:tc>
          <w:tcPr>
            <w:tcW w:w="1960" w:type="dxa"/>
            <w:hideMark/>
          </w:tcPr>
          <w:p w14:paraId="1433D63D" w14:textId="17F6015A" w:rsidR="003803DE" w:rsidRPr="003803DE" w:rsidRDefault="003803DE" w:rsidP="003803DE">
            <w:pPr>
              <w:spacing w:before="160"/>
              <w:cnfStyle w:val="000000000000" w:firstRow="0" w:lastRow="0" w:firstColumn="0" w:lastColumn="0" w:oddVBand="0" w:evenVBand="0" w:oddHBand="0" w:evenHBand="0" w:firstRowFirstColumn="0" w:firstRowLastColumn="0" w:lastRowFirstColumn="0" w:lastRowLastColumn="0"/>
            </w:pPr>
            <w:r w:rsidRPr="003803DE">
              <w:t>$ </w:t>
            </w:r>
            <w:r w:rsidR="00C823E5">
              <w:t>0.000</w:t>
            </w:r>
          </w:p>
        </w:tc>
        <w:tc>
          <w:tcPr>
            <w:tcW w:w="1960" w:type="dxa"/>
            <w:hideMark/>
          </w:tcPr>
          <w:p w14:paraId="23AEAE70" w14:textId="77579630" w:rsidR="003803DE" w:rsidRPr="003803DE" w:rsidRDefault="003803DE" w:rsidP="003803DE">
            <w:pPr>
              <w:spacing w:before="160"/>
              <w:cnfStyle w:val="000000000000" w:firstRow="0" w:lastRow="0" w:firstColumn="0" w:lastColumn="0" w:oddVBand="0" w:evenVBand="0" w:oddHBand="0" w:evenHBand="0" w:firstRowFirstColumn="0" w:firstRowLastColumn="0" w:lastRowFirstColumn="0" w:lastRowLastColumn="0"/>
            </w:pPr>
            <w:r w:rsidRPr="003803DE">
              <w:t>$ </w:t>
            </w:r>
            <w:r w:rsidR="00C823E5">
              <w:t>0.000</w:t>
            </w:r>
          </w:p>
        </w:tc>
        <w:tc>
          <w:tcPr>
            <w:tcW w:w="1960" w:type="dxa"/>
            <w:hideMark/>
          </w:tcPr>
          <w:p w14:paraId="7F66D514" w14:textId="60C107BE" w:rsidR="003803DE" w:rsidRPr="003803DE" w:rsidRDefault="003803DE" w:rsidP="003803DE">
            <w:pPr>
              <w:spacing w:before="160"/>
              <w:cnfStyle w:val="000000000000" w:firstRow="0" w:lastRow="0" w:firstColumn="0" w:lastColumn="0" w:oddVBand="0" w:evenVBand="0" w:oddHBand="0" w:evenHBand="0" w:firstRowFirstColumn="0" w:firstRowLastColumn="0" w:lastRowFirstColumn="0" w:lastRowLastColumn="0"/>
            </w:pPr>
            <w:r w:rsidRPr="003803DE">
              <w:t>$ </w:t>
            </w:r>
            <w:r w:rsidR="00C823E5">
              <w:t>0.000</w:t>
            </w:r>
          </w:p>
        </w:tc>
      </w:tr>
    </w:tbl>
    <w:p w14:paraId="642B70D6" w14:textId="7CADBF2D" w:rsidR="00242313" w:rsidRPr="00242313" w:rsidRDefault="001C7CFF" w:rsidP="00242313">
      <w:pPr>
        <w:pStyle w:val="Heading3Numbered"/>
      </w:pPr>
      <w:bookmarkStart w:id="91" w:name="_Toc216846909"/>
      <w:bookmarkStart w:id="92" w:name="_Toc216959434"/>
      <w:bookmarkStart w:id="93" w:name="_Toc236825165"/>
      <w:bookmarkEnd w:id="91"/>
      <w:bookmarkEnd w:id="92"/>
      <w:r>
        <w:t>A</w:t>
      </w:r>
      <w:r w:rsidR="00242313" w:rsidRPr="00242313">
        <w:t>ssessment of impacts</w:t>
      </w:r>
      <w:bookmarkEnd w:id="93"/>
      <w:r w:rsidR="00242313" w:rsidRPr="00242313">
        <w:t xml:space="preserve"> </w:t>
      </w:r>
    </w:p>
    <w:p w14:paraId="071DB354" w14:textId="42DEAE24" w:rsidR="003068BC" w:rsidRDefault="00F57202">
      <w:pPr>
        <w:rPr>
          <w:lang w:val="en-US"/>
        </w:rPr>
      </w:pPr>
      <w:r>
        <w:rPr>
          <w:lang w:val="en-US"/>
        </w:rPr>
        <w:t>A failure to implement an enforceable radio prominence framework for smart speakers is expected, in the long term</w:t>
      </w:r>
      <w:r w:rsidR="00852445">
        <w:rPr>
          <w:lang w:val="en-US"/>
        </w:rPr>
        <w:t xml:space="preserve">, </w:t>
      </w:r>
      <w:r w:rsidR="00416C76">
        <w:rPr>
          <w:lang w:val="en-US"/>
        </w:rPr>
        <w:t>t</w:t>
      </w:r>
      <w:r>
        <w:rPr>
          <w:lang w:val="en-US"/>
        </w:rPr>
        <w:t xml:space="preserve">o have a negative </w:t>
      </w:r>
      <w:r w:rsidR="003068BC">
        <w:rPr>
          <w:lang w:val="en-US"/>
        </w:rPr>
        <w:t>impact</w:t>
      </w:r>
      <w:r>
        <w:rPr>
          <w:lang w:val="en-US"/>
        </w:rPr>
        <w:t xml:space="preserve"> on Australian radio broadcasters and </w:t>
      </w:r>
      <w:r w:rsidR="009E2C78">
        <w:rPr>
          <w:lang w:val="en-US"/>
        </w:rPr>
        <w:t xml:space="preserve">a </w:t>
      </w:r>
      <w:r w:rsidR="003068BC">
        <w:rPr>
          <w:lang w:val="en-US"/>
        </w:rPr>
        <w:t>modestly negative impact on the consumers who use and rely on those services.</w:t>
      </w:r>
    </w:p>
    <w:p w14:paraId="132085CE" w14:textId="1E1AC216" w:rsidR="00EB52A6" w:rsidRPr="005E4CFA" w:rsidRDefault="00EB52A6">
      <w:pPr>
        <w:rPr>
          <w:lang w:val="en-US"/>
        </w:rPr>
      </w:pPr>
      <w:r w:rsidRPr="005E4CFA">
        <w:rPr>
          <w:lang w:val="en-US"/>
        </w:rPr>
        <w:t xml:space="preserve">Maintaining the status quo </w:t>
      </w:r>
      <w:r w:rsidR="003068BC">
        <w:rPr>
          <w:lang w:val="en-US"/>
        </w:rPr>
        <w:t>is expected to result in</w:t>
      </w:r>
      <w:r w:rsidRPr="005E4CFA">
        <w:rPr>
          <w:lang w:val="en-US"/>
        </w:rPr>
        <w:t xml:space="preserve"> the continuation</w:t>
      </w:r>
      <w:r w:rsidR="00E04ADD" w:rsidRPr="005E4CFA">
        <w:rPr>
          <w:lang w:val="en-US"/>
        </w:rPr>
        <w:t xml:space="preserve"> of:</w:t>
      </w:r>
    </w:p>
    <w:p w14:paraId="25A19362" w14:textId="77777777" w:rsidR="00637865" w:rsidRDefault="003068BC" w:rsidP="00637865">
      <w:pPr>
        <w:pStyle w:val="ListParagraph"/>
        <w:numPr>
          <w:ilvl w:val="0"/>
          <w:numId w:val="31"/>
        </w:numPr>
        <w:ind w:left="425" w:hanging="425"/>
        <w:contextualSpacing w:val="0"/>
        <w:rPr>
          <w:lang w:val="en-US"/>
        </w:rPr>
      </w:pPr>
      <w:r w:rsidRPr="001F3ADA">
        <w:rPr>
          <w:b/>
          <w:lang w:val="en-US"/>
        </w:rPr>
        <w:t>need for c</w:t>
      </w:r>
      <w:r w:rsidR="00E04ADD" w:rsidRPr="001F3ADA">
        <w:rPr>
          <w:b/>
          <w:lang w:val="en-US"/>
        </w:rPr>
        <w:t>ommercial arrangements</w:t>
      </w:r>
      <w:r w:rsidR="00E04ADD" w:rsidRPr="005E4CFA">
        <w:rPr>
          <w:lang w:val="en-US"/>
        </w:rPr>
        <w:t xml:space="preserve"> between </w:t>
      </w:r>
      <w:r>
        <w:rPr>
          <w:lang w:val="en-US"/>
        </w:rPr>
        <w:t xml:space="preserve">Australian </w:t>
      </w:r>
      <w:r w:rsidR="00E04ADD" w:rsidRPr="005E4CFA">
        <w:rPr>
          <w:lang w:val="en-US"/>
        </w:rPr>
        <w:t xml:space="preserve">radio </w:t>
      </w:r>
      <w:r>
        <w:rPr>
          <w:lang w:val="en-US"/>
        </w:rPr>
        <w:t xml:space="preserve">broadcasters </w:t>
      </w:r>
      <w:r w:rsidR="00E04ADD" w:rsidRPr="005E4CFA">
        <w:rPr>
          <w:lang w:val="en-US"/>
        </w:rPr>
        <w:t>and voice assistant p</w:t>
      </w:r>
      <w:r>
        <w:rPr>
          <w:lang w:val="en-US"/>
        </w:rPr>
        <w:t>latforms</w:t>
      </w:r>
      <w:r w:rsidR="00E04ADD" w:rsidRPr="005E4CFA">
        <w:rPr>
          <w:lang w:val="en-US"/>
        </w:rPr>
        <w:t xml:space="preserve"> to </w:t>
      </w:r>
      <w:r>
        <w:rPr>
          <w:lang w:val="en-US"/>
        </w:rPr>
        <w:t xml:space="preserve">ensure </w:t>
      </w:r>
      <w:r w:rsidR="00E04ADD" w:rsidRPr="005E4CFA">
        <w:rPr>
          <w:lang w:val="en-US"/>
        </w:rPr>
        <w:t>Australian radio content</w:t>
      </w:r>
      <w:r>
        <w:rPr>
          <w:lang w:val="en-US"/>
        </w:rPr>
        <w:t xml:space="preserve"> is accurately surfaced when requested by users</w:t>
      </w:r>
      <w:r w:rsidR="00E04ADD" w:rsidRPr="005E4CFA">
        <w:rPr>
          <w:lang w:val="en-US"/>
        </w:rPr>
        <w:t>.</w:t>
      </w:r>
    </w:p>
    <w:p w14:paraId="1F63B5A8" w14:textId="1A1204A7" w:rsidR="00E44520" w:rsidRPr="00637865" w:rsidRDefault="001F3ADA" w:rsidP="00637865">
      <w:pPr>
        <w:pStyle w:val="ListParagraph"/>
        <w:numPr>
          <w:ilvl w:val="0"/>
          <w:numId w:val="31"/>
        </w:numPr>
        <w:ind w:left="425" w:hanging="425"/>
        <w:contextualSpacing w:val="0"/>
        <w:rPr>
          <w:lang w:val="en-US"/>
        </w:rPr>
      </w:pPr>
      <w:r w:rsidRPr="00637865">
        <w:rPr>
          <w:b/>
          <w:lang w:val="en-US"/>
        </w:rPr>
        <w:t xml:space="preserve">inequality in bargaining power, </w:t>
      </w:r>
      <w:r w:rsidRPr="00637865">
        <w:rPr>
          <w:lang w:val="en-US"/>
        </w:rPr>
        <w:t xml:space="preserve">with an </w:t>
      </w:r>
      <w:r w:rsidR="00E04ADD" w:rsidRPr="00637865">
        <w:rPr>
          <w:lang w:val="en-US"/>
        </w:rPr>
        <w:t xml:space="preserve">increase over the coming </w:t>
      </w:r>
      <w:r w:rsidRPr="00637865">
        <w:rPr>
          <w:lang w:val="en-US"/>
        </w:rPr>
        <w:t>years, between</w:t>
      </w:r>
      <w:r w:rsidR="00E04ADD" w:rsidRPr="00637865">
        <w:rPr>
          <w:lang w:val="en-US"/>
        </w:rPr>
        <w:t xml:space="preserve"> </w:t>
      </w:r>
      <w:r w:rsidRPr="00637865">
        <w:rPr>
          <w:lang w:val="en-US"/>
        </w:rPr>
        <w:t xml:space="preserve">Australian </w:t>
      </w:r>
      <w:r w:rsidR="00E04ADD" w:rsidRPr="00637865">
        <w:rPr>
          <w:lang w:val="en-US"/>
        </w:rPr>
        <w:t xml:space="preserve">radio </w:t>
      </w:r>
      <w:r w:rsidRPr="00637865">
        <w:rPr>
          <w:lang w:val="en-US"/>
        </w:rPr>
        <w:t xml:space="preserve">broadcasters </w:t>
      </w:r>
      <w:r w:rsidR="00E04ADD" w:rsidRPr="00637865">
        <w:rPr>
          <w:lang w:val="en-US"/>
        </w:rPr>
        <w:t xml:space="preserve">and </w:t>
      </w:r>
      <w:r w:rsidR="00637865">
        <w:rPr>
          <w:lang w:val="en-US"/>
        </w:rPr>
        <w:t xml:space="preserve">the providers of </w:t>
      </w:r>
      <w:r w:rsidR="00E04ADD" w:rsidRPr="00637865">
        <w:rPr>
          <w:lang w:val="en-US"/>
        </w:rPr>
        <w:t xml:space="preserve">voice assistant </w:t>
      </w:r>
      <w:r w:rsidRPr="00637865">
        <w:rPr>
          <w:lang w:val="en-US"/>
        </w:rPr>
        <w:t>platforms</w:t>
      </w:r>
      <w:r w:rsidR="00A31752">
        <w:rPr>
          <w:lang w:val="en-US"/>
        </w:rPr>
        <w:t xml:space="preserve">, leading to the capacity to exert greater control over the terms of access to radio services.  </w:t>
      </w:r>
    </w:p>
    <w:p w14:paraId="3AC7C692" w14:textId="77777777" w:rsidR="00A31752" w:rsidRDefault="00A31752" w:rsidP="003068BC">
      <w:pPr>
        <w:pStyle w:val="Caption"/>
      </w:pPr>
    </w:p>
    <w:p w14:paraId="7CE8843F" w14:textId="77777777" w:rsidR="00A31752" w:rsidRDefault="00A31752" w:rsidP="003068BC">
      <w:pPr>
        <w:pStyle w:val="Caption"/>
      </w:pPr>
    </w:p>
    <w:p w14:paraId="400636EA" w14:textId="7E9A34CC" w:rsidR="0047275D" w:rsidRPr="003068BC" w:rsidRDefault="0047275D" w:rsidP="003068BC">
      <w:pPr>
        <w:pStyle w:val="Caption"/>
      </w:pPr>
      <w:bookmarkStart w:id="94" w:name="_Toc236825669"/>
      <w:r w:rsidRPr="003068BC">
        <w:lastRenderedPageBreak/>
        <w:t xml:space="preserve">Table </w:t>
      </w:r>
      <w:r w:rsidR="00CF089C">
        <w:t>5</w:t>
      </w:r>
      <w:r w:rsidRPr="003068BC">
        <w:t xml:space="preserve">: </w:t>
      </w:r>
      <w:r w:rsidR="003C38C3" w:rsidRPr="003068BC">
        <w:t xml:space="preserve">Stakeholder impacts of </w:t>
      </w:r>
      <w:r w:rsidR="00EC6B86">
        <w:t>Option 1</w:t>
      </w:r>
      <w:bookmarkEnd w:id="94"/>
    </w:p>
    <w:tbl>
      <w:tblPr>
        <w:tblStyle w:val="DefaultTable1"/>
        <w:tblW w:w="5000" w:type="pct"/>
        <w:tblLook w:val="04A0" w:firstRow="1" w:lastRow="0" w:firstColumn="1" w:lastColumn="0" w:noHBand="0" w:noVBand="1"/>
      </w:tblPr>
      <w:tblGrid>
        <w:gridCol w:w="1945"/>
        <w:gridCol w:w="6838"/>
        <w:gridCol w:w="1081"/>
      </w:tblGrid>
      <w:tr w:rsidR="0047275D" w14:paraId="2EF70593" w14:textId="77777777" w:rsidTr="00AF40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pct"/>
          </w:tcPr>
          <w:p w14:paraId="75634198" w14:textId="0FC0EF6A" w:rsidR="0047275D" w:rsidRDefault="0047275D" w:rsidP="00C73CD5">
            <w:bookmarkStart w:id="95" w:name="_Hlk216688867"/>
            <w:r>
              <w:t>Stakeholder</w:t>
            </w:r>
          </w:p>
        </w:tc>
        <w:tc>
          <w:tcPr>
            <w:tcW w:w="3446" w:type="pct"/>
          </w:tcPr>
          <w:p w14:paraId="7BD85C53" w14:textId="75E7FAC5" w:rsidR="0047275D" w:rsidRDefault="0047275D" w:rsidP="00C73CD5">
            <w:pPr>
              <w:cnfStyle w:val="100000000000" w:firstRow="1" w:lastRow="0" w:firstColumn="0" w:lastColumn="0" w:oddVBand="0" w:evenVBand="0" w:oddHBand="0" w:evenHBand="0" w:firstRowFirstColumn="0" w:firstRowLastColumn="0" w:lastRowFirstColumn="0" w:lastRowLastColumn="0"/>
            </w:pPr>
            <w:r>
              <w:t>Description of impact</w:t>
            </w:r>
          </w:p>
        </w:tc>
        <w:tc>
          <w:tcPr>
            <w:tcW w:w="545" w:type="pct"/>
            <w:vAlign w:val="center"/>
          </w:tcPr>
          <w:p w14:paraId="57C1556C" w14:textId="074E04EF" w:rsidR="0047275D" w:rsidRDefault="0047275D" w:rsidP="00004EB9">
            <w:pPr>
              <w:jc w:val="center"/>
              <w:cnfStyle w:val="100000000000" w:firstRow="1" w:lastRow="0" w:firstColumn="0" w:lastColumn="0" w:oddVBand="0" w:evenVBand="0" w:oddHBand="0" w:evenHBand="0" w:firstRowFirstColumn="0" w:firstRowLastColumn="0" w:lastRowFirstColumn="0" w:lastRowLastColumn="0"/>
            </w:pPr>
            <w:r>
              <w:t>Impact</w:t>
            </w:r>
          </w:p>
        </w:tc>
      </w:tr>
      <w:tr w:rsidR="0047275D" w14:paraId="625C8742" w14:textId="77777777" w:rsidTr="00AF402C">
        <w:tc>
          <w:tcPr>
            <w:cnfStyle w:val="001000000000" w:firstRow="0" w:lastRow="0" w:firstColumn="1" w:lastColumn="0" w:oddVBand="0" w:evenVBand="0" w:oddHBand="0" w:evenHBand="0" w:firstRowFirstColumn="0" w:firstRowLastColumn="0" w:lastRowFirstColumn="0" w:lastRowLastColumn="0"/>
            <w:tcW w:w="980" w:type="pct"/>
          </w:tcPr>
          <w:p w14:paraId="559D9D1C" w14:textId="06A091B1" w:rsidR="0047275D" w:rsidRDefault="0047275D" w:rsidP="00C73CD5">
            <w:r>
              <w:t>Consumers</w:t>
            </w:r>
          </w:p>
        </w:tc>
        <w:tc>
          <w:tcPr>
            <w:tcW w:w="3446" w:type="pct"/>
          </w:tcPr>
          <w:p w14:paraId="1AA12AAB" w14:textId="0333EFA4" w:rsidR="0047275D" w:rsidRPr="00E44520" w:rsidRDefault="00977506" w:rsidP="00C73CD5">
            <w:pPr>
              <w:cnfStyle w:val="000000000000" w:firstRow="0" w:lastRow="0" w:firstColumn="0" w:lastColumn="0" w:oddVBand="0" w:evenVBand="0" w:oddHBand="0" w:evenHBand="0" w:firstRowFirstColumn="0" w:firstRowLastColumn="0" w:lastRowFirstColumn="0" w:lastRowLastColumn="0"/>
            </w:pPr>
            <w:r>
              <w:t>Reduced</w:t>
            </w:r>
            <w:r w:rsidR="00E04ADD" w:rsidRPr="00E44520">
              <w:t xml:space="preserve"> ability to find Australian radio station</w:t>
            </w:r>
            <w:r w:rsidR="001547DA">
              <w:t>s</w:t>
            </w:r>
            <w:r w:rsidR="00E04ADD" w:rsidRPr="00E44520">
              <w:t xml:space="preserve"> on smart speakers</w:t>
            </w:r>
            <w:r w:rsidR="001547DA">
              <w:t xml:space="preserve">, with variation </w:t>
            </w:r>
            <w:r w:rsidR="00EC64F2" w:rsidRPr="00E44520">
              <w:t xml:space="preserve">between voice assistant </w:t>
            </w:r>
            <w:r w:rsidR="00120CA9">
              <w:t>platforms</w:t>
            </w:r>
            <w:r w:rsidR="00EC64F2" w:rsidRPr="00E44520">
              <w:t>.</w:t>
            </w:r>
          </w:p>
        </w:tc>
        <w:tc>
          <w:tcPr>
            <w:tcW w:w="545" w:type="pct"/>
            <w:shd w:val="clear" w:color="auto" w:fill="FF0000"/>
            <w:vAlign w:val="center"/>
          </w:tcPr>
          <w:p w14:paraId="648BCDA1" w14:textId="0E53A3B7" w:rsidR="0047275D" w:rsidRPr="00E44520" w:rsidRDefault="00D77D5C" w:rsidP="00004EB9">
            <w:pPr>
              <w:jc w:val="center"/>
              <w:cnfStyle w:val="000000000000" w:firstRow="0" w:lastRow="0" w:firstColumn="0" w:lastColumn="0" w:oddVBand="0" w:evenVBand="0" w:oddHBand="0" w:evenHBand="0" w:firstRowFirstColumn="0" w:firstRowLastColumn="0" w:lastRowFirstColumn="0" w:lastRowLastColumn="0"/>
            </w:pPr>
            <w:r>
              <w:t>7</w:t>
            </w:r>
          </w:p>
        </w:tc>
      </w:tr>
      <w:tr w:rsidR="0047275D" w14:paraId="42FDEEE2" w14:textId="77777777" w:rsidTr="00AF40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pct"/>
          </w:tcPr>
          <w:p w14:paraId="12BDCCCA" w14:textId="215F0792" w:rsidR="0047275D" w:rsidRDefault="0047275D" w:rsidP="00C73CD5">
            <w:r>
              <w:t xml:space="preserve">Australian radio </w:t>
            </w:r>
            <w:r w:rsidR="00004EB9">
              <w:t>broadcast</w:t>
            </w:r>
            <w:r w:rsidR="00977506">
              <w:t>ers</w:t>
            </w:r>
          </w:p>
        </w:tc>
        <w:tc>
          <w:tcPr>
            <w:tcW w:w="3446" w:type="pct"/>
          </w:tcPr>
          <w:p w14:paraId="166624BF" w14:textId="0B971A17" w:rsidR="0047275D" w:rsidRPr="00E44520" w:rsidRDefault="00977506" w:rsidP="00C73CD5">
            <w:pPr>
              <w:cnfStyle w:val="000000010000" w:firstRow="0" w:lastRow="0" w:firstColumn="0" w:lastColumn="0" w:oddVBand="0" w:evenVBand="0" w:oddHBand="0" w:evenHBand="1" w:firstRowFirstColumn="0" w:firstRowLastColumn="0" w:lastRowFirstColumn="0" w:lastRowLastColumn="0"/>
            </w:pPr>
            <w:r>
              <w:t xml:space="preserve">Ongoing requirement to </w:t>
            </w:r>
            <w:proofErr w:type="gramStart"/>
            <w:r>
              <w:t>enter into</w:t>
            </w:r>
            <w:proofErr w:type="gramEnd"/>
            <w:r>
              <w:t xml:space="preserve"> financial </w:t>
            </w:r>
            <w:r w:rsidR="001547DA">
              <w:t xml:space="preserve">arrangements </w:t>
            </w:r>
            <w:r>
              <w:t xml:space="preserve">to </w:t>
            </w:r>
            <w:r w:rsidR="00464042">
              <w:t xml:space="preserve">ensure </w:t>
            </w:r>
            <w:r w:rsidR="00464042" w:rsidRPr="00E44520">
              <w:t>access</w:t>
            </w:r>
            <w:r w:rsidR="00004EB9">
              <w:t xml:space="preserve"> to </w:t>
            </w:r>
            <w:r w:rsidR="001547DA">
              <w:t xml:space="preserve">radio services on smart </w:t>
            </w:r>
            <w:proofErr w:type="gramStart"/>
            <w:r w:rsidR="001547DA">
              <w:t xml:space="preserve">speakers, </w:t>
            </w:r>
            <w:r>
              <w:t>or</w:t>
            </w:r>
            <w:proofErr w:type="gramEnd"/>
            <w:r>
              <w:t xml:space="preserve"> </w:t>
            </w:r>
            <w:r w:rsidR="001547DA">
              <w:t>suffer</w:t>
            </w:r>
            <w:r>
              <w:t xml:space="preserve"> audience</w:t>
            </w:r>
            <w:r w:rsidR="001547DA">
              <w:t xml:space="preserve"> declines</w:t>
            </w:r>
            <w:r>
              <w:t>.</w:t>
            </w:r>
          </w:p>
        </w:tc>
        <w:tc>
          <w:tcPr>
            <w:tcW w:w="545" w:type="pct"/>
            <w:shd w:val="clear" w:color="auto" w:fill="FF0000"/>
            <w:vAlign w:val="center"/>
          </w:tcPr>
          <w:p w14:paraId="77D50A6D" w14:textId="6F3DEAC8" w:rsidR="0047275D" w:rsidRPr="00E44520" w:rsidRDefault="00D77D5C" w:rsidP="00004EB9">
            <w:pPr>
              <w:jc w:val="center"/>
              <w:cnfStyle w:val="000000010000" w:firstRow="0" w:lastRow="0" w:firstColumn="0" w:lastColumn="0" w:oddVBand="0" w:evenVBand="0" w:oddHBand="0" w:evenHBand="1" w:firstRowFirstColumn="0" w:firstRowLastColumn="0" w:lastRowFirstColumn="0" w:lastRowLastColumn="0"/>
            </w:pPr>
            <w:r>
              <w:t>7</w:t>
            </w:r>
          </w:p>
        </w:tc>
      </w:tr>
      <w:tr w:rsidR="0047275D" w14:paraId="31AE52E6" w14:textId="77777777" w:rsidTr="00AF402C">
        <w:tc>
          <w:tcPr>
            <w:cnfStyle w:val="001000000000" w:firstRow="0" w:lastRow="0" w:firstColumn="1" w:lastColumn="0" w:oddVBand="0" w:evenVBand="0" w:oddHBand="0" w:evenHBand="0" w:firstRowFirstColumn="0" w:firstRowLastColumn="0" w:lastRowFirstColumn="0" w:lastRowLastColumn="0"/>
            <w:tcW w:w="980" w:type="pct"/>
          </w:tcPr>
          <w:p w14:paraId="5C4F1589" w14:textId="5469AB13" w:rsidR="0047275D" w:rsidRDefault="0047275D" w:rsidP="00C73CD5">
            <w:r>
              <w:t>Smart speaker manufacturers</w:t>
            </w:r>
          </w:p>
        </w:tc>
        <w:tc>
          <w:tcPr>
            <w:tcW w:w="3446" w:type="pct"/>
          </w:tcPr>
          <w:p w14:paraId="60FA1231" w14:textId="2917D5A9" w:rsidR="0047275D" w:rsidRPr="00E44520" w:rsidRDefault="00004EB9" w:rsidP="00C73CD5">
            <w:pPr>
              <w:cnfStyle w:val="000000000000" w:firstRow="0" w:lastRow="0" w:firstColumn="0" w:lastColumn="0" w:oddVBand="0" w:evenVBand="0" w:oddHBand="0" w:evenHBand="0" w:firstRowFirstColumn="0" w:firstRowLastColumn="0" w:lastRowFirstColumn="0" w:lastRowLastColumn="0"/>
            </w:pPr>
            <w:r>
              <w:t xml:space="preserve">No impact </w:t>
            </w:r>
            <w:r w:rsidR="00464042">
              <w:t>being</w:t>
            </w:r>
            <w:r>
              <w:t xml:space="preserve"> </w:t>
            </w:r>
            <w:r w:rsidR="001547DA">
              <w:t xml:space="preserve">the </w:t>
            </w:r>
            <w:r>
              <w:t>status quo.</w:t>
            </w:r>
          </w:p>
        </w:tc>
        <w:tc>
          <w:tcPr>
            <w:tcW w:w="545" w:type="pct"/>
            <w:shd w:val="clear" w:color="auto" w:fill="F2F2F2" w:themeFill="background1" w:themeFillShade="F2"/>
            <w:vAlign w:val="center"/>
          </w:tcPr>
          <w:p w14:paraId="25A7CE9E" w14:textId="1AFC0333" w:rsidR="0047275D" w:rsidRPr="00E44520" w:rsidRDefault="00004EB9" w:rsidP="00004EB9">
            <w:pPr>
              <w:jc w:val="center"/>
              <w:cnfStyle w:val="000000000000" w:firstRow="0" w:lastRow="0" w:firstColumn="0" w:lastColumn="0" w:oddVBand="0" w:evenVBand="0" w:oddHBand="0" w:evenHBand="0" w:firstRowFirstColumn="0" w:firstRowLastColumn="0" w:lastRowFirstColumn="0" w:lastRowLastColumn="0"/>
            </w:pPr>
            <w:r>
              <w:t>4</w:t>
            </w:r>
          </w:p>
        </w:tc>
      </w:tr>
      <w:tr w:rsidR="0047275D" w14:paraId="7530110C" w14:textId="77777777" w:rsidTr="00AF40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pct"/>
          </w:tcPr>
          <w:p w14:paraId="4A84813C" w14:textId="00869553" w:rsidR="0047275D" w:rsidRDefault="0047275D" w:rsidP="00C73CD5">
            <w:r>
              <w:t>Voice assistant platforms used on smart speakers</w:t>
            </w:r>
          </w:p>
        </w:tc>
        <w:tc>
          <w:tcPr>
            <w:tcW w:w="3446" w:type="pct"/>
          </w:tcPr>
          <w:p w14:paraId="585EB10A" w14:textId="695188B3" w:rsidR="007B55E5" w:rsidRPr="00E44520" w:rsidRDefault="00004EB9" w:rsidP="00C73CD5">
            <w:pPr>
              <w:cnfStyle w:val="000000010000" w:firstRow="0" w:lastRow="0" w:firstColumn="0" w:lastColumn="0" w:oddVBand="0" w:evenVBand="0" w:oddHBand="0" w:evenHBand="1" w:firstRowFirstColumn="0" w:firstRowLastColumn="0" w:lastRowFirstColumn="0" w:lastRowLastColumn="0"/>
            </w:pPr>
            <w:r>
              <w:t xml:space="preserve">No impact </w:t>
            </w:r>
            <w:r w:rsidR="00464042">
              <w:t>being</w:t>
            </w:r>
            <w:r>
              <w:t xml:space="preserve"> </w:t>
            </w:r>
            <w:r w:rsidR="001547DA">
              <w:t xml:space="preserve">the </w:t>
            </w:r>
            <w:r>
              <w:t>status quo.</w:t>
            </w:r>
          </w:p>
        </w:tc>
        <w:tc>
          <w:tcPr>
            <w:tcW w:w="545" w:type="pct"/>
            <w:vAlign w:val="center"/>
          </w:tcPr>
          <w:p w14:paraId="6AF5DD1A" w14:textId="7034CE73" w:rsidR="0047275D" w:rsidRPr="00E44520" w:rsidRDefault="00004EB9" w:rsidP="00004EB9">
            <w:pPr>
              <w:jc w:val="center"/>
              <w:cnfStyle w:val="000000010000" w:firstRow="0" w:lastRow="0" w:firstColumn="0" w:lastColumn="0" w:oddVBand="0" w:evenVBand="0" w:oddHBand="0" w:evenHBand="1" w:firstRowFirstColumn="0" w:firstRowLastColumn="0" w:lastRowFirstColumn="0" w:lastRowLastColumn="0"/>
            </w:pPr>
            <w:r>
              <w:t>4</w:t>
            </w:r>
          </w:p>
        </w:tc>
      </w:tr>
      <w:tr w:rsidR="00D53BE9" w14:paraId="2BB9F432" w14:textId="77777777" w:rsidTr="00AF402C">
        <w:trPr>
          <w:trHeight w:val="418"/>
        </w:trPr>
        <w:tc>
          <w:tcPr>
            <w:cnfStyle w:val="001000000000" w:firstRow="0" w:lastRow="0" w:firstColumn="1" w:lastColumn="0" w:oddVBand="0" w:evenVBand="0" w:oddHBand="0" w:evenHBand="0" w:firstRowFirstColumn="0" w:firstRowLastColumn="0" w:lastRowFirstColumn="0" w:lastRowLastColumn="0"/>
            <w:tcW w:w="980" w:type="pct"/>
          </w:tcPr>
          <w:p w14:paraId="2B866F22" w14:textId="7CF76E1D" w:rsidR="00D53BE9" w:rsidRDefault="00004EB9" w:rsidP="00C73CD5">
            <w:r>
              <w:t>Overall</w:t>
            </w:r>
          </w:p>
        </w:tc>
        <w:tc>
          <w:tcPr>
            <w:tcW w:w="3446" w:type="pct"/>
          </w:tcPr>
          <w:p w14:paraId="5F6235E7" w14:textId="04F0E310" w:rsidR="00D53BE9" w:rsidRPr="00E44520" w:rsidRDefault="00D53BE9" w:rsidP="00C73CD5">
            <w:pPr>
              <w:cnfStyle w:val="000000000000" w:firstRow="0" w:lastRow="0" w:firstColumn="0" w:lastColumn="0" w:oddVBand="0" w:evenVBand="0" w:oddHBand="0" w:evenHBand="0" w:firstRowFirstColumn="0" w:firstRowLastColumn="0" w:lastRowFirstColumn="0" w:lastRowLastColumn="0"/>
            </w:pPr>
          </w:p>
        </w:tc>
        <w:tc>
          <w:tcPr>
            <w:tcW w:w="545" w:type="pct"/>
            <w:shd w:val="clear" w:color="auto" w:fill="FFFF00"/>
            <w:vAlign w:val="center"/>
          </w:tcPr>
          <w:p w14:paraId="7B84ABA6" w14:textId="2A0D9C1D" w:rsidR="00D53BE9" w:rsidRPr="00E44520" w:rsidRDefault="00004EB9" w:rsidP="00004EB9">
            <w:pPr>
              <w:jc w:val="center"/>
              <w:cnfStyle w:val="000000000000" w:firstRow="0" w:lastRow="0" w:firstColumn="0" w:lastColumn="0" w:oddVBand="0" w:evenVBand="0" w:oddHBand="0" w:evenHBand="0" w:firstRowFirstColumn="0" w:firstRowLastColumn="0" w:lastRowFirstColumn="0" w:lastRowLastColumn="0"/>
            </w:pPr>
            <w:r>
              <w:t>5</w:t>
            </w:r>
            <w:r w:rsidR="00D77D5C">
              <w:t>.5</w:t>
            </w:r>
          </w:p>
        </w:tc>
      </w:tr>
    </w:tbl>
    <w:p w14:paraId="18A55A4E" w14:textId="70EE5424" w:rsidR="00E24129" w:rsidRPr="002F23FE" w:rsidRDefault="00E24129" w:rsidP="00EC6B86">
      <w:pPr>
        <w:pStyle w:val="Heading3Numbered"/>
      </w:pPr>
      <w:bookmarkStart w:id="96" w:name="_Toc236825166"/>
      <w:bookmarkStart w:id="97" w:name="_Hlk147911371"/>
      <w:bookmarkEnd w:id="95"/>
      <w:r w:rsidRPr="002F23FE">
        <w:t>Overall assessment</w:t>
      </w:r>
      <w:bookmarkEnd w:id="96"/>
    </w:p>
    <w:p w14:paraId="18BE327C" w14:textId="4A7B012C" w:rsidR="00C23939" w:rsidRDefault="00C23939" w:rsidP="002908FA">
      <w:pPr>
        <w:pStyle w:val="Bullet3"/>
        <w:numPr>
          <w:ilvl w:val="0"/>
          <w:numId w:val="0"/>
        </w:numPr>
        <w:spacing w:before="160"/>
        <w:rPr>
          <w:lang w:val="en-US"/>
        </w:rPr>
      </w:pPr>
      <w:r>
        <w:rPr>
          <w:lang w:val="en-US"/>
        </w:rPr>
        <w:t xml:space="preserve">Option 1 would make no changes to existing regulatory </w:t>
      </w:r>
      <w:r w:rsidR="00CD17D3">
        <w:rPr>
          <w:lang w:val="en-US"/>
        </w:rPr>
        <w:t>arrangements</w:t>
      </w:r>
      <w:r w:rsidR="005E59F8">
        <w:rPr>
          <w:lang w:val="en-US"/>
        </w:rPr>
        <w:t>. C</w:t>
      </w:r>
      <w:r>
        <w:rPr>
          <w:lang w:val="en-US"/>
        </w:rPr>
        <w:t xml:space="preserve">urrent market trends – </w:t>
      </w:r>
      <w:r w:rsidR="005E59F8">
        <w:rPr>
          <w:lang w:val="en-US"/>
        </w:rPr>
        <w:t xml:space="preserve">as </w:t>
      </w:r>
      <w:r>
        <w:rPr>
          <w:lang w:val="en-US"/>
        </w:rPr>
        <w:t xml:space="preserve">outlined in chapters 1 and 2 – would be expected to continue. </w:t>
      </w:r>
    </w:p>
    <w:p w14:paraId="417DA59E" w14:textId="52CA6DEA" w:rsidR="00D77D5C" w:rsidRDefault="00D77D5C" w:rsidP="002908FA">
      <w:pPr>
        <w:pStyle w:val="Bullet3"/>
        <w:numPr>
          <w:ilvl w:val="0"/>
          <w:numId w:val="0"/>
        </w:numPr>
        <w:spacing w:before="160"/>
        <w:rPr>
          <w:lang w:val="en-US"/>
        </w:rPr>
      </w:pPr>
      <w:r>
        <w:rPr>
          <w:lang w:val="en-US"/>
        </w:rPr>
        <w:t xml:space="preserve">The biggest positive associated with Option 1 is the lack of regulatory </w:t>
      </w:r>
      <w:r w:rsidR="000248EC">
        <w:rPr>
          <w:lang w:val="en-US"/>
        </w:rPr>
        <w:t xml:space="preserve">burden. By maintaining the </w:t>
      </w:r>
      <w:r w:rsidR="00F33D5B">
        <w:rPr>
          <w:lang w:val="en-US"/>
        </w:rPr>
        <w:t>primacy of the market in determining</w:t>
      </w:r>
      <w:r w:rsidR="000248EC">
        <w:rPr>
          <w:lang w:val="en-US"/>
        </w:rPr>
        <w:t xml:space="preserve"> the level of prominence for Australian radio services, Option 1 does not place any additional compliance burden on industry. </w:t>
      </w:r>
    </w:p>
    <w:p w14:paraId="7028AA99" w14:textId="3015E9B5" w:rsidR="00D77D5C" w:rsidRDefault="00D77D5C" w:rsidP="002908FA">
      <w:pPr>
        <w:pStyle w:val="Bullet3"/>
        <w:numPr>
          <w:ilvl w:val="0"/>
          <w:numId w:val="0"/>
        </w:numPr>
        <w:spacing w:before="160"/>
        <w:rPr>
          <w:lang w:val="en-US"/>
        </w:rPr>
      </w:pPr>
      <w:r>
        <w:rPr>
          <w:lang w:val="en-US"/>
        </w:rPr>
        <w:t>However,</w:t>
      </w:r>
      <w:r w:rsidR="001E2126">
        <w:rPr>
          <w:lang w:val="en-US"/>
        </w:rPr>
        <w:t xml:space="preserve"> as</w:t>
      </w:r>
      <w:r>
        <w:rPr>
          <w:lang w:val="en-US"/>
        </w:rPr>
        <w:t xml:space="preserve"> identified in Table </w:t>
      </w:r>
      <w:r w:rsidR="00CF089C">
        <w:rPr>
          <w:lang w:val="en-US"/>
        </w:rPr>
        <w:t>5</w:t>
      </w:r>
      <w:r>
        <w:rPr>
          <w:lang w:val="en-US"/>
        </w:rPr>
        <w:t xml:space="preserve">, </w:t>
      </w:r>
      <w:r w:rsidR="005E59F8">
        <w:rPr>
          <w:lang w:val="en-US"/>
        </w:rPr>
        <w:t xml:space="preserve">the </w:t>
      </w:r>
      <w:r>
        <w:rPr>
          <w:lang w:val="en-US"/>
        </w:rPr>
        <w:t xml:space="preserve">overall stakeholder impact of this option is </w:t>
      </w:r>
      <w:r w:rsidR="005E59F8">
        <w:rPr>
          <w:lang w:val="en-US"/>
        </w:rPr>
        <w:t xml:space="preserve">estimated to be </w:t>
      </w:r>
      <w:r>
        <w:rPr>
          <w:lang w:val="en-US"/>
        </w:rPr>
        <w:t>modestly negative. This is largely because the impacts on consumers and radio broadcasters are expected to be negative;</w:t>
      </w:r>
      <w:r w:rsidRPr="00A2777C">
        <w:rPr>
          <w:lang w:val="en-US"/>
        </w:rPr>
        <w:t xml:space="preserve"> </w:t>
      </w:r>
      <w:r>
        <w:rPr>
          <w:lang w:val="en-US"/>
        </w:rPr>
        <w:t>t</w:t>
      </w:r>
      <w:r w:rsidRPr="00A2777C">
        <w:rPr>
          <w:lang w:val="en-US"/>
        </w:rPr>
        <w:t xml:space="preserve">he availability of radio broadcasting services on internet enabled devices </w:t>
      </w:r>
      <w:r w:rsidR="005E59F8">
        <w:rPr>
          <w:lang w:val="en-US"/>
        </w:rPr>
        <w:t>is likely</w:t>
      </w:r>
      <w:r w:rsidRPr="00A2777C">
        <w:rPr>
          <w:lang w:val="en-US"/>
        </w:rPr>
        <w:t xml:space="preserve">, over time, </w:t>
      </w:r>
      <w:r w:rsidR="005E59F8">
        <w:rPr>
          <w:lang w:val="en-US"/>
        </w:rPr>
        <w:t>to</w:t>
      </w:r>
      <w:r w:rsidRPr="00A2777C">
        <w:rPr>
          <w:lang w:val="en-US"/>
        </w:rPr>
        <w:t xml:space="preserve"> be diminished, with detrimental impacts for radio broadcasters and Australian audiences which use these products</w:t>
      </w:r>
      <w:r>
        <w:rPr>
          <w:lang w:val="en-US"/>
        </w:rPr>
        <w:t>.</w:t>
      </w:r>
    </w:p>
    <w:p w14:paraId="7D14D5CE" w14:textId="58FA80EC" w:rsidR="00A378A9" w:rsidRPr="00C2230D" w:rsidRDefault="005E59F8" w:rsidP="00C2230D">
      <w:pPr>
        <w:pStyle w:val="Bullet3"/>
        <w:numPr>
          <w:ilvl w:val="0"/>
          <w:numId w:val="0"/>
        </w:numPr>
        <w:spacing w:before="160"/>
        <w:rPr>
          <w:lang w:val="en-US"/>
        </w:rPr>
      </w:pPr>
      <w:r>
        <w:rPr>
          <w:lang w:val="en-US"/>
        </w:rPr>
        <w:t xml:space="preserve">Under the status quo, </w:t>
      </w:r>
      <w:r w:rsidR="00A378A9" w:rsidRPr="00C2230D">
        <w:rPr>
          <w:lang w:val="en-US"/>
        </w:rPr>
        <w:t xml:space="preserve">smart speaker users are likely to continue to encounter problems surfacing radio content. As outlined in </w:t>
      </w:r>
      <w:r w:rsidR="00C2230D" w:rsidRPr="00C2230D">
        <w:rPr>
          <w:lang w:val="en-US"/>
        </w:rPr>
        <w:t>1.4.</w:t>
      </w:r>
      <w:r w:rsidR="0078395A">
        <w:rPr>
          <w:lang w:val="en-US"/>
        </w:rPr>
        <w:t>1</w:t>
      </w:r>
      <w:r w:rsidR="00A378A9" w:rsidRPr="00C2230D">
        <w:rPr>
          <w:lang w:val="en-US"/>
        </w:rPr>
        <w:t xml:space="preserve">, </w:t>
      </w:r>
      <w:r w:rsidR="00A378A9" w:rsidRPr="00C2230D">
        <w:t>academic research has found that:</w:t>
      </w:r>
      <w:r w:rsidR="00C2230D" w:rsidRPr="00C2230D">
        <w:rPr>
          <w:rStyle w:val="FootnoteReference"/>
        </w:rPr>
        <w:footnoteReference w:id="53"/>
      </w:r>
    </w:p>
    <w:p w14:paraId="1FAA1F36" w14:textId="42F34D52" w:rsidR="00C2230D" w:rsidRPr="00C2230D" w:rsidRDefault="00A378A9" w:rsidP="00C2230D">
      <w:pPr>
        <w:pStyle w:val="ListParagraph"/>
        <w:numPr>
          <w:ilvl w:val="0"/>
          <w:numId w:val="34"/>
        </w:numPr>
        <w:suppressAutoHyphens w:val="0"/>
        <w:contextualSpacing w:val="0"/>
        <w:rPr>
          <w:lang w:val="en-US"/>
        </w:rPr>
      </w:pPr>
      <w:r w:rsidRPr="00C2230D">
        <w:t xml:space="preserve">Current </w:t>
      </w:r>
      <w:r w:rsidR="005E59F8">
        <w:t>accuracy</w:t>
      </w:r>
      <w:r w:rsidR="005E59F8" w:rsidRPr="00C2230D">
        <w:t xml:space="preserve"> </w:t>
      </w:r>
      <w:r w:rsidRPr="00C2230D">
        <w:t>rates are inadequate</w:t>
      </w:r>
      <w:r w:rsidR="00C2230D">
        <w:t xml:space="preserve">, with </w:t>
      </w:r>
      <w:r w:rsidRPr="00C2230D">
        <w:t>Google</w:t>
      </w:r>
      <w:r w:rsidR="00C2230D">
        <w:t xml:space="preserve"> Assistant, Amazon Alexa and Apple Siri surfacing the correct radio station in response to a request </w:t>
      </w:r>
      <w:r w:rsidR="005E59F8">
        <w:t xml:space="preserve">for </w:t>
      </w:r>
      <w:r w:rsidR="00C2230D">
        <w:t xml:space="preserve">a simplified radio station </w:t>
      </w:r>
      <w:r w:rsidRPr="00C2230D">
        <w:t>68%,</w:t>
      </w:r>
      <w:r w:rsidR="00C2230D">
        <w:t xml:space="preserve"> </w:t>
      </w:r>
      <w:r w:rsidRPr="00C2230D">
        <w:t>67% and</w:t>
      </w:r>
      <w:r w:rsidR="00C2230D">
        <w:t xml:space="preserve"> </w:t>
      </w:r>
      <w:r w:rsidRPr="00C2230D">
        <w:t>41%</w:t>
      </w:r>
      <w:r w:rsidR="00C2230D">
        <w:t xml:space="preserve"> of </w:t>
      </w:r>
      <w:r w:rsidR="005A7439">
        <w:t xml:space="preserve">the </w:t>
      </w:r>
      <w:r w:rsidR="00C2230D">
        <w:t>time</w:t>
      </w:r>
      <w:r w:rsidR="005E59F8">
        <w:t>,</w:t>
      </w:r>
      <w:r w:rsidR="00C2230D">
        <w:t xml:space="preserve"> respectively.</w:t>
      </w:r>
    </w:p>
    <w:p w14:paraId="0A66DC6A" w14:textId="0AEA09F9" w:rsidR="00A378A9" w:rsidRPr="00C2230D" w:rsidRDefault="000A5652" w:rsidP="00C2230D">
      <w:pPr>
        <w:pStyle w:val="ListParagraph"/>
        <w:numPr>
          <w:ilvl w:val="0"/>
          <w:numId w:val="34"/>
        </w:numPr>
        <w:suppressAutoHyphens w:val="0"/>
        <w:contextualSpacing w:val="0"/>
        <w:rPr>
          <w:lang w:val="en-US"/>
        </w:rPr>
      </w:pPr>
      <w:r>
        <w:t>The a</w:t>
      </w:r>
      <w:r w:rsidR="00C2230D">
        <w:t>ccuracy of surfacing varied</w:t>
      </w:r>
      <w:r w:rsidR="00A378A9" w:rsidRPr="00C2230D">
        <w:t xml:space="preserve"> considerably across the different categories of </w:t>
      </w:r>
      <w:r w:rsidR="00216ACE">
        <w:t>radio broadcasters:</w:t>
      </w:r>
      <w:r w:rsidR="00A378A9" w:rsidRPr="00C2230D">
        <w:t xml:space="preserve"> </w:t>
      </w:r>
      <w:r w:rsidR="00C2230D">
        <w:t>national</w:t>
      </w:r>
      <w:r w:rsidR="00216ACE">
        <w:t>;</w:t>
      </w:r>
      <w:r w:rsidR="00A378A9" w:rsidRPr="00C2230D">
        <w:t xml:space="preserve"> commercial</w:t>
      </w:r>
      <w:r w:rsidR="00216ACE">
        <w:t>;</w:t>
      </w:r>
      <w:r w:rsidR="00A378A9" w:rsidRPr="00C2230D">
        <w:t xml:space="preserve"> and community. </w:t>
      </w:r>
      <w:r w:rsidR="00C2230D">
        <w:t>ABC and SBS radio services were most likely to be accurately surfaced, followed by commercial and finally community services.</w:t>
      </w:r>
    </w:p>
    <w:p w14:paraId="272282CF" w14:textId="3B43447D" w:rsidR="00A378A9" w:rsidRPr="00C2230D" w:rsidRDefault="00FE5288" w:rsidP="00A378A9">
      <w:pPr>
        <w:pStyle w:val="ListParagraph"/>
        <w:numPr>
          <w:ilvl w:val="0"/>
          <w:numId w:val="34"/>
        </w:numPr>
        <w:suppressAutoHyphens w:val="0"/>
        <w:contextualSpacing w:val="0"/>
        <w:rPr>
          <w:lang w:val="en-US"/>
        </w:rPr>
      </w:pPr>
      <w:r>
        <w:t>Voice requests</w:t>
      </w:r>
      <w:r w:rsidR="00A378A9" w:rsidRPr="00C2230D">
        <w:t xml:space="preserve"> often needed to be repeated with an official station name or call sign.</w:t>
      </w:r>
    </w:p>
    <w:p w14:paraId="41DCBF1B" w14:textId="1F6CED05" w:rsidR="00D77D5C" w:rsidRDefault="001E2126" w:rsidP="00D77D5C">
      <w:pPr>
        <w:suppressAutoHyphens w:val="0"/>
        <w:rPr>
          <w:lang w:val="en-US"/>
        </w:rPr>
      </w:pPr>
      <w:r w:rsidRPr="00C2230D">
        <w:rPr>
          <w:lang w:val="en-US"/>
        </w:rPr>
        <w:t xml:space="preserve">It is also possible that surfacing accuracy will deteriorate further. In the UK, </w:t>
      </w:r>
      <w:r w:rsidR="00D77D5C" w:rsidRPr="00C2230D">
        <w:rPr>
          <w:lang w:val="en-US"/>
        </w:rPr>
        <w:t>Ofcom</w:t>
      </w:r>
      <w:r w:rsidRPr="00C2230D">
        <w:rPr>
          <w:lang w:val="en-US"/>
        </w:rPr>
        <w:t xml:space="preserve"> research</w:t>
      </w:r>
      <w:r w:rsidR="00D77D5C" w:rsidRPr="00C2230D">
        <w:rPr>
          <w:lang w:val="en-US"/>
        </w:rPr>
        <w:t xml:space="preserve"> found</w:t>
      </w:r>
      <w:r w:rsidR="00AD7346" w:rsidRPr="00C2230D">
        <w:rPr>
          <w:lang w:val="en-US"/>
        </w:rPr>
        <w:t xml:space="preserve"> </w:t>
      </w:r>
      <w:r w:rsidR="00EE5CA1" w:rsidRPr="00C2230D">
        <w:rPr>
          <w:lang w:val="en-US"/>
        </w:rPr>
        <w:t xml:space="preserve">that </w:t>
      </w:r>
      <w:r w:rsidR="00D77D5C" w:rsidRPr="00C2230D">
        <w:rPr>
          <w:lang w:val="en-US"/>
        </w:rPr>
        <w:t>58%</w:t>
      </w:r>
      <w:r w:rsidR="00EE5CA1" w:rsidRPr="00C2230D">
        <w:rPr>
          <w:lang w:val="en-US"/>
        </w:rPr>
        <w:t xml:space="preserve"> of smart speaker users that use their device to listen to radio said that it had played the wrong thing in response</w:t>
      </w:r>
      <w:r w:rsidR="00EE5CA1">
        <w:rPr>
          <w:lang w:val="en-US"/>
        </w:rPr>
        <w:t xml:space="preserve"> to a request to play a radio station or program</w:t>
      </w:r>
      <w:r w:rsidR="00D77D5C" w:rsidRPr="00BF2950">
        <w:rPr>
          <w:lang w:val="en-US"/>
        </w:rPr>
        <w:t xml:space="preserve"> in 2025</w:t>
      </w:r>
      <w:r w:rsidR="00EE5CA1">
        <w:rPr>
          <w:lang w:val="en-US"/>
        </w:rPr>
        <w:t xml:space="preserve">, an increase from </w:t>
      </w:r>
      <w:r w:rsidR="00D77D5C">
        <w:rPr>
          <w:lang w:val="en-US"/>
        </w:rPr>
        <w:t>49% the previous year.</w:t>
      </w:r>
      <w:r w:rsidR="00D77D5C">
        <w:rPr>
          <w:rStyle w:val="FootnoteReference"/>
          <w:lang w:val="en-US"/>
        </w:rPr>
        <w:footnoteReference w:id="54"/>
      </w:r>
      <w:r w:rsidR="00D77D5C">
        <w:rPr>
          <w:lang w:val="en-US"/>
        </w:rPr>
        <w:t xml:space="preserve"> This suggests a continuing decline in consumer experiences during the implementation phases before the UK’s equivalent to a radio prominence framework comes into effect.</w:t>
      </w:r>
      <w:r w:rsidR="00EE5CA1">
        <w:rPr>
          <w:lang w:val="en-US"/>
        </w:rPr>
        <w:t xml:space="preserve"> Given that the voice assistant platforms used on smart speakers are available globally, there is a risk that Australian smart speaker users will also experience a degradation in voice request accuracy under status quo conditions.</w:t>
      </w:r>
    </w:p>
    <w:p w14:paraId="0DFE7727" w14:textId="36933C44" w:rsidR="001E2126" w:rsidRDefault="00E10B78" w:rsidP="001E2126">
      <w:pPr>
        <w:suppressAutoHyphens w:val="0"/>
        <w:rPr>
          <w:lang w:val="en-US"/>
        </w:rPr>
      </w:pPr>
      <w:r>
        <w:rPr>
          <w:lang w:val="en-US"/>
        </w:rPr>
        <w:lastRenderedPageBreak/>
        <w:t>The continuation of</w:t>
      </w:r>
      <w:r w:rsidR="00BF471E">
        <w:rPr>
          <w:lang w:val="en-US"/>
        </w:rPr>
        <w:t xml:space="preserve"> poor</w:t>
      </w:r>
      <w:r>
        <w:rPr>
          <w:lang w:val="en-US"/>
        </w:rPr>
        <w:t xml:space="preserve"> voice request accuracy rates</w:t>
      </w:r>
      <w:r w:rsidR="00BF471E">
        <w:rPr>
          <w:lang w:val="en-US"/>
        </w:rPr>
        <w:t xml:space="preserve"> </w:t>
      </w:r>
      <w:r>
        <w:rPr>
          <w:lang w:val="en-US"/>
        </w:rPr>
        <w:t xml:space="preserve">for Australian radio services </w:t>
      </w:r>
      <w:r w:rsidR="00BF471E">
        <w:rPr>
          <w:lang w:val="en-US"/>
        </w:rPr>
        <w:t>– or their further deterioration – would</w:t>
      </w:r>
      <w:r>
        <w:rPr>
          <w:lang w:val="en-US"/>
        </w:rPr>
        <w:t xml:space="preserve"> </w:t>
      </w:r>
      <w:r w:rsidR="004A1395">
        <w:rPr>
          <w:lang w:val="en-US"/>
        </w:rPr>
        <w:t>diminish the availability of these services over time, with detrimental impacts for radio broadcasters and Australian audiences.</w:t>
      </w:r>
    </w:p>
    <w:p w14:paraId="095396A1" w14:textId="7DCBA7FD" w:rsidR="00981395" w:rsidRDefault="00981395" w:rsidP="00F570BE">
      <w:pPr>
        <w:pStyle w:val="Heading2Numbered"/>
      </w:pPr>
      <w:bookmarkStart w:id="98" w:name="_Toc218609184"/>
      <w:bookmarkStart w:id="99" w:name="_Toc236825167"/>
      <w:bookmarkEnd w:id="97"/>
      <w:bookmarkEnd w:id="98"/>
      <w:r>
        <w:t>Option 2: Legislate a radio prominence framework</w:t>
      </w:r>
      <w:bookmarkEnd w:id="99"/>
    </w:p>
    <w:p w14:paraId="08F8A381" w14:textId="70400787" w:rsidR="00981395" w:rsidRDefault="00054680" w:rsidP="00054680">
      <w:pPr>
        <w:pStyle w:val="Heading3Numbered"/>
      </w:pPr>
      <w:bookmarkStart w:id="100" w:name="_Toc236825168"/>
      <w:r>
        <w:t xml:space="preserve">Regulatory </w:t>
      </w:r>
      <w:r w:rsidR="000248EC">
        <w:t>burden</w:t>
      </w:r>
      <w:bookmarkEnd w:id="100"/>
    </w:p>
    <w:p w14:paraId="176D6D9F" w14:textId="599EAF8C" w:rsidR="00F81B29" w:rsidRDefault="00054680" w:rsidP="00054680">
      <w:pPr>
        <w:tabs>
          <w:tab w:val="left" w:pos="7905"/>
        </w:tabs>
        <w:rPr>
          <w:rFonts w:cstheme="minorHAnsi"/>
          <w:lang w:val="en-US"/>
        </w:rPr>
      </w:pPr>
      <w:r>
        <w:rPr>
          <w:rFonts w:cstheme="minorHAnsi"/>
          <w:lang w:val="en-US"/>
        </w:rPr>
        <w:t xml:space="preserve">A legislated radio prominence framework would </w:t>
      </w:r>
      <w:r w:rsidR="00A608B4">
        <w:rPr>
          <w:rFonts w:cstheme="minorHAnsi"/>
          <w:lang w:val="en-US"/>
        </w:rPr>
        <w:t xml:space="preserve">apply </w:t>
      </w:r>
      <w:r w:rsidR="007902E0">
        <w:rPr>
          <w:rFonts w:cstheme="minorHAnsi"/>
          <w:lang w:val="en-US"/>
        </w:rPr>
        <w:t xml:space="preserve">new obligations </w:t>
      </w:r>
      <w:r w:rsidR="005E7DDC">
        <w:rPr>
          <w:rFonts w:cstheme="minorHAnsi"/>
          <w:lang w:val="en-US"/>
        </w:rPr>
        <w:t>to</w:t>
      </w:r>
      <w:r w:rsidR="007902E0">
        <w:rPr>
          <w:rFonts w:cstheme="minorHAnsi"/>
          <w:lang w:val="en-US"/>
        </w:rPr>
        <w:t xml:space="preserve"> providers of voice assistant software</w:t>
      </w:r>
      <w:r>
        <w:rPr>
          <w:rFonts w:cstheme="minorHAnsi"/>
          <w:lang w:val="en-US"/>
        </w:rPr>
        <w:t xml:space="preserve"> and empower the ACMA to administer </w:t>
      </w:r>
      <w:r w:rsidR="006D7DDE">
        <w:rPr>
          <w:rFonts w:cstheme="minorHAnsi"/>
          <w:lang w:val="en-US"/>
        </w:rPr>
        <w:t xml:space="preserve">and enforce </w:t>
      </w:r>
      <w:r>
        <w:rPr>
          <w:rFonts w:cstheme="minorHAnsi"/>
          <w:lang w:val="en-US"/>
        </w:rPr>
        <w:t xml:space="preserve">the framework. This would modify and extend the remit of the ACMA under the BSA and the </w:t>
      </w:r>
      <w:r w:rsidRPr="00C46004">
        <w:rPr>
          <w:rFonts w:cstheme="minorHAnsi"/>
          <w:i/>
          <w:lang w:val="en-US"/>
        </w:rPr>
        <w:t>Australian Communications and Media Authority Act 2005</w:t>
      </w:r>
      <w:r>
        <w:rPr>
          <w:rFonts w:cstheme="minorHAnsi"/>
          <w:lang w:val="en-US"/>
        </w:rPr>
        <w:t xml:space="preserve"> (ACMA Act). </w:t>
      </w:r>
    </w:p>
    <w:p w14:paraId="116F4B72" w14:textId="14D8EB7E" w:rsidR="00054680" w:rsidRDefault="00054680" w:rsidP="00054680">
      <w:pPr>
        <w:tabs>
          <w:tab w:val="left" w:pos="7905"/>
        </w:tabs>
        <w:rPr>
          <w:rFonts w:cstheme="minorHAnsi"/>
          <w:lang w:val="en-US"/>
        </w:rPr>
      </w:pPr>
      <w:r>
        <w:rPr>
          <w:rFonts w:cstheme="minorHAnsi"/>
          <w:lang w:val="en-US"/>
        </w:rPr>
        <w:t>The establishment of the framework, and its oversight by the ACMA, would impose a</w:t>
      </w:r>
      <w:r w:rsidR="001D0D2A">
        <w:rPr>
          <w:rFonts w:cstheme="minorHAnsi"/>
          <w:lang w:val="en-US"/>
        </w:rPr>
        <w:t xml:space="preserve">n </w:t>
      </w:r>
      <w:proofErr w:type="gramStart"/>
      <w:r w:rsidR="001D0D2A">
        <w:rPr>
          <w:rFonts w:cstheme="minorHAnsi"/>
          <w:lang w:val="en-US"/>
        </w:rPr>
        <w:t>annual</w:t>
      </w:r>
      <w:r>
        <w:rPr>
          <w:rFonts w:cstheme="minorHAnsi"/>
          <w:lang w:val="en-US"/>
        </w:rPr>
        <w:t xml:space="preserve"> compliance</w:t>
      </w:r>
      <w:proofErr w:type="gramEnd"/>
      <w:r>
        <w:rPr>
          <w:rFonts w:cstheme="minorHAnsi"/>
          <w:lang w:val="en-US"/>
        </w:rPr>
        <w:t xml:space="preserve"> burden on some sectors of the media industry. Providing additional functions for the ACMA in relation to the radio prominence framework would also have </w:t>
      </w:r>
      <w:r w:rsidR="005A7439">
        <w:rPr>
          <w:rFonts w:cstheme="minorHAnsi"/>
          <w:lang w:val="en-US"/>
        </w:rPr>
        <w:t>resourcing</w:t>
      </w:r>
      <w:r>
        <w:rPr>
          <w:rFonts w:cstheme="minorHAnsi"/>
          <w:lang w:val="en-US"/>
        </w:rPr>
        <w:t xml:space="preserve"> implications for the regulator</w:t>
      </w:r>
      <w:r w:rsidR="00BE3E7D">
        <w:rPr>
          <w:rFonts w:cstheme="minorHAnsi"/>
          <w:lang w:val="en-US"/>
        </w:rPr>
        <w:t>, as mentioned at 4.2 above</w:t>
      </w:r>
      <w:r>
        <w:rPr>
          <w:rFonts w:cstheme="minorHAnsi"/>
          <w:lang w:val="en-US"/>
        </w:rPr>
        <w:t>.</w:t>
      </w:r>
    </w:p>
    <w:p w14:paraId="7F151C33" w14:textId="2B01903F" w:rsidR="000248EC" w:rsidRDefault="007902E0" w:rsidP="00054680">
      <w:pPr>
        <w:tabs>
          <w:tab w:val="left" w:pos="7905"/>
        </w:tabs>
        <w:rPr>
          <w:rFonts w:cstheme="minorHAnsi"/>
          <w:lang w:val="en-US"/>
        </w:rPr>
      </w:pPr>
      <w:r>
        <w:rPr>
          <w:rFonts w:cstheme="minorHAnsi"/>
          <w:lang w:val="en-US"/>
        </w:rPr>
        <w:t xml:space="preserve">The estimated costs for complying with </w:t>
      </w:r>
      <w:r w:rsidR="00B02AF1">
        <w:rPr>
          <w:rFonts w:cstheme="minorHAnsi"/>
          <w:lang w:val="en-US"/>
        </w:rPr>
        <w:t xml:space="preserve">the ongoing </w:t>
      </w:r>
      <w:r>
        <w:rPr>
          <w:rFonts w:cstheme="minorHAnsi"/>
          <w:lang w:val="en-US"/>
        </w:rPr>
        <w:t>obligations and reporting requirements</w:t>
      </w:r>
      <w:r w:rsidR="00B02AF1">
        <w:rPr>
          <w:rFonts w:cstheme="minorHAnsi"/>
          <w:lang w:val="en-US"/>
        </w:rPr>
        <w:t xml:space="preserve"> of a radio prominence framework</w:t>
      </w:r>
      <w:r>
        <w:rPr>
          <w:rFonts w:cstheme="minorHAnsi"/>
          <w:lang w:val="en-US"/>
        </w:rPr>
        <w:t xml:space="preserve"> </w:t>
      </w:r>
      <w:r w:rsidR="00377721">
        <w:rPr>
          <w:rFonts w:cstheme="minorHAnsi"/>
          <w:lang w:val="en-US"/>
        </w:rPr>
        <w:t xml:space="preserve">are </w:t>
      </w:r>
      <w:r w:rsidR="00B02AF1">
        <w:rPr>
          <w:rFonts w:cstheme="minorHAnsi"/>
          <w:lang w:val="en-US"/>
        </w:rPr>
        <w:t xml:space="preserve">set out in Table </w:t>
      </w:r>
      <w:r w:rsidR="00CF089C">
        <w:rPr>
          <w:rFonts w:cstheme="minorHAnsi"/>
          <w:lang w:val="en-US"/>
        </w:rPr>
        <w:t>6</w:t>
      </w:r>
      <w:r w:rsidR="00B02AF1">
        <w:rPr>
          <w:rFonts w:cstheme="minorHAnsi"/>
          <w:lang w:val="en-US"/>
        </w:rPr>
        <w:t xml:space="preserve"> below, on a</w:t>
      </w:r>
      <w:r>
        <w:rPr>
          <w:rFonts w:cstheme="minorHAnsi"/>
          <w:lang w:val="en-US"/>
        </w:rPr>
        <w:t xml:space="preserve"> per annum</w:t>
      </w:r>
      <w:r w:rsidR="00B02AF1">
        <w:rPr>
          <w:rFonts w:cstheme="minorHAnsi"/>
          <w:lang w:val="en-US"/>
        </w:rPr>
        <w:t xml:space="preserve"> basis</w:t>
      </w:r>
      <w:r>
        <w:rPr>
          <w:rFonts w:cstheme="minorHAnsi"/>
          <w:lang w:val="en-US"/>
        </w:rPr>
        <w:t>.</w:t>
      </w:r>
    </w:p>
    <w:p w14:paraId="451022FA" w14:textId="77F62EB7" w:rsidR="00651928" w:rsidRDefault="000248EC" w:rsidP="00054680">
      <w:pPr>
        <w:tabs>
          <w:tab w:val="left" w:pos="7905"/>
        </w:tabs>
        <w:rPr>
          <w:rFonts w:cstheme="minorHAnsi"/>
          <w:lang w:val="en-US"/>
        </w:rPr>
      </w:pPr>
      <w:r>
        <w:rPr>
          <w:rFonts w:cstheme="minorHAnsi"/>
          <w:lang w:val="en-US"/>
        </w:rPr>
        <w:t>In this analysis,</w:t>
      </w:r>
      <w:r w:rsidR="00F836EC">
        <w:rPr>
          <w:rFonts w:cstheme="minorHAnsi"/>
          <w:lang w:val="en-US"/>
        </w:rPr>
        <w:t xml:space="preserve"> </w:t>
      </w:r>
      <w:r>
        <w:rPr>
          <w:rFonts w:cstheme="minorHAnsi"/>
          <w:lang w:val="en-US"/>
        </w:rPr>
        <w:t xml:space="preserve">non-profit </w:t>
      </w:r>
      <w:r w:rsidR="00F836EC">
        <w:rPr>
          <w:rFonts w:cstheme="minorHAnsi"/>
          <w:lang w:val="en-US"/>
        </w:rPr>
        <w:t xml:space="preserve">community radio stations are classified as ‘community </w:t>
      </w:r>
      <w:proofErr w:type="spellStart"/>
      <w:proofErr w:type="gramStart"/>
      <w:r w:rsidR="00F836EC">
        <w:rPr>
          <w:rFonts w:cstheme="minorHAnsi"/>
          <w:lang w:val="en-US"/>
        </w:rPr>
        <w:t>organisations’</w:t>
      </w:r>
      <w:proofErr w:type="spellEnd"/>
      <w:proofErr w:type="gramEnd"/>
      <w:r w:rsidR="00F836EC">
        <w:rPr>
          <w:rFonts w:cstheme="minorHAnsi"/>
          <w:lang w:val="en-US"/>
        </w:rPr>
        <w:t xml:space="preserve"> for the purpose of calculating the Regulatory Burden Measure.</w:t>
      </w:r>
      <w:r>
        <w:rPr>
          <w:rFonts w:cstheme="minorHAnsi"/>
          <w:lang w:val="en-US"/>
        </w:rPr>
        <w:t xml:space="preserve"> While broadcasters would not be directly regulated, it is expected that </w:t>
      </w:r>
      <w:r w:rsidR="001E0CA7">
        <w:rPr>
          <w:rFonts w:cstheme="minorHAnsi"/>
          <w:lang w:val="en-US"/>
        </w:rPr>
        <w:t xml:space="preserve">they would </w:t>
      </w:r>
      <w:r w:rsidR="00AC256C">
        <w:rPr>
          <w:rFonts w:cstheme="minorHAnsi"/>
          <w:lang w:val="en-US"/>
        </w:rPr>
        <w:t xml:space="preserve">incur </w:t>
      </w:r>
      <w:r w:rsidR="001E0CA7">
        <w:rPr>
          <w:rFonts w:cstheme="minorHAnsi"/>
          <w:lang w:val="en-US"/>
        </w:rPr>
        <w:t xml:space="preserve">some costs </w:t>
      </w:r>
      <w:proofErr w:type="gramStart"/>
      <w:r w:rsidR="001E0CA7">
        <w:rPr>
          <w:rFonts w:cstheme="minorHAnsi"/>
          <w:lang w:val="en-US"/>
        </w:rPr>
        <w:t>as a result of</w:t>
      </w:r>
      <w:proofErr w:type="gramEnd"/>
      <w:r w:rsidR="001E0CA7">
        <w:rPr>
          <w:rFonts w:cstheme="minorHAnsi"/>
          <w:lang w:val="en-US"/>
        </w:rPr>
        <w:t xml:space="preserve"> being required to offer their services in the agreed manner, whether that be on defined or negotiated terms. </w:t>
      </w:r>
      <w:r w:rsidR="00094EDD">
        <w:rPr>
          <w:rFonts w:cstheme="minorHAnsi"/>
          <w:lang w:val="en-US"/>
        </w:rPr>
        <w:t>With</w:t>
      </w:r>
      <w:r w:rsidR="00F836EC">
        <w:rPr>
          <w:rFonts w:cstheme="minorHAnsi"/>
          <w:lang w:val="en-US"/>
        </w:rPr>
        <w:t xml:space="preserve"> approximately 450 community radio stations in Australia, this is the largest group of effected entities. However, these services </w:t>
      </w:r>
      <w:r w:rsidR="00DB249D">
        <w:rPr>
          <w:rFonts w:cstheme="minorHAnsi"/>
          <w:lang w:val="en-US"/>
        </w:rPr>
        <w:t xml:space="preserve">are </w:t>
      </w:r>
      <w:r w:rsidR="00464042">
        <w:rPr>
          <w:rFonts w:cstheme="minorHAnsi"/>
          <w:lang w:val="en-US"/>
        </w:rPr>
        <w:t xml:space="preserve">not </w:t>
      </w:r>
      <w:r w:rsidR="00DB249D">
        <w:rPr>
          <w:rFonts w:cstheme="minorHAnsi"/>
          <w:lang w:val="en-US"/>
        </w:rPr>
        <w:t>expected to undertake regulatory activities themselves</w:t>
      </w:r>
      <w:r w:rsidR="00464042">
        <w:rPr>
          <w:rFonts w:cstheme="minorHAnsi"/>
          <w:lang w:val="en-US"/>
        </w:rPr>
        <w:t>, rather compliance activities are anticipated to be undertaken by the sector’s representative body and have been calculated as such</w:t>
      </w:r>
      <w:r w:rsidR="00DB249D">
        <w:rPr>
          <w:rFonts w:cstheme="minorHAnsi"/>
          <w:lang w:val="en-US"/>
        </w:rPr>
        <w:t xml:space="preserve">. </w:t>
      </w:r>
    </w:p>
    <w:p w14:paraId="5A586DB0" w14:textId="3A6B0DB4" w:rsidR="007902E0" w:rsidRDefault="00DB249D" w:rsidP="00054680">
      <w:pPr>
        <w:tabs>
          <w:tab w:val="left" w:pos="7905"/>
        </w:tabs>
        <w:rPr>
          <w:rFonts w:cstheme="minorHAnsi"/>
          <w:lang w:val="en-US"/>
        </w:rPr>
      </w:pPr>
      <w:r>
        <w:rPr>
          <w:rFonts w:cstheme="minorHAnsi"/>
          <w:lang w:val="en-US"/>
        </w:rPr>
        <w:t>Within the ‘business’ category are</w:t>
      </w:r>
      <w:r w:rsidR="007902E0">
        <w:rPr>
          <w:rFonts w:cstheme="minorHAnsi"/>
          <w:lang w:val="en-US"/>
        </w:rPr>
        <w:t xml:space="preserve"> commercial radio</w:t>
      </w:r>
      <w:r>
        <w:rPr>
          <w:rFonts w:cstheme="minorHAnsi"/>
          <w:lang w:val="en-US"/>
        </w:rPr>
        <w:t xml:space="preserve"> networks, national broadcasters</w:t>
      </w:r>
      <w:r w:rsidR="007902E0">
        <w:rPr>
          <w:rFonts w:cstheme="minorHAnsi"/>
          <w:lang w:val="en-US"/>
        </w:rPr>
        <w:t xml:space="preserve"> and </w:t>
      </w:r>
      <w:r>
        <w:rPr>
          <w:rFonts w:cstheme="minorHAnsi"/>
          <w:lang w:val="en-US"/>
        </w:rPr>
        <w:t xml:space="preserve">voice assistant platforms. However, the estimated costs for voice assistant platforms assume that </w:t>
      </w:r>
      <w:r w:rsidR="00A956F2">
        <w:rPr>
          <w:rFonts w:cstheme="minorHAnsi"/>
          <w:lang w:val="en-US"/>
        </w:rPr>
        <w:t>ongoing costs will be needed to undertake regulatory activities as any necessary initial compliance activities would produce longer-term efficiencies and reduce costs for these entities</w:t>
      </w:r>
      <w:r w:rsidR="007902E0">
        <w:rPr>
          <w:rFonts w:cstheme="minorHAnsi"/>
          <w:lang w:val="en-US"/>
        </w:rPr>
        <w:t xml:space="preserve">. For further </w:t>
      </w:r>
      <w:proofErr w:type="gramStart"/>
      <w:r w:rsidR="000248EC">
        <w:rPr>
          <w:rFonts w:cstheme="minorHAnsi"/>
          <w:lang w:val="en-US"/>
        </w:rPr>
        <w:t>detail</w:t>
      </w:r>
      <w:proofErr w:type="gramEnd"/>
      <w:r w:rsidR="007902E0">
        <w:rPr>
          <w:rFonts w:cstheme="minorHAnsi"/>
          <w:lang w:val="en-US"/>
        </w:rPr>
        <w:t>, see Appendix A.</w:t>
      </w:r>
    </w:p>
    <w:p w14:paraId="30047A97" w14:textId="77777777" w:rsidR="00FB715C" w:rsidRDefault="00E2452F" w:rsidP="00E2452F">
      <w:pPr>
        <w:tabs>
          <w:tab w:val="left" w:pos="7905"/>
        </w:tabs>
        <w:spacing w:before="120" w:after="120"/>
        <w:rPr>
          <w:rFonts w:cstheme="minorHAnsi"/>
          <w:lang w:val="en-US"/>
        </w:rPr>
      </w:pPr>
      <w:r>
        <w:rPr>
          <w:rFonts w:cstheme="minorHAnsi"/>
          <w:lang w:val="en-US"/>
        </w:rPr>
        <w:t xml:space="preserve">As detailed in Table </w:t>
      </w:r>
      <w:r w:rsidR="00CF089C">
        <w:rPr>
          <w:rFonts w:cstheme="minorHAnsi"/>
          <w:lang w:val="en-US"/>
        </w:rPr>
        <w:t>3</w:t>
      </w:r>
      <w:r>
        <w:rPr>
          <w:rFonts w:cstheme="minorHAnsi"/>
          <w:lang w:val="en-US"/>
        </w:rPr>
        <w:t xml:space="preserve">, there are differences between three of the framework elements </w:t>
      </w:r>
      <w:r w:rsidR="00FB715C">
        <w:rPr>
          <w:rFonts w:cstheme="minorHAnsi"/>
          <w:lang w:val="en-US"/>
        </w:rPr>
        <w:t>between options 2a) and 2b),</w:t>
      </w:r>
      <w:r>
        <w:rPr>
          <w:rFonts w:cstheme="minorHAnsi"/>
          <w:lang w:val="en-US"/>
        </w:rPr>
        <w:t xml:space="preserve"> and these may result in different compliance impacts for voice assistant platforms. </w:t>
      </w:r>
    </w:p>
    <w:p w14:paraId="586501A0" w14:textId="4BDFED92" w:rsidR="00FB715C" w:rsidRDefault="00E2452F" w:rsidP="00101A53">
      <w:pPr>
        <w:pStyle w:val="ListParagraph"/>
        <w:numPr>
          <w:ilvl w:val="0"/>
          <w:numId w:val="77"/>
        </w:numPr>
        <w:tabs>
          <w:tab w:val="left" w:pos="7905"/>
        </w:tabs>
        <w:spacing w:before="120" w:after="120"/>
        <w:ind w:left="357" w:hanging="357"/>
        <w:contextualSpacing w:val="0"/>
      </w:pPr>
      <w:r>
        <w:rPr>
          <w:rFonts w:cstheme="minorHAnsi"/>
          <w:lang w:val="en-US"/>
        </w:rPr>
        <w:t xml:space="preserve">The </w:t>
      </w:r>
      <w:r w:rsidR="00D5306F">
        <w:rPr>
          <w:rFonts w:cstheme="minorHAnsi"/>
          <w:lang w:val="en-US"/>
        </w:rPr>
        <w:t>‘</w:t>
      </w:r>
      <w:r>
        <w:rPr>
          <w:rFonts w:cstheme="minorHAnsi"/>
          <w:lang w:val="en-US"/>
        </w:rPr>
        <w:t>payment for prominence</w:t>
      </w:r>
      <w:r w:rsidR="00D5306F">
        <w:rPr>
          <w:rFonts w:cstheme="minorHAnsi"/>
          <w:lang w:val="en-US"/>
        </w:rPr>
        <w:t>’</w:t>
      </w:r>
      <w:r>
        <w:rPr>
          <w:rFonts w:cstheme="minorHAnsi"/>
          <w:lang w:val="en-US"/>
        </w:rPr>
        <w:t xml:space="preserve"> element includes sub-options for ‘</w:t>
      </w:r>
      <w:r>
        <w:rPr>
          <w:rFonts w:ascii="Calibri" w:eastAsia="Calibri" w:hAnsi="Calibri" w:cs="Calibri"/>
          <w:u w:val="single"/>
        </w:rPr>
        <w:t>n</w:t>
      </w:r>
      <w:r w:rsidRPr="0014596A">
        <w:rPr>
          <w:rFonts w:ascii="Calibri" w:eastAsia="Calibri" w:hAnsi="Calibri" w:cs="Calibri"/>
          <w:u w:val="single"/>
        </w:rPr>
        <w:t>o cost</w:t>
      </w:r>
      <w:r w:rsidRPr="00101A53">
        <w:rPr>
          <w:rFonts w:ascii="Calibri" w:eastAsia="Calibri" w:hAnsi="Calibri" w:cs="Calibri"/>
        </w:rPr>
        <w:t>’</w:t>
      </w:r>
      <w:r>
        <w:rPr>
          <w:rFonts w:ascii="Calibri" w:eastAsia="Calibri" w:hAnsi="Calibri" w:cs="Calibri"/>
        </w:rPr>
        <w:t xml:space="preserve"> (access </w:t>
      </w:r>
      <w:r w:rsidRPr="00F21751">
        <w:rPr>
          <w:bCs/>
        </w:rPr>
        <w:t>without the imposition of a fee or charge</w:t>
      </w:r>
      <w:r>
        <w:rPr>
          <w:bCs/>
        </w:rPr>
        <w:t>)</w:t>
      </w:r>
      <w:r w:rsidRPr="00F21751">
        <w:rPr>
          <w:bCs/>
        </w:rPr>
        <w:t>,</w:t>
      </w:r>
      <w:r w:rsidRPr="003955DC">
        <w:rPr>
          <w:b/>
        </w:rPr>
        <w:t xml:space="preserve"> </w:t>
      </w:r>
      <w:r>
        <w:rPr>
          <w:rFonts w:cstheme="minorHAnsi"/>
          <w:lang w:val="en-US"/>
        </w:rPr>
        <w:t>or ‘</w:t>
      </w:r>
      <w:r>
        <w:rPr>
          <w:rFonts w:ascii="Calibri" w:eastAsia="Calibri" w:hAnsi="Calibri" w:cs="Calibri"/>
          <w:u w:val="single"/>
        </w:rPr>
        <w:t>fair bargaining</w:t>
      </w:r>
      <w:r w:rsidRPr="00101A53">
        <w:rPr>
          <w:rFonts w:ascii="Calibri" w:eastAsia="Calibri" w:hAnsi="Calibri" w:cs="Calibri"/>
        </w:rPr>
        <w:t>’</w:t>
      </w:r>
      <w:r>
        <w:rPr>
          <w:rFonts w:ascii="Calibri" w:eastAsia="Calibri" w:hAnsi="Calibri" w:cs="Calibri"/>
        </w:rPr>
        <w:t xml:space="preserve"> (access </w:t>
      </w:r>
      <w:r>
        <w:t>following agreement of fair and reasonable terms). The ‘no cost’ sub-options would likely have a greater negative compliance impact for voice assistant platforms</w:t>
      </w:r>
      <w:r w:rsidR="00FB715C">
        <w:t>,</w:t>
      </w:r>
      <w:r>
        <w:t xml:space="preserve"> as they would not be able to achieve a partial or full cost recovery for access that could be achieved under a fair bargaining regime.</w:t>
      </w:r>
    </w:p>
    <w:p w14:paraId="51FED0BB" w14:textId="639E7E17" w:rsidR="00FC0AAF" w:rsidRPr="00FB715C" w:rsidRDefault="00E2452F" w:rsidP="00101A53">
      <w:pPr>
        <w:pStyle w:val="ListParagraph"/>
        <w:numPr>
          <w:ilvl w:val="0"/>
          <w:numId w:val="77"/>
        </w:numPr>
        <w:tabs>
          <w:tab w:val="left" w:pos="7905"/>
        </w:tabs>
        <w:spacing w:before="120" w:after="120"/>
        <w:ind w:left="357" w:hanging="357"/>
        <w:contextualSpacing w:val="0"/>
        <w:rPr>
          <w:bCs/>
        </w:rPr>
      </w:pPr>
      <w:r>
        <w:t xml:space="preserve">The </w:t>
      </w:r>
      <w:r w:rsidR="00FB715C">
        <w:t>‘</w:t>
      </w:r>
      <w:r>
        <w:t>service integrity</w:t>
      </w:r>
      <w:r w:rsidR="00FB715C">
        <w:t>’</w:t>
      </w:r>
      <w:r>
        <w:t xml:space="preserve"> element is split between ‘</w:t>
      </w:r>
      <w:r w:rsidRPr="00C75952">
        <w:rPr>
          <w:rFonts w:ascii="Calibri" w:eastAsia="Calibri" w:hAnsi="Calibri" w:cs="Calibri"/>
          <w:u w:val="single"/>
        </w:rPr>
        <w:t>no alteration</w:t>
      </w:r>
      <w:r w:rsidRPr="00101A53">
        <w:rPr>
          <w:rFonts w:ascii="Calibri" w:eastAsia="Calibri" w:hAnsi="Calibri" w:cs="Calibri"/>
        </w:rPr>
        <w:t>’</w:t>
      </w:r>
      <w:r w:rsidR="00DD1423" w:rsidRPr="00101A53">
        <w:rPr>
          <w:rFonts w:ascii="Calibri" w:eastAsia="Calibri" w:hAnsi="Calibri" w:cs="Calibri"/>
        </w:rPr>
        <w:t>,</w:t>
      </w:r>
      <w:r w:rsidRPr="00C75952">
        <w:rPr>
          <w:rFonts w:ascii="Calibri" w:eastAsia="Calibri" w:hAnsi="Calibri" w:cs="Calibri"/>
        </w:rPr>
        <w:t xml:space="preserve"> whereby an access provider would be prohibited from </w:t>
      </w:r>
      <w:r>
        <w:t>altering the content of a radio service</w:t>
      </w:r>
      <w:r w:rsidR="005A7439">
        <w:t>,</w:t>
      </w:r>
      <w:r>
        <w:t xml:space="preserve"> and ‘</w:t>
      </w:r>
      <w:r w:rsidRPr="00C75952">
        <w:rPr>
          <w:rFonts w:ascii="Calibri" w:eastAsia="Calibri" w:hAnsi="Calibri" w:cs="Calibri"/>
          <w:u w:val="single"/>
        </w:rPr>
        <w:t>no alteration as default</w:t>
      </w:r>
      <w:r w:rsidRPr="00101A53">
        <w:rPr>
          <w:rFonts w:ascii="Calibri" w:eastAsia="Calibri" w:hAnsi="Calibri" w:cs="Calibri"/>
        </w:rPr>
        <w:t>’</w:t>
      </w:r>
      <w:r w:rsidR="00DD1423" w:rsidRPr="00101A53">
        <w:rPr>
          <w:rFonts w:ascii="Calibri" w:eastAsia="Calibri" w:hAnsi="Calibri" w:cs="Calibri"/>
        </w:rPr>
        <w:t>,</w:t>
      </w:r>
      <w:r w:rsidRPr="00C75952">
        <w:rPr>
          <w:rFonts w:ascii="Calibri" w:eastAsia="Calibri" w:hAnsi="Calibri" w:cs="Calibri"/>
        </w:rPr>
        <w:t xml:space="preserve"> whereby an access provider would be prohibited from </w:t>
      </w:r>
      <w:r>
        <w:t xml:space="preserve">altering the content of a radio service </w:t>
      </w:r>
      <w:r w:rsidRPr="00F21751">
        <w:rPr>
          <w:bCs/>
        </w:rPr>
        <w:t>unless an alternative agreement was struck between the parties</w:t>
      </w:r>
      <w:r>
        <w:rPr>
          <w:bCs/>
        </w:rPr>
        <w:t xml:space="preserve">. As above, the compliance impacts for the voice assistant platforms are likely to be preferrable under a regime that enables negotiation on </w:t>
      </w:r>
      <w:r w:rsidR="005507FE">
        <w:rPr>
          <w:bCs/>
        </w:rPr>
        <w:t>the</w:t>
      </w:r>
      <w:r w:rsidRPr="00FB715C">
        <w:rPr>
          <w:bCs/>
        </w:rPr>
        <w:t xml:space="preserve"> </w:t>
      </w:r>
      <w:r>
        <w:rPr>
          <w:bCs/>
        </w:rPr>
        <w:t xml:space="preserve">terms of an </w:t>
      </w:r>
      <w:r w:rsidR="005507FE">
        <w:rPr>
          <w:bCs/>
        </w:rPr>
        <w:t>agreement</w:t>
      </w:r>
      <w:r>
        <w:rPr>
          <w:bCs/>
        </w:rPr>
        <w:t xml:space="preserve">. </w:t>
      </w:r>
    </w:p>
    <w:p w14:paraId="7CFBFDF3" w14:textId="5F0F174E" w:rsidR="00E2452F" w:rsidRPr="00FC0AAF" w:rsidRDefault="00FC0AAF" w:rsidP="00101A53">
      <w:pPr>
        <w:pStyle w:val="ListParagraph"/>
        <w:numPr>
          <w:ilvl w:val="0"/>
          <w:numId w:val="77"/>
        </w:numPr>
        <w:tabs>
          <w:tab w:val="left" w:pos="7905"/>
        </w:tabs>
        <w:spacing w:before="120" w:after="120"/>
        <w:ind w:left="357" w:hanging="357"/>
        <w:contextualSpacing w:val="0"/>
        <w:rPr>
          <w:lang w:val="en-US"/>
        </w:rPr>
      </w:pPr>
      <w:r>
        <w:rPr>
          <w:bCs/>
        </w:rPr>
        <w:t xml:space="preserve">The third </w:t>
      </w:r>
      <w:r w:rsidR="00E2452F">
        <w:rPr>
          <w:bCs/>
        </w:rPr>
        <w:t xml:space="preserve">element, </w:t>
      </w:r>
      <w:r>
        <w:rPr>
          <w:bCs/>
        </w:rPr>
        <w:t>‘</w:t>
      </w:r>
      <w:r w:rsidR="00E2452F" w:rsidRPr="00101A53">
        <w:rPr>
          <w:u w:val="single"/>
        </w:rPr>
        <w:t xml:space="preserve">access </w:t>
      </w:r>
      <w:r w:rsidR="00E2452F" w:rsidRPr="00101A53">
        <w:rPr>
          <w:bCs/>
          <w:u w:val="single"/>
        </w:rPr>
        <w:t>pathway</w:t>
      </w:r>
      <w:r>
        <w:rPr>
          <w:bCs/>
        </w:rPr>
        <w:t>’</w:t>
      </w:r>
      <w:r w:rsidR="00E2452F">
        <w:rPr>
          <w:bCs/>
        </w:rPr>
        <w:t xml:space="preserve">, would present a higher compliance impact for voice assistant platforms if a negotiation regime was implemented. </w:t>
      </w:r>
      <w:r w:rsidR="005507FE">
        <w:rPr>
          <w:bCs/>
        </w:rPr>
        <w:t xml:space="preserve">Under </w:t>
      </w:r>
      <w:r w:rsidR="00E2452F">
        <w:rPr>
          <w:bCs/>
        </w:rPr>
        <w:t>a ‘</w:t>
      </w:r>
      <w:r w:rsidR="00E2452F" w:rsidRPr="00101A53">
        <w:rPr>
          <w:u w:val="single"/>
        </w:rPr>
        <w:t>defined access pathway</w:t>
      </w:r>
      <w:r w:rsidR="00E2452F">
        <w:rPr>
          <w:bCs/>
        </w:rPr>
        <w:t>’</w:t>
      </w:r>
      <w:r>
        <w:rPr>
          <w:bCs/>
        </w:rPr>
        <w:t>,</w:t>
      </w:r>
      <w:r w:rsidR="00E2452F">
        <w:rPr>
          <w:bCs/>
        </w:rPr>
        <w:t xml:space="preserve"> voice assistant platforms </w:t>
      </w:r>
      <w:r w:rsidR="00E2452F" w:rsidRPr="00FC0AAF">
        <w:rPr>
          <w:bCs/>
        </w:rPr>
        <w:t>w</w:t>
      </w:r>
      <w:r w:rsidR="005507FE">
        <w:rPr>
          <w:bCs/>
        </w:rPr>
        <w:t>ould</w:t>
      </w:r>
      <w:r w:rsidR="00E2452F">
        <w:rPr>
          <w:bCs/>
        </w:rPr>
        <w:t xml:space="preserve"> be required to set up specific mechanisms to ensure accurate surfacing by the aggregator or pathway as chosen by the radio broadcaster. In contrast</w:t>
      </w:r>
      <w:r>
        <w:rPr>
          <w:bCs/>
        </w:rPr>
        <w:t>,</w:t>
      </w:r>
      <w:r w:rsidR="00E2452F">
        <w:rPr>
          <w:bCs/>
        </w:rPr>
        <w:t xml:space="preserve"> the </w:t>
      </w:r>
      <w:r w:rsidR="00E2452F" w:rsidRPr="00F21751">
        <w:rPr>
          <w:bCs/>
        </w:rPr>
        <w:t>‘</w:t>
      </w:r>
      <w:r w:rsidR="00E2452F">
        <w:rPr>
          <w:rFonts w:ascii="Calibri" w:eastAsia="Calibri" w:hAnsi="Calibri" w:cs="Calibri"/>
          <w:u w:val="single"/>
        </w:rPr>
        <w:t>o</w:t>
      </w:r>
      <w:r w:rsidR="00E2452F" w:rsidRPr="0014596A">
        <w:rPr>
          <w:rFonts w:ascii="Calibri" w:eastAsia="Calibri" w:hAnsi="Calibri" w:cs="Calibri"/>
          <w:u w:val="single"/>
        </w:rPr>
        <w:t>pen access pathway</w:t>
      </w:r>
      <w:r w:rsidR="00E2452F" w:rsidRPr="00101A53">
        <w:rPr>
          <w:rFonts w:ascii="Calibri" w:eastAsia="Calibri" w:hAnsi="Calibri" w:cs="Calibri"/>
        </w:rPr>
        <w:t>’</w:t>
      </w:r>
      <w:r w:rsidR="00E2452F">
        <w:rPr>
          <w:rFonts w:ascii="Calibri" w:eastAsia="Calibri" w:hAnsi="Calibri" w:cs="Calibri"/>
        </w:rPr>
        <w:t xml:space="preserve"> </w:t>
      </w:r>
      <w:r w:rsidR="005507FE">
        <w:rPr>
          <w:rFonts w:ascii="Calibri" w:eastAsia="Calibri" w:hAnsi="Calibri" w:cs="Calibri"/>
        </w:rPr>
        <w:t xml:space="preserve">would </w:t>
      </w:r>
      <w:r w:rsidR="00E2452F">
        <w:rPr>
          <w:rFonts w:ascii="Calibri" w:eastAsia="Calibri" w:hAnsi="Calibri" w:cs="Calibri"/>
        </w:rPr>
        <w:t>allow the voice assistant platform to continue to utilise their current mechanisms for surfacing radio stations</w:t>
      </w:r>
      <w:r>
        <w:rPr>
          <w:rFonts w:ascii="Calibri" w:eastAsia="Calibri" w:hAnsi="Calibri" w:cs="Calibri"/>
        </w:rPr>
        <w:t>,</w:t>
      </w:r>
      <w:r w:rsidR="00E2452F">
        <w:rPr>
          <w:rFonts w:ascii="Calibri" w:eastAsia="Calibri" w:hAnsi="Calibri" w:cs="Calibri"/>
        </w:rPr>
        <w:t xml:space="preserve"> </w:t>
      </w:r>
      <w:r>
        <w:rPr>
          <w:rFonts w:ascii="Calibri" w:eastAsia="Calibri" w:hAnsi="Calibri" w:cs="Calibri"/>
        </w:rPr>
        <w:t>as</w:t>
      </w:r>
      <w:r w:rsidRPr="00FC0AAF">
        <w:rPr>
          <w:rFonts w:ascii="Calibri" w:eastAsia="Calibri" w:hAnsi="Calibri" w:cs="Calibri"/>
        </w:rPr>
        <w:t xml:space="preserve"> </w:t>
      </w:r>
      <w:r w:rsidR="00E2452F">
        <w:rPr>
          <w:rFonts w:ascii="Calibri" w:eastAsia="Calibri" w:hAnsi="Calibri" w:cs="Calibri"/>
        </w:rPr>
        <w:t xml:space="preserve">the voice assistant platform </w:t>
      </w:r>
      <w:r w:rsidR="00E2452F" w:rsidRPr="00FC0AAF">
        <w:rPr>
          <w:rFonts w:ascii="Calibri" w:eastAsia="Calibri" w:hAnsi="Calibri" w:cs="Calibri"/>
        </w:rPr>
        <w:t>c</w:t>
      </w:r>
      <w:r w:rsidR="005507FE">
        <w:rPr>
          <w:rFonts w:ascii="Calibri" w:eastAsia="Calibri" w:hAnsi="Calibri" w:cs="Calibri"/>
        </w:rPr>
        <w:t>ould</w:t>
      </w:r>
      <w:r w:rsidR="00E2452F">
        <w:rPr>
          <w:rFonts w:ascii="Calibri" w:eastAsia="Calibri" w:hAnsi="Calibri" w:cs="Calibri"/>
        </w:rPr>
        <w:t xml:space="preserve"> </w:t>
      </w:r>
      <w:r w:rsidR="00E2452F" w:rsidRPr="00D62595">
        <w:rPr>
          <w:lang w:val="en-US"/>
        </w:rPr>
        <w:t xml:space="preserve">determine </w:t>
      </w:r>
      <w:r w:rsidR="00E2452F">
        <w:rPr>
          <w:lang w:val="en-US"/>
        </w:rPr>
        <w:t xml:space="preserve">the source or pathway for a radio service. </w:t>
      </w:r>
    </w:p>
    <w:p w14:paraId="1FD15433" w14:textId="77777777" w:rsidR="00094EDD" w:rsidRDefault="00094EDD" w:rsidP="00E2452F">
      <w:pPr>
        <w:tabs>
          <w:tab w:val="left" w:pos="7905"/>
        </w:tabs>
        <w:spacing w:before="120" w:after="120"/>
        <w:rPr>
          <w:lang w:val="en-US"/>
        </w:rPr>
      </w:pPr>
    </w:p>
    <w:p w14:paraId="61DD80BC" w14:textId="77777777" w:rsidR="00094EDD" w:rsidRDefault="00094EDD" w:rsidP="00E2452F">
      <w:pPr>
        <w:tabs>
          <w:tab w:val="left" w:pos="7905"/>
        </w:tabs>
        <w:spacing w:before="120" w:after="120"/>
        <w:rPr>
          <w:lang w:val="en-US"/>
        </w:rPr>
      </w:pPr>
    </w:p>
    <w:p w14:paraId="245944A6" w14:textId="426C7AD4" w:rsidR="006E30ED" w:rsidRPr="003803DE" w:rsidRDefault="006E30ED" w:rsidP="006E30ED">
      <w:pPr>
        <w:pStyle w:val="Caption"/>
      </w:pPr>
      <w:bookmarkStart w:id="101" w:name="_Toc236825670"/>
      <w:r>
        <w:lastRenderedPageBreak/>
        <w:t xml:space="preserve">Table </w:t>
      </w:r>
      <w:r w:rsidR="00CF089C">
        <w:t>6</w:t>
      </w:r>
      <w:r>
        <w:t>: Option 2 - a</w:t>
      </w:r>
      <w:r w:rsidRPr="003803DE">
        <w:t>verage annual regulatory costs (</w:t>
      </w:r>
      <w:r w:rsidR="001E0CA7">
        <w:t>compared with</w:t>
      </w:r>
      <w:r w:rsidRPr="003803DE">
        <w:t xml:space="preserve"> business as usual)</w:t>
      </w:r>
      <w:bookmarkEnd w:id="101"/>
      <w:r w:rsidRPr="003803DE">
        <w:t> </w:t>
      </w:r>
    </w:p>
    <w:tbl>
      <w:tblPr>
        <w:tblStyle w:val="DefaultTable1"/>
        <w:tblW w:w="9800" w:type="dxa"/>
        <w:tblLook w:val="04A0" w:firstRow="1" w:lastRow="0" w:firstColumn="1" w:lastColumn="0" w:noHBand="0" w:noVBand="1"/>
      </w:tblPr>
      <w:tblGrid>
        <w:gridCol w:w="1960"/>
        <w:gridCol w:w="1960"/>
        <w:gridCol w:w="1960"/>
        <w:gridCol w:w="1960"/>
        <w:gridCol w:w="1960"/>
      </w:tblGrid>
      <w:tr w:rsidR="006E30ED" w:rsidRPr="003803DE" w14:paraId="16571A81" w14:textId="77777777" w:rsidTr="00DE1D9D">
        <w:trPr>
          <w:cnfStyle w:val="100000000000" w:firstRow="1" w:lastRow="0" w:firstColumn="0" w:lastColumn="0" w:oddVBand="0" w:evenVBand="0" w:oddHBand="0"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960" w:type="dxa"/>
            <w:hideMark/>
          </w:tcPr>
          <w:p w14:paraId="0FAB4D2E" w14:textId="423809D0" w:rsidR="006E30ED" w:rsidRPr="003803DE" w:rsidRDefault="006E30ED" w:rsidP="00DE1D9D">
            <w:pPr>
              <w:spacing w:before="160"/>
              <w:rPr>
                <w:bCs/>
              </w:rPr>
            </w:pPr>
            <w:r w:rsidRPr="003803DE">
              <w:rPr>
                <w:bCs/>
              </w:rPr>
              <w:t>Change in costs  </w:t>
            </w:r>
          </w:p>
        </w:tc>
        <w:tc>
          <w:tcPr>
            <w:tcW w:w="1960" w:type="dxa"/>
            <w:hideMark/>
          </w:tcPr>
          <w:p w14:paraId="39BC8C04" w14:textId="77777777" w:rsidR="006E30ED" w:rsidRPr="003803DE" w:rsidRDefault="006E30ED" w:rsidP="00DE1D9D">
            <w:pPr>
              <w:spacing w:before="160"/>
              <w:cnfStyle w:val="100000000000" w:firstRow="1" w:lastRow="0" w:firstColumn="0" w:lastColumn="0" w:oddVBand="0" w:evenVBand="0" w:oddHBand="0" w:evenHBand="0" w:firstRowFirstColumn="0" w:firstRowLastColumn="0" w:lastRowFirstColumn="0" w:lastRowLastColumn="0"/>
              <w:rPr>
                <w:bCs/>
              </w:rPr>
            </w:pPr>
            <w:r w:rsidRPr="003803DE">
              <w:rPr>
                <w:bCs/>
              </w:rPr>
              <w:t>Business </w:t>
            </w:r>
          </w:p>
        </w:tc>
        <w:tc>
          <w:tcPr>
            <w:tcW w:w="1960" w:type="dxa"/>
            <w:hideMark/>
          </w:tcPr>
          <w:p w14:paraId="11545909" w14:textId="77777777" w:rsidR="006E30ED" w:rsidRPr="003803DE" w:rsidRDefault="006E30ED" w:rsidP="00DE1D9D">
            <w:pPr>
              <w:spacing w:before="160"/>
              <w:cnfStyle w:val="100000000000" w:firstRow="1" w:lastRow="0" w:firstColumn="0" w:lastColumn="0" w:oddVBand="0" w:evenVBand="0" w:oddHBand="0" w:evenHBand="0" w:firstRowFirstColumn="0" w:firstRowLastColumn="0" w:lastRowFirstColumn="0" w:lastRowLastColumn="0"/>
              <w:rPr>
                <w:bCs/>
              </w:rPr>
            </w:pPr>
            <w:r w:rsidRPr="003803DE">
              <w:rPr>
                <w:bCs/>
              </w:rPr>
              <w:t>Community organisations </w:t>
            </w:r>
          </w:p>
        </w:tc>
        <w:tc>
          <w:tcPr>
            <w:tcW w:w="1960" w:type="dxa"/>
            <w:hideMark/>
          </w:tcPr>
          <w:p w14:paraId="6BE8711A" w14:textId="77777777" w:rsidR="006E30ED" w:rsidRPr="003803DE" w:rsidRDefault="006E30ED" w:rsidP="00DE1D9D">
            <w:pPr>
              <w:spacing w:before="160"/>
              <w:cnfStyle w:val="100000000000" w:firstRow="1" w:lastRow="0" w:firstColumn="0" w:lastColumn="0" w:oddVBand="0" w:evenVBand="0" w:oddHBand="0" w:evenHBand="0" w:firstRowFirstColumn="0" w:firstRowLastColumn="0" w:lastRowFirstColumn="0" w:lastRowLastColumn="0"/>
              <w:rPr>
                <w:bCs/>
              </w:rPr>
            </w:pPr>
            <w:r w:rsidRPr="003803DE">
              <w:rPr>
                <w:bCs/>
              </w:rPr>
              <w:t>Individuals </w:t>
            </w:r>
          </w:p>
        </w:tc>
        <w:tc>
          <w:tcPr>
            <w:tcW w:w="1960" w:type="dxa"/>
            <w:hideMark/>
          </w:tcPr>
          <w:p w14:paraId="4F47F38C" w14:textId="77777777" w:rsidR="006E30ED" w:rsidRPr="003803DE" w:rsidRDefault="006E30ED" w:rsidP="00DE1D9D">
            <w:pPr>
              <w:spacing w:before="160"/>
              <w:cnfStyle w:val="100000000000" w:firstRow="1" w:lastRow="0" w:firstColumn="0" w:lastColumn="0" w:oddVBand="0" w:evenVBand="0" w:oddHBand="0" w:evenHBand="0" w:firstRowFirstColumn="0" w:firstRowLastColumn="0" w:lastRowFirstColumn="0" w:lastRowLastColumn="0"/>
              <w:rPr>
                <w:bCs/>
              </w:rPr>
            </w:pPr>
            <w:r w:rsidRPr="003803DE">
              <w:rPr>
                <w:bCs/>
              </w:rPr>
              <w:t>Total change in costs </w:t>
            </w:r>
          </w:p>
        </w:tc>
      </w:tr>
      <w:tr w:rsidR="006E30ED" w:rsidRPr="003803DE" w14:paraId="77892A40" w14:textId="77777777" w:rsidTr="00DE1D9D">
        <w:trPr>
          <w:trHeight w:val="294"/>
        </w:trPr>
        <w:tc>
          <w:tcPr>
            <w:cnfStyle w:val="001000000000" w:firstRow="0" w:lastRow="0" w:firstColumn="1" w:lastColumn="0" w:oddVBand="0" w:evenVBand="0" w:oddHBand="0" w:evenHBand="0" w:firstRowFirstColumn="0" w:firstRowLastColumn="0" w:lastRowFirstColumn="0" w:lastRowLastColumn="0"/>
            <w:tcW w:w="1960" w:type="dxa"/>
            <w:hideMark/>
          </w:tcPr>
          <w:p w14:paraId="26A075C5" w14:textId="28EB2595" w:rsidR="006E30ED" w:rsidRPr="005A7439" w:rsidRDefault="006E30ED" w:rsidP="007A3F18">
            <w:pPr>
              <w:spacing w:before="40" w:after="40"/>
              <w:rPr>
                <w:highlight w:val="cyan"/>
              </w:rPr>
            </w:pPr>
            <w:r w:rsidRPr="00B35CE3">
              <w:t>Total</w:t>
            </w:r>
            <w:r w:rsidR="00640C05" w:rsidRPr="00B35CE3">
              <w:t xml:space="preserve"> Option 2a ($millions)</w:t>
            </w:r>
            <w:r w:rsidRPr="00B35CE3">
              <w:t> </w:t>
            </w:r>
          </w:p>
        </w:tc>
        <w:tc>
          <w:tcPr>
            <w:tcW w:w="1960" w:type="dxa"/>
            <w:hideMark/>
          </w:tcPr>
          <w:p w14:paraId="74D2D52A" w14:textId="03492BEE" w:rsidR="006E30ED" w:rsidRPr="005A7439" w:rsidRDefault="006E30ED" w:rsidP="007A3F18">
            <w:pPr>
              <w:spacing w:before="40" w:after="40"/>
              <w:cnfStyle w:val="000000000000" w:firstRow="0" w:lastRow="0" w:firstColumn="0" w:lastColumn="0" w:oddVBand="0" w:evenVBand="0" w:oddHBand="0" w:evenHBand="0" w:firstRowFirstColumn="0" w:firstRowLastColumn="0" w:lastRowFirstColumn="0" w:lastRowLastColumn="0"/>
              <w:rPr>
                <w:highlight w:val="cyan"/>
              </w:rPr>
            </w:pPr>
            <w:r w:rsidRPr="00151AA5">
              <w:t>$ </w:t>
            </w:r>
            <w:r w:rsidR="006B682C" w:rsidRPr="00151AA5">
              <w:t>1.2</w:t>
            </w:r>
            <w:r w:rsidR="00151AA5" w:rsidRPr="00151AA5">
              <w:t>51</w:t>
            </w:r>
          </w:p>
        </w:tc>
        <w:tc>
          <w:tcPr>
            <w:tcW w:w="1960" w:type="dxa"/>
            <w:hideMark/>
          </w:tcPr>
          <w:p w14:paraId="57489ADA" w14:textId="5177C367" w:rsidR="006E30ED" w:rsidRPr="005A7439" w:rsidRDefault="006E30ED" w:rsidP="007A3F18">
            <w:pPr>
              <w:spacing w:before="40" w:after="40"/>
              <w:cnfStyle w:val="000000000000" w:firstRow="0" w:lastRow="0" w:firstColumn="0" w:lastColumn="0" w:oddVBand="0" w:evenVBand="0" w:oddHBand="0" w:evenHBand="0" w:firstRowFirstColumn="0" w:firstRowLastColumn="0" w:lastRowFirstColumn="0" w:lastRowLastColumn="0"/>
              <w:rPr>
                <w:highlight w:val="cyan"/>
              </w:rPr>
            </w:pPr>
            <w:r w:rsidRPr="00151AA5">
              <w:t>$ </w:t>
            </w:r>
            <w:r w:rsidR="00151AA5" w:rsidRPr="00151AA5">
              <w:t>0.06</w:t>
            </w:r>
            <w:r w:rsidR="00151AA5">
              <w:t>2</w:t>
            </w:r>
          </w:p>
        </w:tc>
        <w:tc>
          <w:tcPr>
            <w:tcW w:w="1960" w:type="dxa"/>
            <w:hideMark/>
          </w:tcPr>
          <w:p w14:paraId="17697AEF" w14:textId="706B7FA9" w:rsidR="006E30ED" w:rsidRPr="005A7439" w:rsidRDefault="006E30ED" w:rsidP="007A3F18">
            <w:pPr>
              <w:spacing w:before="40" w:after="40"/>
              <w:cnfStyle w:val="000000000000" w:firstRow="0" w:lastRow="0" w:firstColumn="0" w:lastColumn="0" w:oddVBand="0" w:evenVBand="0" w:oddHBand="0" w:evenHBand="0" w:firstRowFirstColumn="0" w:firstRowLastColumn="0" w:lastRowFirstColumn="0" w:lastRowLastColumn="0"/>
              <w:rPr>
                <w:highlight w:val="cyan"/>
              </w:rPr>
            </w:pPr>
            <w:r w:rsidRPr="007F5E5B">
              <w:t>$ </w:t>
            </w:r>
            <w:r w:rsidR="005E131D" w:rsidRPr="007F5E5B">
              <w:t>0.000</w:t>
            </w:r>
          </w:p>
        </w:tc>
        <w:tc>
          <w:tcPr>
            <w:tcW w:w="1960" w:type="dxa"/>
            <w:hideMark/>
          </w:tcPr>
          <w:p w14:paraId="449DDF37" w14:textId="7CECAF1B" w:rsidR="006E30ED" w:rsidRPr="005A7439" w:rsidRDefault="006E30ED" w:rsidP="007A3F18">
            <w:pPr>
              <w:spacing w:before="40" w:after="40"/>
              <w:cnfStyle w:val="000000000000" w:firstRow="0" w:lastRow="0" w:firstColumn="0" w:lastColumn="0" w:oddVBand="0" w:evenVBand="0" w:oddHBand="0" w:evenHBand="0" w:firstRowFirstColumn="0" w:firstRowLastColumn="0" w:lastRowFirstColumn="0" w:lastRowLastColumn="0"/>
              <w:rPr>
                <w:highlight w:val="cyan"/>
              </w:rPr>
            </w:pPr>
            <w:r w:rsidRPr="007F5E5B">
              <w:t>$ </w:t>
            </w:r>
            <w:r w:rsidR="007F5E5B" w:rsidRPr="007F5E5B">
              <w:t>1.313</w:t>
            </w:r>
          </w:p>
        </w:tc>
      </w:tr>
      <w:tr w:rsidR="006E30ED" w:rsidRPr="003803DE" w14:paraId="66606850" w14:textId="77777777" w:rsidTr="00DE1D9D">
        <w:trPr>
          <w:cnfStyle w:val="000000010000" w:firstRow="0" w:lastRow="0" w:firstColumn="0" w:lastColumn="0" w:oddVBand="0" w:evenVBand="0" w:oddHBand="0" w:evenHBand="1"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960" w:type="dxa"/>
          </w:tcPr>
          <w:p w14:paraId="12585512" w14:textId="7580BEA0" w:rsidR="006E30ED" w:rsidRPr="00B35CE3" w:rsidRDefault="00640C05" w:rsidP="007A3F18">
            <w:pPr>
              <w:spacing w:before="40" w:after="40"/>
            </w:pPr>
            <w:r w:rsidRPr="00B35CE3">
              <w:t>Total Option 2b ($millions) </w:t>
            </w:r>
          </w:p>
        </w:tc>
        <w:tc>
          <w:tcPr>
            <w:tcW w:w="1960" w:type="dxa"/>
          </w:tcPr>
          <w:p w14:paraId="61C46044" w14:textId="23E817A4" w:rsidR="006E30ED" w:rsidRPr="005A7439" w:rsidRDefault="00640C05" w:rsidP="007A3F18">
            <w:pPr>
              <w:spacing w:before="40" w:after="40"/>
              <w:cnfStyle w:val="000000010000" w:firstRow="0" w:lastRow="0" w:firstColumn="0" w:lastColumn="0" w:oddVBand="0" w:evenVBand="0" w:oddHBand="0" w:evenHBand="1" w:firstRowFirstColumn="0" w:firstRowLastColumn="0" w:lastRowFirstColumn="0" w:lastRowLastColumn="0"/>
              <w:rPr>
                <w:highlight w:val="cyan"/>
              </w:rPr>
            </w:pPr>
            <w:r w:rsidRPr="00C50875">
              <w:t>$</w:t>
            </w:r>
            <w:r w:rsidR="002B0DE9" w:rsidRPr="00C50875">
              <w:t xml:space="preserve"> </w:t>
            </w:r>
            <w:r w:rsidR="00C50875" w:rsidRPr="00C50875">
              <w:t>2.033</w:t>
            </w:r>
          </w:p>
        </w:tc>
        <w:tc>
          <w:tcPr>
            <w:tcW w:w="1960" w:type="dxa"/>
          </w:tcPr>
          <w:p w14:paraId="45ADEA8B" w14:textId="743DF960" w:rsidR="006E30ED" w:rsidRPr="005A7439" w:rsidRDefault="00640C05" w:rsidP="007A3F18">
            <w:pPr>
              <w:spacing w:before="40" w:after="40"/>
              <w:cnfStyle w:val="000000010000" w:firstRow="0" w:lastRow="0" w:firstColumn="0" w:lastColumn="0" w:oddVBand="0" w:evenVBand="0" w:oddHBand="0" w:evenHBand="1" w:firstRowFirstColumn="0" w:firstRowLastColumn="0" w:lastRowFirstColumn="0" w:lastRowLastColumn="0"/>
              <w:rPr>
                <w:highlight w:val="cyan"/>
              </w:rPr>
            </w:pPr>
            <w:r w:rsidRPr="00C50875">
              <w:t>$</w:t>
            </w:r>
            <w:r w:rsidR="002B0DE9" w:rsidRPr="00C50875">
              <w:t xml:space="preserve"> </w:t>
            </w:r>
            <w:r w:rsidR="00C50875" w:rsidRPr="00C50875">
              <w:t>0.052</w:t>
            </w:r>
          </w:p>
        </w:tc>
        <w:tc>
          <w:tcPr>
            <w:tcW w:w="1960" w:type="dxa"/>
          </w:tcPr>
          <w:p w14:paraId="3C0BA82B" w14:textId="2834BF57" w:rsidR="006E30ED" w:rsidRPr="005A7439" w:rsidRDefault="00640C05" w:rsidP="007A3F18">
            <w:pPr>
              <w:spacing w:before="40" w:after="40"/>
              <w:cnfStyle w:val="000000010000" w:firstRow="0" w:lastRow="0" w:firstColumn="0" w:lastColumn="0" w:oddVBand="0" w:evenVBand="0" w:oddHBand="0" w:evenHBand="1" w:firstRowFirstColumn="0" w:firstRowLastColumn="0" w:lastRowFirstColumn="0" w:lastRowLastColumn="0"/>
              <w:rPr>
                <w:highlight w:val="cyan"/>
              </w:rPr>
            </w:pPr>
            <w:r w:rsidRPr="007F5E5B">
              <w:t>$</w:t>
            </w:r>
            <w:r w:rsidR="005E131D" w:rsidRPr="007F5E5B">
              <w:t xml:space="preserve"> 0.000</w:t>
            </w:r>
          </w:p>
        </w:tc>
        <w:tc>
          <w:tcPr>
            <w:tcW w:w="1960" w:type="dxa"/>
          </w:tcPr>
          <w:p w14:paraId="263F5303" w14:textId="199CBDFC" w:rsidR="006E30ED" w:rsidRPr="005A7439" w:rsidRDefault="00640C05" w:rsidP="007A3F18">
            <w:pPr>
              <w:spacing w:before="40" w:after="40"/>
              <w:cnfStyle w:val="000000010000" w:firstRow="0" w:lastRow="0" w:firstColumn="0" w:lastColumn="0" w:oddVBand="0" w:evenVBand="0" w:oddHBand="0" w:evenHBand="1" w:firstRowFirstColumn="0" w:firstRowLastColumn="0" w:lastRowFirstColumn="0" w:lastRowLastColumn="0"/>
              <w:rPr>
                <w:highlight w:val="cyan"/>
              </w:rPr>
            </w:pPr>
            <w:r w:rsidRPr="00C50875">
              <w:t>$</w:t>
            </w:r>
            <w:r w:rsidR="002B0DE9" w:rsidRPr="00C50875">
              <w:t xml:space="preserve"> </w:t>
            </w:r>
            <w:r w:rsidR="00C50875" w:rsidRPr="00C50875">
              <w:t>2.085</w:t>
            </w:r>
          </w:p>
        </w:tc>
      </w:tr>
    </w:tbl>
    <w:p w14:paraId="2AADE071" w14:textId="689A8FA3" w:rsidR="00054680" w:rsidRDefault="006D6008" w:rsidP="00706AF3">
      <w:pPr>
        <w:pStyle w:val="Heading3Numbered"/>
      </w:pPr>
      <w:bookmarkStart w:id="102" w:name="_Toc216959439"/>
      <w:bookmarkStart w:id="103" w:name="_Toc236825169"/>
      <w:bookmarkEnd w:id="102"/>
      <w:r>
        <w:t>A</w:t>
      </w:r>
      <w:r w:rsidR="00706AF3">
        <w:t>ssessment of impacts</w:t>
      </w:r>
      <w:bookmarkEnd w:id="103"/>
    </w:p>
    <w:p w14:paraId="096CAB30" w14:textId="4DE91166" w:rsidR="00E348FB" w:rsidRDefault="00FC44C8" w:rsidP="00F432B9">
      <w:r>
        <w:t xml:space="preserve">A legislated radio prominence framework would have a </w:t>
      </w:r>
      <w:r w:rsidR="00D046BA">
        <w:t xml:space="preserve">positive impact on both consumers and Australian radio broadcasters. </w:t>
      </w:r>
      <w:r w:rsidR="00E348FB">
        <w:t xml:space="preserve">However, it would have a modest negative impact on </w:t>
      </w:r>
      <w:r w:rsidR="00651928">
        <w:t xml:space="preserve">the </w:t>
      </w:r>
      <w:r w:rsidR="00F91D37">
        <w:t xml:space="preserve">providers of </w:t>
      </w:r>
      <w:r w:rsidR="00E348FB">
        <w:t xml:space="preserve">voice assistant platforms </w:t>
      </w:r>
      <w:r w:rsidR="00651928">
        <w:t xml:space="preserve">as they </w:t>
      </w:r>
      <w:r w:rsidR="00E348FB">
        <w:t>would be obligated to comply with the radio prominence framework.</w:t>
      </w:r>
    </w:p>
    <w:p w14:paraId="59D31F46" w14:textId="709563AA" w:rsidR="00F432B9" w:rsidRPr="004233D0" w:rsidRDefault="004233D0" w:rsidP="00F432B9">
      <w:pPr>
        <w:rPr>
          <w:rFonts w:cstheme="minorHAnsi"/>
          <w:lang w:val="en-US"/>
        </w:rPr>
      </w:pPr>
      <w:r>
        <w:rPr>
          <w:rFonts w:cstheme="minorHAnsi"/>
          <w:lang w:val="en-US"/>
        </w:rPr>
        <w:t xml:space="preserve">A legislated framework would guarantee that radio services are easily available and accessible </w:t>
      </w:r>
      <w:proofErr w:type="gramStart"/>
      <w:r>
        <w:rPr>
          <w:rFonts w:cstheme="minorHAnsi"/>
          <w:lang w:val="en-US"/>
        </w:rPr>
        <w:t>on</w:t>
      </w:r>
      <w:proofErr w:type="gramEnd"/>
      <w:r>
        <w:rPr>
          <w:rFonts w:cstheme="minorHAnsi"/>
          <w:lang w:val="en-US"/>
        </w:rPr>
        <w:t xml:space="preserve"> smart speakers. This </w:t>
      </w:r>
      <w:r w:rsidR="002D4E9E">
        <w:rPr>
          <w:rFonts w:cstheme="minorHAnsi"/>
          <w:lang w:val="en-US"/>
        </w:rPr>
        <w:t xml:space="preserve">is expected to </w:t>
      </w:r>
      <w:r>
        <w:rPr>
          <w:rFonts w:cstheme="minorHAnsi"/>
          <w:lang w:val="en-US"/>
        </w:rPr>
        <w:t xml:space="preserve">reduce the expenditure required by radio broadcasters to secure access for their services on smart speakers (compared to what they would otherwise </w:t>
      </w:r>
      <w:r w:rsidR="00B650B6">
        <w:rPr>
          <w:rFonts w:cstheme="minorHAnsi"/>
          <w:lang w:val="en-US"/>
        </w:rPr>
        <w:t xml:space="preserve">be expected </w:t>
      </w:r>
      <w:r>
        <w:rPr>
          <w:rFonts w:cstheme="minorHAnsi"/>
          <w:lang w:val="en-US"/>
        </w:rPr>
        <w:t xml:space="preserve">to pay in terms of direct fees or charges, or </w:t>
      </w:r>
      <w:r w:rsidR="00F91D37">
        <w:rPr>
          <w:rFonts w:cstheme="minorHAnsi"/>
          <w:lang w:val="en-US"/>
        </w:rPr>
        <w:t xml:space="preserve">advertising </w:t>
      </w:r>
      <w:r>
        <w:rPr>
          <w:rFonts w:cstheme="minorHAnsi"/>
          <w:lang w:val="en-US"/>
        </w:rPr>
        <w:t xml:space="preserve">revenue or inventory share arrangements). This would, for commercial radio broadcasters, boost their overall profitability. It would also provide flow on benefits for consumers, who may otherwise see a reduction in accuracy rates </w:t>
      </w:r>
      <w:r w:rsidR="00B650B6">
        <w:rPr>
          <w:rFonts w:cstheme="minorHAnsi"/>
          <w:lang w:val="en-US"/>
        </w:rPr>
        <w:t xml:space="preserve">if </w:t>
      </w:r>
      <w:r>
        <w:rPr>
          <w:rFonts w:cstheme="minorHAnsi"/>
          <w:lang w:val="en-US"/>
        </w:rPr>
        <w:t>arrangement</w:t>
      </w:r>
      <w:r w:rsidR="00F91D37">
        <w:rPr>
          <w:rFonts w:cstheme="minorHAnsi"/>
          <w:lang w:val="en-US"/>
        </w:rPr>
        <w:t>s</w:t>
      </w:r>
      <w:r>
        <w:rPr>
          <w:rFonts w:cstheme="minorHAnsi"/>
          <w:lang w:val="en-US"/>
        </w:rPr>
        <w:t xml:space="preserve"> between radio broadcasters and voice assistant platforms were not renewed.</w:t>
      </w:r>
    </w:p>
    <w:p w14:paraId="04EF69EF" w14:textId="40077968" w:rsidR="005B354D" w:rsidRDefault="005B354D" w:rsidP="00C43424">
      <w:pPr>
        <w:pStyle w:val="Caption"/>
        <w:keepNext/>
        <w:keepLines/>
        <w:rPr>
          <w:b w:val="0"/>
        </w:rPr>
      </w:pPr>
      <w:bookmarkStart w:id="104" w:name="_Toc236825671"/>
      <w:r w:rsidRPr="001B4324">
        <w:t xml:space="preserve">Table </w:t>
      </w:r>
      <w:r w:rsidR="00CF089C">
        <w:t>7</w:t>
      </w:r>
      <w:r w:rsidRPr="001B4324">
        <w:t xml:space="preserve">: Stakeholder impacts of </w:t>
      </w:r>
      <w:r w:rsidR="003068BC">
        <w:t xml:space="preserve">legislating </w:t>
      </w:r>
      <w:r w:rsidRPr="001B4324">
        <w:t>a radio prominence framework</w:t>
      </w:r>
      <w:bookmarkEnd w:id="104"/>
    </w:p>
    <w:tbl>
      <w:tblPr>
        <w:tblStyle w:val="DefaultTable1"/>
        <w:tblW w:w="5000" w:type="pct"/>
        <w:tblLook w:val="04A0" w:firstRow="1" w:lastRow="0" w:firstColumn="1" w:lastColumn="0" w:noHBand="0" w:noVBand="1"/>
      </w:tblPr>
      <w:tblGrid>
        <w:gridCol w:w="1943"/>
        <w:gridCol w:w="6830"/>
        <w:gridCol w:w="1091"/>
      </w:tblGrid>
      <w:tr w:rsidR="005B354D" w14:paraId="2C0A6745" w14:textId="77777777" w:rsidTr="00AF40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pct"/>
          </w:tcPr>
          <w:p w14:paraId="2086D0CA" w14:textId="77777777" w:rsidR="005B354D" w:rsidRDefault="005B354D" w:rsidP="00C43424">
            <w:pPr>
              <w:keepNext/>
              <w:keepLines/>
            </w:pPr>
            <w:bookmarkStart w:id="105" w:name="_Hlk183600466"/>
            <w:r>
              <w:t>Stakeholder</w:t>
            </w:r>
          </w:p>
        </w:tc>
        <w:tc>
          <w:tcPr>
            <w:tcW w:w="3445" w:type="pct"/>
          </w:tcPr>
          <w:p w14:paraId="6F04948B" w14:textId="77777777" w:rsidR="005B354D" w:rsidRDefault="005B354D" w:rsidP="00C43424">
            <w:pPr>
              <w:keepNext/>
              <w:keepLines/>
              <w:cnfStyle w:val="100000000000" w:firstRow="1" w:lastRow="0" w:firstColumn="0" w:lastColumn="0" w:oddVBand="0" w:evenVBand="0" w:oddHBand="0" w:evenHBand="0" w:firstRowFirstColumn="0" w:firstRowLastColumn="0" w:lastRowFirstColumn="0" w:lastRowLastColumn="0"/>
            </w:pPr>
            <w:r>
              <w:t>Description of impact</w:t>
            </w:r>
          </w:p>
        </w:tc>
        <w:tc>
          <w:tcPr>
            <w:tcW w:w="550" w:type="pct"/>
          </w:tcPr>
          <w:p w14:paraId="747AF4B3" w14:textId="77777777" w:rsidR="005B354D" w:rsidRDefault="005B354D" w:rsidP="00AF402C">
            <w:pPr>
              <w:keepNext/>
              <w:keepLines/>
              <w:jc w:val="center"/>
              <w:cnfStyle w:val="100000000000" w:firstRow="1" w:lastRow="0" w:firstColumn="0" w:lastColumn="0" w:oddVBand="0" w:evenVBand="0" w:oddHBand="0" w:evenHBand="0" w:firstRowFirstColumn="0" w:firstRowLastColumn="0" w:lastRowFirstColumn="0" w:lastRowLastColumn="0"/>
            </w:pPr>
            <w:r>
              <w:t>Impact</w:t>
            </w:r>
          </w:p>
        </w:tc>
      </w:tr>
      <w:tr w:rsidR="005B354D" w14:paraId="27E48E2A" w14:textId="77777777" w:rsidTr="00AF402C">
        <w:tc>
          <w:tcPr>
            <w:cnfStyle w:val="001000000000" w:firstRow="0" w:lastRow="0" w:firstColumn="1" w:lastColumn="0" w:oddVBand="0" w:evenVBand="0" w:oddHBand="0" w:evenHBand="0" w:firstRowFirstColumn="0" w:firstRowLastColumn="0" w:lastRowFirstColumn="0" w:lastRowLastColumn="0"/>
            <w:tcW w:w="980" w:type="pct"/>
          </w:tcPr>
          <w:p w14:paraId="26289FCE" w14:textId="77777777" w:rsidR="005B354D" w:rsidRDefault="005B354D" w:rsidP="007A3F18">
            <w:pPr>
              <w:keepNext/>
              <w:keepLines/>
              <w:spacing w:before="40" w:after="40"/>
            </w:pPr>
            <w:r>
              <w:t>Consumers</w:t>
            </w:r>
          </w:p>
        </w:tc>
        <w:tc>
          <w:tcPr>
            <w:tcW w:w="3445" w:type="pct"/>
          </w:tcPr>
          <w:p w14:paraId="7F875E39" w14:textId="20FD3198" w:rsidR="005B354D" w:rsidRPr="006873C4" w:rsidRDefault="00285388" w:rsidP="007A3F18">
            <w:pPr>
              <w:keepNext/>
              <w:keepLines/>
              <w:spacing w:before="40" w:after="40"/>
              <w:cnfStyle w:val="000000000000" w:firstRow="0" w:lastRow="0" w:firstColumn="0" w:lastColumn="0" w:oddVBand="0" w:evenVBand="0" w:oddHBand="0" w:evenHBand="0" w:firstRowFirstColumn="0" w:firstRowLastColumn="0" w:lastRowFirstColumn="0" w:lastRowLastColumn="0"/>
            </w:pPr>
            <w:r>
              <w:t>Increased accuracy in surfacing of voice</w:t>
            </w:r>
            <w:r w:rsidRPr="006873C4">
              <w:t xml:space="preserve"> </w:t>
            </w:r>
            <w:r w:rsidR="00712307" w:rsidRPr="006873C4">
              <w:t xml:space="preserve">requests </w:t>
            </w:r>
            <w:r w:rsidR="000248EC">
              <w:t>for</w:t>
            </w:r>
            <w:r w:rsidR="00712307" w:rsidRPr="006873C4">
              <w:t xml:space="preserve"> radio stations</w:t>
            </w:r>
            <w:r w:rsidR="00C43424">
              <w:t>.</w:t>
            </w:r>
          </w:p>
        </w:tc>
        <w:tc>
          <w:tcPr>
            <w:tcW w:w="550" w:type="pct"/>
            <w:shd w:val="clear" w:color="auto" w:fill="D9E5BB" w:themeFill="accent5" w:themeFillTint="99"/>
            <w:vAlign w:val="center"/>
          </w:tcPr>
          <w:p w14:paraId="5A7DD1C0" w14:textId="4E1A52FD" w:rsidR="005B354D" w:rsidRPr="006873C4" w:rsidRDefault="000248EC" w:rsidP="007A3F18">
            <w:pPr>
              <w:keepNext/>
              <w:keepLines/>
              <w:spacing w:before="40" w:after="40"/>
              <w:jc w:val="center"/>
              <w:cnfStyle w:val="000000000000" w:firstRow="0" w:lastRow="0" w:firstColumn="0" w:lastColumn="0" w:oddVBand="0" w:evenVBand="0" w:oddHBand="0" w:evenHBand="0" w:firstRowFirstColumn="0" w:firstRowLastColumn="0" w:lastRowFirstColumn="0" w:lastRowLastColumn="0"/>
            </w:pPr>
            <w:r>
              <w:t>2</w:t>
            </w:r>
          </w:p>
        </w:tc>
      </w:tr>
      <w:tr w:rsidR="005B354D" w14:paraId="79367DD4" w14:textId="77777777" w:rsidTr="00AF40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pct"/>
          </w:tcPr>
          <w:p w14:paraId="062EABD1" w14:textId="6AFCE469" w:rsidR="005B354D" w:rsidRDefault="005B354D" w:rsidP="007A3F18">
            <w:pPr>
              <w:keepNext/>
              <w:keepLines/>
              <w:spacing w:before="40" w:after="40"/>
            </w:pPr>
            <w:r>
              <w:t xml:space="preserve">Australian radio </w:t>
            </w:r>
            <w:r w:rsidR="000248EC">
              <w:t>broadcasters</w:t>
            </w:r>
          </w:p>
        </w:tc>
        <w:tc>
          <w:tcPr>
            <w:tcW w:w="3445" w:type="pct"/>
          </w:tcPr>
          <w:p w14:paraId="7465EF28" w14:textId="40AEB6E4" w:rsidR="005B354D" w:rsidRPr="006873C4" w:rsidRDefault="00712307" w:rsidP="007A3F18">
            <w:pPr>
              <w:keepNext/>
              <w:keepLines/>
              <w:spacing w:before="40" w:after="40"/>
              <w:cnfStyle w:val="000000010000" w:firstRow="0" w:lastRow="0" w:firstColumn="0" w:lastColumn="0" w:oddVBand="0" w:evenVBand="0" w:oddHBand="0" w:evenHBand="1" w:firstRowFirstColumn="0" w:firstRowLastColumn="0" w:lastRowFirstColumn="0" w:lastRowLastColumn="0"/>
            </w:pPr>
            <w:r w:rsidRPr="006873C4">
              <w:t>No cost for radio prominence</w:t>
            </w:r>
            <w:r w:rsidR="00285388">
              <w:t xml:space="preserve"> on smart speakers</w:t>
            </w:r>
            <w:r w:rsidRPr="006873C4">
              <w:t>.</w:t>
            </w:r>
          </w:p>
          <w:p w14:paraId="47821A23" w14:textId="155173D3" w:rsidR="00712307" w:rsidRPr="006873C4" w:rsidRDefault="00712307" w:rsidP="007A3F18">
            <w:pPr>
              <w:keepNext/>
              <w:keepLines/>
              <w:spacing w:before="40" w:after="40"/>
              <w:cnfStyle w:val="000000010000" w:firstRow="0" w:lastRow="0" w:firstColumn="0" w:lastColumn="0" w:oddVBand="0" w:evenVBand="0" w:oddHBand="0" w:evenHBand="1" w:firstRowFirstColumn="0" w:firstRowLastColumn="0" w:lastRowFirstColumn="0" w:lastRowLastColumn="0"/>
            </w:pPr>
            <w:r w:rsidRPr="006873C4">
              <w:t xml:space="preserve">Radio broadcasting services will no longer need to enter commercial </w:t>
            </w:r>
            <w:r w:rsidR="00037BFD">
              <w:t>arrangements</w:t>
            </w:r>
            <w:r w:rsidRPr="006873C4">
              <w:t xml:space="preserve"> to have prominence.</w:t>
            </w:r>
          </w:p>
        </w:tc>
        <w:tc>
          <w:tcPr>
            <w:tcW w:w="550" w:type="pct"/>
            <w:shd w:val="clear" w:color="auto" w:fill="449F70" w:themeFill="accent6" w:themeFillShade="BF"/>
            <w:vAlign w:val="center"/>
          </w:tcPr>
          <w:p w14:paraId="380D81BA" w14:textId="40ED6598" w:rsidR="005B354D" w:rsidRPr="006873C4" w:rsidRDefault="00F21751" w:rsidP="007A3F18">
            <w:pPr>
              <w:keepNext/>
              <w:keepLines/>
              <w:spacing w:before="40" w:after="40"/>
              <w:jc w:val="center"/>
              <w:cnfStyle w:val="000000010000" w:firstRow="0" w:lastRow="0" w:firstColumn="0" w:lastColumn="0" w:oddVBand="0" w:evenVBand="0" w:oddHBand="0" w:evenHBand="1" w:firstRowFirstColumn="0" w:firstRowLastColumn="0" w:lastRowFirstColumn="0" w:lastRowLastColumn="0"/>
            </w:pPr>
            <w:r>
              <w:t>1</w:t>
            </w:r>
          </w:p>
        </w:tc>
      </w:tr>
      <w:tr w:rsidR="005B354D" w14:paraId="534B374E" w14:textId="77777777" w:rsidTr="00AF402C">
        <w:tc>
          <w:tcPr>
            <w:cnfStyle w:val="001000000000" w:firstRow="0" w:lastRow="0" w:firstColumn="1" w:lastColumn="0" w:oddVBand="0" w:evenVBand="0" w:oddHBand="0" w:evenHBand="0" w:firstRowFirstColumn="0" w:firstRowLastColumn="0" w:lastRowFirstColumn="0" w:lastRowLastColumn="0"/>
            <w:tcW w:w="980" w:type="pct"/>
          </w:tcPr>
          <w:p w14:paraId="3A86363C" w14:textId="77777777" w:rsidR="005B354D" w:rsidRDefault="005B354D" w:rsidP="007A3F18">
            <w:pPr>
              <w:keepNext/>
              <w:keepLines/>
              <w:spacing w:before="40" w:after="40"/>
            </w:pPr>
            <w:r>
              <w:t>Smart speaker manufacturers</w:t>
            </w:r>
          </w:p>
        </w:tc>
        <w:tc>
          <w:tcPr>
            <w:tcW w:w="3445" w:type="pct"/>
          </w:tcPr>
          <w:p w14:paraId="49DB7E54" w14:textId="1542C1F9" w:rsidR="005B354D" w:rsidRPr="006873C4" w:rsidRDefault="000248EC" w:rsidP="007A3F18">
            <w:pPr>
              <w:keepNext/>
              <w:keepLines/>
              <w:spacing w:before="40" w:after="40"/>
              <w:cnfStyle w:val="000000000000" w:firstRow="0" w:lastRow="0" w:firstColumn="0" w:lastColumn="0" w:oddVBand="0" w:evenVBand="0" w:oddHBand="0" w:evenHBand="0" w:firstRowFirstColumn="0" w:firstRowLastColumn="0" w:lastRowFirstColumn="0" w:lastRowLastColumn="0"/>
            </w:pPr>
            <w:r>
              <w:t>Increased accuracy in surfacing voice requests on manufacturers’ devices.</w:t>
            </w:r>
          </w:p>
        </w:tc>
        <w:tc>
          <w:tcPr>
            <w:tcW w:w="550" w:type="pct"/>
            <w:shd w:val="clear" w:color="auto" w:fill="E2F2EA" w:themeFill="accent6" w:themeFillTint="33"/>
            <w:vAlign w:val="center"/>
          </w:tcPr>
          <w:p w14:paraId="44823C2C" w14:textId="23A5A1E4" w:rsidR="005B354D" w:rsidRPr="006873C4" w:rsidRDefault="000248EC" w:rsidP="007A3F18">
            <w:pPr>
              <w:keepNext/>
              <w:keepLines/>
              <w:spacing w:before="40" w:after="40"/>
              <w:jc w:val="center"/>
              <w:cnfStyle w:val="000000000000" w:firstRow="0" w:lastRow="0" w:firstColumn="0" w:lastColumn="0" w:oddVBand="0" w:evenVBand="0" w:oddHBand="0" w:evenHBand="0" w:firstRowFirstColumn="0" w:firstRowLastColumn="0" w:lastRowFirstColumn="0" w:lastRowLastColumn="0"/>
            </w:pPr>
            <w:r>
              <w:t>3</w:t>
            </w:r>
          </w:p>
        </w:tc>
      </w:tr>
      <w:tr w:rsidR="005B354D" w14:paraId="3914687C" w14:textId="77777777" w:rsidTr="00AF40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pct"/>
          </w:tcPr>
          <w:p w14:paraId="07958494" w14:textId="77777777" w:rsidR="005B354D" w:rsidRDefault="005B354D" w:rsidP="007A3F18">
            <w:pPr>
              <w:keepNext/>
              <w:keepLines/>
              <w:spacing w:before="40" w:after="40"/>
            </w:pPr>
            <w:r>
              <w:t>Voice assistant platforms used on smart speakers</w:t>
            </w:r>
          </w:p>
        </w:tc>
        <w:tc>
          <w:tcPr>
            <w:tcW w:w="3445" w:type="pct"/>
          </w:tcPr>
          <w:p w14:paraId="6C7C86EF" w14:textId="462EF21E" w:rsidR="00C43424" w:rsidRDefault="000248EC" w:rsidP="007A3F18">
            <w:pPr>
              <w:keepNext/>
              <w:keepLines/>
              <w:spacing w:before="40" w:after="40"/>
              <w:cnfStyle w:val="000000010000" w:firstRow="0" w:lastRow="0" w:firstColumn="0" w:lastColumn="0" w:oddVBand="0" w:evenVBand="0" w:oddHBand="0" w:evenHBand="1" w:firstRowFirstColumn="0" w:firstRowLastColumn="0" w:lastRowFirstColumn="0" w:lastRowLastColumn="0"/>
            </w:pPr>
            <w:r>
              <w:t>Initial</w:t>
            </w:r>
            <w:r w:rsidR="00712307" w:rsidRPr="006873C4">
              <w:t xml:space="preserve"> cost of ensuring Australian radio prominence in smart speaker software.</w:t>
            </w:r>
          </w:p>
          <w:p w14:paraId="0E0BE20F" w14:textId="547F2210" w:rsidR="005B354D" w:rsidRPr="006873C4" w:rsidRDefault="00C43424" w:rsidP="007A3F18">
            <w:pPr>
              <w:keepNext/>
              <w:keepLines/>
              <w:spacing w:before="40" w:after="40"/>
              <w:cnfStyle w:val="000000010000" w:firstRow="0" w:lastRow="0" w:firstColumn="0" w:lastColumn="0" w:oddVBand="0" w:evenVBand="0" w:oddHBand="0" w:evenHBand="1" w:firstRowFirstColumn="0" w:firstRowLastColumn="0" w:lastRowFirstColumn="0" w:lastRowLastColumn="0"/>
            </w:pPr>
            <w:r>
              <w:t>Fo</w:t>
            </w:r>
            <w:r w:rsidR="00F21751">
              <w:t>regone revenue from prohibition on charging for prominence.</w:t>
            </w:r>
          </w:p>
        </w:tc>
        <w:tc>
          <w:tcPr>
            <w:tcW w:w="550" w:type="pct"/>
            <w:shd w:val="clear" w:color="auto" w:fill="FFFF00"/>
            <w:vAlign w:val="center"/>
          </w:tcPr>
          <w:p w14:paraId="11D87BDC" w14:textId="1F56E286" w:rsidR="005B354D" w:rsidRPr="006873C4" w:rsidRDefault="000248EC" w:rsidP="007A3F18">
            <w:pPr>
              <w:keepNext/>
              <w:keepLines/>
              <w:spacing w:before="40" w:after="40"/>
              <w:jc w:val="center"/>
              <w:cnfStyle w:val="000000010000" w:firstRow="0" w:lastRow="0" w:firstColumn="0" w:lastColumn="0" w:oddVBand="0" w:evenVBand="0" w:oddHBand="0" w:evenHBand="1" w:firstRowFirstColumn="0" w:firstRowLastColumn="0" w:lastRowFirstColumn="0" w:lastRowLastColumn="0"/>
            </w:pPr>
            <w:r>
              <w:t>5</w:t>
            </w:r>
          </w:p>
        </w:tc>
      </w:tr>
      <w:tr w:rsidR="00EC605D" w14:paraId="73AD93F8" w14:textId="77777777" w:rsidTr="00E87BC2">
        <w:tc>
          <w:tcPr>
            <w:cnfStyle w:val="001000000000" w:firstRow="0" w:lastRow="0" w:firstColumn="1" w:lastColumn="0" w:oddVBand="0" w:evenVBand="0" w:oddHBand="0" w:evenHBand="0" w:firstRowFirstColumn="0" w:firstRowLastColumn="0" w:lastRowFirstColumn="0" w:lastRowLastColumn="0"/>
            <w:tcW w:w="980" w:type="pct"/>
          </w:tcPr>
          <w:p w14:paraId="02C5B6A2" w14:textId="6F411B53" w:rsidR="00EC605D" w:rsidRDefault="000248EC" w:rsidP="007A3F18">
            <w:pPr>
              <w:keepNext/>
              <w:keepLines/>
              <w:spacing w:before="40" w:after="40"/>
            </w:pPr>
            <w:r>
              <w:t xml:space="preserve">Overall </w:t>
            </w:r>
          </w:p>
        </w:tc>
        <w:tc>
          <w:tcPr>
            <w:tcW w:w="3445" w:type="pct"/>
          </w:tcPr>
          <w:p w14:paraId="75FC08F7" w14:textId="794EB6CA" w:rsidR="00EC605D" w:rsidRPr="006873C4" w:rsidRDefault="00EC605D" w:rsidP="007A3F18">
            <w:pPr>
              <w:keepNext/>
              <w:keepLines/>
              <w:spacing w:before="40" w:after="40"/>
              <w:cnfStyle w:val="000000000000" w:firstRow="0" w:lastRow="0" w:firstColumn="0" w:lastColumn="0" w:oddVBand="0" w:evenVBand="0" w:oddHBand="0" w:evenHBand="0" w:firstRowFirstColumn="0" w:firstRowLastColumn="0" w:lastRowFirstColumn="0" w:lastRowLastColumn="0"/>
            </w:pPr>
          </w:p>
        </w:tc>
        <w:tc>
          <w:tcPr>
            <w:tcW w:w="550" w:type="pct"/>
            <w:shd w:val="clear" w:color="auto" w:fill="E2F2EA" w:themeFill="accent6" w:themeFillTint="33"/>
            <w:vAlign w:val="center"/>
          </w:tcPr>
          <w:p w14:paraId="1302F63F" w14:textId="1BC3AB8D" w:rsidR="00EC605D" w:rsidRPr="006873C4" w:rsidRDefault="00E87BC2" w:rsidP="007A3F18">
            <w:pPr>
              <w:keepNext/>
              <w:keepLines/>
              <w:spacing w:before="40" w:after="40"/>
              <w:jc w:val="center"/>
              <w:cnfStyle w:val="000000000000" w:firstRow="0" w:lastRow="0" w:firstColumn="0" w:lastColumn="0" w:oddVBand="0" w:evenVBand="0" w:oddHBand="0" w:evenHBand="0" w:firstRowFirstColumn="0" w:firstRowLastColumn="0" w:lastRowFirstColumn="0" w:lastRowLastColumn="0"/>
            </w:pPr>
            <w:r>
              <w:t>3</w:t>
            </w:r>
          </w:p>
        </w:tc>
      </w:tr>
    </w:tbl>
    <w:p w14:paraId="4CC5AFF9" w14:textId="3ACFB6BD" w:rsidR="00E24129" w:rsidRPr="002F23FE" w:rsidRDefault="00E24129" w:rsidP="00E24129">
      <w:pPr>
        <w:pStyle w:val="Heading3Numbered"/>
      </w:pPr>
      <w:bookmarkStart w:id="106" w:name="_Toc236825170"/>
      <w:bookmarkEnd w:id="105"/>
      <w:r w:rsidRPr="002F23FE">
        <w:t>Overall assessment</w:t>
      </w:r>
      <w:bookmarkEnd w:id="106"/>
    </w:p>
    <w:p w14:paraId="0D56FC7D" w14:textId="0DE50A74" w:rsidR="00E24129" w:rsidRDefault="00E24129" w:rsidP="00981395">
      <w:pPr>
        <w:rPr>
          <w:lang w:val="en-US"/>
        </w:rPr>
      </w:pPr>
      <w:r>
        <w:rPr>
          <w:lang w:val="en-US"/>
        </w:rPr>
        <w:t xml:space="preserve">The models discussed for a legislated framework would be viable and are targeted to achieve a specific result, with both models focusing on improving outcomes for Australian listeners using smart speakers. </w:t>
      </w:r>
    </w:p>
    <w:p w14:paraId="24FA1C2F" w14:textId="622F6A12" w:rsidR="00EF66AA" w:rsidRDefault="00037BFD" w:rsidP="00981395">
      <w:pPr>
        <w:rPr>
          <w:lang w:val="en-US"/>
        </w:rPr>
      </w:pPr>
      <w:r>
        <w:rPr>
          <w:lang w:val="en-US"/>
        </w:rPr>
        <w:t>Option 2 would impose a regulatory burden on regulated access providers (voice assistant platforms)</w:t>
      </w:r>
      <w:r w:rsidR="00A956F2">
        <w:rPr>
          <w:lang w:val="en-US"/>
        </w:rPr>
        <w:t xml:space="preserve">, and radio services, as described in Table </w:t>
      </w:r>
      <w:r w:rsidR="00CF089C">
        <w:rPr>
          <w:lang w:val="en-US"/>
        </w:rPr>
        <w:t>6</w:t>
      </w:r>
      <w:r>
        <w:rPr>
          <w:lang w:val="en-US"/>
        </w:rPr>
        <w:t xml:space="preserve">. </w:t>
      </w:r>
      <w:r w:rsidR="00916A5C">
        <w:rPr>
          <w:lang w:val="en-US"/>
        </w:rPr>
        <w:t>T</w:t>
      </w:r>
      <w:r w:rsidR="00EA412C">
        <w:rPr>
          <w:lang w:val="en-US"/>
        </w:rPr>
        <w:t>he greater burden w</w:t>
      </w:r>
      <w:r w:rsidR="00B650B6">
        <w:rPr>
          <w:lang w:val="en-US"/>
        </w:rPr>
        <w:t xml:space="preserve">ould </w:t>
      </w:r>
      <w:r w:rsidR="00EA412C">
        <w:rPr>
          <w:lang w:val="en-US"/>
        </w:rPr>
        <w:t xml:space="preserve">be placed on providers of voice assistant </w:t>
      </w:r>
      <w:r w:rsidR="00F21751">
        <w:rPr>
          <w:lang w:val="en-US"/>
        </w:rPr>
        <w:t>software (i.e. Google, Apple and Amazon)</w:t>
      </w:r>
      <w:r w:rsidR="001728E8">
        <w:rPr>
          <w:lang w:val="en-US"/>
        </w:rPr>
        <w:t>, rather than the representative bodies on the commercial and community radio sectors</w:t>
      </w:r>
      <w:r w:rsidR="00EA412C">
        <w:rPr>
          <w:lang w:val="en-US"/>
        </w:rPr>
        <w:t xml:space="preserve">. </w:t>
      </w:r>
      <w:r w:rsidR="001728E8">
        <w:rPr>
          <w:lang w:val="en-US"/>
        </w:rPr>
        <w:t>T</w:t>
      </w:r>
      <w:r>
        <w:rPr>
          <w:lang w:val="en-US"/>
        </w:rPr>
        <w:t xml:space="preserve">he </w:t>
      </w:r>
      <w:r w:rsidR="001728E8">
        <w:rPr>
          <w:lang w:val="en-US"/>
        </w:rPr>
        <w:t xml:space="preserve">total </w:t>
      </w:r>
      <w:r>
        <w:rPr>
          <w:lang w:val="en-US"/>
        </w:rPr>
        <w:t>quantum of costs is expected to be modest</w:t>
      </w:r>
      <w:r w:rsidR="00651928">
        <w:rPr>
          <w:lang w:val="en-US"/>
        </w:rPr>
        <w:t>,</w:t>
      </w:r>
      <w:r>
        <w:rPr>
          <w:lang w:val="en-US"/>
        </w:rPr>
        <w:t xml:space="preserve"> given </w:t>
      </w:r>
      <w:proofErr w:type="gramStart"/>
      <w:r>
        <w:rPr>
          <w:lang w:val="en-US"/>
        </w:rPr>
        <w:t>the majority of</w:t>
      </w:r>
      <w:proofErr w:type="gramEnd"/>
      <w:r>
        <w:rPr>
          <w:lang w:val="en-US"/>
        </w:rPr>
        <w:t xml:space="preserve"> the requisite changes</w:t>
      </w:r>
      <w:r w:rsidR="002D4E9E">
        <w:rPr>
          <w:lang w:val="en-US"/>
        </w:rPr>
        <w:t xml:space="preserve"> could be implemented</w:t>
      </w:r>
      <w:r>
        <w:rPr>
          <w:lang w:val="en-US"/>
        </w:rPr>
        <w:t xml:space="preserve"> via software updates. </w:t>
      </w:r>
    </w:p>
    <w:p w14:paraId="4C57B126" w14:textId="7E35D4E5" w:rsidR="00C43424" w:rsidRDefault="00C43424" w:rsidP="00E2452F">
      <w:pPr>
        <w:tabs>
          <w:tab w:val="left" w:pos="7905"/>
        </w:tabs>
        <w:spacing w:before="120" w:after="120"/>
        <w:rPr>
          <w:rFonts w:cstheme="minorHAnsi"/>
          <w:lang w:val="en-US"/>
        </w:rPr>
      </w:pPr>
      <w:r>
        <w:rPr>
          <w:rFonts w:cstheme="minorHAnsi"/>
          <w:lang w:val="en-US"/>
        </w:rPr>
        <w:t xml:space="preserve">The stakeholder analysis at Table </w:t>
      </w:r>
      <w:r w:rsidR="00CF089C">
        <w:rPr>
          <w:rFonts w:cstheme="minorHAnsi"/>
          <w:lang w:val="en-US"/>
        </w:rPr>
        <w:t>7</w:t>
      </w:r>
      <w:r>
        <w:rPr>
          <w:rFonts w:cstheme="minorHAnsi"/>
          <w:lang w:val="en-US"/>
        </w:rPr>
        <w:t xml:space="preserve"> demonstrates </w:t>
      </w:r>
      <w:r w:rsidR="00A75D9C">
        <w:rPr>
          <w:rFonts w:cstheme="minorHAnsi"/>
          <w:lang w:val="en-US"/>
        </w:rPr>
        <w:t xml:space="preserve">an overall </w:t>
      </w:r>
      <w:r w:rsidR="0024577C">
        <w:rPr>
          <w:rFonts w:cstheme="minorHAnsi"/>
          <w:lang w:val="en-US"/>
        </w:rPr>
        <w:t xml:space="preserve">modestly </w:t>
      </w:r>
      <w:r w:rsidR="00A75D9C">
        <w:rPr>
          <w:rFonts w:cstheme="minorHAnsi"/>
          <w:lang w:val="en-US"/>
        </w:rPr>
        <w:t xml:space="preserve">positive stakeholder impact for Option 2. This is largely because a legislated radio prominence framework would have large positive benefits for consumers and Australian radio broadcasters. As noted in section </w:t>
      </w:r>
      <w:r w:rsidR="0078395A">
        <w:rPr>
          <w:rFonts w:cstheme="minorHAnsi"/>
          <w:lang w:val="en-US"/>
        </w:rPr>
        <w:t>1.4.1</w:t>
      </w:r>
      <w:r w:rsidR="00A75D9C">
        <w:rPr>
          <w:rFonts w:cstheme="minorHAnsi"/>
          <w:lang w:val="en-US"/>
        </w:rPr>
        <w:t xml:space="preserve">, independent research has found that </w:t>
      </w:r>
      <w:r w:rsidR="00A75D9C">
        <w:rPr>
          <w:rFonts w:cstheme="minorHAnsi"/>
          <w:lang w:val="en-US"/>
        </w:rPr>
        <w:lastRenderedPageBreak/>
        <w:t>surfacing accuracy on smart speakers is currently highly variable.</w:t>
      </w:r>
      <w:r w:rsidR="00A75D9C">
        <w:rPr>
          <w:rStyle w:val="FootnoteReference"/>
          <w:rFonts w:cstheme="minorHAnsi"/>
          <w:lang w:val="en-US"/>
        </w:rPr>
        <w:footnoteReference w:id="55"/>
      </w:r>
      <w:r w:rsidR="005524EA">
        <w:rPr>
          <w:rFonts w:cstheme="minorHAnsi"/>
          <w:lang w:val="en-US"/>
        </w:rPr>
        <w:t xml:space="preserve"> Were a legislated prominence framework successful in improving accuracy, this would be beneficial to the consumers that rely </w:t>
      </w:r>
      <w:r w:rsidR="00CB18C8">
        <w:rPr>
          <w:rFonts w:cstheme="minorHAnsi"/>
          <w:lang w:val="en-US"/>
        </w:rPr>
        <w:t>on radio (including the 43% that get most of their news from radio)</w:t>
      </w:r>
      <w:r w:rsidR="00CB18C8">
        <w:rPr>
          <w:rStyle w:val="FootnoteReference"/>
          <w:rFonts w:cstheme="minorHAnsi"/>
          <w:lang w:val="en-US"/>
        </w:rPr>
        <w:footnoteReference w:id="56"/>
      </w:r>
      <w:r w:rsidR="00CB18C8">
        <w:rPr>
          <w:rFonts w:cstheme="minorHAnsi"/>
          <w:lang w:val="en-US"/>
        </w:rPr>
        <w:t xml:space="preserve"> and all licensed radio broadcasters in Australia.</w:t>
      </w:r>
    </w:p>
    <w:p w14:paraId="0F899462" w14:textId="77777777" w:rsidR="00CB18C8" w:rsidRDefault="00CB18C8" w:rsidP="00E2452F">
      <w:pPr>
        <w:tabs>
          <w:tab w:val="left" w:pos="7905"/>
        </w:tabs>
        <w:spacing w:before="120" w:after="120"/>
        <w:rPr>
          <w:rFonts w:cstheme="minorHAnsi"/>
          <w:lang w:val="en-US"/>
        </w:rPr>
      </w:pPr>
      <w:r>
        <w:rPr>
          <w:rFonts w:cstheme="minorHAnsi"/>
          <w:lang w:val="en-US"/>
        </w:rPr>
        <w:t>However, there is likely to be a negative impact on the providers of voice assistant software. There are likely to be two types of negative impacts on these providers:</w:t>
      </w:r>
    </w:p>
    <w:p w14:paraId="1173400A" w14:textId="6981093A" w:rsidR="00CB18C8" w:rsidRPr="00CB18C8" w:rsidRDefault="00CB18C8" w:rsidP="00CB18C8">
      <w:pPr>
        <w:pStyle w:val="ListParagraph"/>
        <w:numPr>
          <w:ilvl w:val="0"/>
          <w:numId w:val="34"/>
        </w:numPr>
        <w:suppressAutoHyphens w:val="0"/>
        <w:contextualSpacing w:val="0"/>
      </w:pPr>
      <w:r>
        <w:t>The direct cost of upgrading voice assistant software to ensure compliance with a legislated framework. This w</w:t>
      </w:r>
      <w:r w:rsidR="00B650B6">
        <w:t>ould</w:t>
      </w:r>
      <w:r>
        <w:t xml:space="preserve"> include the initial cost of writing, testing and deploying software. Based on evidence provided to the </w:t>
      </w:r>
      <w:r w:rsidRPr="00CB18C8">
        <w:t>Senate Environment and Communications Legislation Committee</w:t>
      </w:r>
      <w:r>
        <w:t xml:space="preserve">’s inquiry into the bill to legislate television prominence, it is expected that these costs will be </w:t>
      </w:r>
      <w:proofErr w:type="gramStart"/>
      <w:r>
        <w:t>material</w:t>
      </w:r>
      <w:r w:rsidR="00B650B6">
        <w:t>,</w:t>
      </w:r>
      <w:r>
        <w:t xml:space="preserve"> but</w:t>
      </w:r>
      <w:proofErr w:type="gramEnd"/>
      <w:r>
        <w:t xml:space="preserve"> limited.</w:t>
      </w:r>
      <w:r>
        <w:rPr>
          <w:rStyle w:val="FootnoteReference"/>
        </w:rPr>
        <w:footnoteReference w:id="57"/>
      </w:r>
    </w:p>
    <w:p w14:paraId="34CFD03B" w14:textId="53B3FE3A" w:rsidR="00E2452F" w:rsidRDefault="00CB18C8" w:rsidP="00CB18C8">
      <w:pPr>
        <w:pStyle w:val="ListParagraph"/>
        <w:numPr>
          <w:ilvl w:val="0"/>
          <w:numId w:val="34"/>
        </w:numPr>
        <w:suppressAutoHyphens w:val="0"/>
        <w:contextualSpacing w:val="0"/>
      </w:pPr>
      <w:r>
        <w:t xml:space="preserve">The </w:t>
      </w:r>
      <w:r w:rsidR="00E2452F" w:rsidRPr="00CB18C8">
        <w:t xml:space="preserve">indirect cost </w:t>
      </w:r>
      <w:r>
        <w:t>of</w:t>
      </w:r>
      <w:r w:rsidR="00E2452F" w:rsidRPr="00CB18C8">
        <w:t xml:space="preserve"> forgone</w:t>
      </w:r>
      <w:r>
        <w:t xml:space="preserve"> revenue</w:t>
      </w:r>
      <w:r w:rsidR="00E2452F" w:rsidRPr="00CB18C8">
        <w:t xml:space="preserve"> </w:t>
      </w:r>
      <w:proofErr w:type="gramStart"/>
      <w:r w:rsidR="00E2452F" w:rsidRPr="00CB18C8">
        <w:t>as a result of</w:t>
      </w:r>
      <w:proofErr w:type="gramEnd"/>
      <w:r w:rsidR="00E2452F" w:rsidRPr="00CB18C8">
        <w:t xml:space="preserve"> </w:t>
      </w:r>
      <w:r>
        <w:t xml:space="preserve">either </w:t>
      </w:r>
      <w:r w:rsidR="00D07FE6">
        <w:t xml:space="preserve">the </w:t>
      </w:r>
      <w:r w:rsidR="00E2452F" w:rsidRPr="00CB18C8">
        <w:t>prohibition on charging radio broadcasting services for access to smart speakers</w:t>
      </w:r>
      <w:r>
        <w:t xml:space="preserve"> (option 2</w:t>
      </w:r>
      <w:r w:rsidR="00D07FE6">
        <w:t>A</w:t>
      </w:r>
      <w:r>
        <w:t xml:space="preserve">), </w:t>
      </w:r>
      <w:r w:rsidR="00D07FE6">
        <w:t>or the fair bargaining requirement (Option 2b)</w:t>
      </w:r>
      <w:r w:rsidR="00E2452F" w:rsidRPr="00CB18C8">
        <w:t xml:space="preserve">. The prohibition on ‘payment’ would not be limited to monetary fees and would include any non-monetary charges such as </w:t>
      </w:r>
      <w:r w:rsidR="00B650B6">
        <w:t xml:space="preserve">a </w:t>
      </w:r>
      <w:r w:rsidR="00E2452F" w:rsidRPr="00CB18C8">
        <w:t>share of radio advertising</w:t>
      </w:r>
      <w:r w:rsidR="00E2452F" w:rsidRPr="00CB18C8">
        <w:rPr>
          <w:rFonts w:cstheme="minorHAnsi"/>
        </w:rPr>
        <w:t xml:space="preserve"> revenue, </w:t>
      </w:r>
      <w:r w:rsidR="00D07FE6">
        <w:rPr>
          <w:rFonts w:cstheme="minorHAnsi"/>
        </w:rPr>
        <w:t>while the fair bargaining requirement would be intended to substantially increase the negotiating power of broadcasters</w:t>
      </w:r>
      <w:r w:rsidR="00E2452F" w:rsidRPr="00CB18C8">
        <w:rPr>
          <w:rFonts w:cstheme="minorHAnsi"/>
        </w:rPr>
        <w:t xml:space="preserve">. </w:t>
      </w:r>
      <w:r w:rsidR="00D07FE6">
        <w:rPr>
          <w:rFonts w:cstheme="minorHAnsi"/>
        </w:rPr>
        <w:t>In either case, these requirements are likely to</w:t>
      </w:r>
      <w:r w:rsidR="00F4620A">
        <w:rPr>
          <w:rFonts w:cstheme="minorHAnsi"/>
        </w:rPr>
        <w:t xml:space="preserve"> reduce</w:t>
      </w:r>
      <w:r w:rsidR="00E2452F" w:rsidRPr="00CB18C8">
        <w:rPr>
          <w:rFonts w:cstheme="minorHAnsi"/>
        </w:rPr>
        <w:t xml:space="preserve"> the amount of revenue, or other benefits, that voice assistant platforms </w:t>
      </w:r>
      <w:r w:rsidR="00D07FE6">
        <w:rPr>
          <w:rFonts w:cstheme="minorHAnsi"/>
        </w:rPr>
        <w:t>can demand from broadcasters for accurate surfacing</w:t>
      </w:r>
      <w:r w:rsidR="00E2452F" w:rsidRPr="00CB18C8">
        <w:rPr>
          <w:rFonts w:cstheme="minorHAnsi"/>
        </w:rPr>
        <w:t xml:space="preserve">. </w:t>
      </w:r>
      <w:r w:rsidR="00E2452F" w:rsidRPr="00CB18C8">
        <w:rPr>
          <w:rFonts w:cstheme="minorHAnsi"/>
          <w:lang w:val="en-US"/>
        </w:rPr>
        <w:t>It is not possible to quantify this opportunity cost.</w:t>
      </w:r>
    </w:p>
    <w:p w14:paraId="331DAE76" w14:textId="1623E3D9" w:rsidR="00F21751" w:rsidRDefault="00CB18C8" w:rsidP="00C43424">
      <w:pPr>
        <w:tabs>
          <w:tab w:val="left" w:pos="7905"/>
        </w:tabs>
        <w:spacing w:before="120" w:after="120"/>
        <w:rPr>
          <w:lang w:val="en-US"/>
        </w:rPr>
      </w:pPr>
      <w:r>
        <w:rPr>
          <w:rFonts w:cstheme="minorHAnsi"/>
          <w:lang w:val="en-US"/>
        </w:rPr>
        <w:t xml:space="preserve">While these negative impacts are not immaterial, they are likely to be smaller than the positive impacts experienced by consumers and broadcasters. On this basis, </w:t>
      </w:r>
      <w:r w:rsidR="00C43424">
        <w:rPr>
          <w:rFonts w:cstheme="minorHAnsi"/>
          <w:lang w:val="en-US"/>
        </w:rPr>
        <w:t xml:space="preserve">Option 2 is assessed as having a </w:t>
      </w:r>
      <w:r w:rsidR="0024577C">
        <w:rPr>
          <w:rFonts w:cstheme="minorHAnsi"/>
          <w:lang w:val="en-US"/>
        </w:rPr>
        <w:t xml:space="preserve">modestly </w:t>
      </w:r>
      <w:r w:rsidR="00C43424">
        <w:rPr>
          <w:rFonts w:cstheme="minorHAnsi"/>
          <w:lang w:val="en-US"/>
        </w:rPr>
        <w:t xml:space="preserve">positive impact despite </w:t>
      </w:r>
      <w:r w:rsidR="00A75D9C">
        <w:rPr>
          <w:rFonts w:cstheme="minorHAnsi"/>
          <w:lang w:val="en-US"/>
        </w:rPr>
        <w:t>its</w:t>
      </w:r>
      <w:r w:rsidR="00C43424">
        <w:rPr>
          <w:rFonts w:cstheme="minorHAnsi"/>
          <w:lang w:val="en-US"/>
        </w:rPr>
        <w:t xml:space="preserve"> regulatory burden.</w:t>
      </w:r>
    </w:p>
    <w:p w14:paraId="43CA2EAE" w14:textId="573FF1B6" w:rsidR="00981395" w:rsidRPr="00981395" w:rsidRDefault="00981395" w:rsidP="00981395">
      <w:pPr>
        <w:pStyle w:val="Heading2Numbered"/>
      </w:pPr>
      <w:bookmarkStart w:id="107" w:name="_Toc216959442"/>
      <w:bookmarkStart w:id="108" w:name="_Toc236825171"/>
      <w:bookmarkEnd w:id="107"/>
      <w:r w:rsidRPr="00981395">
        <w:t>Option 3: Industry incentives</w:t>
      </w:r>
      <w:r w:rsidR="002D4E9E">
        <w:t xml:space="preserve"> and consumer education</w:t>
      </w:r>
      <w:bookmarkEnd w:id="108"/>
    </w:p>
    <w:p w14:paraId="3998FF25" w14:textId="18093BED" w:rsidR="001B4324" w:rsidRPr="001B4324" w:rsidRDefault="001B4324" w:rsidP="001B4324">
      <w:pPr>
        <w:pStyle w:val="Heading3Numbered"/>
      </w:pPr>
      <w:bookmarkStart w:id="109" w:name="_Toc236825172"/>
      <w:r w:rsidRPr="001B4324">
        <w:t xml:space="preserve">Regulatory </w:t>
      </w:r>
      <w:r w:rsidR="0063730C">
        <w:t>burden</w:t>
      </w:r>
      <w:bookmarkEnd w:id="109"/>
    </w:p>
    <w:p w14:paraId="5BE7BA8D" w14:textId="63D7EA47" w:rsidR="001B4324" w:rsidRDefault="0073364D" w:rsidP="00981395">
      <w:r>
        <w:t>Option 3 represents a non-regulatory solution to the policy issue. While there would be costs incurred by business and community organisations in implementing the solution, there would be no regulatory requirements for participation.</w:t>
      </w:r>
    </w:p>
    <w:p w14:paraId="36C0A0C0" w14:textId="45A7A1B9" w:rsidR="006E30ED" w:rsidRPr="003803DE" w:rsidRDefault="006E30ED" w:rsidP="006E30ED">
      <w:pPr>
        <w:pStyle w:val="Caption"/>
      </w:pPr>
      <w:bookmarkStart w:id="110" w:name="_Toc236825672"/>
      <w:r>
        <w:t xml:space="preserve">Table </w:t>
      </w:r>
      <w:r w:rsidR="00CF089C">
        <w:t>8</w:t>
      </w:r>
      <w:r>
        <w:t>: Option 3 - a</w:t>
      </w:r>
      <w:r w:rsidRPr="003803DE">
        <w:t>verage annual regulatory costs (from business as usual)</w:t>
      </w:r>
      <w:bookmarkEnd w:id="110"/>
      <w:r w:rsidRPr="003803DE">
        <w:t> </w:t>
      </w:r>
    </w:p>
    <w:tbl>
      <w:tblPr>
        <w:tblStyle w:val="DefaultTable1"/>
        <w:tblW w:w="9800" w:type="dxa"/>
        <w:tblLook w:val="04A0" w:firstRow="1" w:lastRow="0" w:firstColumn="1" w:lastColumn="0" w:noHBand="0" w:noVBand="1"/>
      </w:tblPr>
      <w:tblGrid>
        <w:gridCol w:w="1960"/>
        <w:gridCol w:w="1960"/>
        <w:gridCol w:w="1960"/>
        <w:gridCol w:w="1960"/>
        <w:gridCol w:w="1960"/>
      </w:tblGrid>
      <w:tr w:rsidR="006E30ED" w:rsidRPr="003803DE" w14:paraId="61159B6E" w14:textId="77777777" w:rsidTr="00DE1D9D">
        <w:trPr>
          <w:cnfStyle w:val="100000000000" w:firstRow="1" w:lastRow="0" w:firstColumn="0" w:lastColumn="0" w:oddVBand="0" w:evenVBand="0" w:oddHBand="0"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960" w:type="dxa"/>
            <w:hideMark/>
          </w:tcPr>
          <w:p w14:paraId="16E3AB10" w14:textId="164E9C09" w:rsidR="006E30ED" w:rsidRPr="003803DE" w:rsidRDefault="006E30ED" w:rsidP="00DE1D9D">
            <w:pPr>
              <w:spacing w:before="160"/>
              <w:rPr>
                <w:bCs/>
              </w:rPr>
            </w:pPr>
            <w:r w:rsidRPr="003803DE">
              <w:rPr>
                <w:bCs/>
              </w:rPr>
              <w:t>Change in costs  </w:t>
            </w:r>
          </w:p>
        </w:tc>
        <w:tc>
          <w:tcPr>
            <w:tcW w:w="1960" w:type="dxa"/>
            <w:hideMark/>
          </w:tcPr>
          <w:p w14:paraId="372638F7" w14:textId="77777777" w:rsidR="006E30ED" w:rsidRPr="003803DE" w:rsidRDefault="006E30ED" w:rsidP="00DE1D9D">
            <w:pPr>
              <w:spacing w:before="160"/>
              <w:cnfStyle w:val="100000000000" w:firstRow="1" w:lastRow="0" w:firstColumn="0" w:lastColumn="0" w:oddVBand="0" w:evenVBand="0" w:oddHBand="0" w:evenHBand="0" w:firstRowFirstColumn="0" w:firstRowLastColumn="0" w:lastRowFirstColumn="0" w:lastRowLastColumn="0"/>
              <w:rPr>
                <w:bCs/>
              </w:rPr>
            </w:pPr>
            <w:r w:rsidRPr="003803DE">
              <w:rPr>
                <w:bCs/>
              </w:rPr>
              <w:t>Business </w:t>
            </w:r>
          </w:p>
        </w:tc>
        <w:tc>
          <w:tcPr>
            <w:tcW w:w="1960" w:type="dxa"/>
            <w:hideMark/>
          </w:tcPr>
          <w:p w14:paraId="50641F64" w14:textId="77777777" w:rsidR="006E30ED" w:rsidRPr="003803DE" w:rsidRDefault="006E30ED" w:rsidP="00DE1D9D">
            <w:pPr>
              <w:spacing w:before="160"/>
              <w:cnfStyle w:val="100000000000" w:firstRow="1" w:lastRow="0" w:firstColumn="0" w:lastColumn="0" w:oddVBand="0" w:evenVBand="0" w:oddHBand="0" w:evenHBand="0" w:firstRowFirstColumn="0" w:firstRowLastColumn="0" w:lastRowFirstColumn="0" w:lastRowLastColumn="0"/>
              <w:rPr>
                <w:bCs/>
              </w:rPr>
            </w:pPr>
            <w:r w:rsidRPr="003803DE">
              <w:rPr>
                <w:bCs/>
              </w:rPr>
              <w:t>Community organisations </w:t>
            </w:r>
          </w:p>
        </w:tc>
        <w:tc>
          <w:tcPr>
            <w:tcW w:w="1960" w:type="dxa"/>
            <w:hideMark/>
          </w:tcPr>
          <w:p w14:paraId="2C1519FE" w14:textId="77777777" w:rsidR="006E30ED" w:rsidRPr="003803DE" w:rsidRDefault="006E30ED" w:rsidP="00DE1D9D">
            <w:pPr>
              <w:spacing w:before="160"/>
              <w:cnfStyle w:val="100000000000" w:firstRow="1" w:lastRow="0" w:firstColumn="0" w:lastColumn="0" w:oddVBand="0" w:evenVBand="0" w:oddHBand="0" w:evenHBand="0" w:firstRowFirstColumn="0" w:firstRowLastColumn="0" w:lastRowFirstColumn="0" w:lastRowLastColumn="0"/>
              <w:rPr>
                <w:bCs/>
              </w:rPr>
            </w:pPr>
            <w:r w:rsidRPr="003803DE">
              <w:rPr>
                <w:bCs/>
              </w:rPr>
              <w:t>Individuals </w:t>
            </w:r>
          </w:p>
        </w:tc>
        <w:tc>
          <w:tcPr>
            <w:tcW w:w="1960" w:type="dxa"/>
            <w:hideMark/>
          </w:tcPr>
          <w:p w14:paraId="4092F6DF" w14:textId="77777777" w:rsidR="006E30ED" w:rsidRPr="003803DE" w:rsidRDefault="006E30ED" w:rsidP="00DE1D9D">
            <w:pPr>
              <w:spacing w:before="160"/>
              <w:cnfStyle w:val="100000000000" w:firstRow="1" w:lastRow="0" w:firstColumn="0" w:lastColumn="0" w:oddVBand="0" w:evenVBand="0" w:oddHBand="0" w:evenHBand="0" w:firstRowFirstColumn="0" w:firstRowLastColumn="0" w:lastRowFirstColumn="0" w:lastRowLastColumn="0"/>
              <w:rPr>
                <w:bCs/>
              </w:rPr>
            </w:pPr>
            <w:r w:rsidRPr="003803DE">
              <w:rPr>
                <w:bCs/>
              </w:rPr>
              <w:t>Total change in costs </w:t>
            </w:r>
          </w:p>
        </w:tc>
      </w:tr>
      <w:tr w:rsidR="006E30ED" w:rsidRPr="003803DE" w14:paraId="757CC03E" w14:textId="77777777" w:rsidTr="00DE1D9D">
        <w:trPr>
          <w:trHeight w:val="294"/>
        </w:trPr>
        <w:tc>
          <w:tcPr>
            <w:cnfStyle w:val="001000000000" w:firstRow="0" w:lastRow="0" w:firstColumn="1" w:lastColumn="0" w:oddVBand="0" w:evenVBand="0" w:oddHBand="0" w:evenHBand="0" w:firstRowFirstColumn="0" w:firstRowLastColumn="0" w:lastRowFirstColumn="0" w:lastRowLastColumn="0"/>
            <w:tcW w:w="1960" w:type="dxa"/>
            <w:hideMark/>
          </w:tcPr>
          <w:p w14:paraId="14F8C3AC" w14:textId="0E34096F" w:rsidR="006E30ED" w:rsidRPr="003803DE" w:rsidRDefault="006E30ED" w:rsidP="00DE1D9D">
            <w:pPr>
              <w:spacing w:before="160"/>
            </w:pPr>
            <w:r w:rsidRPr="003803DE">
              <w:rPr>
                <w:bCs/>
              </w:rPr>
              <w:t>Total</w:t>
            </w:r>
            <w:r w:rsidR="0017231F">
              <w:rPr>
                <w:bCs/>
              </w:rPr>
              <w:t xml:space="preserve"> ($millions)</w:t>
            </w:r>
            <w:r w:rsidRPr="003803DE">
              <w:t> </w:t>
            </w:r>
          </w:p>
        </w:tc>
        <w:tc>
          <w:tcPr>
            <w:tcW w:w="1960" w:type="dxa"/>
            <w:hideMark/>
          </w:tcPr>
          <w:p w14:paraId="267768DD" w14:textId="2F22D543" w:rsidR="006E30ED" w:rsidRPr="003803DE" w:rsidRDefault="006E30ED" w:rsidP="00DE1D9D">
            <w:pPr>
              <w:spacing w:before="160"/>
              <w:cnfStyle w:val="000000000000" w:firstRow="0" w:lastRow="0" w:firstColumn="0" w:lastColumn="0" w:oddVBand="0" w:evenVBand="0" w:oddHBand="0" w:evenHBand="0" w:firstRowFirstColumn="0" w:firstRowLastColumn="0" w:lastRowFirstColumn="0" w:lastRowLastColumn="0"/>
            </w:pPr>
            <w:r w:rsidRPr="003803DE">
              <w:t>$ </w:t>
            </w:r>
            <w:r w:rsidR="0073364D">
              <w:t>0.000</w:t>
            </w:r>
          </w:p>
        </w:tc>
        <w:tc>
          <w:tcPr>
            <w:tcW w:w="1960" w:type="dxa"/>
            <w:hideMark/>
          </w:tcPr>
          <w:p w14:paraId="4DFEB5C9" w14:textId="4BED3C7F" w:rsidR="006E30ED" w:rsidRPr="003803DE" w:rsidRDefault="006E30ED" w:rsidP="00DE1D9D">
            <w:pPr>
              <w:spacing w:before="160"/>
              <w:cnfStyle w:val="000000000000" w:firstRow="0" w:lastRow="0" w:firstColumn="0" w:lastColumn="0" w:oddVBand="0" w:evenVBand="0" w:oddHBand="0" w:evenHBand="0" w:firstRowFirstColumn="0" w:firstRowLastColumn="0" w:lastRowFirstColumn="0" w:lastRowLastColumn="0"/>
            </w:pPr>
            <w:r w:rsidRPr="003803DE">
              <w:t>$ </w:t>
            </w:r>
            <w:r w:rsidR="0073364D">
              <w:t>0.000</w:t>
            </w:r>
          </w:p>
        </w:tc>
        <w:tc>
          <w:tcPr>
            <w:tcW w:w="1960" w:type="dxa"/>
            <w:hideMark/>
          </w:tcPr>
          <w:p w14:paraId="3F90AF25" w14:textId="0F69CADC" w:rsidR="006E30ED" w:rsidRPr="003803DE" w:rsidRDefault="006E30ED" w:rsidP="00DE1D9D">
            <w:pPr>
              <w:spacing w:before="160"/>
              <w:cnfStyle w:val="000000000000" w:firstRow="0" w:lastRow="0" w:firstColumn="0" w:lastColumn="0" w:oddVBand="0" w:evenVBand="0" w:oddHBand="0" w:evenHBand="0" w:firstRowFirstColumn="0" w:firstRowLastColumn="0" w:lastRowFirstColumn="0" w:lastRowLastColumn="0"/>
            </w:pPr>
            <w:r w:rsidRPr="003803DE">
              <w:t>$ </w:t>
            </w:r>
            <w:r w:rsidR="0073364D">
              <w:t>0.000</w:t>
            </w:r>
          </w:p>
        </w:tc>
        <w:tc>
          <w:tcPr>
            <w:tcW w:w="1960" w:type="dxa"/>
            <w:hideMark/>
          </w:tcPr>
          <w:p w14:paraId="2C9BF117" w14:textId="56A13AAD" w:rsidR="006E30ED" w:rsidRPr="003803DE" w:rsidRDefault="006E30ED" w:rsidP="00DE1D9D">
            <w:pPr>
              <w:spacing w:before="160"/>
              <w:cnfStyle w:val="000000000000" w:firstRow="0" w:lastRow="0" w:firstColumn="0" w:lastColumn="0" w:oddVBand="0" w:evenVBand="0" w:oddHBand="0" w:evenHBand="0" w:firstRowFirstColumn="0" w:firstRowLastColumn="0" w:lastRowFirstColumn="0" w:lastRowLastColumn="0"/>
            </w:pPr>
            <w:r w:rsidRPr="003803DE">
              <w:t>$ </w:t>
            </w:r>
            <w:r w:rsidR="0073364D">
              <w:t>0.000</w:t>
            </w:r>
          </w:p>
        </w:tc>
      </w:tr>
    </w:tbl>
    <w:p w14:paraId="69165174" w14:textId="314A399C" w:rsidR="001B4324" w:rsidRPr="001B4324" w:rsidRDefault="006D6008" w:rsidP="001B4324">
      <w:pPr>
        <w:pStyle w:val="Heading3Numbered"/>
      </w:pPr>
      <w:bookmarkStart w:id="111" w:name="_Toc236825173"/>
      <w:r>
        <w:t>A</w:t>
      </w:r>
      <w:r w:rsidR="001B4324" w:rsidRPr="001B4324">
        <w:t>ssessment of impacts</w:t>
      </w:r>
      <w:bookmarkEnd w:id="111"/>
    </w:p>
    <w:p w14:paraId="39EA34D6" w14:textId="361DED38" w:rsidR="00583C26" w:rsidRDefault="00583C26" w:rsidP="00981395">
      <w:r w:rsidRPr="00583C26">
        <w:t xml:space="preserve">Industry incentives, </w:t>
      </w:r>
      <w:r w:rsidR="002D4E9E">
        <w:t xml:space="preserve">coupled with an </w:t>
      </w:r>
      <w:r w:rsidRPr="00583C26">
        <w:t xml:space="preserve">education campaign directed at </w:t>
      </w:r>
      <w:r w:rsidR="00D94C43">
        <w:t xml:space="preserve">the </w:t>
      </w:r>
      <w:r w:rsidRPr="00583C26">
        <w:t>users of smart speakers</w:t>
      </w:r>
      <w:r w:rsidR="002D4E9E">
        <w:t>,</w:t>
      </w:r>
      <w:r w:rsidRPr="00583C26">
        <w:t xml:space="preserve"> would provide a partial solution to </w:t>
      </w:r>
      <w:r>
        <w:t xml:space="preserve">the </w:t>
      </w:r>
      <w:r w:rsidR="006B0245">
        <w:t xml:space="preserve">policy objective, </w:t>
      </w:r>
      <w:r w:rsidR="00994E38">
        <w:t xml:space="preserve">as </w:t>
      </w:r>
      <w:r>
        <w:t xml:space="preserve">discussed </w:t>
      </w:r>
      <w:r w:rsidR="006B0245">
        <w:t>at</w:t>
      </w:r>
      <w:r>
        <w:t xml:space="preserve"> </w:t>
      </w:r>
      <w:r w:rsidR="00994E38">
        <w:t>section</w:t>
      </w:r>
      <w:r>
        <w:t xml:space="preserve"> </w:t>
      </w:r>
      <w:r w:rsidR="006B0245">
        <w:t>2.1.</w:t>
      </w:r>
    </w:p>
    <w:p w14:paraId="6522D1CC" w14:textId="436F9DE2" w:rsidR="00927E74" w:rsidRDefault="00F42009" w:rsidP="000970D7">
      <w:r>
        <w:t xml:space="preserve">As </w:t>
      </w:r>
      <w:r w:rsidR="00B650B6">
        <w:t>previously noted, t</w:t>
      </w:r>
      <w:r w:rsidR="000970D7">
        <w:t xml:space="preserve">here is </w:t>
      </w:r>
      <w:r w:rsidR="00927E74">
        <w:t xml:space="preserve">generally </w:t>
      </w:r>
      <w:r w:rsidR="000970D7">
        <w:t xml:space="preserve">no directory or consumer browsing option to enable radio stations to bypass the need to integrate </w:t>
      </w:r>
      <w:r>
        <w:t xml:space="preserve">radio </w:t>
      </w:r>
      <w:r w:rsidR="000970D7">
        <w:t>services within the smart speaker platform</w:t>
      </w:r>
      <w:r w:rsidR="00B650B6">
        <w:t xml:space="preserve">. </w:t>
      </w:r>
      <w:r w:rsidR="00B14AF6">
        <w:t xml:space="preserve">A consumer education campaign may increase the technological competence and agency of </w:t>
      </w:r>
      <w:proofErr w:type="gramStart"/>
      <w:r w:rsidR="00B14AF6">
        <w:t>users, and</w:t>
      </w:r>
      <w:proofErr w:type="gramEnd"/>
      <w:r w:rsidR="00B14AF6">
        <w:t xml:space="preserve"> therefore increase access </w:t>
      </w:r>
      <w:r w:rsidR="00554329">
        <w:t>to</w:t>
      </w:r>
      <w:r w:rsidR="00B14AF6">
        <w:t xml:space="preserve"> radio services.</w:t>
      </w:r>
    </w:p>
    <w:p w14:paraId="242011F1" w14:textId="4248A7D0" w:rsidR="000970D7" w:rsidRDefault="002D4E9E" w:rsidP="000970D7">
      <w:r>
        <w:t>The willingness of the Commonwealth to partially subsidise the costs of accessing voice activation platforms may incentivise the providers of these platforms to increase their cha</w:t>
      </w:r>
      <w:r w:rsidR="00D94C43">
        <w:t>r</w:t>
      </w:r>
      <w:r>
        <w:t>ges</w:t>
      </w:r>
      <w:r w:rsidR="00554329">
        <w:t xml:space="preserve"> or fees to radio broadcasters</w:t>
      </w:r>
      <w:r>
        <w:t xml:space="preserve">. </w:t>
      </w:r>
      <w:r w:rsidR="00B650B6">
        <w:t xml:space="preserve">Even </w:t>
      </w:r>
      <w:r w:rsidR="00B650B6">
        <w:lastRenderedPageBreak/>
        <w:t>with Commonwealth support, i</w:t>
      </w:r>
      <w:r>
        <w:t>t is expected that there would still be a requirement for radio stations to pay some level of fees to ensure consumers are able to access their services.</w:t>
      </w:r>
      <w:r w:rsidR="00927E74">
        <w:t xml:space="preserve"> </w:t>
      </w:r>
    </w:p>
    <w:p w14:paraId="7350C33C" w14:textId="21A368C7" w:rsidR="00981395" w:rsidRPr="00813BF1" w:rsidRDefault="00712307" w:rsidP="006F62E1">
      <w:pPr>
        <w:pStyle w:val="Caption"/>
        <w:widowControl w:val="0"/>
        <w:rPr>
          <w:b w:val="0"/>
        </w:rPr>
      </w:pPr>
      <w:bookmarkStart w:id="112" w:name="_Toc236825673"/>
      <w:r w:rsidRPr="00813BF1">
        <w:t xml:space="preserve">Table </w:t>
      </w:r>
      <w:r w:rsidR="00CF089C">
        <w:t>9</w:t>
      </w:r>
      <w:r w:rsidRPr="00813BF1">
        <w:t>: Stakeholder impacts on industry incentives to provide radio prominence</w:t>
      </w:r>
      <w:bookmarkEnd w:id="112"/>
    </w:p>
    <w:tbl>
      <w:tblPr>
        <w:tblStyle w:val="DefaultTable1"/>
        <w:tblW w:w="5000" w:type="pct"/>
        <w:tblLook w:val="04A0" w:firstRow="1" w:lastRow="0" w:firstColumn="1" w:lastColumn="0" w:noHBand="0" w:noVBand="1"/>
      </w:tblPr>
      <w:tblGrid>
        <w:gridCol w:w="1943"/>
        <w:gridCol w:w="6830"/>
        <w:gridCol w:w="1091"/>
      </w:tblGrid>
      <w:tr w:rsidR="00712307" w14:paraId="44BDF768" w14:textId="77777777" w:rsidTr="00AF40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pct"/>
          </w:tcPr>
          <w:p w14:paraId="0B6BB3D9" w14:textId="77777777" w:rsidR="00712307" w:rsidRDefault="00712307" w:rsidP="006F62E1">
            <w:pPr>
              <w:widowControl w:val="0"/>
            </w:pPr>
            <w:r>
              <w:t>Stakeholder</w:t>
            </w:r>
          </w:p>
        </w:tc>
        <w:tc>
          <w:tcPr>
            <w:tcW w:w="3445" w:type="pct"/>
          </w:tcPr>
          <w:p w14:paraId="3DDF362B" w14:textId="77777777" w:rsidR="00712307" w:rsidRDefault="00712307" w:rsidP="006F62E1">
            <w:pPr>
              <w:widowControl w:val="0"/>
              <w:cnfStyle w:val="100000000000" w:firstRow="1" w:lastRow="0" w:firstColumn="0" w:lastColumn="0" w:oddVBand="0" w:evenVBand="0" w:oddHBand="0" w:evenHBand="0" w:firstRowFirstColumn="0" w:firstRowLastColumn="0" w:lastRowFirstColumn="0" w:lastRowLastColumn="0"/>
            </w:pPr>
            <w:r>
              <w:t>Description of impact</w:t>
            </w:r>
          </w:p>
        </w:tc>
        <w:tc>
          <w:tcPr>
            <w:tcW w:w="550" w:type="pct"/>
          </w:tcPr>
          <w:p w14:paraId="753D1E3D" w14:textId="77777777" w:rsidR="00712307" w:rsidRDefault="00712307" w:rsidP="006F62E1">
            <w:pPr>
              <w:widowControl w:val="0"/>
              <w:jc w:val="center"/>
              <w:cnfStyle w:val="100000000000" w:firstRow="1" w:lastRow="0" w:firstColumn="0" w:lastColumn="0" w:oddVBand="0" w:evenVBand="0" w:oddHBand="0" w:evenHBand="0" w:firstRowFirstColumn="0" w:firstRowLastColumn="0" w:lastRowFirstColumn="0" w:lastRowLastColumn="0"/>
            </w:pPr>
            <w:r>
              <w:t>Impact</w:t>
            </w:r>
          </w:p>
        </w:tc>
      </w:tr>
      <w:tr w:rsidR="00712307" w14:paraId="394F6883" w14:textId="77777777" w:rsidTr="00AF402C">
        <w:tc>
          <w:tcPr>
            <w:cnfStyle w:val="001000000000" w:firstRow="0" w:lastRow="0" w:firstColumn="1" w:lastColumn="0" w:oddVBand="0" w:evenVBand="0" w:oddHBand="0" w:evenHBand="0" w:firstRowFirstColumn="0" w:firstRowLastColumn="0" w:lastRowFirstColumn="0" w:lastRowLastColumn="0"/>
            <w:tcW w:w="980" w:type="pct"/>
          </w:tcPr>
          <w:p w14:paraId="46C92454" w14:textId="77777777" w:rsidR="00712307" w:rsidRDefault="00712307" w:rsidP="006F62E1">
            <w:pPr>
              <w:widowControl w:val="0"/>
              <w:spacing w:before="40" w:after="40"/>
            </w:pPr>
            <w:r>
              <w:t>Consumers</w:t>
            </w:r>
          </w:p>
        </w:tc>
        <w:tc>
          <w:tcPr>
            <w:tcW w:w="3445" w:type="pct"/>
          </w:tcPr>
          <w:p w14:paraId="2D83724C" w14:textId="5ED88518" w:rsidR="00712307" w:rsidRPr="00813BF1" w:rsidRDefault="005C057F" w:rsidP="006F62E1">
            <w:pPr>
              <w:widowControl w:val="0"/>
              <w:spacing w:before="40" w:after="40"/>
              <w:cnfStyle w:val="000000000000" w:firstRow="0" w:lastRow="0" w:firstColumn="0" w:lastColumn="0" w:oddVBand="0" w:evenVBand="0" w:oddHBand="0" w:evenHBand="0" w:firstRowFirstColumn="0" w:firstRowLastColumn="0" w:lastRowFirstColumn="0" w:lastRowLastColumn="0"/>
            </w:pPr>
            <w:r>
              <w:t xml:space="preserve">Users </w:t>
            </w:r>
            <w:r w:rsidR="000970D7">
              <w:t xml:space="preserve">may </w:t>
            </w:r>
            <w:r w:rsidR="00A309FA">
              <w:t xml:space="preserve">benefit from the </w:t>
            </w:r>
            <w:r w:rsidR="000970D7">
              <w:t xml:space="preserve">guidance </w:t>
            </w:r>
            <w:r w:rsidR="00554329">
              <w:t>and information provided through</w:t>
            </w:r>
            <w:r w:rsidR="000970D7">
              <w:t xml:space="preserve"> </w:t>
            </w:r>
            <w:r w:rsidR="00F21CF9">
              <w:t xml:space="preserve">the </w:t>
            </w:r>
            <w:r w:rsidR="000970D7">
              <w:t xml:space="preserve">education campaign to set up their smart speaker to have optimal surfacing of their preferred Australian radio stations. </w:t>
            </w:r>
          </w:p>
        </w:tc>
        <w:tc>
          <w:tcPr>
            <w:tcW w:w="550" w:type="pct"/>
            <w:shd w:val="clear" w:color="auto" w:fill="FFFF00"/>
            <w:vAlign w:val="center"/>
          </w:tcPr>
          <w:p w14:paraId="6169F7AC" w14:textId="3944D891" w:rsidR="00712307" w:rsidRPr="00813BF1" w:rsidRDefault="00E12978" w:rsidP="006F62E1">
            <w:pPr>
              <w:widowControl w:val="0"/>
              <w:spacing w:before="40" w:after="40"/>
              <w:jc w:val="center"/>
              <w:cnfStyle w:val="000000000000" w:firstRow="0" w:lastRow="0" w:firstColumn="0" w:lastColumn="0" w:oddVBand="0" w:evenVBand="0" w:oddHBand="0" w:evenHBand="0" w:firstRowFirstColumn="0" w:firstRowLastColumn="0" w:lastRowFirstColumn="0" w:lastRowLastColumn="0"/>
            </w:pPr>
            <w:r>
              <w:t>5</w:t>
            </w:r>
          </w:p>
        </w:tc>
      </w:tr>
      <w:tr w:rsidR="00712307" w14:paraId="19E82AAF" w14:textId="77777777" w:rsidTr="00AF40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pct"/>
          </w:tcPr>
          <w:p w14:paraId="36693A10" w14:textId="77777777" w:rsidR="00712307" w:rsidRDefault="00712307" w:rsidP="006F62E1">
            <w:pPr>
              <w:widowControl w:val="0"/>
              <w:spacing w:before="40" w:after="40"/>
            </w:pPr>
            <w:r>
              <w:t>Australian radio broadcasting services</w:t>
            </w:r>
          </w:p>
        </w:tc>
        <w:tc>
          <w:tcPr>
            <w:tcW w:w="3445" w:type="pct"/>
          </w:tcPr>
          <w:p w14:paraId="0FC3F541" w14:textId="3376BFE3" w:rsidR="00800DBC" w:rsidRDefault="00F21CF9" w:rsidP="006F62E1">
            <w:pPr>
              <w:widowControl w:val="0"/>
              <w:spacing w:before="40" w:after="40"/>
              <w:cnfStyle w:val="000000010000" w:firstRow="0" w:lastRow="0" w:firstColumn="0" w:lastColumn="0" w:oddVBand="0" w:evenVBand="0" w:oddHBand="0" w:evenHBand="1" w:firstRowFirstColumn="0" w:firstRowLastColumn="0" w:lastRowFirstColumn="0" w:lastRowLastColumn="0"/>
            </w:pPr>
            <w:r>
              <w:t xml:space="preserve">The Commonwealth subsidy </w:t>
            </w:r>
            <w:r w:rsidR="00B650B6">
              <w:t xml:space="preserve">may </w:t>
            </w:r>
            <w:r>
              <w:t>partially offset the costs of access to voice assistant platforms. However, radio broadcasters would be expected to need to continue to have to make some level of payment to these entities.</w:t>
            </w:r>
          </w:p>
          <w:p w14:paraId="46B0F7A1" w14:textId="29762CDB" w:rsidR="00E12978" w:rsidRDefault="00E12978" w:rsidP="006F62E1">
            <w:pPr>
              <w:widowControl w:val="0"/>
              <w:spacing w:before="40" w:after="40"/>
              <w:cnfStyle w:val="000000010000" w:firstRow="0" w:lastRow="0" w:firstColumn="0" w:lastColumn="0" w:oddVBand="0" w:evenVBand="0" w:oddHBand="0" w:evenHBand="1" w:firstRowFirstColumn="0" w:firstRowLastColumn="0" w:lastRowFirstColumn="0" w:lastRowLastColumn="0"/>
            </w:pPr>
            <w:r>
              <w:t>A Commonwealth subsidy may not address the bargaining power imbalance between broadcasters and providers of voice assistant software.</w:t>
            </w:r>
          </w:p>
          <w:p w14:paraId="61F2FFE8" w14:textId="1A1053F1" w:rsidR="00F21CF9" w:rsidRPr="00813BF1" w:rsidRDefault="00F21CF9" w:rsidP="006F62E1">
            <w:pPr>
              <w:widowControl w:val="0"/>
              <w:spacing w:before="40" w:after="40"/>
              <w:cnfStyle w:val="000000010000" w:firstRow="0" w:lastRow="0" w:firstColumn="0" w:lastColumn="0" w:oddVBand="0" w:evenVBand="0" w:oddHBand="0" w:evenHBand="1" w:firstRowFirstColumn="0" w:firstRowLastColumn="0" w:lastRowFirstColumn="0" w:lastRowLastColumn="0"/>
            </w:pPr>
            <w:r>
              <w:t xml:space="preserve">The </w:t>
            </w:r>
            <w:r w:rsidR="00554329">
              <w:t>education</w:t>
            </w:r>
            <w:r>
              <w:t xml:space="preserve"> campaign may boost awareness of Australian radio stations, providing some offset to these direct costs. </w:t>
            </w:r>
          </w:p>
        </w:tc>
        <w:tc>
          <w:tcPr>
            <w:tcW w:w="550" w:type="pct"/>
            <w:shd w:val="clear" w:color="auto" w:fill="FFFF00"/>
            <w:vAlign w:val="center"/>
          </w:tcPr>
          <w:p w14:paraId="73297E88" w14:textId="42C3152D" w:rsidR="00712307" w:rsidRPr="00813BF1" w:rsidRDefault="00E12978" w:rsidP="006F62E1">
            <w:pPr>
              <w:widowControl w:val="0"/>
              <w:spacing w:before="40" w:after="40"/>
              <w:jc w:val="center"/>
              <w:cnfStyle w:val="000000010000" w:firstRow="0" w:lastRow="0" w:firstColumn="0" w:lastColumn="0" w:oddVBand="0" w:evenVBand="0" w:oddHBand="0" w:evenHBand="1" w:firstRowFirstColumn="0" w:firstRowLastColumn="0" w:lastRowFirstColumn="0" w:lastRowLastColumn="0"/>
            </w:pPr>
            <w:r>
              <w:t>5</w:t>
            </w:r>
          </w:p>
        </w:tc>
      </w:tr>
      <w:tr w:rsidR="00F21CF9" w14:paraId="5354BB5F" w14:textId="77777777" w:rsidTr="00AF402C">
        <w:tc>
          <w:tcPr>
            <w:cnfStyle w:val="001000000000" w:firstRow="0" w:lastRow="0" w:firstColumn="1" w:lastColumn="0" w:oddVBand="0" w:evenVBand="0" w:oddHBand="0" w:evenHBand="0" w:firstRowFirstColumn="0" w:firstRowLastColumn="0" w:lastRowFirstColumn="0" w:lastRowLastColumn="0"/>
            <w:tcW w:w="980" w:type="pct"/>
          </w:tcPr>
          <w:p w14:paraId="7ABA380A" w14:textId="77777777" w:rsidR="00F21CF9" w:rsidRDefault="00F21CF9" w:rsidP="006F62E1">
            <w:pPr>
              <w:widowControl w:val="0"/>
              <w:spacing w:before="40" w:after="40"/>
            </w:pPr>
            <w:r>
              <w:t>Smart speaker manufacturers</w:t>
            </w:r>
          </w:p>
        </w:tc>
        <w:tc>
          <w:tcPr>
            <w:tcW w:w="3445" w:type="pct"/>
          </w:tcPr>
          <w:p w14:paraId="5504C7E0" w14:textId="03696016" w:rsidR="00F21CF9" w:rsidRPr="00813BF1" w:rsidRDefault="00F21CF9" w:rsidP="006F62E1">
            <w:pPr>
              <w:widowControl w:val="0"/>
              <w:spacing w:before="40" w:after="40"/>
              <w:cnfStyle w:val="000000000000" w:firstRow="0" w:lastRow="0" w:firstColumn="0" w:lastColumn="0" w:oddVBand="0" w:evenVBand="0" w:oddHBand="0" w:evenHBand="0" w:firstRowFirstColumn="0" w:firstRowLastColumn="0" w:lastRowFirstColumn="0" w:lastRowLastColumn="0"/>
            </w:pPr>
            <w:r>
              <w:t xml:space="preserve">The </w:t>
            </w:r>
            <w:r w:rsidR="00554329">
              <w:t>education</w:t>
            </w:r>
            <w:r>
              <w:t xml:space="preserve"> campaign may boost awareness of smart speakers and increase sales. </w:t>
            </w:r>
          </w:p>
        </w:tc>
        <w:tc>
          <w:tcPr>
            <w:tcW w:w="550" w:type="pct"/>
            <w:shd w:val="clear" w:color="auto" w:fill="E2F2EA" w:themeFill="accent6" w:themeFillTint="33"/>
            <w:vAlign w:val="center"/>
          </w:tcPr>
          <w:p w14:paraId="2014A6EE" w14:textId="0CD4BB06" w:rsidR="00F21CF9" w:rsidRPr="00813BF1" w:rsidRDefault="00E12978" w:rsidP="006F62E1">
            <w:pPr>
              <w:widowControl w:val="0"/>
              <w:spacing w:before="40" w:after="40"/>
              <w:jc w:val="center"/>
              <w:cnfStyle w:val="000000000000" w:firstRow="0" w:lastRow="0" w:firstColumn="0" w:lastColumn="0" w:oddVBand="0" w:evenVBand="0" w:oddHBand="0" w:evenHBand="0" w:firstRowFirstColumn="0" w:firstRowLastColumn="0" w:lastRowFirstColumn="0" w:lastRowLastColumn="0"/>
            </w:pPr>
            <w:r>
              <w:t>3</w:t>
            </w:r>
          </w:p>
        </w:tc>
      </w:tr>
      <w:tr w:rsidR="00712307" w14:paraId="2EB682AF" w14:textId="77777777" w:rsidTr="00E110B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pct"/>
          </w:tcPr>
          <w:p w14:paraId="74A50D37" w14:textId="77777777" w:rsidR="00712307" w:rsidRDefault="00712307" w:rsidP="006F62E1">
            <w:pPr>
              <w:widowControl w:val="0"/>
              <w:spacing w:before="40" w:after="40"/>
            </w:pPr>
            <w:r>
              <w:t>Voice assistant platforms used on smart speakers</w:t>
            </w:r>
          </w:p>
        </w:tc>
        <w:tc>
          <w:tcPr>
            <w:tcW w:w="3445" w:type="pct"/>
          </w:tcPr>
          <w:p w14:paraId="7A88FD16" w14:textId="30C8C181" w:rsidR="00F21CF9" w:rsidRDefault="00F21CF9" w:rsidP="006F62E1">
            <w:pPr>
              <w:widowControl w:val="0"/>
              <w:spacing w:before="40" w:after="40"/>
              <w:cnfStyle w:val="000000010000" w:firstRow="0" w:lastRow="0" w:firstColumn="0" w:lastColumn="0" w:oddVBand="0" w:evenVBand="0" w:oddHBand="0" w:evenHBand="1" w:firstRowFirstColumn="0" w:firstRowLastColumn="0" w:lastRowFirstColumn="0" w:lastRowLastColumn="0"/>
            </w:pPr>
            <w:r>
              <w:t xml:space="preserve">A Commonwealth subsidy for access fees </w:t>
            </w:r>
            <w:r w:rsidR="00554329">
              <w:t>may enable</w:t>
            </w:r>
            <w:r>
              <w:t xml:space="preserve"> the providers of voice activation software to increase their revenue if they were able to increase </w:t>
            </w:r>
            <w:r w:rsidR="00554329">
              <w:t xml:space="preserve">any access or integration </w:t>
            </w:r>
            <w:r>
              <w:t xml:space="preserve">fees.  </w:t>
            </w:r>
          </w:p>
          <w:p w14:paraId="7AF8F1C9" w14:textId="2FF2734C" w:rsidR="00F42009" w:rsidRPr="00813BF1" w:rsidRDefault="00F21CF9" w:rsidP="006F62E1">
            <w:pPr>
              <w:widowControl w:val="0"/>
              <w:spacing w:before="40" w:after="40"/>
              <w:cnfStyle w:val="000000010000" w:firstRow="0" w:lastRow="0" w:firstColumn="0" w:lastColumn="0" w:oddVBand="0" w:evenVBand="0" w:oddHBand="0" w:evenHBand="1" w:firstRowFirstColumn="0" w:firstRowLastColumn="0" w:lastRowFirstColumn="0" w:lastRowLastColumn="0"/>
            </w:pPr>
            <w:r>
              <w:t xml:space="preserve">The </w:t>
            </w:r>
            <w:r w:rsidR="00554329">
              <w:t>education</w:t>
            </w:r>
            <w:r>
              <w:t xml:space="preserve"> campaign may act to boost awareness of voice activation platforms and the smart speakers on which they operate, increas</w:t>
            </w:r>
            <w:r w:rsidR="00094B2E">
              <w:t>ing</w:t>
            </w:r>
            <w:r>
              <w:t xml:space="preserve"> usage and product sales. </w:t>
            </w:r>
          </w:p>
        </w:tc>
        <w:tc>
          <w:tcPr>
            <w:tcW w:w="550" w:type="pct"/>
            <w:shd w:val="clear" w:color="auto" w:fill="E2F2EA" w:themeFill="accent6" w:themeFillTint="33"/>
            <w:vAlign w:val="center"/>
          </w:tcPr>
          <w:p w14:paraId="05126B99" w14:textId="4D960B07" w:rsidR="00712307" w:rsidRPr="00813BF1" w:rsidRDefault="00BD1C1D" w:rsidP="006F62E1">
            <w:pPr>
              <w:widowControl w:val="0"/>
              <w:spacing w:before="40" w:after="40"/>
              <w:jc w:val="center"/>
              <w:cnfStyle w:val="000000010000" w:firstRow="0" w:lastRow="0" w:firstColumn="0" w:lastColumn="0" w:oddVBand="0" w:evenVBand="0" w:oddHBand="0" w:evenHBand="1" w:firstRowFirstColumn="0" w:firstRowLastColumn="0" w:lastRowFirstColumn="0" w:lastRowLastColumn="0"/>
            </w:pPr>
            <w:r w:rsidRPr="00E110BC">
              <w:t>3</w:t>
            </w:r>
          </w:p>
        </w:tc>
      </w:tr>
      <w:tr w:rsidR="00021B3E" w14:paraId="19F9F694" w14:textId="77777777" w:rsidTr="00AF402C">
        <w:tc>
          <w:tcPr>
            <w:cnfStyle w:val="001000000000" w:firstRow="0" w:lastRow="0" w:firstColumn="1" w:lastColumn="0" w:oddVBand="0" w:evenVBand="0" w:oddHBand="0" w:evenHBand="0" w:firstRowFirstColumn="0" w:firstRowLastColumn="0" w:lastRowFirstColumn="0" w:lastRowLastColumn="0"/>
            <w:tcW w:w="980" w:type="pct"/>
          </w:tcPr>
          <w:p w14:paraId="1E88D953" w14:textId="0CE0F554" w:rsidR="00021B3E" w:rsidRDefault="002719E3" w:rsidP="006F62E1">
            <w:pPr>
              <w:widowControl w:val="0"/>
              <w:spacing w:before="40" w:after="40"/>
            </w:pPr>
            <w:r>
              <w:t>Overall</w:t>
            </w:r>
          </w:p>
        </w:tc>
        <w:tc>
          <w:tcPr>
            <w:tcW w:w="3445" w:type="pct"/>
          </w:tcPr>
          <w:p w14:paraId="0305FEDA" w14:textId="73EC7E6F" w:rsidR="00021B3E" w:rsidRDefault="00021B3E" w:rsidP="006F62E1">
            <w:pPr>
              <w:widowControl w:val="0"/>
              <w:spacing w:before="40" w:after="40"/>
              <w:cnfStyle w:val="000000000000" w:firstRow="0" w:lastRow="0" w:firstColumn="0" w:lastColumn="0" w:oddVBand="0" w:evenVBand="0" w:oddHBand="0" w:evenHBand="0" w:firstRowFirstColumn="0" w:firstRowLastColumn="0" w:lastRowFirstColumn="0" w:lastRowLastColumn="0"/>
            </w:pPr>
          </w:p>
        </w:tc>
        <w:tc>
          <w:tcPr>
            <w:tcW w:w="550" w:type="pct"/>
            <w:shd w:val="clear" w:color="auto" w:fill="E5EDD2" w:themeFill="accent5" w:themeFillTint="66"/>
            <w:vAlign w:val="center"/>
          </w:tcPr>
          <w:p w14:paraId="0406F537" w14:textId="1137501A" w:rsidR="00021B3E" w:rsidRDefault="00BD1C1D" w:rsidP="006F62E1">
            <w:pPr>
              <w:widowControl w:val="0"/>
              <w:spacing w:before="40" w:after="40"/>
              <w:jc w:val="center"/>
              <w:cnfStyle w:val="000000000000" w:firstRow="0" w:lastRow="0" w:firstColumn="0" w:lastColumn="0" w:oddVBand="0" w:evenVBand="0" w:oddHBand="0" w:evenHBand="0" w:firstRowFirstColumn="0" w:firstRowLastColumn="0" w:lastRowFirstColumn="0" w:lastRowLastColumn="0"/>
            </w:pPr>
            <w:r w:rsidRPr="00E110BC">
              <w:t>4</w:t>
            </w:r>
          </w:p>
        </w:tc>
      </w:tr>
    </w:tbl>
    <w:p w14:paraId="205035B6" w14:textId="77777777" w:rsidR="00E24129" w:rsidRDefault="00E24129" w:rsidP="00E24129">
      <w:pPr>
        <w:pStyle w:val="Heading3Numbered"/>
      </w:pPr>
      <w:bookmarkStart w:id="113" w:name="_Toc236825174"/>
      <w:r>
        <w:t>Overall assessment</w:t>
      </w:r>
      <w:bookmarkEnd w:id="113"/>
    </w:p>
    <w:p w14:paraId="32C71B36" w14:textId="5589780A" w:rsidR="00D94C43" w:rsidRDefault="00BA6F35" w:rsidP="00DE1DC9">
      <w:pPr>
        <w:rPr>
          <w:lang w:val="en-US"/>
        </w:rPr>
      </w:pPr>
      <w:r>
        <w:rPr>
          <w:lang w:val="en-US"/>
        </w:rPr>
        <w:t xml:space="preserve">Option 3 </w:t>
      </w:r>
      <w:r w:rsidR="00E24129">
        <w:rPr>
          <w:lang w:val="en-US"/>
        </w:rPr>
        <w:t>is viable</w:t>
      </w:r>
      <w:r>
        <w:rPr>
          <w:lang w:val="en-US"/>
        </w:rPr>
        <w:t>. However,</w:t>
      </w:r>
      <w:r w:rsidR="00E24129">
        <w:rPr>
          <w:lang w:val="en-US"/>
        </w:rPr>
        <w:t xml:space="preserve"> there are risks </w:t>
      </w:r>
      <w:r w:rsidR="000E453A">
        <w:rPr>
          <w:lang w:val="en-US"/>
        </w:rPr>
        <w:t>and costs associated</w:t>
      </w:r>
      <w:r w:rsidR="00E24129">
        <w:rPr>
          <w:lang w:val="en-US"/>
        </w:rPr>
        <w:t xml:space="preserve"> </w:t>
      </w:r>
      <w:r w:rsidR="006B1BCB">
        <w:rPr>
          <w:lang w:val="en-US"/>
        </w:rPr>
        <w:t>with a</w:t>
      </w:r>
      <w:r>
        <w:rPr>
          <w:lang w:val="en-US"/>
        </w:rPr>
        <w:t xml:space="preserve"> non-regulatory approach to radio prominence</w:t>
      </w:r>
      <w:r w:rsidR="00E24129">
        <w:rPr>
          <w:lang w:val="en-US"/>
        </w:rPr>
        <w:t xml:space="preserve">. </w:t>
      </w:r>
    </w:p>
    <w:p w14:paraId="0ACDC1D2" w14:textId="6B0683C4" w:rsidR="00D94C43" w:rsidRDefault="00E24129" w:rsidP="006B1BCB">
      <w:pPr>
        <w:pStyle w:val="ListParagraph"/>
        <w:numPr>
          <w:ilvl w:val="0"/>
          <w:numId w:val="78"/>
        </w:numPr>
        <w:ind w:left="357"/>
        <w:contextualSpacing w:val="0"/>
      </w:pPr>
      <w:r>
        <w:rPr>
          <w:lang w:val="en-US"/>
        </w:rPr>
        <w:t xml:space="preserve">Firstly, consumer education campaigns are </w:t>
      </w:r>
      <w:r w:rsidR="00554329">
        <w:rPr>
          <w:lang w:val="en-US"/>
        </w:rPr>
        <w:t>typically more</w:t>
      </w:r>
      <w:r>
        <w:rPr>
          <w:lang w:val="en-US"/>
        </w:rPr>
        <w:t xml:space="preserve"> successful when there is a clear understanding of the ‘knowledge’ the consumer </w:t>
      </w:r>
      <w:proofErr w:type="gramStart"/>
      <w:r>
        <w:rPr>
          <w:lang w:val="en-US"/>
        </w:rPr>
        <w:t>is lacking</w:t>
      </w:r>
      <w:proofErr w:type="gramEnd"/>
      <w:r>
        <w:rPr>
          <w:lang w:val="en-US"/>
        </w:rPr>
        <w:t>. In this case, an education campaign would be most successful if the presumption is</w:t>
      </w:r>
      <w:r>
        <w:t xml:space="preserve"> </w:t>
      </w:r>
      <w:r w:rsidR="00554329">
        <w:t xml:space="preserve">that </w:t>
      </w:r>
      <w:r>
        <w:t xml:space="preserve">failure rates </w:t>
      </w:r>
      <w:r w:rsidR="00554329">
        <w:t>for</w:t>
      </w:r>
      <w:r>
        <w:t xml:space="preserve"> voice commands are in large part attributable to user error</w:t>
      </w:r>
      <w:r w:rsidR="000E453A">
        <w:t>,</w:t>
      </w:r>
      <w:r>
        <w:t xml:space="preserve"> which can be solved by greater user understanding of the technology.</w:t>
      </w:r>
      <w:r w:rsidR="00F116F6">
        <w:t xml:space="preserve"> </w:t>
      </w:r>
      <w:r w:rsidR="00F37199">
        <w:t>To a certain extent</w:t>
      </w:r>
      <w:r w:rsidR="006924E3">
        <w:t>,</w:t>
      </w:r>
      <w:r w:rsidR="00F37199">
        <w:t xml:space="preserve"> various technological and environmental factors </w:t>
      </w:r>
      <w:r w:rsidR="006924E3">
        <w:t>are likely to have an impact on</w:t>
      </w:r>
      <w:r w:rsidR="00F37199">
        <w:t xml:space="preserve"> the </w:t>
      </w:r>
      <w:r w:rsidR="006924E3">
        <w:t>success</w:t>
      </w:r>
      <w:r w:rsidR="00F37199">
        <w:t xml:space="preserve"> of </w:t>
      </w:r>
      <w:r w:rsidR="006924E3">
        <w:t>voice activation requests</w:t>
      </w:r>
      <w:r w:rsidR="00F37199">
        <w:t>, and some of these can be fixed by the user through ‘troubleshooting’.</w:t>
      </w:r>
      <w:r w:rsidR="00F37199">
        <w:rPr>
          <w:rStyle w:val="FootnoteReference"/>
        </w:rPr>
        <w:footnoteReference w:id="58"/>
      </w:r>
      <w:r w:rsidR="00F37199">
        <w:t xml:space="preserve"> </w:t>
      </w:r>
      <w:r w:rsidR="003475D0">
        <w:t xml:space="preserve">However, </w:t>
      </w:r>
      <w:r>
        <w:t xml:space="preserve">failure rates </w:t>
      </w:r>
      <w:r w:rsidR="006924E3">
        <w:t>for</w:t>
      </w:r>
      <w:r>
        <w:t xml:space="preserve"> voice commands </w:t>
      </w:r>
      <w:r w:rsidR="003475D0">
        <w:t xml:space="preserve">are </w:t>
      </w:r>
      <w:r w:rsidR="000E453A">
        <w:t xml:space="preserve">expected to be </w:t>
      </w:r>
      <w:r w:rsidR="006924E3">
        <w:t>driven by</w:t>
      </w:r>
      <w:r>
        <w:t xml:space="preserve"> </w:t>
      </w:r>
      <w:r w:rsidR="003475D0">
        <w:t xml:space="preserve">factors </w:t>
      </w:r>
      <w:r w:rsidR="000E453A">
        <w:t xml:space="preserve">that go </w:t>
      </w:r>
      <w:r w:rsidR="003475D0">
        <w:t>beyond the control of the individual user</w:t>
      </w:r>
      <w:r w:rsidR="000E453A">
        <w:t xml:space="preserve"> or any errors on their part in requesting radio stations. </w:t>
      </w:r>
    </w:p>
    <w:p w14:paraId="5054354D" w14:textId="0F7C713B" w:rsidR="00754554" w:rsidRDefault="00E24129" w:rsidP="006B1BCB">
      <w:pPr>
        <w:pStyle w:val="ListParagraph"/>
        <w:numPr>
          <w:ilvl w:val="0"/>
          <w:numId w:val="78"/>
        </w:numPr>
        <w:ind w:left="357"/>
        <w:contextualSpacing w:val="0"/>
      </w:pPr>
      <w:r>
        <w:t xml:space="preserve">Secondly, </w:t>
      </w:r>
      <w:r>
        <w:rPr>
          <w:lang w:val="en-US"/>
        </w:rPr>
        <w:t xml:space="preserve">providing incentives or financial assistance to industry </w:t>
      </w:r>
      <w:r w:rsidR="000E453A">
        <w:rPr>
          <w:lang w:val="en-US"/>
        </w:rPr>
        <w:t>may exacerbate the a</w:t>
      </w:r>
      <w:r w:rsidR="00D94C43">
        <w:t xml:space="preserve">symmetric </w:t>
      </w:r>
      <w:r>
        <w:t>commercial arrangements between radio broadcasters and voice assistant platforms</w:t>
      </w:r>
      <w:r w:rsidR="009373E3">
        <w:t xml:space="preserve">. As noted previously, </w:t>
      </w:r>
      <w:r w:rsidR="008646CC">
        <w:t xml:space="preserve">this asymmetric relationship is expected to grow over time, and a Commonwealth subsidy may act to cement this relationship by providing a financial incentive and implied permission to voice assistant platforms to charge radio stations for access to the respective platforms.  </w:t>
      </w:r>
    </w:p>
    <w:p w14:paraId="7D9BC0C4" w14:textId="45D17D78" w:rsidR="00176714" w:rsidRDefault="00754554" w:rsidP="00176714">
      <w:pPr>
        <w:pStyle w:val="Heading2Numbered"/>
      </w:pPr>
      <w:bookmarkStart w:id="114" w:name="_Toc236825175"/>
      <w:r>
        <w:lastRenderedPageBreak/>
        <w:t xml:space="preserve">Comparison of </w:t>
      </w:r>
      <w:r w:rsidR="000C36FD">
        <w:t>key</w:t>
      </w:r>
      <w:r>
        <w:t xml:space="preserve"> impacts on stakeholder groups</w:t>
      </w:r>
      <w:bookmarkEnd w:id="114"/>
    </w:p>
    <w:p w14:paraId="574169E5" w14:textId="07D0D0E2" w:rsidR="00C123D0" w:rsidRDefault="00BF7A8E" w:rsidP="00176714">
      <w:r>
        <w:t>The estimated i</w:t>
      </w:r>
      <w:r w:rsidR="001E36C7">
        <w:t>mpacts of the reform options can also be assessed in a semi-</w:t>
      </w:r>
      <w:r w:rsidR="00BD1C1D">
        <w:t>quantitative</w:t>
      </w:r>
      <w:r w:rsidR="001E36C7">
        <w:t xml:space="preserve"> manner as specific metrics for each stakeholder group. </w:t>
      </w:r>
      <w:r w:rsidR="00072317">
        <w:t xml:space="preserve">The following four </w:t>
      </w:r>
      <w:r w:rsidR="00E371AB">
        <w:t>tables</w:t>
      </w:r>
      <w:r>
        <w:t xml:space="preserve"> </w:t>
      </w:r>
      <w:r w:rsidR="008E39E9">
        <w:t xml:space="preserve">use the same </w:t>
      </w:r>
      <w:r w:rsidR="00E371AB">
        <w:t xml:space="preserve">impact scale </w:t>
      </w:r>
      <w:r w:rsidR="008E39E9">
        <w:t xml:space="preserve">described at 4.4, </w:t>
      </w:r>
      <w:r w:rsidR="00E371AB">
        <w:t>measur</w:t>
      </w:r>
      <w:r w:rsidR="008E39E9">
        <w:t>ing</w:t>
      </w:r>
      <w:r w:rsidR="00E371AB">
        <w:t xml:space="preserve"> </w:t>
      </w:r>
      <w:r w:rsidR="008E39E9">
        <w:t>impact</w:t>
      </w:r>
      <w:r w:rsidR="00E371AB">
        <w:t xml:space="preserve"> from high positive (dark green) through to high negative (red). </w:t>
      </w:r>
      <w:r w:rsidR="00085BEB">
        <w:t>As none of the impacts are given more weight compared to other impacts for a stakeholder group, it is the</w:t>
      </w:r>
      <w:r>
        <w:t>n</w:t>
      </w:r>
      <w:r w:rsidR="00085BEB">
        <w:t xml:space="preserve"> possible to </w:t>
      </w:r>
      <w:r>
        <w:t xml:space="preserve">determine </w:t>
      </w:r>
      <w:r w:rsidR="00085BEB">
        <w:t>an average rating for the impact of each option for the specific stakeholder group.</w:t>
      </w:r>
    </w:p>
    <w:p w14:paraId="37122DA3" w14:textId="630B316F" w:rsidR="00176714" w:rsidRDefault="002D6B89" w:rsidP="00176714">
      <w:r>
        <w:t xml:space="preserve">For consumers, </w:t>
      </w:r>
      <w:r w:rsidR="00BF7A8E">
        <w:t xml:space="preserve">expected </w:t>
      </w:r>
      <w:r w:rsidR="00E371AB">
        <w:t xml:space="preserve">impacts </w:t>
      </w:r>
      <w:r w:rsidR="00D9375A">
        <w:t>centre around usability of a device and whether a consumer</w:t>
      </w:r>
      <w:r w:rsidR="00E371AB">
        <w:t xml:space="preserve"> </w:t>
      </w:r>
      <w:r w:rsidR="005266F7">
        <w:t>ha</w:t>
      </w:r>
      <w:r w:rsidR="00E47E78">
        <w:t>s</w:t>
      </w:r>
      <w:r w:rsidR="005266F7">
        <w:t xml:space="preserve"> confidence in using the technology. As discussed in </w:t>
      </w:r>
      <w:r w:rsidR="00E371AB">
        <w:t xml:space="preserve">Table </w:t>
      </w:r>
      <w:r w:rsidR="00CF089C">
        <w:t>10</w:t>
      </w:r>
      <w:r w:rsidR="005266F7">
        <w:t xml:space="preserve">, user confidence in </w:t>
      </w:r>
      <w:r w:rsidR="00E371AB">
        <w:t>access</w:t>
      </w:r>
      <w:r w:rsidR="005266F7">
        <w:t>ing</w:t>
      </w:r>
      <w:r w:rsidR="00E371AB">
        <w:t xml:space="preserve"> radio services on smart speakers, and user access to </w:t>
      </w:r>
      <w:r w:rsidR="0008615C">
        <w:t>three</w:t>
      </w:r>
      <w:r w:rsidR="00E371AB">
        <w:t xml:space="preserve"> different types of radio content</w:t>
      </w:r>
      <w:r w:rsidR="00BF7A8E">
        <w:t>,</w:t>
      </w:r>
      <w:r w:rsidR="005266F7">
        <w:t xml:space="preserve"> are </w:t>
      </w:r>
      <w:r w:rsidR="00BF7A8E">
        <w:t>expected to be the</w:t>
      </w:r>
      <w:r w:rsidR="005266F7">
        <w:t xml:space="preserve"> leading factors in determining a preferrable option</w:t>
      </w:r>
      <w:r w:rsidR="00E371AB">
        <w:t>.</w:t>
      </w:r>
      <w:r w:rsidR="00085BEB">
        <w:t xml:space="preserve"> This method of assessment places Option 2, a legislative framework, as preferable due to a </w:t>
      </w:r>
      <w:r w:rsidR="00BF7A8E">
        <w:t xml:space="preserve">greater </w:t>
      </w:r>
      <w:r w:rsidR="00085BEB">
        <w:t xml:space="preserve">positive impact on consumers </w:t>
      </w:r>
      <w:r w:rsidR="00BF7A8E">
        <w:t xml:space="preserve">compared with </w:t>
      </w:r>
      <w:r w:rsidR="00085BEB">
        <w:t xml:space="preserve">the other non-regulatory options. </w:t>
      </w:r>
    </w:p>
    <w:p w14:paraId="1660DB40" w14:textId="584B79E1" w:rsidR="00176714" w:rsidRDefault="00176714" w:rsidP="00176714">
      <w:pPr>
        <w:pStyle w:val="Caption"/>
      </w:pPr>
      <w:bookmarkStart w:id="115" w:name="_Toc236825674"/>
      <w:r w:rsidRPr="00813BF1">
        <w:t xml:space="preserve">Table </w:t>
      </w:r>
      <w:r w:rsidR="00CF089C">
        <w:t>10</w:t>
      </w:r>
      <w:r w:rsidRPr="00813BF1">
        <w:t xml:space="preserve">: </w:t>
      </w:r>
      <w:r>
        <w:t>Key i</w:t>
      </w:r>
      <w:r w:rsidRPr="00813BF1">
        <w:t xml:space="preserve">mpacts </w:t>
      </w:r>
      <w:r>
        <w:t>on consumers</w:t>
      </w:r>
      <w:bookmarkEnd w:id="115"/>
    </w:p>
    <w:tbl>
      <w:tblPr>
        <w:tblStyle w:val="DefaultTable1"/>
        <w:tblW w:w="9923" w:type="dxa"/>
        <w:tblLayout w:type="fixed"/>
        <w:tblLook w:val="04A0" w:firstRow="1" w:lastRow="0" w:firstColumn="1" w:lastColumn="0" w:noHBand="0" w:noVBand="1"/>
      </w:tblPr>
      <w:tblGrid>
        <w:gridCol w:w="2410"/>
        <w:gridCol w:w="567"/>
        <w:gridCol w:w="567"/>
        <w:gridCol w:w="567"/>
        <w:gridCol w:w="709"/>
        <w:gridCol w:w="5103"/>
      </w:tblGrid>
      <w:tr w:rsidR="00176714" w14:paraId="5A78AD86" w14:textId="77777777" w:rsidTr="00A679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auto"/>
            </w:tcBorders>
          </w:tcPr>
          <w:p w14:paraId="1CC7F1DB" w14:textId="77777777" w:rsidR="00176714" w:rsidRDefault="00176714" w:rsidP="00FF1AF6">
            <w:pPr>
              <w:spacing w:before="40" w:after="40"/>
              <w:jc w:val="right"/>
              <w:rPr>
                <w:b w:val="0"/>
              </w:rPr>
            </w:pPr>
          </w:p>
        </w:tc>
        <w:tc>
          <w:tcPr>
            <w:tcW w:w="2410" w:type="dxa"/>
            <w:gridSpan w:val="4"/>
            <w:tcBorders>
              <w:top w:val="single" w:sz="4" w:space="0" w:color="auto"/>
            </w:tcBorders>
          </w:tcPr>
          <w:p w14:paraId="3D961C9A" w14:textId="77777777" w:rsidR="00176714" w:rsidRDefault="00176714" w:rsidP="00FF1AF6">
            <w:pPr>
              <w:spacing w:before="40" w:after="40"/>
              <w:jc w:val="center"/>
              <w:cnfStyle w:val="100000000000" w:firstRow="1" w:lastRow="0" w:firstColumn="0" w:lastColumn="0" w:oddVBand="0" w:evenVBand="0" w:oddHBand="0" w:evenHBand="0" w:firstRowFirstColumn="0" w:firstRowLastColumn="0" w:lastRowFirstColumn="0" w:lastRowLastColumn="0"/>
            </w:pPr>
            <w:r>
              <w:t>Reform Option</w:t>
            </w:r>
          </w:p>
        </w:tc>
        <w:tc>
          <w:tcPr>
            <w:tcW w:w="5103" w:type="dxa"/>
            <w:tcBorders>
              <w:top w:val="single" w:sz="4" w:space="0" w:color="auto"/>
            </w:tcBorders>
          </w:tcPr>
          <w:p w14:paraId="42D402B5" w14:textId="77777777" w:rsidR="00176714" w:rsidRDefault="00176714" w:rsidP="00FF1AF6">
            <w:pPr>
              <w:spacing w:before="40" w:after="40"/>
              <w:cnfStyle w:val="100000000000" w:firstRow="1" w:lastRow="0" w:firstColumn="0" w:lastColumn="0" w:oddVBand="0" w:evenVBand="0" w:oddHBand="0" w:evenHBand="0" w:firstRowFirstColumn="0" w:firstRowLastColumn="0" w:lastRowFirstColumn="0" w:lastRowLastColumn="0"/>
            </w:pPr>
          </w:p>
        </w:tc>
      </w:tr>
      <w:tr w:rsidR="00176714" w14:paraId="6CBF9266" w14:textId="77777777" w:rsidTr="00A67992">
        <w:tc>
          <w:tcPr>
            <w:cnfStyle w:val="001000000000" w:firstRow="0" w:lastRow="0" w:firstColumn="1" w:lastColumn="0" w:oddVBand="0" w:evenVBand="0" w:oddHBand="0" w:evenHBand="0" w:firstRowFirstColumn="0" w:firstRowLastColumn="0" w:lastRowFirstColumn="0" w:lastRowLastColumn="0"/>
            <w:tcW w:w="2410" w:type="dxa"/>
            <w:tcBorders>
              <w:top w:val="nil"/>
              <w:bottom w:val="single" w:sz="4" w:space="0" w:color="auto"/>
            </w:tcBorders>
            <w:shd w:val="clear" w:color="auto" w:fill="081E3E" w:themeFill="accent1"/>
          </w:tcPr>
          <w:p w14:paraId="62A5CA5D" w14:textId="77777777" w:rsidR="00176714" w:rsidRPr="00B71C12" w:rsidRDefault="00176714" w:rsidP="00FF1AF6">
            <w:pPr>
              <w:spacing w:before="40" w:after="40"/>
              <w:rPr>
                <w:b w:val="0"/>
                <w:color w:val="FFFFFF" w:themeColor="background1"/>
              </w:rPr>
            </w:pPr>
            <w:r w:rsidRPr="004D2DF5">
              <w:rPr>
                <w:color w:val="FFFFFF" w:themeColor="background1"/>
              </w:rPr>
              <w:t>Impact</w:t>
            </w:r>
          </w:p>
        </w:tc>
        <w:tc>
          <w:tcPr>
            <w:tcW w:w="567" w:type="dxa"/>
            <w:tcBorders>
              <w:top w:val="nil"/>
              <w:bottom w:val="single" w:sz="4" w:space="0" w:color="auto"/>
            </w:tcBorders>
            <w:shd w:val="clear" w:color="auto" w:fill="081E3E" w:themeFill="accent1"/>
          </w:tcPr>
          <w:p w14:paraId="0D514614" w14:textId="77777777" w:rsidR="00176714" w:rsidRPr="00B71C12" w:rsidRDefault="00176714" w:rsidP="00FF1AF6">
            <w:pPr>
              <w:spacing w:before="40" w:after="40"/>
              <w:jc w:val="center"/>
              <w:cnfStyle w:val="000000000000" w:firstRow="0" w:lastRow="0" w:firstColumn="0" w:lastColumn="0" w:oddVBand="0" w:evenVBand="0" w:oddHBand="0" w:evenHBand="0" w:firstRowFirstColumn="0" w:firstRowLastColumn="0" w:lastRowFirstColumn="0" w:lastRowLastColumn="0"/>
              <w:rPr>
                <w:b/>
                <w:color w:val="FFFFFF" w:themeColor="background1"/>
              </w:rPr>
            </w:pPr>
            <w:r w:rsidRPr="00B71C12">
              <w:rPr>
                <w:b/>
                <w:color w:val="FFFFFF" w:themeColor="background1"/>
              </w:rPr>
              <w:t>1</w:t>
            </w:r>
          </w:p>
        </w:tc>
        <w:tc>
          <w:tcPr>
            <w:tcW w:w="567" w:type="dxa"/>
            <w:tcBorders>
              <w:top w:val="nil"/>
              <w:bottom w:val="single" w:sz="4" w:space="0" w:color="auto"/>
            </w:tcBorders>
            <w:shd w:val="clear" w:color="auto" w:fill="081E3E" w:themeFill="accent1"/>
          </w:tcPr>
          <w:p w14:paraId="01FA1D26" w14:textId="77777777" w:rsidR="00176714" w:rsidRPr="00B71C12" w:rsidRDefault="00176714" w:rsidP="00FF1AF6">
            <w:pPr>
              <w:spacing w:before="40" w:after="40"/>
              <w:jc w:val="center"/>
              <w:cnfStyle w:val="000000000000" w:firstRow="0" w:lastRow="0" w:firstColumn="0" w:lastColumn="0" w:oddVBand="0" w:evenVBand="0" w:oddHBand="0" w:evenHBand="0" w:firstRowFirstColumn="0" w:firstRowLastColumn="0" w:lastRowFirstColumn="0" w:lastRowLastColumn="0"/>
              <w:rPr>
                <w:b/>
                <w:color w:val="FFFFFF" w:themeColor="background1"/>
              </w:rPr>
            </w:pPr>
            <w:r w:rsidRPr="00B71C12">
              <w:rPr>
                <w:b/>
                <w:color w:val="FFFFFF" w:themeColor="background1"/>
              </w:rPr>
              <w:t>2a</w:t>
            </w:r>
          </w:p>
        </w:tc>
        <w:tc>
          <w:tcPr>
            <w:tcW w:w="567" w:type="dxa"/>
            <w:tcBorders>
              <w:top w:val="nil"/>
              <w:bottom w:val="single" w:sz="4" w:space="0" w:color="auto"/>
            </w:tcBorders>
            <w:shd w:val="clear" w:color="auto" w:fill="081E3E" w:themeFill="accent1"/>
          </w:tcPr>
          <w:p w14:paraId="733CF0E6" w14:textId="77777777" w:rsidR="00176714" w:rsidRPr="00B71C12" w:rsidRDefault="00176714" w:rsidP="00FF1AF6">
            <w:pPr>
              <w:spacing w:before="40" w:after="40"/>
              <w:jc w:val="center"/>
              <w:cnfStyle w:val="000000000000" w:firstRow="0" w:lastRow="0" w:firstColumn="0" w:lastColumn="0" w:oddVBand="0" w:evenVBand="0" w:oddHBand="0" w:evenHBand="0" w:firstRowFirstColumn="0" w:firstRowLastColumn="0" w:lastRowFirstColumn="0" w:lastRowLastColumn="0"/>
              <w:rPr>
                <w:b/>
                <w:color w:val="FFFFFF" w:themeColor="background1"/>
              </w:rPr>
            </w:pPr>
            <w:r w:rsidRPr="00B71C12">
              <w:rPr>
                <w:b/>
                <w:color w:val="FFFFFF" w:themeColor="background1"/>
              </w:rPr>
              <w:t>2b</w:t>
            </w:r>
          </w:p>
        </w:tc>
        <w:tc>
          <w:tcPr>
            <w:tcW w:w="709" w:type="dxa"/>
            <w:tcBorders>
              <w:top w:val="nil"/>
              <w:bottom w:val="single" w:sz="4" w:space="0" w:color="auto"/>
            </w:tcBorders>
            <w:shd w:val="clear" w:color="auto" w:fill="081E3E" w:themeFill="accent1"/>
          </w:tcPr>
          <w:p w14:paraId="03F2AD4F" w14:textId="77777777" w:rsidR="00176714" w:rsidRPr="00B71C12" w:rsidRDefault="00176714" w:rsidP="00FF1AF6">
            <w:pPr>
              <w:spacing w:before="40" w:after="40"/>
              <w:jc w:val="center"/>
              <w:cnfStyle w:val="000000000000" w:firstRow="0" w:lastRow="0" w:firstColumn="0" w:lastColumn="0" w:oddVBand="0" w:evenVBand="0" w:oddHBand="0" w:evenHBand="0" w:firstRowFirstColumn="0" w:firstRowLastColumn="0" w:lastRowFirstColumn="0" w:lastRowLastColumn="0"/>
              <w:rPr>
                <w:b/>
                <w:color w:val="FFFFFF" w:themeColor="background1"/>
              </w:rPr>
            </w:pPr>
            <w:r w:rsidRPr="00B71C12">
              <w:rPr>
                <w:b/>
                <w:color w:val="FFFFFF" w:themeColor="background1"/>
              </w:rPr>
              <w:t>3</w:t>
            </w:r>
          </w:p>
        </w:tc>
        <w:tc>
          <w:tcPr>
            <w:tcW w:w="5103" w:type="dxa"/>
            <w:tcBorders>
              <w:top w:val="nil"/>
              <w:bottom w:val="single" w:sz="4" w:space="0" w:color="auto"/>
            </w:tcBorders>
            <w:shd w:val="clear" w:color="auto" w:fill="081E3E" w:themeFill="accent1"/>
          </w:tcPr>
          <w:p w14:paraId="0FEF5C96" w14:textId="77777777" w:rsidR="00176714" w:rsidRPr="00B71C12" w:rsidRDefault="00176714" w:rsidP="00FF1AF6">
            <w:pPr>
              <w:spacing w:before="40" w:after="40"/>
              <w:cnfStyle w:val="000000000000" w:firstRow="0" w:lastRow="0" w:firstColumn="0" w:lastColumn="0" w:oddVBand="0" w:evenVBand="0" w:oddHBand="0" w:evenHBand="0" w:firstRowFirstColumn="0" w:firstRowLastColumn="0" w:lastRowFirstColumn="0" w:lastRowLastColumn="0"/>
              <w:rPr>
                <w:b/>
                <w:color w:val="FFFFFF" w:themeColor="background1"/>
              </w:rPr>
            </w:pPr>
            <w:r w:rsidRPr="00B71C12">
              <w:rPr>
                <w:b/>
                <w:color w:val="FFFFFF" w:themeColor="background1"/>
              </w:rPr>
              <w:t>Explanation</w:t>
            </w:r>
          </w:p>
        </w:tc>
      </w:tr>
      <w:tr w:rsidR="00176714" w14:paraId="0017C3AE" w14:textId="77777777" w:rsidTr="004F248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auto"/>
            </w:tcBorders>
          </w:tcPr>
          <w:p w14:paraId="0C603DD5" w14:textId="77777777" w:rsidR="00176714" w:rsidRPr="004D2DF5" w:rsidRDefault="00176714" w:rsidP="00FF1AF6">
            <w:pPr>
              <w:spacing w:before="40" w:after="40"/>
              <w:rPr>
                <w:b w:val="0"/>
              </w:rPr>
            </w:pPr>
            <w:r w:rsidRPr="004B12D2">
              <w:rPr>
                <w:b w:val="0"/>
                <w:bCs/>
              </w:rPr>
              <w:t>User confidence in accessing radio services on smart speakers</w:t>
            </w:r>
          </w:p>
        </w:tc>
        <w:tc>
          <w:tcPr>
            <w:tcW w:w="567" w:type="dxa"/>
            <w:tcBorders>
              <w:top w:val="single" w:sz="4" w:space="0" w:color="auto"/>
            </w:tcBorders>
            <w:shd w:val="clear" w:color="auto" w:fill="FFC000"/>
          </w:tcPr>
          <w:p w14:paraId="6330C1B5" w14:textId="525C5F83" w:rsidR="00176714" w:rsidRPr="004F248D" w:rsidRDefault="004F248D" w:rsidP="00E87BC2">
            <w:pPr>
              <w:spacing w:before="40" w:after="40"/>
              <w:cnfStyle w:val="000000010000" w:firstRow="0" w:lastRow="0" w:firstColumn="0" w:lastColumn="0" w:oddVBand="0" w:evenVBand="0" w:oddHBand="0" w:evenHBand="1" w:firstRowFirstColumn="0" w:firstRowLastColumn="0" w:lastRowFirstColumn="0" w:lastRowLastColumn="0"/>
              <w:rPr>
                <w:color w:val="FFC000"/>
              </w:rPr>
            </w:pPr>
            <w:r>
              <w:t>6</w:t>
            </w:r>
          </w:p>
        </w:tc>
        <w:tc>
          <w:tcPr>
            <w:tcW w:w="567" w:type="dxa"/>
            <w:tcBorders>
              <w:top w:val="single" w:sz="4" w:space="0" w:color="auto"/>
            </w:tcBorders>
            <w:shd w:val="clear" w:color="auto" w:fill="D9E5BB" w:themeFill="accent5" w:themeFillTint="99"/>
          </w:tcPr>
          <w:p w14:paraId="608438D5" w14:textId="77777777" w:rsidR="00176714" w:rsidRPr="00E44520" w:rsidRDefault="00176714" w:rsidP="00A67992">
            <w:pPr>
              <w:spacing w:before="40" w:after="40"/>
              <w:jc w:val="center"/>
              <w:cnfStyle w:val="000000010000" w:firstRow="0" w:lastRow="0" w:firstColumn="0" w:lastColumn="0" w:oddVBand="0" w:evenVBand="0" w:oddHBand="0" w:evenHBand="1" w:firstRowFirstColumn="0" w:firstRowLastColumn="0" w:lastRowFirstColumn="0" w:lastRowLastColumn="0"/>
            </w:pPr>
            <w:r>
              <w:t>2</w:t>
            </w:r>
          </w:p>
        </w:tc>
        <w:tc>
          <w:tcPr>
            <w:tcW w:w="567" w:type="dxa"/>
            <w:tcBorders>
              <w:top w:val="single" w:sz="4" w:space="0" w:color="auto"/>
            </w:tcBorders>
            <w:shd w:val="clear" w:color="auto" w:fill="D9E5BB" w:themeFill="accent5" w:themeFillTint="99"/>
          </w:tcPr>
          <w:p w14:paraId="4B853BCA" w14:textId="77777777" w:rsidR="00176714" w:rsidRPr="00E44520" w:rsidRDefault="00176714" w:rsidP="00A67992">
            <w:pPr>
              <w:spacing w:before="40" w:after="40"/>
              <w:jc w:val="center"/>
              <w:cnfStyle w:val="000000010000" w:firstRow="0" w:lastRow="0" w:firstColumn="0" w:lastColumn="0" w:oddVBand="0" w:evenVBand="0" w:oddHBand="0" w:evenHBand="1" w:firstRowFirstColumn="0" w:firstRowLastColumn="0" w:lastRowFirstColumn="0" w:lastRowLastColumn="0"/>
            </w:pPr>
            <w:r>
              <w:t>2</w:t>
            </w:r>
          </w:p>
        </w:tc>
        <w:tc>
          <w:tcPr>
            <w:tcW w:w="709" w:type="dxa"/>
            <w:tcBorders>
              <w:top w:val="single" w:sz="4" w:space="0" w:color="auto"/>
            </w:tcBorders>
            <w:shd w:val="clear" w:color="auto" w:fill="D9E5BB" w:themeFill="accent5" w:themeFillTint="99"/>
          </w:tcPr>
          <w:p w14:paraId="51538A40" w14:textId="265339C4" w:rsidR="00176714" w:rsidRPr="00E44520" w:rsidRDefault="00207A7D" w:rsidP="00A67992">
            <w:pPr>
              <w:spacing w:before="40" w:after="40"/>
              <w:jc w:val="center"/>
              <w:cnfStyle w:val="000000010000" w:firstRow="0" w:lastRow="0" w:firstColumn="0" w:lastColumn="0" w:oddVBand="0" w:evenVBand="0" w:oddHBand="0" w:evenHBand="1" w:firstRowFirstColumn="0" w:firstRowLastColumn="0" w:lastRowFirstColumn="0" w:lastRowLastColumn="0"/>
            </w:pPr>
            <w:r w:rsidRPr="00EC7348">
              <w:t>2</w:t>
            </w:r>
          </w:p>
        </w:tc>
        <w:tc>
          <w:tcPr>
            <w:tcW w:w="5103" w:type="dxa"/>
            <w:tcBorders>
              <w:top w:val="single" w:sz="4" w:space="0" w:color="auto"/>
            </w:tcBorders>
          </w:tcPr>
          <w:p w14:paraId="0CEB993D" w14:textId="1CAD9E52" w:rsidR="00176714" w:rsidRDefault="00176714" w:rsidP="00FF1AF6">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B208A3">
              <w:rPr>
                <w:sz w:val="20"/>
                <w:szCs w:val="20"/>
              </w:rPr>
              <w:t>Option 1 w</w:t>
            </w:r>
            <w:r w:rsidR="00B262FF">
              <w:rPr>
                <w:sz w:val="20"/>
                <w:szCs w:val="20"/>
              </w:rPr>
              <w:t xml:space="preserve">ould maintain the </w:t>
            </w:r>
            <w:r w:rsidR="00AF42EB">
              <w:rPr>
                <w:sz w:val="20"/>
                <w:szCs w:val="20"/>
              </w:rPr>
              <w:t xml:space="preserve">status quo in terms of access to radio services, which has seen inconsistency and inaccuracy in the surfacing of stations (with notable variation </w:t>
            </w:r>
            <w:r w:rsidRPr="00B208A3">
              <w:rPr>
                <w:sz w:val="20"/>
                <w:szCs w:val="20"/>
              </w:rPr>
              <w:t>between voice assistant platforms</w:t>
            </w:r>
            <w:r w:rsidR="00AF42EB">
              <w:rPr>
                <w:sz w:val="20"/>
                <w:szCs w:val="20"/>
              </w:rPr>
              <w:t>)</w:t>
            </w:r>
            <w:r w:rsidRPr="00B208A3">
              <w:rPr>
                <w:sz w:val="20"/>
                <w:szCs w:val="20"/>
              </w:rPr>
              <w:t xml:space="preserve">. </w:t>
            </w:r>
            <w:r w:rsidR="00AF42EB">
              <w:rPr>
                <w:sz w:val="20"/>
                <w:szCs w:val="20"/>
              </w:rPr>
              <w:t>User confidence is expected to be negatively impacted in this situation</w:t>
            </w:r>
            <w:r w:rsidRPr="00B208A3">
              <w:rPr>
                <w:sz w:val="20"/>
                <w:szCs w:val="20"/>
              </w:rPr>
              <w:t xml:space="preserve">. </w:t>
            </w:r>
          </w:p>
          <w:p w14:paraId="4562606C" w14:textId="2DA2CB9B" w:rsidR="00176714" w:rsidRDefault="00176714" w:rsidP="00FF1AF6">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B208A3">
              <w:rPr>
                <w:sz w:val="20"/>
                <w:szCs w:val="20"/>
              </w:rPr>
              <w:t>Options 2a and 2b w</w:t>
            </w:r>
            <w:r w:rsidR="00B262FF">
              <w:rPr>
                <w:sz w:val="20"/>
                <w:szCs w:val="20"/>
              </w:rPr>
              <w:t xml:space="preserve">ould </w:t>
            </w:r>
            <w:r w:rsidR="00207A7D">
              <w:rPr>
                <w:sz w:val="20"/>
                <w:szCs w:val="20"/>
              </w:rPr>
              <w:t>be expected to result in</w:t>
            </w:r>
            <w:r w:rsidRPr="00B208A3">
              <w:rPr>
                <w:sz w:val="20"/>
                <w:szCs w:val="20"/>
              </w:rPr>
              <w:t xml:space="preserve"> an increase in user confidence </w:t>
            </w:r>
            <w:r w:rsidR="00DE0F60">
              <w:rPr>
                <w:sz w:val="20"/>
                <w:szCs w:val="20"/>
              </w:rPr>
              <w:t xml:space="preserve">in </w:t>
            </w:r>
            <w:r w:rsidRPr="00B208A3">
              <w:rPr>
                <w:sz w:val="20"/>
                <w:szCs w:val="20"/>
              </w:rPr>
              <w:t xml:space="preserve">surfacing results </w:t>
            </w:r>
            <w:r w:rsidR="00B262FF">
              <w:rPr>
                <w:sz w:val="20"/>
                <w:szCs w:val="20"/>
              </w:rPr>
              <w:t xml:space="preserve">as a product of the </w:t>
            </w:r>
            <w:r w:rsidRPr="00B208A3">
              <w:rPr>
                <w:sz w:val="20"/>
                <w:szCs w:val="20"/>
              </w:rPr>
              <w:t xml:space="preserve">introduction of a framework. </w:t>
            </w:r>
          </w:p>
          <w:p w14:paraId="6A19EFF7" w14:textId="6C79AE3D" w:rsidR="00176714" w:rsidRPr="00B208A3" w:rsidRDefault="00176714" w:rsidP="00FF1AF6">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 xml:space="preserve">Option 3 </w:t>
            </w:r>
            <w:r w:rsidR="00DE0F60">
              <w:rPr>
                <w:sz w:val="20"/>
                <w:szCs w:val="20"/>
              </w:rPr>
              <w:t xml:space="preserve">may improve user confidence if they benefit from the education campaign and are able to engage more confidently with their devices. </w:t>
            </w:r>
            <w:r w:rsidR="00207A7D">
              <w:rPr>
                <w:sz w:val="20"/>
                <w:szCs w:val="20"/>
              </w:rPr>
              <w:t>I</w:t>
            </w:r>
            <w:r w:rsidR="00DE0F60">
              <w:rPr>
                <w:sz w:val="20"/>
                <w:szCs w:val="20"/>
              </w:rPr>
              <w:t xml:space="preserve">ndustry incentives may also improve confidence if </w:t>
            </w:r>
            <w:r w:rsidR="00207A7D">
              <w:rPr>
                <w:sz w:val="20"/>
                <w:szCs w:val="20"/>
              </w:rPr>
              <w:t>they</w:t>
            </w:r>
            <w:r w:rsidR="00DE0F60">
              <w:rPr>
                <w:sz w:val="20"/>
                <w:szCs w:val="20"/>
              </w:rPr>
              <w:t xml:space="preserve"> resulted in more accurate surfacing of stations over time.  </w:t>
            </w:r>
          </w:p>
        </w:tc>
      </w:tr>
      <w:tr w:rsidR="00176714" w14:paraId="6BCAFD50" w14:textId="77777777" w:rsidTr="00A67992">
        <w:tc>
          <w:tcPr>
            <w:cnfStyle w:val="001000000000" w:firstRow="0" w:lastRow="0" w:firstColumn="1" w:lastColumn="0" w:oddVBand="0" w:evenVBand="0" w:oddHBand="0" w:evenHBand="0" w:firstRowFirstColumn="0" w:firstRowLastColumn="0" w:lastRowFirstColumn="0" w:lastRowLastColumn="0"/>
            <w:tcW w:w="2410" w:type="dxa"/>
          </w:tcPr>
          <w:p w14:paraId="2ABAA1BC" w14:textId="77777777" w:rsidR="00176714" w:rsidRPr="00B71C12" w:rsidRDefault="00176714" w:rsidP="00FF1AF6">
            <w:pPr>
              <w:spacing w:before="40" w:after="40"/>
              <w:rPr>
                <w:b w:val="0"/>
              </w:rPr>
            </w:pPr>
            <w:r w:rsidRPr="00B71C12">
              <w:rPr>
                <w:b w:val="0"/>
              </w:rPr>
              <w:t>User access to radio services’ news and entertainment programs</w:t>
            </w:r>
          </w:p>
        </w:tc>
        <w:tc>
          <w:tcPr>
            <w:tcW w:w="567" w:type="dxa"/>
            <w:shd w:val="clear" w:color="auto" w:fill="FFC000"/>
          </w:tcPr>
          <w:p w14:paraId="54DB73A0" w14:textId="77777777" w:rsidR="00176714" w:rsidRPr="004F248D" w:rsidRDefault="00176714" w:rsidP="00A67992">
            <w:pPr>
              <w:spacing w:before="40" w:after="40"/>
              <w:jc w:val="center"/>
              <w:cnfStyle w:val="000000000000" w:firstRow="0" w:lastRow="0" w:firstColumn="0" w:lastColumn="0" w:oddVBand="0" w:evenVBand="0" w:oddHBand="0" w:evenHBand="0" w:firstRowFirstColumn="0" w:firstRowLastColumn="0" w:lastRowFirstColumn="0" w:lastRowLastColumn="0"/>
              <w:rPr>
                <w:color w:val="FFC000"/>
              </w:rPr>
            </w:pPr>
            <w:r>
              <w:t>6</w:t>
            </w:r>
          </w:p>
        </w:tc>
        <w:tc>
          <w:tcPr>
            <w:tcW w:w="567" w:type="dxa"/>
            <w:shd w:val="clear" w:color="auto" w:fill="D9E5BB" w:themeFill="accent5" w:themeFillTint="99"/>
          </w:tcPr>
          <w:p w14:paraId="01EFAFCC" w14:textId="77777777" w:rsidR="00176714" w:rsidRPr="00E44520" w:rsidRDefault="00176714" w:rsidP="00A67992">
            <w:pPr>
              <w:spacing w:before="40" w:after="40"/>
              <w:jc w:val="center"/>
              <w:cnfStyle w:val="000000000000" w:firstRow="0" w:lastRow="0" w:firstColumn="0" w:lastColumn="0" w:oddVBand="0" w:evenVBand="0" w:oddHBand="0" w:evenHBand="0" w:firstRowFirstColumn="0" w:firstRowLastColumn="0" w:lastRowFirstColumn="0" w:lastRowLastColumn="0"/>
            </w:pPr>
            <w:r>
              <w:t>2</w:t>
            </w:r>
          </w:p>
        </w:tc>
        <w:tc>
          <w:tcPr>
            <w:tcW w:w="567" w:type="dxa"/>
            <w:shd w:val="clear" w:color="auto" w:fill="D9E5BB" w:themeFill="accent5" w:themeFillTint="99"/>
          </w:tcPr>
          <w:p w14:paraId="6337E373" w14:textId="77777777" w:rsidR="00176714" w:rsidRPr="00E44520" w:rsidRDefault="00176714" w:rsidP="00A67992">
            <w:pPr>
              <w:spacing w:before="40" w:after="40"/>
              <w:jc w:val="center"/>
              <w:cnfStyle w:val="000000000000" w:firstRow="0" w:lastRow="0" w:firstColumn="0" w:lastColumn="0" w:oddVBand="0" w:evenVBand="0" w:oddHBand="0" w:evenHBand="0" w:firstRowFirstColumn="0" w:firstRowLastColumn="0" w:lastRowFirstColumn="0" w:lastRowLastColumn="0"/>
            </w:pPr>
            <w:r>
              <w:t>2</w:t>
            </w:r>
          </w:p>
        </w:tc>
        <w:tc>
          <w:tcPr>
            <w:tcW w:w="709" w:type="dxa"/>
            <w:shd w:val="clear" w:color="auto" w:fill="F2F2F2" w:themeFill="background1" w:themeFillShade="F2"/>
          </w:tcPr>
          <w:p w14:paraId="721D9169" w14:textId="77777777" w:rsidR="00176714" w:rsidRPr="00E44520" w:rsidRDefault="00176714" w:rsidP="00A67992">
            <w:pPr>
              <w:spacing w:before="40" w:after="40"/>
              <w:jc w:val="center"/>
              <w:cnfStyle w:val="000000000000" w:firstRow="0" w:lastRow="0" w:firstColumn="0" w:lastColumn="0" w:oddVBand="0" w:evenVBand="0" w:oddHBand="0" w:evenHBand="0" w:firstRowFirstColumn="0" w:firstRowLastColumn="0" w:lastRowFirstColumn="0" w:lastRowLastColumn="0"/>
            </w:pPr>
            <w:r>
              <w:t>4</w:t>
            </w:r>
          </w:p>
        </w:tc>
        <w:tc>
          <w:tcPr>
            <w:tcW w:w="5103" w:type="dxa"/>
          </w:tcPr>
          <w:p w14:paraId="736069CB" w14:textId="7DB59A5B" w:rsidR="00176714" w:rsidRDefault="00176714" w:rsidP="00FF1AF6">
            <w:pPr>
              <w:spacing w:before="40" w:after="40"/>
              <w:cnfStyle w:val="000000000000" w:firstRow="0" w:lastRow="0" w:firstColumn="0" w:lastColumn="0" w:oddVBand="0" w:evenVBand="0" w:oddHBand="0" w:evenHBand="0" w:firstRowFirstColumn="0" w:firstRowLastColumn="0" w:lastRowFirstColumn="0" w:lastRowLastColumn="0"/>
              <w:rPr>
                <w:sz w:val="20"/>
                <w:szCs w:val="20"/>
              </w:rPr>
            </w:pPr>
            <w:r w:rsidRPr="00B208A3">
              <w:rPr>
                <w:sz w:val="20"/>
                <w:szCs w:val="20"/>
              </w:rPr>
              <w:t xml:space="preserve">Option 1 </w:t>
            </w:r>
            <w:r w:rsidR="00DE0F60">
              <w:rPr>
                <w:sz w:val="20"/>
                <w:szCs w:val="20"/>
              </w:rPr>
              <w:t xml:space="preserve">is expected to result in little change to the level of user access to radio services on smart speakers, which has seen inconsistency and inaccuracy in the surfacing of </w:t>
            </w:r>
            <w:r w:rsidR="00207A7D">
              <w:rPr>
                <w:sz w:val="20"/>
                <w:szCs w:val="20"/>
              </w:rPr>
              <w:t xml:space="preserve">radio </w:t>
            </w:r>
            <w:r w:rsidR="00DE0F60">
              <w:rPr>
                <w:sz w:val="20"/>
                <w:szCs w:val="20"/>
              </w:rPr>
              <w:t>stations</w:t>
            </w:r>
            <w:r w:rsidRPr="00B208A3">
              <w:rPr>
                <w:sz w:val="20"/>
                <w:szCs w:val="20"/>
              </w:rPr>
              <w:t xml:space="preserve">. </w:t>
            </w:r>
            <w:r w:rsidR="00DE0F60">
              <w:rPr>
                <w:sz w:val="20"/>
                <w:szCs w:val="20"/>
              </w:rPr>
              <w:t xml:space="preserve">This is expected to have a material, negative impact on consumers. </w:t>
            </w:r>
          </w:p>
          <w:p w14:paraId="54C78C4D" w14:textId="124F9355" w:rsidR="00176714" w:rsidRDefault="00176714" w:rsidP="00FF1AF6">
            <w:pPr>
              <w:spacing w:before="40" w:after="40"/>
              <w:cnfStyle w:val="000000000000" w:firstRow="0" w:lastRow="0" w:firstColumn="0" w:lastColumn="0" w:oddVBand="0" w:evenVBand="0" w:oddHBand="0" w:evenHBand="0" w:firstRowFirstColumn="0" w:firstRowLastColumn="0" w:lastRowFirstColumn="0" w:lastRowLastColumn="0"/>
              <w:rPr>
                <w:sz w:val="20"/>
                <w:szCs w:val="20"/>
              </w:rPr>
            </w:pPr>
            <w:r w:rsidRPr="00B208A3">
              <w:rPr>
                <w:sz w:val="20"/>
                <w:szCs w:val="20"/>
              </w:rPr>
              <w:t>Option</w:t>
            </w:r>
            <w:r w:rsidR="00BD1C1D">
              <w:rPr>
                <w:sz w:val="20"/>
                <w:szCs w:val="20"/>
              </w:rPr>
              <w:t>s</w:t>
            </w:r>
            <w:r w:rsidRPr="00B208A3">
              <w:rPr>
                <w:sz w:val="20"/>
                <w:szCs w:val="20"/>
              </w:rPr>
              <w:t xml:space="preserve"> 2a and 2b </w:t>
            </w:r>
            <w:r w:rsidR="00BD1C1D">
              <w:rPr>
                <w:sz w:val="20"/>
                <w:szCs w:val="20"/>
              </w:rPr>
              <w:t>are</w:t>
            </w:r>
            <w:r w:rsidR="00DE0F60">
              <w:rPr>
                <w:sz w:val="20"/>
                <w:szCs w:val="20"/>
              </w:rPr>
              <w:t xml:space="preserve"> expected to</w:t>
            </w:r>
            <w:r w:rsidRPr="00B208A3">
              <w:rPr>
                <w:sz w:val="20"/>
                <w:szCs w:val="20"/>
              </w:rPr>
              <w:t xml:space="preserve"> improve access to news and entertainment</w:t>
            </w:r>
            <w:r w:rsidR="00DE0F60">
              <w:rPr>
                <w:sz w:val="20"/>
                <w:szCs w:val="20"/>
              </w:rPr>
              <w:t xml:space="preserve"> programs provided via radio services. </w:t>
            </w:r>
            <w:r w:rsidRPr="00B208A3">
              <w:rPr>
                <w:sz w:val="20"/>
                <w:szCs w:val="20"/>
              </w:rPr>
              <w:t xml:space="preserve"> </w:t>
            </w:r>
          </w:p>
          <w:p w14:paraId="065E540C" w14:textId="0AB104ED" w:rsidR="00176714" w:rsidRPr="00B208A3" w:rsidRDefault="00176714" w:rsidP="00FF1AF6">
            <w:pPr>
              <w:spacing w:before="40" w:after="40"/>
              <w:cnfStyle w:val="000000000000" w:firstRow="0" w:lastRow="0" w:firstColumn="0" w:lastColumn="0" w:oddVBand="0" w:evenVBand="0" w:oddHBand="0" w:evenHBand="0" w:firstRowFirstColumn="0" w:firstRowLastColumn="0" w:lastRowFirstColumn="0" w:lastRowLastColumn="0"/>
              <w:rPr>
                <w:sz w:val="20"/>
                <w:szCs w:val="20"/>
              </w:rPr>
            </w:pPr>
            <w:r w:rsidRPr="00B208A3">
              <w:rPr>
                <w:sz w:val="20"/>
                <w:szCs w:val="20"/>
              </w:rPr>
              <w:t xml:space="preserve">Option 3 </w:t>
            </w:r>
            <w:r w:rsidR="00DE0F60">
              <w:rPr>
                <w:sz w:val="20"/>
                <w:szCs w:val="20"/>
              </w:rPr>
              <w:t xml:space="preserve">is expected to </w:t>
            </w:r>
            <w:r w:rsidRPr="00B208A3">
              <w:rPr>
                <w:sz w:val="20"/>
                <w:szCs w:val="20"/>
              </w:rPr>
              <w:t>have a neutral effect as local radio services w</w:t>
            </w:r>
            <w:r w:rsidR="00DE0F60">
              <w:rPr>
                <w:sz w:val="20"/>
                <w:szCs w:val="20"/>
              </w:rPr>
              <w:t>ould</w:t>
            </w:r>
            <w:r w:rsidRPr="00B208A3">
              <w:rPr>
                <w:sz w:val="20"/>
                <w:szCs w:val="20"/>
              </w:rPr>
              <w:t xml:space="preserve"> need to implement bespoke strategies to maintain audiences. </w:t>
            </w:r>
          </w:p>
        </w:tc>
      </w:tr>
      <w:tr w:rsidR="00176714" w14:paraId="3DFA99F3" w14:textId="77777777" w:rsidTr="00B4251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6564E5AA" w14:textId="77777777" w:rsidR="00176714" w:rsidRPr="004B12D2" w:rsidRDefault="00176714" w:rsidP="00FF1AF6">
            <w:pPr>
              <w:spacing w:before="40" w:after="40"/>
              <w:rPr>
                <w:b w:val="0"/>
              </w:rPr>
            </w:pPr>
            <w:r w:rsidRPr="004B12D2">
              <w:rPr>
                <w:b w:val="0"/>
              </w:rPr>
              <w:t>User access to radio services’ emergency information</w:t>
            </w:r>
          </w:p>
        </w:tc>
        <w:tc>
          <w:tcPr>
            <w:tcW w:w="567" w:type="dxa"/>
            <w:shd w:val="clear" w:color="auto" w:fill="FF0000"/>
          </w:tcPr>
          <w:p w14:paraId="6ACB917B" w14:textId="77777777" w:rsidR="00176714" w:rsidRPr="00E44520" w:rsidRDefault="00176714" w:rsidP="00A67992">
            <w:pPr>
              <w:spacing w:before="40" w:after="40"/>
              <w:jc w:val="center"/>
              <w:cnfStyle w:val="000000010000" w:firstRow="0" w:lastRow="0" w:firstColumn="0" w:lastColumn="0" w:oddVBand="0" w:evenVBand="0" w:oddHBand="0" w:evenHBand="1" w:firstRowFirstColumn="0" w:firstRowLastColumn="0" w:lastRowFirstColumn="0" w:lastRowLastColumn="0"/>
            </w:pPr>
            <w:r>
              <w:t>7</w:t>
            </w:r>
          </w:p>
        </w:tc>
        <w:tc>
          <w:tcPr>
            <w:tcW w:w="567" w:type="dxa"/>
            <w:shd w:val="clear" w:color="auto" w:fill="D9E5BB" w:themeFill="accent5" w:themeFillTint="99"/>
          </w:tcPr>
          <w:p w14:paraId="1E991D03" w14:textId="77777777" w:rsidR="00176714" w:rsidRPr="00E44520" w:rsidRDefault="00176714" w:rsidP="00A67992">
            <w:pPr>
              <w:spacing w:before="40" w:after="40"/>
              <w:jc w:val="center"/>
              <w:cnfStyle w:val="000000010000" w:firstRow="0" w:lastRow="0" w:firstColumn="0" w:lastColumn="0" w:oddVBand="0" w:evenVBand="0" w:oddHBand="0" w:evenHBand="1" w:firstRowFirstColumn="0" w:firstRowLastColumn="0" w:lastRowFirstColumn="0" w:lastRowLastColumn="0"/>
            </w:pPr>
            <w:r>
              <w:t>2</w:t>
            </w:r>
          </w:p>
        </w:tc>
        <w:tc>
          <w:tcPr>
            <w:tcW w:w="567" w:type="dxa"/>
            <w:shd w:val="clear" w:color="auto" w:fill="D9E5BB" w:themeFill="accent5" w:themeFillTint="99"/>
          </w:tcPr>
          <w:p w14:paraId="72FAC358" w14:textId="77777777" w:rsidR="00176714" w:rsidRPr="00E44520" w:rsidRDefault="00176714" w:rsidP="00A67992">
            <w:pPr>
              <w:spacing w:before="40" w:after="40"/>
              <w:jc w:val="center"/>
              <w:cnfStyle w:val="000000010000" w:firstRow="0" w:lastRow="0" w:firstColumn="0" w:lastColumn="0" w:oddVBand="0" w:evenVBand="0" w:oddHBand="0" w:evenHBand="1" w:firstRowFirstColumn="0" w:firstRowLastColumn="0" w:lastRowFirstColumn="0" w:lastRowLastColumn="0"/>
            </w:pPr>
            <w:r>
              <w:t>2</w:t>
            </w:r>
          </w:p>
        </w:tc>
        <w:tc>
          <w:tcPr>
            <w:tcW w:w="709" w:type="dxa"/>
          </w:tcPr>
          <w:p w14:paraId="1924FD35" w14:textId="40346A59" w:rsidR="00176714" w:rsidRPr="00E44520" w:rsidRDefault="00207A7D" w:rsidP="00A67992">
            <w:pPr>
              <w:spacing w:before="40" w:after="40"/>
              <w:jc w:val="center"/>
              <w:cnfStyle w:val="000000010000" w:firstRow="0" w:lastRow="0" w:firstColumn="0" w:lastColumn="0" w:oddVBand="0" w:evenVBand="0" w:oddHBand="0" w:evenHBand="1" w:firstRowFirstColumn="0" w:firstRowLastColumn="0" w:lastRowFirstColumn="0" w:lastRowLastColumn="0"/>
            </w:pPr>
            <w:r w:rsidRPr="00EC7348">
              <w:t>4</w:t>
            </w:r>
          </w:p>
        </w:tc>
        <w:tc>
          <w:tcPr>
            <w:tcW w:w="5103" w:type="dxa"/>
          </w:tcPr>
          <w:p w14:paraId="3B12A602" w14:textId="4046C443" w:rsidR="00176714" w:rsidRDefault="00176714" w:rsidP="00FF1AF6">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B208A3">
              <w:rPr>
                <w:sz w:val="20"/>
                <w:szCs w:val="20"/>
              </w:rPr>
              <w:t xml:space="preserve">Option 1 </w:t>
            </w:r>
            <w:r w:rsidR="00BD1C1D">
              <w:rPr>
                <w:sz w:val="20"/>
                <w:szCs w:val="20"/>
              </w:rPr>
              <w:t>is expected to result</w:t>
            </w:r>
            <w:r w:rsidRPr="00B208A3">
              <w:rPr>
                <w:sz w:val="20"/>
                <w:szCs w:val="20"/>
              </w:rPr>
              <w:t xml:space="preserve"> in </w:t>
            </w:r>
            <w:r w:rsidR="00BD1C1D">
              <w:rPr>
                <w:sz w:val="20"/>
                <w:szCs w:val="20"/>
              </w:rPr>
              <w:t xml:space="preserve">little change to the level of </w:t>
            </w:r>
            <w:r w:rsidRPr="00B208A3">
              <w:rPr>
                <w:sz w:val="20"/>
                <w:szCs w:val="20"/>
              </w:rPr>
              <w:t>access to emergency information</w:t>
            </w:r>
            <w:r w:rsidR="0025033E">
              <w:rPr>
                <w:sz w:val="20"/>
                <w:szCs w:val="20"/>
              </w:rPr>
              <w:t>, which in turn would be impacted by inconsistent and unequal response rates to voice requests</w:t>
            </w:r>
            <w:r w:rsidRPr="00B208A3">
              <w:rPr>
                <w:sz w:val="20"/>
                <w:szCs w:val="20"/>
              </w:rPr>
              <w:t xml:space="preserve">. </w:t>
            </w:r>
          </w:p>
          <w:p w14:paraId="557766B4" w14:textId="5930A51D" w:rsidR="00176714" w:rsidRDefault="00176714" w:rsidP="00FF1AF6">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B208A3">
              <w:rPr>
                <w:sz w:val="20"/>
                <w:szCs w:val="20"/>
              </w:rPr>
              <w:t>Option 2a and 2b w</w:t>
            </w:r>
            <w:r w:rsidR="00704CD6">
              <w:rPr>
                <w:sz w:val="20"/>
                <w:szCs w:val="20"/>
              </w:rPr>
              <w:t>ould address these concerns and are likely to result in</w:t>
            </w:r>
            <w:r w:rsidRPr="00B208A3">
              <w:rPr>
                <w:sz w:val="20"/>
                <w:szCs w:val="20"/>
              </w:rPr>
              <w:t xml:space="preserve"> an improvement in access to emergency information. </w:t>
            </w:r>
          </w:p>
          <w:p w14:paraId="60ABE845" w14:textId="696E50E3" w:rsidR="00176714" w:rsidRPr="00B208A3" w:rsidRDefault="00176714" w:rsidP="00FF1AF6">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B208A3">
              <w:rPr>
                <w:sz w:val="20"/>
                <w:szCs w:val="20"/>
              </w:rPr>
              <w:t xml:space="preserve">Option 3 </w:t>
            </w:r>
            <w:r w:rsidR="00207A7D">
              <w:rPr>
                <w:sz w:val="20"/>
                <w:szCs w:val="20"/>
              </w:rPr>
              <w:t xml:space="preserve">is expected to have a neutral effect </w:t>
            </w:r>
            <w:r w:rsidR="00207A7D" w:rsidRPr="00B208A3">
              <w:rPr>
                <w:sz w:val="20"/>
                <w:szCs w:val="20"/>
              </w:rPr>
              <w:t>as local radio services w</w:t>
            </w:r>
            <w:r w:rsidR="00207A7D">
              <w:rPr>
                <w:sz w:val="20"/>
                <w:szCs w:val="20"/>
              </w:rPr>
              <w:t>ould</w:t>
            </w:r>
            <w:r w:rsidR="00207A7D" w:rsidRPr="00B208A3">
              <w:rPr>
                <w:sz w:val="20"/>
                <w:szCs w:val="20"/>
              </w:rPr>
              <w:t xml:space="preserve"> need to implement bespoke strategies to maintain audiences.</w:t>
            </w:r>
            <w:r w:rsidRPr="00B208A3">
              <w:rPr>
                <w:sz w:val="20"/>
                <w:szCs w:val="20"/>
              </w:rPr>
              <w:t xml:space="preserve"> </w:t>
            </w:r>
          </w:p>
        </w:tc>
      </w:tr>
      <w:tr w:rsidR="00176714" w14:paraId="53600F44" w14:textId="77777777" w:rsidTr="00B4251C">
        <w:tc>
          <w:tcPr>
            <w:cnfStyle w:val="001000000000" w:firstRow="0" w:lastRow="0" w:firstColumn="1" w:lastColumn="0" w:oddVBand="0" w:evenVBand="0" w:oddHBand="0" w:evenHBand="0" w:firstRowFirstColumn="0" w:firstRowLastColumn="0" w:lastRowFirstColumn="0" w:lastRowLastColumn="0"/>
            <w:tcW w:w="2410" w:type="dxa"/>
          </w:tcPr>
          <w:p w14:paraId="51F0D4EB" w14:textId="77777777" w:rsidR="00176714" w:rsidRPr="00B71C12" w:rsidRDefault="00176714" w:rsidP="00FF1AF6">
            <w:pPr>
              <w:spacing w:before="40" w:after="40"/>
              <w:rPr>
                <w:b w:val="0"/>
              </w:rPr>
            </w:pPr>
            <w:r w:rsidRPr="00B71C12">
              <w:rPr>
                <w:b w:val="0"/>
              </w:rPr>
              <w:t>User access to radio services’ local news and community information</w:t>
            </w:r>
          </w:p>
        </w:tc>
        <w:tc>
          <w:tcPr>
            <w:tcW w:w="567" w:type="dxa"/>
            <w:shd w:val="clear" w:color="auto" w:fill="FF0000"/>
          </w:tcPr>
          <w:p w14:paraId="1F252CD1" w14:textId="163069CF" w:rsidR="00176714" w:rsidRPr="00E44520" w:rsidRDefault="00307A46" w:rsidP="00A67992">
            <w:pPr>
              <w:spacing w:before="40" w:after="40"/>
              <w:jc w:val="center"/>
              <w:cnfStyle w:val="000000000000" w:firstRow="0" w:lastRow="0" w:firstColumn="0" w:lastColumn="0" w:oddVBand="0" w:evenVBand="0" w:oddHBand="0" w:evenHBand="0" w:firstRowFirstColumn="0" w:firstRowLastColumn="0" w:lastRowFirstColumn="0" w:lastRowLastColumn="0"/>
            </w:pPr>
            <w:r>
              <w:t>7</w:t>
            </w:r>
          </w:p>
        </w:tc>
        <w:tc>
          <w:tcPr>
            <w:tcW w:w="567" w:type="dxa"/>
            <w:shd w:val="clear" w:color="auto" w:fill="D9E5BB" w:themeFill="accent5" w:themeFillTint="99"/>
          </w:tcPr>
          <w:p w14:paraId="7035018C" w14:textId="77777777" w:rsidR="00176714" w:rsidRPr="00E44520" w:rsidRDefault="00176714" w:rsidP="00A67992">
            <w:pPr>
              <w:spacing w:before="40" w:after="40"/>
              <w:jc w:val="center"/>
              <w:cnfStyle w:val="000000000000" w:firstRow="0" w:lastRow="0" w:firstColumn="0" w:lastColumn="0" w:oddVBand="0" w:evenVBand="0" w:oddHBand="0" w:evenHBand="0" w:firstRowFirstColumn="0" w:firstRowLastColumn="0" w:lastRowFirstColumn="0" w:lastRowLastColumn="0"/>
            </w:pPr>
            <w:r>
              <w:t>2</w:t>
            </w:r>
          </w:p>
        </w:tc>
        <w:tc>
          <w:tcPr>
            <w:tcW w:w="567" w:type="dxa"/>
            <w:shd w:val="clear" w:color="auto" w:fill="D9E5BB" w:themeFill="accent5" w:themeFillTint="99"/>
          </w:tcPr>
          <w:p w14:paraId="3C895DD5" w14:textId="77777777" w:rsidR="00176714" w:rsidRPr="00E44520" w:rsidRDefault="00176714" w:rsidP="00A67992">
            <w:pPr>
              <w:spacing w:before="40" w:after="40"/>
              <w:jc w:val="center"/>
              <w:cnfStyle w:val="000000000000" w:firstRow="0" w:lastRow="0" w:firstColumn="0" w:lastColumn="0" w:oddVBand="0" w:evenVBand="0" w:oddHBand="0" w:evenHBand="0" w:firstRowFirstColumn="0" w:firstRowLastColumn="0" w:lastRowFirstColumn="0" w:lastRowLastColumn="0"/>
            </w:pPr>
            <w:r>
              <w:t>2</w:t>
            </w:r>
          </w:p>
        </w:tc>
        <w:tc>
          <w:tcPr>
            <w:tcW w:w="709" w:type="dxa"/>
            <w:shd w:val="clear" w:color="auto" w:fill="F2F2F2" w:themeFill="background1" w:themeFillShade="F2"/>
          </w:tcPr>
          <w:p w14:paraId="7CE18586" w14:textId="41C5AC61" w:rsidR="00176714" w:rsidRPr="00E44520" w:rsidRDefault="00207A7D" w:rsidP="00A67992">
            <w:pPr>
              <w:spacing w:before="40" w:after="40"/>
              <w:jc w:val="center"/>
              <w:cnfStyle w:val="000000000000" w:firstRow="0" w:lastRow="0" w:firstColumn="0" w:lastColumn="0" w:oddVBand="0" w:evenVBand="0" w:oddHBand="0" w:evenHBand="0" w:firstRowFirstColumn="0" w:firstRowLastColumn="0" w:lastRowFirstColumn="0" w:lastRowLastColumn="0"/>
            </w:pPr>
            <w:r w:rsidRPr="00EC7348">
              <w:t>4</w:t>
            </w:r>
          </w:p>
        </w:tc>
        <w:tc>
          <w:tcPr>
            <w:tcW w:w="5103" w:type="dxa"/>
          </w:tcPr>
          <w:p w14:paraId="72CC5B04" w14:textId="7DFC11B5" w:rsidR="00176714" w:rsidRDefault="00176714" w:rsidP="00FF1AF6">
            <w:pPr>
              <w:spacing w:before="40" w:after="40"/>
              <w:cnfStyle w:val="000000000000" w:firstRow="0" w:lastRow="0" w:firstColumn="0" w:lastColumn="0" w:oddVBand="0" w:evenVBand="0" w:oddHBand="0" w:evenHBand="0" w:firstRowFirstColumn="0" w:firstRowLastColumn="0" w:lastRowFirstColumn="0" w:lastRowLastColumn="0"/>
              <w:rPr>
                <w:sz w:val="20"/>
                <w:szCs w:val="20"/>
              </w:rPr>
            </w:pPr>
            <w:r w:rsidRPr="00B208A3">
              <w:rPr>
                <w:sz w:val="20"/>
                <w:szCs w:val="20"/>
              </w:rPr>
              <w:t>The status quo option (option 1) w</w:t>
            </w:r>
            <w:r w:rsidR="00207A7D">
              <w:rPr>
                <w:sz w:val="20"/>
                <w:szCs w:val="20"/>
              </w:rPr>
              <w:t>ould</w:t>
            </w:r>
            <w:r w:rsidRPr="00B208A3">
              <w:rPr>
                <w:sz w:val="20"/>
                <w:szCs w:val="20"/>
              </w:rPr>
              <w:t xml:space="preserve"> </w:t>
            </w:r>
            <w:r w:rsidR="00207A7D">
              <w:rPr>
                <w:sz w:val="20"/>
                <w:szCs w:val="20"/>
              </w:rPr>
              <w:t>do little to address</w:t>
            </w:r>
            <w:r w:rsidRPr="00B208A3">
              <w:rPr>
                <w:sz w:val="20"/>
                <w:szCs w:val="20"/>
              </w:rPr>
              <w:t xml:space="preserve"> inconsistent and unequal response rates, especially for smaller or CALD communities, resulting in </w:t>
            </w:r>
            <w:r w:rsidR="00207A7D">
              <w:rPr>
                <w:sz w:val="20"/>
                <w:szCs w:val="20"/>
              </w:rPr>
              <w:t>suboptimal</w:t>
            </w:r>
            <w:r w:rsidRPr="00B208A3">
              <w:rPr>
                <w:sz w:val="20"/>
                <w:szCs w:val="20"/>
              </w:rPr>
              <w:t xml:space="preserve"> access to local information. </w:t>
            </w:r>
          </w:p>
          <w:p w14:paraId="24CC93AD" w14:textId="28C0CD17" w:rsidR="00176714" w:rsidRDefault="00176714" w:rsidP="00FF1AF6">
            <w:pPr>
              <w:spacing w:before="40" w:after="40"/>
              <w:cnfStyle w:val="000000000000" w:firstRow="0" w:lastRow="0" w:firstColumn="0" w:lastColumn="0" w:oddVBand="0" w:evenVBand="0" w:oddHBand="0" w:evenHBand="0" w:firstRowFirstColumn="0" w:firstRowLastColumn="0" w:lastRowFirstColumn="0" w:lastRowLastColumn="0"/>
              <w:rPr>
                <w:sz w:val="20"/>
                <w:szCs w:val="20"/>
              </w:rPr>
            </w:pPr>
            <w:r w:rsidRPr="00B208A3">
              <w:rPr>
                <w:sz w:val="20"/>
                <w:szCs w:val="20"/>
              </w:rPr>
              <w:lastRenderedPageBreak/>
              <w:t>Options 2a and 2b w</w:t>
            </w:r>
            <w:r w:rsidR="00207A7D">
              <w:rPr>
                <w:sz w:val="20"/>
                <w:szCs w:val="20"/>
              </w:rPr>
              <w:t>ould be expected to result in</w:t>
            </w:r>
            <w:r w:rsidRPr="00B208A3">
              <w:rPr>
                <w:sz w:val="20"/>
                <w:szCs w:val="20"/>
              </w:rPr>
              <w:t xml:space="preserve"> an increase in consumer access as surfacing </w:t>
            </w:r>
            <w:r w:rsidR="00207A7D">
              <w:rPr>
                <w:sz w:val="20"/>
                <w:szCs w:val="20"/>
              </w:rPr>
              <w:t xml:space="preserve">accuracy </w:t>
            </w:r>
            <w:r w:rsidRPr="00B208A3">
              <w:rPr>
                <w:sz w:val="20"/>
                <w:szCs w:val="20"/>
              </w:rPr>
              <w:t xml:space="preserve">rates improve with the introduction of a framework. </w:t>
            </w:r>
          </w:p>
          <w:p w14:paraId="574A2AFD" w14:textId="01CFA15B" w:rsidR="00176714" w:rsidRPr="00B208A3" w:rsidRDefault="00207A7D" w:rsidP="00FF1AF6">
            <w:pPr>
              <w:spacing w:before="40" w:after="4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Option 3 is expected to have little material impact either way on access to local news and information.</w:t>
            </w:r>
          </w:p>
        </w:tc>
      </w:tr>
      <w:tr w:rsidR="00176714" w14:paraId="32A9FF98" w14:textId="77777777" w:rsidTr="001E37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auto"/>
              <w:bottom w:val="single" w:sz="4" w:space="0" w:color="auto"/>
            </w:tcBorders>
          </w:tcPr>
          <w:p w14:paraId="27367800" w14:textId="77777777" w:rsidR="00176714" w:rsidRDefault="00176714" w:rsidP="00FF1AF6">
            <w:pPr>
              <w:spacing w:before="40" w:after="40"/>
            </w:pPr>
            <w:r>
              <w:lastRenderedPageBreak/>
              <w:t>Average</w:t>
            </w:r>
          </w:p>
        </w:tc>
        <w:tc>
          <w:tcPr>
            <w:tcW w:w="567" w:type="dxa"/>
            <w:tcBorders>
              <w:top w:val="single" w:sz="4" w:space="0" w:color="auto"/>
              <w:bottom w:val="single" w:sz="4" w:space="0" w:color="auto"/>
            </w:tcBorders>
            <w:shd w:val="clear" w:color="auto" w:fill="FFC000"/>
          </w:tcPr>
          <w:p w14:paraId="6FA658BC" w14:textId="1FE7D92E" w:rsidR="00176714" w:rsidRPr="00C7658E" w:rsidRDefault="00056577" w:rsidP="00A67992">
            <w:pPr>
              <w:spacing w:before="40" w:after="40"/>
              <w:jc w:val="center"/>
              <w:cnfStyle w:val="000000010000" w:firstRow="0" w:lastRow="0" w:firstColumn="0" w:lastColumn="0" w:oddVBand="0" w:evenVBand="0" w:oddHBand="0" w:evenHBand="1" w:firstRowFirstColumn="0" w:firstRowLastColumn="0" w:lastRowFirstColumn="0" w:lastRowLastColumn="0"/>
              <w:rPr>
                <w:b/>
                <w:bCs/>
              </w:rPr>
            </w:pPr>
            <w:r>
              <w:rPr>
                <w:b/>
                <w:bCs/>
              </w:rPr>
              <w:t>6.5</w:t>
            </w:r>
          </w:p>
        </w:tc>
        <w:tc>
          <w:tcPr>
            <w:tcW w:w="567" w:type="dxa"/>
            <w:tcBorders>
              <w:top w:val="single" w:sz="4" w:space="0" w:color="auto"/>
              <w:bottom w:val="single" w:sz="4" w:space="0" w:color="auto"/>
            </w:tcBorders>
            <w:shd w:val="clear" w:color="auto" w:fill="D9E5BB" w:themeFill="accent5" w:themeFillTint="99"/>
          </w:tcPr>
          <w:p w14:paraId="5BA7221A" w14:textId="77777777" w:rsidR="00176714" w:rsidRPr="00C7658E" w:rsidRDefault="00176714" w:rsidP="00A67992">
            <w:pPr>
              <w:spacing w:before="40" w:after="40"/>
              <w:jc w:val="center"/>
              <w:cnfStyle w:val="000000010000" w:firstRow="0" w:lastRow="0" w:firstColumn="0" w:lastColumn="0" w:oddVBand="0" w:evenVBand="0" w:oddHBand="0" w:evenHBand="1" w:firstRowFirstColumn="0" w:firstRowLastColumn="0" w:lastRowFirstColumn="0" w:lastRowLastColumn="0"/>
              <w:rPr>
                <w:b/>
                <w:bCs/>
              </w:rPr>
            </w:pPr>
            <w:r w:rsidRPr="00C7658E">
              <w:rPr>
                <w:b/>
                <w:bCs/>
              </w:rPr>
              <w:t>2</w:t>
            </w:r>
          </w:p>
        </w:tc>
        <w:tc>
          <w:tcPr>
            <w:tcW w:w="567" w:type="dxa"/>
            <w:tcBorders>
              <w:top w:val="single" w:sz="4" w:space="0" w:color="auto"/>
              <w:bottom w:val="single" w:sz="4" w:space="0" w:color="auto"/>
            </w:tcBorders>
            <w:shd w:val="clear" w:color="auto" w:fill="D9E5BB" w:themeFill="accent5" w:themeFillTint="99"/>
          </w:tcPr>
          <w:p w14:paraId="35D41863" w14:textId="77777777" w:rsidR="00176714" w:rsidRPr="00C7658E" w:rsidRDefault="00176714" w:rsidP="00A67992">
            <w:pPr>
              <w:spacing w:before="40" w:after="40"/>
              <w:jc w:val="center"/>
              <w:cnfStyle w:val="000000010000" w:firstRow="0" w:lastRow="0" w:firstColumn="0" w:lastColumn="0" w:oddVBand="0" w:evenVBand="0" w:oddHBand="0" w:evenHBand="1" w:firstRowFirstColumn="0" w:firstRowLastColumn="0" w:lastRowFirstColumn="0" w:lastRowLastColumn="0"/>
              <w:rPr>
                <w:b/>
                <w:bCs/>
              </w:rPr>
            </w:pPr>
            <w:r w:rsidRPr="00C7658E">
              <w:rPr>
                <w:b/>
                <w:bCs/>
              </w:rPr>
              <w:t>2</w:t>
            </w:r>
          </w:p>
        </w:tc>
        <w:tc>
          <w:tcPr>
            <w:tcW w:w="709" w:type="dxa"/>
            <w:tcBorders>
              <w:top w:val="single" w:sz="4" w:space="0" w:color="auto"/>
              <w:bottom w:val="single" w:sz="4" w:space="0" w:color="auto"/>
            </w:tcBorders>
          </w:tcPr>
          <w:p w14:paraId="24B858BF" w14:textId="12CDAFA3" w:rsidR="00176714" w:rsidRPr="00C7658E" w:rsidRDefault="00207A7D" w:rsidP="00A67992">
            <w:pPr>
              <w:spacing w:before="40" w:after="40"/>
              <w:jc w:val="center"/>
              <w:cnfStyle w:val="000000010000" w:firstRow="0" w:lastRow="0" w:firstColumn="0" w:lastColumn="0" w:oddVBand="0" w:evenVBand="0" w:oddHBand="0" w:evenHBand="1" w:firstRowFirstColumn="0" w:firstRowLastColumn="0" w:lastRowFirstColumn="0" w:lastRowLastColumn="0"/>
              <w:rPr>
                <w:b/>
                <w:bCs/>
              </w:rPr>
            </w:pPr>
            <w:r w:rsidRPr="00EC7348">
              <w:rPr>
                <w:b/>
              </w:rPr>
              <w:t>4</w:t>
            </w:r>
          </w:p>
        </w:tc>
        <w:tc>
          <w:tcPr>
            <w:tcW w:w="5103" w:type="dxa"/>
            <w:tcBorders>
              <w:top w:val="single" w:sz="4" w:space="0" w:color="auto"/>
              <w:bottom w:val="single" w:sz="4" w:space="0" w:color="auto"/>
            </w:tcBorders>
          </w:tcPr>
          <w:p w14:paraId="4F315580" w14:textId="77777777" w:rsidR="00176714" w:rsidRPr="00E44520" w:rsidRDefault="00176714" w:rsidP="00FF1AF6">
            <w:pPr>
              <w:spacing w:before="40" w:after="40"/>
              <w:cnfStyle w:val="000000010000" w:firstRow="0" w:lastRow="0" w:firstColumn="0" w:lastColumn="0" w:oddVBand="0" w:evenVBand="0" w:oddHBand="0" w:evenHBand="1" w:firstRowFirstColumn="0" w:firstRowLastColumn="0" w:lastRowFirstColumn="0" w:lastRowLastColumn="0"/>
            </w:pPr>
          </w:p>
        </w:tc>
      </w:tr>
    </w:tbl>
    <w:p w14:paraId="2DBDE020" w14:textId="10131620" w:rsidR="00176714" w:rsidRDefault="00413284" w:rsidP="00176714">
      <w:r>
        <w:t>For Australian radio services</w:t>
      </w:r>
      <w:r w:rsidDel="00D244A7">
        <w:t>,</w:t>
      </w:r>
      <w:r w:rsidR="00D244A7">
        <w:t xml:space="preserve"> key impacts centre around </w:t>
      </w:r>
      <w:r w:rsidR="00271EDE">
        <w:t>attracting and maintaining audiences on smart speakers</w:t>
      </w:r>
      <w:r w:rsidR="00D244A7">
        <w:t xml:space="preserve">. As discussed in Table </w:t>
      </w:r>
      <w:r w:rsidR="00552638">
        <w:t>1</w:t>
      </w:r>
      <w:r w:rsidR="00CF089C">
        <w:t>1</w:t>
      </w:r>
      <w:r w:rsidR="00D244A7">
        <w:t xml:space="preserve">, </w:t>
      </w:r>
      <w:r w:rsidR="00271EDE">
        <w:t xml:space="preserve">successful surfacing of radio content, financial arrangements with </w:t>
      </w:r>
      <w:r w:rsidR="00A55398">
        <w:t>providers of voice assistant software</w:t>
      </w:r>
      <w:r w:rsidR="00207A7D">
        <w:t>,</w:t>
      </w:r>
      <w:r w:rsidR="00271EDE">
        <w:t xml:space="preserve"> and reaching online audiences</w:t>
      </w:r>
      <w:r w:rsidR="00207A7D">
        <w:t>,</w:t>
      </w:r>
      <w:r w:rsidR="00271EDE">
        <w:t xml:space="preserve"> </w:t>
      </w:r>
      <w:r w:rsidR="00D244A7">
        <w:t>are leading factors in determining a preferrable option. This method of assessment places Option 2, a legislative framework, as preferable due to a high</w:t>
      </w:r>
      <w:r w:rsidR="00A55398">
        <w:t>ly</w:t>
      </w:r>
      <w:r w:rsidR="00D244A7">
        <w:t xml:space="preserve"> positive impact on </w:t>
      </w:r>
      <w:r w:rsidR="00271EDE">
        <w:t>radio services</w:t>
      </w:r>
      <w:r w:rsidR="00D244A7">
        <w:t xml:space="preserve"> than the other non-regulatory options</w:t>
      </w:r>
      <w:r w:rsidR="00271EDE">
        <w:t>.</w:t>
      </w:r>
    </w:p>
    <w:p w14:paraId="47090F27" w14:textId="2E73E476" w:rsidR="00176714" w:rsidRDefault="00176714" w:rsidP="00176714">
      <w:pPr>
        <w:pStyle w:val="Caption"/>
      </w:pPr>
      <w:bookmarkStart w:id="116" w:name="_Toc236825675"/>
      <w:r w:rsidRPr="00813BF1">
        <w:t xml:space="preserve">Table </w:t>
      </w:r>
      <w:r>
        <w:t>1</w:t>
      </w:r>
      <w:r w:rsidR="00CF089C">
        <w:t>1</w:t>
      </w:r>
      <w:r w:rsidRPr="00813BF1">
        <w:t xml:space="preserve">: </w:t>
      </w:r>
      <w:r>
        <w:t>Key i</w:t>
      </w:r>
      <w:r w:rsidRPr="00813BF1">
        <w:t xml:space="preserve">mpacts </w:t>
      </w:r>
      <w:r>
        <w:t>on Australian radio services</w:t>
      </w:r>
      <w:bookmarkEnd w:id="116"/>
    </w:p>
    <w:tbl>
      <w:tblPr>
        <w:tblStyle w:val="DefaultTable1"/>
        <w:tblW w:w="9923" w:type="dxa"/>
        <w:tblLayout w:type="fixed"/>
        <w:tblLook w:val="04A0" w:firstRow="1" w:lastRow="0" w:firstColumn="1" w:lastColumn="0" w:noHBand="0" w:noVBand="1"/>
      </w:tblPr>
      <w:tblGrid>
        <w:gridCol w:w="2410"/>
        <w:gridCol w:w="567"/>
        <w:gridCol w:w="567"/>
        <w:gridCol w:w="567"/>
        <w:gridCol w:w="709"/>
        <w:gridCol w:w="5103"/>
      </w:tblGrid>
      <w:tr w:rsidR="00176714" w14:paraId="14143071" w14:textId="77777777" w:rsidTr="00E22D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auto"/>
            </w:tcBorders>
          </w:tcPr>
          <w:p w14:paraId="41973531" w14:textId="77777777" w:rsidR="00176714" w:rsidRPr="00480EAD" w:rsidRDefault="00176714" w:rsidP="00FF1AF6">
            <w:pPr>
              <w:spacing w:before="40" w:after="40"/>
            </w:pPr>
          </w:p>
        </w:tc>
        <w:tc>
          <w:tcPr>
            <w:tcW w:w="2410" w:type="dxa"/>
            <w:gridSpan w:val="4"/>
            <w:tcBorders>
              <w:top w:val="single" w:sz="4" w:space="0" w:color="auto"/>
            </w:tcBorders>
          </w:tcPr>
          <w:p w14:paraId="60E07376" w14:textId="77777777" w:rsidR="00176714" w:rsidRDefault="00176714" w:rsidP="00FF1AF6">
            <w:pPr>
              <w:spacing w:before="40" w:after="40"/>
              <w:jc w:val="center"/>
              <w:cnfStyle w:val="100000000000" w:firstRow="1" w:lastRow="0" w:firstColumn="0" w:lastColumn="0" w:oddVBand="0" w:evenVBand="0" w:oddHBand="0" w:evenHBand="0" w:firstRowFirstColumn="0" w:firstRowLastColumn="0" w:lastRowFirstColumn="0" w:lastRowLastColumn="0"/>
              <w:rPr>
                <w:b w:val="0"/>
              </w:rPr>
            </w:pPr>
            <w:r>
              <w:t>Reform Option</w:t>
            </w:r>
          </w:p>
        </w:tc>
        <w:tc>
          <w:tcPr>
            <w:tcW w:w="5103" w:type="dxa"/>
            <w:tcBorders>
              <w:top w:val="single" w:sz="4" w:space="0" w:color="auto"/>
            </w:tcBorders>
          </w:tcPr>
          <w:p w14:paraId="1DBA6DD4" w14:textId="77777777" w:rsidR="00176714" w:rsidRDefault="00176714" w:rsidP="00FF1AF6">
            <w:pPr>
              <w:spacing w:before="40" w:after="40"/>
              <w:cnfStyle w:val="100000000000" w:firstRow="1" w:lastRow="0" w:firstColumn="0" w:lastColumn="0" w:oddVBand="0" w:evenVBand="0" w:oddHBand="0" w:evenHBand="0" w:firstRowFirstColumn="0" w:firstRowLastColumn="0" w:lastRowFirstColumn="0" w:lastRowLastColumn="0"/>
            </w:pPr>
          </w:p>
        </w:tc>
      </w:tr>
      <w:tr w:rsidR="00176714" w14:paraId="364577FC" w14:textId="77777777" w:rsidTr="00E22D17">
        <w:tc>
          <w:tcPr>
            <w:cnfStyle w:val="001000000000" w:firstRow="0" w:lastRow="0" w:firstColumn="1" w:lastColumn="0" w:oddVBand="0" w:evenVBand="0" w:oddHBand="0" w:evenHBand="0" w:firstRowFirstColumn="0" w:firstRowLastColumn="0" w:lastRowFirstColumn="0" w:lastRowLastColumn="0"/>
            <w:tcW w:w="2410" w:type="dxa"/>
            <w:tcBorders>
              <w:top w:val="nil"/>
              <w:bottom w:val="single" w:sz="4" w:space="0" w:color="auto"/>
            </w:tcBorders>
            <w:shd w:val="clear" w:color="auto" w:fill="081E3E" w:themeFill="accent1"/>
          </w:tcPr>
          <w:p w14:paraId="65930B08" w14:textId="77777777" w:rsidR="00176714" w:rsidRPr="00F024AE" w:rsidRDefault="00176714" w:rsidP="00FF1AF6">
            <w:pPr>
              <w:spacing w:before="40" w:after="40"/>
              <w:rPr>
                <w:color w:val="FFFFFF" w:themeColor="background1"/>
              </w:rPr>
            </w:pPr>
            <w:r w:rsidRPr="00F024AE">
              <w:rPr>
                <w:color w:val="FFFFFF" w:themeColor="background1"/>
              </w:rPr>
              <w:t>Impact</w:t>
            </w:r>
          </w:p>
        </w:tc>
        <w:tc>
          <w:tcPr>
            <w:tcW w:w="567" w:type="dxa"/>
            <w:tcBorders>
              <w:top w:val="nil"/>
              <w:bottom w:val="single" w:sz="4" w:space="0" w:color="auto"/>
            </w:tcBorders>
            <w:shd w:val="clear" w:color="auto" w:fill="081E3E" w:themeFill="accent1"/>
          </w:tcPr>
          <w:p w14:paraId="551B23A5" w14:textId="77777777" w:rsidR="00176714" w:rsidRPr="00F024AE" w:rsidRDefault="00176714" w:rsidP="00E22D17">
            <w:pPr>
              <w:spacing w:before="40" w:after="40"/>
              <w:jc w:val="center"/>
              <w:cnfStyle w:val="000000000000" w:firstRow="0" w:lastRow="0" w:firstColumn="0" w:lastColumn="0" w:oddVBand="0" w:evenVBand="0" w:oddHBand="0" w:evenHBand="0" w:firstRowFirstColumn="0" w:firstRowLastColumn="0" w:lastRowFirstColumn="0" w:lastRowLastColumn="0"/>
              <w:rPr>
                <w:b/>
                <w:color w:val="FFFFFF" w:themeColor="background1"/>
              </w:rPr>
            </w:pPr>
            <w:r w:rsidRPr="00F024AE">
              <w:rPr>
                <w:b/>
                <w:color w:val="FFFFFF" w:themeColor="background1"/>
              </w:rPr>
              <w:t>1</w:t>
            </w:r>
          </w:p>
        </w:tc>
        <w:tc>
          <w:tcPr>
            <w:tcW w:w="567" w:type="dxa"/>
            <w:tcBorders>
              <w:top w:val="nil"/>
              <w:bottom w:val="single" w:sz="4" w:space="0" w:color="auto"/>
            </w:tcBorders>
            <w:shd w:val="clear" w:color="auto" w:fill="081E3E" w:themeFill="accent1"/>
          </w:tcPr>
          <w:p w14:paraId="0D3366CF" w14:textId="77777777" w:rsidR="00176714" w:rsidRPr="00F024AE" w:rsidRDefault="00176714" w:rsidP="00E22D17">
            <w:pPr>
              <w:spacing w:before="40" w:after="40"/>
              <w:jc w:val="center"/>
              <w:cnfStyle w:val="000000000000" w:firstRow="0" w:lastRow="0" w:firstColumn="0" w:lastColumn="0" w:oddVBand="0" w:evenVBand="0" w:oddHBand="0" w:evenHBand="0" w:firstRowFirstColumn="0" w:firstRowLastColumn="0" w:lastRowFirstColumn="0" w:lastRowLastColumn="0"/>
              <w:rPr>
                <w:b/>
                <w:color w:val="FFFFFF" w:themeColor="background1"/>
              </w:rPr>
            </w:pPr>
            <w:r w:rsidRPr="00F024AE">
              <w:rPr>
                <w:b/>
                <w:color w:val="FFFFFF" w:themeColor="background1"/>
              </w:rPr>
              <w:t>2a</w:t>
            </w:r>
          </w:p>
        </w:tc>
        <w:tc>
          <w:tcPr>
            <w:tcW w:w="567" w:type="dxa"/>
            <w:tcBorders>
              <w:top w:val="nil"/>
              <w:bottom w:val="single" w:sz="4" w:space="0" w:color="auto"/>
            </w:tcBorders>
            <w:shd w:val="clear" w:color="auto" w:fill="081E3E" w:themeFill="accent1"/>
          </w:tcPr>
          <w:p w14:paraId="07FBBBF7" w14:textId="77777777" w:rsidR="00176714" w:rsidRPr="00F024AE" w:rsidRDefault="00176714" w:rsidP="00E22D17">
            <w:pPr>
              <w:spacing w:before="40" w:after="40"/>
              <w:jc w:val="center"/>
              <w:cnfStyle w:val="000000000000" w:firstRow="0" w:lastRow="0" w:firstColumn="0" w:lastColumn="0" w:oddVBand="0" w:evenVBand="0" w:oddHBand="0" w:evenHBand="0" w:firstRowFirstColumn="0" w:firstRowLastColumn="0" w:lastRowFirstColumn="0" w:lastRowLastColumn="0"/>
              <w:rPr>
                <w:b/>
                <w:color w:val="FFFFFF" w:themeColor="background1"/>
              </w:rPr>
            </w:pPr>
            <w:r w:rsidRPr="00F024AE">
              <w:rPr>
                <w:b/>
                <w:color w:val="FFFFFF" w:themeColor="background1"/>
              </w:rPr>
              <w:t>2b</w:t>
            </w:r>
          </w:p>
        </w:tc>
        <w:tc>
          <w:tcPr>
            <w:tcW w:w="709" w:type="dxa"/>
            <w:tcBorders>
              <w:top w:val="nil"/>
              <w:bottom w:val="single" w:sz="4" w:space="0" w:color="auto"/>
            </w:tcBorders>
            <w:shd w:val="clear" w:color="auto" w:fill="081E3E" w:themeFill="accent1"/>
          </w:tcPr>
          <w:p w14:paraId="5F669F03" w14:textId="77777777" w:rsidR="00176714" w:rsidRPr="00F024AE" w:rsidRDefault="00176714" w:rsidP="00E22D17">
            <w:pPr>
              <w:spacing w:before="40" w:after="40"/>
              <w:jc w:val="center"/>
              <w:cnfStyle w:val="000000000000" w:firstRow="0" w:lastRow="0" w:firstColumn="0" w:lastColumn="0" w:oddVBand="0" w:evenVBand="0" w:oddHBand="0" w:evenHBand="0" w:firstRowFirstColumn="0" w:firstRowLastColumn="0" w:lastRowFirstColumn="0" w:lastRowLastColumn="0"/>
              <w:rPr>
                <w:b/>
                <w:color w:val="FFFFFF" w:themeColor="background1"/>
              </w:rPr>
            </w:pPr>
            <w:r w:rsidRPr="00F024AE">
              <w:rPr>
                <w:b/>
                <w:color w:val="FFFFFF" w:themeColor="background1"/>
              </w:rPr>
              <w:t>3</w:t>
            </w:r>
          </w:p>
        </w:tc>
        <w:tc>
          <w:tcPr>
            <w:tcW w:w="5103" w:type="dxa"/>
            <w:tcBorders>
              <w:top w:val="nil"/>
              <w:bottom w:val="single" w:sz="4" w:space="0" w:color="auto"/>
            </w:tcBorders>
            <w:shd w:val="clear" w:color="auto" w:fill="081E3E" w:themeFill="accent1"/>
          </w:tcPr>
          <w:p w14:paraId="7EEF1D56" w14:textId="77777777" w:rsidR="00176714" w:rsidRPr="00F024AE" w:rsidRDefault="00176714" w:rsidP="00FF1AF6">
            <w:pPr>
              <w:spacing w:before="40" w:after="40"/>
              <w:cnfStyle w:val="000000000000" w:firstRow="0" w:lastRow="0" w:firstColumn="0" w:lastColumn="0" w:oddVBand="0" w:evenVBand="0" w:oddHBand="0" w:evenHBand="0" w:firstRowFirstColumn="0" w:firstRowLastColumn="0" w:lastRowFirstColumn="0" w:lastRowLastColumn="0"/>
              <w:rPr>
                <w:b/>
                <w:color w:val="FFFFFF" w:themeColor="background1"/>
              </w:rPr>
            </w:pPr>
            <w:r w:rsidRPr="00F024AE">
              <w:rPr>
                <w:b/>
                <w:color w:val="FFFFFF" w:themeColor="background1"/>
              </w:rPr>
              <w:t>Explanation</w:t>
            </w:r>
          </w:p>
        </w:tc>
      </w:tr>
      <w:tr w:rsidR="00176714" w14:paraId="7163DF59" w14:textId="77777777" w:rsidTr="00B4251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top w:val="nil"/>
              <w:bottom w:val="single" w:sz="4" w:space="0" w:color="auto"/>
            </w:tcBorders>
          </w:tcPr>
          <w:p w14:paraId="2218CF3F" w14:textId="77777777" w:rsidR="00176714" w:rsidRPr="003256CE" w:rsidRDefault="00176714" w:rsidP="00FF1AF6">
            <w:pPr>
              <w:spacing w:before="40" w:after="40"/>
              <w:rPr>
                <w:b w:val="0"/>
                <w:bCs/>
                <w:color w:val="auto"/>
              </w:rPr>
            </w:pPr>
            <w:r w:rsidRPr="003256CE">
              <w:rPr>
                <w:b w:val="0"/>
                <w:bCs/>
                <w:color w:val="auto"/>
              </w:rPr>
              <w:t>Successful surfacing of Australian radio services on smart speakers</w:t>
            </w:r>
          </w:p>
        </w:tc>
        <w:tc>
          <w:tcPr>
            <w:tcW w:w="567" w:type="dxa"/>
            <w:tcBorders>
              <w:top w:val="nil"/>
              <w:bottom w:val="single" w:sz="4" w:space="0" w:color="auto"/>
            </w:tcBorders>
            <w:shd w:val="clear" w:color="auto" w:fill="FF0000"/>
          </w:tcPr>
          <w:p w14:paraId="2CD36F6A" w14:textId="77777777" w:rsidR="00176714" w:rsidRPr="00B208A3" w:rsidRDefault="00176714" w:rsidP="00E22D17">
            <w:pPr>
              <w:spacing w:before="40" w:after="40"/>
              <w:jc w:val="center"/>
              <w:cnfStyle w:val="000000010000" w:firstRow="0" w:lastRow="0" w:firstColumn="0" w:lastColumn="0" w:oddVBand="0" w:evenVBand="0" w:oddHBand="0" w:evenHBand="1" w:firstRowFirstColumn="0" w:firstRowLastColumn="0" w:lastRowFirstColumn="0" w:lastRowLastColumn="0"/>
              <w:rPr>
                <w:bCs/>
                <w:color w:val="auto"/>
              </w:rPr>
            </w:pPr>
            <w:r>
              <w:rPr>
                <w:bCs/>
                <w:color w:val="auto"/>
              </w:rPr>
              <w:t>7</w:t>
            </w:r>
          </w:p>
        </w:tc>
        <w:tc>
          <w:tcPr>
            <w:tcW w:w="567" w:type="dxa"/>
            <w:tcBorders>
              <w:top w:val="nil"/>
              <w:bottom w:val="single" w:sz="4" w:space="0" w:color="auto"/>
            </w:tcBorders>
            <w:shd w:val="clear" w:color="auto" w:fill="449F70" w:themeFill="accent6" w:themeFillShade="BF"/>
          </w:tcPr>
          <w:p w14:paraId="466612F1" w14:textId="77777777" w:rsidR="00176714" w:rsidRPr="00B208A3" w:rsidRDefault="00176714" w:rsidP="00E22D17">
            <w:pPr>
              <w:spacing w:before="40" w:after="40"/>
              <w:jc w:val="center"/>
              <w:cnfStyle w:val="000000010000" w:firstRow="0" w:lastRow="0" w:firstColumn="0" w:lastColumn="0" w:oddVBand="0" w:evenVBand="0" w:oddHBand="0" w:evenHBand="1" w:firstRowFirstColumn="0" w:firstRowLastColumn="0" w:lastRowFirstColumn="0" w:lastRowLastColumn="0"/>
              <w:rPr>
                <w:bCs/>
                <w:color w:val="auto"/>
              </w:rPr>
            </w:pPr>
            <w:r>
              <w:rPr>
                <w:bCs/>
                <w:color w:val="auto"/>
              </w:rPr>
              <w:t>1</w:t>
            </w:r>
          </w:p>
        </w:tc>
        <w:tc>
          <w:tcPr>
            <w:tcW w:w="567" w:type="dxa"/>
            <w:tcBorders>
              <w:top w:val="nil"/>
              <w:bottom w:val="single" w:sz="4" w:space="0" w:color="auto"/>
            </w:tcBorders>
            <w:shd w:val="clear" w:color="auto" w:fill="449F70" w:themeFill="accent6" w:themeFillShade="BF"/>
          </w:tcPr>
          <w:p w14:paraId="54F194CC" w14:textId="77777777" w:rsidR="00176714" w:rsidRPr="00B208A3" w:rsidRDefault="00176714" w:rsidP="00E22D17">
            <w:pPr>
              <w:spacing w:before="40" w:after="40"/>
              <w:jc w:val="center"/>
              <w:cnfStyle w:val="000000010000" w:firstRow="0" w:lastRow="0" w:firstColumn="0" w:lastColumn="0" w:oddVBand="0" w:evenVBand="0" w:oddHBand="0" w:evenHBand="1" w:firstRowFirstColumn="0" w:firstRowLastColumn="0" w:lastRowFirstColumn="0" w:lastRowLastColumn="0"/>
              <w:rPr>
                <w:bCs/>
                <w:color w:val="auto"/>
              </w:rPr>
            </w:pPr>
            <w:r>
              <w:rPr>
                <w:bCs/>
                <w:color w:val="auto"/>
              </w:rPr>
              <w:t>1</w:t>
            </w:r>
          </w:p>
        </w:tc>
        <w:tc>
          <w:tcPr>
            <w:tcW w:w="709" w:type="dxa"/>
            <w:tcBorders>
              <w:top w:val="nil"/>
              <w:bottom w:val="single" w:sz="4" w:space="0" w:color="auto"/>
            </w:tcBorders>
          </w:tcPr>
          <w:p w14:paraId="52E62981" w14:textId="2B7F1DE9" w:rsidR="00176714" w:rsidRPr="00B208A3" w:rsidRDefault="00207A7D" w:rsidP="00E22D17">
            <w:pPr>
              <w:spacing w:before="40" w:after="40"/>
              <w:jc w:val="center"/>
              <w:cnfStyle w:val="000000010000" w:firstRow="0" w:lastRow="0" w:firstColumn="0" w:lastColumn="0" w:oddVBand="0" w:evenVBand="0" w:oddHBand="0" w:evenHBand="1" w:firstRowFirstColumn="0" w:firstRowLastColumn="0" w:lastRowFirstColumn="0" w:lastRowLastColumn="0"/>
              <w:rPr>
                <w:bCs/>
                <w:color w:val="auto"/>
              </w:rPr>
            </w:pPr>
            <w:r w:rsidRPr="00EC7348">
              <w:rPr>
                <w:color w:val="auto"/>
              </w:rPr>
              <w:t>4</w:t>
            </w:r>
          </w:p>
        </w:tc>
        <w:tc>
          <w:tcPr>
            <w:tcW w:w="5103" w:type="dxa"/>
            <w:tcBorders>
              <w:top w:val="nil"/>
              <w:bottom w:val="single" w:sz="4" w:space="0" w:color="auto"/>
            </w:tcBorders>
          </w:tcPr>
          <w:p w14:paraId="62D31A12" w14:textId="737824A0" w:rsidR="00176714" w:rsidRDefault="00176714" w:rsidP="00FF1AF6">
            <w:pPr>
              <w:spacing w:before="40" w:after="40"/>
              <w:cnfStyle w:val="000000010000" w:firstRow="0" w:lastRow="0" w:firstColumn="0" w:lastColumn="0" w:oddVBand="0" w:evenVBand="0" w:oddHBand="0" w:evenHBand="1" w:firstRowFirstColumn="0" w:firstRowLastColumn="0" w:lastRowFirstColumn="0" w:lastRowLastColumn="0"/>
              <w:rPr>
                <w:sz w:val="20"/>
                <w:szCs w:val="20"/>
                <w:lang w:val="en-US"/>
              </w:rPr>
            </w:pPr>
            <w:r w:rsidRPr="00B208A3">
              <w:rPr>
                <w:bCs/>
                <w:color w:val="auto"/>
                <w:sz w:val="20"/>
                <w:szCs w:val="20"/>
              </w:rPr>
              <w:t>Option 1 w</w:t>
            </w:r>
            <w:r w:rsidR="00207A7D">
              <w:rPr>
                <w:bCs/>
                <w:color w:val="auto"/>
                <w:sz w:val="20"/>
                <w:szCs w:val="20"/>
              </w:rPr>
              <w:t>ould</w:t>
            </w:r>
            <w:r w:rsidRPr="00B208A3">
              <w:rPr>
                <w:bCs/>
                <w:color w:val="auto"/>
                <w:sz w:val="20"/>
                <w:szCs w:val="20"/>
              </w:rPr>
              <w:t xml:space="preserve"> maintain the inconsistent levels of surfacing for</w:t>
            </w:r>
            <w:r w:rsidRPr="00B208A3">
              <w:rPr>
                <w:sz w:val="20"/>
                <w:szCs w:val="20"/>
                <w:lang w:val="en-US"/>
              </w:rPr>
              <w:t xml:space="preserve"> Australian radio stations on devices. </w:t>
            </w:r>
          </w:p>
          <w:p w14:paraId="579C0712" w14:textId="3F5BC2B6" w:rsidR="00176714" w:rsidRDefault="00176714" w:rsidP="00FF1AF6">
            <w:pPr>
              <w:spacing w:before="40" w:after="40"/>
              <w:cnfStyle w:val="000000010000" w:firstRow="0" w:lastRow="0" w:firstColumn="0" w:lastColumn="0" w:oddVBand="0" w:evenVBand="0" w:oddHBand="0" w:evenHBand="1" w:firstRowFirstColumn="0" w:firstRowLastColumn="0" w:lastRowFirstColumn="0" w:lastRowLastColumn="0"/>
              <w:rPr>
                <w:sz w:val="20"/>
                <w:szCs w:val="20"/>
                <w:lang w:val="en-US"/>
              </w:rPr>
            </w:pPr>
            <w:r w:rsidRPr="00B208A3">
              <w:rPr>
                <w:sz w:val="20"/>
                <w:szCs w:val="20"/>
                <w:lang w:val="en-US"/>
              </w:rPr>
              <w:t xml:space="preserve">Implementation of a framework (2a or 2b) </w:t>
            </w:r>
            <w:r w:rsidR="00207A7D">
              <w:rPr>
                <w:sz w:val="20"/>
                <w:szCs w:val="20"/>
                <w:lang w:val="en-US"/>
              </w:rPr>
              <w:t>would be expected to</w:t>
            </w:r>
            <w:r w:rsidRPr="00B208A3">
              <w:rPr>
                <w:sz w:val="20"/>
                <w:szCs w:val="20"/>
                <w:lang w:val="en-US"/>
              </w:rPr>
              <w:t xml:space="preserve"> ensure that Australian radio stations are successfully surfaced on smart speakers in most instances. </w:t>
            </w:r>
          </w:p>
          <w:p w14:paraId="17C811E9" w14:textId="7730BA87" w:rsidR="00176714" w:rsidRPr="00B208A3" w:rsidRDefault="00176714" w:rsidP="00FF1AF6">
            <w:pPr>
              <w:spacing w:before="40" w:after="40"/>
              <w:cnfStyle w:val="000000010000" w:firstRow="0" w:lastRow="0" w:firstColumn="0" w:lastColumn="0" w:oddVBand="0" w:evenVBand="0" w:oddHBand="0" w:evenHBand="1" w:firstRowFirstColumn="0" w:firstRowLastColumn="0" w:lastRowFirstColumn="0" w:lastRowLastColumn="0"/>
              <w:rPr>
                <w:bCs/>
                <w:color w:val="auto"/>
                <w:sz w:val="20"/>
                <w:szCs w:val="20"/>
              </w:rPr>
            </w:pPr>
            <w:r w:rsidRPr="00B208A3">
              <w:rPr>
                <w:sz w:val="20"/>
                <w:szCs w:val="20"/>
                <w:lang w:val="en-US"/>
              </w:rPr>
              <w:t xml:space="preserve">Community education campaigns (option 3) will require additional resourcing, in part financed by Government, and may </w:t>
            </w:r>
            <w:r w:rsidR="00207A7D">
              <w:rPr>
                <w:sz w:val="20"/>
                <w:szCs w:val="20"/>
                <w:lang w:val="en-US"/>
              </w:rPr>
              <w:t>have only modest impacts on</w:t>
            </w:r>
            <w:r w:rsidRPr="00B208A3">
              <w:rPr>
                <w:sz w:val="20"/>
                <w:szCs w:val="20"/>
                <w:lang w:val="en-US"/>
              </w:rPr>
              <w:t xml:space="preserve"> surfacing </w:t>
            </w:r>
            <w:r w:rsidR="00207A7D">
              <w:rPr>
                <w:sz w:val="20"/>
                <w:szCs w:val="20"/>
                <w:lang w:val="en-US"/>
              </w:rPr>
              <w:t xml:space="preserve">accuracy </w:t>
            </w:r>
            <w:r w:rsidRPr="00B208A3">
              <w:rPr>
                <w:sz w:val="20"/>
                <w:szCs w:val="20"/>
                <w:lang w:val="en-US"/>
              </w:rPr>
              <w:t>rates.</w:t>
            </w:r>
          </w:p>
        </w:tc>
      </w:tr>
      <w:tr w:rsidR="00176714" w14:paraId="27A618FD" w14:textId="77777777" w:rsidTr="00B4251C">
        <w:trPr>
          <w:trHeight w:val="2868"/>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auto"/>
            </w:tcBorders>
          </w:tcPr>
          <w:p w14:paraId="1F7C5305" w14:textId="77777777" w:rsidR="00176714" w:rsidRPr="0068648C" w:rsidRDefault="00176714" w:rsidP="00FF1AF6">
            <w:pPr>
              <w:spacing w:before="40" w:after="40"/>
              <w:rPr>
                <w:b w:val="0"/>
                <w:bCs/>
              </w:rPr>
            </w:pPr>
            <w:r>
              <w:rPr>
                <w:b w:val="0"/>
              </w:rPr>
              <w:t>F</w:t>
            </w:r>
            <w:r w:rsidRPr="007455D1">
              <w:rPr>
                <w:b w:val="0"/>
              </w:rPr>
              <w:t>inancial arrangements to facilitate access to radio services on smart speakers </w:t>
            </w:r>
          </w:p>
        </w:tc>
        <w:tc>
          <w:tcPr>
            <w:tcW w:w="567" w:type="dxa"/>
            <w:tcBorders>
              <w:top w:val="single" w:sz="4" w:space="0" w:color="auto"/>
            </w:tcBorders>
            <w:shd w:val="clear" w:color="auto" w:fill="FF0000"/>
          </w:tcPr>
          <w:p w14:paraId="7F8999B0" w14:textId="77777777" w:rsidR="00176714" w:rsidRPr="00E44520" w:rsidRDefault="00176714" w:rsidP="00FF1AF6">
            <w:pPr>
              <w:spacing w:before="40" w:after="40"/>
              <w:cnfStyle w:val="000000000000" w:firstRow="0" w:lastRow="0" w:firstColumn="0" w:lastColumn="0" w:oddVBand="0" w:evenVBand="0" w:oddHBand="0" w:evenHBand="0" w:firstRowFirstColumn="0" w:firstRowLastColumn="0" w:lastRowFirstColumn="0" w:lastRowLastColumn="0"/>
            </w:pPr>
            <w:r>
              <w:t>7</w:t>
            </w:r>
          </w:p>
        </w:tc>
        <w:tc>
          <w:tcPr>
            <w:tcW w:w="567" w:type="dxa"/>
            <w:tcBorders>
              <w:top w:val="single" w:sz="4" w:space="0" w:color="auto"/>
            </w:tcBorders>
            <w:shd w:val="clear" w:color="auto" w:fill="449F70" w:themeFill="accent6" w:themeFillShade="BF"/>
          </w:tcPr>
          <w:p w14:paraId="5CDA01F3" w14:textId="77777777" w:rsidR="00176714" w:rsidRPr="00E44520" w:rsidRDefault="00176714" w:rsidP="00FF1AF6">
            <w:pPr>
              <w:spacing w:before="40" w:after="40"/>
              <w:cnfStyle w:val="000000000000" w:firstRow="0" w:lastRow="0" w:firstColumn="0" w:lastColumn="0" w:oddVBand="0" w:evenVBand="0" w:oddHBand="0" w:evenHBand="0" w:firstRowFirstColumn="0" w:firstRowLastColumn="0" w:lastRowFirstColumn="0" w:lastRowLastColumn="0"/>
            </w:pPr>
            <w:r>
              <w:t>1</w:t>
            </w:r>
          </w:p>
        </w:tc>
        <w:tc>
          <w:tcPr>
            <w:tcW w:w="567" w:type="dxa"/>
            <w:tcBorders>
              <w:top w:val="single" w:sz="4" w:space="0" w:color="auto"/>
            </w:tcBorders>
            <w:shd w:val="clear" w:color="auto" w:fill="449F70" w:themeFill="accent6" w:themeFillShade="BF"/>
          </w:tcPr>
          <w:p w14:paraId="3289C1C9" w14:textId="77777777" w:rsidR="00176714" w:rsidRPr="00E44520" w:rsidRDefault="00176714" w:rsidP="00FF1AF6">
            <w:pPr>
              <w:spacing w:before="40" w:after="40"/>
              <w:cnfStyle w:val="000000000000" w:firstRow="0" w:lastRow="0" w:firstColumn="0" w:lastColumn="0" w:oddVBand="0" w:evenVBand="0" w:oddHBand="0" w:evenHBand="0" w:firstRowFirstColumn="0" w:firstRowLastColumn="0" w:lastRowFirstColumn="0" w:lastRowLastColumn="0"/>
            </w:pPr>
            <w:r>
              <w:t>1</w:t>
            </w:r>
          </w:p>
        </w:tc>
        <w:tc>
          <w:tcPr>
            <w:tcW w:w="709" w:type="dxa"/>
            <w:tcBorders>
              <w:top w:val="single" w:sz="4" w:space="0" w:color="auto"/>
            </w:tcBorders>
            <w:shd w:val="clear" w:color="auto" w:fill="D9E5BB" w:themeFill="accent5" w:themeFillTint="99"/>
          </w:tcPr>
          <w:p w14:paraId="69DC152F" w14:textId="4FB89888" w:rsidR="00176714" w:rsidRPr="00E44520" w:rsidRDefault="00B604C2" w:rsidP="00FF1AF6">
            <w:pPr>
              <w:spacing w:before="40" w:after="40"/>
              <w:cnfStyle w:val="000000000000" w:firstRow="0" w:lastRow="0" w:firstColumn="0" w:lastColumn="0" w:oddVBand="0" w:evenVBand="0" w:oddHBand="0" w:evenHBand="0" w:firstRowFirstColumn="0" w:firstRowLastColumn="0" w:lastRowFirstColumn="0" w:lastRowLastColumn="0"/>
            </w:pPr>
            <w:r w:rsidRPr="00EC7348">
              <w:t>2</w:t>
            </w:r>
          </w:p>
        </w:tc>
        <w:tc>
          <w:tcPr>
            <w:tcW w:w="5103" w:type="dxa"/>
            <w:tcBorders>
              <w:top w:val="single" w:sz="4" w:space="0" w:color="auto"/>
            </w:tcBorders>
          </w:tcPr>
          <w:p w14:paraId="3B258BC2" w14:textId="21E4067F" w:rsidR="00176714" w:rsidRDefault="00176714" w:rsidP="00FF1AF6">
            <w:pPr>
              <w:spacing w:before="40" w:after="40"/>
              <w:cnfStyle w:val="000000000000" w:firstRow="0" w:lastRow="0" w:firstColumn="0" w:lastColumn="0" w:oddVBand="0" w:evenVBand="0" w:oddHBand="0" w:evenHBand="0" w:firstRowFirstColumn="0" w:firstRowLastColumn="0" w:lastRowFirstColumn="0" w:lastRowLastColumn="0"/>
              <w:rPr>
                <w:sz w:val="20"/>
                <w:szCs w:val="20"/>
              </w:rPr>
            </w:pPr>
            <w:r w:rsidRPr="00B208A3">
              <w:rPr>
                <w:bCs/>
                <w:sz w:val="20"/>
                <w:szCs w:val="20"/>
                <w:lang w:val="en-US"/>
              </w:rPr>
              <w:t>Without intervention (option 1) Australian radio service providers w</w:t>
            </w:r>
            <w:r w:rsidR="00207A7D">
              <w:rPr>
                <w:bCs/>
                <w:sz w:val="20"/>
                <w:szCs w:val="20"/>
                <w:lang w:val="en-US"/>
              </w:rPr>
              <w:t>ould</w:t>
            </w:r>
            <w:r w:rsidRPr="00B208A3">
              <w:rPr>
                <w:bCs/>
                <w:sz w:val="20"/>
                <w:szCs w:val="20"/>
                <w:lang w:val="en-US"/>
              </w:rPr>
              <w:t xml:space="preserve"> still be </w:t>
            </w:r>
            <w:r w:rsidRPr="00B208A3">
              <w:rPr>
                <w:sz w:val="20"/>
                <w:szCs w:val="20"/>
              </w:rPr>
              <w:t xml:space="preserve">required to </w:t>
            </w:r>
            <w:proofErr w:type="gramStart"/>
            <w:r w:rsidRPr="00B208A3">
              <w:rPr>
                <w:sz w:val="20"/>
                <w:szCs w:val="20"/>
              </w:rPr>
              <w:t>enter into</w:t>
            </w:r>
            <w:proofErr w:type="gramEnd"/>
            <w:r w:rsidRPr="00B208A3">
              <w:rPr>
                <w:sz w:val="20"/>
                <w:szCs w:val="20"/>
              </w:rPr>
              <w:t xml:space="preserve"> financial arrangements to ensure prominence for access to devices and audiences. </w:t>
            </w:r>
          </w:p>
          <w:p w14:paraId="2A6F6998" w14:textId="5CDF7397" w:rsidR="00176714" w:rsidRDefault="00176714" w:rsidP="00FF1AF6">
            <w:pPr>
              <w:spacing w:before="40" w:after="40"/>
              <w:cnfStyle w:val="000000000000" w:firstRow="0" w:lastRow="0" w:firstColumn="0" w:lastColumn="0" w:oddVBand="0" w:evenVBand="0" w:oddHBand="0" w:evenHBand="0" w:firstRowFirstColumn="0" w:firstRowLastColumn="0" w:lastRowFirstColumn="0" w:lastRowLastColumn="0"/>
              <w:rPr>
                <w:sz w:val="20"/>
                <w:szCs w:val="20"/>
              </w:rPr>
            </w:pPr>
            <w:r w:rsidRPr="00B208A3">
              <w:rPr>
                <w:sz w:val="20"/>
                <w:szCs w:val="20"/>
                <w:lang w:val="en-US"/>
              </w:rPr>
              <w:t xml:space="preserve">Legislating a prominence framework, option 2, </w:t>
            </w:r>
            <w:r w:rsidR="00B604C2">
              <w:rPr>
                <w:sz w:val="20"/>
                <w:szCs w:val="20"/>
                <w:lang w:val="en-US"/>
              </w:rPr>
              <w:t>is expected to</w:t>
            </w:r>
            <w:r w:rsidRPr="00B208A3">
              <w:rPr>
                <w:sz w:val="20"/>
                <w:szCs w:val="20"/>
                <w:lang w:val="en-US"/>
              </w:rPr>
              <w:t xml:space="preserve"> have a positive impact on radio services because </w:t>
            </w:r>
            <w:r w:rsidRPr="00B208A3">
              <w:rPr>
                <w:sz w:val="20"/>
                <w:szCs w:val="20"/>
              </w:rPr>
              <w:t xml:space="preserve">commercial arrangements for access to devices will no longer be necessary. </w:t>
            </w:r>
          </w:p>
          <w:p w14:paraId="0F32B713" w14:textId="798B2347" w:rsidR="00176714" w:rsidRPr="00B208A3" w:rsidRDefault="00176714" w:rsidP="00FF1AF6">
            <w:pPr>
              <w:spacing w:before="40" w:after="40"/>
              <w:cnfStyle w:val="000000000000" w:firstRow="0" w:lastRow="0" w:firstColumn="0" w:lastColumn="0" w:oddVBand="0" w:evenVBand="0" w:oddHBand="0" w:evenHBand="0" w:firstRowFirstColumn="0" w:firstRowLastColumn="0" w:lastRowFirstColumn="0" w:lastRowLastColumn="0"/>
              <w:rPr>
                <w:sz w:val="20"/>
                <w:szCs w:val="20"/>
              </w:rPr>
            </w:pPr>
            <w:r w:rsidRPr="00B208A3">
              <w:rPr>
                <w:sz w:val="20"/>
                <w:szCs w:val="20"/>
              </w:rPr>
              <w:t xml:space="preserve">Option 3, </w:t>
            </w:r>
            <w:r w:rsidR="00B604C2">
              <w:rPr>
                <w:sz w:val="20"/>
                <w:szCs w:val="20"/>
              </w:rPr>
              <w:t xml:space="preserve">although subsidising the possible costs of access, is not expected to completely remove the incurrence of such costs. </w:t>
            </w:r>
          </w:p>
        </w:tc>
      </w:tr>
      <w:tr w:rsidR="00176714" w14:paraId="0982E981" w14:textId="77777777" w:rsidTr="00B4251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auto"/>
            </w:tcBorders>
          </w:tcPr>
          <w:p w14:paraId="2A196785" w14:textId="77777777" w:rsidR="00176714" w:rsidRPr="00F024AE" w:rsidRDefault="00176714" w:rsidP="00FF1AF6">
            <w:pPr>
              <w:spacing w:before="40" w:after="40"/>
              <w:rPr>
                <w:lang w:val="en-US"/>
              </w:rPr>
            </w:pPr>
            <w:r w:rsidRPr="009A11EC">
              <w:rPr>
                <w:b w:val="0"/>
                <w:bCs/>
              </w:rPr>
              <w:t>Opportunity to reach audiences through online offerings for radio services</w:t>
            </w:r>
          </w:p>
        </w:tc>
        <w:tc>
          <w:tcPr>
            <w:tcW w:w="567" w:type="dxa"/>
            <w:tcBorders>
              <w:top w:val="single" w:sz="4" w:space="0" w:color="auto"/>
            </w:tcBorders>
            <w:shd w:val="clear" w:color="auto" w:fill="FFC000"/>
          </w:tcPr>
          <w:p w14:paraId="2BA52957" w14:textId="77777777" w:rsidR="00176714" w:rsidRDefault="00176714" w:rsidP="00E22D17">
            <w:pPr>
              <w:spacing w:before="40" w:after="40"/>
              <w:jc w:val="center"/>
              <w:cnfStyle w:val="000000010000" w:firstRow="0" w:lastRow="0" w:firstColumn="0" w:lastColumn="0" w:oddVBand="0" w:evenVBand="0" w:oddHBand="0" w:evenHBand="1" w:firstRowFirstColumn="0" w:firstRowLastColumn="0" w:lastRowFirstColumn="0" w:lastRowLastColumn="0"/>
            </w:pPr>
            <w:r>
              <w:t>6</w:t>
            </w:r>
          </w:p>
        </w:tc>
        <w:tc>
          <w:tcPr>
            <w:tcW w:w="567" w:type="dxa"/>
            <w:tcBorders>
              <w:top w:val="single" w:sz="4" w:space="0" w:color="auto"/>
            </w:tcBorders>
            <w:shd w:val="clear" w:color="auto" w:fill="D9E5BB" w:themeFill="accent5" w:themeFillTint="99"/>
          </w:tcPr>
          <w:p w14:paraId="7A2FC824" w14:textId="77777777" w:rsidR="00176714" w:rsidRDefault="00176714" w:rsidP="00E22D17">
            <w:pPr>
              <w:spacing w:before="40" w:after="40"/>
              <w:jc w:val="center"/>
              <w:cnfStyle w:val="000000010000" w:firstRow="0" w:lastRow="0" w:firstColumn="0" w:lastColumn="0" w:oddVBand="0" w:evenVBand="0" w:oddHBand="0" w:evenHBand="1" w:firstRowFirstColumn="0" w:firstRowLastColumn="0" w:lastRowFirstColumn="0" w:lastRowLastColumn="0"/>
            </w:pPr>
            <w:r>
              <w:t>2</w:t>
            </w:r>
          </w:p>
        </w:tc>
        <w:tc>
          <w:tcPr>
            <w:tcW w:w="567" w:type="dxa"/>
            <w:tcBorders>
              <w:top w:val="single" w:sz="4" w:space="0" w:color="auto"/>
            </w:tcBorders>
            <w:shd w:val="clear" w:color="auto" w:fill="449F70" w:themeFill="accent6" w:themeFillShade="BF"/>
          </w:tcPr>
          <w:p w14:paraId="161E0F9B" w14:textId="77777777" w:rsidR="00176714" w:rsidRDefault="00176714" w:rsidP="00E22D17">
            <w:pPr>
              <w:spacing w:before="40" w:after="40"/>
              <w:jc w:val="center"/>
              <w:cnfStyle w:val="000000010000" w:firstRow="0" w:lastRow="0" w:firstColumn="0" w:lastColumn="0" w:oddVBand="0" w:evenVBand="0" w:oddHBand="0" w:evenHBand="1" w:firstRowFirstColumn="0" w:firstRowLastColumn="0" w:lastRowFirstColumn="0" w:lastRowLastColumn="0"/>
            </w:pPr>
            <w:r>
              <w:t>1</w:t>
            </w:r>
          </w:p>
        </w:tc>
        <w:tc>
          <w:tcPr>
            <w:tcW w:w="709" w:type="dxa"/>
            <w:tcBorders>
              <w:top w:val="single" w:sz="4" w:space="0" w:color="auto"/>
            </w:tcBorders>
            <w:shd w:val="clear" w:color="auto" w:fill="E2F2EA" w:themeFill="accent6" w:themeFillTint="33"/>
          </w:tcPr>
          <w:p w14:paraId="1A4970F9" w14:textId="3AF6EEC8" w:rsidR="00176714" w:rsidRDefault="00B604C2" w:rsidP="00E22D17">
            <w:pPr>
              <w:spacing w:before="40" w:after="40"/>
              <w:jc w:val="center"/>
              <w:cnfStyle w:val="000000010000" w:firstRow="0" w:lastRow="0" w:firstColumn="0" w:lastColumn="0" w:oddVBand="0" w:evenVBand="0" w:oddHBand="0" w:evenHBand="1" w:firstRowFirstColumn="0" w:firstRowLastColumn="0" w:lastRowFirstColumn="0" w:lastRowLastColumn="0"/>
            </w:pPr>
            <w:r w:rsidRPr="00EC7348">
              <w:t>3</w:t>
            </w:r>
          </w:p>
        </w:tc>
        <w:tc>
          <w:tcPr>
            <w:tcW w:w="5103" w:type="dxa"/>
            <w:tcBorders>
              <w:top w:val="single" w:sz="4" w:space="0" w:color="auto"/>
            </w:tcBorders>
          </w:tcPr>
          <w:p w14:paraId="0E7FB4C3" w14:textId="6D166ECB" w:rsidR="00176714" w:rsidRDefault="00176714" w:rsidP="00FF1AF6">
            <w:pPr>
              <w:spacing w:before="40" w:after="40"/>
              <w:cnfStyle w:val="000000010000" w:firstRow="0" w:lastRow="0" w:firstColumn="0" w:lastColumn="0" w:oddVBand="0" w:evenVBand="0" w:oddHBand="0" w:evenHBand="1" w:firstRowFirstColumn="0" w:firstRowLastColumn="0" w:lastRowFirstColumn="0" w:lastRowLastColumn="0"/>
              <w:rPr>
                <w:sz w:val="20"/>
                <w:szCs w:val="20"/>
                <w:lang w:val="en-US"/>
              </w:rPr>
            </w:pPr>
            <w:r w:rsidRPr="00B208A3">
              <w:rPr>
                <w:sz w:val="20"/>
                <w:szCs w:val="20"/>
                <w:lang w:val="en-US"/>
              </w:rPr>
              <w:t xml:space="preserve">Maintaining the status quo </w:t>
            </w:r>
            <w:r w:rsidR="00B604C2">
              <w:rPr>
                <w:sz w:val="20"/>
                <w:szCs w:val="20"/>
                <w:lang w:val="en-US"/>
              </w:rPr>
              <w:t xml:space="preserve">is expected to </w:t>
            </w:r>
            <w:proofErr w:type="gramStart"/>
            <w:r w:rsidR="00B604C2">
              <w:rPr>
                <w:sz w:val="20"/>
                <w:szCs w:val="20"/>
                <w:lang w:val="en-US"/>
              </w:rPr>
              <w:t>crimp</w:t>
            </w:r>
            <w:proofErr w:type="gramEnd"/>
            <w:r w:rsidRPr="00B208A3">
              <w:rPr>
                <w:sz w:val="20"/>
                <w:szCs w:val="20"/>
                <w:lang w:val="en-US"/>
              </w:rPr>
              <w:t xml:space="preserve"> the opportunity for radio services to reach online audiences. </w:t>
            </w:r>
          </w:p>
          <w:p w14:paraId="54464813" w14:textId="68863172" w:rsidR="00176714" w:rsidRDefault="00176714" w:rsidP="00FF1AF6">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B208A3">
              <w:rPr>
                <w:sz w:val="20"/>
                <w:szCs w:val="20"/>
                <w:lang w:val="en-US"/>
              </w:rPr>
              <w:t xml:space="preserve">Option 2 </w:t>
            </w:r>
            <w:r w:rsidR="00B604C2">
              <w:rPr>
                <w:sz w:val="20"/>
                <w:szCs w:val="20"/>
                <w:lang w:val="en-US"/>
              </w:rPr>
              <w:t xml:space="preserve">is expected </w:t>
            </w:r>
            <w:r w:rsidRPr="00B208A3">
              <w:rPr>
                <w:sz w:val="20"/>
                <w:szCs w:val="20"/>
                <w:lang w:val="en-US"/>
              </w:rPr>
              <w:t>have a positive impact on th</w:t>
            </w:r>
            <w:r w:rsidR="00B604C2">
              <w:rPr>
                <w:sz w:val="20"/>
                <w:szCs w:val="20"/>
                <w:lang w:val="en-US"/>
              </w:rPr>
              <w:t>e</w:t>
            </w:r>
            <w:r w:rsidRPr="00B208A3">
              <w:rPr>
                <w:sz w:val="20"/>
                <w:szCs w:val="20"/>
                <w:lang w:val="en-US"/>
              </w:rPr>
              <w:t xml:space="preserve"> sector – radio services will be able to provide </w:t>
            </w:r>
            <w:r w:rsidRPr="00B208A3">
              <w:rPr>
                <w:sz w:val="20"/>
                <w:szCs w:val="20"/>
              </w:rPr>
              <w:t xml:space="preserve">important information (as outlined in Table 13) to wider audiences in online formats and keep pace of technological changes.  </w:t>
            </w:r>
          </w:p>
          <w:p w14:paraId="2747D353" w14:textId="2F459C4B" w:rsidR="00176714" w:rsidRPr="00B208A3" w:rsidRDefault="00176714" w:rsidP="00FF1AF6">
            <w:pPr>
              <w:spacing w:before="40" w:after="40"/>
              <w:cnfStyle w:val="000000010000" w:firstRow="0" w:lastRow="0" w:firstColumn="0" w:lastColumn="0" w:oddVBand="0" w:evenVBand="0" w:oddHBand="0" w:evenHBand="1" w:firstRowFirstColumn="0" w:firstRowLastColumn="0" w:lastRowFirstColumn="0" w:lastRowLastColumn="0"/>
              <w:rPr>
                <w:sz w:val="20"/>
                <w:szCs w:val="20"/>
                <w:lang w:val="en-US"/>
              </w:rPr>
            </w:pPr>
            <w:r w:rsidRPr="00B208A3">
              <w:rPr>
                <w:sz w:val="20"/>
                <w:szCs w:val="20"/>
              </w:rPr>
              <w:t xml:space="preserve">Option 3 </w:t>
            </w:r>
            <w:r w:rsidR="00B604C2">
              <w:rPr>
                <w:sz w:val="20"/>
                <w:szCs w:val="20"/>
              </w:rPr>
              <w:t>is expected to have a moderately positive impact on r</w:t>
            </w:r>
            <w:r w:rsidRPr="00B208A3">
              <w:rPr>
                <w:sz w:val="20"/>
                <w:szCs w:val="20"/>
              </w:rPr>
              <w:t>eaching audiences online</w:t>
            </w:r>
            <w:r w:rsidR="00B604C2">
              <w:rPr>
                <w:sz w:val="20"/>
                <w:szCs w:val="20"/>
              </w:rPr>
              <w:t xml:space="preserve"> if it </w:t>
            </w:r>
            <w:proofErr w:type="gramStart"/>
            <w:r w:rsidR="00B604C2">
              <w:rPr>
                <w:sz w:val="20"/>
                <w:szCs w:val="20"/>
              </w:rPr>
              <w:t>is able to</w:t>
            </w:r>
            <w:proofErr w:type="gramEnd"/>
            <w:r w:rsidR="00B604C2">
              <w:rPr>
                <w:sz w:val="20"/>
                <w:szCs w:val="20"/>
              </w:rPr>
              <w:t xml:space="preserve"> improve consumer understanding of smart speaker technologies and accuracy rates from voice activation requests</w:t>
            </w:r>
            <w:r w:rsidRPr="00B208A3">
              <w:rPr>
                <w:sz w:val="20"/>
                <w:szCs w:val="20"/>
              </w:rPr>
              <w:t>.</w:t>
            </w:r>
          </w:p>
        </w:tc>
      </w:tr>
      <w:tr w:rsidR="00176714" w14:paraId="6B907F2B" w14:textId="77777777" w:rsidTr="00B4251C">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auto"/>
              <w:bottom w:val="single" w:sz="4" w:space="0" w:color="auto"/>
            </w:tcBorders>
          </w:tcPr>
          <w:p w14:paraId="7E449EE0" w14:textId="77777777" w:rsidR="00176714" w:rsidRDefault="00176714" w:rsidP="00FF1AF6">
            <w:pPr>
              <w:spacing w:before="40" w:after="40"/>
            </w:pPr>
            <w:r>
              <w:t>Average</w:t>
            </w:r>
          </w:p>
        </w:tc>
        <w:tc>
          <w:tcPr>
            <w:tcW w:w="567" w:type="dxa"/>
            <w:tcBorders>
              <w:top w:val="single" w:sz="4" w:space="0" w:color="auto"/>
              <w:bottom w:val="single" w:sz="4" w:space="0" w:color="auto"/>
            </w:tcBorders>
            <w:shd w:val="clear" w:color="auto" w:fill="FF0000"/>
          </w:tcPr>
          <w:p w14:paraId="298FED3D" w14:textId="77777777" w:rsidR="00176714" w:rsidRPr="00B208A3" w:rsidRDefault="00176714" w:rsidP="00E22D17">
            <w:pPr>
              <w:spacing w:before="40" w:after="40"/>
              <w:jc w:val="center"/>
              <w:cnfStyle w:val="000000000000" w:firstRow="0" w:lastRow="0" w:firstColumn="0" w:lastColumn="0" w:oddVBand="0" w:evenVBand="0" w:oddHBand="0" w:evenHBand="0" w:firstRowFirstColumn="0" w:firstRowLastColumn="0" w:lastRowFirstColumn="0" w:lastRowLastColumn="0"/>
              <w:rPr>
                <w:b/>
                <w:bCs/>
              </w:rPr>
            </w:pPr>
            <w:r w:rsidRPr="00B208A3">
              <w:rPr>
                <w:b/>
                <w:bCs/>
              </w:rPr>
              <w:t>7</w:t>
            </w:r>
          </w:p>
        </w:tc>
        <w:tc>
          <w:tcPr>
            <w:tcW w:w="567" w:type="dxa"/>
            <w:tcBorders>
              <w:top w:val="single" w:sz="4" w:space="0" w:color="auto"/>
              <w:bottom w:val="single" w:sz="4" w:space="0" w:color="auto"/>
            </w:tcBorders>
            <w:shd w:val="clear" w:color="auto" w:fill="449F70" w:themeFill="accent6" w:themeFillShade="BF"/>
          </w:tcPr>
          <w:p w14:paraId="118D0C5D" w14:textId="77777777" w:rsidR="00176714" w:rsidRPr="00B208A3" w:rsidRDefault="00176714" w:rsidP="00E22D17">
            <w:pPr>
              <w:spacing w:before="40" w:after="40"/>
              <w:jc w:val="center"/>
              <w:cnfStyle w:val="000000000000" w:firstRow="0" w:lastRow="0" w:firstColumn="0" w:lastColumn="0" w:oddVBand="0" w:evenVBand="0" w:oddHBand="0" w:evenHBand="0" w:firstRowFirstColumn="0" w:firstRowLastColumn="0" w:lastRowFirstColumn="0" w:lastRowLastColumn="0"/>
              <w:rPr>
                <w:b/>
                <w:bCs/>
              </w:rPr>
            </w:pPr>
            <w:r w:rsidRPr="00B208A3">
              <w:rPr>
                <w:b/>
                <w:bCs/>
              </w:rPr>
              <w:t>1</w:t>
            </w:r>
          </w:p>
        </w:tc>
        <w:tc>
          <w:tcPr>
            <w:tcW w:w="567" w:type="dxa"/>
            <w:tcBorders>
              <w:top w:val="single" w:sz="4" w:space="0" w:color="auto"/>
              <w:bottom w:val="single" w:sz="4" w:space="0" w:color="auto"/>
            </w:tcBorders>
            <w:shd w:val="clear" w:color="auto" w:fill="449F70" w:themeFill="accent6" w:themeFillShade="BF"/>
          </w:tcPr>
          <w:p w14:paraId="6B1FFF09" w14:textId="77777777" w:rsidR="00176714" w:rsidRPr="00B208A3" w:rsidRDefault="00176714" w:rsidP="00E22D17">
            <w:pPr>
              <w:spacing w:before="40" w:after="40"/>
              <w:jc w:val="center"/>
              <w:cnfStyle w:val="000000000000" w:firstRow="0" w:lastRow="0" w:firstColumn="0" w:lastColumn="0" w:oddVBand="0" w:evenVBand="0" w:oddHBand="0" w:evenHBand="0" w:firstRowFirstColumn="0" w:firstRowLastColumn="0" w:lastRowFirstColumn="0" w:lastRowLastColumn="0"/>
              <w:rPr>
                <w:b/>
                <w:bCs/>
              </w:rPr>
            </w:pPr>
            <w:r w:rsidRPr="00B208A3">
              <w:rPr>
                <w:b/>
                <w:bCs/>
              </w:rPr>
              <w:t>1</w:t>
            </w:r>
          </w:p>
        </w:tc>
        <w:tc>
          <w:tcPr>
            <w:tcW w:w="709" w:type="dxa"/>
            <w:tcBorders>
              <w:top w:val="single" w:sz="4" w:space="0" w:color="auto"/>
              <w:bottom w:val="single" w:sz="4" w:space="0" w:color="auto"/>
            </w:tcBorders>
            <w:shd w:val="clear" w:color="auto" w:fill="E2F2EA" w:themeFill="accent6" w:themeFillTint="33"/>
          </w:tcPr>
          <w:p w14:paraId="4587DF66" w14:textId="7C107669" w:rsidR="00176714" w:rsidRPr="00B208A3" w:rsidRDefault="00B604C2" w:rsidP="00E22D17">
            <w:pPr>
              <w:spacing w:before="40" w:after="40"/>
              <w:jc w:val="center"/>
              <w:cnfStyle w:val="000000000000" w:firstRow="0" w:lastRow="0" w:firstColumn="0" w:lastColumn="0" w:oddVBand="0" w:evenVBand="0" w:oddHBand="0" w:evenHBand="0" w:firstRowFirstColumn="0" w:firstRowLastColumn="0" w:lastRowFirstColumn="0" w:lastRowLastColumn="0"/>
              <w:rPr>
                <w:b/>
                <w:bCs/>
              </w:rPr>
            </w:pPr>
            <w:r w:rsidRPr="00EC7348">
              <w:rPr>
                <w:b/>
              </w:rPr>
              <w:t>3</w:t>
            </w:r>
          </w:p>
        </w:tc>
        <w:tc>
          <w:tcPr>
            <w:tcW w:w="5103" w:type="dxa"/>
            <w:tcBorders>
              <w:top w:val="single" w:sz="4" w:space="0" w:color="auto"/>
              <w:bottom w:val="single" w:sz="4" w:space="0" w:color="auto"/>
            </w:tcBorders>
          </w:tcPr>
          <w:p w14:paraId="089231E3" w14:textId="77777777" w:rsidR="00176714" w:rsidRPr="00E44520" w:rsidRDefault="00176714" w:rsidP="00FF1AF6">
            <w:pPr>
              <w:spacing w:before="40" w:after="40"/>
              <w:cnfStyle w:val="000000000000" w:firstRow="0" w:lastRow="0" w:firstColumn="0" w:lastColumn="0" w:oddVBand="0" w:evenVBand="0" w:oddHBand="0" w:evenHBand="0" w:firstRowFirstColumn="0" w:firstRowLastColumn="0" w:lastRowFirstColumn="0" w:lastRowLastColumn="0"/>
            </w:pPr>
          </w:p>
        </w:tc>
      </w:tr>
    </w:tbl>
    <w:p w14:paraId="526E6836" w14:textId="739AB16D" w:rsidR="00176714" w:rsidRDefault="00413284" w:rsidP="00176714">
      <w:r>
        <w:t xml:space="preserve">For manufacturers of smart speakers, </w:t>
      </w:r>
      <w:r w:rsidR="00CF6B8E">
        <w:t xml:space="preserve">key impacts </w:t>
      </w:r>
      <w:r w:rsidR="00896F3B">
        <w:t>are</w:t>
      </w:r>
      <w:r w:rsidR="00CF6B8E">
        <w:t xml:space="preserve"> </w:t>
      </w:r>
      <w:r w:rsidR="00896F3B">
        <w:t>tied to maintaining market share of smart speaker sales</w:t>
      </w:r>
      <w:r w:rsidR="00CF6B8E">
        <w:t xml:space="preserve">. As discussed in Table </w:t>
      </w:r>
      <w:r w:rsidR="00552638">
        <w:t>1</w:t>
      </w:r>
      <w:r w:rsidR="00CF089C">
        <w:t>2</w:t>
      </w:r>
      <w:r w:rsidR="00CF6B8E">
        <w:t xml:space="preserve">, successful surfacing of radio content, </w:t>
      </w:r>
      <w:r w:rsidR="00896F3B">
        <w:t xml:space="preserve">and </w:t>
      </w:r>
      <w:r w:rsidR="00CF6B8E">
        <w:t xml:space="preserve">financial arrangements </w:t>
      </w:r>
      <w:r w:rsidR="00896F3B">
        <w:t>between</w:t>
      </w:r>
      <w:r w:rsidR="00CF6B8E">
        <w:t xml:space="preserve"> </w:t>
      </w:r>
      <w:r w:rsidR="00F963A5">
        <w:t>the providers of voice assistant software</w:t>
      </w:r>
      <w:r w:rsidR="00CF6B8E">
        <w:t xml:space="preserve"> and </w:t>
      </w:r>
      <w:r w:rsidR="00896F3B">
        <w:t>radio services</w:t>
      </w:r>
      <w:r w:rsidR="00B604C2">
        <w:t>,</w:t>
      </w:r>
      <w:r w:rsidR="00896F3B">
        <w:t xml:space="preserve"> are key</w:t>
      </w:r>
      <w:r w:rsidR="00CF6B8E">
        <w:t xml:space="preserve"> factors in determining a preferrable option</w:t>
      </w:r>
      <w:r w:rsidR="00896F3B">
        <w:t xml:space="preserve"> for </w:t>
      </w:r>
      <w:r w:rsidR="00F963A5">
        <w:t xml:space="preserve">smart speaker </w:t>
      </w:r>
      <w:r w:rsidR="00896F3B">
        <w:t>manufacturers</w:t>
      </w:r>
      <w:r w:rsidR="00CF6B8E">
        <w:t xml:space="preserve">. </w:t>
      </w:r>
      <w:r w:rsidR="00CF6B8E" w:rsidRPr="00AC375A">
        <w:t xml:space="preserve">This method of assessment places Option </w:t>
      </w:r>
      <w:r w:rsidR="00896F3B" w:rsidRPr="00AC375A">
        <w:t xml:space="preserve">3, </w:t>
      </w:r>
      <w:r w:rsidR="00673C7D" w:rsidRPr="00AC375A">
        <w:t xml:space="preserve">a </w:t>
      </w:r>
      <w:r w:rsidR="00896F3B" w:rsidRPr="00AC375A">
        <w:t>non-legislative intervention,</w:t>
      </w:r>
      <w:r w:rsidR="00CF6B8E" w:rsidRPr="00AC375A">
        <w:t xml:space="preserve"> as </w:t>
      </w:r>
      <w:r w:rsidR="0008358B" w:rsidRPr="00AC375A">
        <w:t xml:space="preserve">the </w:t>
      </w:r>
      <w:r w:rsidR="00CF6B8E" w:rsidRPr="00AC375A">
        <w:t xml:space="preserve">preferable </w:t>
      </w:r>
      <w:r w:rsidR="0008358B" w:rsidRPr="00AC375A">
        <w:t xml:space="preserve">option </w:t>
      </w:r>
      <w:r w:rsidR="00CF6B8E" w:rsidRPr="00AC375A">
        <w:t xml:space="preserve">due to </w:t>
      </w:r>
      <w:r w:rsidR="00673C7D" w:rsidRPr="00AC375A">
        <w:t>the</w:t>
      </w:r>
      <w:r w:rsidR="00CF6B8E" w:rsidRPr="00AC375A">
        <w:t xml:space="preserve"> </w:t>
      </w:r>
      <w:r w:rsidR="00C650DA" w:rsidRPr="00AC375A">
        <w:t xml:space="preserve">modestly </w:t>
      </w:r>
      <w:r w:rsidR="00CF6B8E" w:rsidRPr="00AC375A">
        <w:t>positive impact</w:t>
      </w:r>
      <w:r w:rsidR="00673C7D" w:rsidRPr="00AC375A">
        <w:t>s</w:t>
      </w:r>
      <w:r w:rsidR="00CF6B8E" w:rsidRPr="00AC375A">
        <w:t xml:space="preserve"> on </w:t>
      </w:r>
      <w:r w:rsidR="00896F3B" w:rsidRPr="00AC375A">
        <w:t>manufacturers</w:t>
      </w:r>
      <w:r w:rsidR="00CF6B8E" w:rsidRPr="00AC375A">
        <w:t>.</w:t>
      </w:r>
      <w:r w:rsidR="00CF6B8E" w:rsidDel="00CF6B8E">
        <w:t xml:space="preserve"> </w:t>
      </w:r>
    </w:p>
    <w:p w14:paraId="4E9A9264" w14:textId="6DD39922" w:rsidR="008B06A7" w:rsidRDefault="008B06A7" w:rsidP="008B06A7">
      <w:pPr>
        <w:pStyle w:val="Caption"/>
      </w:pPr>
      <w:bookmarkStart w:id="117" w:name="_Toc236825676"/>
      <w:r w:rsidRPr="00813BF1">
        <w:lastRenderedPageBreak/>
        <w:t xml:space="preserve">Table </w:t>
      </w:r>
      <w:r w:rsidR="00552638">
        <w:t>1</w:t>
      </w:r>
      <w:r w:rsidR="00CF089C">
        <w:t>2</w:t>
      </w:r>
      <w:r w:rsidRPr="00813BF1">
        <w:t xml:space="preserve">: </w:t>
      </w:r>
      <w:r>
        <w:t>Key i</w:t>
      </w:r>
      <w:r w:rsidRPr="00813BF1">
        <w:t xml:space="preserve">mpacts </w:t>
      </w:r>
      <w:r>
        <w:t>on smart speaker manufacturers</w:t>
      </w:r>
      <w:bookmarkEnd w:id="117"/>
    </w:p>
    <w:tbl>
      <w:tblPr>
        <w:tblStyle w:val="DefaultTable1"/>
        <w:tblW w:w="9923" w:type="dxa"/>
        <w:tblLayout w:type="fixed"/>
        <w:tblLook w:val="04A0" w:firstRow="1" w:lastRow="0" w:firstColumn="1" w:lastColumn="0" w:noHBand="0" w:noVBand="1"/>
      </w:tblPr>
      <w:tblGrid>
        <w:gridCol w:w="2410"/>
        <w:gridCol w:w="567"/>
        <w:gridCol w:w="567"/>
        <w:gridCol w:w="567"/>
        <w:gridCol w:w="709"/>
        <w:gridCol w:w="5103"/>
      </w:tblGrid>
      <w:tr w:rsidR="008B06A7" w14:paraId="30155278" w14:textId="77777777" w:rsidTr="00E22D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auto"/>
            </w:tcBorders>
          </w:tcPr>
          <w:p w14:paraId="1AEEF12E" w14:textId="77777777" w:rsidR="008B06A7" w:rsidRDefault="008B06A7" w:rsidP="00FF1AF6">
            <w:pPr>
              <w:spacing w:before="40" w:after="40"/>
              <w:jc w:val="right"/>
              <w:rPr>
                <w:b w:val="0"/>
              </w:rPr>
            </w:pPr>
          </w:p>
        </w:tc>
        <w:tc>
          <w:tcPr>
            <w:tcW w:w="2410" w:type="dxa"/>
            <w:gridSpan w:val="4"/>
            <w:tcBorders>
              <w:top w:val="single" w:sz="4" w:space="0" w:color="auto"/>
            </w:tcBorders>
          </w:tcPr>
          <w:p w14:paraId="5BA725EF" w14:textId="77777777" w:rsidR="008B06A7" w:rsidRDefault="008B06A7" w:rsidP="00FF1AF6">
            <w:pPr>
              <w:spacing w:before="40" w:after="40"/>
              <w:jc w:val="center"/>
              <w:cnfStyle w:val="100000000000" w:firstRow="1" w:lastRow="0" w:firstColumn="0" w:lastColumn="0" w:oddVBand="0" w:evenVBand="0" w:oddHBand="0" w:evenHBand="0" w:firstRowFirstColumn="0" w:firstRowLastColumn="0" w:lastRowFirstColumn="0" w:lastRowLastColumn="0"/>
            </w:pPr>
            <w:r>
              <w:t>Reform Option</w:t>
            </w:r>
          </w:p>
        </w:tc>
        <w:tc>
          <w:tcPr>
            <w:tcW w:w="5103" w:type="dxa"/>
            <w:tcBorders>
              <w:top w:val="single" w:sz="4" w:space="0" w:color="auto"/>
            </w:tcBorders>
          </w:tcPr>
          <w:p w14:paraId="366732D1" w14:textId="77777777" w:rsidR="008B06A7" w:rsidRDefault="008B06A7" w:rsidP="00FF1AF6">
            <w:pPr>
              <w:spacing w:before="40" w:after="40"/>
              <w:cnfStyle w:val="100000000000" w:firstRow="1" w:lastRow="0" w:firstColumn="0" w:lastColumn="0" w:oddVBand="0" w:evenVBand="0" w:oddHBand="0" w:evenHBand="0" w:firstRowFirstColumn="0" w:firstRowLastColumn="0" w:lastRowFirstColumn="0" w:lastRowLastColumn="0"/>
            </w:pPr>
          </w:p>
        </w:tc>
      </w:tr>
      <w:tr w:rsidR="008B06A7" w14:paraId="4075F9DE" w14:textId="77777777" w:rsidTr="00E22D17">
        <w:tc>
          <w:tcPr>
            <w:cnfStyle w:val="001000000000" w:firstRow="0" w:lastRow="0" w:firstColumn="1" w:lastColumn="0" w:oddVBand="0" w:evenVBand="0" w:oddHBand="0" w:evenHBand="0" w:firstRowFirstColumn="0" w:firstRowLastColumn="0" w:lastRowFirstColumn="0" w:lastRowLastColumn="0"/>
            <w:tcW w:w="2410" w:type="dxa"/>
            <w:tcBorders>
              <w:top w:val="nil"/>
              <w:bottom w:val="single" w:sz="4" w:space="0" w:color="auto"/>
            </w:tcBorders>
            <w:shd w:val="clear" w:color="auto" w:fill="081E3E" w:themeFill="accent1"/>
          </w:tcPr>
          <w:p w14:paraId="3D099791" w14:textId="77777777" w:rsidR="008B06A7" w:rsidRPr="0068648C" w:rsidRDefault="008B06A7" w:rsidP="00FF1AF6">
            <w:pPr>
              <w:spacing w:before="40" w:after="40"/>
              <w:rPr>
                <w:b w:val="0"/>
                <w:color w:val="FFFFFF" w:themeColor="background1"/>
              </w:rPr>
            </w:pPr>
            <w:r w:rsidRPr="00E3404B">
              <w:rPr>
                <w:color w:val="FFFFFF" w:themeColor="background1"/>
              </w:rPr>
              <w:t>Impact</w:t>
            </w:r>
          </w:p>
        </w:tc>
        <w:tc>
          <w:tcPr>
            <w:tcW w:w="567" w:type="dxa"/>
            <w:tcBorders>
              <w:top w:val="nil"/>
              <w:bottom w:val="single" w:sz="4" w:space="0" w:color="auto"/>
            </w:tcBorders>
            <w:shd w:val="clear" w:color="auto" w:fill="081E3E" w:themeFill="accent1"/>
          </w:tcPr>
          <w:p w14:paraId="34086494" w14:textId="77777777" w:rsidR="008B06A7" w:rsidRPr="00E3404B" w:rsidRDefault="008B06A7" w:rsidP="00FF1AF6">
            <w:pPr>
              <w:spacing w:before="40" w:after="40"/>
              <w:jc w:val="center"/>
              <w:cnfStyle w:val="000000000000" w:firstRow="0" w:lastRow="0" w:firstColumn="0" w:lastColumn="0" w:oddVBand="0" w:evenVBand="0" w:oddHBand="0" w:evenHBand="0" w:firstRowFirstColumn="0" w:firstRowLastColumn="0" w:lastRowFirstColumn="0" w:lastRowLastColumn="0"/>
              <w:rPr>
                <w:b/>
                <w:color w:val="FFFFFF" w:themeColor="background1"/>
              </w:rPr>
            </w:pPr>
            <w:r w:rsidRPr="00E3404B">
              <w:rPr>
                <w:b/>
                <w:color w:val="FFFFFF" w:themeColor="background1"/>
              </w:rPr>
              <w:t>1</w:t>
            </w:r>
          </w:p>
        </w:tc>
        <w:tc>
          <w:tcPr>
            <w:tcW w:w="567" w:type="dxa"/>
            <w:tcBorders>
              <w:top w:val="nil"/>
              <w:bottom w:val="single" w:sz="4" w:space="0" w:color="auto"/>
            </w:tcBorders>
            <w:shd w:val="clear" w:color="auto" w:fill="081E3E" w:themeFill="accent1"/>
          </w:tcPr>
          <w:p w14:paraId="41073F82" w14:textId="77777777" w:rsidR="008B06A7" w:rsidRPr="00E3404B" w:rsidRDefault="008B06A7" w:rsidP="00FF1AF6">
            <w:pPr>
              <w:spacing w:before="40" w:after="40"/>
              <w:jc w:val="center"/>
              <w:cnfStyle w:val="000000000000" w:firstRow="0" w:lastRow="0" w:firstColumn="0" w:lastColumn="0" w:oddVBand="0" w:evenVBand="0" w:oddHBand="0" w:evenHBand="0" w:firstRowFirstColumn="0" w:firstRowLastColumn="0" w:lastRowFirstColumn="0" w:lastRowLastColumn="0"/>
              <w:rPr>
                <w:b/>
                <w:color w:val="FFFFFF" w:themeColor="background1"/>
              </w:rPr>
            </w:pPr>
            <w:r w:rsidRPr="00E3404B">
              <w:rPr>
                <w:b/>
                <w:color w:val="FFFFFF" w:themeColor="background1"/>
              </w:rPr>
              <w:t>2a</w:t>
            </w:r>
          </w:p>
        </w:tc>
        <w:tc>
          <w:tcPr>
            <w:tcW w:w="567" w:type="dxa"/>
            <w:tcBorders>
              <w:top w:val="nil"/>
              <w:bottom w:val="single" w:sz="4" w:space="0" w:color="auto"/>
            </w:tcBorders>
            <w:shd w:val="clear" w:color="auto" w:fill="081E3E" w:themeFill="accent1"/>
          </w:tcPr>
          <w:p w14:paraId="4E1C2B7A" w14:textId="77777777" w:rsidR="008B06A7" w:rsidRPr="00E3404B" w:rsidRDefault="008B06A7" w:rsidP="00FF1AF6">
            <w:pPr>
              <w:spacing w:before="40" w:after="40"/>
              <w:jc w:val="center"/>
              <w:cnfStyle w:val="000000000000" w:firstRow="0" w:lastRow="0" w:firstColumn="0" w:lastColumn="0" w:oddVBand="0" w:evenVBand="0" w:oddHBand="0" w:evenHBand="0" w:firstRowFirstColumn="0" w:firstRowLastColumn="0" w:lastRowFirstColumn="0" w:lastRowLastColumn="0"/>
              <w:rPr>
                <w:b/>
                <w:color w:val="FFFFFF" w:themeColor="background1"/>
              </w:rPr>
            </w:pPr>
            <w:r w:rsidRPr="00E3404B">
              <w:rPr>
                <w:b/>
                <w:color w:val="FFFFFF" w:themeColor="background1"/>
              </w:rPr>
              <w:t>2b</w:t>
            </w:r>
          </w:p>
        </w:tc>
        <w:tc>
          <w:tcPr>
            <w:tcW w:w="709" w:type="dxa"/>
            <w:tcBorders>
              <w:top w:val="nil"/>
              <w:bottom w:val="single" w:sz="4" w:space="0" w:color="auto"/>
            </w:tcBorders>
            <w:shd w:val="clear" w:color="auto" w:fill="081E3E" w:themeFill="accent1"/>
          </w:tcPr>
          <w:p w14:paraId="29BCCB93" w14:textId="77777777" w:rsidR="008B06A7" w:rsidRPr="00E3404B" w:rsidRDefault="008B06A7" w:rsidP="00FF1AF6">
            <w:pPr>
              <w:spacing w:before="40" w:after="40"/>
              <w:jc w:val="center"/>
              <w:cnfStyle w:val="000000000000" w:firstRow="0" w:lastRow="0" w:firstColumn="0" w:lastColumn="0" w:oddVBand="0" w:evenVBand="0" w:oddHBand="0" w:evenHBand="0" w:firstRowFirstColumn="0" w:firstRowLastColumn="0" w:lastRowFirstColumn="0" w:lastRowLastColumn="0"/>
              <w:rPr>
                <w:b/>
                <w:color w:val="FFFFFF" w:themeColor="background1"/>
              </w:rPr>
            </w:pPr>
            <w:r w:rsidRPr="00E3404B">
              <w:rPr>
                <w:b/>
                <w:color w:val="FFFFFF" w:themeColor="background1"/>
              </w:rPr>
              <w:t>3</w:t>
            </w:r>
          </w:p>
        </w:tc>
        <w:tc>
          <w:tcPr>
            <w:tcW w:w="5103" w:type="dxa"/>
            <w:tcBorders>
              <w:top w:val="nil"/>
              <w:bottom w:val="single" w:sz="4" w:space="0" w:color="auto"/>
            </w:tcBorders>
            <w:shd w:val="clear" w:color="auto" w:fill="081E3E" w:themeFill="accent1"/>
          </w:tcPr>
          <w:p w14:paraId="4ADAA197" w14:textId="77777777" w:rsidR="008B06A7" w:rsidRPr="00E3404B" w:rsidRDefault="008B06A7" w:rsidP="00FF1AF6">
            <w:pPr>
              <w:spacing w:before="40" w:after="40"/>
              <w:cnfStyle w:val="000000000000" w:firstRow="0" w:lastRow="0" w:firstColumn="0" w:lastColumn="0" w:oddVBand="0" w:evenVBand="0" w:oddHBand="0" w:evenHBand="0" w:firstRowFirstColumn="0" w:firstRowLastColumn="0" w:lastRowFirstColumn="0" w:lastRowLastColumn="0"/>
              <w:rPr>
                <w:b/>
                <w:color w:val="FFFFFF" w:themeColor="background1"/>
              </w:rPr>
            </w:pPr>
            <w:r w:rsidRPr="00E3404B">
              <w:rPr>
                <w:b/>
                <w:color w:val="FFFFFF" w:themeColor="background1"/>
              </w:rPr>
              <w:t>Explanation</w:t>
            </w:r>
          </w:p>
        </w:tc>
      </w:tr>
      <w:tr w:rsidR="008B06A7" w14:paraId="4068DA78" w14:textId="77777777" w:rsidTr="00B4251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auto"/>
            </w:tcBorders>
          </w:tcPr>
          <w:p w14:paraId="08FF9597" w14:textId="77777777" w:rsidR="008B06A7" w:rsidRPr="0068648C" w:rsidRDefault="008B06A7" w:rsidP="00FF1AF6">
            <w:pPr>
              <w:spacing w:before="40" w:after="40"/>
              <w:rPr>
                <w:b w:val="0"/>
                <w:bCs/>
              </w:rPr>
            </w:pPr>
            <w:r>
              <w:rPr>
                <w:b w:val="0"/>
                <w:bCs/>
              </w:rPr>
              <w:t xml:space="preserve">Successful surfacing of Australian </w:t>
            </w:r>
            <w:r w:rsidRPr="004B12D2">
              <w:rPr>
                <w:b w:val="0"/>
                <w:bCs/>
              </w:rPr>
              <w:t>radio services on smart speakers</w:t>
            </w:r>
          </w:p>
        </w:tc>
        <w:tc>
          <w:tcPr>
            <w:tcW w:w="567" w:type="dxa"/>
            <w:tcBorders>
              <w:top w:val="single" w:sz="4" w:space="0" w:color="auto"/>
            </w:tcBorders>
          </w:tcPr>
          <w:p w14:paraId="501A7076" w14:textId="77777777" w:rsidR="008B06A7" w:rsidRPr="00E44520" w:rsidRDefault="008B06A7" w:rsidP="00E22D17">
            <w:pPr>
              <w:spacing w:before="40" w:after="40"/>
              <w:jc w:val="center"/>
              <w:cnfStyle w:val="000000010000" w:firstRow="0" w:lastRow="0" w:firstColumn="0" w:lastColumn="0" w:oddVBand="0" w:evenVBand="0" w:oddHBand="0" w:evenHBand="1" w:firstRowFirstColumn="0" w:firstRowLastColumn="0" w:lastRowFirstColumn="0" w:lastRowLastColumn="0"/>
            </w:pPr>
            <w:r>
              <w:t>4</w:t>
            </w:r>
          </w:p>
        </w:tc>
        <w:tc>
          <w:tcPr>
            <w:tcW w:w="567" w:type="dxa"/>
            <w:tcBorders>
              <w:top w:val="single" w:sz="4" w:space="0" w:color="auto"/>
            </w:tcBorders>
          </w:tcPr>
          <w:p w14:paraId="215937F6" w14:textId="7F207E93" w:rsidR="008B06A7" w:rsidRPr="00E44520" w:rsidRDefault="00B604C2" w:rsidP="00E22D17">
            <w:pPr>
              <w:spacing w:before="40" w:after="40"/>
              <w:jc w:val="center"/>
              <w:cnfStyle w:val="000000010000" w:firstRow="0" w:lastRow="0" w:firstColumn="0" w:lastColumn="0" w:oddVBand="0" w:evenVBand="0" w:oddHBand="0" w:evenHBand="1" w:firstRowFirstColumn="0" w:firstRowLastColumn="0" w:lastRowFirstColumn="0" w:lastRowLastColumn="0"/>
            </w:pPr>
            <w:r>
              <w:t xml:space="preserve"> </w:t>
            </w:r>
            <w:r w:rsidRPr="00EC7348">
              <w:t>4</w:t>
            </w:r>
          </w:p>
        </w:tc>
        <w:tc>
          <w:tcPr>
            <w:tcW w:w="567" w:type="dxa"/>
            <w:tcBorders>
              <w:top w:val="single" w:sz="4" w:space="0" w:color="auto"/>
            </w:tcBorders>
          </w:tcPr>
          <w:p w14:paraId="76C48AB7" w14:textId="7AB83587" w:rsidR="008B06A7" w:rsidRPr="00E44520" w:rsidRDefault="00B604C2" w:rsidP="00E22D17">
            <w:pPr>
              <w:spacing w:before="40" w:after="40"/>
              <w:jc w:val="center"/>
              <w:cnfStyle w:val="000000010000" w:firstRow="0" w:lastRow="0" w:firstColumn="0" w:lastColumn="0" w:oddVBand="0" w:evenVBand="0" w:oddHBand="0" w:evenHBand="1" w:firstRowFirstColumn="0" w:firstRowLastColumn="0" w:lastRowFirstColumn="0" w:lastRowLastColumn="0"/>
            </w:pPr>
            <w:r>
              <w:t xml:space="preserve"> </w:t>
            </w:r>
            <w:r w:rsidRPr="00EC7348">
              <w:t>4</w:t>
            </w:r>
          </w:p>
        </w:tc>
        <w:tc>
          <w:tcPr>
            <w:tcW w:w="709" w:type="dxa"/>
            <w:tcBorders>
              <w:top w:val="single" w:sz="4" w:space="0" w:color="auto"/>
            </w:tcBorders>
            <w:shd w:val="clear" w:color="auto" w:fill="D9E5BB" w:themeFill="accent5" w:themeFillTint="99"/>
          </w:tcPr>
          <w:p w14:paraId="6D0A9114" w14:textId="11FD23DE" w:rsidR="008B06A7" w:rsidRPr="00E44520" w:rsidRDefault="00C650DA" w:rsidP="00E22D17">
            <w:pPr>
              <w:spacing w:before="40" w:after="40"/>
              <w:jc w:val="center"/>
              <w:cnfStyle w:val="000000010000" w:firstRow="0" w:lastRow="0" w:firstColumn="0" w:lastColumn="0" w:oddVBand="0" w:evenVBand="0" w:oddHBand="0" w:evenHBand="1" w:firstRowFirstColumn="0" w:firstRowLastColumn="0" w:lastRowFirstColumn="0" w:lastRowLastColumn="0"/>
            </w:pPr>
            <w:r w:rsidRPr="00EC7348">
              <w:t>2</w:t>
            </w:r>
          </w:p>
        </w:tc>
        <w:tc>
          <w:tcPr>
            <w:tcW w:w="5103" w:type="dxa"/>
            <w:tcBorders>
              <w:top w:val="single" w:sz="4" w:space="0" w:color="auto"/>
            </w:tcBorders>
          </w:tcPr>
          <w:p w14:paraId="496C9D2F" w14:textId="0F06D478" w:rsidR="008B06A7" w:rsidRDefault="008B06A7" w:rsidP="00FF1AF6">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3256CE">
              <w:rPr>
                <w:sz w:val="20"/>
                <w:szCs w:val="20"/>
              </w:rPr>
              <w:t xml:space="preserve">Retaining the status quo </w:t>
            </w:r>
            <w:r w:rsidR="00C650DA">
              <w:rPr>
                <w:sz w:val="20"/>
                <w:szCs w:val="20"/>
              </w:rPr>
              <w:t xml:space="preserve">is expected to </w:t>
            </w:r>
            <w:r w:rsidRPr="003256CE">
              <w:rPr>
                <w:sz w:val="20"/>
                <w:szCs w:val="20"/>
              </w:rPr>
              <w:t xml:space="preserve">have a </w:t>
            </w:r>
            <w:r w:rsidR="00B604C2">
              <w:rPr>
                <w:sz w:val="20"/>
                <w:szCs w:val="20"/>
              </w:rPr>
              <w:t>neutral</w:t>
            </w:r>
            <w:r w:rsidRPr="003256CE">
              <w:rPr>
                <w:sz w:val="20"/>
                <w:szCs w:val="20"/>
              </w:rPr>
              <w:t xml:space="preserve"> impact on manufacturers, as </w:t>
            </w:r>
            <w:r w:rsidR="00B604C2">
              <w:rPr>
                <w:sz w:val="20"/>
                <w:szCs w:val="20"/>
              </w:rPr>
              <w:t>the accuracy or inaccuracy of responses to requests for radio stations is not expected to material</w:t>
            </w:r>
            <w:r w:rsidR="00C650DA">
              <w:rPr>
                <w:sz w:val="20"/>
                <w:szCs w:val="20"/>
              </w:rPr>
              <w:t>ly</w:t>
            </w:r>
            <w:r w:rsidR="00B604C2">
              <w:rPr>
                <w:sz w:val="20"/>
                <w:szCs w:val="20"/>
              </w:rPr>
              <w:t xml:space="preserve"> change under this approach. </w:t>
            </w:r>
          </w:p>
          <w:p w14:paraId="6850E95D" w14:textId="6ADF0A8E" w:rsidR="00B604C2" w:rsidRDefault="008B06A7" w:rsidP="00FF1AF6">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3256CE">
              <w:rPr>
                <w:sz w:val="20"/>
                <w:szCs w:val="20"/>
              </w:rPr>
              <w:t xml:space="preserve">Improved surfacing rates resulting from a prominence framework (option 2) </w:t>
            </w:r>
            <w:r w:rsidR="00B604C2">
              <w:rPr>
                <w:sz w:val="20"/>
                <w:szCs w:val="20"/>
              </w:rPr>
              <w:t>may</w:t>
            </w:r>
            <w:r w:rsidRPr="003256CE">
              <w:rPr>
                <w:sz w:val="20"/>
                <w:szCs w:val="20"/>
              </w:rPr>
              <w:t xml:space="preserve"> have a </w:t>
            </w:r>
            <w:r w:rsidR="00B604C2">
              <w:rPr>
                <w:sz w:val="20"/>
                <w:szCs w:val="20"/>
              </w:rPr>
              <w:t xml:space="preserve">modestly </w:t>
            </w:r>
            <w:r w:rsidRPr="003256CE">
              <w:rPr>
                <w:sz w:val="20"/>
                <w:szCs w:val="20"/>
              </w:rPr>
              <w:t xml:space="preserve">positive impact on the sales of smart speakers as ‘functionality’ is important for consumer decisions on technology product purchases. </w:t>
            </w:r>
            <w:r w:rsidR="00B604C2">
              <w:rPr>
                <w:sz w:val="20"/>
                <w:szCs w:val="20"/>
              </w:rPr>
              <w:t>However, this may be offset by n</w:t>
            </w:r>
            <w:r w:rsidRPr="003256CE">
              <w:rPr>
                <w:sz w:val="20"/>
                <w:szCs w:val="20"/>
              </w:rPr>
              <w:t>egative industry perceptions of the framework in the implementation phase.</w:t>
            </w:r>
            <w:r w:rsidR="00B604C2">
              <w:rPr>
                <w:sz w:val="20"/>
                <w:szCs w:val="20"/>
              </w:rPr>
              <w:t xml:space="preserve"> The overall assessment of the impact of impact of the framework options on smart speaker manufacturers is expected to be neutral. </w:t>
            </w:r>
          </w:p>
          <w:p w14:paraId="5CEB0D44" w14:textId="1523D7A6" w:rsidR="008B06A7" w:rsidRPr="003256CE" w:rsidRDefault="00B604C2" w:rsidP="00FF1AF6">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 xml:space="preserve">An education </w:t>
            </w:r>
            <w:r w:rsidR="00C650DA">
              <w:rPr>
                <w:sz w:val="20"/>
                <w:szCs w:val="20"/>
              </w:rPr>
              <w:t>campaign may result is greater consumer awareness of this device category and therefore improved sales. This is expected to be positive for manufacturers.</w:t>
            </w:r>
          </w:p>
        </w:tc>
      </w:tr>
      <w:tr w:rsidR="008B06A7" w14:paraId="0C20D3BB" w14:textId="77777777" w:rsidTr="00B4251C">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auto"/>
            </w:tcBorders>
          </w:tcPr>
          <w:p w14:paraId="11921599" w14:textId="77777777" w:rsidR="008B06A7" w:rsidRPr="00E3404B" w:rsidRDefault="008B06A7" w:rsidP="00FF1AF6">
            <w:pPr>
              <w:spacing w:before="40" w:after="40"/>
              <w:rPr>
                <w:b w:val="0"/>
                <w:bCs/>
              </w:rPr>
            </w:pPr>
            <w:r>
              <w:rPr>
                <w:b w:val="0"/>
              </w:rPr>
              <w:t>F</w:t>
            </w:r>
            <w:r w:rsidRPr="007455D1">
              <w:rPr>
                <w:b w:val="0"/>
              </w:rPr>
              <w:t>inancial arrangements to facilitate access to radio services on smart speakers </w:t>
            </w:r>
          </w:p>
        </w:tc>
        <w:tc>
          <w:tcPr>
            <w:tcW w:w="567" w:type="dxa"/>
            <w:tcBorders>
              <w:top w:val="single" w:sz="4" w:space="0" w:color="auto"/>
            </w:tcBorders>
            <w:shd w:val="clear" w:color="auto" w:fill="F2F2F2" w:themeFill="background1" w:themeFillShade="F2"/>
          </w:tcPr>
          <w:p w14:paraId="2C53468E" w14:textId="77777777" w:rsidR="008B06A7" w:rsidRPr="00B208A3" w:rsidRDefault="008B06A7" w:rsidP="00E22D17">
            <w:pPr>
              <w:spacing w:before="40" w:after="40"/>
              <w:jc w:val="center"/>
              <w:cnfStyle w:val="000000000000" w:firstRow="0" w:lastRow="0" w:firstColumn="0" w:lastColumn="0" w:oddVBand="0" w:evenVBand="0" w:oddHBand="0" w:evenHBand="0" w:firstRowFirstColumn="0" w:firstRowLastColumn="0" w:lastRowFirstColumn="0" w:lastRowLastColumn="0"/>
            </w:pPr>
            <w:r w:rsidRPr="00B208A3">
              <w:t>4</w:t>
            </w:r>
          </w:p>
        </w:tc>
        <w:tc>
          <w:tcPr>
            <w:tcW w:w="567" w:type="dxa"/>
            <w:tcBorders>
              <w:top w:val="single" w:sz="4" w:space="0" w:color="auto"/>
            </w:tcBorders>
            <w:shd w:val="clear" w:color="auto" w:fill="F2F2F2" w:themeFill="background1" w:themeFillShade="F2"/>
          </w:tcPr>
          <w:p w14:paraId="11C6835D" w14:textId="214D28C2" w:rsidR="008B06A7" w:rsidRPr="00B208A3" w:rsidRDefault="00C650DA" w:rsidP="00E22D17">
            <w:pPr>
              <w:spacing w:before="40" w:after="40"/>
              <w:jc w:val="center"/>
              <w:cnfStyle w:val="000000000000" w:firstRow="0" w:lastRow="0" w:firstColumn="0" w:lastColumn="0" w:oddVBand="0" w:evenVBand="0" w:oddHBand="0" w:evenHBand="0" w:firstRowFirstColumn="0" w:firstRowLastColumn="0" w:lastRowFirstColumn="0" w:lastRowLastColumn="0"/>
            </w:pPr>
            <w:r>
              <w:t xml:space="preserve"> </w:t>
            </w:r>
            <w:r w:rsidRPr="00B4251C">
              <w:t>4</w:t>
            </w:r>
          </w:p>
        </w:tc>
        <w:tc>
          <w:tcPr>
            <w:tcW w:w="567" w:type="dxa"/>
            <w:tcBorders>
              <w:top w:val="single" w:sz="4" w:space="0" w:color="auto"/>
            </w:tcBorders>
            <w:shd w:val="clear" w:color="auto" w:fill="F2F2F2" w:themeFill="background1" w:themeFillShade="F2"/>
          </w:tcPr>
          <w:p w14:paraId="07AA4F18" w14:textId="74D18364" w:rsidR="008B06A7" w:rsidRPr="00B208A3" w:rsidRDefault="00C650DA" w:rsidP="00E22D17">
            <w:pPr>
              <w:spacing w:before="40" w:after="40"/>
              <w:jc w:val="center"/>
              <w:cnfStyle w:val="000000000000" w:firstRow="0" w:lastRow="0" w:firstColumn="0" w:lastColumn="0" w:oddVBand="0" w:evenVBand="0" w:oddHBand="0" w:evenHBand="0" w:firstRowFirstColumn="0" w:firstRowLastColumn="0" w:lastRowFirstColumn="0" w:lastRowLastColumn="0"/>
            </w:pPr>
            <w:r w:rsidRPr="00EC7348">
              <w:t>4</w:t>
            </w:r>
          </w:p>
        </w:tc>
        <w:tc>
          <w:tcPr>
            <w:tcW w:w="709" w:type="dxa"/>
            <w:tcBorders>
              <w:top w:val="single" w:sz="4" w:space="0" w:color="auto"/>
            </w:tcBorders>
            <w:shd w:val="clear" w:color="auto" w:fill="F2F2F2" w:themeFill="background1" w:themeFillShade="F2"/>
          </w:tcPr>
          <w:p w14:paraId="2BA90A10" w14:textId="6500467D" w:rsidR="008B06A7" w:rsidRPr="00B208A3" w:rsidRDefault="00C650DA" w:rsidP="00E22D17">
            <w:pPr>
              <w:spacing w:before="40" w:after="40"/>
              <w:jc w:val="center"/>
              <w:cnfStyle w:val="000000000000" w:firstRow="0" w:lastRow="0" w:firstColumn="0" w:lastColumn="0" w:oddVBand="0" w:evenVBand="0" w:oddHBand="0" w:evenHBand="0" w:firstRowFirstColumn="0" w:firstRowLastColumn="0" w:lastRowFirstColumn="0" w:lastRowLastColumn="0"/>
            </w:pPr>
            <w:r>
              <w:t xml:space="preserve"> </w:t>
            </w:r>
            <w:r w:rsidRPr="00EC7348">
              <w:t>4</w:t>
            </w:r>
          </w:p>
        </w:tc>
        <w:tc>
          <w:tcPr>
            <w:tcW w:w="5103" w:type="dxa"/>
            <w:tcBorders>
              <w:top w:val="single" w:sz="4" w:space="0" w:color="auto"/>
            </w:tcBorders>
          </w:tcPr>
          <w:p w14:paraId="3453C106" w14:textId="61A8E93F" w:rsidR="008B06A7" w:rsidRPr="003256CE" w:rsidRDefault="008B06A7" w:rsidP="00FF1AF6">
            <w:pPr>
              <w:spacing w:before="40" w:after="40"/>
              <w:cnfStyle w:val="000000000000" w:firstRow="0" w:lastRow="0" w:firstColumn="0" w:lastColumn="0" w:oddVBand="0" w:evenVBand="0" w:oddHBand="0" w:evenHBand="0" w:firstRowFirstColumn="0" w:firstRowLastColumn="0" w:lastRowFirstColumn="0" w:lastRowLastColumn="0"/>
              <w:rPr>
                <w:b/>
                <w:bCs/>
                <w:sz w:val="20"/>
                <w:szCs w:val="20"/>
              </w:rPr>
            </w:pPr>
            <w:r w:rsidRPr="003256CE">
              <w:rPr>
                <w:sz w:val="20"/>
                <w:szCs w:val="20"/>
              </w:rPr>
              <w:t xml:space="preserve">Financial arrangements to ensure that radio services’ content is surfaced on smart speakers are </w:t>
            </w:r>
            <w:r w:rsidR="00C650DA">
              <w:rPr>
                <w:sz w:val="20"/>
                <w:szCs w:val="20"/>
              </w:rPr>
              <w:t>generally</w:t>
            </w:r>
            <w:r w:rsidRPr="003256CE">
              <w:rPr>
                <w:sz w:val="20"/>
                <w:szCs w:val="20"/>
              </w:rPr>
              <w:t xml:space="preserve"> made with </w:t>
            </w:r>
            <w:r w:rsidR="00C650DA">
              <w:rPr>
                <w:sz w:val="20"/>
                <w:szCs w:val="20"/>
              </w:rPr>
              <w:t xml:space="preserve">the suppliers of voice activation software, rather than device </w:t>
            </w:r>
            <w:r w:rsidRPr="003256CE">
              <w:rPr>
                <w:sz w:val="20"/>
                <w:szCs w:val="20"/>
              </w:rPr>
              <w:t>manufacturers</w:t>
            </w:r>
            <w:r w:rsidR="00C650DA">
              <w:rPr>
                <w:sz w:val="20"/>
                <w:szCs w:val="20"/>
              </w:rPr>
              <w:t xml:space="preserve">. As such, the </w:t>
            </w:r>
            <w:r w:rsidRPr="003256CE">
              <w:rPr>
                <w:sz w:val="20"/>
                <w:szCs w:val="20"/>
              </w:rPr>
              <w:t xml:space="preserve">impact on </w:t>
            </w:r>
            <w:r w:rsidR="00C650DA">
              <w:rPr>
                <w:sz w:val="20"/>
                <w:szCs w:val="20"/>
              </w:rPr>
              <w:t>financial arrangements to facilitate access to radio services are expected to be neutral</w:t>
            </w:r>
            <w:r w:rsidRPr="003256CE">
              <w:rPr>
                <w:sz w:val="20"/>
                <w:szCs w:val="20"/>
              </w:rPr>
              <w:t xml:space="preserve"> for </w:t>
            </w:r>
            <w:r w:rsidR="00C650DA">
              <w:rPr>
                <w:sz w:val="20"/>
                <w:szCs w:val="20"/>
              </w:rPr>
              <w:t xml:space="preserve">all </w:t>
            </w:r>
            <w:r w:rsidRPr="003256CE">
              <w:rPr>
                <w:sz w:val="20"/>
                <w:szCs w:val="20"/>
              </w:rPr>
              <w:t xml:space="preserve">options. </w:t>
            </w:r>
          </w:p>
        </w:tc>
      </w:tr>
      <w:tr w:rsidR="008B06A7" w14:paraId="70BF1759" w14:textId="77777777" w:rsidTr="00B4251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auto"/>
              <w:bottom w:val="single" w:sz="4" w:space="0" w:color="auto"/>
            </w:tcBorders>
          </w:tcPr>
          <w:p w14:paraId="62676A86" w14:textId="77777777" w:rsidR="008B06A7" w:rsidRDefault="008B06A7" w:rsidP="00FF1AF6">
            <w:pPr>
              <w:spacing w:before="40" w:after="40"/>
            </w:pPr>
            <w:r>
              <w:t>Average</w:t>
            </w:r>
          </w:p>
        </w:tc>
        <w:tc>
          <w:tcPr>
            <w:tcW w:w="567" w:type="dxa"/>
            <w:tcBorders>
              <w:top w:val="single" w:sz="4" w:space="0" w:color="auto"/>
              <w:bottom w:val="single" w:sz="4" w:space="0" w:color="auto"/>
            </w:tcBorders>
          </w:tcPr>
          <w:p w14:paraId="346E7C5C" w14:textId="77777777" w:rsidR="008B06A7" w:rsidRPr="00B208A3" w:rsidRDefault="008B06A7" w:rsidP="00E22D17">
            <w:pPr>
              <w:spacing w:before="40" w:after="40"/>
              <w:jc w:val="center"/>
              <w:cnfStyle w:val="000000010000" w:firstRow="0" w:lastRow="0" w:firstColumn="0" w:lastColumn="0" w:oddVBand="0" w:evenVBand="0" w:oddHBand="0" w:evenHBand="1" w:firstRowFirstColumn="0" w:firstRowLastColumn="0" w:lastRowFirstColumn="0" w:lastRowLastColumn="0"/>
              <w:rPr>
                <w:b/>
                <w:bCs/>
              </w:rPr>
            </w:pPr>
            <w:r w:rsidRPr="00B208A3">
              <w:rPr>
                <w:b/>
                <w:bCs/>
              </w:rPr>
              <w:t>4</w:t>
            </w:r>
          </w:p>
        </w:tc>
        <w:tc>
          <w:tcPr>
            <w:tcW w:w="567" w:type="dxa"/>
            <w:tcBorders>
              <w:top w:val="single" w:sz="4" w:space="0" w:color="auto"/>
              <w:bottom w:val="single" w:sz="4" w:space="0" w:color="auto"/>
            </w:tcBorders>
          </w:tcPr>
          <w:p w14:paraId="0DA59B8F" w14:textId="1E5D18F1" w:rsidR="008B06A7" w:rsidRPr="00B208A3" w:rsidRDefault="00C650DA" w:rsidP="00E22D17">
            <w:pPr>
              <w:spacing w:before="40" w:after="40"/>
              <w:jc w:val="center"/>
              <w:cnfStyle w:val="000000010000" w:firstRow="0" w:lastRow="0" w:firstColumn="0" w:lastColumn="0" w:oddVBand="0" w:evenVBand="0" w:oddHBand="0" w:evenHBand="1" w:firstRowFirstColumn="0" w:firstRowLastColumn="0" w:lastRowFirstColumn="0" w:lastRowLastColumn="0"/>
              <w:rPr>
                <w:b/>
                <w:bCs/>
              </w:rPr>
            </w:pPr>
            <w:r>
              <w:rPr>
                <w:b/>
                <w:bCs/>
              </w:rPr>
              <w:t xml:space="preserve"> 4</w:t>
            </w:r>
          </w:p>
        </w:tc>
        <w:tc>
          <w:tcPr>
            <w:tcW w:w="567" w:type="dxa"/>
            <w:tcBorders>
              <w:top w:val="single" w:sz="4" w:space="0" w:color="auto"/>
              <w:bottom w:val="single" w:sz="4" w:space="0" w:color="auto"/>
            </w:tcBorders>
          </w:tcPr>
          <w:p w14:paraId="254D7107" w14:textId="1228EB79" w:rsidR="008B06A7" w:rsidRPr="00B208A3" w:rsidRDefault="00C650DA" w:rsidP="00E22D17">
            <w:pPr>
              <w:spacing w:before="40" w:after="40"/>
              <w:jc w:val="center"/>
              <w:cnfStyle w:val="000000010000" w:firstRow="0" w:lastRow="0" w:firstColumn="0" w:lastColumn="0" w:oddVBand="0" w:evenVBand="0" w:oddHBand="0" w:evenHBand="1" w:firstRowFirstColumn="0" w:firstRowLastColumn="0" w:lastRowFirstColumn="0" w:lastRowLastColumn="0"/>
              <w:rPr>
                <w:b/>
                <w:bCs/>
              </w:rPr>
            </w:pPr>
            <w:r>
              <w:rPr>
                <w:b/>
                <w:bCs/>
              </w:rPr>
              <w:t>4</w:t>
            </w:r>
          </w:p>
        </w:tc>
        <w:tc>
          <w:tcPr>
            <w:tcW w:w="709" w:type="dxa"/>
            <w:tcBorders>
              <w:top w:val="single" w:sz="4" w:space="0" w:color="auto"/>
              <w:bottom w:val="single" w:sz="4" w:space="0" w:color="auto"/>
            </w:tcBorders>
            <w:shd w:val="clear" w:color="auto" w:fill="E2F2EA" w:themeFill="accent6" w:themeFillTint="33"/>
          </w:tcPr>
          <w:p w14:paraId="26F5D63D" w14:textId="77777777" w:rsidR="008B06A7" w:rsidRPr="00B208A3" w:rsidRDefault="008B06A7" w:rsidP="00E22D17">
            <w:pPr>
              <w:spacing w:before="40" w:after="40"/>
              <w:jc w:val="center"/>
              <w:cnfStyle w:val="000000010000" w:firstRow="0" w:lastRow="0" w:firstColumn="0" w:lastColumn="0" w:oddVBand="0" w:evenVBand="0" w:oddHBand="0" w:evenHBand="1" w:firstRowFirstColumn="0" w:firstRowLastColumn="0" w:lastRowFirstColumn="0" w:lastRowLastColumn="0"/>
              <w:rPr>
                <w:b/>
                <w:bCs/>
              </w:rPr>
            </w:pPr>
            <w:r w:rsidRPr="00B208A3">
              <w:rPr>
                <w:b/>
                <w:bCs/>
              </w:rPr>
              <w:t>3</w:t>
            </w:r>
          </w:p>
        </w:tc>
        <w:tc>
          <w:tcPr>
            <w:tcW w:w="5103" w:type="dxa"/>
            <w:tcBorders>
              <w:top w:val="single" w:sz="4" w:space="0" w:color="auto"/>
              <w:bottom w:val="single" w:sz="4" w:space="0" w:color="auto"/>
            </w:tcBorders>
          </w:tcPr>
          <w:p w14:paraId="40289A95" w14:textId="77777777" w:rsidR="008B06A7" w:rsidRPr="00E44520" w:rsidRDefault="008B06A7" w:rsidP="00FF1AF6">
            <w:pPr>
              <w:spacing w:before="40" w:after="40"/>
              <w:cnfStyle w:val="000000010000" w:firstRow="0" w:lastRow="0" w:firstColumn="0" w:lastColumn="0" w:oddVBand="0" w:evenVBand="0" w:oddHBand="0" w:evenHBand="1" w:firstRowFirstColumn="0" w:firstRowLastColumn="0" w:lastRowFirstColumn="0" w:lastRowLastColumn="0"/>
            </w:pPr>
          </w:p>
        </w:tc>
      </w:tr>
    </w:tbl>
    <w:p w14:paraId="4DA3BDAD" w14:textId="46DE4657" w:rsidR="00176714" w:rsidRDefault="00413284" w:rsidP="00176714">
      <w:r>
        <w:t xml:space="preserve">For the providers of voice assistant software used on smart speakers, </w:t>
      </w:r>
      <w:r w:rsidR="00B315F6">
        <w:t xml:space="preserve">key impacts are tied to maintaining </w:t>
      </w:r>
      <w:r w:rsidR="00E548AB">
        <w:t xml:space="preserve">their </w:t>
      </w:r>
      <w:r w:rsidR="00B315F6">
        <w:t xml:space="preserve">market share of smart speaker sales. As discussed in Table </w:t>
      </w:r>
      <w:r w:rsidR="00552638">
        <w:t>1</w:t>
      </w:r>
      <w:r w:rsidR="00CF089C">
        <w:t>3</w:t>
      </w:r>
      <w:r w:rsidR="00B315F6">
        <w:t>, successful surfacing of radio content, and financial arrangements between the providers of voice assistant software and radio services</w:t>
      </w:r>
      <w:r w:rsidR="00E548AB">
        <w:t xml:space="preserve">, </w:t>
      </w:r>
      <w:r w:rsidR="00B315F6">
        <w:t xml:space="preserve">are </w:t>
      </w:r>
      <w:r w:rsidR="00E548AB">
        <w:t xml:space="preserve">likely to be the </w:t>
      </w:r>
      <w:r w:rsidR="00B315F6">
        <w:t>key factors in determining a preferrable option. This method of assessment places Option 3, a non-legislative intervention, as preferable to the other options</w:t>
      </w:r>
      <w:r w:rsidR="00A55398">
        <w:t xml:space="preserve"> due to the positive impact</w:t>
      </w:r>
      <w:r w:rsidR="0008358B">
        <w:t xml:space="preserve"> on the providers of voice assistant software</w:t>
      </w:r>
      <w:r w:rsidR="00B315F6">
        <w:t>.</w:t>
      </w:r>
      <w:r w:rsidR="00B315F6" w:rsidDel="00CF6B8E">
        <w:t xml:space="preserve"> </w:t>
      </w:r>
    </w:p>
    <w:p w14:paraId="7C49DCB3" w14:textId="38A9314E" w:rsidR="008B06A7" w:rsidRPr="00CA52ED" w:rsidRDefault="008B06A7" w:rsidP="008B06A7">
      <w:pPr>
        <w:pStyle w:val="Caption"/>
      </w:pPr>
      <w:bookmarkStart w:id="118" w:name="_Toc236825677"/>
      <w:r w:rsidRPr="00813BF1">
        <w:t xml:space="preserve">Table </w:t>
      </w:r>
      <w:r w:rsidR="00552638">
        <w:t>1</w:t>
      </w:r>
      <w:r w:rsidR="00CF089C">
        <w:t>3</w:t>
      </w:r>
      <w:r w:rsidRPr="00813BF1">
        <w:t xml:space="preserve">: </w:t>
      </w:r>
      <w:r>
        <w:t>Key i</w:t>
      </w:r>
      <w:r w:rsidRPr="00813BF1">
        <w:t xml:space="preserve">mpacts </w:t>
      </w:r>
      <w:r>
        <w:t>on voice assistant platforms used on smart speakers</w:t>
      </w:r>
      <w:bookmarkEnd w:id="118"/>
    </w:p>
    <w:tbl>
      <w:tblPr>
        <w:tblStyle w:val="DefaultTable1"/>
        <w:tblW w:w="9923" w:type="dxa"/>
        <w:tblLayout w:type="fixed"/>
        <w:tblLook w:val="04A0" w:firstRow="1" w:lastRow="0" w:firstColumn="1" w:lastColumn="0" w:noHBand="0" w:noVBand="1"/>
      </w:tblPr>
      <w:tblGrid>
        <w:gridCol w:w="2410"/>
        <w:gridCol w:w="567"/>
        <w:gridCol w:w="567"/>
        <w:gridCol w:w="567"/>
        <w:gridCol w:w="709"/>
        <w:gridCol w:w="5103"/>
      </w:tblGrid>
      <w:tr w:rsidR="008B06A7" w14:paraId="2F640500" w14:textId="77777777" w:rsidTr="00E22D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auto"/>
            </w:tcBorders>
          </w:tcPr>
          <w:p w14:paraId="38A4C36D" w14:textId="77777777" w:rsidR="008B06A7" w:rsidRDefault="008B06A7" w:rsidP="00FF1AF6">
            <w:pPr>
              <w:spacing w:before="40" w:after="40"/>
              <w:jc w:val="right"/>
              <w:rPr>
                <w:b w:val="0"/>
              </w:rPr>
            </w:pPr>
          </w:p>
        </w:tc>
        <w:tc>
          <w:tcPr>
            <w:tcW w:w="2410" w:type="dxa"/>
            <w:gridSpan w:val="4"/>
            <w:tcBorders>
              <w:top w:val="single" w:sz="4" w:space="0" w:color="auto"/>
            </w:tcBorders>
          </w:tcPr>
          <w:p w14:paraId="23EA04F1" w14:textId="77777777" w:rsidR="008B06A7" w:rsidRDefault="008B06A7" w:rsidP="00FF1AF6">
            <w:pPr>
              <w:spacing w:before="40" w:after="40"/>
              <w:jc w:val="center"/>
              <w:cnfStyle w:val="100000000000" w:firstRow="1" w:lastRow="0" w:firstColumn="0" w:lastColumn="0" w:oddVBand="0" w:evenVBand="0" w:oddHBand="0" w:evenHBand="0" w:firstRowFirstColumn="0" w:firstRowLastColumn="0" w:lastRowFirstColumn="0" w:lastRowLastColumn="0"/>
            </w:pPr>
            <w:r>
              <w:t>Reform Option</w:t>
            </w:r>
          </w:p>
        </w:tc>
        <w:tc>
          <w:tcPr>
            <w:tcW w:w="5103" w:type="dxa"/>
            <w:tcBorders>
              <w:top w:val="single" w:sz="4" w:space="0" w:color="auto"/>
            </w:tcBorders>
          </w:tcPr>
          <w:p w14:paraId="63CC4AF2" w14:textId="77777777" w:rsidR="008B06A7" w:rsidRDefault="008B06A7" w:rsidP="00FF1AF6">
            <w:pPr>
              <w:spacing w:before="40" w:after="40"/>
              <w:cnfStyle w:val="100000000000" w:firstRow="1" w:lastRow="0" w:firstColumn="0" w:lastColumn="0" w:oddVBand="0" w:evenVBand="0" w:oddHBand="0" w:evenHBand="0" w:firstRowFirstColumn="0" w:firstRowLastColumn="0" w:lastRowFirstColumn="0" w:lastRowLastColumn="0"/>
            </w:pPr>
          </w:p>
        </w:tc>
      </w:tr>
      <w:tr w:rsidR="008B06A7" w14:paraId="68D9FFDA" w14:textId="77777777" w:rsidTr="00E22D17">
        <w:tc>
          <w:tcPr>
            <w:cnfStyle w:val="001000000000" w:firstRow="0" w:lastRow="0" w:firstColumn="1" w:lastColumn="0" w:oddVBand="0" w:evenVBand="0" w:oddHBand="0" w:evenHBand="0" w:firstRowFirstColumn="0" w:firstRowLastColumn="0" w:lastRowFirstColumn="0" w:lastRowLastColumn="0"/>
            <w:tcW w:w="2410" w:type="dxa"/>
            <w:tcBorders>
              <w:top w:val="nil"/>
              <w:bottom w:val="single" w:sz="4" w:space="0" w:color="auto"/>
            </w:tcBorders>
            <w:shd w:val="clear" w:color="auto" w:fill="081E3E" w:themeFill="accent1"/>
          </w:tcPr>
          <w:p w14:paraId="2B2097BC" w14:textId="77777777" w:rsidR="008B06A7" w:rsidRPr="0068648C" w:rsidRDefault="008B06A7" w:rsidP="00FF1AF6">
            <w:pPr>
              <w:spacing w:before="40" w:after="40"/>
              <w:rPr>
                <w:b w:val="0"/>
                <w:color w:val="FFFFFF" w:themeColor="background1"/>
              </w:rPr>
            </w:pPr>
            <w:r w:rsidRPr="00E3404B">
              <w:rPr>
                <w:color w:val="FFFFFF" w:themeColor="background1"/>
              </w:rPr>
              <w:t>Impact</w:t>
            </w:r>
          </w:p>
        </w:tc>
        <w:tc>
          <w:tcPr>
            <w:tcW w:w="567" w:type="dxa"/>
            <w:tcBorders>
              <w:top w:val="nil"/>
              <w:bottom w:val="single" w:sz="4" w:space="0" w:color="auto"/>
            </w:tcBorders>
            <w:shd w:val="clear" w:color="auto" w:fill="081E3E" w:themeFill="accent1"/>
          </w:tcPr>
          <w:p w14:paraId="1C69CCC2" w14:textId="77777777" w:rsidR="008B06A7" w:rsidRPr="00E3404B" w:rsidRDefault="008B06A7" w:rsidP="00FF1AF6">
            <w:pPr>
              <w:spacing w:before="40" w:after="40"/>
              <w:jc w:val="center"/>
              <w:cnfStyle w:val="000000000000" w:firstRow="0" w:lastRow="0" w:firstColumn="0" w:lastColumn="0" w:oddVBand="0" w:evenVBand="0" w:oddHBand="0" w:evenHBand="0" w:firstRowFirstColumn="0" w:firstRowLastColumn="0" w:lastRowFirstColumn="0" w:lastRowLastColumn="0"/>
              <w:rPr>
                <w:b/>
                <w:color w:val="FFFFFF" w:themeColor="background1"/>
              </w:rPr>
            </w:pPr>
            <w:r w:rsidRPr="00E3404B">
              <w:rPr>
                <w:b/>
                <w:color w:val="FFFFFF" w:themeColor="background1"/>
              </w:rPr>
              <w:t>1</w:t>
            </w:r>
          </w:p>
        </w:tc>
        <w:tc>
          <w:tcPr>
            <w:tcW w:w="567" w:type="dxa"/>
            <w:tcBorders>
              <w:top w:val="nil"/>
              <w:bottom w:val="single" w:sz="4" w:space="0" w:color="auto"/>
            </w:tcBorders>
            <w:shd w:val="clear" w:color="auto" w:fill="081E3E" w:themeFill="accent1"/>
          </w:tcPr>
          <w:p w14:paraId="21E0F091" w14:textId="77777777" w:rsidR="008B06A7" w:rsidRPr="00E3404B" w:rsidRDefault="008B06A7" w:rsidP="00FF1AF6">
            <w:pPr>
              <w:spacing w:before="40" w:after="40"/>
              <w:jc w:val="center"/>
              <w:cnfStyle w:val="000000000000" w:firstRow="0" w:lastRow="0" w:firstColumn="0" w:lastColumn="0" w:oddVBand="0" w:evenVBand="0" w:oddHBand="0" w:evenHBand="0" w:firstRowFirstColumn="0" w:firstRowLastColumn="0" w:lastRowFirstColumn="0" w:lastRowLastColumn="0"/>
              <w:rPr>
                <w:b/>
                <w:color w:val="FFFFFF" w:themeColor="background1"/>
              </w:rPr>
            </w:pPr>
            <w:r w:rsidRPr="00E3404B">
              <w:rPr>
                <w:b/>
                <w:color w:val="FFFFFF" w:themeColor="background1"/>
              </w:rPr>
              <w:t>2a</w:t>
            </w:r>
          </w:p>
        </w:tc>
        <w:tc>
          <w:tcPr>
            <w:tcW w:w="567" w:type="dxa"/>
            <w:tcBorders>
              <w:top w:val="nil"/>
              <w:bottom w:val="single" w:sz="4" w:space="0" w:color="auto"/>
            </w:tcBorders>
            <w:shd w:val="clear" w:color="auto" w:fill="081E3E" w:themeFill="accent1"/>
          </w:tcPr>
          <w:p w14:paraId="4D79A618" w14:textId="77777777" w:rsidR="008B06A7" w:rsidRPr="00E3404B" w:rsidRDefault="008B06A7" w:rsidP="00FF1AF6">
            <w:pPr>
              <w:spacing w:before="40" w:after="40"/>
              <w:jc w:val="center"/>
              <w:cnfStyle w:val="000000000000" w:firstRow="0" w:lastRow="0" w:firstColumn="0" w:lastColumn="0" w:oddVBand="0" w:evenVBand="0" w:oddHBand="0" w:evenHBand="0" w:firstRowFirstColumn="0" w:firstRowLastColumn="0" w:lastRowFirstColumn="0" w:lastRowLastColumn="0"/>
              <w:rPr>
                <w:b/>
                <w:color w:val="FFFFFF" w:themeColor="background1"/>
              </w:rPr>
            </w:pPr>
            <w:r w:rsidRPr="00E3404B">
              <w:rPr>
                <w:b/>
                <w:color w:val="FFFFFF" w:themeColor="background1"/>
              </w:rPr>
              <w:t>2b</w:t>
            </w:r>
          </w:p>
        </w:tc>
        <w:tc>
          <w:tcPr>
            <w:tcW w:w="709" w:type="dxa"/>
            <w:tcBorders>
              <w:top w:val="nil"/>
              <w:bottom w:val="single" w:sz="4" w:space="0" w:color="auto"/>
            </w:tcBorders>
            <w:shd w:val="clear" w:color="auto" w:fill="081E3E" w:themeFill="accent1"/>
          </w:tcPr>
          <w:p w14:paraId="4EE5C221" w14:textId="77777777" w:rsidR="008B06A7" w:rsidRPr="00E3404B" w:rsidRDefault="008B06A7" w:rsidP="00FF1AF6">
            <w:pPr>
              <w:spacing w:before="40" w:after="40"/>
              <w:jc w:val="center"/>
              <w:cnfStyle w:val="000000000000" w:firstRow="0" w:lastRow="0" w:firstColumn="0" w:lastColumn="0" w:oddVBand="0" w:evenVBand="0" w:oddHBand="0" w:evenHBand="0" w:firstRowFirstColumn="0" w:firstRowLastColumn="0" w:lastRowFirstColumn="0" w:lastRowLastColumn="0"/>
              <w:rPr>
                <w:b/>
                <w:color w:val="FFFFFF" w:themeColor="background1"/>
              </w:rPr>
            </w:pPr>
            <w:r w:rsidRPr="00E3404B">
              <w:rPr>
                <w:b/>
                <w:color w:val="FFFFFF" w:themeColor="background1"/>
              </w:rPr>
              <w:t>3</w:t>
            </w:r>
          </w:p>
        </w:tc>
        <w:tc>
          <w:tcPr>
            <w:tcW w:w="5103" w:type="dxa"/>
            <w:tcBorders>
              <w:top w:val="nil"/>
              <w:bottom w:val="single" w:sz="4" w:space="0" w:color="auto"/>
            </w:tcBorders>
            <w:shd w:val="clear" w:color="auto" w:fill="081E3E" w:themeFill="accent1"/>
          </w:tcPr>
          <w:p w14:paraId="5F555CE7" w14:textId="77777777" w:rsidR="008B06A7" w:rsidRPr="00E3404B" w:rsidRDefault="008B06A7" w:rsidP="00FF1AF6">
            <w:pPr>
              <w:spacing w:before="40" w:after="40"/>
              <w:cnfStyle w:val="000000000000" w:firstRow="0" w:lastRow="0" w:firstColumn="0" w:lastColumn="0" w:oddVBand="0" w:evenVBand="0" w:oddHBand="0" w:evenHBand="0" w:firstRowFirstColumn="0" w:firstRowLastColumn="0" w:lastRowFirstColumn="0" w:lastRowLastColumn="0"/>
              <w:rPr>
                <w:b/>
                <w:color w:val="FFFFFF" w:themeColor="background1"/>
              </w:rPr>
            </w:pPr>
            <w:r w:rsidRPr="00E3404B">
              <w:rPr>
                <w:b/>
                <w:color w:val="FFFFFF" w:themeColor="background1"/>
              </w:rPr>
              <w:t>Explanation</w:t>
            </w:r>
          </w:p>
        </w:tc>
      </w:tr>
      <w:tr w:rsidR="008B06A7" w14:paraId="138C40AF" w14:textId="77777777" w:rsidTr="00EC73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auto"/>
              <w:bottom w:val="nil"/>
            </w:tcBorders>
            <w:shd w:val="clear" w:color="auto" w:fill="E7E7E7" w:themeFill="background2"/>
          </w:tcPr>
          <w:p w14:paraId="0E394AA8" w14:textId="77777777" w:rsidR="008B06A7" w:rsidRDefault="008B06A7" w:rsidP="00FF1AF6">
            <w:pPr>
              <w:spacing w:before="40" w:after="40"/>
              <w:rPr>
                <w:b w:val="0"/>
                <w:bCs/>
              </w:rPr>
            </w:pPr>
            <w:r>
              <w:rPr>
                <w:b w:val="0"/>
                <w:bCs/>
              </w:rPr>
              <w:t>Successful surfacing of Australian radio stations on smart speakers</w:t>
            </w:r>
          </w:p>
        </w:tc>
        <w:tc>
          <w:tcPr>
            <w:tcW w:w="567" w:type="dxa"/>
            <w:tcBorders>
              <w:top w:val="single" w:sz="4" w:space="0" w:color="auto"/>
              <w:bottom w:val="nil"/>
            </w:tcBorders>
          </w:tcPr>
          <w:p w14:paraId="46F1B731" w14:textId="448F86E5" w:rsidR="008B06A7" w:rsidRDefault="008B06A7" w:rsidP="00E22D17">
            <w:pPr>
              <w:spacing w:before="40" w:after="40"/>
              <w:jc w:val="center"/>
              <w:cnfStyle w:val="000000010000" w:firstRow="0" w:lastRow="0" w:firstColumn="0" w:lastColumn="0" w:oddVBand="0" w:evenVBand="0" w:oddHBand="0" w:evenHBand="1" w:firstRowFirstColumn="0" w:firstRowLastColumn="0" w:lastRowFirstColumn="0" w:lastRowLastColumn="0"/>
            </w:pPr>
            <w:r>
              <w:t>4</w:t>
            </w:r>
          </w:p>
        </w:tc>
        <w:tc>
          <w:tcPr>
            <w:tcW w:w="567" w:type="dxa"/>
            <w:tcBorders>
              <w:top w:val="single" w:sz="4" w:space="0" w:color="auto"/>
              <w:bottom w:val="nil"/>
            </w:tcBorders>
          </w:tcPr>
          <w:p w14:paraId="420DBA6D" w14:textId="3C2ABC00" w:rsidR="008B06A7" w:rsidRDefault="00EE6816" w:rsidP="00E22D17">
            <w:pPr>
              <w:spacing w:before="40" w:after="40"/>
              <w:jc w:val="center"/>
              <w:cnfStyle w:val="000000010000" w:firstRow="0" w:lastRow="0" w:firstColumn="0" w:lastColumn="0" w:oddVBand="0" w:evenVBand="0" w:oddHBand="0" w:evenHBand="1" w:firstRowFirstColumn="0" w:firstRowLastColumn="0" w:lastRowFirstColumn="0" w:lastRowLastColumn="0"/>
            </w:pPr>
            <w:r w:rsidRPr="00EC7348">
              <w:t>4</w:t>
            </w:r>
          </w:p>
        </w:tc>
        <w:tc>
          <w:tcPr>
            <w:tcW w:w="567" w:type="dxa"/>
            <w:tcBorders>
              <w:top w:val="single" w:sz="4" w:space="0" w:color="auto"/>
              <w:bottom w:val="nil"/>
            </w:tcBorders>
            <w:shd w:val="clear" w:color="auto" w:fill="FFFF00"/>
          </w:tcPr>
          <w:p w14:paraId="23B5C975" w14:textId="77777777" w:rsidR="008B06A7" w:rsidRDefault="008B06A7" w:rsidP="00E22D17">
            <w:pPr>
              <w:spacing w:before="40" w:after="40"/>
              <w:jc w:val="center"/>
              <w:cnfStyle w:val="000000010000" w:firstRow="0" w:lastRow="0" w:firstColumn="0" w:lastColumn="0" w:oddVBand="0" w:evenVBand="0" w:oddHBand="0" w:evenHBand="1" w:firstRowFirstColumn="0" w:firstRowLastColumn="0" w:lastRowFirstColumn="0" w:lastRowLastColumn="0"/>
            </w:pPr>
            <w:r>
              <w:t>5</w:t>
            </w:r>
          </w:p>
        </w:tc>
        <w:tc>
          <w:tcPr>
            <w:tcW w:w="709" w:type="dxa"/>
            <w:tcBorders>
              <w:top w:val="single" w:sz="4" w:space="0" w:color="auto"/>
              <w:bottom w:val="nil"/>
            </w:tcBorders>
          </w:tcPr>
          <w:p w14:paraId="0FFE4986" w14:textId="6D6441D4" w:rsidR="008B06A7" w:rsidRDefault="001F516D" w:rsidP="00E22D17">
            <w:pPr>
              <w:spacing w:before="40" w:after="40"/>
              <w:jc w:val="center"/>
              <w:cnfStyle w:val="000000010000" w:firstRow="0" w:lastRow="0" w:firstColumn="0" w:lastColumn="0" w:oddVBand="0" w:evenVBand="0" w:oddHBand="0" w:evenHBand="1" w:firstRowFirstColumn="0" w:firstRowLastColumn="0" w:lastRowFirstColumn="0" w:lastRowLastColumn="0"/>
            </w:pPr>
            <w:r w:rsidRPr="00EC7348">
              <w:t>4</w:t>
            </w:r>
          </w:p>
        </w:tc>
        <w:tc>
          <w:tcPr>
            <w:tcW w:w="5103" w:type="dxa"/>
            <w:tcBorders>
              <w:top w:val="single" w:sz="4" w:space="0" w:color="auto"/>
              <w:bottom w:val="nil"/>
            </w:tcBorders>
            <w:shd w:val="clear" w:color="auto" w:fill="E7E7E7" w:themeFill="background2"/>
          </w:tcPr>
          <w:p w14:paraId="2957601D" w14:textId="63F1AFDC" w:rsidR="008B06A7" w:rsidRDefault="008B06A7" w:rsidP="00FF1AF6">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F066A2">
              <w:rPr>
                <w:sz w:val="20"/>
                <w:szCs w:val="20"/>
              </w:rPr>
              <w:t>Maintaining the status quo (option 1) w</w:t>
            </w:r>
            <w:r w:rsidR="007D3663">
              <w:rPr>
                <w:sz w:val="20"/>
                <w:szCs w:val="20"/>
              </w:rPr>
              <w:t xml:space="preserve">ould </w:t>
            </w:r>
            <w:r w:rsidRPr="00F066A2">
              <w:rPr>
                <w:sz w:val="20"/>
                <w:szCs w:val="20"/>
              </w:rPr>
              <w:t xml:space="preserve">see voice assistant platforms </w:t>
            </w:r>
            <w:r w:rsidR="007D3663">
              <w:rPr>
                <w:sz w:val="20"/>
                <w:szCs w:val="20"/>
              </w:rPr>
              <w:t>maintain the existing service offering</w:t>
            </w:r>
            <w:r w:rsidR="001F516D">
              <w:rPr>
                <w:sz w:val="20"/>
                <w:szCs w:val="20"/>
              </w:rPr>
              <w:t xml:space="preserve">. </w:t>
            </w:r>
            <w:r w:rsidR="000A0790">
              <w:rPr>
                <w:sz w:val="20"/>
                <w:szCs w:val="20"/>
              </w:rPr>
              <w:t>This is expected to have a neutral impact on these providers.</w:t>
            </w:r>
            <w:r w:rsidR="001F516D">
              <w:rPr>
                <w:sz w:val="20"/>
                <w:szCs w:val="20"/>
              </w:rPr>
              <w:t xml:space="preserve">  </w:t>
            </w:r>
          </w:p>
          <w:p w14:paraId="180F087D" w14:textId="01527CCE" w:rsidR="008B06A7" w:rsidRDefault="00EE6816" w:rsidP="00FF1AF6">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Both options for a radio prominence framework – 2a and 2b – are expected to have a generally neutral impact on the suppliers of voice activation software</w:t>
            </w:r>
            <w:r w:rsidR="001F516D">
              <w:rPr>
                <w:sz w:val="20"/>
                <w:szCs w:val="20"/>
              </w:rPr>
              <w:t>.</w:t>
            </w:r>
            <w:r>
              <w:rPr>
                <w:sz w:val="20"/>
                <w:szCs w:val="20"/>
              </w:rPr>
              <w:t xml:space="preserve"> </w:t>
            </w:r>
            <w:r w:rsidR="008B06A7" w:rsidRPr="00F066A2">
              <w:rPr>
                <w:sz w:val="20"/>
                <w:szCs w:val="20"/>
              </w:rPr>
              <w:t>However, option 2b is a ‘must surface’ obligation</w:t>
            </w:r>
            <w:r w:rsidR="008270B4">
              <w:rPr>
                <w:sz w:val="20"/>
                <w:szCs w:val="20"/>
              </w:rPr>
              <w:t>,</w:t>
            </w:r>
            <w:r w:rsidR="008B06A7" w:rsidRPr="00F066A2">
              <w:rPr>
                <w:sz w:val="20"/>
                <w:szCs w:val="20"/>
              </w:rPr>
              <w:t xml:space="preserve"> </w:t>
            </w:r>
            <w:r w:rsidR="008270B4">
              <w:rPr>
                <w:sz w:val="20"/>
                <w:szCs w:val="20"/>
              </w:rPr>
              <w:t>under</w:t>
            </w:r>
            <w:r w:rsidR="008B06A7" w:rsidRPr="00F066A2">
              <w:rPr>
                <w:sz w:val="20"/>
                <w:szCs w:val="20"/>
              </w:rPr>
              <w:t xml:space="preserve"> which the </w:t>
            </w:r>
            <w:r>
              <w:rPr>
                <w:sz w:val="20"/>
                <w:szCs w:val="20"/>
              </w:rPr>
              <w:t>providers of voice activation software</w:t>
            </w:r>
            <w:r w:rsidR="008B06A7" w:rsidRPr="00F066A2">
              <w:rPr>
                <w:sz w:val="20"/>
                <w:szCs w:val="20"/>
              </w:rPr>
              <w:t xml:space="preserve"> w</w:t>
            </w:r>
            <w:r w:rsidR="008270B4">
              <w:rPr>
                <w:sz w:val="20"/>
                <w:szCs w:val="20"/>
              </w:rPr>
              <w:t xml:space="preserve">ould </w:t>
            </w:r>
            <w:r w:rsidR="008B06A7" w:rsidRPr="00F066A2">
              <w:rPr>
                <w:sz w:val="20"/>
                <w:szCs w:val="20"/>
              </w:rPr>
              <w:t xml:space="preserve">need to negotiate with radio services on the </w:t>
            </w:r>
            <w:r>
              <w:rPr>
                <w:sz w:val="20"/>
                <w:szCs w:val="20"/>
              </w:rPr>
              <w:t xml:space="preserve">access </w:t>
            </w:r>
            <w:r w:rsidR="008B06A7" w:rsidRPr="00F066A2">
              <w:rPr>
                <w:sz w:val="20"/>
                <w:szCs w:val="20"/>
              </w:rPr>
              <w:t>pathway</w:t>
            </w:r>
            <w:r w:rsidR="008270B4">
              <w:rPr>
                <w:sz w:val="20"/>
                <w:szCs w:val="20"/>
              </w:rPr>
              <w:t>. This may have a modest</w:t>
            </w:r>
            <w:r w:rsidR="007725DD">
              <w:rPr>
                <w:sz w:val="20"/>
                <w:szCs w:val="20"/>
              </w:rPr>
              <w:t>ly</w:t>
            </w:r>
            <w:r w:rsidR="008270B4">
              <w:rPr>
                <w:sz w:val="20"/>
                <w:szCs w:val="20"/>
              </w:rPr>
              <w:t xml:space="preserve"> negative impact on platforms if it were to result in the use of pathways that were suboptimal or not preferred by a given </w:t>
            </w:r>
            <w:r>
              <w:rPr>
                <w:sz w:val="20"/>
                <w:szCs w:val="20"/>
              </w:rPr>
              <w:t>voice activation software provider</w:t>
            </w:r>
            <w:r w:rsidR="008270B4">
              <w:rPr>
                <w:sz w:val="20"/>
                <w:szCs w:val="20"/>
              </w:rPr>
              <w:t xml:space="preserve">. </w:t>
            </w:r>
            <w:r w:rsidR="008B06A7" w:rsidRPr="00F066A2">
              <w:rPr>
                <w:sz w:val="20"/>
                <w:szCs w:val="20"/>
              </w:rPr>
              <w:t xml:space="preserve"> </w:t>
            </w:r>
          </w:p>
          <w:p w14:paraId="13C54F9F" w14:textId="4BB37E81" w:rsidR="008B06A7" w:rsidRPr="00F066A2" w:rsidRDefault="008B06A7" w:rsidP="00FF1AF6">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F066A2">
              <w:rPr>
                <w:sz w:val="20"/>
                <w:szCs w:val="20"/>
              </w:rPr>
              <w:t xml:space="preserve">Option 3 </w:t>
            </w:r>
            <w:r w:rsidR="00EE6816">
              <w:rPr>
                <w:sz w:val="20"/>
                <w:szCs w:val="20"/>
              </w:rPr>
              <w:t xml:space="preserve">is </w:t>
            </w:r>
            <w:r w:rsidR="001F516D">
              <w:rPr>
                <w:sz w:val="20"/>
                <w:szCs w:val="20"/>
              </w:rPr>
              <w:t xml:space="preserve">also </w:t>
            </w:r>
            <w:r w:rsidR="00EE6816">
              <w:rPr>
                <w:sz w:val="20"/>
                <w:szCs w:val="20"/>
              </w:rPr>
              <w:t xml:space="preserve">expected to have a </w:t>
            </w:r>
            <w:r w:rsidR="001F516D">
              <w:rPr>
                <w:sz w:val="20"/>
                <w:szCs w:val="20"/>
              </w:rPr>
              <w:t>neutral</w:t>
            </w:r>
            <w:r w:rsidR="00EE6816">
              <w:rPr>
                <w:sz w:val="20"/>
                <w:szCs w:val="20"/>
              </w:rPr>
              <w:t xml:space="preserve"> impact on the suppliers of voice activation software</w:t>
            </w:r>
            <w:r w:rsidR="001F516D">
              <w:rPr>
                <w:sz w:val="20"/>
                <w:szCs w:val="20"/>
              </w:rPr>
              <w:t xml:space="preserve"> as an</w:t>
            </w:r>
            <w:r w:rsidR="007725DD">
              <w:rPr>
                <w:sz w:val="20"/>
                <w:szCs w:val="20"/>
              </w:rPr>
              <w:t>y</w:t>
            </w:r>
            <w:r w:rsidR="001F516D">
              <w:rPr>
                <w:sz w:val="20"/>
                <w:szCs w:val="20"/>
              </w:rPr>
              <w:t xml:space="preserve"> enhancement in the accuracy of voice activation requests for radio </w:t>
            </w:r>
            <w:r w:rsidR="001F516D">
              <w:rPr>
                <w:sz w:val="20"/>
                <w:szCs w:val="20"/>
              </w:rPr>
              <w:lastRenderedPageBreak/>
              <w:t xml:space="preserve">stations is expected to </w:t>
            </w:r>
            <w:r w:rsidRPr="00F066A2">
              <w:rPr>
                <w:sz w:val="20"/>
                <w:szCs w:val="20"/>
              </w:rPr>
              <w:t xml:space="preserve">have a </w:t>
            </w:r>
            <w:r w:rsidR="001F516D">
              <w:rPr>
                <w:sz w:val="20"/>
                <w:szCs w:val="20"/>
              </w:rPr>
              <w:t>minimal</w:t>
            </w:r>
            <w:r w:rsidRPr="00F066A2">
              <w:rPr>
                <w:sz w:val="20"/>
                <w:szCs w:val="20"/>
              </w:rPr>
              <w:t xml:space="preserve"> impact on </w:t>
            </w:r>
            <w:r w:rsidR="001F516D">
              <w:rPr>
                <w:sz w:val="20"/>
                <w:szCs w:val="20"/>
              </w:rPr>
              <w:t xml:space="preserve">these </w:t>
            </w:r>
            <w:r w:rsidRPr="00F066A2">
              <w:rPr>
                <w:sz w:val="20"/>
                <w:szCs w:val="20"/>
              </w:rPr>
              <w:t>providers.</w:t>
            </w:r>
          </w:p>
        </w:tc>
      </w:tr>
      <w:tr w:rsidR="008B06A7" w14:paraId="4B60AD59" w14:textId="77777777" w:rsidTr="00EC7348">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auto"/>
              <w:bottom w:val="nil"/>
            </w:tcBorders>
            <w:shd w:val="clear" w:color="auto" w:fill="E7E7E7" w:themeFill="background2"/>
          </w:tcPr>
          <w:p w14:paraId="069A3CB7" w14:textId="77777777" w:rsidR="008B06A7" w:rsidRDefault="008B06A7" w:rsidP="00FF1AF6">
            <w:pPr>
              <w:spacing w:before="40" w:after="40"/>
              <w:rPr>
                <w:bCs/>
              </w:rPr>
            </w:pPr>
            <w:r>
              <w:rPr>
                <w:b w:val="0"/>
              </w:rPr>
              <w:lastRenderedPageBreak/>
              <w:t>F</w:t>
            </w:r>
            <w:r w:rsidRPr="007455D1">
              <w:rPr>
                <w:b w:val="0"/>
              </w:rPr>
              <w:t>inancial arrangements to facilitate access to radio services on smart speakers </w:t>
            </w:r>
          </w:p>
        </w:tc>
        <w:tc>
          <w:tcPr>
            <w:tcW w:w="567" w:type="dxa"/>
            <w:tcBorders>
              <w:top w:val="single" w:sz="4" w:space="0" w:color="auto"/>
              <w:bottom w:val="nil"/>
            </w:tcBorders>
            <w:shd w:val="clear" w:color="auto" w:fill="D9E5BB" w:themeFill="accent5" w:themeFillTint="99"/>
          </w:tcPr>
          <w:p w14:paraId="6617E25D" w14:textId="238F78A3" w:rsidR="008B06A7" w:rsidRDefault="00AD60FF" w:rsidP="00AD60FF">
            <w:pPr>
              <w:spacing w:before="40" w:after="40"/>
              <w:cnfStyle w:val="000000000000" w:firstRow="0" w:lastRow="0" w:firstColumn="0" w:lastColumn="0" w:oddVBand="0" w:evenVBand="0" w:oddHBand="0" w:evenHBand="0" w:firstRowFirstColumn="0" w:firstRowLastColumn="0" w:lastRowFirstColumn="0" w:lastRowLastColumn="0"/>
            </w:pPr>
            <w:r w:rsidRPr="00EC7348">
              <w:t>3</w:t>
            </w:r>
          </w:p>
        </w:tc>
        <w:tc>
          <w:tcPr>
            <w:tcW w:w="567" w:type="dxa"/>
            <w:tcBorders>
              <w:top w:val="single" w:sz="4" w:space="0" w:color="auto"/>
              <w:bottom w:val="nil"/>
            </w:tcBorders>
            <w:shd w:val="clear" w:color="auto" w:fill="FF0000"/>
          </w:tcPr>
          <w:p w14:paraId="3D53F83B" w14:textId="128B7912" w:rsidR="008B06A7" w:rsidRDefault="007725DD" w:rsidP="00E22D17">
            <w:pPr>
              <w:spacing w:before="40" w:after="40"/>
              <w:jc w:val="center"/>
              <w:cnfStyle w:val="000000000000" w:firstRow="0" w:lastRow="0" w:firstColumn="0" w:lastColumn="0" w:oddVBand="0" w:evenVBand="0" w:oddHBand="0" w:evenHBand="0" w:firstRowFirstColumn="0" w:firstRowLastColumn="0" w:lastRowFirstColumn="0" w:lastRowLastColumn="0"/>
            </w:pPr>
            <w:r w:rsidRPr="00EC7348">
              <w:t>7</w:t>
            </w:r>
          </w:p>
        </w:tc>
        <w:tc>
          <w:tcPr>
            <w:tcW w:w="567" w:type="dxa"/>
            <w:tcBorders>
              <w:top w:val="single" w:sz="4" w:space="0" w:color="auto"/>
              <w:bottom w:val="nil"/>
            </w:tcBorders>
            <w:shd w:val="clear" w:color="auto" w:fill="FF0000"/>
          </w:tcPr>
          <w:p w14:paraId="5966BF3B" w14:textId="325AD9E9" w:rsidR="008B06A7" w:rsidRDefault="007725DD" w:rsidP="00E22D17">
            <w:pPr>
              <w:spacing w:before="40" w:after="40"/>
              <w:jc w:val="center"/>
              <w:cnfStyle w:val="000000000000" w:firstRow="0" w:lastRow="0" w:firstColumn="0" w:lastColumn="0" w:oddVBand="0" w:evenVBand="0" w:oddHBand="0" w:evenHBand="0" w:firstRowFirstColumn="0" w:firstRowLastColumn="0" w:lastRowFirstColumn="0" w:lastRowLastColumn="0"/>
            </w:pPr>
            <w:r w:rsidRPr="00EC7348">
              <w:t>7</w:t>
            </w:r>
          </w:p>
        </w:tc>
        <w:tc>
          <w:tcPr>
            <w:tcW w:w="709" w:type="dxa"/>
            <w:tcBorders>
              <w:top w:val="single" w:sz="4" w:space="0" w:color="auto"/>
              <w:bottom w:val="nil"/>
            </w:tcBorders>
            <w:shd w:val="clear" w:color="auto" w:fill="E2F2EA" w:themeFill="accent6" w:themeFillTint="33"/>
          </w:tcPr>
          <w:p w14:paraId="55C3256E" w14:textId="77777777" w:rsidR="008B06A7" w:rsidRPr="00121CDC" w:rsidRDefault="008B06A7" w:rsidP="00E22D17">
            <w:pPr>
              <w:spacing w:before="40" w:after="40"/>
              <w:jc w:val="center"/>
              <w:cnfStyle w:val="000000000000" w:firstRow="0" w:lastRow="0" w:firstColumn="0" w:lastColumn="0" w:oddVBand="0" w:evenVBand="0" w:oddHBand="0" w:evenHBand="0" w:firstRowFirstColumn="0" w:firstRowLastColumn="0" w:lastRowFirstColumn="0" w:lastRowLastColumn="0"/>
            </w:pPr>
            <w:r>
              <w:t>2</w:t>
            </w:r>
          </w:p>
        </w:tc>
        <w:tc>
          <w:tcPr>
            <w:tcW w:w="5103" w:type="dxa"/>
            <w:tcBorders>
              <w:top w:val="single" w:sz="4" w:space="0" w:color="auto"/>
              <w:bottom w:val="nil"/>
            </w:tcBorders>
            <w:shd w:val="clear" w:color="auto" w:fill="E7E7E7" w:themeFill="background2"/>
          </w:tcPr>
          <w:p w14:paraId="1BC7A089" w14:textId="77777777" w:rsidR="00AD60FF" w:rsidRDefault="008B06A7" w:rsidP="00FF1AF6">
            <w:pPr>
              <w:suppressAutoHyphens w:val="0"/>
              <w:spacing w:before="40" w:after="40"/>
              <w:cnfStyle w:val="000000000000" w:firstRow="0" w:lastRow="0" w:firstColumn="0" w:lastColumn="0" w:oddVBand="0" w:evenVBand="0" w:oddHBand="0" w:evenHBand="0" w:firstRowFirstColumn="0" w:firstRowLastColumn="0" w:lastRowFirstColumn="0" w:lastRowLastColumn="0"/>
              <w:rPr>
                <w:sz w:val="20"/>
                <w:szCs w:val="20"/>
              </w:rPr>
            </w:pPr>
            <w:r w:rsidRPr="00F066A2">
              <w:rPr>
                <w:sz w:val="20"/>
                <w:szCs w:val="20"/>
              </w:rPr>
              <w:t xml:space="preserve">Option 1 </w:t>
            </w:r>
            <w:r w:rsidR="00AD60FF">
              <w:rPr>
                <w:sz w:val="20"/>
                <w:szCs w:val="20"/>
              </w:rPr>
              <w:t xml:space="preserve">is expected to have a modestly positive impact on the suppliers of voice assistance software as this would maintain existing commercial and technical arrangements. </w:t>
            </w:r>
          </w:p>
          <w:p w14:paraId="552DDECC" w14:textId="1143E7F4" w:rsidR="008B06A7" w:rsidRDefault="008B06A7" w:rsidP="00FF1AF6">
            <w:pPr>
              <w:suppressAutoHyphens w:val="0"/>
              <w:spacing w:before="40" w:after="40"/>
              <w:cnfStyle w:val="000000000000" w:firstRow="0" w:lastRow="0" w:firstColumn="0" w:lastColumn="0" w:oddVBand="0" w:evenVBand="0" w:oddHBand="0" w:evenHBand="0" w:firstRowFirstColumn="0" w:firstRowLastColumn="0" w:lastRowFirstColumn="0" w:lastRowLastColumn="0"/>
              <w:rPr>
                <w:sz w:val="20"/>
                <w:szCs w:val="20"/>
              </w:rPr>
            </w:pPr>
            <w:r w:rsidRPr="00F066A2">
              <w:rPr>
                <w:sz w:val="20"/>
                <w:szCs w:val="20"/>
              </w:rPr>
              <w:t>A legislated framework, in either form, w</w:t>
            </w:r>
            <w:r w:rsidR="00E6751C">
              <w:rPr>
                <w:sz w:val="20"/>
                <w:szCs w:val="20"/>
              </w:rPr>
              <w:t>ould</w:t>
            </w:r>
            <w:r w:rsidRPr="00F066A2">
              <w:rPr>
                <w:sz w:val="20"/>
                <w:szCs w:val="20"/>
              </w:rPr>
              <w:t xml:space="preserve"> have a direct cost to voice assistant platforms to upgrade software to ensure compliance. Negative impact</w:t>
            </w:r>
            <w:r w:rsidR="00E6751C">
              <w:rPr>
                <w:sz w:val="20"/>
                <w:szCs w:val="20"/>
              </w:rPr>
              <w:t>s</w:t>
            </w:r>
            <w:r w:rsidRPr="00F066A2">
              <w:rPr>
                <w:sz w:val="20"/>
                <w:szCs w:val="20"/>
              </w:rPr>
              <w:t xml:space="preserve"> could also arise from foregone </w:t>
            </w:r>
            <w:r w:rsidR="00E6751C">
              <w:rPr>
                <w:sz w:val="20"/>
                <w:szCs w:val="20"/>
              </w:rPr>
              <w:t>revenue</w:t>
            </w:r>
            <w:r w:rsidRPr="00F066A2">
              <w:rPr>
                <w:sz w:val="20"/>
                <w:szCs w:val="20"/>
              </w:rPr>
              <w:t xml:space="preserve">: the prohibition on charging radio broadcasting services monetary and non-monetary fees for access to smart speakers (option 2a), or </w:t>
            </w:r>
            <w:r w:rsidR="000A0790">
              <w:rPr>
                <w:sz w:val="20"/>
                <w:szCs w:val="20"/>
              </w:rPr>
              <w:t xml:space="preserve">the </w:t>
            </w:r>
            <w:r w:rsidRPr="00F066A2">
              <w:rPr>
                <w:sz w:val="20"/>
                <w:szCs w:val="20"/>
              </w:rPr>
              <w:t xml:space="preserve">imposition of the fair bargaining requirement which is </w:t>
            </w:r>
            <w:r w:rsidRPr="00F066A2">
              <w:rPr>
                <w:rFonts w:cstheme="minorHAnsi"/>
                <w:sz w:val="20"/>
                <w:szCs w:val="20"/>
              </w:rPr>
              <w:t>intended to substantially increase the negotiating power of broadcasters</w:t>
            </w:r>
            <w:r w:rsidRPr="00F066A2">
              <w:rPr>
                <w:sz w:val="20"/>
                <w:szCs w:val="20"/>
              </w:rPr>
              <w:t xml:space="preserve"> (option 2b). </w:t>
            </w:r>
          </w:p>
          <w:p w14:paraId="5BC90F66" w14:textId="5357F5AD" w:rsidR="008B06A7" w:rsidRPr="00F066A2" w:rsidRDefault="008B06A7" w:rsidP="00FF1AF6">
            <w:pPr>
              <w:suppressAutoHyphens w:val="0"/>
              <w:spacing w:before="40" w:after="40"/>
              <w:cnfStyle w:val="000000000000" w:firstRow="0" w:lastRow="0" w:firstColumn="0" w:lastColumn="0" w:oddVBand="0" w:evenVBand="0" w:oddHBand="0" w:evenHBand="0" w:firstRowFirstColumn="0" w:firstRowLastColumn="0" w:lastRowFirstColumn="0" w:lastRowLastColumn="0"/>
              <w:rPr>
                <w:sz w:val="20"/>
                <w:szCs w:val="20"/>
              </w:rPr>
            </w:pPr>
            <w:r w:rsidRPr="00F066A2">
              <w:rPr>
                <w:sz w:val="20"/>
                <w:szCs w:val="20"/>
              </w:rPr>
              <w:t xml:space="preserve">Option 3 </w:t>
            </w:r>
            <w:r w:rsidR="00561AA9">
              <w:rPr>
                <w:sz w:val="20"/>
                <w:szCs w:val="20"/>
              </w:rPr>
              <w:t xml:space="preserve">is expected to be positive for the suppliers of voice assistant software as it would </w:t>
            </w:r>
            <w:r w:rsidR="000A0790">
              <w:rPr>
                <w:sz w:val="20"/>
                <w:szCs w:val="20"/>
              </w:rPr>
              <w:t xml:space="preserve">effectively </w:t>
            </w:r>
            <w:r w:rsidR="00561AA9">
              <w:rPr>
                <w:sz w:val="20"/>
                <w:szCs w:val="20"/>
              </w:rPr>
              <w:t xml:space="preserve">provide a subsidy for access costs to radio broadcasters that could, indirectly, enable the providers of voice assistant software to maintain or increase their access fees. </w:t>
            </w:r>
            <w:r w:rsidRPr="00F066A2">
              <w:rPr>
                <w:sz w:val="20"/>
                <w:szCs w:val="20"/>
              </w:rPr>
              <w:t xml:space="preserve"> </w:t>
            </w:r>
          </w:p>
        </w:tc>
      </w:tr>
      <w:tr w:rsidR="008B06A7" w14:paraId="4014E153" w14:textId="77777777" w:rsidTr="00EC7348">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auto"/>
              <w:bottom w:val="single" w:sz="4" w:space="0" w:color="auto"/>
            </w:tcBorders>
          </w:tcPr>
          <w:p w14:paraId="56E6FB62" w14:textId="77777777" w:rsidR="008B06A7" w:rsidRDefault="008B06A7" w:rsidP="00FF1AF6">
            <w:pPr>
              <w:spacing w:before="40" w:after="40"/>
            </w:pPr>
            <w:r>
              <w:t>Average</w:t>
            </w:r>
          </w:p>
        </w:tc>
        <w:tc>
          <w:tcPr>
            <w:tcW w:w="567" w:type="dxa"/>
            <w:tcBorders>
              <w:top w:val="single" w:sz="4" w:space="0" w:color="auto"/>
              <w:bottom w:val="single" w:sz="4" w:space="0" w:color="auto"/>
            </w:tcBorders>
            <w:shd w:val="clear" w:color="auto" w:fill="D9E5BB" w:themeFill="accent5" w:themeFillTint="99"/>
          </w:tcPr>
          <w:p w14:paraId="7646C673" w14:textId="20CCE477" w:rsidR="008B06A7" w:rsidRPr="00B208A3" w:rsidRDefault="000A0790" w:rsidP="00D45C57">
            <w:pPr>
              <w:spacing w:before="40" w:after="40"/>
              <w:jc w:val="center"/>
              <w:cnfStyle w:val="000000010000" w:firstRow="0" w:lastRow="0" w:firstColumn="0" w:lastColumn="0" w:oddVBand="0" w:evenVBand="0" w:oddHBand="0" w:evenHBand="1" w:firstRowFirstColumn="0" w:firstRowLastColumn="0" w:lastRowFirstColumn="0" w:lastRowLastColumn="0"/>
              <w:rPr>
                <w:b/>
                <w:bCs/>
              </w:rPr>
            </w:pPr>
            <w:r>
              <w:rPr>
                <w:b/>
                <w:bCs/>
              </w:rPr>
              <w:t>3.5</w:t>
            </w:r>
          </w:p>
        </w:tc>
        <w:tc>
          <w:tcPr>
            <w:tcW w:w="567" w:type="dxa"/>
            <w:tcBorders>
              <w:top w:val="single" w:sz="4" w:space="0" w:color="auto"/>
              <w:bottom w:val="single" w:sz="4" w:space="0" w:color="auto"/>
            </w:tcBorders>
            <w:shd w:val="clear" w:color="auto" w:fill="FFFF00"/>
          </w:tcPr>
          <w:p w14:paraId="1438208B" w14:textId="266EE1ED" w:rsidR="008B06A7" w:rsidRPr="00B208A3" w:rsidRDefault="000A0790" w:rsidP="00E22D17">
            <w:pPr>
              <w:spacing w:before="40" w:after="40"/>
              <w:jc w:val="center"/>
              <w:cnfStyle w:val="000000010000" w:firstRow="0" w:lastRow="0" w:firstColumn="0" w:lastColumn="0" w:oddVBand="0" w:evenVBand="0" w:oddHBand="0" w:evenHBand="1" w:firstRowFirstColumn="0" w:firstRowLastColumn="0" w:lastRowFirstColumn="0" w:lastRowLastColumn="0"/>
              <w:rPr>
                <w:b/>
                <w:bCs/>
              </w:rPr>
            </w:pPr>
            <w:r>
              <w:rPr>
                <w:b/>
                <w:bCs/>
              </w:rPr>
              <w:t xml:space="preserve"> 5.5</w:t>
            </w:r>
          </w:p>
        </w:tc>
        <w:tc>
          <w:tcPr>
            <w:tcW w:w="567" w:type="dxa"/>
            <w:tcBorders>
              <w:top w:val="single" w:sz="4" w:space="0" w:color="auto"/>
              <w:bottom w:val="single" w:sz="4" w:space="0" w:color="auto"/>
            </w:tcBorders>
            <w:shd w:val="clear" w:color="auto" w:fill="FFC000"/>
          </w:tcPr>
          <w:p w14:paraId="4845243A" w14:textId="4DF10763" w:rsidR="008B06A7" w:rsidRPr="00B208A3" w:rsidRDefault="000A0790" w:rsidP="00E22D17">
            <w:pPr>
              <w:spacing w:before="40" w:after="40"/>
              <w:jc w:val="center"/>
              <w:cnfStyle w:val="000000010000" w:firstRow="0" w:lastRow="0" w:firstColumn="0" w:lastColumn="0" w:oddVBand="0" w:evenVBand="0" w:oddHBand="0" w:evenHBand="1" w:firstRowFirstColumn="0" w:firstRowLastColumn="0" w:lastRowFirstColumn="0" w:lastRowLastColumn="0"/>
              <w:rPr>
                <w:b/>
                <w:bCs/>
              </w:rPr>
            </w:pPr>
            <w:r>
              <w:rPr>
                <w:b/>
                <w:bCs/>
              </w:rPr>
              <w:t xml:space="preserve"> 6</w:t>
            </w:r>
          </w:p>
        </w:tc>
        <w:tc>
          <w:tcPr>
            <w:tcW w:w="709" w:type="dxa"/>
            <w:tcBorders>
              <w:top w:val="single" w:sz="4" w:space="0" w:color="auto"/>
              <w:bottom w:val="single" w:sz="4" w:space="0" w:color="auto"/>
            </w:tcBorders>
            <w:shd w:val="clear" w:color="auto" w:fill="D9E5BB" w:themeFill="accent5" w:themeFillTint="99"/>
          </w:tcPr>
          <w:p w14:paraId="1F8B9399" w14:textId="344C2DF9" w:rsidR="008B06A7" w:rsidRPr="00B208A3" w:rsidRDefault="00561AA9" w:rsidP="00E22D17">
            <w:pPr>
              <w:spacing w:before="40" w:after="40"/>
              <w:jc w:val="center"/>
              <w:cnfStyle w:val="000000010000" w:firstRow="0" w:lastRow="0" w:firstColumn="0" w:lastColumn="0" w:oddVBand="0" w:evenVBand="0" w:oddHBand="0" w:evenHBand="1" w:firstRowFirstColumn="0" w:firstRowLastColumn="0" w:lastRowFirstColumn="0" w:lastRowLastColumn="0"/>
              <w:rPr>
                <w:b/>
                <w:bCs/>
              </w:rPr>
            </w:pPr>
            <w:r>
              <w:rPr>
                <w:b/>
                <w:bCs/>
              </w:rPr>
              <w:t>3</w:t>
            </w:r>
          </w:p>
        </w:tc>
        <w:tc>
          <w:tcPr>
            <w:tcW w:w="5103" w:type="dxa"/>
            <w:tcBorders>
              <w:top w:val="single" w:sz="4" w:space="0" w:color="auto"/>
              <w:bottom w:val="single" w:sz="4" w:space="0" w:color="auto"/>
            </w:tcBorders>
          </w:tcPr>
          <w:p w14:paraId="48AA15D8" w14:textId="77777777" w:rsidR="008B06A7" w:rsidRPr="00E44520" w:rsidRDefault="008B06A7" w:rsidP="00FF1AF6">
            <w:pPr>
              <w:spacing w:before="40" w:after="40"/>
              <w:cnfStyle w:val="000000010000" w:firstRow="0" w:lastRow="0" w:firstColumn="0" w:lastColumn="0" w:oddVBand="0" w:evenVBand="0" w:oddHBand="0" w:evenHBand="1" w:firstRowFirstColumn="0" w:firstRowLastColumn="0" w:lastRowFirstColumn="0" w:lastRowLastColumn="0"/>
            </w:pPr>
          </w:p>
        </w:tc>
      </w:tr>
    </w:tbl>
    <w:p w14:paraId="216353FF" w14:textId="77777777" w:rsidR="006229EB" w:rsidRDefault="006229EB" w:rsidP="00DE7346"/>
    <w:p w14:paraId="26649E11" w14:textId="5B7ED5DA" w:rsidR="000970D7" w:rsidRDefault="006229EB" w:rsidP="00D45C57">
      <w:pPr>
        <w:suppressAutoHyphens w:val="0"/>
      </w:pPr>
      <w:r>
        <w:br w:type="page"/>
      </w:r>
    </w:p>
    <w:p w14:paraId="2CCD9A43" w14:textId="4FE5150A" w:rsidR="003A0BFA" w:rsidRDefault="006B1BCB" w:rsidP="003A0BFA">
      <w:pPr>
        <w:pStyle w:val="Heading1Numbered"/>
      </w:pPr>
      <w:bookmarkStart w:id="119" w:name="_Toc236825176"/>
      <w:r>
        <w:lastRenderedPageBreak/>
        <w:t>What</w:t>
      </w:r>
      <w:r w:rsidR="004F01C3">
        <w:t xml:space="preserve"> consult</w:t>
      </w:r>
      <w:r>
        <w:t>ation was undertaken</w:t>
      </w:r>
      <w:r w:rsidR="004F01C3">
        <w:t xml:space="preserve"> and how </w:t>
      </w:r>
      <w:r>
        <w:t xml:space="preserve">was feedback </w:t>
      </w:r>
      <w:r w:rsidR="004F01C3">
        <w:t>incorporate</w:t>
      </w:r>
      <w:r>
        <w:t>d into the policy design</w:t>
      </w:r>
      <w:r w:rsidR="004F01C3">
        <w:t>?</w:t>
      </w:r>
      <w:bookmarkEnd w:id="119"/>
    </w:p>
    <w:p w14:paraId="0A1A16A1" w14:textId="290406F5" w:rsidR="0002715D" w:rsidRDefault="002549BC" w:rsidP="00AF6F5B">
      <w:pPr>
        <w:suppressAutoHyphens w:val="0"/>
        <w:rPr>
          <w:lang w:val="en-US"/>
        </w:rPr>
      </w:pPr>
      <w:r>
        <w:rPr>
          <w:lang w:val="en-US"/>
        </w:rPr>
        <w:t>T</w:t>
      </w:r>
      <w:r w:rsidR="008D55FA" w:rsidRPr="00230892">
        <w:rPr>
          <w:lang w:val="en-US"/>
        </w:rPr>
        <w:t xml:space="preserve">he </w:t>
      </w:r>
      <w:r w:rsidR="00F21CF9">
        <w:rPr>
          <w:lang w:val="en-US"/>
        </w:rPr>
        <w:t>Government</w:t>
      </w:r>
      <w:r w:rsidR="008D55FA" w:rsidRPr="00230892">
        <w:rPr>
          <w:lang w:val="en-US"/>
        </w:rPr>
        <w:t xml:space="preserve"> released </w:t>
      </w:r>
      <w:r w:rsidR="007D241B">
        <w:rPr>
          <w:lang w:val="en-US"/>
        </w:rPr>
        <w:t>the</w:t>
      </w:r>
      <w:r w:rsidR="008D55FA" w:rsidRPr="00230892">
        <w:rPr>
          <w:lang w:val="en-US"/>
        </w:rPr>
        <w:t xml:space="preserve"> </w:t>
      </w:r>
      <w:r w:rsidR="009A6481" w:rsidRPr="00F75F3E">
        <w:rPr>
          <w:i/>
          <w:iCs/>
        </w:rPr>
        <w:t xml:space="preserve">Radio prominence on smart </w:t>
      </w:r>
      <w:proofErr w:type="gramStart"/>
      <w:r w:rsidR="009A6481" w:rsidRPr="00F75F3E">
        <w:rPr>
          <w:i/>
          <w:iCs/>
        </w:rPr>
        <w:t>speakers</w:t>
      </w:r>
      <w:proofErr w:type="gramEnd"/>
      <w:r w:rsidR="009A6481" w:rsidRPr="00F75F3E">
        <w:rPr>
          <w:i/>
          <w:iCs/>
        </w:rPr>
        <w:t xml:space="preserve"> proposals paper</w:t>
      </w:r>
      <w:r w:rsidR="009A6481">
        <w:rPr>
          <w:lang w:val="en-US"/>
        </w:rPr>
        <w:t xml:space="preserve"> for public consultation between 30 September and 11 November 2024.</w:t>
      </w:r>
      <w:r w:rsidR="003C520B">
        <w:rPr>
          <w:rStyle w:val="FootnoteReference"/>
          <w:lang w:val="en-US"/>
        </w:rPr>
        <w:footnoteReference w:id="59"/>
      </w:r>
      <w:r w:rsidR="009A6481">
        <w:rPr>
          <w:lang w:val="en-US"/>
        </w:rPr>
        <w:t xml:space="preserve"> The paper</w:t>
      </w:r>
      <w:r w:rsidR="008D55FA" w:rsidRPr="00230892">
        <w:rPr>
          <w:lang w:val="en-US"/>
        </w:rPr>
        <w:t xml:space="preserve"> detail</w:t>
      </w:r>
      <w:r w:rsidR="009A6481">
        <w:rPr>
          <w:lang w:val="en-US"/>
        </w:rPr>
        <w:t>ed</w:t>
      </w:r>
      <w:r w:rsidR="008D55FA" w:rsidRPr="00230892">
        <w:rPr>
          <w:lang w:val="en-US"/>
        </w:rPr>
        <w:t xml:space="preserve"> eight </w:t>
      </w:r>
      <w:r w:rsidR="009535D3">
        <w:rPr>
          <w:lang w:val="en-US"/>
        </w:rPr>
        <w:t>key</w:t>
      </w:r>
      <w:r w:rsidR="0032080C">
        <w:rPr>
          <w:lang w:val="en-US"/>
        </w:rPr>
        <w:t xml:space="preserve"> issue</w:t>
      </w:r>
      <w:r w:rsidR="0032080C" w:rsidRPr="00230892">
        <w:rPr>
          <w:lang w:val="en-US"/>
        </w:rPr>
        <w:t xml:space="preserve">s </w:t>
      </w:r>
      <w:r w:rsidR="008D55FA" w:rsidRPr="00230892">
        <w:rPr>
          <w:lang w:val="en-US"/>
        </w:rPr>
        <w:t xml:space="preserve">for consideration </w:t>
      </w:r>
      <w:r w:rsidR="009A6481">
        <w:rPr>
          <w:lang w:val="en-US"/>
        </w:rPr>
        <w:t>i</w:t>
      </w:r>
      <w:r w:rsidR="009535D3">
        <w:rPr>
          <w:lang w:val="en-US"/>
        </w:rPr>
        <w:t>n</w:t>
      </w:r>
      <w:r w:rsidR="009A6481" w:rsidRPr="00230892">
        <w:rPr>
          <w:lang w:val="en-US"/>
        </w:rPr>
        <w:t xml:space="preserve"> </w:t>
      </w:r>
      <w:r w:rsidR="008D55FA" w:rsidRPr="00230892">
        <w:rPr>
          <w:lang w:val="en-US"/>
        </w:rPr>
        <w:t xml:space="preserve">designing a </w:t>
      </w:r>
      <w:r w:rsidR="009A6481">
        <w:rPr>
          <w:lang w:val="en-US"/>
        </w:rPr>
        <w:t xml:space="preserve">potential </w:t>
      </w:r>
      <w:r w:rsidR="008D55FA" w:rsidRPr="00230892">
        <w:rPr>
          <w:lang w:val="en-US"/>
        </w:rPr>
        <w:t>radio prominence framework for smart speakers</w:t>
      </w:r>
      <w:r w:rsidR="00795E28">
        <w:rPr>
          <w:lang w:val="en-US"/>
        </w:rPr>
        <w:t xml:space="preserve">, with multiple options </w:t>
      </w:r>
      <w:r w:rsidR="00494BD2">
        <w:rPr>
          <w:lang w:val="en-US"/>
        </w:rPr>
        <w:t>for discussion for most of the key issues</w:t>
      </w:r>
      <w:r w:rsidR="008D55FA" w:rsidRPr="00230892">
        <w:rPr>
          <w:lang w:val="en-US"/>
        </w:rPr>
        <w:t>.</w:t>
      </w:r>
      <w:r w:rsidR="00494BD2">
        <w:rPr>
          <w:lang w:val="en-US"/>
        </w:rPr>
        <w:t xml:space="preserve"> A government </w:t>
      </w:r>
      <w:r w:rsidR="00BA1E0E">
        <w:rPr>
          <w:lang w:val="en-US"/>
        </w:rPr>
        <w:t xml:space="preserve">preferred </w:t>
      </w:r>
      <w:r w:rsidR="00EF1C01">
        <w:rPr>
          <w:lang w:val="en-US"/>
        </w:rPr>
        <w:t xml:space="preserve">model for a radio prominence framework was also set out through </w:t>
      </w:r>
      <w:r w:rsidR="00C85F57">
        <w:rPr>
          <w:lang w:val="en-US"/>
        </w:rPr>
        <w:t>a</w:t>
      </w:r>
      <w:r w:rsidR="00EF1C01">
        <w:rPr>
          <w:lang w:val="en-US"/>
        </w:rPr>
        <w:t xml:space="preserve"> key issues discussion.</w:t>
      </w:r>
      <w:r w:rsidR="00EF1C01">
        <w:rPr>
          <w:rStyle w:val="FootnoteReference"/>
          <w:lang w:val="en-US"/>
        </w:rPr>
        <w:footnoteReference w:id="60"/>
      </w:r>
      <w:r w:rsidR="000D15B4">
        <w:rPr>
          <w:lang w:val="en-US"/>
        </w:rPr>
        <w:t xml:space="preserve"> </w:t>
      </w:r>
    </w:p>
    <w:p w14:paraId="367AA28C" w14:textId="5A53B455" w:rsidR="00F21CF9" w:rsidRPr="00F21CF9" w:rsidRDefault="0091099F" w:rsidP="006B1BCB">
      <w:pPr>
        <w:spacing w:before="120" w:after="120"/>
        <w:rPr>
          <w:lang w:val="en-US"/>
        </w:rPr>
      </w:pPr>
      <w:r>
        <w:t xml:space="preserve">Submissions were </w:t>
      </w:r>
      <w:r w:rsidRPr="00FA20D6">
        <w:t xml:space="preserve">received from </w:t>
      </w:r>
      <w:r w:rsidR="00293924">
        <w:rPr>
          <w:rFonts w:eastAsia="Times New Roman"/>
        </w:rPr>
        <w:t>broadcasters, digital platforms and device manufacturers, and their representative bodies</w:t>
      </w:r>
      <w:r w:rsidR="005C5FE6">
        <w:rPr>
          <w:rFonts w:eastAsia="Times New Roman"/>
        </w:rPr>
        <w:t>, as well as academics and the public</w:t>
      </w:r>
      <w:r w:rsidRPr="00FA20D6">
        <w:t>.</w:t>
      </w:r>
      <w:r w:rsidR="005C5FE6">
        <w:t xml:space="preserve"> </w:t>
      </w:r>
      <w:r w:rsidR="00665F35">
        <w:t xml:space="preserve">While geolocation of a device was not specifically considered in the proposals paper, this was an issue that was raised by various stakeholders during the consultation. A key stakeholder was </w:t>
      </w:r>
      <w:r w:rsidR="000A0790">
        <w:t>also s</w:t>
      </w:r>
      <w:r w:rsidR="00665F35">
        <w:t xml:space="preserve">upportive of the inclusion of DAB+ stations as a regulated radio </w:t>
      </w:r>
      <w:r w:rsidR="00FD19CF">
        <w:t xml:space="preserve">service </w:t>
      </w:r>
      <w:r w:rsidR="00665F35">
        <w:t>provider.</w:t>
      </w:r>
      <w:r w:rsidR="00D3761E">
        <w:rPr>
          <w:lang w:val="en-US"/>
        </w:rPr>
        <w:t xml:space="preserve"> </w:t>
      </w:r>
      <w:r w:rsidR="00E371AB">
        <w:rPr>
          <w:lang w:val="en-US"/>
        </w:rPr>
        <w:t>I</w:t>
      </w:r>
      <w:r w:rsidR="00D3761E">
        <w:rPr>
          <w:lang w:val="en-US"/>
        </w:rPr>
        <w:t xml:space="preserve">n response to the feedback, </w:t>
      </w:r>
      <w:r w:rsidR="00AD7BE6">
        <w:rPr>
          <w:lang w:val="en-US"/>
        </w:rPr>
        <w:t xml:space="preserve">the proposed reforms have been </w:t>
      </w:r>
      <w:r w:rsidR="000A0790">
        <w:rPr>
          <w:lang w:val="en-US"/>
        </w:rPr>
        <w:t xml:space="preserve">adjusted </w:t>
      </w:r>
      <w:r w:rsidR="00AD7BE6">
        <w:rPr>
          <w:lang w:val="en-US"/>
        </w:rPr>
        <w:t xml:space="preserve">to include </w:t>
      </w:r>
      <w:r w:rsidR="00D3761E">
        <w:rPr>
          <w:lang w:val="en-US"/>
        </w:rPr>
        <w:t>geo-location and DAB+ stations.</w:t>
      </w:r>
      <w:r w:rsidR="00B7599A">
        <w:rPr>
          <w:lang w:val="en-US"/>
        </w:rPr>
        <w:t xml:space="preserve"> Stakeholder views are discussed in further detail at 5.1.</w:t>
      </w:r>
    </w:p>
    <w:p w14:paraId="4AD7615B" w14:textId="44654A3B" w:rsidR="0096212F" w:rsidRDefault="008D55FA">
      <w:pPr>
        <w:suppressAutoHyphens w:val="0"/>
      </w:pPr>
      <w:r w:rsidRPr="00230892">
        <w:t xml:space="preserve">The </w:t>
      </w:r>
      <w:r w:rsidR="000A0790">
        <w:t>design of</w:t>
      </w:r>
      <w:r w:rsidRPr="00230892">
        <w:t xml:space="preserve"> </w:t>
      </w:r>
      <w:r w:rsidR="00E8468F">
        <w:t xml:space="preserve">legislation to implement </w:t>
      </w:r>
      <w:r w:rsidRPr="00230892">
        <w:t xml:space="preserve">the framework will take into consideration the views of stakeholders provided during this phase and will seek to balance the needs of each sector while supporting the achievement of established media policy objectives. </w:t>
      </w:r>
      <w:r w:rsidR="00F21CF9">
        <w:t>Further consultation is also proposed in relation to the proposed legislation to enable all parties to provide comment on specific proposals</w:t>
      </w:r>
      <w:r w:rsidR="000A0790">
        <w:t>.</w:t>
      </w:r>
      <w:r w:rsidR="00F21CF9">
        <w:t xml:space="preserve"> </w:t>
      </w:r>
    </w:p>
    <w:p w14:paraId="0C30B3E9" w14:textId="31D95D25" w:rsidR="00C96A95" w:rsidRDefault="006D6008" w:rsidP="00A016A3">
      <w:pPr>
        <w:pStyle w:val="Heading2Numbered"/>
      </w:pPr>
      <w:bookmarkStart w:id="120" w:name="_Toc236825177"/>
      <w:r>
        <w:t>Post-consultation analysis</w:t>
      </w:r>
      <w:bookmarkEnd w:id="120"/>
    </w:p>
    <w:p w14:paraId="49BC4ED5" w14:textId="6F6B040A" w:rsidR="003F5CED" w:rsidRDefault="003F5CED">
      <w:pPr>
        <w:suppressAutoHyphens w:val="0"/>
      </w:pPr>
      <w:r>
        <w:t>The consultation provided insight</w:t>
      </w:r>
      <w:r w:rsidR="008A1B70">
        <w:t>s</w:t>
      </w:r>
      <w:r>
        <w:t xml:space="preserve"> into the relationships between voice assistant platforms and radio station</w:t>
      </w:r>
      <w:r w:rsidR="008A1B70">
        <w:t xml:space="preserve">s and the issues associated with users accessing radio stations accessing </w:t>
      </w:r>
      <w:r w:rsidR="002A3E7A">
        <w:t>on smart speakers. These views and perspectives supported the consideration of options set out in the IA, noting the information limitations described in section 5.1.</w:t>
      </w:r>
      <w:r w:rsidR="00585C0E">
        <w:t>2</w:t>
      </w:r>
      <w:r w:rsidR="002A3E7A">
        <w:t xml:space="preserve">. </w:t>
      </w:r>
    </w:p>
    <w:p w14:paraId="74989C9D" w14:textId="4709E630" w:rsidR="00A85AFB" w:rsidRDefault="00A85AFB" w:rsidP="00836BBF">
      <w:pPr>
        <w:pStyle w:val="Heading3Numbered"/>
      </w:pPr>
      <w:bookmarkStart w:id="121" w:name="_Toc236825178"/>
      <w:r>
        <w:t>What are the major stakeholder’s views on the proposed radio prominence framework?</w:t>
      </w:r>
      <w:bookmarkEnd w:id="121"/>
    </w:p>
    <w:p w14:paraId="2F4DE8C8" w14:textId="77777777" w:rsidR="000437C6" w:rsidRPr="00F60C89" w:rsidRDefault="000437C6" w:rsidP="000437C6">
      <w:pPr>
        <w:rPr>
          <w:u w:val="single"/>
        </w:rPr>
      </w:pPr>
      <w:r w:rsidRPr="00F60C89">
        <w:rPr>
          <w:u w:val="single"/>
        </w:rPr>
        <w:t>Radio broadcasters</w:t>
      </w:r>
      <w:r>
        <w:rPr>
          <w:u w:val="single"/>
        </w:rPr>
        <w:t xml:space="preserve"> and aligned representative bodies</w:t>
      </w:r>
    </w:p>
    <w:p w14:paraId="194266D9" w14:textId="3EEF76E7" w:rsidR="000437C6" w:rsidRPr="003D194A" w:rsidRDefault="000437C6" w:rsidP="000437C6">
      <w:pPr>
        <w:pStyle w:val="ListParagraph"/>
        <w:numPr>
          <w:ilvl w:val="0"/>
          <w:numId w:val="53"/>
        </w:numPr>
        <w:suppressAutoHyphens w:val="0"/>
        <w:spacing w:before="0" w:after="120"/>
        <w:ind w:hanging="357"/>
        <w:contextualSpacing w:val="0"/>
      </w:pPr>
      <w:r w:rsidRPr="003D194A">
        <w:t>Radio broadcasters were generally supportive of the propos</w:t>
      </w:r>
      <w:r>
        <w:t>ed</w:t>
      </w:r>
      <w:r w:rsidR="00F15DF5">
        <w:t xml:space="preserve"> radio prominence</w:t>
      </w:r>
      <w:r>
        <w:t xml:space="preserve"> </w:t>
      </w:r>
      <w:r w:rsidRPr="003D194A">
        <w:t>framework</w:t>
      </w:r>
      <w:r>
        <w:t xml:space="preserve">, including the ‘no cost’ approach and the </w:t>
      </w:r>
      <w:r w:rsidR="00C96042">
        <w:t>breadth</w:t>
      </w:r>
      <w:r>
        <w:t xml:space="preserve"> of radio services</w:t>
      </w:r>
      <w:r w:rsidR="00C96042">
        <w:t xml:space="preserve"> under the scheme</w:t>
      </w:r>
      <w:r w:rsidRPr="003D194A">
        <w:t>. However, they consider</w:t>
      </w:r>
      <w:r w:rsidR="000A0790">
        <w:t>ed</w:t>
      </w:r>
      <w:r w:rsidRPr="003D194A">
        <w:t xml:space="preserve"> the framework should be extended to cover a wider range of devices</w:t>
      </w:r>
      <w:r>
        <w:t>; s</w:t>
      </w:r>
      <w:r w:rsidR="000A0790">
        <w:t>ought</w:t>
      </w:r>
      <w:r>
        <w:t xml:space="preserve"> the </w:t>
      </w:r>
      <w:r w:rsidR="00C96042">
        <w:t>inclusion</w:t>
      </w:r>
      <w:r>
        <w:t xml:space="preserve"> of all their online content </w:t>
      </w:r>
      <w:r w:rsidR="000A0790">
        <w:t>(</w:t>
      </w:r>
      <w:r w:rsidR="00C96042">
        <w:t>including</w:t>
      </w:r>
      <w:r>
        <w:t xml:space="preserve"> live simulcasts of broadcasts and on-demand content</w:t>
      </w:r>
      <w:r w:rsidR="000A0790">
        <w:t>)</w:t>
      </w:r>
      <w:r>
        <w:t xml:space="preserve">; and </w:t>
      </w:r>
      <w:r w:rsidR="000A0790">
        <w:t>called</w:t>
      </w:r>
      <w:r>
        <w:t xml:space="preserve"> for broadcasters to be able to ‘nominate’ the pathway by which radio services are surfaced on audio devices</w:t>
      </w:r>
      <w:r w:rsidRPr="003D194A">
        <w:t xml:space="preserve">.      </w:t>
      </w:r>
    </w:p>
    <w:p w14:paraId="1EED2577" w14:textId="18E611BA" w:rsidR="000437C6" w:rsidRPr="00327B7B" w:rsidRDefault="000437C6" w:rsidP="00F14D2E">
      <w:pPr>
        <w:pStyle w:val="ListParagraph"/>
        <w:numPr>
          <w:ilvl w:val="0"/>
          <w:numId w:val="53"/>
        </w:numPr>
        <w:suppressAutoHyphens w:val="0"/>
        <w:spacing w:before="0" w:after="120"/>
        <w:ind w:hanging="357"/>
        <w:contextualSpacing w:val="0"/>
      </w:pPr>
      <w:r w:rsidRPr="00327B7B">
        <w:t>The radio sector called for a</w:t>
      </w:r>
      <w:r w:rsidR="002A3E7A">
        <w:t xml:space="preserve">n </w:t>
      </w:r>
      <w:r>
        <w:t>implementation</w:t>
      </w:r>
      <w:r w:rsidRPr="00327B7B">
        <w:t xml:space="preserve"> period for the framework of 6 </w:t>
      </w:r>
      <w:r>
        <w:t xml:space="preserve">to 12 </w:t>
      </w:r>
      <w:r w:rsidRPr="00327B7B">
        <w:t>months, and</w:t>
      </w:r>
      <w:r>
        <w:t xml:space="preserve"> for</w:t>
      </w:r>
      <w:r w:rsidRPr="00327B7B">
        <w:t xml:space="preserve"> the framework to apply to all devices capable of receiving software updates at the commencement of the framework. </w:t>
      </w:r>
      <w:r w:rsidR="002A3E7A" w:rsidRPr="00040F54">
        <w:t xml:space="preserve">The radio sector </w:t>
      </w:r>
      <w:r w:rsidR="002A3E7A">
        <w:t>also held differing</w:t>
      </w:r>
      <w:r w:rsidR="002A3E7A" w:rsidRPr="00040F54">
        <w:t xml:space="preserve"> views on</w:t>
      </w:r>
      <w:r w:rsidR="002A3E7A">
        <w:t xml:space="preserve"> </w:t>
      </w:r>
      <w:r w:rsidR="002A3E7A" w:rsidRPr="00040F54">
        <w:t>the entities that should be required to comply with the prominence obligation</w:t>
      </w:r>
      <w:r w:rsidR="002A3E7A">
        <w:t xml:space="preserve">; the level of prominence to be provided by ‘regulated access providers’; and the approach to maintaining the integrity of the broadcast content as an online stream. </w:t>
      </w:r>
    </w:p>
    <w:p w14:paraId="0AC2FBCF" w14:textId="2BD675C8" w:rsidR="000437C6" w:rsidRPr="004078F3" w:rsidRDefault="000437C6" w:rsidP="000437C6">
      <w:pPr>
        <w:rPr>
          <w:u w:val="single"/>
        </w:rPr>
      </w:pPr>
      <w:r w:rsidRPr="004078F3">
        <w:rPr>
          <w:u w:val="single"/>
        </w:rPr>
        <w:t>Voice activation software provider</w:t>
      </w:r>
      <w:r w:rsidR="00B73B54">
        <w:rPr>
          <w:u w:val="single"/>
        </w:rPr>
        <w:t>s</w:t>
      </w:r>
      <w:r w:rsidRPr="004078F3">
        <w:rPr>
          <w:u w:val="single"/>
        </w:rPr>
        <w:t xml:space="preserve"> </w:t>
      </w:r>
    </w:p>
    <w:p w14:paraId="7542E2CD" w14:textId="496E1205" w:rsidR="000437C6" w:rsidRPr="003C66AE" w:rsidRDefault="000437C6" w:rsidP="000437C6">
      <w:pPr>
        <w:pStyle w:val="ListParagraph"/>
        <w:numPr>
          <w:ilvl w:val="0"/>
          <w:numId w:val="53"/>
        </w:numPr>
        <w:suppressAutoHyphens w:val="0"/>
        <w:spacing w:before="0" w:after="120"/>
        <w:ind w:left="357" w:hanging="357"/>
        <w:contextualSpacing w:val="0"/>
        <w:rPr>
          <w:b/>
        </w:rPr>
      </w:pPr>
      <w:r w:rsidRPr="003C66AE">
        <w:t xml:space="preserve">Amazon Australia was the only provider of a voice activation platform </w:t>
      </w:r>
      <w:r>
        <w:t xml:space="preserve">to </w:t>
      </w:r>
      <w:r w:rsidRPr="003C66AE">
        <w:t xml:space="preserve">make a submission </w:t>
      </w:r>
      <w:r w:rsidR="00C96042">
        <w:t xml:space="preserve">in response </w:t>
      </w:r>
      <w:r w:rsidRPr="003C66AE">
        <w:t xml:space="preserve">to the </w:t>
      </w:r>
      <w:r>
        <w:t>proposals</w:t>
      </w:r>
      <w:r w:rsidRPr="003C66AE">
        <w:t xml:space="preserve"> paper. Amazon </w:t>
      </w:r>
      <w:r w:rsidR="00C96042">
        <w:t>argued</w:t>
      </w:r>
      <w:r w:rsidRPr="003C66AE">
        <w:t xml:space="preserve"> </w:t>
      </w:r>
      <w:r w:rsidR="00371198">
        <w:t xml:space="preserve">that </w:t>
      </w:r>
      <w:r w:rsidRPr="003C66AE">
        <w:t xml:space="preserve">a radio prominence framework </w:t>
      </w:r>
      <w:r w:rsidR="00C96042">
        <w:t>was</w:t>
      </w:r>
      <w:r w:rsidRPr="003C66AE">
        <w:t xml:space="preserve"> </w:t>
      </w:r>
      <w:proofErr w:type="gramStart"/>
      <w:r w:rsidRPr="003C66AE">
        <w:t>unnecessary</w:t>
      </w:r>
      <w:r w:rsidR="00371198">
        <w:t>,</w:t>
      </w:r>
      <w:r w:rsidR="00C96042">
        <w:t xml:space="preserve"> but</w:t>
      </w:r>
      <w:proofErr w:type="gramEnd"/>
      <w:r w:rsidR="00C96042">
        <w:t xml:space="preserve"> </w:t>
      </w:r>
      <w:r w:rsidRPr="003C66AE">
        <w:t>recognise</w:t>
      </w:r>
      <w:r w:rsidR="00C96042">
        <w:t>s</w:t>
      </w:r>
      <w:r w:rsidRPr="003C66AE">
        <w:t xml:space="preserve"> and supports the policy objective of equitable access to the radio services in the digital age.</w:t>
      </w:r>
    </w:p>
    <w:p w14:paraId="079949E4" w14:textId="1F2D2458" w:rsidR="000437C6" w:rsidRPr="00EA50BD" w:rsidRDefault="000437C6" w:rsidP="00C96042">
      <w:pPr>
        <w:pStyle w:val="ListParagraph"/>
        <w:numPr>
          <w:ilvl w:val="0"/>
          <w:numId w:val="53"/>
        </w:numPr>
        <w:suppressAutoHyphens w:val="0"/>
        <w:spacing w:before="0" w:after="120"/>
        <w:ind w:hanging="357"/>
        <w:contextualSpacing w:val="0"/>
        <w:rPr>
          <w:b/>
        </w:rPr>
      </w:pPr>
      <w:r w:rsidRPr="00392445">
        <w:lastRenderedPageBreak/>
        <w:t xml:space="preserve">Amazon </w:t>
      </w:r>
      <w:r w:rsidR="00C96042">
        <w:t>consider</w:t>
      </w:r>
      <w:r w:rsidR="00371198">
        <w:t>ed</w:t>
      </w:r>
      <w:r w:rsidR="00C96042">
        <w:t xml:space="preserve"> the </w:t>
      </w:r>
      <w:r>
        <w:t>s</w:t>
      </w:r>
      <w:r w:rsidRPr="00392445">
        <w:t>cope of devices</w:t>
      </w:r>
      <w:r w:rsidR="00D3761E">
        <w:t xml:space="preserve"> (smart speakers)</w:t>
      </w:r>
      <w:r w:rsidRPr="00392445">
        <w:t xml:space="preserve"> to be too narrow and should be expanded to other more popular devices for audio listening</w:t>
      </w:r>
      <w:r w:rsidR="00C043AC">
        <w:t>,</w:t>
      </w:r>
      <w:r w:rsidR="00D3761E">
        <w:t xml:space="preserve"> and that</w:t>
      </w:r>
      <w:r w:rsidR="00C96042">
        <w:t xml:space="preserve"> </w:t>
      </w:r>
      <w:r>
        <w:t xml:space="preserve">‘consistent and reliable’ </w:t>
      </w:r>
      <w:r w:rsidR="00C96042">
        <w:t>is</w:t>
      </w:r>
      <w:r>
        <w:t xml:space="preserve"> a sufficient level of prominence.</w:t>
      </w:r>
      <w:r w:rsidR="00C96042">
        <w:t xml:space="preserve"> </w:t>
      </w:r>
      <w:r>
        <w:t xml:space="preserve">Amazon agreed </w:t>
      </w:r>
      <w:r w:rsidR="00371198">
        <w:t>that</w:t>
      </w:r>
      <w:r>
        <w:t xml:space="preserve"> regulated radio services </w:t>
      </w:r>
      <w:r w:rsidR="00371198">
        <w:t xml:space="preserve">should </w:t>
      </w:r>
      <w:r>
        <w:t>be limited to online simulcasts, and to an open access pathway approach.</w:t>
      </w:r>
      <w:r w:rsidRPr="00392445">
        <w:t xml:space="preserve"> </w:t>
      </w:r>
      <w:r w:rsidR="00C96042">
        <w:t>However, they argued radio service providers must carry similar responsibilities to voice assistants.</w:t>
      </w:r>
    </w:p>
    <w:p w14:paraId="4B8E5E56" w14:textId="2C92F446" w:rsidR="00F71693" w:rsidRPr="00C96042" w:rsidRDefault="00F71693" w:rsidP="00C96042">
      <w:pPr>
        <w:pStyle w:val="ListParagraph"/>
        <w:numPr>
          <w:ilvl w:val="0"/>
          <w:numId w:val="53"/>
        </w:numPr>
        <w:suppressAutoHyphens w:val="0"/>
        <w:spacing w:before="0" w:after="120"/>
        <w:ind w:hanging="357"/>
        <w:contextualSpacing w:val="0"/>
        <w:rPr>
          <w:b/>
        </w:rPr>
      </w:pPr>
      <w:r>
        <w:t xml:space="preserve">Amazon also observed </w:t>
      </w:r>
      <w:r w:rsidRPr="00F71693">
        <w:t xml:space="preserve">that </w:t>
      </w:r>
      <w:r>
        <w:t xml:space="preserve">as </w:t>
      </w:r>
      <w:r w:rsidRPr="00F71693">
        <w:t>voice assistants remain an emerging technology</w:t>
      </w:r>
      <w:r w:rsidR="00371198">
        <w:t>,</w:t>
      </w:r>
      <w:r>
        <w:t xml:space="preserve"> </w:t>
      </w:r>
      <w:r w:rsidR="00DC3C9A">
        <w:t>it would</w:t>
      </w:r>
      <w:r w:rsidR="00371198">
        <w:t xml:space="preserve"> be important </w:t>
      </w:r>
      <w:r w:rsidR="00F14D2E">
        <w:t>to ensure</w:t>
      </w:r>
      <w:r w:rsidRPr="00F71693">
        <w:t xml:space="preserve"> that any new framework retains enough flexibility to enable experimentation and innovation on behalf of customers.</w:t>
      </w:r>
    </w:p>
    <w:p w14:paraId="0AB9C8D8" w14:textId="77777777" w:rsidR="000437C6" w:rsidRPr="00DB157C" w:rsidRDefault="000437C6" w:rsidP="000437C6">
      <w:pPr>
        <w:rPr>
          <w:u w:val="single"/>
        </w:rPr>
      </w:pPr>
      <w:r w:rsidRPr="00DB157C">
        <w:rPr>
          <w:u w:val="single"/>
        </w:rPr>
        <w:t>Device manufacturers</w:t>
      </w:r>
      <w:r>
        <w:rPr>
          <w:u w:val="single"/>
        </w:rPr>
        <w:t xml:space="preserve"> and other content service providers</w:t>
      </w:r>
    </w:p>
    <w:p w14:paraId="145ACF74" w14:textId="6A8ED76E" w:rsidR="000437C6" w:rsidRPr="00DB157C" w:rsidRDefault="000437C6" w:rsidP="000437C6">
      <w:pPr>
        <w:pStyle w:val="ListParagraph"/>
        <w:numPr>
          <w:ilvl w:val="0"/>
          <w:numId w:val="54"/>
        </w:numPr>
        <w:suppressAutoHyphens w:val="0"/>
        <w:spacing w:before="0" w:after="120"/>
        <w:ind w:left="357" w:hanging="357"/>
        <w:contextualSpacing w:val="0"/>
      </w:pPr>
      <w:r w:rsidRPr="00DB157C">
        <w:t>C</w:t>
      </w:r>
      <w:r>
        <w:t xml:space="preserve">onsumer </w:t>
      </w:r>
      <w:r w:rsidRPr="00DB157C">
        <w:t>E</w:t>
      </w:r>
      <w:r>
        <w:t xml:space="preserve">lectronics </w:t>
      </w:r>
      <w:r w:rsidRPr="00DB157C">
        <w:t>S</w:t>
      </w:r>
      <w:r>
        <w:t xml:space="preserve">uppliers </w:t>
      </w:r>
      <w:r w:rsidRPr="00DB157C">
        <w:t>A</w:t>
      </w:r>
      <w:r>
        <w:t>ssociation (CESA)</w:t>
      </w:r>
      <w:r w:rsidRPr="00DB157C">
        <w:t xml:space="preserve">, representing device manufacturers, </w:t>
      </w:r>
      <w:r>
        <w:t>consider</w:t>
      </w:r>
      <w:r w:rsidR="00371198">
        <w:t>ed</w:t>
      </w:r>
      <w:r>
        <w:t xml:space="preserve"> the definition for devices to be too broad; and noted </w:t>
      </w:r>
      <w:r w:rsidR="00371198">
        <w:t xml:space="preserve">that </w:t>
      </w:r>
      <w:r>
        <w:t>many elements would have business impacts that need a flexible approach.</w:t>
      </w:r>
    </w:p>
    <w:p w14:paraId="07861956" w14:textId="4E22EF38" w:rsidR="004E61DE" w:rsidRPr="00836BBF" w:rsidRDefault="00633369" w:rsidP="000E1FEE">
      <w:pPr>
        <w:pStyle w:val="Heading3Numbered"/>
      </w:pPr>
      <w:bookmarkStart w:id="122" w:name="_Toc236825179"/>
      <w:r>
        <w:t>I</w:t>
      </w:r>
      <w:r w:rsidR="004E61DE" w:rsidRPr="00836BBF">
        <w:t xml:space="preserve">nformation </w:t>
      </w:r>
      <w:r>
        <w:t>limitations</w:t>
      </w:r>
      <w:bookmarkEnd w:id="122"/>
    </w:p>
    <w:p w14:paraId="48DF1ACE" w14:textId="35A907CB" w:rsidR="002324C7" w:rsidRDefault="00AD6507" w:rsidP="004E3AE9">
      <w:pPr>
        <w:suppressAutoHyphens w:val="0"/>
      </w:pPr>
      <w:r>
        <w:t>Two of the three major voice assistant platforms – Apple and Google – did not participate in consultation</w:t>
      </w:r>
      <w:r w:rsidR="00BC1540">
        <w:t xml:space="preserve">. </w:t>
      </w:r>
      <w:r w:rsidR="00703E88">
        <w:t>Without</w:t>
      </w:r>
      <w:r w:rsidR="00BC1540">
        <w:t xml:space="preserve"> any formal input from these two platforms</w:t>
      </w:r>
      <w:r w:rsidR="00703E88">
        <w:t xml:space="preserve">, the consultation </w:t>
      </w:r>
      <w:r w:rsidR="00974D3F">
        <w:t>could not</w:t>
      </w:r>
      <w:r w:rsidR="00703E88">
        <w:t xml:space="preserve"> reflect the full</w:t>
      </w:r>
      <w:r w:rsidR="00BC1540">
        <w:t xml:space="preserve"> depth and breadth of stakeholder </w:t>
      </w:r>
      <w:r w:rsidR="00371198">
        <w:t>views</w:t>
      </w:r>
      <w:r w:rsidR="00BC1540">
        <w:t xml:space="preserve">. </w:t>
      </w:r>
      <w:r w:rsidR="00F71693">
        <w:t xml:space="preserve">However, the input from Amazon </w:t>
      </w:r>
      <w:r w:rsidR="00022F64">
        <w:t xml:space="preserve">is assumed to </w:t>
      </w:r>
      <w:r w:rsidR="00F71693">
        <w:t xml:space="preserve">represent the sentiment of other voice assistant platforms – </w:t>
      </w:r>
      <w:r w:rsidR="00D14430">
        <w:t xml:space="preserve">that is, </w:t>
      </w:r>
      <w:r w:rsidR="00F71693">
        <w:t xml:space="preserve">no Government intervention </w:t>
      </w:r>
      <w:r w:rsidR="0082542C">
        <w:t xml:space="preserve">is </w:t>
      </w:r>
      <w:r w:rsidR="00F71693">
        <w:t xml:space="preserve">preferred, </w:t>
      </w:r>
      <w:r w:rsidR="0082542C">
        <w:t>or</w:t>
      </w:r>
      <w:r w:rsidR="00D14430">
        <w:t xml:space="preserve"> if </w:t>
      </w:r>
      <w:r w:rsidR="00BE3C8A">
        <w:t xml:space="preserve">radio prominence is </w:t>
      </w:r>
      <w:r w:rsidR="00D14430">
        <w:t>legislat</w:t>
      </w:r>
      <w:r w:rsidR="0082542C">
        <w:t>ed</w:t>
      </w:r>
      <w:r w:rsidR="00371198">
        <w:t>,</w:t>
      </w:r>
      <w:r w:rsidR="00D14430">
        <w:t xml:space="preserve"> </w:t>
      </w:r>
      <w:r w:rsidR="0082542C">
        <w:t xml:space="preserve">there </w:t>
      </w:r>
      <w:r w:rsidR="00371198">
        <w:t>should</w:t>
      </w:r>
      <w:r w:rsidR="0082542C">
        <w:t xml:space="preserve"> be an</w:t>
      </w:r>
      <w:r w:rsidR="00F71693">
        <w:t xml:space="preserve"> emphasis on flexibility and shared responsibility between sectors.</w:t>
      </w:r>
    </w:p>
    <w:p w14:paraId="1BC7F2AD" w14:textId="5E0DE357" w:rsidR="00371198" w:rsidRDefault="00A34E3D" w:rsidP="004E3AE9">
      <w:pPr>
        <w:suppressAutoHyphens w:val="0"/>
      </w:pPr>
      <w:r>
        <w:t>As discussed in Chapter 4,</w:t>
      </w:r>
      <w:r w:rsidR="002324C7">
        <w:t xml:space="preserve"> none of the submissions provided </w:t>
      </w:r>
      <w:r>
        <w:t xml:space="preserve">financial information, including </w:t>
      </w:r>
      <w:r w:rsidR="002324C7">
        <w:t>detail of the commercial arrangements that have been entered in to by radio broadcasters, aggregators and voice assistant platforms.</w:t>
      </w:r>
      <w:r w:rsidR="00371198">
        <w:t xml:space="preserve"> </w:t>
      </w:r>
      <w:r w:rsidR="009D72AF">
        <w:t xml:space="preserve">In </w:t>
      </w:r>
      <w:r w:rsidR="00371198">
        <w:t xml:space="preserve">lieu of detailed </w:t>
      </w:r>
      <w:r w:rsidR="009D72AF">
        <w:t xml:space="preserve">financial </w:t>
      </w:r>
      <w:r w:rsidR="00371198">
        <w:t xml:space="preserve">and technical </w:t>
      </w:r>
      <w:r w:rsidR="009D72AF">
        <w:t>information</w:t>
      </w:r>
      <w:r w:rsidR="00371198">
        <w:t xml:space="preserve">, </w:t>
      </w:r>
      <w:r w:rsidR="009D72AF">
        <w:t>this IA draws on desktop research and relevant, publicly available resources, data and analysis including</w:t>
      </w:r>
      <w:r w:rsidR="00371198">
        <w:t>:</w:t>
      </w:r>
      <w:r w:rsidR="009D72AF">
        <w:t xml:space="preserve"> the development of the </w:t>
      </w:r>
      <w:r w:rsidR="009D72AF" w:rsidRPr="006A2C51">
        <w:rPr>
          <w:i/>
        </w:rPr>
        <w:t>UK Media Act 2024</w:t>
      </w:r>
      <w:r w:rsidR="00371198" w:rsidRPr="00F14D2E">
        <w:rPr>
          <w:i/>
          <w:iCs/>
        </w:rPr>
        <w:t xml:space="preserve">; </w:t>
      </w:r>
      <w:r w:rsidR="009D72AF">
        <w:t>the ACCC</w:t>
      </w:r>
      <w:r w:rsidR="00371198">
        <w:t xml:space="preserve">’s ‘Digital Platforms Services Inquiry’ (2023); </w:t>
      </w:r>
      <w:r w:rsidR="009D72AF">
        <w:t xml:space="preserve">the </w:t>
      </w:r>
      <w:r w:rsidR="009D72AF" w:rsidRPr="00CB18C8">
        <w:t>Senate Environment and Communications Legislation Committee</w:t>
      </w:r>
      <w:r w:rsidR="009D72AF">
        <w:t>’s inquiry into the bill to legislate television prominence</w:t>
      </w:r>
      <w:r w:rsidR="00371198">
        <w:t xml:space="preserve">; </w:t>
      </w:r>
      <w:r w:rsidR="009D72AF">
        <w:t>and the OIA’s Regulatory Burden Measurement Framework.</w:t>
      </w:r>
      <w:r w:rsidR="00371198">
        <w:t xml:space="preserve"> Consideration has also been given to </w:t>
      </w:r>
      <w:r w:rsidR="005C5D5D">
        <w:t>stakeholder views, particular</w:t>
      </w:r>
      <w:r w:rsidR="00D63286">
        <w:t>ly</w:t>
      </w:r>
      <w:r w:rsidR="005C5D5D">
        <w:t xml:space="preserve"> those drawn from </w:t>
      </w:r>
      <w:r w:rsidR="00371198">
        <w:t xml:space="preserve">the </w:t>
      </w:r>
      <w:r w:rsidR="005C5D5D">
        <w:t xml:space="preserve">public </w:t>
      </w:r>
      <w:r w:rsidR="00CB052C" w:rsidRPr="00B04B75">
        <w:t>consult</w:t>
      </w:r>
      <w:r w:rsidR="005C5D5D">
        <w:t xml:space="preserve">ation </w:t>
      </w:r>
      <w:r w:rsidR="00DB771A">
        <w:t xml:space="preserve">on a proposed radio prominence framework </w:t>
      </w:r>
      <w:r w:rsidR="005C5D5D">
        <w:t xml:space="preserve">conducted in late 2024. </w:t>
      </w:r>
      <w:r w:rsidR="0057564E">
        <w:t xml:space="preserve">Key data on smart speaker use has been </w:t>
      </w:r>
      <w:r w:rsidR="00371198">
        <w:t xml:space="preserve">sourced from external research. </w:t>
      </w:r>
    </w:p>
    <w:p w14:paraId="601E5A29" w14:textId="2E21CA55" w:rsidR="00F14D2E" w:rsidRDefault="00F14D2E">
      <w:pPr>
        <w:suppressAutoHyphens w:val="0"/>
      </w:pPr>
      <w:r>
        <w:br w:type="page"/>
      </w:r>
    </w:p>
    <w:p w14:paraId="43AE967B" w14:textId="70B973EB" w:rsidR="0034375C" w:rsidRDefault="00295241" w:rsidP="004307A4">
      <w:pPr>
        <w:pStyle w:val="Heading1Numbered"/>
      </w:pPr>
      <w:bookmarkStart w:id="123" w:name="_Toc236825180"/>
      <w:r>
        <w:lastRenderedPageBreak/>
        <w:t xml:space="preserve">What is the best </w:t>
      </w:r>
      <w:r w:rsidR="00F14D2E">
        <w:t xml:space="preserve">policy </w:t>
      </w:r>
      <w:r>
        <w:t>option and how will it be implemented?</w:t>
      </w:r>
      <w:bookmarkEnd w:id="123"/>
    </w:p>
    <w:p w14:paraId="544DC6AD" w14:textId="52184658" w:rsidR="00944BB7" w:rsidRDefault="00371198" w:rsidP="00944BB7">
      <w:pPr>
        <w:pStyle w:val="Heading2Numbered"/>
      </w:pPr>
      <w:bookmarkStart w:id="124" w:name="_Toc212557134"/>
      <w:bookmarkStart w:id="125" w:name="_Toc236825181"/>
      <w:bookmarkEnd w:id="124"/>
      <w:r>
        <w:t xml:space="preserve">The </w:t>
      </w:r>
      <w:r w:rsidR="00F64AA6">
        <w:t xml:space="preserve">preferred </w:t>
      </w:r>
      <w:r>
        <w:t>option</w:t>
      </w:r>
      <w:bookmarkEnd w:id="125"/>
      <w:r>
        <w:t xml:space="preserve"> </w:t>
      </w:r>
    </w:p>
    <w:p w14:paraId="488548BD" w14:textId="5F4D4C9E" w:rsidR="00E11349" w:rsidRDefault="00E11349" w:rsidP="00E11349">
      <w:pPr>
        <w:pStyle w:val="Heading3Numbered"/>
      </w:pPr>
      <w:bookmarkStart w:id="126" w:name="_Toc236825182"/>
      <w:r>
        <w:t>Option 1</w:t>
      </w:r>
      <w:bookmarkEnd w:id="126"/>
    </w:p>
    <w:p w14:paraId="33813931" w14:textId="6F933092" w:rsidR="00E11349" w:rsidRDefault="00823671" w:rsidP="00585C0E">
      <w:pPr>
        <w:widowControl w:val="0"/>
      </w:pPr>
      <w:r>
        <w:t xml:space="preserve">Option 1 </w:t>
      </w:r>
      <w:r w:rsidR="00B805B2" w:rsidRPr="00C709F6">
        <w:t xml:space="preserve">retains the status quo and </w:t>
      </w:r>
      <w:r w:rsidR="00816AE9" w:rsidRPr="00C709F6">
        <w:t>w</w:t>
      </w:r>
      <w:r w:rsidR="00371198">
        <w:t>ould l</w:t>
      </w:r>
      <w:r w:rsidR="00816AE9" w:rsidRPr="00C709F6">
        <w:t>eave current market dynamics and relationships un</w:t>
      </w:r>
      <w:r w:rsidR="00E677F4">
        <w:t>altered</w:t>
      </w:r>
      <w:r w:rsidR="00F64AA6">
        <w:t xml:space="preserve">. A lack of intervention </w:t>
      </w:r>
      <w:r w:rsidR="00E677F4">
        <w:t xml:space="preserve">may lead to </w:t>
      </w:r>
      <w:r w:rsidR="00F64AA6">
        <w:t>radio listeners</w:t>
      </w:r>
      <w:r w:rsidR="00E677F4">
        <w:t xml:space="preserve"> experiencing a decline in the availability of local radio content on their smart speakers. </w:t>
      </w:r>
      <w:r w:rsidR="003E5312">
        <w:t>Under this option</w:t>
      </w:r>
      <w:r w:rsidR="00371198">
        <w:t>,</w:t>
      </w:r>
      <w:r w:rsidR="003E5312">
        <w:t xml:space="preserve"> t</w:t>
      </w:r>
      <w:r w:rsidR="00E677F4">
        <w:t xml:space="preserve">he </w:t>
      </w:r>
      <w:r w:rsidR="001B285B">
        <w:t>stated</w:t>
      </w:r>
      <w:r w:rsidR="00E677F4">
        <w:t xml:space="preserve"> objectives that </w:t>
      </w:r>
      <w:r w:rsidR="00E677F4" w:rsidRPr="00E677F4">
        <w:rPr>
          <w:rFonts w:cstheme="minorHAnsi"/>
        </w:rPr>
        <w:t xml:space="preserve">Australian radio services </w:t>
      </w:r>
      <w:r w:rsidR="00E677F4">
        <w:rPr>
          <w:rFonts w:cstheme="minorHAnsi"/>
        </w:rPr>
        <w:t>are available on smart speakers, that users</w:t>
      </w:r>
      <w:r w:rsidR="00EF0E3B">
        <w:rPr>
          <w:rFonts w:cstheme="minorHAnsi"/>
        </w:rPr>
        <w:t>’</w:t>
      </w:r>
      <w:r w:rsidR="00E677F4">
        <w:rPr>
          <w:rFonts w:cstheme="minorHAnsi"/>
        </w:rPr>
        <w:t xml:space="preserve"> requests are accurately surfaced on smart speakers</w:t>
      </w:r>
      <w:r w:rsidR="00E677F4" w:rsidRPr="00585C0E">
        <w:rPr>
          <w:rFonts w:cstheme="minorHAnsi"/>
        </w:rPr>
        <w:t xml:space="preserve">, </w:t>
      </w:r>
      <w:r w:rsidR="00DC3C9A" w:rsidRPr="00585C0E">
        <w:rPr>
          <w:rFonts w:cstheme="minorHAnsi"/>
        </w:rPr>
        <w:t xml:space="preserve">that listeners are supported in their choice of radio technology, </w:t>
      </w:r>
      <w:r w:rsidR="00E677F4" w:rsidRPr="00585C0E">
        <w:rPr>
          <w:rFonts w:cstheme="minorHAnsi"/>
        </w:rPr>
        <w:t>and that Australian radio service providers remain competitive</w:t>
      </w:r>
      <w:r w:rsidR="00E677F4">
        <w:rPr>
          <w:rFonts w:cstheme="minorHAnsi"/>
        </w:rPr>
        <w:t xml:space="preserve"> w</w:t>
      </w:r>
      <w:r w:rsidR="00371198">
        <w:rPr>
          <w:rFonts w:cstheme="minorHAnsi"/>
        </w:rPr>
        <w:t xml:space="preserve">ould not be </w:t>
      </w:r>
      <w:r w:rsidR="00F64AA6">
        <w:rPr>
          <w:rFonts w:cstheme="minorHAnsi"/>
        </w:rPr>
        <w:t>supported or advanced</w:t>
      </w:r>
      <w:r w:rsidR="00371198">
        <w:rPr>
          <w:rFonts w:cstheme="minorHAnsi"/>
        </w:rPr>
        <w:t xml:space="preserve"> by any particular intervention or action. </w:t>
      </w:r>
      <w:r w:rsidR="00E677F4">
        <w:rPr>
          <w:rFonts w:cstheme="minorHAnsi"/>
        </w:rPr>
        <w:t xml:space="preserve"> </w:t>
      </w:r>
      <w:r w:rsidR="00966B38">
        <w:t xml:space="preserve">The IA </w:t>
      </w:r>
      <w:r w:rsidR="001B285B">
        <w:t xml:space="preserve">concludes </w:t>
      </w:r>
      <w:r w:rsidR="00966B38">
        <w:t xml:space="preserve">that this option would have ongoing </w:t>
      </w:r>
      <w:r w:rsidR="001B285B">
        <w:t xml:space="preserve">and overall </w:t>
      </w:r>
      <w:r w:rsidR="00966B38">
        <w:t xml:space="preserve">negative impacts on </w:t>
      </w:r>
      <w:r w:rsidR="003F68C6">
        <w:t>listeners</w:t>
      </w:r>
      <w:r w:rsidR="00966B38">
        <w:t xml:space="preserve"> and radio </w:t>
      </w:r>
      <w:proofErr w:type="gramStart"/>
      <w:r w:rsidR="00966B38">
        <w:t>broadcasters</w:t>
      </w:r>
      <w:r w:rsidR="001B285B">
        <w:t>, and</w:t>
      </w:r>
      <w:proofErr w:type="gramEnd"/>
      <w:r w:rsidR="001B285B">
        <w:t xml:space="preserve"> </w:t>
      </w:r>
      <w:r w:rsidR="00B805B2">
        <w:t>is not preferred.</w:t>
      </w:r>
    </w:p>
    <w:p w14:paraId="43990999" w14:textId="2C8AA2A0" w:rsidR="00E11349" w:rsidRDefault="00E11349" w:rsidP="00E11349">
      <w:pPr>
        <w:pStyle w:val="Heading3Numbered"/>
      </w:pPr>
      <w:bookmarkStart w:id="127" w:name="_Toc236825183"/>
      <w:r>
        <w:t>Option 2</w:t>
      </w:r>
      <w:bookmarkEnd w:id="127"/>
    </w:p>
    <w:p w14:paraId="7A20435C" w14:textId="59B83762" w:rsidR="00732E7B" w:rsidRDefault="00B805B2" w:rsidP="00FE5A03">
      <w:r>
        <w:t xml:space="preserve">Option 2 </w:t>
      </w:r>
      <w:r w:rsidR="00DB2F6F">
        <w:t xml:space="preserve">provides a </w:t>
      </w:r>
      <w:r w:rsidR="00732E7B">
        <w:t xml:space="preserve">regulatory </w:t>
      </w:r>
      <w:r w:rsidR="00DB2F6F">
        <w:t xml:space="preserve">model for addressing </w:t>
      </w:r>
      <w:r w:rsidR="00732E7B">
        <w:t xml:space="preserve">prominence issues for radio services in smart speakers, </w:t>
      </w:r>
      <w:r w:rsidR="00764103">
        <w:t xml:space="preserve">with two sub options </w:t>
      </w:r>
      <w:r w:rsidR="00F64AA6">
        <w:t xml:space="preserve">providing </w:t>
      </w:r>
      <w:r w:rsidR="00764103">
        <w:t>slightly different treatments for some</w:t>
      </w:r>
      <w:r>
        <w:t xml:space="preserve"> elements</w:t>
      </w:r>
      <w:r w:rsidR="00764103">
        <w:t xml:space="preserve">. </w:t>
      </w:r>
    </w:p>
    <w:p w14:paraId="5487F79D" w14:textId="399533FA" w:rsidR="00732E7B" w:rsidRDefault="00F43D69" w:rsidP="00585C0E">
      <w:pPr>
        <w:pStyle w:val="ListParagraph"/>
        <w:numPr>
          <w:ilvl w:val="0"/>
          <w:numId w:val="54"/>
        </w:numPr>
        <w:ind w:left="357"/>
        <w:contextualSpacing w:val="0"/>
      </w:pPr>
      <w:r>
        <w:t>Sub-o</w:t>
      </w:r>
      <w:r w:rsidR="00B64765">
        <w:t>ption 2</w:t>
      </w:r>
      <w:r w:rsidR="00764103">
        <w:t>a</w:t>
      </w:r>
      <w:r w:rsidR="00B64765">
        <w:t xml:space="preserve"> </w:t>
      </w:r>
      <w:r w:rsidR="00BE3F86">
        <w:t xml:space="preserve">is a model with defined parameters and </w:t>
      </w:r>
      <w:r w:rsidR="00732E7B">
        <w:t xml:space="preserve">limited </w:t>
      </w:r>
      <w:r w:rsidR="00BE3F86">
        <w:t xml:space="preserve">flexibility outside of the statutory provisions. However, it does not require providers of voice assistant software to follow </w:t>
      </w:r>
      <w:r w:rsidR="008856A7">
        <w:t>surfacing pathways set by radio services.</w:t>
      </w:r>
      <w:r w:rsidR="00BE3F86">
        <w:t xml:space="preserve"> </w:t>
      </w:r>
    </w:p>
    <w:p w14:paraId="2089D556" w14:textId="1EB6C70D" w:rsidR="005C0931" w:rsidRDefault="00732E7B" w:rsidP="00585C0E">
      <w:pPr>
        <w:pStyle w:val="ListParagraph"/>
        <w:numPr>
          <w:ilvl w:val="0"/>
          <w:numId w:val="54"/>
        </w:numPr>
        <w:ind w:left="357"/>
        <w:contextualSpacing w:val="0"/>
      </w:pPr>
      <w:r>
        <w:t>S</w:t>
      </w:r>
      <w:r w:rsidR="00BE3F86">
        <w:t xml:space="preserve">ub-option </w:t>
      </w:r>
      <w:r w:rsidR="00B64765">
        <w:t>2</w:t>
      </w:r>
      <w:r w:rsidR="00764103">
        <w:t>b</w:t>
      </w:r>
      <w:r w:rsidR="00B64765">
        <w:t xml:space="preserve"> </w:t>
      </w:r>
      <w:r w:rsidR="00BE3F86">
        <w:t>ha</w:t>
      </w:r>
      <w:r w:rsidR="008856A7">
        <w:t xml:space="preserve">s many of the same </w:t>
      </w:r>
      <w:r w:rsidR="00BE3F86">
        <w:t xml:space="preserve">defined parameters for the obligation placed on providers of voice assistant </w:t>
      </w:r>
      <w:proofErr w:type="gramStart"/>
      <w:r w:rsidR="00BE3F86">
        <w:t xml:space="preserve">software, </w:t>
      </w:r>
      <w:r>
        <w:t>but</w:t>
      </w:r>
      <w:proofErr w:type="gramEnd"/>
      <w:r w:rsidR="00BE3F86">
        <w:t xml:space="preserve"> </w:t>
      </w:r>
      <w:r w:rsidR="008856A7">
        <w:t xml:space="preserve">introduces elements </w:t>
      </w:r>
      <w:r w:rsidR="0052363C">
        <w:t>for</w:t>
      </w:r>
      <w:r w:rsidR="008856A7">
        <w:t xml:space="preserve"> negotiation under controlled settings and requires voice assistant software to surface radio services by the pathway set by </w:t>
      </w:r>
      <w:r>
        <w:t xml:space="preserve">any given </w:t>
      </w:r>
      <w:r w:rsidR="008856A7">
        <w:t xml:space="preserve">radio service. </w:t>
      </w:r>
    </w:p>
    <w:p w14:paraId="2C49E1F7" w14:textId="5CBCA022" w:rsidR="00E11349" w:rsidRDefault="00732E7B" w:rsidP="00FE5A03">
      <w:r>
        <w:t>O</w:t>
      </w:r>
      <w:r w:rsidR="00C31AD1">
        <w:t xml:space="preserve">ption 2a and 2b would impose a regulatory burden </w:t>
      </w:r>
      <w:r w:rsidR="00F64AA6">
        <w:t xml:space="preserve">and indirect costs </w:t>
      </w:r>
      <w:r w:rsidR="00C31AD1">
        <w:t xml:space="preserve">on voice </w:t>
      </w:r>
      <w:r w:rsidR="00585C0E">
        <w:t xml:space="preserve">assistant </w:t>
      </w:r>
      <w:r w:rsidR="00C31AD1">
        <w:t>platforms</w:t>
      </w:r>
      <w:r w:rsidR="003C7113">
        <w:t xml:space="preserve"> and the radio broadcasting sector</w:t>
      </w:r>
      <w:r>
        <w:t xml:space="preserve">. </w:t>
      </w:r>
      <w:r w:rsidR="00B14EAE">
        <w:t xml:space="preserve">However, the </w:t>
      </w:r>
      <w:r w:rsidR="00585C0E">
        <w:t>IA</w:t>
      </w:r>
      <w:r w:rsidR="00B14EAE">
        <w:t xml:space="preserve"> identifies that it has net </w:t>
      </w:r>
      <w:r w:rsidR="00253507">
        <w:t xml:space="preserve">benefit </w:t>
      </w:r>
      <w:r w:rsidR="00F64AA6">
        <w:t xml:space="preserve">overall, </w:t>
      </w:r>
      <w:proofErr w:type="gramStart"/>
      <w:r w:rsidR="00F64AA6">
        <w:t>taking into account</w:t>
      </w:r>
      <w:proofErr w:type="gramEnd"/>
      <w:r w:rsidR="00F64AA6">
        <w:t xml:space="preserve"> the stated objectives of this reform</w:t>
      </w:r>
      <w:r w:rsidR="00751392">
        <w:t xml:space="preserve"> </w:t>
      </w:r>
      <w:proofErr w:type="gramStart"/>
      <w:r w:rsidR="00751392">
        <w:t>with regard to</w:t>
      </w:r>
      <w:proofErr w:type="gramEnd"/>
      <w:r w:rsidR="00751392">
        <w:t xml:space="preserve"> consumer access</w:t>
      </w:r>
      <w:r w:rsidR="00F64AA6">
        <w:t xml:space="preserve">. Of the two sub-options, </w:t>
      </w:r>
      <w:r w:rsidR="00E57E83" w:rsidRPr="00E57E83">
        <w:t xml:space="preserve">2a </w:t>
      </w:r>
      <w:r>
        <w:t>has been found to support the</w:t>
      </w:r>
      <w:r w:rsidR="00F64AA6">
        <w:t xml:space="preserve">se </w:t>
      </w:r>
      <w:r>
        <w:t xml:space="preserve">objectives to the greater </w:t>
      </w:r>
      <w:proofErr w:type="gramStart"/>
      <w:r>
        <w:t>extent, and</w:t>
      </w:r>
      <w:proofErr w:type="gramEnd"/>
      <w:r>
        <w:t xml:space="preserve"> is </w:t>
      </w:r>
      <w:r w:rsidRPr="00585C0E">
        <w:rPr>
          <w:b/>
          <w:bCs/>
        </w:rPr>
        <w:t>the preferred option</w:t>
      </w:r>
      <w:r>
        <w:t>.</w:t>
      </w:r>
      <w:r w:rsidR="00E57E83" w:rsidRPr="00E57E83">
        <w:t xml:space="preserve"> </w:t>
      </w:r>
      <w:r w:rsidR="00B805B2">
        <w:t xml:space="preserve"> </w:t>
      </w:r>
    </w:p>
    <w:p w14:paraId="2B2F06C7" w14:textId="5B019822" w:rsidR="00E11349" w:rsidRDefault="00E11349" w:rsidP="00E11349">
      <w:pPr>
        <w:pStyle w:val="Heading3Numbered"/>
      </w:pPr>
      <w:bookmarkStart w:id="128" w:name="_Toc236825184"/>
      <w:r>
        <w:t>Option 3</w:t>
      </w:r>
      <w:bookmarkEnd w:id="128"/>
    </w:p>
    <w:p w14:paraId="5411B7F2" w14:textId="68D56AC2" w:rsidR="00F64AA6" w:rsidRDefault="00B805B2" w:rsidP="00FE5A03">
      <w:r>
        <w:t xml:space="preserve">Option 3 </w:t>
      </w:r>
      <w:r w:rsidR="00A12E19">
        <w:t xml:space="preserve">would provide the radio </w:t>
      </w:r>
      <w:r w:rsidR="00F64AA6">
        <w:t xml:space="preserve">and retail sectors </w:t>
      </w:r>
      <w:r w:rsidR="00A12E19">
        <w:t xml:space="preserve">with opportunities to support consumers </w:t>
      </w:r>
      <w:r w:rsidR="00F64AA6">
        <w:t xml:space="preserve">in </w:t>
      </w:r>
      <w:r w:rsidR="00A12E19">
        <w:t>making product choices</w:t>
      </w:r>
      <w:r w:rsidR="00F64AA6">
        <w:t xml:space="preserve"> and understanding and using smart speakers. </w:t>
      </w:r>
    </w:p>
    <w:p w14:paraId="35A6F133" w14:textId="05C093F7" w:rsidR="00F64AA6" w:rsidRDefault="00F64AA6" w:rsidP="00FE5A03">
      <w:r>
        <w:t xml:space="preserve">It would also offer some support for the radio sector in terms of the access </w:t>
      </w:r>
      <w:r w:rsidR="00A12E19">
        <w:t xml:space="preserve">costs associated with improving </w:t>
      </w:r>
      <w:r>
        <w:t xml:space="preserve">the accuracy of user responses to requests to surface radio stations. The ongoing benefits of this support are unclear, given the potential for the support to create an incentive for the providers of voice activation software to continue to seek access charges from radio broadcasters. While option 3 would support the objectives of this reform, this would be to a lesser extent that </w:t>
      </w:r>
      <w:r w:rsidR="00585C0E">
        <w:t xml:space="preserve">option </w:t>
      </w:r>
      <w:r>
        <w:t xml:space="preserve">2. This option is not preferred.  </w:t>
      </w:r>
    </w:p>
    <w:p w14:paraId="7CD05BCD" w14:textId="49B8DEF2" w:rsidR="00944BB7" w:rsidRDefault="00944BB7" w:rsidP="00944BB7">
      <w:pPr>
        <w:pStyle w:val="Heading2Numbered"/>
      </w:pPr>
      <w:bookmarkStart w:id="129" w:name="_Toc236825185"/>
      <w:r>
        <w:t>Implementation</w:t>
      </w:r>
      <w:bookmarkEnd w:id="129"/>
    </w:p>
    <w:p w14:paraId="296960F2" w14:textId="7B917493" w:rsidR="002C1AC2" w:rsidRDefault="002C1AC2" w:rsidP="002C1AC2">
      <w:pPr>
        <w:pStyle w:val="Heading3Numbered"/>
      </w:pPr>
      <w:bookmarkStart w:id="130" w:name="_Toc236825186"/>
      <w:r>
        <w:t>Commencement</w:t>
      </w:r>
      <w:bookmarkEnd w:id="130"/>
      <w:r>
        <w:t xml:space="preserve"> </w:t>
      </w:r>
    </w:p>
    <w:p w14:paraId="59FF1E7F" w14:textId="5739CDBD" w:rsidR="002C1AC2" w:rsidRDefault="002C1AC2" w:rsidP="00585C0E">
      <w:r>
        <w:t xml:space="preserve">As a new framework, it would be appropriate that there be a reasonable </w:t>
      </w:r>
      <w:proofErr w:type="gramStart"/>
      <w:r>
        <w:t>period of time</w:t>
      </w:r>
      <w:proofErr w:type="gramEnd"/>
      <w:r>
        <w:t xml:space="preserve"> from the commencement of the enabling legislation and the points at which the obligations become legally binding. The television prominence framework provided for a period of 18 months. That is, it only applied to regulated television devices that were manufactured and supplied in Australia from 18 months from the point at which the enabling legislation commenced. Although this would depend on the final form of the legislation passed </w:t>
      </w:r>
      <w:r>
        <w:lastRenderedPageBreak/>
        <w:t>by the Parliament, it is intended that a similar transitional arrangement would be adopted for the radio prominence framework. Transitional issues and provisions</w:t>
      </w:r>
    </w:p>
    <w:p w14:paraId="605EBFBB" w14:textId="6AECBC59" w:rsidR="00944BB7" w:rsidRDefault="00944BB7" w:rsidP="00944BB7">
      <w:pPr>
        <w:pStyle w:val="Heading3Numbered"/>
      </w:pPr>
      <w:bookmarkStart w:id="131" w:name="_Toc236825187"/>
      <w:r>
        <w:t>Barriers and risks</w:t>
      </w:r>
      <w:bookmarkEnd w:id="131"/>
      <w:r>
        <w:t xml:space="preserve"> </w:t>
      </w:r>
    </w:p>
    <w:p w14:paraId="2DEE574E" w14:textId="6A615D1D" w:rsidR="00944BB7" w:rsidRPr="001E3FBC" w:rsidRDefault="00944BB7" w:rsidP="00944BB7">
      <w:r>
        <w:t>The</w:t>
      </w:r>
      <w:r w:rsidR="00F64AA6">
        <w:t xml:space="preserve">re are </w:t>
      </w:r>
      <w:proofErr w:type="gramStart"/>
      <w:r w:rsidR="00F64AA6">
        <w:t>a number of</w:t>
      </w:r>
      <w:proofErr w:type="gramEnd"/>
      <w:r w:rsidR="00F64AA6">
        <w:t xml:space="preserve"> risks that </w:t>
      </w:r>
      <w:r>
        <w:t xml:space="preserve">could </w:t>
      </w:r>
      <w:r w:rsidR="002C1AC2">
        <w:t>impact</w:t>
      </w:r>
      <w:r w:rsidR="00C53BC1">
        <w:t xml:space="preserve"> the extent to which the </w:t>
      </w:r>
      <w:r w:rsidR="00F64AA6">
        <w:t xml:space="preserve">preferred option (Option 2a) </w:t>
      </w:r>
      <w:r w:rsidR="00C53BC1">
        <w:t>is able to achieve the stated objectives:</w:t>
      </w:r>
    </w:p>
    <w:p w14:paraId="2B98142B" w14:textId="371DFD81" w:rsidR="00944BB7" w:rsidRPr="001E3FBC" w:rsidRDefault="00F64AA6" w:rsidP="00944BB7">
      <w:pPr>
        <w:pStyle w:val="ListParagraph"/>
        <w:numPr>
          <w:ilvl w:val="6"/>
          <w:numId w:val="5"/>
        </w:numPr>
        <w:spacing w:before="0" w:after="160" w:line="257" w:lineRule="auto"/>
        <w:ind w:left="357" w:hanging="357"/>
        <w:contextualSpacing w:val="0"/>
      </w:pPr>
      <w:r w:rsidRPr="00585C0E">
        <w:rPr>
          <w:u w:val="single"/>
        </w:rPr>
        <w:t>Ineffective regulation</w:t>
      </w:r>
      <w:r>
        <w:t xml:space="preserve">: </w:t>
      </w:r>
      <w:r w:rsidR="001F761C">
        <w:t>b</w:t>
      </w:r>
      <w:r w:rsidR="00944BB7" w:rsidRPr="001E3FBC">
        <w:t>enefits for users are not achieved as the regulation is not effective in increasing the accuracy rates of voice requests for Australian radio services on smart speakers</w:t>
      </w:r>
    </w:p>
    <w:p w14:paraId="044A7E61" w14:textId="164964AF" w:rsidR="00944BB7" w:rsidRPr="001E3FBC" w:rsidRDefault="00F64AA6" w:rsidP="00944BB7">
      <w:pPr>
        <w:pStyle w:val="ListParagraph"/>
        <w:numPr>
          <w:ilvl w:val="6"/>
          <w:numId w:val="5"/>
        </w:numPr>
        <w:spacing w:before="0" w:after="160" w:line="257" w:lineRule="auto"/>
        <w:ind w:left="357" w:hanging="357"/>
        <w:contextualSpacing w:val="0"/>
      </w:pPr>
      <w:r w:rsidRPr="00585C0E">
        <w:rPr>
          <w:u w:val="single"/>
        </w:rPr>
        <w:t>Higher than anticipated costs</w:t>
      </w:r>
      <w:r>
        <w:t xml:space="preserve">: </w:t>
      </w:r>
      <w:r w:rsidR="001F761C">
        <w:t>the direct and indirect c</w:t>
      </w:r>
      <w:r w:rsidR="00944BB7" w:rsidRPr="001E3FBC">
        <w:t xml:space="preserve">osts </w:t>
      </w:r>
      <w:r w:rsidR="001F761C">
        <w:t xml:space="preserve">on businesses </w:t>
      </w:r>
      <w:r w:rsidR="00944BB7" w:rsidRPr="001E3FBC">
        <w:t xml:space="preserve">are higher than </w:t>
      </w:r>
      <w:r w:rsidR="001F761C">
        <w:t>expected</w:t>
      </w:r>
    </w:p>
    <w:p w14:paraId="38DF1107" w14:textId="18A83D4E" w:rsidR="00944BB7" w:rsidRPr="00803B7F" w:rsidRDefault="00710CC1" w:rsidP="00944BB7">
      <w:pPr>
        <w:pStyle w:val="ListParagraph"/>
        <w:numPr>
          <w:ilvl w:val="6"/>
          <w:numId w:val="5"/>
        </w:numPr>
        <w:spacing w:before="0" w:after="160" w:line="257" w:lineRule="auto"/>
        <w:ind w:left="357" w:hanging="357"/>
        <w:contextualSpacing w:val="0"/>
      </w:pPr>
      <w:r w:rsidRPr="00585C0E">
        <w:rPr>
          <w:u w:val="single"/>
        </w:rPr>
        <w:t>Delayed compliance</w:t>
      </w:r>
      <w:r>
        <w:t xml:space="preserve">: </w:t>
      </w:r>
      <w:r w:rsidR="001F761C">
        <w:t xml:space="preserve">the framework is slow to deliver the intended outcomes. </w:t>
      </w:r>
    </w:p>
    <w:p w14:paraId="0200CAAE" w14:textId="656C9E69" w:rsidR="00944BB7" w:rsidRDefault="00944BB7" w:rsidP="00944BB7">
      <w:pPr>
        <w:spacing w:before="0" w:after="160" w:line="257" w:lineRule="auto"/>
      </w:pPr>
      <w:r w:rsidRPr="00803B7F">
        <w:t xml:space="preserve">Strategies to mitigate and manage </w:t>
      </w:r>
      <w:r>
        <w:t xml:space="preserve">these risks are set out in Table </w:t>
      </w:r>
      <w:r w:rsidR="00552638">
        <w:t>1</w:t>
      </w:r>
      <w:r w:rsidR="00CF089C">
        <w:t>4</w:t>
      </w:r>
      <w:r>
        <w:t xml:space="preserve"> below.</w:t>
      </w:r>
    </w:p>
    <w:p w14:paraId="736C17E6" w14:textId="0EF7D67D" w:rsidR="00944BB7" w:rsidRDefault="00944BB7" w:rsidP="00944BB7">
      <w:pPr>
        <w:pStyle w:val="Caption"/>
      </w:pPr>
      <w:bookmarkStart w:id="132" w:name="_Toc236825678"/>
      <w:r>
        <w:t xml:space="preserve">Table </w:t>
      </w:r>
      <w:r w:rsidR="00552638">
        <w:t>1</w:t>
      </w:r>
      <w:r w:rsidR="00CF089C">
        <w:t>4</w:t>
      </w:r>
      <w:r>
        <w:t>: Strategies to manage each risk category</w:t>
      </w:r>
      <w:bookmarkEnd w:id="132"/>
    </w:p>
    <w:tbl>
      <w:tblPr>
        <w:tblStyle w:val="DefaultTable1"/>
        <w:tblW w:w="0" w:type="auto"/>
        <w:tblLook w:val="04A0" w:firstRow="1" w:lastRow="0" w:firstColumn="1" w:lastColumn="0" w:noHBand="0" w:noVBand="1"/>
      </w:tblPr>
      <w:tblGrid>
        <w:gridCol w:w="1985"/>
        <w:gridCol w:w="7869"/>
      </w:tblGrid>
      <w:tr w:rsidR="00CC6B10" w14:paraId="259C6B2F" w14:textId="77777777" w:rsidTr="002161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14DDD695" w14:textId="77777777" w:rsidR="00944BB7" w:rsidRDefault="00944BB7" w:rsidP="00944BB7">
            <w:pPr>
              <w:spacing w:before="120" w:after="120" w:line="257" w:lineRule="auto"/>
            </w:pPr>
            <w:r>
              <w:t>Risk</w:t>
            </w:r>
          </w:p>
        </w:tc>
        <w:tc>
          <w:tcPr>
            <w:tcW w:w="7869" w:type="dxa"/>
          </w:tcPr>
          <w:p w14:paraId="1D7DDEA2" w14:textId="77777777" w:rsidR="00944BB7" w:rsidRDefault="00944BB7" w:rsidP="00944BB7">
            <w:pPr>
              <w:spacing w:before="120" w:after="120" w:line="257" w:lineRule="auto"/>
              <w:cnfStyle w:val="100000000000" w:firstRow="1" w:lastRow="0" w:firstColumn="0" w:lastColumn="0" w:oddVBand="0" w:evenVBand="0" w:oddHBand="0" w:evenHBand="0" w:firstRowFirstColumn="0" w:firstRowLastColumn="0" w:lastRowFirstColumn="0" w:lastRowLastColumn="0"/>
            </w:pPr>
            <w:r>
              <w:t>Mitigation strategies</w:t>
            </w:r>
          </w:p>
        </w:tc>
      </w:tr>
      <w:tr w:rsidR="00CC6B10" w14:paraId="0D5128AF" w14:textId="77777777" w:rsidTr="00216163">
        <w:tc>
          <w:tcPr>
            <w:cnfStyle w:val="001000000000" w:firstRow="0" w:lastRow="0" w:firstColumn="1" w:lastColumn="0" w:oddVBand="0" w:evenVBand="0" w:oddHBand="0" w:evenHBand="0" w:firstRowFirstColumn="0" w:firstRowLastColumn="0" w:lastRowFirstColumn="0" w:lastRowLastColumn="0"/>
            <w:tcW w:w="1985" w:type="dxa"/>
          </w:tcPr>
          <w:p w14:paraId="2DFB4A0E" w14:textId="384AB268" w:rsidR="00944BB7" w:rsidRPr="00803B7F" w:rsidRDefault="001F761C" w:rsidP="00944BB7">
            <w:pPr>
              <w:spacing w:before="40" w:after="120"/>
              <w:rPr>
                <w:b w:val="0"/>
              </w:rPr>
            </w:pPr>
            <w:r>
              <w:t>Ineffective r</w:t>
            </w:r>
            <w:r w:rsidR="00944BB7" w:rsidRPr="007F0C56">
              <w:t xml:space="preserve">egulation </w:t>
            </w:r>
          </w:p>
        </w:tc>
        <w:tc>
          <w:tcPr>
            <w:tcW w:w="7869" w:type="dxa"/>
          </w:tcPr>
          <w:p w14:paraId="313073E1" w14:textId="77777777" w:rsidR="003E14FE" w:rsidRDefault="001F761C" w:rsidP="001F761C">
            <w:pPr>
              <w:spacing w:before="40" w:after="120"/>
              <w:cnfStyle w:val="000000000000" w:firstRow="0" w:lastRow="0" w:firstColumn="0" w:lastColumn="0" w:oddVBand="0" w:evenVBand="0" w:oddHBand="0" w:evenHBand="0" w:firstRowFirstColumn="0" w:firstRowLastColumn="0" w:lastRowFirstColumn="0" w:lastRowLastColumn="0"/>
            </w:pPr>
            <w:r>
              <w:t xml:space="preserve">Pending the passage of enabling legislation, it is intended that the framework would provide the regulator with appropriate </w:t>
            </w:r>
            <w:r w:rsidR="00024C3D">
              <w:t>powers to</w:t>
            </w:r>
            <w:r>
              <w:t xml:space="preserve"> oversee and enforce the framework, utilising to the fullest extent the existing graduated enforcement regime in place for most elements of the </w:t>
            </w:r>
            <w:r>
              <w:rPr>
                <w:i/>
                <w:iCs/>
              </w:rPr>
              <w:t>Broadcasting Services Act 1992</w:t>
            </w:r>
            <w:r>
              <w:t xml:space="preserve">. </w:t>
            </w:r>
          </w:p>
          <w:p w14:paraId="1C54D35B" w14:textId="43CD2C7C" w:rsidR="00944BB7" w:rsidRPr="007F0C56" w:rsidRDefault="001F761C" w:rsidP="001F761C">
            <w:pPr>
              <w:spacing w:before="40" w:after="120"/>
              <w:cnfStyle w:val="000000000000" w:firstRow="0" w:lastRow="0" w:firstColumn="0" w:lastColumn="0" w:oddVBand="0" w:evenVBand="0" w:oddHBand="0" w:evenHBand="0" w:firstRowFirstColumn="0" w:firstRowLastColumn="0" w:lastRowFirstColumn="0" w:lastRowLastColumn="0"/>
            </w:pPr>
            <w:r>
              <w:t xml:space="preserve">In addition, if the statutory review is conducted at a relatively early point following the commencement of the framework, this would provide an opportunity for an assessment of the </w:t>
            </w:r>
            <w:r w:rsidR="00C53BC1">
              <w:t xml:space="preserve">effectiveness of the framework and the </w:t>
            </w:r>
            <w:r>
              <w:t xml:space="preserve">need for </w:t>
            </w:r>
            <w:r w:rsidR="00C53BC1">
              <w:t>any adjustments.</w:t>
            </w:r>
            <w:r>
              <w:t xml:space="preserve"> </w:t>
            </w:r>
          </w:p>
        </w:tc>
      </w:tr>
      <w:tr w:rsidR="00CC6B10" w14:paraId="78C23392" w14:textId="77777777" w:rsidTr="0021616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29684067" w14:textId="1B846228" w:rsidR="00944BB7" w:rsidRPr="00803B7F" w:rsidRDefault="001F761C" w:rsidP="00944BB7">
            <w:pPr>
              <w:spacing w:before="40" w:after="120"/>
              <w:rPr>
                <w:b w:val="0"/>
              </w:rPr>
            </w:pPr>
            <w:r>
              <w:t xml:space="preserve">Higher than anticipated costs </w:t>
            </w:r>
          </w:p>
        </w:tc>
        <w:tc>
          <w:tcPr>
            <w:tcW w:w="7869" w:type="dxa"/>
          </w:tcPr>
          <w:p w14:paraId="1F7B763A" w14:textId="1A12D209" w:rsidR="00944BB7" w:rsidRPr="007F0C56" w:rsidRDefault="001F761C" w:rsidP="00944BB7">
            <w:pPr>
              <w:spacing w:before="40" w:after="120"/>
              <w:cnfStyle w:val="000000010000" w:firstRow="0" w:lastRow="0" w:firstColumn="0" w:lastColumn="0" w:oddVBand="0" w:evenVBand="0" w:oddHBand="0" w:evenHBand="1" w:firstRowFirstColumn="0" w:firstRowLastColumn="0" w:lastRowFirstColumn="0" w:lastRowLastColumn="0"/>
            </w:pPr>
            <w:r>
              <w:t xml:space="preserve">Pending the passage of enabling legislation, it is intended that the framework would </w:t>
            </w:r>
            <w:r w:rsidR="00C53BC1">
              <w:t xml:space="preserve">provide the ACMA with reporting and information gathering </w:t>
            </w:r>
            <w:r>
              <w:t>powers</w:t>
            </w:r>
            <w:r w:rsidR="00C53BC1">
              <w:t xml:space="preserve">. This would provide an opportunity for the regulator to assess any impacts (or claimed impacts) at an early point following the commencement of the framework. The statutory review would also provide another mechanism to examine the impacts of the framework, including any costs for industry. </w:t>
            </w:r>
          </w:p>
        </w:tc>
      </w:tr>
      <w:tr w:rsidR="00CC6B10" w14:paraId="32915836" w14:textId="77777777" w:rsidTr="00216163">
        <w:tc>
          <w:tcPr>
            <w:cnfStyle w:val="001000000000" w:firstRow="0" w:lastRow="0" w:firstColumn="1" w:lastColumn="0" w:oddVBand="0" w:evenVBand="0" w:oddHBand="0" w:evenHBand="0" w:firstRowFirstColumn="0" w:firstRowLastColumn="0" w:lastRowFirstColumn="0" w:lastRowLastColumn="0"/>
            <w:tcW w:w="1985" w:type="dxa"/>
          </w:tcPr>
          <w:p w14:paraId="0A89FB78" w14:textId="07D62695" w:rsidR="00944BB7" w:rsidRPr="00024C3D" w:rsidRDefault="001F761C" w:rsidP="00944BB7">
            <w:pPr>
              <w:spacing w:before="40" w:after="120"/>
            </w:pPr>
            <w:r>
              <w:t xml:space="preserve">Delayed compliance </w:t>
            </w:r>
          </w:p>
        </w:tc>
        <w:tc>
          <w:tcPr>
            <w:tcW w:w="7869" w:type="dxa"/>
          </w:tcPr>
          <w:p w14:paraId="6A80E662" w14:textId="7BE02A0D" w:rsidR="00944BB7" w:rsidRPr="007F0C56" w:rsidRDefault="00C53BC1" w:rsidP="00C53BC1">
            <w:pPr>
              <w:spacing w:before="40" w:after="120"/>
              <w:cnfStyle w:val="000000000000" w:firstRow="0" w:lastRow="0" w:firstColumn="0" w:lastColumn="0" w:oddVBand="0" w:evenVBand="0" w:oddHBand="0" w:evenHBand="0" w:firstRowFirstColumn="0" w:firstRowLastColumn="0" w:lastRowFirstColumn="0" w:lastRowLastColumn="0"/>
            </w:pPr>
            <w:r>
              <w:t xml:space="preserve">Through the introduction of the television prominence framework the ACMA engaged extensively with relevant industry stakeholders to outline the requirements of the new framework. It is anticipated that the regulator would adopt a similar education role in the early phases of the introduction of the framework to help to mitigate any risk of misunderstanding.   </w:t>
            </w:r>
            <w:r w:rsidR="001B11E7">
              <w:t xml:space="preserve"> </w:t>
            </w:r>
          </w:p>
        </w:tc>
      </w:tr>
    </w:tbl>
    <w:p w14:paraId="1EEAB1A3" w14:textId="5BAF8A74" w:rsidR="003E14FE" w:rsidRDefault="003E14FE">
      <w:pPr>
        <w:suppressAutoHyphens w:val="0"/>
      </w:pPr>
      <w:r>
        <w:br w:type="page"/>
      </w:r>
    </w:p>
    <w:p w14:paraId="008C8852" w14:textId="7875D350" w:rsidR="004307A4" w:rsidRDefault="004307A4" w:rsidP="004307A4">
      <w:pPr>
        <w:pStyle w:val="Heading1Numbered"/>
      </w:pPr>
      <w:bookmarkStart w:id="133" w:name="_Toc236825188"/>
      <w:r>
        <w:lastRenderedPageBreak/>
        <w:t xml:space="preserve">How will </w:t>
      </w:r>
      <w:r w:rsidR="00E35B85">
        <w:t>you</w:t>
      </w:r>
      <w:r>
        <w:t xml:space="preserve"> evaluate your cho</w:t>
      </w:r>
      <w:r w:rsidR="000B7CBD">
        <w:t>sen</w:t>
      </w:r>
      <w:r>
        <w:t xml:space="preserve"> option against the success metrics?</w:t>
      </w:r>
      <w:bookmarkEnd w:id="133"/>
    </w:p>
    <w:p w14:paraId="3127DD24" w14:textId="16CE9615" w:rsidR="00A016A3" w:rsidRDefault="00A016A3" w:rsidP="00A016A3">
      <w:pPr>
        <w:pStyle w:val="Heading2Numbered"/>
      </w:pPr>
      <w:bookmarkStart w:id="134" w:name="_Toc236825189"/>
      <w:r>
        <w:t>Evaluation</w:t>
      </w:r>
      <w:bookmarkEnd w:id="134"/>
    </w:p>
    <w:p w14:paraId="0E604F77" w14:textId="417A68AB" w:rsidR="00A016A3" w:rsidRDefault="00D36CC0">
      <w:pPr>
        <w:pStyle w:val="Heading3Numbered"/>
      </w:pPr>
      <w:bookmarkStart w:id="135" w:name="_Toc236825190"/>
      <w:r>
        <w:t>Evaluation process and timings</w:t>
      </w:r>
      <w:bookmarkEnd w:id="135"/>
    </w:p>
    <w:p w14:paraId="100E451C" w14:textId="2D976B95" w:rsidR="003D5D37" w:rsidRDefault="00DE4F7E">
      <w:r>
        <w:t xml:space="preserve">The </w:t>
      </w:r>
      <w:r w:rsidR="00A240FA">
        <w:t>Government w</w:t>
      </w:r>
      <w:r w:rsidR="00CE6F59">
        <w:t xml:space="preserve">ould </w:t>
      </w:r>
      <w:r w:rsidR="00A240FA">
        <w:t xml:space="preserve">monitor </w:t>
      </w:r>
      <w:r w:rsidR="00724959">
        <w:t xml:space="preserve">the </w:t>
      </w:r>
      <w:r w:rsidR="00DD7615">
        <w:t xml:space="preserve">framework </w:t>
      </w:r>
      <w:r w:rsidR="00724959">
        <w:t>on an ongoing basis once it is implemented t</w:t>
      </w:r>
      <w:r w:rsidR="00DD7615">
        <w:t>o</w:t>
      </w:r>
      <w:r>
        <w:t xml:space="preserve"> </w:t>
      </w:r>
      <w:r w:rsidR="00C92B80">
        <w:t>ensure it</w:t>
      </w:r>
      <w:r w:rsidR="00724959">
        <w:t xml:space="preserve"> is operating as intended. In addition, it </w:t>
      </w:r>
      <w:r w:rsidR="00240BCD">
        <w:t xml:space="preserve">anticipated that the </w:t>
      </w:r>
      <w:r w:rsidR="003045F1">
        <w:t xml:space="preserve">Bill </w:t>
      </w:r>
      <w:r w:rsidR="00240BCD">
        <w:t>w</w:t>
      </w:r>
      <w:r w:rsidR="00CE6F59">
        <w:t>ould</w:t>
      </w:r>
      <w:r w:rsidR="00240BCD">
        <w:t xml:space="preserve"> </w:t>
      </w:r>
      <w:r w:rsidR="003045F1">
        <w:t xml:space="preserve">include a requirement for </w:t>
      </w:r>
      <w:r w:rsidR="002847D4">
        <w:t xml:space="preserve">a statutory </w:t>
      </w:r>
      <w:r w:rsidR="003045F1" w:rsidRPr="002847D4">
        <w:t xml:space="preserve">review </w:t>
      </w:r>
      <w:r w:rsidR="00724959">
        <w:t xml:space="preserve">to assess </w:t>
      </w:r>
      <w:r w:rsidR="00CE6F59">
        <w:t>the framework’s effectiveness and impacts</w:t>
      </w:r>
      <w:r w:rsidR="00724959">
        <w:t xml:space="preserve">. </w:t>
      </w:r>
      <w:r w:rsidR="00240BCD">
        <w:t xml:space="preserve">This </w:t>
      </w:r>
      <w:r w:rsidR="008B6AF2">
        <w:t xml:space="preserve">would </w:t>
      </w:r>
      <w:r w:rsidR="00240BCD">
        <w:t xml:space="preserve">provide an opportunity </w:t>
      </w:r>
      <w:r w:rsidR="00306D16">
        <w:t xml:space="preserve">for a structured assessment of the </w:t>
      </w:r>
      <w:r w:rsidR="00CE6F59">
        <w:t>new regulation</w:t>
      </w:r>
      <w:r w:rsidR="002829F6">
        <w:t xml:space="preserve">; </w:t>
      </w:r>
      <w:r w:rsidR="008B6AF2">
        <w:t xml:space="preserve">informed by a process of public </w:t>
      </w:r>
      <w:r w:rsidR="00CE6F59">
        <w:t>consultation</w:t>
      </w:r>
      <w:r w:rsidR="00240BCD">
        <w:t xml:space="preserve">. </w:t>
      </w:r>
      <w:r w:rsidR="00CE6F59">
        <w:t>Among other matters, it is expected that the statutory review would:</w:t>
      </w:r>
      <w:r w:rsidR="00240BCD">
        <w:t xml:space="preserve"> </w:t>
      </w:r>
      <w:r w:rsidR="003045F1">
        <w:t xml:space="preserve"> </w:t>
      </w:r>
    </w:p>
    <w:p w14:paraId="60DE5522" w14:textId="78AABBA7" w:rsidR="002D5F5E" w:rsidRDefault="002D5F5E" w:rsidP="00CB0647">
      <w:pPr>
        <w:pStyle w:val="ListParagraph"/>
        <w:numPr>
          <w:ilvl w:val="0"/>
          <w:numId w:val="34"/>
        </w:numPr>
        <w:suppressAutoHyphens w:val="0"/>
        <w:contextualSpacing w:val="0"/>
      </w:pPr>
      <w:r>
        <w:t xml:space="preserve">monitor the ongoing availability of Australia radio services on smart speakers; </w:t>
      </w:r>
    </w:p>
    <w:p w14:paraId="11AC662E" w14:textId="62290DAF" w:rsidR="00C93475" w:rsidRDefault="00CE6F59" w:rsidP="00B61FB6">
      <w:pPr>
        <w:pStyle w:val="ListParagraph"/>
        <w:numPr>
          <w:ilvl w:val="0"/>
          <w:numId w:val="34"/>
        </w:numPr>
        <w:suppressAutoHyphens w:val="0"/>
        <w:contextualSpacing w:val="0"/>
      </w:pPr>
      <w:r>
        <w:t xml:space="preserve">assess the </w:t>
      </w:r>
      <w:r w:rsidR="00475E22">
        <w:t>accessibility of radio services on smart speakers</w:t>
      </w:r>
      <w:r w:rsidR="00C93475">
        <w:t>;</w:t>
      </w:r>
      <w:r w:rsidR="00C93475" w:rsidRPr="00C93475">
        <w:t xml:space="preserve"> </w:t>
      </w:r>
      <w:r w:rsidR="009578A1">
        <w:t>and</w:t>
      </w:r>
    </w:p>
    <w:p w14:paraId="0D2C144C" w14:textId="17390018" w:rsidR="00C93475" w:rsidRDefault="00C93475" w:rsidP="00C93475">
      <w:pPr>
        <w:pStyle w:val="ListParagraph"/>
        <w:numPr>
          <w:ilvl w:val="0"/>
          <w:numId w:val="34"/>
        </w:numPr>
        <w:suppressAutoHyphens w:val="0"/>
        <w:contextualSpacing w:val="0"/>
      </w:pPr>
      <w:r>
        <w:t xml:space="preserve">consider </w:t>
      </w:r>
      <w:r w:rsidR="00CE6F59">
        <w:t xml:space="preserve">the </w:t>
      </w:r>
      <w:r>
        <w:t xml:space="preserve">appropriateness of the framework and </w:t>
      </w:r>
      <w:r w:rsidR="00CE6F59">
        <w:t>the and the need for any amendments</w:t>
      </w:r>
      <w:r>
        <w:t xml:space="preserve">. </w:t>
      </w:r>
    </w:p>
    <w:p w14:paraId="3014E342" w14:textId="62DCC902" w:rsidR="001A2D76" w:rsidRDefault="001A2D76" w:rsidP="004307A4">
      <w:r>
        <w:t xml:space="preserve">In addition to stakeholder consultation, consideration will be given to sourcing additional data to underpin the statutory review, including commissioned research (as appropriate). </w:t>
      </w:r>
    </w:p>
    <w:p w14:paraId="182F04B0" w14:textId="2B9AF7EC" w:rsidR="00740225" w:rsidRDefault="001A2D76" w:rsidP="004307A4">
      <w:r>
        <w:t xml:space="preserve">In general terms, these evaluation processes would adhere to </w:t>
      </w:r>
      <w:r w:rsidR="000A6223">
        <w:t xml:space="preserve">the Department of Infrastructure, Transport, Regional Development, Communications, Sports and the Arts’ Evaluation Strategy 2024-27, </w:t>
      </w:r>
      <w:r w:rsidR="00ED7CDC">
        <w:t xml:space="preserve">as set out </w:t>
      </w:r>
      <w:r w:rsidR="000A6223">
        <w:t xml:space="preserve">in Figure </w:t>
      </w:r>
      <w:r w:rsidR="006117ED">
        <w:t>3</w:t>
      </w:r>
      <w:r w:rsidR="000A6223">
        <w:t>.</w:t>
      </w:r>
    </w:p>
    <w:p w14:paraId="73692374" w14:textId="207C72BE" w:rsidR="003908BC" w:rsidRDefault="00CA52ED" w:rsidP="00CB0647">
      <w:pPr>
        <w:pStyle w:val="Caption"/>
      </w:pPr>
      <w:bookmarkStart w:id="136" w:name="_Toc236825679"/>
      <w:r>
        <w:t xml:space="preserve">Figure </w:t>
      </w:r>
      <w:r w:rsidR="006117ED">
        <w:t>3</w:t>
      </w:r>
      <w:r>
        <w:t>: Evaluation as part of the policy cycle</w:t>
      </w:r>
      <w:bookmarkEnd w:id="136"/>
    </w:p>
    <w:p w14:paraId="1EE9DAC6" w14:textId="267EDAE6" w:rsidR="00CA52ED" w:rsidRDefault="00CA52ED" w:rsidP="00436740">
      <w:pPr>
        <w:jc w:val="center"/>
      </w:pPr>
      <w:r w:rsidRPr="003908BC">
        <w:rPr>
          <w:noProof/>
        </w:rPr>
        <w:drawing>
          <wp:inline distT="0" distB="0" distL="0" distR="0" wp14:anchorId="6BA06F03" wp14:editId="2FEA1EA1">
            <wp:extent cx="5475197" cy="33242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560182" cy="3375823"/>
                    </a:xfrm>
                    <a:prstGeom prst="rect">
                      <a:avLst/>
                    </a:prstGeom>
                  </pic:spPr>
                </pic:pic>
              </a:graphicData>
            </a:graphic>
          </wp:inline>
        </w:drawing>
      </w:r>
    </w:p>
    <w:p w14:paraId="5063BEAE" w14:textId="7CE56FD4" w:rsidR="003908BC" w:rsidRDefault="00CA52ED" w:rsidP="00CA52ED">
      <w:pPr>
        <w:pStyle w:val="Sourcenotes"/>
        <w:rPr>
          <w:lang w:val="en-AU"/>
        </w:rPr>
      </w:pPr>
      <w:r>
        <w:t xml:space="preserve">Source: </w:t>
      </w:r>
      <w:hyperlink r:id="rId20" w:history="1">
        <w:r>
          <w:rPr>
            <w:rStyle w:val="Hyperlink"/>
          </w:rPr>
          <w:t>Evaluation Strategy 2024-27 | Department of Infrastructure, Transport, Regional Development, Communications, Sport and the Arts</w:t>
        </w:r>
      </w:hyperlink>
      <w:r>
        <w:rPr>
          <w:lang w:val="en-AU"/>
        </w:rPr>
        <w:t>, p. 3</w:t>
      </w:r>
    </w:p>
    <w:p w14:paraId="35CF0104" w14:textId="77777777" w:rsidR="004E186B" w:rsidRDefault="004E186B"/>
    <w:p w14:paraId="6F1B27A8" w14:textId="77777777" w:rsidR="004E186B" w:rsidRDefault="004E186B">
      <w:pPr>
        <w:sectPr w:rsidR="004E186B" w:rsidSect="0027530B">
          <w:headerReference w:type="even" r:id="rId21"/>
          <w:headerReference w:type="default" r:id="rId22"/>
          <w:headerReference w:type="first" r:id="rId23"/>
          <w:type w:val="continuous"/>
          <w:pgSz w:w="11906" w:h="16838" w:code="9"/>
          <w:pgMar w:top="1021" w:right="1021" w:bottom="1021" w:left="1021" w:header="340" w:footer="397" w:gutter="0"/>
          <w:cols w:space="708"/>
          <w:docGrid w:linePitch="360"/>
        </w:sectPr>
      </w:pPr>
    </w:p>
    <w:p w14:paraId="26371B2B" w14:textId="12961D64" w:rsidR="004E186B" w:rsidRDefault="00FA79FB" w:rsidP="00993C4F">
      <w:pPr>
        <w:pStyle w:val="AppendixHeading1"/>
      </w:pPr>
      <w:bookmarkStart w:id="137" w:name="_Toc236825191"/>
      <w:r>
        <w:lastRenderedPageBreak/>
        <w:t>Regulatory Burden Measure</w:t>
      </w:r>
      <w:bookmarkEnd w:id="137"/>
    </w:p>
    <w:p w14:paraId="566DAFCA" w14:textId="757025A3" w:rsidR="002829F6" w:rsidRDefault="002829F6" w:rsidP="00FA79FB">
      <w:r>
        <w:t>This appendix assesses the regulatory burden for Option 2.</w:t>
      </w:r>
      <w:r>
        <w:rPr>
          <w:rStyle w:val="FootnoteReference"/>
        </w:rPr>
        <w:footnoteReference w:id="61"/>
      </w:r>
    </w:p>
    <w:p w14:paraId="450F8AA6" w14:textId="6E7762A2" w:rsidR="002A614B" w:rsidRDefault="00306590" w:rsidP="00DD74A5">
      <w:pPr>
        <w:pStyle w:val="Heading2"/>
      </w:pPr>
      <w:bookmarkStart w:id="138" w:name="_Toc236825192"/>
      <w:r>
        <w:t>Industry s</w:t>
      </w:r>
      <w:r w:rsidR="002A614B">
        <w:t>alary costs</w:t>
      </w:r>
      <w:bookmarkEnd w:id="138"/>
    </w:p>
    <w:p w14:paraId="390D1935" w14:textId="119C340F" w:rsidR="00A74B83" w:rsidRDefault="007464F5" w:rsidP="00FA79FB">
      <w:r>
        <w:t>Two types of roles were identified as being necessary to undertake relevant tasks:</w:t>
      </w:r>
    </w:p>
    <w:p w14:paraId="4899022E" w14:textId="1EB238EA" w:rsidR="007464F5" w:rsidRPr="007464F5" w:rsidRDefault="007464F5" w:rsidP="00DD74A5">
      <w:pPr>
        <w:pStyle w:val="ListParagraph"/>
        <w:widowControl w:val="0"/>
        <w:numPr>
          <w:ilvl w:val="0"/>
          <w:numId w:val="30"/>
        </w:numPr>
        <w:ind w:left="357" w:hanging="357"/>
        <w:contextualSpacing w:val="0"/>
        <w:rPr>
          <w:rFonts w:cstheme="minorHAnsi"/>
        </w:rPr>
      </w:pPr>
      <w:r w:rsidRPr="007464F5">
        <w:rPr>
          <w:rFonts w:cstheme="minorHAnsi"/>
        </w:rPr>
        <w:t>Compliance officer</w:t>
      </w:r>
      <w:r w:rsidR="00DB1053">
        <w:rPr>
          <w:rStyle w:val="FootnoteReference"/>
          <w:rFonts w:cstheme="minorHAnsi"/>
        </w:rPr>
        <w:footnoteReference w:id="62"/>
      </w:r>
      <w:r w:rsidR="00334E88">
        <w:rPr>
          <w:rFonts w:cstheme="minorHAnsi"/>
        </w:rPr>
        <w:t xml:space="preserve"> – to handle administrative and analytical tasks associated with information gathering and reporting requests from the ACMA, as the regulator for the framework</w:t>
      </w:r>
    </w:p>
    <w:p w14:paraId="62D2E4DD" w14:textId="6A7582E7" w:rsidR="007464F5" w:rsidRPr="007464F5" w:rsidRDefault="007464F5" w:rsidP="00DD74A5">
      <w:pPr>
        <w:pStyle w:val="ListParagraph"/>
        <w:widowControl w:val="0"/>
        <w:numPr>
          <w:ilvl w:val="0"/>
          <w:numId w:val="30"/>
        </w:numPr>
        <w:ind w:left="357" w:hanging="357"/>
        <w:contextualSpacing w:val="0"/>
        <w:rPr>
          <w:rFonts w:cstheme="minorHAnsi"/>
        </w:rPr>
      </w:pPr>
      <w:r w:rsidRPr="007464F5">
        <w:rPr>
          <w:rFonts w:cstheme="minorHAnsi"/>
        </w:rPr>
        <w:t>Software engineer</w:t>
      </w:r>
      <w:r w:rsidR="003C31A8">
        <w:rPr>
          <w:rStyle w:val="FootnoteReference"/>
          <w:rFonts w:cstheme="minorHAnsi"/>
        </w:rPr>
        <w:footnoteReference w:id="63"/>
      </w:r>
      <w:r w:rsidR="00334E88">
        <w:rPr>
          <w:rFonts w:cstheme="minorHAnsi"/>
        </w:rPr>
        <w:t xml:space="preserve"> – to address IT system issues of non-compliance with the core obligations of the framework</w:t>
      </w:r>
    </w:p>
    <w:p w14:paraId="10BF3B42" w14:textId="3085D414" w:rsidR="00C1132B" w:rsidRDefault="001E2096" w:rsidP="00FA79FB">
      <w:r>
        <w:t>T</w:t>
      </w:r>
      <w:r w:rsidR="004E7A3F">
        <w:t xml:space="preserve">he gross salary per additional full-time equivalent </w:t>
      </w:r>
      <w:r w:rsidR="00F42058">
        <w:t>(FTE)</w:t>
      </w:r>
      <w:r w:rsidR="004E7A3F">
        <w:t xml:space="preserve"> staff member was estimated to be</w:t>
      </w:r>
      <w:r w:rsidR="00C1132B">
        <w:t>:</w:t>
      </w:r>
    </w:p>
    <w:p w14:paraId="309B1526" w14:textId="1925D8B0" w:rsidR="00C1132B" w:rsidRPr="001E2096" w:rsidRDefault="00C1132B" w:rsidP="001E2096">
      <w:pPr>
        <w:pStyle w:val="ListParagraph"/>
        <w:widowControl w:val="0"/>
        <w:numPr>
          <w:ilvl w:val="0"/>
          <w:numId w:val="30"/>
        </w:numPr>
        <w:ind w:left="357" w:hanging="357"/>
        <w:contextualSpacing w:val="0"/>
        <w:rPr>
          <w:rFonts w:cstheme="minorHAnsi"/>
        </w:rPr>
      </w:pPr>
      <w:r w:rsidRPr="00C1132B">
        <w:rPr>
          <w:rFonts w:cstheme="minorHAnsi"/>
        </w:rPr>
        <w:t xml:space="preserve">Compliance officer </w:t>
      </w:r>
      <w:r w:rsidR="001E2096">
        <w:rPr>
          <w:rFonts w:cstheme="minorHAnsi"/>
        </w:rPr>
        <w:t>–</w:t>
      </w:r>
      <w:r w:rsidRPr="00C1132B">
        <w:rPr>
          <w:rFonts w:cstheme="minorHAnsi"/>
        </w:rPr>
        <w:t xml:space="preserve"> </w:t>
      </w:r>
      <w:r w:rsidR="004E7A3F" w:rsidRPr="001E2096">
        <w:rPr>
          <w:rFonts w:cstheme="minorHAnsi"/>
        </w:rPr>
        <w:t>$</w:t>
      </w:r>
      <w:r w:rsidRPr="001E2096">
        <w:rPr>
          <w:rFonts w:cstheme="minorHAnsi"/>
        </w:rPr>
        <w:t>95,287</w:t>
      </w:r>
      <w:r w:rsidR="004E7A3F" w:rsidRPr="001E2096">
        <w:rPr>
          <w:rFonts w:cstheme="minorHAnsi"/>
        </w:rPr>
        <w:t xml:space="preserve"> per year</w:t>
      </w:r>
    </w:p>
    <w:p w14:paraId="3E287B04" w14:textId="5BF68E1C" w:rsidR="00C1132B" w:rsidRPr="001E2096" w:rsidRDefault="00C1132B" w:rsidP="001E2096">
      <w:pPr>
        <w:pStyle w:val="ListParagraph"/>
        <w:widowControl w:val="0"/>
        <w:numPr>
          <w:ilvl w:val="0"/>
          <w:numId w:val="30"/>
        </w:numPr>
        <w:ind w:left="357" w:hanging="357"/>
        <w:contextualSpacing w:val="0"/>
        <w:rPr>
          <w:rFonts w:cstheme="minorHAnsi"/>
        </w:rPr>
      </w:pPr>
      <w:r w:rsidRPr="00C1132B">
        <w:rPr>
          <w:rFonts w:cstheme="minorHAnsi"/>
        </w:rPr>
        <w:t xml:space="preserve">Software engineer </w:t>
      </w:r>
      <w:r w:rsidR="001E2096">
        <w:rPr>
          <w:rFonts w:cstheme="minorHAnsi"/>
        </w:rPr>
        <w:t>–</w:t>
      </w:r>
      <w:r w:rsidRPr="00C1132B">
        <w:rPr>
          <w:rFonts w:cstheme="minorHAnsi"/>
        </w:rPr>
        <w:t xml:space="preserve"> </w:t>
      </w:r>
      <w:r w:rsidRPr="001E2096">
        <w:rPr>
          <w:rFonts w:cstheme="minorHAnsi"/>
        </w:rPr>
        <w:t>$107,307 per year.</w:t>
      </w:r>
    </w:p>
    <w:p w14:paraId="278FF29E" w14:textId="1CB6AE87" w:rsidR="00DB1053" w:rsidRDefault="004E7A3F" w:rsidP="00FA79FB">
      <w:r>
        <w:t>Additional non-wage labour costs were included in line with Office of Impact Analysis guidance at a rate of 75%</w:t>
      </w:r>
      <w:r w:rsidR="001E2096">
        <w:t xml:space="preserve"> -</w:t>
      </w:r>
      <w:r>
        <w:t xml:space="preserve"> giving a total annual cost</w:t>
      </w:r>
      <w:r w:rsidR="00C1132B">
        <w:t>s</w:t>
      </w:r>
      <w:r>
        <w:t xml:space="preserve"> per full-time equivalent staff member</w:t>
      </w:r>
      <w:r w:rsidR="00C1132B">
        <w:t xml:space="preserve"> of </w:t>
      </w:r>
      <w:r w:rsidR="009A3C51">
        <w:t>$166,752 for a compliance officer and $187,787 for a software engineer</w:t>
      </w:r>
      <w:r>
        <w:t xml:space="preserve">. </w:t>
      </w:r>
    </w:p>
    <w:p w14:paraId="2CC9E267" w14:textId="0F000515" w:rsidR="007E1775" w:rsidRDefault="00F42058" w:rsidP="002525A4">
      <w:pPr>
        <w:pStyle w:val="Heading2"/>
      </w:pPr>
      <w:bookmarkStart w:id="139" w:name="_Toc236825193"/>
      <w:r>
        <w:t>Option 2</w:t>
      </w:r>
      <w:bookmarkEnd w:id="139"/>
    </w:p>
    <w:p w14:paraId="1051B0CD" w14:textId="08612687" w:rsidR="00F16772" w:rsidRDefault="0078251C" w:rsidP="00FA79FB">
      <w:r>
        <w:t>Th</w:t>
      </w:r>
      <w:r w:rsidR="00895521">
        <w:t>ree</w:t>
      </w:r>
      <w:r>
        <w:t xml:space="preserve"> regulatory activities</w:t>
      </w:r>
      <w:r w:rsidR="00895521">
        <w:t xml:space="preserve"> were</w:t>
      </w:r>
      <w:r>
        <w:t xml:space="preserve"> identified for Option 2a. It is assumed that a compliance officer role would undertake both </w:t>
      </w:r>
      <w:r w:rsidR="001A11BF">
        <w:t xml:space="preserve">the </w:t>
      </w:r>
      <w:r>
        <w:t xml:space="preserve">information gathering / reporting and </w:t>
      </w:r>
      <w:r w:rsidR="001A11BF">
        <w:t xml:space="preserve">the </w:t>
      </w:r>
      <w:r>
        <w:t xml:space="preserve">risk assessment / legal advice activities, with a software engineer role undertaking the software / service integration activity. </w:t>
      </w:r>
      <w:r w:rsidR="001E2096">
        <w:t>For the purpose of this IA, community stations are assumed to fall into the category of community organisation, while n</w:t>
      </w:r>
      <w:r w:rsidR="00F16772">
        <w:t xml:space="preserve">etworks of </w:t>
      </w:r>
      <w:r w:rsidR="001E2096">
        <w:t xml:space="preserve">commercial </w:t>
      </w:r>
      <w:r w:rsidR="00F16772">
        <w:t>radio stations,</w:t>
      </w:r>
      <w:r w:rsidR="0040434D">
        <w:rPr>
          <w:rStyle w:val="FootnoteReference"/>
        </w:rPr>
        <w:footnoteReference w:id="64"/>
      </w:r>
      <w:r w:rsidR="00F16772">
        <w:t xml:space="preserve"> the national radio broadcasters (ABC and SBS), the representative bod</w:t>
      </w:r>
      <w:r w:rsidR="00780595">
        <w:t>y</w:t>
      </w:r>
      <w:r w:rsidR="00F16772">
        <w:t xml:space="preserve"> of </w:t>
      </w:r>
      <w:r w:rsidR="001E2096">
        <w:t xml:space="preserve">commercial </w:t>
      </w:r>
      <w:r w:rsidR="00F16772">
        <w:t>radio stations (CRA), manufacturers of devices</w:t>
      </w:r>
      <w:r w:rsidR="00603566">
        <w:t xml:space="preserve"> (</w:t>
      </w:r>
      <w:r w:rsidR="00603566" w:rsidRPr="00307C93">
        <w:t>other than Google, Amazon and Apple)</w:t>
      </w:r>
      <w:r w:rsidR="00F16772" w:rsidRPr="00307C93">
        <w:t xml:space="preserve">, and </w:t>
      </w:r>
      <w:r w:rsidR="00603566" w:rsidRPr="00307C93">
        <w:t xml:space="preserve">voice assistant </w:t>
      </w:r>
      <w:r w:rsidR="00F16772" w:rsidRPr="00307C93">
        <w:t xml:space="preserve">software providers not holding </w:t>
      </w:r>
      <w:r w:rsidR="001E2096" w:rsidRPr="00307C93">
        <w:t xml:space="preserve">the </w:t>
      </w:r>
      <w:r w:rsidR="00F16772" w:rsidRPr="00307C93">
        <w:t>market share of the top 3 providers</w:t>
      </w:r>
      <w:r w:rsidR="00950F3F" w:rsidRPr="00307C93">
        <w:t xml:space="preserve"> (Google, Amazon and Apple)</w:t>
      </w:r>
      <w:r w:rsidR="00F16772" w:rsidRPr="00307C93">
        <w:t>,</w:t>
      </w:r>
      <w:r w:rsidR="00F16772">
        <w:t xml:space="preserve"> </w:t>
      </w:r>
      <w:r w:rsidR="001E2096">
        <w:t xml:space="preserve">were </w:t>
      </w:r>
      <w:r w:rsidR="00F16772">
        <w:t xml:space="preserve">considered large businesses. Very large businesses </w:t>
      </w:r>
      <w:r w:rsidR="001E2096">
        <w:t xml:space="preserve">were assumed to be </w:t>
      </w:r>
      <w:r w:rsidR="00F16772">
        <w:t xml:space="preserve">the top 3 providers of voice assistant software </w:t>
      </w:r>
      <w:r w:rsidR="00707F5E">
        <w:t>i</w:t>
      </w:r>
      <w:r w:rsidR="00F16772">
        <w:t>n the Australian market – Google, Amazon and Apple</w:t>
      </w:r>
      <w:r w:rsidR="00F16772" w:rsidRPr="00307C93">
        <w:t xml:space="preserve">. </w:t>
      </w:r>
      <w:r w:rsidR="004D4B91" w:rsidRPr="00307C93">
        <w:t>These entities are also the major providers of smart speaker devices.</w:t>
      </w:r>
      <w:r w:rsidR="004D4B91">
        <w:t xml:space="preserve"> </w:t>
      </w:r>
    </w:p>
    <w:p w14:paraId="22D97E94" w14:textId="549E57D6" w:rsidR="00F42058" w:rsidRDefault="00F42058" w:rsidP="002525A4">
      <w:pPr>
        <w:pStyle w:val="Caption"/>
      </w:pPr>
      <w:bookmarkStart w:id="140" w:name="_Toc236825680"/>
      <w:r>
        <w:t xml:space="preserve">Table </w:t>
      </w:r>
      <w:r w:rsidR="00FD4B1C">
        <w:t>15</w:t>
      </w:r>
      <w:r>
        <w:t>: Option 2a Regulatory costs estimate based on activity-based costing</w:t>
      </w:r>
      <w:bookmarkEnd w:id="140"/>
      <w:r>
        <w:t xml:space="preserve"> </w:t>
      </w:r>
    </w:p>
    <w:tbl>
      <w:tblPr>
        <w:tblStyle w:val="DefaultTable1"/>
        <w:tblW w:w="0" w:type="auto"/>
        <w:tblLayout w:type="fixed"/>
        <w:tblLook w:val="04A0" w:firstRow="1" w:lastRow="0" w:firstColumn="1" w:lastColumn="0" w:noHBand="0" w:noVBand="1"/>
      </w:tblPr>
      <w:tblGrid>
        <w:gridCol w:w="1449"/>
        <w:gridCol w:w="1214"/>
        <w:gridCol w:w="1448"/>
        <w:gridCol w:w="1985"/>
        <w:gridCol w:w="3768"/>
      </w:tblGrid>
      <w:tr w:rsidR="000E6BE6" w14:paraId="579F652B" w14:textId="77777777" w:rsidTr="00D33F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9" w:type="dxa"/>
          </w:tcPr>
          <w:p w14:paraId="20C359DF" w14:textId="3DCBB8DD" w:rsidR="004B3371" w:rsidRDefault="00780595" w:rsidP="00FA79FB">
            <w:r>
              <w:t>Entity type</w:t>
            </w:r>
          </w:p>
        </w:tc>
        <w:tc>
          <w:tcPr>
            <w:tcW w:w="1214" w:type="dxa"/>
          </w:tcPr>
          <w:p w14:paraId="015B7896" w14:textId="5AEC0724" w:rsidR="004B3371" w:rsidRDefault="00F42058" w:rsidP="00FA79FB">
            <w:pPr>
              <w:cnfStyle w:val="100000000000" w:firstRow="1" w:lastRow="0" w:firstColumn="0" w:lastColumn="0" w:oddVBand="0" w:evenVBand="0" w:oddHBand="0" w:evenHBand="0" w:firstRowFirstColumn="0" w:firstRowLastColumn="0" w:lastRowFirstColumn="0" w:lastRowLastColumn="0"/>
            </w:pPr>
            <w:r>
              <w:t>Number of businesses affected</w:t>
            </w:r>
          </w:p>
        </w:tc>
        <w:tc>
          <w:tcPr>
            <w:tcW w:w="1448" w:type="dxa"/>
          </w:tcPr>
          <w:p w14:paraId="2D2DCB4A" w14:textId="43786624" w:rsidR="004B3371" w:rsidRDefault="00F42058" w:rsidP="00FA79FB">
            <w:pPr>
              <w:cnfStyle w:val="100000000000" w:firstRow="1" w:lastRow="0" w:firstColumn="0" w:lastColumn="0" w:oddVBand="0" w:evenVBand="0" w:oddHBand="0" w:evenHBand="0" w:firstRowFirstColumn="0" w:firstRowLastColumn="0" w:lastRowFirstColumn="0" w:lastRowLastColumn="0"/>
            </w:pPr>
            <w:r>
              <w:t>FTE staff requirement per business</w:t>
            </w:r>
          </w:p>
        </w:tc>
        <w:tc>
          <w:tcPr>
            <w:tcW w:w="1985" w:type="dxa"/>
          </w:tcPr>
          <w:p w14:paraId="50DCA395" w14:textId="39A8A883" w:rsidR="004B3371" w:rsidRDefault="00F42058" w:rsidP="00FA79FB">
            <w:pPr>
              <w:cnfStyle w:val="100000000000" w:firstRow="1" w:lastRow="0" w:firstColumn="0" w:lastColumn="0" w:oddVBand="0" w:evenVBand="0" w:oddHBand="0" w:evenHBand="0" w:firstRowFirstColumn="0" w:firstRowLastColumn="0" w:lastRowFirstColumn="0" w:lastRowLastColumn="0"/>
            </w:pPr>
            <w:r>
              <w:t>Estimated regulatory impact per year</w:t>
            </w:r>
          </w:p>
        </w:tc>
        <w:tc>
          <w:tcPr>
            <w:tcW w:w="3768" w:type="dxa"/>
          </w:tcPr>
          <w:p w14:paraId="3B7C7E55" w14:textId="6CAA12A1" w:rsidR="004B3371" w:rsidRDefault="00F42058" w:rsidP="00FA79FB">
            <w:pPr>
              <w:cnfStyle w:val="100000000000" w:firstRow="1" w:lastRow="0" w:firstColumn="0" w:lastColumn="0" w:oddVBand="0" w:evenVBand="0" w:oddHBand="0" w:evenHBand="0" w:firstRowFirstColumn="0" w:firstRowLastColumn="0" w:lastRowFirstColumn="0" w:lastRowLastColumn="0"/>
            </w:pPr>
            <w:r>
              <w:t>Notes on estimated additional costs per business type</w:t>
            </w:r>
          </w:p>
        </w:tc>
      </w:tr>
      <w:tr w:rsidR="004B3371" w14:paraId="03432E0A" w14:textId="77777777" w:rsidTr="00D33F54">
        <w:tc>
          <w:tcPr>
            <w:cnfStyle w:val="001000000000" w:firstRow="0" w:lastRow="0" w:firstColumn="1" w:lastColumn="0" w:oddVBand="0" w:evenVBand="0" w:oddHBand="0" w:evenHBand="0" w:firstRowFirstColumn="0" w:firstRowLastColumn="0" w:lastRowFirstColumn="0" w:lastRowLastColumn="0"/>
            <w:tcW w:w="9864" w:type="dxa"/>
            <w:gridSpan w:val="5"/>
            <w:shd w:val="clear" w:color="auto" w:fill="E3F5FC" w:themeFill="accent3" w:themeFillTint="33"/>
          </w:tcPr>
          <w:p w14:paraId="3C9A372B" w14:textId="4099D765" w:rsidR="004B3371" w:rsidRDefault="008715F1" w:rsidP="00FA79FB">
            <w:r>
              <w:t>INFORMATION GATHERING / REPORTING REQUIREMENTS</w:t>
            </w:r>
          </w:p>
        </w:tc>
      </w:tr>
      <w:tr w:rsidR="000E6BE6" w14:paraId="1E40135B" w14:textId="77777777" w:rsidTr="00D33F54">
        <w:trPr>
          <w:cnfStyle w:val="000000010000" w:firstRow="0" w:lastRow="0" w:firstColumn="0" w:lastColumn="0" w:oddVBand="0" w:evenVBand="0" w:oddHBand="0" w:evenHBand="1" w:firstRowFirstColumn="0" w:firstRowLastColumn="0" w:lastRowFirstColumn="0" w:lastRowLastColumn="0"/>
          <w:trHeight w:val="852"/>
        </w:trPr>
        <w:tc>
          <w:tcPr>
            <w:cnfStyle w:val="001000000000" w:firstRow="0" w:lastRow="0" w:firstColumn="1" w:lastColumn="0" w:oddVBand="0" w:evenVBand="0" w:oddHBand="0" w:evenHBand="0" w:firstRowFirstColumn="0" w:firstRowLastColumn="0" w:lastRowFirstColumn="0" w:lastRowLastColumn="0"/>
            <w:tcW w:w="1449" w:type="dxa"/>
          </w:tcPr>
          <w:p w14:paraId="2ECCE5DC" w14:textId="7FA13A17" w:rsidR="008715F1" w:rsidRDefault="00780595" w:rsidP="00FA79FB">
            <w:r>
              <w:t>Community organisation</w:t>
            </w:r>
          </w:p>
        </w:tc>
        <w:tc>
          <w:tcPr>
            <w:tcW w:w="1214" w:type="dxa"/>
          </w:tcPr>
          <w:p w14:paraId="059B0739" w14:textId="3A337370" w:rsidR="008715F1" w:rsidRDefault="009A3C51" w:rsidP="00E22245">
            <w:pPr>
              <w:jc w:val="right"/>
              <w:cnfStyle w:val="000000010000" w:firstRow="0" w:lastRow="0" w:firstColumn="0" w:lastColumn="0" w:oddVBand="0" w:evenVBand="0" w:oddHBand="0" w:evenHBand="1" w:firstRowFirstColumn="0" w:firstRowLastColumn="0" w:lastRowFirstColumn="0" w:lastRowLastColumn="0"/>
            </w:pPr>
            <w:r>
              <w:t>1</w:t>
            </w:r>
            <w:r w:rsidR="00D34162">
              <w:t>*</w:t>
            </w:r>
          </w:p>
        </w:tc>
        <w:tc>
          <w:tcPr>
            <w:tcW w:w="1448" w:type="dxa"/>
          </w:tcPr>
          <w:p w14:paraId="2770CCD2" w14:textId="519D56F7" w:rsidR="008715F1" w:rsidRDefault="002525A4" w:rsidP="00E22245">
            <w:pPr>
              <w:jc w:val="right"/>
              <w:cnfStyle w:val="000000010000" w:firstRow="0" w:lastRow="0" w:firstColumn="0" w:lastColumn="0" w:oddVBand="0" w:evenVBand="0" w:oddHBand="0" w:evenHBand="1" w:firstRowFirstColumn="0" w:firstRowLastColumn="0" w:lastRowFirstColumn="0" w:lastRowLastColumn="0"/>
            </w:pPr>
            <w:r>
              <w:t>0.</w:t>
            </w:r>
            <w:r w:rsidR="006C1A2F">
              <w:t>05</w:t>
            </w:r>
          </w:p>
        </w:tc>
        <w:tc>
          <w:tcPr>
            <w:tcW w:w="1985" w:type="dxa"/>
          </w:tcPr>
          <w:p w14:paraId="2D6E4B7A" w14:textId="172B07A1" w:rsidR="008715F1" w:rsidRDefault="002525A4" w:rsidP="00E22245">
            <w:pPr>
              <w:jc w:val="right"/>
              <w:cnfStyle w:val="000000010000" w:firstRow="0" w:lastRow="0" w:firstColumn="0" w:lastColumn="0" w:oddVBand="0" w:evenVBand="0" w:oddHBand="0" w:evenHBand="1" w:firstRowFirstColumn="0" w:firstRowLastColumn="0" w:lastRowFirstColumn="0" w:lastRowLastColumn="0"/>
            </w:pPr>
            <w:r>
              <w:t>$</w:t>
            </w:r>
            <w:r w:rsidR="00CA5A9C">
              <w:t>8,</w:t>
            </w:r>
            <w:r w:rsidR="000670AE">
              <w:t>337.60</w:t>
            </w:r>
          </w:p>
        </w:tc>
        <w:tc>
          <w:tcPr>
            <w:tcW w:w="3768" w:type="dxa"/>
          </w:tcPr>
          <w:p w14:paraId="7B524578" w14:textId="7077C9A0" w:rsidR="008715F1" w:rsidRPr="00124A1A" w:rsidRDefault="00F34EA5" w:rsidP="00EC7516">
            <w:pPr>
              <w:cnfStyle w:val="000000010000" w:firstRow="0" w:lastRow="0" w:firstColumn="0" w:lastColumn="0" w:oddVBand="0" w:evenVBand="0" w:oddHBand="0" w:evenHBand="1" w:firstRowFirstColumn="0" w:firstRowLastColumn="0" w:lastRowFirstColumn="0" w:lastRowLastColumn="0"/>
              <w:rPr>
                <w:sz w:val="18"/>
                <w:szCs w:val="18"/>
              </w:rPr>
            </w:pPr>
            <w:r>
              <w:t>Assumes 0.</w:t>
            </w:r>
            <w:r w:rsidR="006C1A2F">
              <w:t xml:space="preserve">05 </w:t>
            </w:r>
            <w:r>
              <w:t>additional FTE</w:t>
            </w:r>
            <w:r w:rsidR="00EC7516">
              <w:t xml:space="preserve"> </w:t>
            </w:r>
            <w:r>
              <w:t xml:space="preserve">to respond to </w:t>
            </w:r>
            <w:r w:rsidR="00F534D2">
              <w:t>1</w:t>
            </w:r>
            <w:r>
              <w:t xml:space="preserve"> information gathering or reporting request per year</w:t>
            </w:r>
          </w:p>
        </w:tc>
      </w:tr>
      <w:tr w:rsidR="000E6BE6" w14:paraId="699D437C" w14:textId="77777777" w:rsidTr="00A542E5">
        <w:tc>
          <w:tcPr>
            <w:cnfStyle w:val="001000000000" w:firstRow="0" w:lastRow="0" w:firstColumn="1" w:lastColumn="0" w:oddVBand="0" w:evenVBand="0" w:oddHBand="0" w:evenHBand="0" w:firstRowFirstColumn="0" w:firstRowLastColumn="0" w:lastRowFirstColumn="0" w:lastRowLastColumn="0"/>
            <w:tcW w:w="1449" w:type="dxa"/>
          </w:tcPr>
          <w:p w14:paraId="4349D8B3" w14:textId="5A1DBDE3" w:rsidR="004B3371" w:rsidRDefault="00781CA8" w:rsidP="00FA79FB">
            <w:r w:rsidRPr="00A542E5">
              <w:lastRenderedPageBreak/>
              <w:t>Large business</w:t>
            </w:r>
          </w:p>
        </w:tc>
        <w:tc>
          <w:tcPr>
            <w:tcW w:w="1214" w:type="dxa"/>
          </w:tcPr>
          <w:p w14:paraId="5FE3A9A6" w14:textId="090001F1" w:rsidR="004B3371" w:rsidRDefault="00781CA8" w:rsidP="00E22245">
            <w:pPr>
              <w:jc w:val="right"/>
              <w:cnfStyle w:val="000000000000" w:firstRow="0" w:lastRow="0" w:firstColumn="0" w:lastColumn="0" w:oddVBand="0" w:evenVBand="0" w:oddHBand="0" w:evenHBand="0" w:firstRowFirstColumn="0" w:firstRowLastColumn="0" w:lastRowFirstColumn="0" w:lastRowLastColumn="0"/>
            </w:pPr>
            <w:r>
              <w:t>3</w:t>
            </w:r>
            <w:r w:rsidR="00A24158">
              <w:t>^</w:t>
            </w:r>
          </w:p>
          <w:p w14:paraId="030B252C" w14:textId="3E199B69" w:rsidR="00603566" w:rsidRDefault="00603566" w:rsidP="00E22245">
            <w:pPr>
              <w:jc w:val="right"/>
              <w:cnfStyle w:val="000000000000" w:firstRow="0" w:lastRow="0" w:firstColumn="0" w:lastColumn="0" w:oddVBand="0" w:evenVBand="0" w:oddHBand="0" w:evenHBand="0" w:firstRowFirstColumn="0" w:firstRowLastColumn="0" w:lastRowFirstColumn="0" w:lastRowLastColumn="0"/>
            </w:pPr>
          </w:p>
        </w:tc>
        <w:tc>
          <w:tcPr>
            <w:tcW w:w="1448" w:type="dxa"/>
          </w:tcPr>
          <w:p w14:paraId="5D9DC0CE" w14:textId="79B79612" w:rsidR="004B3371" w:rsidRDefault="00603566" w:rsidP="00E22245">
            <w:pPr>
              <w:jc w:val="right"/>
              <w:cnfStyle w:val="000000000000" w:firstRow="0" w:lastRow="0" w:firstColumn="0" w:lastColumn="0" w:oddVBand="0" w:evenVBand="0" w:oddHBand="0" w:evenHBand="0" w:firstRowFirstColumn="0" w:firstRowLastColumn="0" w:lastRowFirstColumn="0" w:lastRowLastColumn="0"/>
            </w:pPr>
            <w:r w:rsidRPr="00A542E5">
              <w:t>0.05</w:t>
            </w:r>
          </w:p>
        </w:tc>
        <w:tc>
          <w:tcPr>
            <w:tcW w:w="1985" w:type="dxa"/>
          </w:tcPr>
          <w:p w14:paraId="07FA850B" w14:textId="13051D31" w:rsidR="004B3371" w:rsidRPr="00EC7516" w:rsidRDefault="002525A4" w:rsidP="00E22245">
            <w:pPr>
              <w:jc w:val="right"/>
              <w:cnfStyle w:val="000000000000" w:firstRow="0" w:lastRow="0" w:firstColumn="0" w:lastColumn="0" w:oddVBand="0" w:evenVBand="0" w:oddHBand="0" w:evenHBand="0" w:firstRowFirstColumn="0" w:firstRowLastColumn="0" w:lastRowFirstColumn="0" w:lastRowLastColumn="0"/>
            </w:pPr>
            <w:r w:rsidRPr="00EC7516">
              <w:t>$</w:t>
            </w:r>
            <w:r w:rsidR="00A542E5">
              <w:t>25,012.80</w:t>
            </w:r>
          </w:p>
        </w:tc>
        <w:tc>
          <w:tcPr>
            <w:tcW w:w="3768" w:type="dxa"/>
          </w:tcPr>
          <w:p w14:paraId="30CEB82F" w14:textId="49227D72" w:rsidR="000670AE" w:rsidRPr="00EC7516" w:rsidRDefault="00F34EA5" w:rsidP="00EC7516">
            <w:pPr>
              <w:cnfStyle w:val="000000000000" w:firstRow="0" w:lastRow="0" w:firstColumn="0" w:lastColumn="0" w:oddVBand="0" w:evenVBand="0" w:oddHBand="0" w:evenHBand="0" w:firstRowFirstColumn="0" w:firstRowLastColumn="0" w:lastRowFirstColumn="0" w:lastRowLastColumn="0"/>
            </w:pPr>
            <w:r w:rsidRPr="00EC7516">
              <w:t>Assumes 0.</w:t>
            </w:r>
            <w:r w:rsidR="00A542E5">
              <w:t>0</w:t>
            </w:r>
            <w:r w:rsidR="002525A4" w:rsidRPr="00EC7516">
              <w:t>5</w:t>
            </w:r>
            <w:r w:rsidRPr="00EC7516">
              <w:t xml:space="preserve"> additional FTE to respond to </w:t>
            </w:r>
            <w:r w:rsidR="00F534D2">
              <w:t>1</w:t>
            </w:r>
            <w:r w:rsidRPr="00EC7516">
              <w:t xml:space="preserve"> information gathering or reporting request per year</w:t>
            </w:r>
          </w:p>
        </w:tc>
      </w:tr>
      <w:tr w:rsidR="000E6BE6" w14:paraId="144AA191" w14:textId="77777777" w:rsidTr="00A542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9" w:type="dxa"/>
          </w:tcPr>
          <w:p w14:paraId="1D906CDF" w14:textId="1EEBE9B0" w:rsidR="004B3371" w:rsidRDefault="00EC7516" w:rsidP="00FA79FB">
            <w:r w:rsidRPr="00A542E5">
              <w:t>V</w:t>
            </w:r>
            <w:r w:rsidR="008715F1" w:rsidRPr="00A542E5">
              <w:t>ery large</w:t>
            </w:r>
            <w:r w:rsidR="00780595" w:rsidRPr="00A542E5">
              <w:t xml:space="preserve"> business</w:t>
            </w:r>
          </w:p>
        </w:tc>
        <w:tc>
          <w:tcPr>
            <w:tcW w:w="1214" w:type="dxa"/>
          </w:tcPr>
          <w:p w14:paraId="48AD6D12" w14:textId="74C6056F" w:rsidR="004B3371" w:rsidRDefault="0080268F" w:rsidP="00E22245">
            <w:pPr>
              <w:jc w:val="right"/>
              <w:cnfStyle w:val="000000010000" w:firstRow="0" w:lastRow="0" w:firstColumn="0" w:lastColumn="0" w:oddVBand="0" w:evenVBand="0" w:oddHBand="0" w:evenHBand="1" w:firstRowFirstColumn="0" w:firstRowLastColumn="0" w:lastRowFirstColumn="0" w:lastRowLastColumn="0"/>
            </w:pPr>
            <w:r>
              <w:t>3</w:t>
            </w:r>
            <w:r w:rsidR="004C4325" w:rsidRPr="00A542E5">
              <w:rPr>
                <w:rFonts w:cstheme="minorHAnsi"/>
                <w:vertAlign w:val="superscript"/>
              </w:rPr>
              <w:t>•</w:t>
            </w:r>
          </w:p>
        </w:tc>
        <w:tc>
          <w:tcPr>
            <w:tcW w:w="1448" w:type="dxa"/>
          </w:tcPr>
          <w:p w14:paraId="403E1F02" w14:textId="28D55093" w:rsidR="004B3371" w:rsidRDefault="0080268F" w:rsidP="00E22245">
            <w:pPr>
              <w:jc w:val="right"/>
              <w:cnfStyle w:val="000000010000" w:firstRow="0" w:lastRow="0" w:firstColumn="0" w:lastColumn="0" w:oddVBand="0" w:evenVBand="0" w:oddHBand="0" w:evenHBand="1" w:firstRowFirstColumn="0" w:firstRowLastColumn="0" w:lastRowFirstColumn="0" w:lastRowLastColumn="0"/>
            </w:pPr>
            <w:r>
              <w:t>0</w:t>
            </w:r>
            <w:r w:rsidR="00124A1A">
              <w:t>.5</w:t>
            </w:r>
          </w:p>
        </w:tc>
        <w:tc>
          <w:tcPr>
            <w:tcW w:w="1985" w:type="dxa"/>
          </w:tcPr>
          <w:p w14:paraId="2A3876E8" w14:textId="702394E7" w:rsidR="004B3371" w:rsidRDefault="0080268F" w:rsidP="00E22245">
            <w:pPr>
              <w:jc w:val="right"/>
              <w:cnfStyle w:val="000000010000" w:firstRow="0" w:lastRow="0" w:firstColumn="0" w:lastColumn="0" w:oddVBand="0" w:evenVBand="0" w:oddHBand="0" w:evenHBand="1" w:firstRowFirstColumn="0" w:firstRowLastColumn="0" w:lastRowFirstColumn="0" w:lastRowLastColumn="0"/>
            </w:pPr>
            <w:r>
              <w:t>$</w:t>
            </w:r>
            <w:r w:rsidR="0016671D">
              <w:t>25</w:t>
            </w:r>
            <w:r>
              <w:t>0</w:t>
            </w:r>
            <w:r w:rsidR="0016671D">
              <w:t>,128</w:t>
            </w:r>
          </w:p>
        </w:tc>
        <w:tc>
          <w:tcPr>
            <w:tcW w:w="3768" w:type="dxa"/>
          </w:tcPr>
          <w:p w14:paraId="53365A54" w14:textId="2C9EA977" w:rsidR="004B3371" w:rsidRDefault="00F34EA5" w:rsidP="00FA79FB">
            <w:pPr>
              <w:cnfStyle w:val="000000010000" w:firstRow="0" w:lastRow="0" w:firstColumn="0" w:lastColumn="0" w:oddVBand="0" w:evenVBand="0" w:oddHBand="0" w:evenHBand="1" w:firstRowFirstColumn="0" w:firstRowLastColumn="0" w:lastRowFirstColumn="0" w:lastRowLastColumn="0"/>
            </w:pPr>
            <w:r>
              <w:t xml:space="preserve">Assumes </w:t>
            </w:r>
            <w:r w:rsidR="00124A1A">
              <w:t xml:space="preserve">0.5 additional FTE </w:t>
            </w:r>
            <w:r>
              <w:t>to respond to information gathering or reporting request</w:t>
            </w:r>
            <w:r w:rsidR="00EE5CC5">
              <w:t>s</w:t>
            </w:r>
          </w:p>
        </w:tc>
      </w:tr>
      <w:tr w:rsidR="000E6BE6" w14:paraId="5F02F4AE" w14:textId="77777777" w:rsidTr="00A542E5">
        <w:tc>
          <w:tcPr>
            <w:cnfStyle w:val="001000000000" w:firstRow="0" w:lastRow="0" w:firstColumn="1" w:lastColumn="0" w:oddVBand="0" w:evenVBand="0" w:oddHBand="0" w:evenHBand="0" w:firstRowFirstColumn="0" w:firstRowLastColumn="0" w:lastRowFirstColumn="0" w:lastRowLastColumn="0"/>
            <w:tcW w:w="1449" w:type="dxa"/>
          </w:tcPr>
          <w:p w14:paraId="388489FC" w14:textId="21BC6F75" w:rsidR="008715F1" w:rsidRDefault="008715F1" w:rsidP="00FA79FB">
            <w:r>
              <w:t>Total</w:t>
            </w:r>
            <w:r w:rsidR="00780595">
              <w:t xml:space="preserve"> (business)</w:t>
            </w:r>
          </w:p>
        </w:tc>
        <w:tc>
          <w:tcPr>
            <w:tcW w:w="1214" w:type="dxa"/>
          </w:tcPr>
          <w:p w14:paraId="4FAE5ECA" w14:textId="77777777" w:rsidR="008715F1" w:rsidRDefault="008715F1" w:rsidP="00FA79FB">
            <w:pPr>
              <w:cnfStyle w:val="000000000000" w:firstRow="0" w:lastRow="0" w:firstColumn="0" w:lastColumn="0" w:oddVBand="0" w:evenVBand="0" w:oddHBand="0" w:evenHBand="0" w:firstRowFirstColumn="0" w:firstRowLastColumn="0" w:lastRowFirstColumn="0" w:lastRowLastColumn="0"/>
            </w:pPr>
          </w:p>
        </w:tc>
        <w:tc>
          <w:tcPr>
            <w:tcW w:w="1448" w:type="dxa"/>
          </w:tcPr>
          <w:p w14:paraId="6F7747D7" w14:textId="77777777" w:rsidR="008715F1" w:rsidRDefault="008715F1" w:rsidP="00FA79FB">
            <w:pPr>
              <w:cnfStyle w:val="000000000000" w:firstRow="0" w:lastRow="0" w:firstColumn="0" w:lastColumn="0" w:oddVBand="0" w:evenVBand="0" w:oddHBand="0" w:evenHBand="0" w:firstRowFirstColumn="0" w:firstRowLastColumn="0" w:lastRowFirstColumn="0" w:lastRowLastColumn="0"/>
            </w:pPr>
          </w:p>
        </w:tc>
        <w:tc>
          <w:tcPr>
            <w:tcW w:w="1985" w:type="dxa"/>
          </w:tcPr>
          <w:p w14:paraId="4E0C08DA" w14:textId="37867EC3" w:rsidR="008715F1" w:rsidRDefault="00D22C1F" w:rsidP="00E22245">
            <w:pPr>
              <w:jc w:val="right"/>
              <w:cnfStyle w:val="000000000000" w:firstRow="0" w:lastRow="0" w:firstColumn="0" w:lastColumn="0" w:oddVBand="0" w:evenVBand="0" w:oddHBand="0" w:evenHBand="0" w:firstRowFirstColumn="0" w:firstRowLastColumn="0" w:lastRowFirstColumn="0" w:lastRowLastColumn="0"/>
            </w:pPr>
            <w:r>
              <w:t>$</w:t>
            </w:r>
            <w:r w:rsidR="00A542E5">
              <w:t>275,140.80</w:t>
            </w:r>
          </w:p>
        </w:tc>
        <w:tc>
          <w:tcPr>
            <w:tcW w:w="3768" w:type="dxa"/>
          </w:tcPr>
          <w:p w14:paraId="3EBC75E0" w14:textId="77777777" w:rsidR="008715F1" w:rsidRDefault="008715F1" w:rsidP="00FA79FB">
            <w:pPr>
              <w:cnfStyle w:val="000000000000" w:firstRow="0" w:lastRow="0" w:firstColumn="0" w:lastColumn="0" w:oddVBand="0" w:evenVBand="0" w:oddHBand="0" w:evenHBand="0" w:firstRowFirstColumn="0" w:firstRowLastColumn="0" w:lastRowFirstColumn="0" w:lastRowLastColumn="0"/>
            </w:pPr>
          </w:p>
        </w:tc>
      </w:tr>
      <w:tr w:rsidR="008715F1" w14:paraId="5B8FE9EA" w14:textId="77777777" w:rsidTr="00A542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64" w:type="dxa"/>
            <w:gridSpan w:val="5"/>
            <w:shd w:val="clear" w:color="auto" w:fill="E3F5FC" w:themeFill="accent3" w:themeFillTint="33"/>
          </w:tcPr>
          <w:p w14:paraId="43DEF5FE" w14:textId="602D8F60" w:rsidR="008715F1" w:rsidRDefault="008715F1" w:rsidP="00FA79FB">
            <w:r>
              <w:t>RISK ASSESSMENT / LEGAL ADVICE ON FRAMEWORK</w:t>
            </w:r>
          </w:p>
        </w:tc>
      </w:tr>
      <w:tr w:rsidR="000E6BE6" w14:paraId="44E47C10" w14:textId="77777777" w:rsidTr="00A542E5">
        <w:tc>
          <w:tcPr>
            <w:cnfStyle w:val="001000000000" w:firstRow="0" w:lastRow="0" w:firstColumn="1" w:lastColumn="0" w:oddVBand="0" w:evenVBand="0" w:oddHBand="0" w:evenHBand="0" w:firstRowFirstColumn="0" w:firstRowLastColumn="0" w:lastRowFirstColumn="0" w:lastRowLastColumn="0"/>
            <w:tcW w:w="1449" w:type="dxa"/>
          </w:tcPr>
          <w:p w14:paraId="64A93838" w14:textId="47A9701C" w:rsidR="008715F1" w:rsidRDefault="00780595" w:rsidP="008715F1">
            <w:r>
              <w:t>Community organisation</w:t>
            </w:r>
          </w:p>
        </w:tc>
        <w:tc>
          <w:tcPr>
            <w:tcW w:w="1214" w:type="dxa"/>
          </w:tcPr>
          <w:p w14:paraId="4ADEB0C8" w14:textId="0E96D5D7" w:rsidR="008715F1" w:rsidRDefault="00A24158" w:rsidP="00E22245">
            <w:pPr>
              <w:jc w:val="right"/>
              <w:cnfStyle w:val="000000000000" w:firstRow="0" w:lastRow="0" w:firstColumn="0" w:lastColumn="0" w:oddVBand="0" w:evenVBand="0" w:oddHBand="0" w:evenHBand="0" w:firstRowFirstColumn="0" w:firstRowLastColumn="0" w:lastRowFirstColumn="0" w:lastRowLastColumn="0"/>
            </w:pPr>
            <w:r>
              <w:t>1</w:t>
            </w:r>
            <w:r w:rsidR="00124A1A">
              <w:t>*</w:t>
            </w:r>
          </w:p>
        </w:tc>
        <w:tc>
          <w:tcPr>
            <w:tcW w:w="1448" w:type="dxa"/>
          </w:tcPr>
          <w:p w14:paraId="5C30CCD5" w14:textId="2E9D0650" w:rsidR="008715F1" w:rsidRDefault="00D22C1F" w:rsidP="00E22245">
            <w:pPr>
              <w:jc w:val="right"/>
              <w:cnfStyle w:val="000000000000" w:firstRow="0" w:lastRow="0" w:firstColumn="0" w:lastColumn="0" w:oddVBand="0" w:evenVBand="0" w:oddHBand="0" w:evenHBand="0" w:firstRowFirstColumn="0" w:firstRowLastColumn="0" w:lastRowFirstColumn="0" w:lastRowLastColumn="0"/>
            </w:pPr>
            <w:r>
              <w:t>0.</w:t>
            </w:r>
            <w:r w:rsidR="00D2205C">
              <w:t>1</w:t>
            </w:r>
          </w:p>
        </w:tc>
        <w:tc>
          <w:tcPr>
            <w:tcW w:w="1985" w:type="dxa"/>
          </w:tcPr>
          <w:p w14:paraId="572F01F6" w14:textId="2321DD76" w:rsidR="008715F1" w:rsidRDefault="00D22C1F" w:rsidP="00E22245">
            <w:pPr>
              <w:jc w:val="right"/>
              <w:cnfStyle w:val="000000000000" w:firstRow="0" w:lastRow="0" w:firstColumn="0" w:lastColumn="0" w:oddVBand="0" w:evenVBand="0" w:oddHBand="0" w:evenHBand="0" w:firstRowFirstColumn="0" w:firstRowLastColumn="0" w:lastRowFirstColumn="0" w:lastRowLastColumn="0"/>
            </w:pPr>
            <w:r>
              <w:t>$</w:t>
            </w:r>
            <w:r w:rsidR="007F5E5B">
              <w:t>16,675.20</w:t>
            </w:r>
          </w:p>
        </w:tc>
        <w:tc>
          <w:tcPr>
            <w:tcW w:w="3768" w:type="dxa"/>
          </w:tcPr>
          <w:p w14:paraId="416B1A80" w14:textId="2F931AB4" w:rsidR="008715F1" w:rsidRDefault="00CE6C20" w:rsidP="008715F1">
            <w:pPr>
              <w:cnfStyle w:val="000000000000" w:firstRow="0" w:lastRow="0" w:firstColumn="0" w:lastColumn="0" w:oddVBand="0" w:evenVBand="0" w:oddHBand="0" w:evenHBand="0" w:firstRowFirstColumn="0" w:firstRowLastColumn="0" w:lastRowFirstColumn="0" w:lastRowLastColumn="0"/>
            </w:pPr>
            <w:r>
              <w:t>Assumes 0.</w:t>
            </w:r>
            <w:r w:rsidR="00A542E5">
              <w:t>1</w:t>
            </w:r>
            <w:r w:rsidR="006C1A2F">
              <w:t xml:space="preserve"> </w:t>
            </w:r>
            <w:r>
              <w:t>additional FTE to assess risk or legal implications</w:t>
            </w:r>
          </w:p>
        </w:tc>
      </w:tr>
      <w:tr w:rsidR="000E6BE6" w14:paraId="1A34F338" w14:textId="77777777" w:rsidTr="00A542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9" w:type="dxa"/>
          </w:tcPr>
          <w:p w14:paraId="1745EFB5" w14:textId="04650B4A" w:rsidR="008715F1" w:rsidRDefault="008715F1" w:rsidP="008715F1">
            <w:r>
              <w:t>Large</w:t>
            </w:r>
            <w:r w:rsidR="00780595">
              <w:t xml:space="preserve"> business</w:t>
            </w:r>
          </w:p>
        </w:tc>
        <w:tc>
          <w:tcPr>
            <w:tcW w:w="1214" w:type="dxa"/>
          </w:tcPr>
          <w:p w14:paraId="7109B177" w14:textId="4E26F836" w:rsidR="008715F1" w:rsidRDefault="00A542E5" w:rsidP="00E22245">
            <w:pPr>
              <w:jc w:val="right"/>
              <w:cnfStyle w:val="000000010000" w:firstRow="0" w:lastRow="0" w:firstColumn="0" w:lastColumn="0" w:oddVBand="0" w:evenVBand="0" w:oddHBand="0" w:evenHBand="1" w:firstRowFirstColumn="0" w:firstRowLastColumn="0" w:lastRowFirstColumn="0" w:lastRowLastColumn="0"/>
            </w:pPr>
            <w:r>
              <w:t>3</w:t>
            </w:r>
            <w:r w:rsidR="00A24158">
              <w:t>^</w:t>
            </w:r>
            <w:r w:rsidR="004D4B91">
              <w:t xml:space="preserve"> </w:t>
            </w:r>
          </w:p>
        </w:tc>
        <w:tc>
          <w:tcPr>
            <w:tcW w:w="1448" w:type="dxa"/>
          </w:tcPr>
          <w:p w14:paraId="1BEA23B6" w14:textId="16369C22" w:rsidR="008715F1" w:rsidRDefault="00D22C1F" w:rsidP="00E22245">
            <w:pPr>
              <w:jc w:val="right"/>
              <w:cnfStyle w:val="000000010000" w:firstRow="0" w:lastRow="0" w:firstColumn="0" w:lastColumn="0" w:oddVBand="0" w:evenVBand="0" w:oddHBand="0" w:evenHBand="1" w:firstRowFirstColumn="0" w:firstRowLastColumn="0" w:lastRowFirstColumn="0" w:lastRowLastColumn="0"/>
            </w:pPr>
            <w:r>
              <w:t>0.</w:t>
            </w:r>
            <w:r w:rsidR="00D2205C">
              <w:t>1</w:t>
            </w:r>
          </w:p>
        </w:tc>
        <w:tc>
          <w:tcPr>
            <w:tcW w:w="1985" w:type="dxa"/>
          </w:tcPr>
          <w:p w14:paraId="0068ABCD" w14:textId="0441A833" w:rsidR="008715F1" w:rsidRDefault="00D22C1F" w:rsidP="00E22245">
            <w:pPr>
              <w:jc w:val="right"/>
              <w:cnfStyle w:val="000000010000" w:firstRow="0" w:lastRow="0" w:firstColumn="0" w:lastColumn="0" w:oddVBand="0" w:evenVBand="0" w:oddHBand="0" w:evenHBand="1" w:firstRowFirstColumn="0" w:firstRowLastColumn="0" w:lastRowFirstColumn="0" w:lastRowLastColumn="0"/>
            </w:pPr>
            <w:r>
              <w:t>$</w:t>
            </w:r>
            <w:r w:rsidR="007F5E5B">
              <w:t>50,025.60</w:t>
            </w:r>
          </w:p>
        </w:tc>
        <w:tc>
          <w:tcPr>
            <w:tcW w:w="3768" w:type="dxa"/>
          </w:tcPr>
          <w:p w14:paraId="4A93912B" w14:textId="40B6A26C" w:rsidR="008715F1" w:rsidRDefault="00CE6C20" w:rsidP="008715F1">
            <w:pPr>
              <w:cnfStyle w:val="000000010000" w:firstRow="0" w:lastRow="0" w:firstColumn="0" w:lastColumn="0" w:oddVBand="0" w:evenVBand="0" w:oddHBand="0" w:evenHBand="1" w:firstRowFirstColumn="0" w:firstRowLastColumn="0" w:lastRowFirstColumn="0" w:lastRowLastColumn="0"/>
            </w:pPr>
            <w:r>
              <w:t>Assumes 0.</w:t>
            </w:r>
            <w:r w:rsidR="00A542E5">
              <w:t>1</w:t>
            </w:r>
            <w:r>
              <w:t xml:space="preserve"> additional FTE to assess risk or legal implications</w:t>
            </w:r>
          </w:p>
        </w:tc>
      </w:tr>
      <w:tr w:rsidR="000E6BE6" w14:paraId="0CE07282" w14:textId="77777777" w:rsidTr="00A542E5">
        <w:tc>
          <w:tcPr>
            <w:cnfStyle w:val="001000000000" w:firstRow="0" w:lastRow="0" w:firstColumn="1" w:lastColumn="0" w:oddVBand="0" w:evenVBand="0" w:oddHBand="0" w:evenHBand="0" w:firstRowFirstColumn="0" w:firstRowLastColumn="0" w:lastRowFirstColumn="0" w:lastRowLastColumn="0"/>
            <w:tcW w:w="1449" w:type="dxa"/>
          </w:tcPr>
          <w:p w14:paraId="1647BD1E" w14:textId="50EFF15B" w:rsidR="008715F1" w:rsidRDefault="008715F1" w:rsidP="008715F1">
            <w:r>
              <w:t>Very large</w:t>
            </w:r>
            <w:r w:rsidR="00780595">
              <w:t xml:space="preserve"> business</w:t>
            </w:r>
          </w:p>
        </w:tc>
        <w:tc>
          <w:tcPr>
            <w:tcW w:w="1214" w:type="dxa"/>
          </w:tcPr>
          <w:p w14:paraId="592EEA49" w14:textId="1D9DC513" w:rsidR="008715F1" w:rsidRDefault="00D22C1F" w:rsidP="00E22245">
            <w:pPr>
              <w:jc w:val="right"/>
              <w:cnfStyle w:val="000000000000" w:firstRow="0" w:lastRow="0" w:firstColumn="0" w:lastColumn="0" w:oddVBand="0" w:evenVBand="0" w:oddHBand="0" w:evenHBand="0" w:firstRowFirstColumn="0" w:firstRowLastColumn="0" w:lastRowFirstColumn="0" w:lastRowLastColumn="0"/>
            </w:pPr>
            <w:r>
              <w:t>3</w:t>
            </w:r>
            <w:r w:rsidR="007F5E5B" w:rsidRPr="00A542E5">
              <w:rPr>
                <w:rFonts w:cstheme="minorHAnsi"/>
                <w:vertAlign w:val="superscript"/>
              </w:rPr>
              <w:t>•</w:t>
            </w:r>
          </w:p>
        </w:tc>
        <w:tc>
          <w:tcPr>
            <w:tcW w:w="1448" w:type="dxa"/>
          </w:tcPr>
          <w:p w14:paraId="77DEC9CF" w14:textId="32B18EF1" w:rsidR="008715F1" w:rsidRDefault="00D22C1F" w:rsidP="00E22245">
            <w:pPr>
              <w:jc w:val="right"/>
              <w:cnfStyle w:val="000000000000" w:firstRow="0" w:lastRow="0" w:firstColumn="0" w:lastColumn="0" w:oddVBand="0" w:evenVBand="0" w:oddHBand="0" w:evenHBand="0" w:firstRowFirstColumn="0" w:firstRowLastColumn="0" w:lastRowFirstColumn="0" w:lastRowLastColumn="0"/>
            </w:pPr>
            <w:r>
              <w:t>0.5</w:t>
            </w:r>
          </w:p>
        </w:tc>
        <w:tc>
          <w:tcPr>
            <w:tcW w:w="1985" w:type="dxa"/>
          </w:tcPr>
          <w:p w14:paraId="38F0FB7E" w14:textId="7A0130AA" w:rsidR="008715F1" w:rsidRDefault="00D22C1F" w:rsidP="00E22245">
            <w:pPr>
              <w:jc w:val="right"/>
              <w:cnfStyle w:val="000000000000" w:firstRow="0" w:lastRow="0" w:firstColumn="0" w:lastColumn="0" w:oddVBand="0" w:evenVBand="0" w:oddHBand="0" w:evenHBand="0" w:firstRowFirstColumn="0" w:firstRowLastColumn="0" w:lastRowFirstColumn="0" w:lastRowLastColumn="0"/>
            </w:pPr>
            <w:r>
              <w:t>$</w:t>
            </w:r>
            <w:r w:rsidR="00124A1A">
              <w:t>250,128</w:t>
            </w:r>
          </w:p>
        </w:tc>
        <w:tc>
          <w:tcPr>
            <w:tcW w:w="3768" w:type="dxa"/>
          </w:tcPr>
          <w:p w14:paraId="0FECDCD4" w14:textId="20BD4F01" w:rsidR="008715F1" w:rsidRDefault="00F34EA5" w:rsidP="008715F1">
            <w:pPr>
              <w:cnfStyle w:val="000000000000" w:firstRow="0" w:lastRow="0" w:firstColumn="0" w:lastColumn="0" w:oddVBand="0" w:evenVBand="0" w:oddHBand="0" w:evenHBand="0" w:firstRowFirstColumn="0" w:firstRowLastColumn="0" w:lastRowFirstColumn="0" w:lastRowLastColumn="0"/>
            </w:pPr>
            <w:r>
              <w:t>Assumes 0.</w:t>
            </w:r>
            <w:r w:rsidR="00D22C1F">
              <w:t>5</w:t>
            </w:r>
            <w:r>
              <w:t xml:space="preserve"> additional FTE to assess risk or legal implications</w:t>
            </w:r>
          </w:p>
        </w:tc>
      </w:tr>
      <w:tr w:rsidR="000E6BE6" w14:paraId="2805972D" w14:textId="77777777" w:rsidTr="00A542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9" w:type="dxa"/>
          </w:tcPr>
          <w:p w14:paraId="18411E3A" w14:textId="674FE4A8" w:rsidR="008715F1" w:rsidRDefault="008715F1" w:rsidP="008715F1">
            <w:r>
              <w:t>Total</w:t>
            </w:r>
            <w:r w:rsidR="00780595">
              <w:t xml:space="preserve"> (business)</w:t>
            </w:r>
          </w:p>
        </w:tc>
        <w:tc>
          <w:tcPr>
            <w:tcW w:w="1214" w:type="dxa"/>
          </w:tcPr>
          <w:p w14:paraId="153146BA" w14:textId="77777777" w:rsidR="008715F1" w:rsidRDefault="008715F1" w:rsidP="008715F1">
            <w:pPr>
              <w:cnfStyle w:val="000000010000" w:firstRow="0" w:lastRow="0" w:firstColumn="0" w:lastColumn="0" w:oddVBand="0" w:evenVBand="0" w:oddHBand="0" w:evenHBand="1" w:firstRowFirstColumn="0" w:firstRowLastColumn="0" w:lastRowFirstColumn="0" w:lastRowLastColumn="0"/>
            </w:pPr>
          </w:p>
        </w:tc>
        <w:tc>
          <w:tcPr>
            <w:tcW w:w="1448" w:type="dxa"/>
          </w:tcPr>
          <w:p w14:paraId="1E731521" w14:textId="77777777" w:rsidR="008715F1" w:rsidRDefault="008715F1" w:rsidP="008715F1">
            <w:pPr>
              <w:cnfStyle w:val="000000010000" w:firstRow="0" w:lastRow="0" w:firstColumn="0" w:lastColumn="0" w:oddVBand="0" w:evenVBand="0" w:oddHBand="0" w:evenHBand="1" w:firstRowFirstColumn="0" w:firstRowLastColumn="0" w:lastRowFirstColumn="0" w:lastRowLastColumn="0"/>
            </w:pPr>
          </w:p>
        </w:tc>
        <w:tc>
          <w:tcPr>
            <w:tcW w:w="1985" w:type="dxa"/>
          </w:tcPr>
          <w:p w14:paraId="3FFE585F" w14:textId="5E4CB615" w:rsidR="008715F1" w:rsidRDefault="00D22C1F" w:rsidP="00E22245">
            <w:pPr>
              <w:jc w:val="right"/>
              <w:cnfStyle w:val="000000010000" w:firstRow="0" w:lastRow="0" w:firstColumn="0" w:lastColumn="0" w:oddVBand="0" w:evenVBand="0" w:oddHBand="0" w:evenHBand="1" w:firstRowFirstColumn="0" w:firstRowLastColumn="0" w:lastRowFirstColumn="0" w:lastRowLastColumn="0"/>
            </w:pPr>
            <w:r>
              <w:t>$</w:t>
            </w:r>
            <w:r w:rsidR="007F5E5B">
              <w:t>300,153.60</w:t>
            </w:r>
          </w:p>
        </w:tc>
        <w:tc>
          <w:tcPr>
            <w:tcW w:w="3768" w:type="dxa"/>
          </w:tcPr>
          <w:p w14:paraId="1B9115FF" w14:textId="77777777" w:rsidR="008715F1" w:rsidRDefault="008715F1" w:rsidP="008715F1">
            <w:pPr>
              <w:cnfStyle w:val="000000010000" w:firstRow="0" w:lastRow="0" w:firstColumn="0" w:lastColumn="0" w:oddVBand="0" w:evenVBand="0" w:oddHBand="0" w:evenHBand="1" w:firstRowFirstColumn="0" w:firstRowLastColumn="0" w:lastRowFirstColumn="0" w:lastRowLastColumn="0"/>
            </w:pPr>
          </w:p>
        </w:tc>
      </w:tr>
      <w:tr w:rsidR="008715F1" w14:paraId="7841109D" w14:textId="77777777" w:rsidTr="00A542E5">
        <w:tc>
          <w:tcPr>
            <w:cnfStyle w:val="001000000000" w:firstRow="0" w:lastRow="0" w:firstColumn="1" w:lastColumn="0" w:oddVBand="0" w:evenVBand="0" w:oddHBand="0" w:evenHBand="0" w:firstRowFirstColumn="0" w:firstRowLastColumn="0" w:lastRowFirstColumn="0" w:lastRowLastColumn="0"/>
            <w:tcW w:w="9864" w:type="dxa"/>
            <w:gridSpan w:val="5"/>
            <w:shd w:val="clear" w:color="auto" w:fill="E3F5FC" w:themeFill="accent3" w:themeFillTint="33"/>
          </w:tcPr>
          <w:p w14:paraId="13532863" w14:textId="2F5B7B2C" w:rsidR="008715F1" w:rsidRDefault="00D41987" w:rsidP="00FA79FB">
            <w:r>
              <w:t>SOFTWARE / SERVICE INTEGRATION</w:t>
            </w:r>
            <w:r w:rsidR="00437F00">
              <w:t xml:space="preserve"> (including ‘open pathway’ requirement)</w:t>
            </w:r>
            <w:r w:rsidR="0016671D">
              <w:t xml:space="preserve"> </w:t>
            </w:r>
          </w:p>
        </w:tc>
      </w:tr>
      <w:tr w:rsidR="000E6BE6" w14:paraId="2D2DD639" w14:textId="77777777" w:rsidTr="00A542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9" w:type="dxa"/>
          </w:tcPr>
          <w:p w14:paraId="68E630FA" w14:textId="1715F3CF" w:rsidR="00D41987" w:rsidRDefault="00780595" w:rsidP="00D41987">
            <w:r>
              <w:t>Community organisation</w:t>
            </w:r>
          </w:p>
        </w:tc>
        <w:tc>
          <w:tcPr>
            <w:tcW w:w="1214" w:type="dxa"/>
          </w:tcPr>
          <w:p w14:paraId="61F1DF3A" w14:textId="49672488" w:rsidR="00D41987" w:rsidRDefault="00A24158" w:rsidP="00E22245">
            <w:pPr>
              <w:jc w:val="right"/>
              <w:cnfStyle w:val="000000010000" w:firstRow="0" w:lastRow="0" w:firstColumn="0" w:lastColumn="0" w:oddVBand="0" w:evenVBand="0" w:oddHBand="0" w:evenHBand="1" w:firstRowFirstColumn="0" w:firstRowLastColumn="0" w:lastRowFirstColumn="0" w:lastRowLastColumn="0"/>
            </w:pPr>
            <w:r>
              <w:t>1</w:t>
            </w:r>
            <w:r w:rsidR="0016671D">
              <w:t>*</w:t>
            </w:r>
          </w:p>
        </w:tc>
        <w:tc>
          <w:tcPr>
            <w:tcW w:w="1448" w:type="dxa"/>
          </w:tcPr>
          <w:p w14:paraId="170DB04E" w14:textId="353D9E2E" w:rsidR="00D41987" w:rsidRDefault="00D22C1F" w:rsidP="00E22245">
            <w:pPr>
              <w:jc w:val="right"/>
              <w:cnfStyle w:val="000000010000" w:firstRow="0" w:lastRow="0" w:firstColumn="0" w:lastColumn="0" w:oddVBand="0" w:evenVBand="0" w:oddHBand="0" w:evenHBand="1" w:firstRowFirstColumn="0" w:firstRowLastColumn="0" w:lastRowFirstColumn="0" w:lastRowLastColumn="0"/>
            </w:pPr>
            <w:r>
              <w:t>0.</w:t>
            </w:r>
            <w:r w:rsidR="00D2205C">
              <w:t>2</w:t>
            </w:r>
          </w:p>
        </w:tc>
        <w:tc>
          <w:tcPr>
            <w:tcW w:w="1985" w:type="dxa"/>
          </w:tcPr>
          <w:p w14:paraId="033159F6" w14:textId="739291B8" w:rsidR="00D41987" w:rsidRDefault="00D22C1F" w:rsidP="00E22245">
            <w:pPr>
              <w:jc w:val="right"/>
              <w:cnfStyle w:val="000000010000" w:firstRow="0" w:lastRow="0" w:firstColumn="0" w:lastColumn="0" w:oddVBand="0" w:evenVBand="0" w:oddHBand="0" w:evenHBand="1" w:firstRowFirstColumn="0" w:firstRowLastColumn="0" w:lastRowFirstColumn="0" w:lastRowLastColumn="0"/>
            </w:pPr>
            <w:r>
              <w:t>$</w:t>
            </w:r>
            <w:r w:rsidR="007F5E5B">
              <w:t>37,557.40</w:t>
            </w:r>
          </w:p>
        </w:tc>
        <w:tc>
          <w:tcPr>
            <w:tcW w:w="3768" w:type="dxa"/>
          </w:tcPr>
          <w:p w14:paraId="1754D9A2" w14:textId="564F5739" w:rsidR="00D41987" w:rsidRDefault="009A04BB" w:rsidP="00D41987">
            <w:pPr>
              <w:cnfStyle w:val="000000010000" w:firstRow="0" w:lastRow="0" w:firstColumn="0" w:lastColumn="0" w:oddVBand="0" w:evenVBand="0" w:oddHBand="0" w:evenHBand="1" w:firstRowFirstColumn="0" w:firstRowLastColumn="0" w:lastRowFirstColumn="0" w:lastRowLastColumn="0"/>
            </w:pPr>
            <w:r>
              <w:t>Assumes 0.</w:t>
            </w:r>
            <w:r w:rsidR="00A542E5">
              <w:t>2</w:t>
            </w:r>
            <w:r w:rsidR="006C1A2F">
              <w:t xml:space="preserve"> </w:t>
            </w:r>
            <w:r>
              <w:t>additional FTE to facilitate and maintain online service access</w:t>
            </w:r>
          </w:p>
        </w:tc>
      </w:tr>
      <w:tr w:rsidR="000E6BE6" w14:paraId="2EC19F1A" w14:textId="77777777" w:rsidTr="00A542E5">
        <w:tc>
          <w:tcPr>
            <w:cnfStyle w:val="001000000000" w:firstRow="0" w:lastRow="0" w:firstColumn="1" w:lastColumn="0" w:oddVBand="0" w:evenVBand="0" w:oddHBand="0" w:evenHBand="0" w:firstRowFirstColumn="0" w:firstRowLastColumn="0" w:lastRowFirstColumn="0" w:lastRowLastColumn="0"/>
            <w:tcW w:w="1449" w:type="dxa"/>
          </w:tcPr>
          <w:p w14:paraId="6004DC43" w14:textId="29016C94" w:rsidR="00D41987" w:rsidRDefault="00D41987" w:rsidP="00D41987">
            <w:r>
              <w:t>Large</w:t>
            </w:r>
            <w:r w:rsidR="00780595">
              <w:t xml:space="preserve"> business</w:t>
            </w:r>
          </w:p>
        </w:tc>
        <w:tc>
          <w:tcPr>
            <w:tcW w:w="1214" w:type="dxa"/>
          </w:tcPr>
          <w:p w14:paraId="3582EC94" w14:textId="2E718DEA" w:rsidR="00D41987" w:rsidRDefault="00A542E5" w:rsidP="00E22245">
            <w:pPr>
              <w:jc w:val="right"/>
              <w:cnfStyle w:val="000000000000" w:firstRow="0" w:lastRow="0" w:firstColumn="0" w:lastColumn="0" w:oddVBand="0" w:evenVBand="0" w:oddHBand="0" w:evenHBand="0" w:firstRowFirstColumn="0" w:firstRowLastColumn="0" w:lastRowFirstColumn="0" w:lastRowLastColumn="0"/>
            </w:pPr>
            <w:r>
              <w:t>3</w:t>
            </w:r>
            <w:r w:rsidR="00A24158">
              <w:t>^</w:t>
            </w:r>
          </w:p>
        </w:tc>
        <w:tc>
          <w:tcPr>
            <w:tcW w:w="1448" w:type="dxa"/>
          </w:tcPr>
          <w:p w14:paraId="7ABAB55D" w14:textId="23DF9B7D" w:rsidR="00D41987" w:rsidRDefault="00D22C1F" w:rsidP="00E22245">
            <w:pPr>
              <w:jc w:val="right"/>
              <w:cnfStyle w:val="000000000000" w:firstRow="0" w:lastRow="0" w:firstColumn="0" w:lastColumn="0" w:oddVBand="0" w:evenVBand="0" w:oddHBand="0" w:evenHBand="0" w:firstRowFirstColumn="0" w:firstRowLastColumn="0" w:lastRowFirstColumn="0" w:lastRowLastColumn="0"/>
            </w:pPr>
            <w:r>
              <w:t>0.</w:t>
            </w:r>
            <w:r w:rsidR="00D2205C">
              <w:t>2</w:t>
            </w:r>
          </w:p>
        </w:tc>
        <w:tc>
          <w:tcPr>
            <w:tcW w:w="1985" w:type="dxa"/>
          </w:tcPr>
          <w:p w14:paraId="67CCBB8D" w14:textId="0B33FC25" w:rsidR="00D41987" w:rsidRDefault="00D22C1F" w:rsidP="00E22245">
            <w:pPr>
              <w:jc w:val="right"/>
              <w:cnfStyle w:val="000000000000" w:firstRow="0" w:lastRow="0" w:firstColumn="0" w:lastColumn="0" w:oddVBand="0" w:evenVBand="0" w:oddHBand="0" w:evenHBand="0" w:firstRowFirstColumn="0" w:firstRowLastColumn="0" w:lastRowFirstColumn="0" w:lastRowLastColumn="0"/>
            </w:pPr>
            <w:r>
              <w:t>$</w:t>
            </w:r>
            <w:r w:rsidR="007F5E5B">
              <w:t>112,672.20</w:t>
            </w:r>
          </w:p>
        </w:tc>
        <w:tc>
          <w:tcPr>
            <w:tcW w:w="3768" w:type="dxa"/>
          </w:tcPr>
          <w:p w14:paraId="3443F959" w14:textId="6DD841EE" w:rsidR="00D41987" w:rsidRDefault="009A04BB" w:rsidP="00D41987">
            <w:pPr>
              <w:cnfStyle w:val="000000000000" w:firstRow="0" w:lastRow="0" w:firstColumn="0" w:lastColumn="0" w:oddVBand="0" w:evenVBand="0" w:oddHBand="0" w:evenHBand="0" w:firstRowFirstColumn="0" w:firstRowLastColumn="0" w:lastRowFirstColumn="0" w:lastRowLastColumn="0"/>
            </w:pPr>
            <w:r>
              <w:t>Assumes 0.</w:t>
            </w:r>
            <w:r w:rsidR="00A542E5">
              <w:t>2</w:t>
            </w:r>
            <w:r>
              <w:t xml:space="preserve"> additional FTE to facilitate and maintain online service access</w:t>
            </w:r>
          </w:p>
        </w:tc>
      </w:tr>
      <w:tr w:rsidR="000E6BE6" w14:paraId="36BBA7EB" w14:textId="77777777" w:rsidTr="00A542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9" w:type="dxa"/>
          </w:tcPr>
          <w:p w14:paraId="03B1C91F" w14:textId="38DADABD" w:rsidR="00D41987" w:rsidRDefault="00D41987" w:rsidP="00D41987">
            <w:r>
              <w:t>Very large</w:t>
            </w:r>
            <w:r w:rsidR="00780595">
              <w:t xml:space="preserve"> business</w:t>
            </w:r>
          </w:p>
        </w:tc>
        <w:tc>
          <w:tcPr>
            <w:tcW w:w="1214" w:type="dxa"/>
          </w:tcPr>
          <w:p w14:paraId="567D5A11" w14:textId="25F5C1FD" w:rsidR="00D41987" w:rsidRDefault="00D22C1F" w:rsidP="00E22245">
            <w:pPr>
              <w:jc w:val="right"/>
              <w:cnfStyle w:val="000000010000" w:firstRow="0" w:lastRow="0" w:firstColumn="0" w:lastColumn="0" w:oddVBand="0" w:evenVBand="0" w:oddHBand="0" w:evenHBand="1" w:firstRowFirstColumn="0" w:firstRowLastColumn="0" w:lastRowFirstColumn="0" w:lastRowLastColumn="0"/>
            </w:pPr>
            <w:r>
              <w:t>3</w:t>
            </w:r>
            <w:r w:rsidR="00A542E5" w:rsidRPr="00A542E5">
              <w:rPr>
                <w:rFonts w:cstheme="minorHAnsi"/>
                <w:vertAlign w:val="superscript"/>
              </w:rPr>
              <w:t>•</w:t>
            </w:r>
          </w:p>
        </w:tc>
        <w:tc>
          <w:tcPr>
            <w:tcW w:w="1448" w:type="dxa"/>
          </w:tcPr>
          <w:p w14:paraId="21F513AC" w14:textId="1815256C" w:rsidR="00D41987" w:rsidRDefault="00D22C1F" w:rsidP="00E22245">
            <w:pPr>
              <w:jc w:val="right"/>
              <w:cnfStyle w:val="000000010000" w:firstRow="0" w:lastRow="0" w:firstColumn="0" w:lastColumn="0" w:oddVBand="0" w:evenVBand="0" w:oddHBand="0" w:evenHBand="1" w:firstRowFirstColumn="0" w:firstRowLastColumn="0" w:lastRowFirstColumn="0" w:lastRowLastColumn="0"/>
            </w:pPr>
            <w:r>
              <w:t>1</w:t>
            </w:r>
          </w:p>
        </w:tc>
        <w:tc>
          <w:tcPr>
            <w:tcW w:w="1985" w:type="dxa"/>
          </w:tcPr>
          <w:p w14:paraId="52006AA0" w14:textId="558E7AA3" w:rsidR="00D41987" w:rsidRDefault="00D22C1F" w:rsidP="00E22245">
            <w:pPr>
              <w:jc w:val="right"/>
              <w:cnfStyle w:val="000000010000" w:firstRow="0" w:lastRow="0" w:firstColumn="0" w:lastColumn="0" w:oddVBand="0" w:evenVBand="0" w:oddHBand="0" w:evenHBand="1" w:firstRowFirstColumn="0" w:firstRowLastColumn="0" w:lastRowFirstColumn="0" w:lastRowLastColumn="0"/>
            </w:pPr>
            <w:r>
              <w:t>$</w:t>
            </w:r>
            <w:r w:rsidR="0016671D">
              <w:t>563,361</w:t>
            </w:r>
          </w:p>
        </w:tc>
        <w:tc>
          <w:tcPr>
            <w:tcW w:w="3768" w:type="dxa"/>
          </w:tcPr>
          <w:p w14:paraId="75075E5A" w14:textId="5FCAF6DB" w:rsidR="00D41987" w:rsidRDefault="009A04BB" w:rsidP="00D41987">
            <w:pPr>
              <w:cnfStyle w:val="000000010000" w:firstRow="0" w:lastRow="0" w:firstColumn="0" w:lastColumn="0" w:oddVBand="0" w:evenVBand="0" w:oddHBand="0" w:evenHBand="1" w:firstRowFirstColumn="0" w:firstRowLastColumn="0" w:lastRowFirstColumn="0" w:lastRowLastColumn="0"/>
            </w:pPr>
            <w:r>
              <w:t>Assumes 1 additional FTE to facilitate and maintain online service access</w:t>
            </w:r>
          </w:p>
        </w:tc>
      </w:tr>
      <w:tr w:rsidR="000E6BE6" w14:paraId="49E5A487" w14:textId="77777777" w:rsidTr="00A542E5">
        <w:tc>
          <w:tcPr>
            <w:cnfStyle w:val="001000000000" w:firstRow="0" w:lastRow="0" w:firstColumn="1" w:lastColumn="0" w:oddVBand="0" w:evenVBand="0" w:oddHBand="0" w:evenHBand="0" w:firstRowFirstColumn="0" w:firstRowLastColumn="0" w:lastRowFirstColumn="0" w:lastRowLastColumn="0"/>
            <w:tcW w:w="1449" w:type="dxa"/>
          </w:tcPr>
          <w:p w14:paraId="304FDF76" w14:textId="28E2530F" w:rsidR="00D41987" w:rsidRDefault="00D41987" w:rsidP="00D41987">
            <w:r>
              <w:t>Total</w:t>
            </w:r>
            <w:r w:rsidR="00780595">
              <w:t xml:space="preserve"> (business)</w:t>
            </w:r>
          </w:p>
        </w:tc>
        <w:tc>
          <w:tcPr>
            <w:tcW w:w="1214" w:type="dxa"/>
          </w:tcPr>
          <w:p w14:paraId="033C886A" w14:textId="77777777" w:rsidR="00D41987" w:rsidRDefault="00D41987" w:rsidP="00E22245">
            <w:pPr>
              <w:jc w:val="right"/>
              <w:cnfStyle w:val="000000000000" w:firstRow="0" w:lastRow="0" w:firstColumn="0" w:lastColumn="0" w:oddVBand="0" w:evenVBand="0" w:oddHBand="0" w:evenHBand="0" w:firstRowFirstColumn="0" w:firstRowLastColumn="0" w:lastRowFirstColumn="0" w:lastRowLastColumn="0"/>
            </w:pPr>
          </w:p>
        </w:tc>
        <w:tc>
          <w:tcPr>
            <w:tcW w:w="1448" w:type="dxa"/>
          </w:tcPr>
          <w:p w14:paraId="4449F61E" w14:textId="77777777" w:rsidR="00D41987" w:rsidRDefault="00D41987" w:rsidP="00E22245">
            <w:pPr>
              <w:jc w:val="right"/>
              <w:cnfStyle w:val="000000000000" w:firstRow="0" w:lastRow="0" w:firstColumn="0" w:lastColumn="0" w:oddVBand="0" w:evenVBand="0" w:oddHBand="0" w:evenHBand="0" w:firstRowFirstColumn="0" w:firstRowLastColumn="0" w:lastRowFirstColumn="0" w:lastRowLastColumn="0"/>
            </w:pPr>
          </w:p>
        </w:tc>
        <w:tc>
          <w:tcPr>
            <w:tcW w:w="1985" w:type="dxa"/>
          </w:tcPr>
          <w:p w14:paraId="6473ABCC" w14:textId="6B443FF1" w:rsidR="00D41987" w:rsidRDefault="00D22C1F" w:rsidP="00E22245">
            <w:pPr>
              <w:jc w:val="right"/>
              <w:cnfStyle w:val="000000000000" w:firstRow="0" w:lastRow="0" w:firstColumn="0" w:lastColumn="0" w:oddVBand="0" w:evenVBand="0" w:oddHBand="0" w:evenHBand="0" w:firstRowFirstColumn="0" w:firstRowLastColumn="0" w:lastRowFirstColumn="0" w:lastRowLastColumn="0"/>
            </w:pPr>
            <w:r>
              <w:t>$</w:t>
            </w:r>
            <w:r w:rsidR="007F5E5B">
              <w:t>676,033.20</w:t>
            </w:r>
          </w:p>
        </w:tc>
        <w:tc>
          <w:tcPr>
            <w:tcW w:w="3768" w:type="dxa"/>
          </w:tcPr>
          <w:p w14:paraId="4492AC37" w14:textId="77777777" w:rsidR="00D41987" w:rsidRDefault="00D41987" w:rsidP="00D41987">
            <w:pPr>
              <w:cnfStyle w:val="000000000000" w:firstRow="0" w:lastRow="0" w:firstColumn="0" w:lastColumn="0" w:oddVBand="0" w:evenVBand="0" w:oddHBand="0" w:evenHBand="0" w:firstRowFirstColumn="0" w:firstRowLastColumn="0" w:lastRowFirstColumn="0" w:lastRowLastColumn="0"/>
            </w:pPr>
          </w:p>
        </w:tc>
      </w:tr>
      <w:tr w:rsidR="00026EDC" w14:paraId="553A8A5A" w14:textId="77777777" w:rsidTr="00A542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gridSpan w:val="3"/>
            <w:shd w:val="clear" w:color="auto" w:fill="F2F6E8" w:themeFill="accent5" w:themeFillTint="33"/>
          </w:tcPr>
          <w:p w14:paraId="130A8371" w14:textId="3D0DB9F9" w:rsidR="00D41987" w:rsidRDefault="00010210" w:rsidP="00FA79FB">
            <w:r>
              <w:t>ANNUAL TOTAL FOR OPTION 2a</w:t>
            </w:r>
          </w:p>
        </w:tc>
        <w:tc>
          <w:tcPr>
            <w:tcW w:w="1985" w:type="dxa"/>
            <w:shd w:val="clear" w:color="auto" w:fill="F2F6E8" w:themeFill="accent5" w:themeFillTint="33"/>
          </w:tcPr>
          <w:p w14:paraId="1561528E" w14:textId="7E9C5ADC" w:rsidR="00D41987" w:rsidRDefault="00010210" w:rsidP="00E22245">
            <w:pPr>
              <w:jc w:val="right"/>
              <w:cnfStyle w:val="000000010000" w:firstRow="0" w:lastRow="0" w:firstColumn="0" w:lastColumn="0" w:oddVBand="0" w:evenVBand="0" w:oddHBand="0" w:evenHBand="1" w:firstRowFirstColumn="0" w:firstRowLastColumn="0" w:lastRowFirstColumn="0" w:lastRowLastColumn="0"/>
            </w:pPr>
            <w:r>
              <w:t>$</w:t>
            </w:r>
            <w:r w:rsidR="007F5E5B">
              <w:t>1,313,897.80</w:t>
            </w:r>
          </w:p>
        </w:tc>
        <w:tc>
          <w:tcPr>
            <w:tcW w:w="3768" w:type="dxa"/>
            <w:shd w:val="clear" w:color="auto" w:fill="F2F6E8" w:themeFill="accent5" w:themeFillTint="33"/>
          </w:tcPr>
          <w:p w14:paraId="51A8D685" w14:textId="77777777" w:rsidR="00D41987" w:rsidRDefault="00D41987" w:rsidP="00FA79FB">
            <w:pPr>
              <w:cnfStyle w:val="000000010000" w:firstRow="0" w:lastRow="0" w:firstColumn="0" w:lastColumn="0" w:oddVBand="0" w:evenVBand="0" w:oddHBand="0" w:evenHBand="1" w:firstRowFirstColumn="0" w:firstRowLastColumn="0" w:lastRowFirstColumn="0" w:lastRowLastColumn="0"/>
            </w:pPr>
          </w:p>
        </w:tc>
      </w:tr>
    </w:tbl>
    <w:p w14:paraId="17CE1FD3" w14:textId="2DAA6C46" w:rsidR="00EC7516" w:rsidRDefault="00EC7516" w:rsidP="007F5E5B">
      <w:pPr>
        <w:spacing w:before="0" w:after="0"/>
        <w:rPr>
          <w:sz w:val="18"/>
          <w:szCs w:val="18"/>
        </w:rPr>
      </w:pPr>
      <w:r w:rsidRPr="00124A1A">
        <w:rPr>
          <w:sz w:val="18"/>
          <w:szCs w:val="18"/>
        </w:rPr>
        <w:t xml:space="preserve">* Assumes </w:t>
      </w:r>
      <w:r w:rsidR="00AC375A">
        <w:rPr>
          <w:sz w:val="18"/>
          <w:szCs w:val="18"/>
        </w:rPr>
        <w:t xml:space="preserve">that </w:t>
      </w:r>
      <w:r w:rsidRPr="00124A1A">
        <w:rPr>
          <w:sz w:val="18"/>
          <w:szCs w:val="18"/>
        </w:rPr>
        <w:t>community radio stations seek CBAA assistance with</w:t>
      </w:r>
      <w:r>
        <w:rPr>
          <w:sz w:val="18"/>
          <w:szCs w:val="18"/>
        </w:rPr>
        <w:t xml:space="preserve"> necessary activities</w:t>
      </w:r>
      <w:r w:rsidR="00AC375A">
        <w:rPr>
          <w:sz w:val="18"/>
          <w:szCs w:val="18"/>
        </w:rPr>
        <w:t>.</w:t>
      </w:r>
    </w:p>
    <w:p w14:paraId="61A9745C" w14:textId="49D71849" w:rsidR="00781CA8" w:rsidRDefault="00EC7516">
      <w:pPr>
        <w:spacing w:before="0" w:after="0"/>
        <w:rPr>
          <w:sz w:val="18"/>
          <w:szCs w:val="18"/>
        </w:rPr>
      </w:pPr>
      <w:r w:rsidRPr="00EC7516">
        <w:rPr>
          <w:sz w:val="18"/>
          <w:szCs w:val="18"/>
        </w:rPr>
        <w:t>^ Assumes</w:t>
      </w:r>
      <w:r w:rsidR="00AC375A">
        <w:rPr>
          <w:sz w:val="18"/>
          <w:szCs w:val="18"/>
        </w:rPr>
        <w:t xml:space="preserve"> that</w:t>
      </w:r>
      <w:r w:rsidRPr="00EC7516">
        <w:rPr>
          <w:sz w:val="18"/>
          <w:szCs w:val="18"/>
        </w:rPr>
        <w:t xml:space="preserve"> commercial radio </w:t>
      </w:r>
      <w:r w:rsidRPr="00B5184C">
        <w:rPr>
          <w:sz w:val="18"/>
          <w:szCs w:val="18"/>
        </w:rPr>
        <w:t xml:space="preserve">networks </w:t>
      </w:r>
      <w:r w:rsidRPr="00EC7516">
        <w:rPr>
          <w:sz w:val="18"/>
          <w:szCs w:val="18"/>
        </w:rPr>
        <w:t>seek CRA assistance with necessary activities</w:t>
      </w:r>
      <w:r w:rsidR="004D2952">
        <w:rPr>
          <w:sz w:val="18"/>
          <w:szCs w:val="18"/>
        </w:rPr>
        <w:t xml:space="preserve">, and </w:t>
      </w:r>
      <w:r w:rsidR="00AC375A">
        <w:rPr>
          <w:sz w:val="18"/>
          <w:szCs w:val="18"/>
        </w:rPr>
        <w:t xml:space="preserve">that </w:t>
      </w:r>
      <w:r w:rsidR="004D2952">
        <w:rPr>
          <w:sz w:val="18"/>
          <w:szCs w:val="18"/>
        </w:rPr>
        <w:t xml:space="preserve">the national broadcasters (the ABC and the SBS) cover their own activities. Device manufacturers </w:t>
      </w:r>
      <w:r w:rsidR="00781CA8">
        <w:rPr>
          <w:sz w:val="18"/>
          <w:szCs w:val="18"/>
        </w:rPr>
        <w:t>are not expected to have compliance obligations under the framework. Non</w:t>
      </w:r>
      <w:r w:rsidR="00781CA8" w:rsidRPr="00781CA8">
        <w:rPr>
          <w:sz w:val="18"/>
          <w:szCs w:val="18"/>
        </w:rPr>
        <w:t>-</w:t>
      </w:r>
      <w:r w:rsidR="00603566" w:rsidRPr="00781CA8">
        <w:rPr>
          <w:sz w:val="18"/>
          <w:szCs w:val="18"/>
        </w:rPr>
        <w:t>dominant voice assistant software providers</w:t>
      </w:r>
      <w:r w:rsidR="004D2952" w:rsidRPr="007F5E5B">
        <w:rPr>
          <w:sz w:val="18"/>
          <w:szCs w:val="18"/>
        </w:rPr>
        <w:t xml:space="preserve"> </w:t>
      </w:r>
      <w:r w:rsidR="00781CA8" w:rsidRPr="007F5E5B">
        <w:rPr>
          <w:sz w:val="18"/>
          <w:szCs w:val="18"/>
        </w:rPr>
        <w:t xml:space="preserve">are not </w:t>
      </w:r>
      <w:r w:rsidR="00AC375A">
        <w:rPr>
          <w:sz w:val="18"/>
          <w:szCs w:val="18"/>
        </w:rPr>
        <w:t xml:space="preserve">explicitly </w:t>
      </w:r>
      <w:r w:rsidR="00781CA8" w:rsidRPr="007F5E5B">
        <w:rPr>
          <w:sz w:val="18"/>
          <w:szCs w:val="18"/>
        </w:rPr>
        <w:t>considered in this calculation due to the</w:t>
      </w:r>
      <w:r w:rsidR="00AC375A">
        <w:rPr>
          <w:sz w:val="18"/>
          <w:szCs w:val="18"/>
        </w:rPr>
        <w:t>ir</w:t>
      </w:r>
      <w:r w:rsidR="00781CA8" w:rsidRPr="007F5E5B">
        <w:rPr>
          <w:sz w:val="18"/>
          <w:szCs w:val="18"/>
        </w:rPr>
        <w:t xml:space="preserve"> </w:t>
      </w:r>
      <w:r w:rsidR="00AC375A">
        <w:rPr>
          <w:sz w:val="18"/>
          <w:szCs w:val="18"/>
        </w:rPr>
        <w:t>small share of the Australian market</w:t>
      </w:r>
      <w:r w:rsidR="00781CA8" w:rsidRPr="007F5E5B">
        <w:rPr>
          <w:sz w:val="18"/>
          <w:szCs w:val="18"/>
        </w:rPr>
        <w:t>.</w:t>
      </w:r>
    </w:p>
    <w:p w14:paraId="6B9E6309" w14:textId="11D47F2E" w:rsidR="004C4325" w:rsidRPr="007F5E5B" w:rsidRDefault="004C4325">
      <w:pPr>
        <w:spacing w:before="0" w:after="0"/>
        <w:rPr>
          <w:sz w:val="18"/>
          <w:szCs w:val="18"/>
        </w:rPr>
      </w:pPr>
      <w:r w:rsidRPr="009E67E2">
        <w:rPr>
          <w:rFonts w:cstheme="minorHAnsi"/>
          <w:vertAlign w:val="superscript"/>
        </w:rPr>
        <w:t>•</w:t>
      </w:r>
      <w:r w:rsidRPr="007F5E5B">
        <w:rPr>
          <w:sz w:val="18"/>
          <w:szCs w:val="18"/>
        </w:rPr>
        <w:t>Assumes</w:t>
      </w:r>
      <w:r>
        <w:rPr>
          <w:sz w:val="18"/>
          <w:szCs w:val="18"/>
        </w:rPr>
        <w:t xml:space="preserve"> </w:t>
      </w:r>
      <w:r w:rsidR="00AC375A">
        <w:rPr>
          <w:sz w:val="18"/>
          <w:szCs w:val="18"/>
        </w:rPr>
        <w:t xml:space="preserve">that this category includes </w:t>
      </w:r>
      <w:r>
        <w:rPr>
          <w:sz w:val="18"/>
          <w:szCs w:val="18"/>
        </w:rPr>
        <w:t xml:space="preserve">the top 3 providers of voice assistant software (Google, Amazon and Apple). </w:t>
      </w:r>
    </w:p>
    <w:p w14:paraId="5DAB30B8" w14:textId="6FCB6406" w:rsidR="004B3371" w:rsidRDefault="001A11BF" w:rsidP="00FA79FB">
      <w:r>
        <w:t xml:space="preserve">Given the differences between option 2a and option 2b </w:t>
      </w:r>
      <w:r w:rsidR="00213A1E">
        <w:t xml:space="preserve">on core aspects of the framework (payment for prominence; service integrity; access pathway) it </w:t>
      </w:r>
      <w:r w:rsidR="009659DC">
        <w:t>i</w:t>
      </w:r>
      <w:r w:rsidR="00213A1E">
        <w:t xml:space="preserve">s </w:t>
      </w:r>
      <w:r w:rsidR="009659DC">
        <w:t>assumed</w:t>
      </w:r>
      <w:r w:rsidR="00213A1E">
        <w:t xml:space="preserve"> there would be additional FTE requirements for </w:t>
      </w:r>
      <w:r w:rsidR="00503188">
        <w:t xml:space="preserve">both the </w:t>
      </w:r>
      <w:r w:rsidR="00213A1E">
        <w:t xml:space="preserve">information gathering / </w:t>
      </w:r>
      <w:r w:rsidR="00503188">
        <w:t>reporting and the software / service integration activities</w:t>
      </w:r>
      <w:r w:rsidR="009659DC">
        <w:t xml:space="preserve"> identified </w:t>
      </w:r>
      <w:r w:rsidR="00503188">
        <w:t xml:space="preserve">in Table </w:t>
      </w:r>
      <w:r w:rsidR="0073364D">
        <w:t>1</w:t>
      </w:r>
      <w:r w:rsidR="00AF0C5E">
        <w:t>6</w:t>
      </w:r>
      <w:r w:rsidR="00503188">
        <w:t xml:space="preserve">. It is also assumed that the software / service integration activities for community and commercial radio services would be reduced under a nominated pathway as these activities would potentially be managed by a third-party aggregator on behalf of the radio services. </w:t>
      </w:r>
      <w:r w:rsidR="003C1A4A">
        <w:t>This</w:t>
      </w:r>
      <w:r w:rsidR="00503188">
        <w:t xml:space="preserve"> RBM does not take into consideration the cost </w:t>
      </w:r>
      <w:r w:rsidR="00EC2A18">
        <w:t xml:space="preserve">of </w:t>
      </w:r>
      <w:r w:rsidR="00503188">
        <w:t>initial compliance activities that voice assistant software providers would have to undertake to switch from their current methods of surfacing radio stations to a method that integrated nominated pathways of each radio service.</w:t>
      </w:r>
      <w:r>
        <w:t xml:space="preserve"> </w:t>
      </w:r>
    </w:p>
    <w:p w14:paraId="4914B95E" w14:textId="2D01D151" w:rsidR="00752082" w:rsidRDefault="00752082" w:rsidP="00752082">
      <w:pPr>
        <w:pStyle w:val="Caption"/>
      </w:pPr>
      <w:bookmarkStart w:id="141" w:name="_Toc236825681"/>
      <w:r>
        <w:lastRenderedPageBreak/>
        <w:t xml:space="preserve">Table </w:t>
      </w:r>
      <w:r w:rsidR="00FD4B1C">
        <w:t>16</w:t>
      </w:r>
      <w:r>
        <w:t>: Option 2b Regulatory costs estimate based on activity-based costing</w:t>
      </w:r>
      <w:bookmarkEnd w:id="141"/>
      <w:r>
        <w:t xml:space="preserve"> </w:t>
      </w:r>
    </w:p>
    <w:tbl>
      <w:tblPr>
        <w:tblStyle w:val="DefaultTable1"/>
        <w:tblW w:w="9923" w:type="dxa"/>
        <w:tblLayout w:type="fixed"/>
        <w:tblLook w:val="04A0" w:firstRow="1" w:lastRow="0" w:firstColumn="1" w:lastColumn="0" w:noHBand="0" w:noVBand="1"/>
      </w:tblPr>
      <w:tblGrid>
        <w:gridCol w:w="1452"/>
        <w:gridCol w:w="1213"/>
        <w:gridCol w:w="1446"/>
        <w:gridCol w:w="1985"/>
        <w:gridCol w:w="3827"/>
      </w:tblGrid>
      <w:tr w:rsidR="00752082" w14:paraId="69178457" w14:textId="77777777" w:rsidTr="00CC0D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3B1838EB" w14:textId="77777777" w:rsidR="00752082" w:rsidRDefault="00752082" w:rsidP="00406F5F">
            <w:r>
              <w:t>Business size</w:t>
            </w:r>
          </w:p>
        </w:tc>
        <w:tc>
          <w:tcPr>
            <w:tcW w:w="1213" w:type="dxa"/>
          </w:tcPr>
          <w:p w14:paraId="2B4C6D2F" w14:textId="77777777" w:rsidR="00752082" w:rsidRDefault="00752082" w:rsidP="00406F5F">
            <w:pPr>
              <w:cnfStyle w:val="100000000000" w:firstRow="1" w:lastRow="0" w:firstColumn="0" w:lastColumn="0" w:oddVBand="0" w:evenVBand="0" w:oddHBand="0" w:evenHBand="0" w:firstRowFirstColumn="0" w:firstRowLastColumn="0" w:lastRowFirstColumn="0" w:lastRowLastColumn="0"/>
            </w:pPr>
            <w:r>
              <w:t>Number of businesses affected</w:t>
            </w:r>
          </w:p>
        </w:tc>
        <w:tc>
          <w:tcPr>
            <w:tcW w:w="1446" w:type="dxa"/>
          </w:tcPr>
          <w:p w14:paraId="2E056770" w14:textId="77777777" w:rsidR="00752082" w:rsidRDefault="00752082" w:rsidP="00406F5F">
            <w:pPr>
              <w:cnfStyle w:val="100000000000" w:firstRow="1" w:lastRow="0" w:firstColumn="0" w:lastColumn="0" w:oddVBand="0" w:evenVBand="0" w:oddHBand="0" w:evenHBand="0" w:firstRowFirstColumn="0" w:firstRowLastColumn="0" w:lastRowFirstColumn="0" w:lastRowLastColumn="0"/>
            </w:pPr>
            <w:r>
              <w:t>FTE staff requirement per business</w:t>
            </w:r>
          </w:p>
        </w:tc>
        <w:tc>
          <w:tcPr>
            <w:tcW w:w="1985" w:type="dxa"/>
          </w:tcPr>
          <w:p w14:paraId="205DF27B" w14:textId="77777777" w:rsidR="00752082" w:rsidRDefault="00752082" w:rsidP="00406F5F">
            <w:pPr>
              <w:cnfStyle w:val="100000000000" w:firstRow="1" w:lastRow="0" w:firstColumn="0" w:lastColumn="0" w:oddVBand="0" w:evenVBand="0" w:oddHBand="0" w:evenHBand="0" w:firstRowFirstColumn="0" w:firstRowLastColumn="0" w:lastRowFirstColumn="0" w:lastRowLastColumn="0"/>
            </w:pPr>
            <w:r>
              <w:t>Estimated regulatory impact per year</w:t>
            </w:r>
          </w:p>
        </w:tc>
        <w:tc>
          <w:tcPr>
            <w:tcW w:w="3827" w:type="dxa"/>
          </w:tcPr>
          <w:p w14:paraId="4F2C1467" w14:textId="77777777" w:rsidR="00752082" w:rsidRDefault="00752082" w:rsidP="00406F5F">
            <w:pPr>
              <w:cnfStyle w:val="100000000000" w:firstRow="1" w:lastRow="0" w:firstColumn="0" w:lastColumn="0" w:oddVBand="0" w:evenVBand="0" w:oddHBand="0" w:evenHBand="0" w:firstRowFirstColumn="0" w:firstRowLastColumn="0" w:lastRowFirstColumn="0" w:lastRowLastColumn="0"/>
            </w:pPr>
            <w:r>
              <w:t>Notes on estimated additional costs per business type</w:t>
            </w:r>
          </w:p>
        </w:tc>
      </w:tr>
      <w:tr w:rsidR="00752082" w14:paraId="281EF6B5" w14:textId="77777777" w:rsidTr="00CC0DFA">
        <w:tc>
          <w:tcPr>
            <w:cnfStyle w:val="001000000000" w:firstRow="0" w:lastRow="0" w:firstColumn="1" w:lastColumn="0" w:oddVBand="0" w:evenVBand="0" w:oddHBand="0" w:evenHBand="0" w:firstRowFirstColumn="0" w:firstRowLastColumn="0" w:lastRowFirstColumn="0" w:lastRowLastColumn="0"/>
            <w:tcW w:w="9923" w:type="dxa"/>
            <w:gridSpan w:val="5"/>
            <w:shd w:val="clear" w:color="auto" w:fill="E3F5FC" w:themeFill="accent3" w:themeFillTint="33"/>
          </w:tcPr>
          <w:p w14:paraId="463CDE0A" w14:textId="5CC71E36" w:rsidR="00752082" w:rsidRDefault="00752082" w:rsidP="00406F5F">
            <w:r>
              <w:t>INFORMATION GATHERING / REPORTING REQUIREMENTS</w:t>
            </w:r>
          </w:p>
        </w:tc>
      </w:tr>
      <w:tr w:rsidR="00752082" w14:paraId="2BCD78FE" w14:textId="77777777" w:rsidTr="00CC0DF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46EB45C3" w14:textId="475EE4A0" w:rsidR="00752082" w:rsidRDefault="00780595" w:rsidP="00406F5F">
            <w:r>
              <w:t>Community organisation</w:t>
            </w:r>
          </w:p>
        </w:tc>
        <w:tc>
          <w:tcPr>
            <w:tcW w:w="1213" w:type="dxa"/>
          </w:tcPr>
          <w:p w14:paraId="4AE012AB" w14:textId="5804954F" w:rsidR="00752082" w:rsidRDefault="00771A26" w:rsidP="00D37078">
            <w:pPr>
              <w:jc w:val="right"/>
              <w:cnfStyle w:val="000000010000" w:firstRow="0" w:lastRow="0" w:firstColumn="0" w:lastColumn="0" w:oddVBand="0" w:evenVBand="0" w:oddHBand="0" w:evenHBand="1" w:firstRowFirstColumn="0" w:firstRowLastColumn="0" w:lastRowFirstColumn="0" w:lastRowLastColumn="0"/>
            </w:pPr>
            <w:r>
              <w:t>1</w:t>
            </w:r>
            <w:r w:rsidR="00BC7417">
              <w:t>*</w:t>
            </w:r>
          </w:p>
        </w:tc>
        <w:tc>
          <w:tcPr>
            <w:tcW w:w="1446" w:type="dxa"/>
          </w:tcPr>
          <w:p w14:paraId="1139193E" w14:textId="0C598368" w:rsidR="00752082" w:rsidRDefault="00D37078" w:rsidP="00D37078">
            <w:pPr>
              <w:jc w:val="right"/>
              <w:cnfStyle w:val="000000010000" w:firstRow="0" w:lastRow="0" w:firstColumn="0" w:lastColumn="0" w:oddVBand="0" w:evenVBand="0" w:oddHBand="0" w:evenHBand="1" w:firstRowFirstColumn="0" w:firstRowLastColumn="0" w:lastRowFirstColumn="0" w:lastRowLastColumn="0"/>
            </w:pPr>
            <w:r>
              <w:t>0.</w:t>
            </w:r>
            <w:r w:rsidR="00222AD7">
              <w:t>1</w:t>
            </w:r>
          </w:p>
        </w:tc>
        <w:tc>
          <w:tcPr>
            <w:tcW w:w="1985" w:type="dxa"/>
          </w:tcPr>
          <w:p w14:paraId="568A214F" w14:textId="381BCCA4" w:rsidR="00752082" w:rsidRDefault="00D37078" w:rsidP="00D37078">
            <w:pPr>
              <w:jc w:val="right"/>
              <w:cnfStyle w:val="000000010000" w:firstRow="0" w:lastRow="0" w:firstColumn="0" w:lastColumn="0" w:oddVBand="0" w:evenVBand="0" w:oddHBand="0" w:evenHBand="1" w:firstRowFirstColumn="0" w:firstRowLastColumn="0" w:lastRowFirstColumn="0" w:lastRowLastColumn="0"/>
            </w:pPr>
            <w:r>
              <w:t>$</w:t>
            </w:r>
            <w:r w:rsidR="00771A26">
              <w:t>16,675.20</w:t>
            </w:r>
          </w:p>
        </w:tc>
        <w:tc>
          <w:tcPr>
            <w:tcW w:w="3827" w:type="dxa"/>
          </w:tcPr>
          <w:p w14:paraId="0C2CBFF9" w14:textId="59BFDC6E" w:rsidR="00752082" w:rsidRDefault="00F34EA5" w:rsidP="00406F5F">
            <w:pPr>
              <w:cnfStyle w:val="000000010000" w:firstRow="0" w:lastRow="0" w:firstColumn="0" w:lastColumn="0" w:oddVBand="0" w:evenVBand="0" w:oddHBand="0" w:evenHBand="1" w:firstRowFirstColumn="0" w:firstRowLastColumn="0" w:lastRowFirstColumn="0" w:lastRowLastColumn="0"/>
            </w:pPr>
            <w:r>
              <w:t>Assumes 0.</w:t>
            </w:r>
            <w:r w:rsidR="00222AD7">
              <w:t xml:space="preserve">1 </w:t>
            </w:r>
            <w:r>
              <w:t xml:space="preserve">additional FTE to respond to </w:t>
            </w:r>
            <w:r w:rsidR="00D37078">
              <w:t>2</w:t>
            </w:r>
            <w:r>
              <w:t xml:space="preserve"> information gathering or reporting </w:t>
            </w:r>
            <w:r w:rsidR="00D37078">
              <w:t>requests</w:t>
            </w:r>
            <w:r>
              <w:t xml:space="preserve"> per year</w:t>
            </w:r>
          </w:p>
        </w:tc>
      </w:tr>
      <w:tr w:rsidR="00752082" w14:paraId="23382AD0" w14:textId="77777777" w:rsidTr="00CC0DFA">
        <w:tc>
          <w:tcPr>
            <w:cnfStyle w:val="001000000000" w:firstRow="0" w:lastRow="0" w:firstColumn="1" w:lastColumn="0" w:oddVBand="0" w:evenVBand="0" w:oddHBand="0" w:evenHBand="0" w:firstRowFirstColumn="0" w:firstRowLastColumn="0" w:lastRowFirstColumn="0" w:lastRowLastColumn="0"/>
            <w:tcW w:w="1452" w:type="dxa"/>
          </w:tcPr>
          <w:p w14:paraId="04A77155" w14:textId="27FA7AAF" w:rsidR="00752082" w:rsidRDefault="00752082" w:rsidP="00406F5F">
            <w:r>
              <w:t>Large</w:t>
            </w:r>
            <w:r w:rsidR="00780595">
              <w:t xml:space="preserve"> business</w:t>
            </w:r>
          </w:p>
        </w:tc>
        <w:tc>
          <w:tcPr>
            <w:tcW w:w="1213" w:type="dxa"/>
          </w:tcPr>
          <w:p w14:paraId="26B3812E" w14:textId="1DB84790" w:rsidR="00752082" w:rsidRDefault="00CC0DFA" w:rsidP="00D37078">
            <w:pPr>
              <w:jc w:val="right"/>
              <w:cnfStyle w:val="000000000000" w:firstRow="0" w:lastRow="0" w:firstColumn="0" w:lastColumn="0" w:oddVBand="0" w:evenVBand="0" w:oddHBand="0" w:evenHBand="0" w:firstRowFirstColumn="0" w:firstRowLastColumn="0" w:lastRowFirstColumn="0" w:lastRowLastColumn="0"/>
            </w:pPr>
            <w:r>
              <w:t>3</w:t>
            </w:r>
            <w:r w:rsidR="00771A26">
              <w:t>^</w:t>
            </w:r>
          </w:p>
        </w:tc>
        <w:tc>
          <w:tcPr>
            <w:tcW w:w="1446" w:type="dxa"/>
          </w:tcPr>
          <w:p w14:paraId="4F6F7722" w14:textId="526D58F7" w:rsidR="00752082" w:rsidRDefault="00D37078" w:rsidP="00D37078">
            <w:pPr>
              <w:jc w:val="right"/>
              <w:cnfStyle w:val="000000000000" w:firstRow="0" w:lastRow="0" w:firstColumn="0" w:lastColumn="0" w:oddVBand="0" w:evenVBand="0" w:oddHBand="0" w:evenHBand="0" w:firstRowFirstColumn="0" w:firstRowLastColumn="0" w:lastRowFirstColumn="0" w:lastRowLastColumn="0"/>
            </w:pPr>
            <w:r>
              <w:t>0.</w:t>
            </w:r>
            <w:r w:rsidR="00CC0DFA">
              <w:t>1</w:t>
            </w:r>
          </w:p>
        </w:tc>
        <w:tc>
          <w:tcPr>
            <w:tcW w:w="1985" w:type="dxa"/>
          </w:tcPr>
          <w:p w14:paraId="023A40C0" w14:textId="28320FB5" w:rsidR="00752082" w:rsidRDefault="00D37078" w:rsidP="00D37078">
            <w:pPr>
              <w:jc w:val="right"/>
              <w:cnfStyle w:val="000000000000" w:firstRow="0" w:lastRow="0" w:firstColumn="0" w:lastColumn="0" w:oddVBand="0" w:evenVBand="0" w:oddHBand="0" w:evenHBand="0" w:firstRowFirstColumn="0" w:firstRowLastColumn="0" w:lastRowFirstColumn="0" w:lastRowLastColumn="0"/>
            </w:pPr>
            <w:r>
              <w:t>$</w:t>
            </w:r>
            <w:r w:rsidR="001508DC">
              <w:t>50,025.60</w:t>
            </w:r>
          </w:p>
        </w:tc>
        <w:tc>
          <w:tcPr>
            <w:tcW w:w="3827" w:type="dxa"/>
          </w:tcPr>
          <w:p w14:paraId="0FD2C0B9" w14:textId="4B6A3D1A" w:rsidR="0018274A" w:rsidRDefault="00F34EA5" w:rsidP="00406F5F">
            <w:pPr>
              <w:cnfStyle w:val="000000000000" w:firstRow="0" w:lastRow="0" w:firstColumn="0" w:lastColumn="0" w:oddVBand="0" w:evenVBand="0" w:oddHBand="0" w:evenHBand="0" w:firstRowFirstColumn="0" w:firstRowLastColumn="0" w:lastRowFirstColumn="0" w:lastRowLastColumn="0"/>
            </w:pPr>
            <w:r>
              <w:t>Assumes 0.</w:t>
            </w:r>
            <w:r w:rsidR="00CC0DFA">
              <w:t>1</w:t>
            </w:r>
            <w:r>
              <w:t xml:space="preserve"> additional FTE to respond to </w:t>
            </w:r>
            <w:r w:rsidR="00D37078">
              <w:t>2</w:t>
            </w:r>
            <w:r>
              <w:t xml:space="preserve"> information gathering or reporting </w:t>
            </w:r>
            <w:r w:rsidR="00D37078">
              <w:t>requests</w:t>
            </w:r>
            <w:r>
              <w:t xml:space="preserve"> per year</w:t>
            </w:r>
          </w:p>
        </w:tc>
      </w:tr>
      <w:tr w:rsidR="00752082" w14:paraId="15B0E189" w14:textId="77777777" w:rsidTr="00CC0DF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3CCF417C" w14:textId="4DFA5DB3" w:rsidR="00752082" w:rsidRDefault="00752082" w:rsidP="00406F5F">
            <w:r>
              <w:t>Very large</w:t>
            </w:r>
            <w:r w:rsidR="00780595">
              <w:t xml:space="preserve"> business</w:t>
            </w:r>
          </w:p>
        </w:tc>
        <w:tc>
          <w:tcPr>
            <w:tcW w:w="1213" w:type="dxa"/>
          </w:tcPr>
          <w:p w14:paraId="760FF64E" w14:textId="165B5AB3" w:rsidR="00752082" w:rsidRDefault="00D37078" w:rsidP="00D37078">
            <w:pPr>
              <w:jc w:val="right"/>
              <w:cnfStyle w:val="000000010000" w:firstRow="0" w:lastRow="0" w:firstColumn="0" w:lastColumn="0" w:oddVBand="0" w:evenVBand="0" w:oddHBand="0" w:evenHBand="1" w:firstRowFirstColumn="0" w:firstRowLastColumn="0" w:lastRowFirstColumn="0" w:lastRowLastColumn="0"/>
            </w:pPr>
            <w:r>
              <w:t>3</w:t>
            </w:r>
            <w:r w:rsidR="00A542E5" w:rsidRPr="00A542E5">
              <w:rPr>
                <w:rFonts w:cstheme="minorHAnsi"/>
                <w:vertAlign w:val="superscript"/>
              </w:rPr>
              <w:t>•</w:t>
            </w:r>
          </w:p>
        </w:tc>
        <w:tc>
          <w:tcPr>
            <w:tcW w:w="1446" w:type="dxa"/>
          </w:tcPr>
          <w:p w14:paraId="5D68FA62" w14:textId="79985D3B" w:rsidR="00752082" w:rsidRDefault="001508DC" w:rsidP="00D37078">
            <w:pPr>
              <w:jc w:val="right"/>
              <w:cnfStyle w:val="000000010000" w:firstRow="0" w:lastRow="0" w:firstColumn="0" w:lastColumn="0" w:oddVBand="0" w:evenVBand="0" w:oddHBand="0" w:evenHBand="1" w:firstRowFirstColumn="0" w:firstRowLastColumn="0" w:lastRowFirstColumn="0" w:lastRowLastColumn="0"/>
            </w:pPr>
            <w:r>
              <w:t>1</w:t>
            </w:r>
          </w:p>
        </w:tc>
        <w:tc>
          <w:tcPr>
            <w:tcW w:w="1985" w:type="dxa"/>
          </w:tcPr>
          <w:p w14:paraId="1F5A58BF" w14:textId="75B0D200" w:rsidR="00752082" w:rsidRDefault="00D37078" w:rsidP="00D37078">
            <w:pPr>
              <w:jc w:val="right"/>
              <w:cnfStyle w:val="000000010000" w:firstRow="0" w:lastRow="0" w:firstColumn="0" w:lastColumn="0" w:oddVBand="0" w:evenVBand="0" w:oddHBand="0" w:evenHBand="1" w:firstRowFirstColumn="0" w:firstRowLastColumn="0" w:lastRowFirstColumn="0" w:lastRowLastColumn="0"/>
            </w:pPr>
            <w:r>
              <w:t>$</w:t>
            </w:r>
            <w:r w:rsidR="001508DC">
              <w:t>500,256</w:t>
            </w:r>
          </w:p>
        </w:tc>
        <w:tc>
          <w:tcPr>
            <w:tcW w:w="3827" w:type="dxa"/>
          </w:tcPr>
          <w:p w14:paraId="680B5460" w14:textId="09D10F6D" w:rsidR="00752082" w:rsidRDefault="00F34EA5" w:rsidP="00406F5F">
            <w:pPr>
              <w:cnfStyle w:val="000000010000" w:firstRow="0" w:lastRow="0" w:firstColumn="0" w:lastColumn="0" w:oddVBand="0" w:evenVBand="0" w:oddHBand="0" w:evenHBand="1" w:firstRowFirstColumn="0" w:firstRowLastColumn="0" w:lastRowFirstColumn="0" w:lastRowLastColumn="0"/>
            </w:pPr>
            <w:r>
              <w:t xml:space="preserve">Assumes </w:t>
            </w:r>
            <w:r w:rsidR="001508DC">
              <w:t>1</w:t>
            </w:r>
            <w:r>
              <w:t xml:space="preserve"> additional FTE to respond to </w:t>
            </w:r>
            <w:r w:rsidR="00D37078">
              <w:t>2</w:t>
            </w:r>
            <w:r>
              <w:t xml:space="preserve"> information gathering or reporting </w:t>
            </w:r>
            <w:r w:rsidR="00D37078">
              <w:t>requests</w:t>
            </w:r>
            <w:r>
              <w:t xml:space="preserve"> per year</w:t>
            </w:r>
          </w:p>
        </w:tc>
      </w:tr>
      <w:tr w:rsidR="00752082" w14:paraId="6F3E4DC4" w14:textId="77777777" w:rsidTr="00CC0DFA">
        <w:tc>
          <w:tcPr>
            <w:cnfStyle w:val="001000000000" w:firstRow="0" w:lastRow="0" w:firstColumn="1" w:lastColumn="0" w:oddVBand="0" w:evenVBand="0" w:oddHBand="0" w:evenHBand="0" w:firstRowFirstColumn="0" w:firstRowLastColumn="0" w:lastRowFirstColumn="0" w:lastRowLastColumn="0"/>
            <w:tcW w:w="1452" w:type="dxa"/>
          </w:tcPr>
          <w:p w14:paraId="3DC90582" w14:textId="1F5BDEED" w:rsidR="00752082" w:rsidRDefault="00752082" w:rsidP="00406F5F">
            <w:r>
              <w:t>Total</w:t>
            </w:r>
            <w:r w:rsidR="00780595">
              <w:t xml:space="preserve"> (business)</w:t>
            </w:r>
          </w:p>
        </w:tc>
        <w:tc>
          <w:tcPr>
            <w:tcW w:w="1213" w:type="dxa"/>
          </w:tcPr>
          <w:p w14:paraId="63E523AA" w14:textId="77777777" w:rsidR="00752082" w:rsidRDefault="00752082" w:rsidP="00406F5F">
            <w:pPr>
              <w:cnfStyle w:val="000000000000" w:firstRow="0" w:lastRow="0" w:firstColumn="0" w:lastColumn="0" w:oddVBand="0" w:evenVBand="0" w:oddHBand="0" w:evenHBand="0" w:firstRowFirstColumn="0" w:firstRowLastColumn="0" w:lastRowFirstColumn="0" w:lastRowLastColumn="0"/>
            </w:pPr>
          </w:p>
        </w:tc>
        <w:tc>
          <w:tcPr>
            <w:tcW w:w="1446" w:type="dxa"/>
          </w:tcPr>
          <w:p w14:paraId="68962FFC" w14:textId="77777777" w:rsidR="00752082" w:rsidRDefault="00752082" w:rsidP="00406F5F">
            <w:pPr>
              <w:cnfStyle w:val="000000000000" w:firstRow="0" w:lastRow="0" w:firstColumn="0" w:lastColumn="0" w:oddVBand="0" w:evenVBand="0" w:oddHBand="0" w:evenHBand="0" w:firstRowFirstColumn="0" w:firstRowLastColumn="0" w:lastRowFirstColumn="0" w:lastRowLastColumn="0"/>
            </w:pPr>
          </w:p>
        </w:tc>
        <w:tc>
          <w:tcPr>
            <w:tcW w:w="1985" w:type="dxa"/>
          </w:tcPr>
          <w:p w14:paraId="64BBC0B8" w14:textId="29B2C258" w:rsidR="00752082" w:rsidRDefault="00AF4432" w:rsidP="00D37078">
            <w:pPr>
              <w:jc w:val="right"/>
              <w:cnfStyle w:val="000000000000" w:firstRow="0" w:lastRow="0" w:firstColumn="0" w:lastColumn="0" w:oddVBand="0" w:evenVBand="0" w:oddHBand="0" w:evenHBand="0" w:firstRowFirstColumn="0" w:firstRowLastColumn="0" w:lastRowFirstColumn="0" w:lastRowLastColumn="0"/>
            </w:pPr>
            <w:r>
              <w:t>$</w:t>
            </w:r>
            <w:r w:rsidR="001508DC">
              <w:t>550,281.60</w:t>
            </w:r>
          </w:p>
        </w:tc>
        <w:tc>
          <w:tcPr>
            <w:tcW w:w="3827" w:type="dxa"/>
          </w:tcPr>
          <w:p w14:paraId="11DD3B72" w14:textId="05BFF0FF" w:rsidR="00752082" w:rsidRDefault="00752082" w:rsidP="00406F5F">
            <w:pPr>
              <w:cnfStyle w:val="000000000000" w:firstRow="0" w:lastRow="0" w:firstColumn="0" w:lastColumn="0" w:oddVBand="0" w:evenVBand="0" w:oddHBand="0" w:evenHBand="0" w:firstRowFirstColumn="0" w:firstRowLastColumn="0" w:lastRowFirstColumn="0" w:lastRowLastColumn="0"/>
            </w:pPr>
          </w:p>
        </w:tc>
      </w:tr>
      <w:tr w:rsidR="00752082" w14:paraId="0C5E8B1E" w14:textId="77777777" w:rsidTr="00CC0DF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3" w:type="dxa"/>
            <w:gridSpan w:val="5"/>
            <w:shd w:val="clear" w:color="auto" w:fill="E3F5FC" w:themeFill="accent3" w:themeFillTint="33"/>
          </w:tcPr>
          <w:p w14:paraId="443A51BD" w14:textId="1C339D48" w:rsidR="00752082" w:rsidRDefault="00752082" w:rsidP="00406F5F">
            <w:r>
              <w:t>RISK ASSESSMENT / LEGAL ADVICE ON FRAMEWORK</w:t>
            </w:r>
            <w:r w:rsidR="00AB6A24">
              <w:t xml:space="preserve"> </w:t>
            </w:r>
          </w:p>
        </w:tc>
      </w:tr>
      <w:tr w:rsidR="00752082" w14:paraId="2DB7E817" w14:textId="77777777" w:rsidTr="00CC0DFA">
        <w:tc>
          <w:tcPr>
            <w:cnfStyle w:val="001000000000" w:firstRow="0" w:lastRow="0" w:firstColumn="1" w:lastColumn="0" w:oddVBand="0" w:evenVBand="0" w:oddHBand="0" w:evenHBand="0" w:firstRowFirstColumn="0" w:firstRowLastColumn="0" w:lastRowFirstColumn="0" w:lastRowLastColumn="0"/>
            <w:tcW w:w="1452" w:type="dxa"/>
          </w:tcPr>
          <w:p w14:paraId="220BAE01" w14:textId="13787975" w:rsidR="00752082" w:rsidRDefault="00780595" w:rsidP="00406F5F">
            <w:r>
              <w:t>Community organisation</w:t>
            </w:r>
          </w:p>
        </w:tc>
        <w:tc>
          <w:tcPr>
            <w:tcW w:w="1213" w:type="dxa"/>
          </w:tcPr>
          <w:p w14:paraId="351F275E" w14:textId="4AC07B04" w:rsidR="00752082" w:rsidRDefault="00FB5944" w:rsidP="00D37078">
            <w:pPr>
              <w:jc w:val="right"/>
              <w:cnfStyle w:val="000000000000" w:firstRow="0" w:lastRow="0" w:firstColumn="0" w:lastColumn="0" w:oddVBand="0" w:evenVBand="0" w:oddHBand="0" w:evenHBand="0" w:firstRowFirstColumn="0" w:firstRowLastColumn="0" w:lastRowFirstColumn="0" w:lastRowLastColumn="0"/>
            </w:pPr>
            <w:r>
              <w:t>1</w:t>
            </w:r>
            <w:r w:rsidR="00BC7417">
              <w:t>*</w:t>
            </w:r>
          </w:p>
        </w:tc>
        <w:tc>
          <w:tcPr>
            <w:tcW w:w="1446" w:type="dxa"/>
          </w:tcPr>
          <w:p w14:paraId="0736142C" w14:textId="235BBEC8" w:rsidR="00752082" w:rsidRDefault="00D37078" w:rsidP="00D37078">
            <w:pPr>
              <w:jc w:val="right"/>
              <w:cnfStyle w:val="000000000000" w:firstRow="0" w:lastRow="0" w:firstColumn="0" w:lastColumn="0" w:oddVBand="0" w:evenVBand="0" w:oddHBand="0" w:evenHBand="0" w:firstRowFirstColumn="0" w:firstRowLastColumn="0" w:lastRowFirstColumn="0" w:lastRowLastColumn="0"/>
            </w:pPr>
            <w:r>
              <w:t>0.</w:t>
            </w:r>
            <w:r w:rsidR="001508DC">
              <w:t>1</w:t>
            </w:r>
          </w:p>
        </w:tc>
        <w:tc>
          <w:tcPr>
            <w:tcW w:w="1985" w:type="dxa"/>
          </w:tcPr>
          <w:p w14:paraId="40B0995A" w14:textId="312BC85D" w:rsidR="00752082" w:rsidRDefault="00D37078" w:rsidP="00D37078">
            <w:pPr>
              <w:jc w:val="right"/>
              <w:cnfStyle w:val="000000000000" w:firstRow="0" w:lastRow="0" w:firstColumn="0" w:lastColumn="0" w:oddVBand="0" w:evenVBand="0" w:oddHBand="0" w:evenHBand="0" w:firstRowFirstColumn="0" w:firstRowLastColumn="0" w:lastRowFirstColumn="0" w:lastRowLastColumn="0"/>
            </w:pPr>
            <w:r>
              <w:t>$</w:t>
            </w:r>
            <w:r w:rsidR="001508DC">
              <w:t>16,675.20</w:t>
            </w:r>
          </w:p>
        </w:tc>
        <w:tc>
          <w:tcPr>
            <w:tcW w:w="3827" w:type="dxa"/>
          </w:tcPr>
          <w:p w14:paraId="51F7E278" w14:textId="0AF2EDFE" w:rsidR="00752082" w:rsidRDefault="00CE6C20" w:rsidP="00406F5F">
            <w:pPr>
              <w:cnfStyle w:val="000000000000" w:firstRow="0" w:lastRow="0" w:firstColumn="0" w:lastColumn="0" w:oddVBand="0" w:evenVBand="0" w:oddHBand="0" w:evenHBand="0" w:firstRowFirstColumn="0" w:firstRowLastColumn="0" w:lastRowFirstColumn="0" w:lastRowLastColumn="0"/>
            </w:pPr>
            <w:r>
              <w:t>Assumes 0.</w:t>
            </w:r>
            <w:r w:rsidR="00D37078">
              <w:t>1</w:t>
            </w:r>
            <w:r>
              <w:t xml:space="preserve"> additional FTE to assess risk or legal implications</w:t>
            </w:r>
          </w:p>
        </w:tc>
      </w:tr>
      <w:tr w:rsidR="00752082" w14:paraId="0E7E0776" w14:textId="77777777" w:rsidTr="00CC0DF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034F93AD" w14:textId="5CE69D5C" w:rsidR="00752082" w:rsidRDefault="00752082" w:rsidP="00406F5F">
            <w:r>
              <w:t>Large</w:t>
            </w:r>
            <w:r w:rsidR="00780595">
              <w:t xml:space="preserve"> business</w:t>
            </w:r>
          </w:p>
        </w:tc>
        <w:tc>
          <w:tcPr>
            <w:tcW w:w="1213" w:type="dxa"/>
          </w:tcPr>
          <w:p w14:paraId="1EE0F4BE" w14:textId="4AC472FA" w:rsidR="00752082" w:rsidRDefault="001508DC" w:rsidP="00D37078">
            <w:pPr>
              <w:jc w:val="right"/>
              <w:cnfStyle w:val="000000010000" w:firstRow="0" w:lastRow="0" w:firstColumn="0" w:lastColumn="0" w:oddVBand="0" w:evenVBand="0" w:oddHBand="0" w:evenHBand="1" w:firstRowFirstColumn="0" w:firstRowLastColumn="0" w:lastRowFirstColumn="0" w:lastRowLastColumn="0"/>
            </w:pPr>
            <w:r>
              <w:t>3</w:t>
            </w:r>
            <w:r w:rsidR="00FB5944">
              <w:t>^</w:t>
            </w:r>
          </w:p>
        </w:tc>
        <w:tc>
          <w:tcPr>
            <w:tcW w:w="1446" w:type="dxa"/>
          </w:tcPr>
          <w:p w14:paraId="3719ECE6" w14:textId="1EB72018" w:rsidR="00752082" w:rsidRDefault="00D37078" w:rsidP="00D37078">
            <w:pPr>
              <w:jc w:val="right"/>
              <w:cnfStyle w:val="000000010000" w:firstRow="0" w:lastRow="0" w:firstColumn="0" w:lastColumn="0" w:oddVBand="0" w:evenVBand="0" w:oddHBand="0" w:evenHBand="1" w:firstRowFirstColumn="0" w:firstRowLastColumn="0" w:lastRowFirstColumn="0" w:lastRowLastColumn="0"/>
            </w:pPr>
            <w:r>
              <w:t>0.</w:t>
            </w:r>
            <w:r w:rsidR="001508DC">
              <w:t>1</w:t>
            </w:r>
          </w:p>
        </w:tc>
        <w:tc>
          <w:tcPr>
            <w:tcW w:w="1985" w:type="dxa"/>
          </w:tcPr>
          <w:p w14:paraId="78A21628" w14:textId="2BF61702" w:rsidR="00752082" w:rsidRDefault="00D37078" w:rsidP="00D37078">
            <w:pPr>
              <w:jc w:val="right"/>
              <w:cnfStyle w:val="000000010000" w:firstRow="0" w:lastRow="0" w:firstColumn="0" w:lastColumn="0" w:oddVBand="0" w:evenVBand="0" w:oddHBand="0" w:evenHBand="1" w:firstRowFirstColumn="0" w:firstRowLastColumn="0" w:lastRowFirstColumn="0" w:lastRowLastColumn="0"/>
            </w:pPr>
            <w:r>
              <w:t>$</w:t>
            </w:r>
            <w:r w:rsidR="001508DC">
              <w:t>50,025.60</w:t>
            </w:r>
          </w:p>
        </w:tc>
        <w:tc>
          <w:tcPr>
            <w:tcW w:w="3827" w:type="dxa"/>
          </w:tcPr>
          <w:p w14:paraId="7D38FE3B" w14:textId="2029D308" w:rsidR="00752082" w:rsidRDefault="00CE6C20" w:rsidP="00406F5F">
            <w:pPr>
              <w:cnfStyle w:val="000000010000" w:firstRow="0" w:lastRow="0" w:firstColumn="0" w:lastColumn="0" w:oddVBand="0" w:evenVBand="0" w:oddHBand="0" w:evenHBand="1" w:firstRowFirstColumn="0" w:firstRowLastColumn="0" w:lastRowFirstColumn="0" w:lastRowLastColumn="0"/>
            </w:pPr>
            <w:r>
              <w:t>Assumes 0.</w:t>
            </w:r>
            <w:r w:rsidR="001508DC">
              <w:t>1</w:t>
            </w:r>
            <w:r>
              <w:t xml:space="preserve"> additional FTE to assess risk or legal implications</w:t>
            </w:r>
          </w:p>
        </w:tc>
      </w:tr>
      <w:tr w:rsidR="00752082" w14:paraId="504F725A" w14:textId="77777777" w:rsidTr="00CC0DFA">
        <w:tc>
          <w:tcPr>
            <w:cnfStyle w:val="001000000000" w:firstRow="0" w:lastRow="0" w:firstColumn="1" w:lastColumn="0" w:oddVBand="0" w:evenVBand="0" w:oddHBand="0" w:evenHBand="0" w:firstRowFirstColumn="0" w:firstRowLastColumn="0" w:lastRowFirstColumn="0" w:lastRowLastColumn="0"/>
            <w:tcW w:w="1452" w:type="dxa"/>
          </w:tcPr>
          <w:p w14:paraId="13F0EE3F" w14:textId="66EE6E34" w:rsidR="00752082" w:rsidRDefault="00752082" w:rsidP="00406F5F">
            <w:r>
              <w:t>Very large</w:t>
            </w:r>
            <w:r w:rsidR="00780595">
              <w:t xml:space="preserve"> business</w:t>
            </w:r>
          </w:p>
        </w:tc>
        <w:tc>
          <w:tcPr>
            <w:tcW w:w="1213" w:type="dxa"/>
          </w:tcPr>
          <w:p w14:paraId="1CF09917" w14:textId="338C6BF1" w:rsidR="00752082" w:rsidRDefault="00D37078" w:rsidP="00D37078">
            <w:pPr>
              <w:jc w:val="right"/>
              <w:cnfStyle w:val="000000000000" w:firstRow="0" w:lastRow="0" w:firstColumn="0" w:lastColumn="0" w:oddVBand="0" w:evenVBand="0" w:oddHBand="0" w:evenHBand="0" w:firstRowFirstColumn="0" w:firstRowLastColumn="0" w:lastRowFirstColumn="0" w:lastRowLastColumn="0"/>
            </w:pPr>
            <w:r>
              <w:t>3</w:t>
            </w:r>
            <w:r w:rsidR="00A542E5" w:rsidRPr="00A542E5">
              <w:rPr>
                <w:rFonts w:cstheme="minorHAnsi"/>
                <w:vertAlign w:val="superscript"/>
              </w:rPr>
              <w:t>•</w:t>
            </w:r>
          </w:p>
        </w:tc>
        <w:tc>
          <w:tcPr>
            <w:tcW w:w="1446" w:type="dxa"/>
          </w:tcPr>
          <w:p w14:paraId="552DD5A8" w14:textId="1DDABA1C" w:rsidR="00752082" w:rsidRDefault="00D37078" w:rsidP="00D37078">
            <w:pPr>
              <w:jc w:val="right"/>
              <w:cnfStyle w:val="000000000000" w:firstRow="0" w:lastRow="0" w:firstColumn="0" w:lastColumn="0" w:oddVBand="0" w:evenVBand="0" w:oddHBand="0" w:evenHBand="0" w:firstRowFirstColumn="0" w:firstRowLastColumn="0" w:lastRowFirstColumn="0" w:lastRowLastColumn="0"/>
            </w:pPr>
            <w:r>
              <w:t>0.5</w:t>
            </w:r>
          </w:p>
        </w:tc>
        <w:tc>
          <w:tcPr>
            <w:tcW w:w="1985" w:type="dxa"/>
          </w:tcPr>
          <w:p w14:paraId="5A6A60C0" w14:textId="711DF54C" w:rsidR="00752082" w:rsidRDefault="00D37078" w:rsidP="00D37078">
            <w:pPr>
              <w:jc w:val="right"/>
              <w:cnfStyle w:val="000000000000" w:firstRow="0" w:lastRow="0" w:firstColumn="0" w:lastColumn="0" w:oddVBand="0" w:evenVBand="0" w:oddHBand="0" w:evenHBand="0" w:firstRowFirstColumn="0" w:firstRowLastColumn="0" w:lastRowFirstColumn="0" w:lastRowLastColumn="0"/>
            </w:pPr>
            <w:r>
              <w:t>$</w:t>
            </w:r>
            <w:r w:rsidR="00AB6A24">
              <w:t>250,128</w:t>
            </w:r>
          </w:p>
        </w:tc>
        <w:tc>
          <w:tcPr>
            <w:tcW w:w="3827" w:type="dxa"/>
          </w:tcPr>
          <w:p w14:paraId="3E0E93F8" w14:textId="117137B8" w:rsidR="00752082" w:rsidRDefault="00D37078" w:rsidP="00406F5F">
            <w:pPr>
              <w:cnfStyle w:val="000000000000" w:firstRow="0" w:lastRow="0" w:firstColumn="0" w:lastColumn="0" w:oddVBand="0" w:evenVBand="0" w:oddHBand="0" w:evenHBand="0" w:firstRowFirstColumn="0" w:firstRowLastColumn="0" w:lastRowFirstColumn="0" w:lastRowLastColumn="0"/>
            </w:pPr>
            <w:r>
              <w:t>Assumes 0.5 additional FTE to assess risk or legal implications</w:t>
            </w:r>
          </w:p>
        </w:tc>
      </w:tr>
      <w:tr w:rsidR="00752082" w14:paraId="25A7F8F4" w14:textId="77777777" w:rsidTr="00CC0DF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12E2B7B2" w14:textId="477A6C06" w:rsidR="00752082" w:rsidRDefault="00752082" w:rsidP="00406F5F">
            <w:r>
              <w:t>Total</w:t>
            </w:r>
            <w:r w:rsidR="00780595">
              <w:t xml:space="preserve"> (business)</w:t>
            </w:r>
          </w:p>
        </w:tc>
        <w:tc>
          <w:tcPr>
            <w:tcW w:w="1213" w:type="dxa"/>
          </w:tcPr>
          <w:p w14:paraId="1EADE8B4" w14:textId="77777777" w:rsidR="00752082" w:rsidRDefault="00752082" w:rsidP="00406F5F">
            <w:pPr>
              <w:cnfStyle w:val="000000010000" w:firstRow="0" w:lastRow="0" w:firstColumn="0" w:lastColumn="0" w:oddVBand="0" w:evenVBand="0" w:oddHBand="0" w:evenHBand="1" w:firstRowFirstColumn="0" w:firstRowLastColumn="0" w:lastRowFirstColumn="0" w:lastRowLastColumn="0"/>
            </w:pPr>
          </w:p>
        </w:tc>
        <w:tc>
          <w:tcPr>
            <w:tcW w:w="1446" w:type="dxa"/>
          </w:tcPr>
          <w:p w14:paraId="10C50E58" w14:textId="77777777" w:rsidR="00752082" w:rsidRDefault="00752082" w:rsidP="00406F5F">
            <w:pPr>
              <w:cnfStyle w:val="000000010000" w:firstRow="0" w:lastRow="0" w:firstColumn="0" w:lastColumn="0" w:oddVBand="0" w:evenVBand="0" w:oddHBand="0" w:evenHBand="1" w:firstRowFirstColumn="0" w:firstRowLastColumn="0" w:lastRowFirstColumn="0" w:lastRowLastColumn="0"/>
            </w:pPr>
          </w:p>
        </w:tc>
        <w:tc>
          <w:tcPr>
            <w:tcW w:w="1985" w:type="dxa"/>
          </w:tcPr>
          <w:p w14:paraId="72C40E59" w14:textId="5EB0CD97" w:rsidR="00752082" w:rsidRDefault="00D37078" w:rsidP="00D37078">
            <w:pPr>
              <w:jc w:val="right"/>
              <w:cnfStyle w:val="000000010000" w:firstRow="0" w:lastRow="0" w:firstColumn="0" w:lastColumn="0" w:oddVBand="0" w:evenVBand="0" w:oddHBand="0" w:evenHBand="1" w:firstRowFirstColumn="0" w:firstRowLastColumn="0" w:lastRowFirstColumn="0" w:lastRowLastColumn="0"/>
            </w:pPr>
            <w:r w:rsidRPr="00AB6A24">
              <w:t>$</w:t>
            </w:r>
            <w:r w:rsidR="00F534D2">
              <w:t>300,153.60</w:t>
            </w:r>
          </w:p>
        </w:tc>
        <w:tc>
          <w:tcPr>
            <w:tcW w:w="3827" w:type="dxa"/>
          </w:tcPr>
          <w:p w14:paraId="66675801" w14:textId="77777777" w:rsidR="00752082" w:rsidRDefault="00752082" w:rsidP="00406F5F">
            <w:pPr>
              <w:cnfStyle w:val="000000010000" w:firstRow="0" w:lastRow="0" w:firstColumn="0" w:lastColumn="0" w:oddVBand="0" w:evenVBand="0" w:oddHBand="0" w:evenHBand="1" w:firstRowFirstColumn="0" w:firstRowLastColumn="0" w:lastRowFirstColumn="0" w:lastRowLastColumn="0"/>
            </w:pPr>
          </w:p>
        </w:tc>
      </w:tr>
      <w:tr w:rsidR="00752082" w14:paraId="6A80F49B" w14:textId="77777777" w:rsidTr="00CC0DFA">
        <w:tc>
          <w:tcPr>
            <w:cnfStyle w:val="001000000000" w:firstRow="0" w:lastRow="0" w:firstColumn="1" w:lastColumn="0" w:oddVBand="0" w:evenVBand="0" w:oddHBand="0" w:evenHBand="0" w:firstRowFirstColumn="0" w:firstRowLastColumn="0" w:lastRowFirstColumn="0" w:lastRowLastColumn="0"/>
            <w:tcW w:w="9923" w:type="dxa"/>
            <w:gridSpan w:val="5"/>
            <w:shd w:val="clear" w:color="auto" w:fill="E3F5FC" w:themeFill="accent3" w:themeFillTint="33"/>
          </w:tcPr>
          <w:p w14:paraId="38067345" w14:textId="69AA9335" w:rsidR="00752082" w:rsidRDefault="00752082" w:rsidP="00406F5F">
            <w:r>
              <w:t>SOFTWARE / SERVICE INTEGRATION</w:t>
            </w:r>
            <w:r w:rsidR="00437F00">
              <w:t xml:space="preserve"> (including ‘nominated pathway’ requirement)</w:t>
            </w:r>
            <w:r w:rsidR="0016671D">
              <w:t xml:space="preserve"> </w:t>
            </w:r>
          </w:p>
        </w:tc>
      </w:tr>
      <w:tr w:rsidR="00752082" w14:paraId="631B074F" w14:textId="77777777" w:rsidTr="00CC0DF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7034D6A4" w14:textId="6FF0DD20" w:rsidR="00752082" w:rsidRDefault="00780595" w:rsidP="00406F5F">
            <w:r>
              <w:t>Community organisation</w:t>
            </w:r>
          </w:p>
        </w:tc>
        <w:tc>
          <w:tcPr>
            <w:tcW w:w="1213" w:type="dxa"/>
          </w:tcPr>
          <w:p w14:paraId="361B46D8" w14:textId="17E650DB" w:rsidR="00752082" w:rsidRDefault="00A5288B" w:rsidP="003C6AF0">
            <w:pPr>
              <w:jc w:val="right"/>
              <w:cnfStyle w:val="000000010000" w:firstRow="0" w:lastRow="0" w:firstColumn="0" w:lastColumn="0" w:oddVBand="0" w:evenVBand="0" w:oddHBand="0" w:evenHBand="1" w:firstRowFirstColumn="0" w:firstRowLastColumn="0" w:lastRowFirstColumn="0" w:lastRowLastColumn="0"/>
            </w:pPr>
            <w:r>
              <w:t>1</w:t>
            </w:r>
            <w:r w:rsidR="00BC7417">
              <w:t>*</w:t>
            </w:r>
          </w:p>
        </w:tc>
        <w:tc>
          <w:tcPr>
            <w:tcW w:w="1446" w:type="dxa"/>
          </w:tcPr>
          <w:p w14:paraId="4F798A49" w14:textId="43303EDD" w:rsidR="00752082" w:rsidRDefault="0076490A" w:rsidP="003C6AF0">
            <w:pPr>
              <w:jc w:val="right"/>
              <w:cnfStyle w:val="000000010000" w:firstRow="0" w:lastRow="0" w:firstColumn="0" w:lastColumn="0" w:oddVBand="0" w:evenVBand="0" w:oddHBand="0" w:evenHBand="1" w:firstRowFirstColumn="0" w:firstRowLastColumn="0" w:lastRowFirstColumn="0" w:lastRowLastColumn="0"/>
            </w:pPr>
            <w:r>
              <w:t>0.</w:t>
            </w:r>
            <w:r w:rsidR="001508DC">
              <w:t>1</w:t>
            </w:r>
          </w:p>
        </w:tc>
        <w:tc>
          <w:tcPr>
            <w:tcW w:w="1985" w:type="dxa"/>
          </w:tcPr>
          <w:p w14:paraId="04BAE6BE" w14:textId="696E7693" w:rsidR="00752082" w:rsidRDefault="0076490A" w:rsidP="003C6AF0">
            <w:pPr>
              <w:jc w:val="right"/>
              <w:cnfStyle w:val="000000010000" w:firstRow="0" w:lastRow="0" w:firstColumn="0" w:lastColumn="0" w:oddVBand="0" w:evenVBand="0" w:oddHBand="0" w:evenHBand="1" w:firstRowFirstColumn="0" w:firstRowLastColumn="0" w:lastRowFirstColumn="0" w:lastRowLastColumn="0"/>
            </w:pPr>
            <w:r>
              <w:t>$</w:t>
            </w:r>
            <w:r w:rsidR="00A5288B">
              <w:t>18,778.70</w:t>
            </w:r>
          </w:p>
        </w:tc>
        <w:tc>
          <w:tcPr>
            <w:tcW w:w="3827" w:type="dxa"/>
          </w:tcPr>
          <w:p w14:paraId="1132C0CC" w14:textId="5D4AEC74" w:rsidR="00752082" w:rsidRDefault="0076490A" w:rsidP="00406F5F">
            <w:pPr>
              <w:cnfStyle w:val="000000010000" w:firstRow="0" w:lastRow="0" w:firstColumn="0" w:lastColumn="0" w:oddVBand="0" w:evenVBand="0" w:oddHBand="0" w:evenHBand="1" w:firstRowFirstColumn="0" w:firstRowLastColumn="0" w:lastRowFirstColumn="0" w:lastRowLastColumn="0"/>
            </w:pPr>
            <w:r>
              <w:t>Assumes 0.</w:t>
            </w:r>
            <w:r w:rsidR="00F534D2">
              <w:t>1</w:t>
            </w:r>
            <w:r>
              <w:t xml:space="preserve"> additional FTE to facilitate and maintain online service access</w:t>
            </w:r>
          </w:p>
        </w:tc>
      </w:tr>
      <w:tr w:rsidR="00752082" w14:paraId="4BCBB772" w14:textId="77777777" w:rsidTr="00CC0DFA">
        <w:tc>
          <w:tcPr>
            <w:cnfStyle w:val="001000000000" w:firstRow="0" w:lastRow="0" w:firstColumn="1" w:lastColumn="0" w:oddVBand="0" w:evenVBand="0" w:oddHBand="0" w:evenHBand="0" w:firstRowFirstColumn="0" w:firstRowLastColumn="0" w:lastRowFirstColumn="0" w:lastRowLastColumn="0"/>
            <w:tcW w:w="1452" w:type="dxa"/>
          </w:tcPr>
          <w:p w14:paraId="1EF43A31" w14:textId="7EEEA212" w:rsidR="00752082" w:rsidRDefault="00752082" w:rsidP="00406F5F">
            <w:r>
              <w:t>Large</w:t>
            </w:r>
            <w:r w:rsidR="00780595">
              <w:t xml:space="preserve"> business</w:t>
            </w:r>
          </w:p>
        </w:tc>
        <w:tc>
          <w:tcPr>
            <w:tcW w:w="1213" w:type="dxa"/>
          </w:tcPr>
          <w:p w14:paraId="1A693123" w14:textId="0995E409" w:rsidR="00752082" w:rsidRDefault="001508DC" w:rsidP="003C6AF0">
            <w:pPr>
              <w:jc w:val="right"/>
              <w:cnfStyle w:val="000000000000" w:firstRow="0" w:lastRow="0" w:firstColumn="0" w:lastColumn="0" w:oddVBand="0" w:evenVBand="0" w:oddHBand="0" w:evenHBand="0" w:firstRowFirstColumn="0" w:firstRowLastColumn="0" w:lastRowFirstColumn="0" w:lastRowLastColumn="0"/>
            </w:pPr>
            <w:r>
              <w:t>3</w:t>
            </w:r>
            <w:r w:rsidR="00A5288B">
              <w:t>^</w:t>
            </w:r>
          </w:p>
        </w:tc>
        <w:tc>
          <w:tcPr>
            <w:tcW w:w="1446" w:type="dxa"/>
          </w:tcPr>
          <w:p w14:paraId="508EBC31" w14:textId="0F7765E7" w:rsidR="00752082" w:rsidRDefault="0076490A" w:rsidP="003C6AF0">
            <w:pPr>
              <w:jc w:val="right"/>
              <w:cnfStyle w:val="000000000000" w:firstRow="0" w:lastRow="0" w:firstColumn="0" w:lastColumn="0" w:oddVBand="0" w:evenVBand="0" w:oddHBand="0" w:evenHBand="0" w:firstRowFirstColumn="0" w:firstRowLastColumn="0" w:lastRowFirstColumn="0" w:lastRowLastColumn="0"/>
            </w:pPr>
            <w:r>
              <w:t>0.</w:t>
            </w:r>
            <w:r w:rsidR="001508DC">
              <w:t>1</w:t>
            </w:r>
          </w:p>
        </w:tc>
        <w:tc>
          <w:tcPr>
            <w:tcW w:w="1985" w:type="dxa"/>
          </w:tcPr>
          <w:p w14:paraId="0ED691A6" w14:textId="2725DC5D" w:rsidR="00752082" w:rsidRDefault="0076490A" w:rsidP="003C6AF0">
            <w:pPr>
              <w:jc w:val="right"/>
              <w:cnfStyle w:val="000000000000" w:firstRow="0" w:lastRow="0" w:firstColumn="0" w:lastColumn="0" w:oddVBand="0" w:evenVBand="0" w:oddHBand="0" w:evenHBand="0" w:firstRowFirstColumn="0" w:firstRowLastColumn="0" w:lastRowFirstColumn="0" w:lastRowLastColumn="0"/>
            </w:pPr>
            <w:r>
              <w:t>$</w:t>
            </w:r>
            <w:r w:rsidR="001E34A3">
              <w:t>56,336.10</w:t>
            </w:r>
          </w:p>
        </w:tc>
        <w:tc>
          <w:tcPr>
            <w:tcW w:w="3827" w:type="dxa"/>
          </w:tcPr>
          <w:p w14:paraId="589E4BB8" w14:textId="58CBFA42" w:rsidR="00752082" w:rsidRDefault="0076490A" w:rsidP="00406F5F">
            <w:pPr>
              <w:cnfStyle w:val="000000000000" w:firstRow="0" w:lastRow="0" w:firstColumn="0" w:lastColumn="0" w:oddVBand="0" w:evenVBand="0" w:oddHBand="0" w:evenHBand="0" w:firstRowFirstColumn="0" w:firstRowLastColumn="0" w:lastRowFirstColumn="0" w:lastRowLastColumn="0"/>
            </w:pPr>
            <w:r>
              <w:t>Assumes 0.</w:t>
            </w:r>
            <w:r w:rsidR="00F534D2">
              <w:t>1</w:t>
            </w:r>
            <w:r>
              <w:t xml:space="preserve"> additional FTE to facilitate and maintain online service access</w:t>
            </w:r>
          </w:p>
        </w:tc>
      </w:tr>
      <w:tr w:rsidR="00752082" w14:paraId="2FD9D496" w14:textId="77777777" w:rsidTr="00CC0DF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614975F1" w14:textId="76DE6C13" w:rsidR="00752082" w:rsidRDefault="00752082" w:rsidP="00406F5F">
            <w:r>
              <w:t>Very large</w:t>
            </w:r>
            <w:r w:rsidR="00780595">
              <w:t xml:space="preserve"> business</w:t>
            </w:r>
          </w:p>
        </w:tc>
        <w:tc>
          <w:tcPr>
            <w:tcW w:w="1213" w:type="dxa"/>
          </w:tcPr>
          <w:p w14:paraId="5A3E7D1C" w14:textId="135B22A2" w:rsidR="00752082" w:rsidRDefault="0076490A" w:rsidP="003C6AF0">
            <w:pPr>
              <w:jc w:val="right"/>
              <w:cnfStyle w:val="000000010000" w:firstRow="0" w:lastRow="0" w:firstColumn="0" w:lastColumn="0" w:oddVBand="0" w:evenVBand="0" w:oddHBand="0" w:evenHBand="1" w:firstRowFirstColumn="0" w:firstRowLastColumn="0" w:lastRowFirstColumn="0" w:lastRowLastColumn="0"/>
            </w:pPr>
            <w:r>
              <w:t>3</w:t>
            </w:r>
            <w:r w:rsidR="00A542E5" w:rsidRPr="00A542E5">
              <w:rPr>
                <w:rFonts w:cstheme="minorHAnsi"/>
                <w:vertAlign w:val="superscript"/>
              </w:rPr>
              <w:t>•</w:t>
            </w:r>
          </w:p>
        </w:tc>
        <w:tc>
          <w:tcPr>
            <w:tcW w:w="1446" w:type="dxa"/>
          </w:tcPr>
          <w:p w14:paraId="2A527DDB" w14:textId="0A0EAE11" w:rsidR="00752082" w:rsidRDefault="00BC7417" w:rsidP="003C6AF0">
            <w:pPr>
              <w:jc w:val="right"/>
              <w:cnfStyle w:val="000000010000" w:firstRow="0" w:lastRow="0" w:firstColumn="0" w:lastColumn="0" w:oddVBand="0" w:evenVBand="0" w:oddHBand="0" w:evenHBand="1" w:firstRowFirstColumn="0" w:firstRowLastColumn="0" w:lastRowFirstColumn="0" w:lastRowLastColumn="0"/>
            </w:pPr>
            <w:r>
              <w:t>2</w:t>
            </w:r>
          </w:p>
        </w:tc>
        <w:tc>
          <w:tcPr>
            <w:tcW w:w="1985" w:type="dxa"/>
          </w:tcPr>
          <w:p w14:paraId="39B2F680" w14:textId="5350DBFA" w:rsidR="00752082" w:rsidRDefault="0076490A" w:rsidP="003C6AF0">
            <w:pPr>
              <w:jc w:val="right"/>
              <w:cnfStyle w:val="000000010000" w:firstRow="0" w:lastRow="0" w:firstColumn="0" w:lastColumn="0" w:oddVBand="0" w:evenVBand="0" w:oddHBand="0" w:evenHBand="1" w:firstRowFirstColumn="0" w:firstRowLastColumn="0" w:lastRowFirstColumn="0" w:lastRowLastColumn="0"/>
            </w:pPr>
            <w:r>
              <w:t>$</w:t>
            </w:r>
            <w:r w:rsidR="00BC7417">
              <w:t>1,126,722</w:t>
            </w:r>
          </w:p>
        </w:tc>
        <w:tc>
          <w:tcPr>
            <w:tcW w:w="3827" w:type="dxa"/>
          </w:tcPr>
          <w:p w14:paraId="21A77254" w14:textId="586D9A1D" w:rsidR="00752082" w:rsidRDefault="0076490A" w:rsidP="00406F5F">
            <w:pPr>
              <w:cnfStyle w:val="000000010000" w:firstRow="0" w:lastRow="0" w:firstColumn="0" w:lastColumn="0" w:oddVBand="0" w:evenVBand="0" w:oddHBand="0" w:evenHBand="1" w:firstRowFirstColumn="0" w:firstRowLastColumn="0" w:lastRowFirstColumn="0" w:lastRowLastColumn="0"/>
            </w:pPr>
            <w:r>
              <w:t xml:space="preserve">Assumes </w:t>
            </w:r>
            <w:r w:rsidR="00BC7417">
              <w:t>2</w:t>
            </w:r>
            <w:r>
              <w:t xml:space="preserve"> additional FTE to facilitate and maintain online service access</w:t>
            </w:r>
          </w:p>
        </w:tc>
      </w:tr>
      <w:tr w:rsidR="00752082" w14:paraId="498C7F3D" w14:textId="77777777" w:rsidTr="00CC0DFA">
        <w:tc>
          <w:tcPr>
            <w:cnfStyle w:val="001000000000" w:firstRow="0" w:lastRow="0" w:firstColumn="1" w:lastColumn="0" w:oddVBand="0" w:evenVBand="0" w:oddHBand="0" w:evenHBand="0" w:firstRowFirstColumn="0" w:firstRowLastColumn="0" w:lastRowFirstColumn="0" w:lastRowLastColumn="0"/>
            <w:tcW w:w="1452" w:type="dxa"/>
          </w:tcPr>
          <w:p w14:paraId="52BD50B0" w14:textId="007A0892" w:rsidR="00752082" w:rsidRDefault="0076490A" w:rsidP="00406F5F">
            <w:r>
              <w:t>Total</w:t>
            </w:r>
            <w:r w:rsidR="00780595">
              <w:t xml:space="preserve"> (business)</w:t>
            </w:r>
          </w:p>
        </w:tc>
        <w:tc>
          <w:tcPr>
            <w:tcW w:w="1213" w:type="dxa"/>
          </w:tcPr>
          <w:p w14:paraId="43CD53BE" w14:textId="77777777" w:rsidR="00752082" w:rsidRDefault="00752082" w:rsidP="003C6AF0">
            <w:pPr>
              <w:jc w:val="right"/>
              <w:cnfStyle w:val="000000000000" w:firstRow="0" w:lastRow="0" w:firstColumn="0" w:lastColumn="0" w:oddVBand="0" w:evenVBand="0" w:oddHBand="0" w:evenHBand="0" w:firstRowFirstColumn="0" w:firstRowLastColumn="0" w:lastRowFirstColumn="0" w:lastRowLastColumn="0"/>
            </w:pPr>
          </w:p>
        </w:tc>
        <w:tc>
          <w:tcPr>
            <w:tcW w:w="1446" w:type="dxa"/>
          </w:tcPr>
          <w:p w14:paraId="371277C4" w14:textId="77777777" w:rsidR="00752082" w:rsidRDefault="00752082" w:rsidP="003C6AF0">
            <w:pPr>
              <w:jc w:val="right"/>
              <w:cnfStyle w:val="000000000000" w:firstRow="0" w:lastRow="0" w:firstColumn="0" w:lastColumn="0" w:oddVBand="0" w:evenVBand="0" w:oddHBand="0" w:evenHBand="0" w:firstRowFirstColumn="0" w:firstRowLastColumn="0" w:lastRowFirstColumn="0" w:lastRowLastColumn="0"/>
            </w:pPr>
          </w:p>
        </w:tc>
        <w:tc>
          <w:tcPr>
            <w:tcW w:w="1985" w:type="dxa"/>
          </w:tcPr>
          <w:p w14:paraId="5A896894" w14:textId="70317D6C" w:rsidR="00752082" w:rsidRDefault="0076490A" w:rsidP="003C6AF0">
            <w:pPr>
              <w:jc w:val="right"/>
              <w:cnfStyle w:val="000000000000" w:firstRow="0" w:lastRow="0" w:firstColumn="0" w:lastColumn="0" w:oddVBand="0" w:evenVBand="0" w:oddHBand="0" w:evenHBand="0" w:firstRowFirstColumn="0" w:firstRowLastColumn="0" w:lastRowFirstColumn="0" w:lastRowLastColumn="0"/>
            </w:pPr>
            <w:r w:rsidRPr="00BB5376">
              <w:t>$</w:t>
            </w:r>
            <w:r w:rsidR="001E34A3">
              <w:t>1,183,058.10</w:t>
            </w:r>
          </w:p>
        </w:tc>
        <w:tc>
          <w:tcPr>
            <w:tcW w:w="3827" w:type="dxa"/>
          </w:tcPr>
          <w:p w14:paraId="647DCF74" w14:textId="77777777" w:rsidR="00752082" w:rsidRDefault="00752082" w:rsidP="00406F5F">
            <w:pPr>
              <w:cnfStyle w:val="000000000000" w:firstRow="0" w:lastRow="0" w:firstColumn="0" w:lastColumn="0" w:oddVBand="0" w:evenVBand="0" w:oddHBand="0" w:evenHBand="0" w:firstRowFirstColumn="0" w:firstRowLastColumn="0" w:lastRowFirstColumn="0" w:lastRowLastColumn="0"/>
            </w:pPr>
          </w:p>
        </w:tc>
      </w:tr>
      <w:tr w:rsidR="00026EDC" w14:paraId="63FA1A2A" w14:textId="77777777" w:rsidTr="00CC0DF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gridSpan w:val="3"/>
            <w:shd w:val="clear" w:color="auto" w:fill="F2F6E8" w:themeFill="accent5" w:themeFillTint="33"/>
          </w:tcPr>
          <w:p w14:paraId="05307A82" w14:textId="03AF27FC" w:rsidR="00752082" w:rsidRDefault="00010210" w:rsidP="00406F5F">
            <w:r>
              <w:t>ANNUAL TOTAL FOR OPTION 2b</w:t>
            </w:r>
          </w:p>
        </w:tc>
        <w:tc>
          <w:tcPr>
            <w:tcW w:w="1985" w:type="dxa"/>
            <w:shd w:val="clear" w:color="auto" w:fill="F2F6E8" w:themeFill="accent5" w:themeFillTint="33"/>
          </w:tcPr>
          <w:p w14:paraId="2FD875C4" w14:textId="0D3C77B3" w:rsidR="00752082" w:rsidRDefault="0076490A" w:rsidP="003C6AF0">
            <w:pPr>
              <w:jc w:val="right"/>
              <w:cnfStyle w:val="000000010000" w:firstRow="0" w:lastRow="0" w:firstColumn="0" w:lastColumn="0" w:oddVBand="0" w:evenVBand="0" w:oddHBand="0" w:evenHBand="1" w:firstRowFirstColumn="0" w:firstRowLastColumn="0" w:lastRowFirstColumn="0" w:lastRowLastColumn="0"/>
            </w:pPr>
            <w:r>
              <w:t>$</w:t>
            </w:r>
            <w:r w:rsidR="00205F29">
              <w:t>2,085,622.40</w:t>
            </w:r>
          </w:p>
        </w:tc>
        <w:tc>
          <w:tcPr>
            <w:tcW w:w="3827" w:type="dxa"/>
            <w:shd w:val="clear" w:color="auto" w:fill="F2F6E8" w:themeFill="accent5" w:themeFillTint="33"/>
          </w:tcPr>
          <w:p w14:paraId="1E2A9DF2" w14:textId="77777777" w:rsidR="00752082" w:rsidRDefault="00752082" w:rsidP="00406F5F">
            <w:pPr>
              <w:cnfStyle w:val="000000010000" w:firstRow="0" w:lastRow="0" w:firstColumn="0" w:lastColumn="0" w:oddVBand="0" w:evenVBand="0" w:oddHBand="0" w:evenHBand="1" w:firstRowFirstColumn="0" w:firstRowLastColumn="0" w:lastRowFirstColumn="0" w:lastRowLastColumn="0"/>
            </w:pPr>
          </w:p>
        </w:tc>
      </w:tr>
    </w:tbl>
    <w:p w14:paraId="33A54837" w14:textId="77777777" w:rsidR="00AC375A" w:rsidRDefault="00AC375A" w:rsidP="00AC375A">
      <w:pPr>
        <w:spacing w:before="0" w:after="0"/>
        <w:rPr>
          <w:sz w:val="18"/>
          <w:szCs w:val="18"/>
        </w:rPr>
      </w:pPr>
      <w:r w:rsidRPr="00124A1A">
        <w:rPr>
          <w:sz w:val="18"/>
          <w:szCs w:val="18"/>
        </w:rPr>
        <w:t xml:space="preserve">* Assumes </w:t>
      </w:r>
      <w:r>
        <w:rPr>
          <w:sz w:val="18"/>
          <w:szCs w:val="18"/>
        </w:rPr>
        <w:t xml:space="preserve">that </w:t>
      </w:r>
      <w:r w:rsidRPr="00124A1A">
        <w:rPr>
          <w:sz w:val="18"/>
          <w:szCs w:val="18"/>
        </w:rPr>
        <w:t>community radio stations seek CBAA assistance with</w:t>
      </w:r>
      <w:r>
        <w:rPr>
          <w:sz w:val="18"/>
          <w:szCs w:val="18"/>
        </w:rPr>
        <w:t xml:space="preserve"> necessary activities.</w:t>
      </w:r>
    </w:p>
    <w:p w14:paraId="66D0419E" w14:textId="77777777" w:rsidR="00AC375A" w:rsidRDefault="00AC375A" w:rsidP="00AC375A">
      <w:pPr>
        <w:spacing w:before="0" w:after="0"/>
        <w:rPr>
          <w:sz w:val="18"/>
          <w:szCs w:val="18"/>
        </w:rPr>
      </w:pPr>
      <w:r w:rsidRPr="00EC7516">
        <w:rPr>
          <w:sz w:val="18"/>
          <w:szCs w:val="18"/>
        </w:rPr>
        <w:t>^ Assumes</w:t>
      </w:r>
      <w:r>
        <w:rPr>
          <w:sz w:val="18"/>
          <w:szCs w:val="18"/>
        </w:rPr>
        <w:t xml:space="preserve"> that</w:t>
      </w:r>
      <w:r w:rsidRPr="00EC7516">
        <w:rPr>
          <w:sz w:val="18"/>
          <w:szCs w:val="18"/>
        </w:rPr>
        <w:t xml:space="preserve"> commercial radio </w:t>
      </w:r>
      <w:r w:rsidRPr="00B5184C">
        <w:rPr>
          <w:sz w:val="18"/>
          <w:szCs w:val="18"/>
        </w:rPr>
        <w:t xml:space="preserve">networks </w:t>
      </w:r>
      <w:r w:rsidRPr="00EC7516">
        <w:rPr>
          <w:sz w:val="18"/>
          <w:szCs w:val="18"/>
        </w:rPr>
        <w:t>seek CRA assistance with necessary activities</w:t>
      </w:r>
      <w:r>
        <w:rPr>
          <w:sz w:val="18"/>
          <w:szCs w:val="18"/>
        </w:rPr>
        <w:t>, and that the national broadcasters (the ABC and the SBS) cover their own activities. Device manufacturers are not expected to have compliance obligations under the framework. Non</w:t>
      </w:r>
      <w:r w:rsidRPr="00781CA8">
        <w:rPr>
          <w:sz w:val="18"/>
          <w:szCs w:val="18"/>
        </w:rPr>
        <w:t>-dominant voice assistant software providers</w:t>
      </w:r>
      <w:r w:rsidRPr="007F5E5B">
        <w:rPr>
          <w:sz w:val="18"/>
          <w:szCs w:val="18"/>
        </w:rPr>
        <w:t xml:space="preserve"> are not </w:t>
      </w:r>
      <w:r>
        <w:rPr>
          <w:sz w:val="18"/>
          <w:szCs w:val="18"/>
        </w:rPr>
        <w:t xml:space="preserve">explicitly </w:t>
      </w:r>
      <w:r w:rsidRPr="007F5E5B">
        <w:rPr>
          <w:sz w:val="18"/>
          <w:szCs w:val="18"/>
        </w:rPr>
        <w:t>considered in this calculation due to the</w:t>
      </w:r>
      <w:r>
        <w:rPr>
          <w:sz w:val="18"/>
          <w:szCs w:val="18"/>
        </w:rPr>
        <w:t>ir</w:t>
      </w:r>
      <w:r w:rsidRPr="007F5E5B">
        <w:rPr>
          <w:sz w:val="18"/>
          <w:szCs w:val="18"/>
        </w:rPr>
        <w:t xml:space="preserve"> </w:t>
      </w:r>
      <w:r>
        <w:rPr>
          <w:sz w:val="18"/>
          <w:szCs w:val="18"/>
        </w:rPr>
        <w:t>small share of the Australian market</w:t>
      </w:r>
      <w:r w:rsidRPr="007F5E5B">
        <w:rPr>
          <w:sz w:val="18"/>
          <w:szCs w:val="18"/>
        </w:rPr>
        <w:t>.</w:t>
      </w:r>
    </w:p>
    <w:p w14:paraId="5E7229DB" w14:textId="77777777" w:rsidR="00AC375A" w:rsidRPr="007F5E5B" w:rsidRDefault="00AC375A" w:rsidP="00AC375A">
      <w:pPr>
        <w:spacing w:before="0" w:after="0"/>
        <w:rPr>
          <w:sz w:val="18"/>
          <w:szCs w:val="18"/>
        </w:rPr>
      </w:pPr>
      <w:r w:rsidRPr="009E67E2">
        <w:rPr>
          <w:rFonts w:cstheme="minorHAnsi"/>
          <w:vertAlign w:val="superscript"/>
        </w:rPr>
        <w:t>•</w:t>
      </w:r>
      <w:r w:rsidRPr="007F5E5B">
        <w:rPr>
          <w:sz w:val="18"/>
          <w:szCs w:val="18"/>
        </w:rPr>
        <w:t>Assumes</w:t>
      </w:r>
      <w:r>
        <w:rPr>
          <w:sz w:val="18"/>
          <w:szCs w:val="18"/>
        </w:rPr>
        <w:t xml:space="preserve"> that this category includes the top 3 providers of voice assistant software (Google, Amazon and Apple). </w:t>
      </w:r>
    </w:p>
    <w:p w14:paraId="623E8C76" w14:textId="76BFB590" w:rsidR="00B4251C" w:rsidRPr="007F5E5B" w:rsidRDefault="00B4251C" w:rsidP="00AC375A">
      <w:pPr>
        <w:spacing w:before="0" w:after="0"/>
        <w:rPr>
          <w:sz w:val="18"/>
          <w:szCs w:val="18"/>
        </w:rPr>
      </w:pPr>
    </w:p>
    <w:sectPr w:rsidR="00B4251C" w:rsidRPr="007F5E5B" w:rsidSect="004E186B">
      <w:pgSz w:w="11906" w:h="16838" w:code="9"/>
      <w:pgMar w:top="1021" w:right="1021" w:bottom="1021" w:left="1021"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19339" w14:textId="77777777" w:rsidR="00664DC6" w:rsidRDefault="00664DC6" w:rsidP="008456D5">
      <w:pPr>
        <w:spacing w:before="0" w:after="0"/>
      </w:pPr>
      <w:r>
        <w:separator/>
      </w:r>
    </w:p>
  </w:endnote>
  <w:endnote w:type="continuationSeparator" w:id="0">
    <w:p w14:paraId="60CE3686" w14:textId="77777777" w:rsidR="00664DC6" w:rsidRDefault="00664DC6" w:rsidP="008456D5">
      <w:pPr>
        <w:spacing w:before="0" w:after="0"/>
      </w:pPr>
      <w:r>
        <w:continuationSeparator/>
      </w:r>
    </w:p>
  </w:endnote>
  <w:endnote w:type="continuationNotice" w:id="1">
    <w:p w14:paraId="63E0F419" w14:textId="77777777" w:rsidR="00664DC6" w:rsidRDefault="00664DC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9FD74" w14:textId="56A1D48D" w:rsidR="00BA2C60" w:rsidRDefault="00BA2C60">
    <w:pPr>
      <w:pStyle w:val="Footer"/>
    </w:pPr>
    <w:r>
      <w:rPr>
        <w:noProof/>
      </w:rPr>
      <mc:AlternateContent>
        <mc:Choice Requires="wps">
          <w:drawing>
            <wp:anchor distT="0" distB="0" distL="0" distR="0" simplePos="0" relativeHeight="251658245" behindDoc="0" locked="0" layoutInCell="1" allowOverlap="1" wp14:anchorId="19640775" wp14:editId="3D2C8162">
              <wp:simplePos x="635" y="635"/>
              <wp:positionH relativeFrom="page">
                <wp:align>center</wp:align>
              </wp:positionH>
              <wp:positionV relativeFrom="page">
                <wp:align>bottom</wp:align>
              </wp:positionV>
              <wp:extent cx="726440" cy="509270"/>
              <wp:effectExtent l="0" t="0" r="16510" b="0"/>
              <wp:wrapNone/>
              <wp:docPr id="1608236831"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5FF8CD9F" w14:textId="66F53416" w:rsidR="00BA2C60" w:rsidRPr="00BA2C60" w:rsidRDefault="00BA2C60" w:rsidP="00BA2C60">
                          <w:pPr>
                            <w:spacing w:after="0"/>
                            <w:rPr>
                              <w:rFonts w:ascii="Aptos" w:eastAsia="Aptos" w:hAnsi="Aptos" w:cs="Aptos"/>
                              <w:noProof/>
                              <w:color w:val="FF0000"/>
                              <w:sz w:val="28"/>
                              <w:szCs w:val="28"/>
                            </w:rPr>
                          </w:pPr>
                          <w:r w:rsidRPr="00BA2C60">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640775" id="_x0000_t202" coordsize="21600,21600" o:spt="202" path="m,l,21600r21600,l21600,xe">
              <v:stroke joinstyle="miter"/>
              <v:path gradientshapeok="t" o:connecttype="rect"/>
            </v:shapetype>
            <v:shape id="Text Box 11" o:spid="_x0000_s1027" type="#_x0000_t202" alt="OFFICIAL" style="position:absolute;margin-left:0;margin-top:0;width:57.2pt;height:40.1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" filled="f" stroked="f">
              <v:textbox style="mso-fit-shape-to-text:t" inset="0,0,0,15pt">
                <w:txbxContent>
                  <w:p w14:paraId="5FF8CD9F" w14:textId="66F53416" w:rsidR="00BA2C60" w:rsidRPr="00BA2C60" w:rsidRDefault="00BA2C60" w:rsidP="00BA2C60">
                    <w:pPr>
                      <w:spacing w:after="0"/>
                      <w:rPr>
                        <w:rFonts w:ascii="Aptos" w:eastAsia="Aptos" w:hAnsi="Aptos" w:cs="Aptos"/>
                        <w:noProof/>
                        <w:color w:val="FF0000"/>
                        <w:sz w:val="28"/>
                        <w:szCs w:val="28"/>
                      </w:rPr>
                    </w:pPr>
                    <w:r w:rsidRPr="00BA2C60">
                      <w:rPr>
                        <w:rFonts w:ascii="Aptos" w:eastAsia="Aptos" w:hAnsi="Aptos" w:cs="Aptos"/>
                        <w:noProof/>
                        <w:color w:val="FF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0399013"/>
      <w:docPartObj>
        <w:docPartGallery w:val="Page Numbers (Bottom of Page)"/>
        <w:docPartUnique/>
      </w:docPartObj>
    </w:sdtPr>
    <w:sdtEndPr>
      <w:rPr>
        <w:noProof/>
      </w:rPr>
    </w:sdtEndPr>
    <w:sdtContent>
      <w:p w14:paraId="5D61E6DD" w14:textId="2847AA8A" w:rsidR="00A31207" w:rsidRDefault="00A3120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491BE79" w14:textId="13988639" w:rsidR="00293924" w:rsidRPr="003C67CE" w:rsidRDefault="00293924" w:rsidP="00D86E40">
    <w:pPr>
      <w:pStyle w:val="SecurityMarker"/>
      <w:ind w:left="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D5FB3" w14:textId="7B101521" w:rsidR="00293924" w:rsidRDefault="00BA2C60" w:rsidP="00BA24FB">
    <w:pPr>
      <w:pStyle w:val="Footer"/>
      <w:spacing w:before="360"/>
    </w:pPr>
    <w:r>
      <w:rPr>
        <w:noProof/>
      </w:rPr>
      <mc:AlternateContent>
        <mc:Choice Requires="wps">
          <w:drawing>
            <wp:anchor distT="0" distB="0" distL="0" distR="0" simplePos="0" relativeHeight="251658246" behindDoc="0" locked="0" layoutInCell="1" allowOverlap="1" wp14:anchorId="33077D3D" wp14:editId="5180E716">
              <wp:simplePos x="635" y="635"/>
              <wp:positionH relativeFrom="page">
                <wp:align>center</wp:align>
              </wp:positionH>
              <wp:positionV relativeFrom="page">
                <wp:align>bottom</wp:align>
              </wp:positionV>
              <wp:extent cx="726440" cy="509270"/>
              <wp:effectExtent l="0" t="0" r="16510" b="0"/>
              <wp:wrapNone/>
              <wp:docPr id="1365210774"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73E96BED" w14:textId="5CDE51FD" w:rsidR="00BA2C60" w:rsidRPr="00BA2C60" w:rsidRDefault="00BA2C60" w:rsidP="00BA2C60">
                          <w:pPr>
                            <w:spacing w:after="0"/>
                            <w:rPr>
                              <w:rFonts w:ascii="Aptos" w:eastAsia="Aptos" w:hAnsi="Aptos" w:cs="Aptos"/>
                              <w:noProof/>
                              <w:color w:val="FF0000"/>
                              <w:sz w:val="28"/>
                              <w:szCs w:val="28"/>
                            </w:rPr>
                          </w:pPr>
                          <w:r w:rsidRPr="00BA2C60">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077D3D" id="_x0000_t202" coordsize="21600,21600" o:spt="202" path="m,l,21600r21600,l21600,xe">
              <v:stroke joinstyle="miter"/>
              <v:path gradientshapeok="t" o:connecttype="rect"/>
            </v:shapetype>
            <v:shape id="_x0000_s1029" type="#_x0000_t202" alt="OFFICIAL" style="position:absolute;margin-left:0;margin-top:0;width:57.2pt;height:40.1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" filled="f" stroked="f">
              <v:textbox style="mso-fit-shape-to-text:t" inset="0,0,0,15pt">
                <w:txbxContent>
                  <w:p w14:paraId="73E96BED" w14:textId="5CDE51FD" w:rsidR="00BA2C60" w:rsidRPr="00BA2C60" w:rsidRDefault="00BA2C60" w:rsidP="00BA2C60">
                    <w:pPr>
                      <w:spacing w:after="0"/>
                      <w:rPr>
                        <w:rFonts w:ascii="Aptos" w:eastAsia="Aptos" w:hAnsi="Aptos" w:cs="Aptos"/>
                        <w:noProof/>
                        <w:color w:val="FF0000"/>
                        <w:sz w:val="28"/>
                        <w:szCs w:val="28"/>
                      </w:rPr>
                    </w:pPr>
                    <w:r w:rsidRPr="00BA2C60">
                      <w:rPr>
                        <w:rFonts w:ascii="Aptos" w:eastAsia="Aptos" w:hAnsi="Aptos" w:cs="Aptos"/>
                        <w:noProof/>
                        <w:color w:val="FF0000"/>
                        <w:sz w:val="28"/>
                        <w:szCs w:val="28"/>
                      </w:rPr>
                      <w:t>OFFICIAL</w:t>
                    </w:r>
                  </w:p>
                </w:txbxContent>
              </v:textbox>
              <w10:wrap anchorx="page" anchory="page"/>
            </v:shape>
          </w:pict>
        </mc:Fallback>
      </mc:AlternateContent>
    </w:r>
  </w:p>
  <w:p w14:paraId="372D333D" w14:textId="5C223CC3" w:rsidR="00293924" w:rsidRDefault="00293924" w:rsidP="00827492">
    <w:pPr>
      <w:pStyle w:val="SecurityMarker"/>
    </w:pPr>
    <w:r>
      <w:t>OFFICIAL / OFFICIAL: SENSITIVE / PROTECTEDSELECT THE CLASSIFICATION MARKER ABOVE THAT APPLIES TO YOUR DOCUMENT, THEN DELETE THE OTHERS AND THIS TEXT&gt;</w:t>
    </w:r>
    <w:r>
      <w:rPr>
        <w:noProof/>
        <w:lang w:eastAsia="en-AU"/>
      </w:rPr>
      <mc:AlternateContent>
        <mc:Choice Requires="wps">
          <w:drawing>
            <wp:inline distT="0" distB="0" distL="0" distR="0" wp14:anchorId="4B836E68" wp14:editId="11A8F9E1">
              <wp:extent cx="1007640" cy="720000"/>
              <wp:effectExtent l="0" t="0" r="0" b="0"/>
              <wp:docPr id="10" name="Text Box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7640" cy="720000"/>
                      </a:xfrm>
                      <a:prstGeom prst="rect">
                        <a:avLst/>
                      </a:prstGeom>
                      <a:noFill/>
                      <a:ln w="6350">
                        <a:noFill/>
                      </a:ln>
                    </wps:spPr>
                    <wps:txbx>
                      <w:txbxContent>
                        <w:p w14:paraId="3F80909F" w14:textId="77777777" w:rsidR="00293924" w:rsidRDefault="00293924" w:rsidP="00BA24FB">
                          <w:pPr>
                            <w:pStyle w:val="Footer"/>
                            <w:jc w:val="right"/>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p w14:paraId="4238F030" w14:textId="77777777" w:rsidR="00293924" w:rsidRPr="00077FE0" w:rsidRDefault="00293924" w:rsidP="00827492">
                          <w:pPr>
                            <w:pStyle w:val="SecurityMarker"/>
                          </w:pPr>
                        </w:p>
                      </w:txbxContent>
                    </wps:txbx>
                    <wps:bodyPr rot="0" spcFirstLastPara="0" vertOverflow="overflow" horzOverflow="overflow" vert="horz" wrap="square" lIns="0" tIns="0" rIns="648000" bIns="252000" numCol="1" spcCol="0" rtlCol="0" fromWordArt="0" anchor="b" anchorCtr="0" forceAA="0" compatLnSpc="1">
                      <a:prstTxWarp prst="textNoShape">
                        <a:avLst/>
                      </a:prstTxWarp>
                      <a:noAutofit/>
                    </wps:bodyPr>
                  </wps:wsp>
                </a:graphicData>
              </a:graphic>
            </wp:inline>
          </w:drawing>
        </mc:Choice>
        <mc:Fallback>
          <w:pict>
            <v:shape w14:anchorId="4B836E68" id="Text Box 10" o:spid="_x0000_s1030" type="#_x0000_t202" alt="&quot;&quot;" style="width:79.35pt;height:56.7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" filled="f" stroked="f" strokeweight=".5pt">
              <v:textbox inset="0,0,18mm,7mm">
                <w:txbxContent>
                  <w:p w14:paraId="3F80909F" w14:textId="77777777" w:rsidR="00293924" w:rsidRDefault="00293924" w:rsidP="00BA24FB">
                    <w:pPr>
                      <w:pStyle w:val="Footer"/>
                      <w:jc w:val="right"/>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p w14:paraId="4238F030" w14:textId="77777777" w:rsidR="00293924" w:rsidRPr="00077FE0" w:rsidRDefault="00293924" w:rsidP="00827492">
                    <w:pPr>
                      <w:pStyle w:val="SecurityMarker"/>
                    </w:pP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13A34" w14:textId="77777777" w:rsidR="00664DC6" w:rsidRPr="005912BE" w:rsidRDefault="00664DC6" w:rsidP="005912BE">
      <w:pPr>
        <w:spacing w:before="300"/>
        <w:rPr>
          <w:color w:val="008089" w:themeColor="accent2"/>
        </w:rPr>
      </w:pPr>
      <w:r w:rsidRPr="004063DE">
        <w:rPr>
          <w:color w:val="004044" w:themeColor="accent2" w:themeShade="80"/>
        </w:rPr>
        <w:t>----------</w:t>
      </w:r>
    </w:p>
  </w:footnote>
  <w:footnote w:type="continuationSeparator" w:id="0">
    <w:p w14:paraId="05DD2982" w14:textId="77777777" w:rsidR="00664DC6" w:rsidRDefault="00664DC6" w:rsidP="008456D5">
      <w:pPr>
        <w:spacing w:before="0" w:after="0"/>
      </w:pPr>
      <w:r>
        <w:continuationSeparator/>
      </w:r>
    </w:p>
  </w:footnote>
  <w:footnote w:type="continuationNotice" w:id="1">
    <w:p w14:paraId="37A4BA66" w14:textId="77777777" w:rsidR="00664DC6" w:rsidRDefault="00664DC6">
      <w:pPr>
        <w:spacing w:before="0" w:after="0"/>
      </w:pPr>
    </w:p>
  </w:footnote>
  <w:footnote w:id="2">
    <w:p w14:paraId="2C571FAF" w14:textId="51725CEB" w:rsidR="00293924" w:rsidRPr="00E2764A" w:rsidRDefault="00293924" w:rsidP="00BC02BE">
      <w:pPr>
        <w:pStyle w:val="FootnoteText"/>
        <w:ind w:left="0" w:firstLine="0"/>
        <w:rPr>
          <w:sz w:val="16"/>
          <w:szCs w:val="16"/>
        </w:rPr>
      </w:pPr>
      <w:r w:rsidRPr="00E2764A">
        <w:rPr>
          <w:rStyle w:val="FootnoteReference"/>
          <w:sz w:val="16"/>
          <w:szCs w:val="16"/>
        </w:rPr>
        <w:footnoteRef/>
      </w:r>
      <w:r w:rsidRPr="00E2764A">
        <w:rPr>
          <w:sz w:val="16"/>
          <w:szCs w:val="16"/>
        </w:rPr>
        <w:t xml:space="preserve"> UK Department of Digital, Culture, Media &amp; Sport (DCMS) (2023), </w:t>
      </w:r>
      <w:hyperlink r:id="rId1" w:history="1">
        <w:r w:rsidRPr="00E2764A">
          <w:rPr>
            <w:rStyle w:val="Hyperlink"/>
            <w:sz w:val="16"/>
            <w:szCs w:val="16"/>
          </w:rPr>
          <w:t>Impact Assessment - Regulation of radio services across voice assistant platforms [PDF 1,627KB] (assets.publishing.service.gov.uk)</w:t>
        </w:r>
      </w:hyperlink>
      <w:r w:rsidRPr="00E2764A">
        <w:rPr>
          <w:sz w:val="16"/>
          <w:szCs w:val="16"/>
        </w:rPr>
        <w:t>, UK DCMS, p 7-8.</w:t>
      </w:r>
    </w:p>
  </w:footnote>
  <w:footnote w:id="3">
    <w:p w14:paraId="25673A64" w14:textId="77777777" w:rsidR="00293924" w:rsidRDefault="00293924" w:rsidP="00BC02BE">
      <w:pPr>
        <w:pStyle w:val="FootnoteText"/>
        <w:ind w:left="0" w:firstLine="0"/>
      </w:pPr>
      <w:r w:rsidRPr="00E2764A">
        <w:rPr>
          <w:rStyle w:val="FootnoteReference"/>
          <w:sz w:val="16"/>
          <w:szCs w:val="16"/>
        </w:rPr>
        <w:footnoteRef/>
      </w:r>
      <w:r w:rsidRPr="00E2764A">
        <w:rPr>
          <w:sz w:val="16"/>
          <w:szCs w:val="16"/>
        </w:rPr>
        <w:t xml:space="preserve"> Commercial Radio and Audio (CRA) (2018), Voice Request Audit. Unpublished.</w:t>
      </w:r>
    </w:p>
  </w:footnote>
  <w:footnote w:id="4">
    <w:p w14:paraId="0437E28D" w14:textId="3BD40D0F" w:rsidR="00293924" w:rsidRPr="00E2764A" w:rsidRDefault="00293924" w:rsidP="00BC02BE">
      <w:pPr>
        <w:pStyle w:val="FootnoteText"/>
        <w:ind w:left="0" w:firstLine="0"/>
        <w:rPr>
          <w:sz w:val="16"/>
          <w:szCs w:val="16"/>
          <w:lang w:val="en-US"/>
        </w:rPr>
      </w:pPr>
      <w:r w:rsidRPr="00E2764A">
        <w:rPr>
          <w:rStyle w:val="FootnoteReference"/>
          <w:sz w:val="16"/>
          <w:szCs w:val="16"/>
        </w:rPr>
        <w:footnoteRef/>
      </w:r>
      <w:r w:rsidRPr="00E2764A">
        <w:rPr>
          <w:sz w:val="16"/>
          <w:szCs w:val="16"/>
        </w:rPr>
        <w:t xml:space="preserve"> Parliament of the Commonwealth of Australia, Senate Standing Committee on Environment and Communications (2024) </w:t>
      </w:r>
      <w:hyperlink r:id="rId2" w:history="1">
        <w:r w:rsidRPr="00E2764A">
          <w:rPr>
            <w:rStyle w:val="Hyperlink"/>
            <w:sz w:val="16"/>
            <w:szCs w:val="16"/>
          </w:rPr>
          <w:t>Communications Legislation Amendment (Prominence and Anti-siphoning) Bill 2023 [Provisions] – Report April 2024, Parliament of Australia (aph.gov.au)</w:t>
        </w:r>
      </w:hyperlink>
      <w:r w:rsidRPr="00E2764A">
        <w:rPr>
          <w:sz w:val="16"/>
          <w:szCs w:val="16"/>
        </w:rPr>
        <w:t>. See Recommendation 2 and discussion at 2.145.</w:t>
      </w:r>
    </w:p>
  </w:footnote>
  <w:footnote w:id="5">
    <w:p w14:paraId="6AB83E76" w14:textId="10464D74" w:rsidR="00293924" w:rsidRDefault="00293924" w:rsidP="00700AFE">
      <w:pPr>
        <w:pStyle w:val="FootnoteText"/>
        <w:ind w:left="0" w:firstLine="0"/>
      </w:pPr>
      <w:r w:rsidRPr="00E2764A">
        <w:rPr>
          <w:rStyle w:val="FootnoteReference"/>
          <w:sz w:val="16"/>
          <w:szCs w:val="16"/>
        </w:rPr>
        <w:footnoteRef/>
      </w:r>
      <w:r w:rsidRPr="00E2764A">
        <w:rPr>
          <w:sz w:val="16"/>
          <w:szCs w:val="16"/>
        </w:rPr>
        <w:t xml:space="preserve"> </w:t>
      </w:r>
      <w:r w:rsidRPr="00E2764A">
        <w:rPr>
          <w:rStyle w:val="Hyperlink"/>
          <w:color w:val="auto"/>
          <w:sz w:val="16"/>
          <w:szCs w:val="16"/>
          <w:u w:val="none"/>
        </w:rPr>
        <w:t>Department of Infrastructure, Transport, Regional Development, Communications and the Arts</w:t>
      </w:r>
      <w:r w:rsidRPr="00E2764A">
        <w:rPr>
          <w:sz w:val="16"/>
          <w:szCs w:val="16"/>
        </w:rPr>
        <w:t xml:space="preserve"> (</w:t>
      </w:r>
      <w:r w:rsidRPr="00E2764A">
        <w:rPr>
          <w:rStyle w:val="Hyperlink"/>
          <w:color w:val="auto"/>
          <w:sz w:val="16"/>
          <w:szCs w:val="16"/>
          <w:u w:val="none"/>
        </w:rPr>
        <w:t xml:space="preserve">DITRDCA) (2024), </w:t>
      </w:r>
      <w:hyperlink r:id="rId3" w:history="1">
        <w:r w:rsidRPr="00E2764A">
          <w:rPr>
            <w:rStyle w:val="Hyperlink"/>
            <w:sz w:val="16"/>
            <w:szCs w:val="16"/>
          </w:rPr>
          <w:t>Have your say - Prominence Framework for Radio on Smart Speakers</w:t>
        </w:r>
      </w:hyperlink>
      <w:r w:rsidRPr="00E2764A">
        <w:rPr>
          <w:rStyle w:val="Hyperlink"/>
          <w:color w:val="auto"/>
          <w:sz w:val="16"/>
          <w:szCs w:val="16"/>
          <w:u w:val="none"/>
        </w:rPr>
        <w:t>, DITRDCA.</w:t>
      </w:r>
    </w:p>
  </w:footnote>
  <w:footnote w:id="6">
    <w:p w14:paraId="4BE45E27" w14:textId="0D3EA56A" w:rsidR="00293924" w:rsidRPr="00D022DB" w:rsidRDefault="00293924" w:rsidP="003C1BDB">
      <w:pPr>
        <w:pStyle w:val="FootnoteText"/>
        <w:ind w:left="0" w:firstLine="0"/>
        <w:rPr>
          <w:color w:val="0046FF" w:themeColor="hyperlink"/>
          <w:sz w:val="16"/>
          <w:szCs w:val="16"/>
          <w:u w:val="single"/>
        </w:rPr>
      </w:pPr>
      <w:r w:rsidRPr="00D022DB">
        <w:rPr>
          <w:rStyle w:val="FootnoteReference"/>
          <w:sz w:val="16"/>
          <w:szCs w:val="16"/>
        </w:rPr>
        <w:footnoteRef/>
      </w:r>
      <w:r w:rsidRPr="00D022DB">
        <w:rPr>
          <w:sz w:val="16"/>
          <w:szCs w:val="16"/>
        </w:rPr>
        <w:t xml:space="preserve"> </w:t>
      </w:r>
      <w:proofErr w:type="spellStart"/>
      <w:r w:rsidRPr="00D022DB">
        <w:rPr>
          <w:sz w:val="16"/>
          <w:szCs w:val="16"/>
        </w:rPr>
        <w:t>Telsyte</w:t>
      </w:r>
      <w:proofErr w:type="spellEnd"/>
      <w:r w:rsidRPr="00D022DB">
        <w:rPr>
          <w:sz w:val="16"/>
          <w:szCs w:val="16"/>
        </w:rPr>
        <w:t xml:space="preserve"> Australian </w:t>
      </w:r>
      <w:proofErr w:type="spellStart"/>
      <w:r w:rsidRPr="00D022DB">
        <w:rPr>
          <w:sz w:val="16"/>
          <w:szCs w:val="16"/>
        </w:rPr>
        <w:t>IoT@Home</w:t>
      </w:r>
      <w:proofErr w:type="spellEnd"/>
      <w:r w:rsidRPr="00D022DB">
        <w:rPr>
          <w:sz w:val="16"/>
          <w:szCs w:val="16"/>
        </w:rPr>
        <w:t xml:space="preserve"> Market Study 2022, as referenced in Australian Competition &amp; Consumer Commission (ACCC) (September 2023) ‘</w:t>
      </w:r>
      <w:hyperlink r:id="rId4" w:history="1">
        <w:r w:rsidR="009E3793">
          <w:rPr>
            <w:rStyle w:val="Hyperlink"/>
            <w:sz w:val="16"/>
            <w:szCs w:val="16"/>
          </w:rPr>
          <w:t>Digital Platform Services Inquiry – September 2023 interim report</w:t>
        </w:r>
      </w:hyperlink>
      <w:r w:rsidRPr="00D022DB">
        <w:rPr>
          <w:rStyle w:val="Hyperlink"/>
          <w:sz w:val="16"/>
          <w:szCs w:val="16"/>
        </w:rPr>
        <w:t>’</w:t>
      </w:r>
      <w:r w:rsidRPr="00D022DB">
        <w:rPr>
          <w:rStyle w:val="Hyperlink"/>
          <w:color w:val="auto"/>
          <w:sz w:val="16"/>
          <w:szCs w:val="16"/>
          <w:u w:val="none"/>
        </w:rPr>
        <w:t>,</w:t>
      </w:r>
      <w:r w:rsidRPr="00D022DB">
        <w:rPr>
          <w:rStyle w:val="Hyperlink"/>
          <w:sz w:val="16"/>
          <w:szCs w:val="16"/>
          <w:u w:val="none"/>
        </w:rPr>
        <w:t xml:space="preserve"> </w:t>
      </w:r>
      <w:r w:rsidRPr="00D022DB">
        <w:rPr>
          <w:rStyle w:val="Hyperlink"/>
          <w:color w:val="auto"/>
          <w:sz w:val="16"/>
          <w:szCs w:val="16"/>
          <w:u w:val="none"/>
          <w:lang w:val="en-US"/>
        </w:rPr>
        <w:t>ACCC</w:t>
      </w:r>
      <w:r w:rsidRPr="00D022DB">
        <w:rPr>
          <w:rStyle w:val="Hyperlink"/>
          <w:color w:val="auto"/>
          <w:sz w:val="16"/>
          <w:szCs w:val="16"/>
          <w:u w:val="none"/>
        </w:rPr>
        <w:t>,</w:t>
      </w:r>
      <w:r w:rsidRPr="00D022DB">
        <w:rPr>
          <w:sz w:val="16"/>
          <w:szCs w:val="16"/>
        </w:rPr>
        <w:t xml:space="preserve"> p 73.</w:t>
      </w:r>
    </w:p>
  </w:footnote>
  <w:footnote w:id="7">
    <w:p w14:paraId="4B3F1EA1" w14:textId="4CC3652C" w:rsidR="00293924" w:rsidRPr="00D022DB" w:rsidRDefault="00293924" w:rsidP="00864495">
      <w:pPr>
        <w:pStyle w:val="FootnoteText"/>
        <w:ind w:left="0" w:firstLine="0"/>
        <w:rPr>
          <w:sz w:val="16"/>
          <w:szCs w:val="16"/>
          <w:lang w:val="en-US"/>
        </w:rPr>
      </w:pPr>
      <w:r w:rsidRPr="00D022DB">
        <w:rPr>
          <w:rStyle w:val="FootnoteReference"/>
          <w:sz w:val="16"/>
          <w:szCs w:val="16"/>
        </w:rPr>
        <w:footnoteRef/>
      </w:r>
      <w:r w:rsidRPr="00D022DB">
        <w:rPr>
          <w:sz w:val="16"/>
          <w:szCs w:val="16"/>
        </w:rPr>
        <w:t xml:space="preserve"> </w:t>
      </w:r>
      <w:r w:rsidRPr="005F4AB7">
        <w:rPr>
          <w:sz w:val="16"/>
          <w:szCs w:val="16"/>
        </w:rPr>
        <w:t>Social Research Centre (202</w:t>
      </w:r>
      <w:r w:rsidR="002B36C7" w:rsidRPr="005D4A1B">
        <w:rPr>
          <w:sz w:val="16"/>
          <w:szCs w:val="16"/>
        </w:rPr>
        <w:t>4</w:t>
      </w:r>
      <w:r w:rsidRPr="005F4AB7">
        <w:rPr>
          <w:sz w:val="16"/>
          <w:szCs w:val="16"/>
        </w:rPr>
        <w:t>), ‘</w:t>
      </w:r>
      <w:hyperlink r:id="rId5" w:history="1">
        <w:r w:rsidR="002B36C7" w:rsidRPr="005D4A1B">
          <w:rPr>
            <w:rStyle w:val="Hyperlink"/>
            <w:sz w:val="16"/>
            <w:szCs w:val="16"/>
          </w:rPr>
          <w:t>The Television &amp; Media Survey 2024 – Summary Report’,</w:t>
        </w:r>
      </w:hyperlink>
      <w:r w:rsidRPr="005D4A1B" w:rsidDel="00377B1E">
        <w:t xml:space="preserve"> </w:t>
      </w:r>
      <w:r w:rsidRPr="005F4AB7">
        <w:rPr>
          <w:sz w:val="16"/>
          <w:szCs w:val="16"/>
        </w:rPr>
        <w:t>DITRDC</w:t>
      </w:r>
      <w:r w:rsidR="0075033A">
        <w:rPr>
          <w:sz w:val="16"/>
          <w:szCs w:val="16"/>
        </w:rPr>
        <w:t>S</w:t>
      </w:r>
      <w:r w:rsidRPr="005F4AB7">
        <w:rPr>
          <w:sz w:val="16"/>
          <w:szCs w:val="16"/>
        </w:rPr>
        <w:t xml:space="preserve">A, p </w:t>
      </w:r>
      <w:r w:rsidR="005F4AB7" w:rsidRPr="005D4A1B">
        <w:rPr>
          <w:sz w:val="16"/>
          <w:szCs w:val="16"/>
        </w:rPr>
        <w:t>85</w:t>
      </w:r>
      <w:r w:rsidRPr="005F4AB7">
        <w:rPr>
          <w:sz w:val="16"/>
          <w:szCs w:val="16"/>
        </w:rPr>
        <w:t>.</w:t>
      </w:r>
    </w:p>
  </w:footnote>
  <w:footnote w:id="8">
    <w:p w14:paraId="4F86E4AC" w14:textId="76AADA99" w:rsidR="00293924" w:rsidRDefault="00293924" w:rsidP="00864495">
      <w:pPr>
        <w:pStyle w:val="FootnoteText"/>
        <w:ind w:left="0" w:firstLine="0"/>
        <w:rPr>
          <w:lang w:val="en-US"/>
        </w:rPr>
      </w:pPr>
      <w:r w:rsidRPr="00D022DB">
        <w:rPr>
          <w:rStyle w:val="FootnoteReference"/>
          <w:sz w:val="16"/>
          <w:szCs w:val="16"/>
        </w:rPr>
        <w:footnoteRef/>
      </w:r>
      <w:r w:rsidRPr="00D022DB">
        <w:rPr>
          <w:sz w:val="16"/>
          <w:szCs w:val="16"/>
        </w:rPr>
        <w:t xml:space="preserve"> Park S, McGuinness K, Fisher C, Lee JY, McCallum K, Cai X, </w:t>
      </w:r>
      <w:proofErr w:type="spellStart"/>
      <w:r w:rsidRPr="00D022DB">
        <w:rPr>
          <w:sz w:val="16"/>
          <w:szCs w:val="16"/>
        </w:rPr>
        <w:t>Chatskin</w:t>
      </w:r>
      <w:proofErr w:type="spellEnd"/>
      <w:r w:rsidRPr="00D022DB">
        <w:rPr>
          <w:sz w:val="16"/>
          <w:szCs w:val="16"/>
        </w:rPr>
        <w:t xml:space="preserve"> M, </w:t>
      </w:r>
      <w:proofErr w:type="spellStart"/>
      <w:r w:rsidRPr="00D022DB">
        <w:rPr>
          <w:sz w:val="16"/>
          <w:szCs w:val="16"/>
        </w:rPr>
        <w:t>Mardjianto</w:t>
      </w:r>
      <w:proofErr w:type="spellEnd"/>
      <w:r w:rsidRPr="00D022DB">
        <w:rPr>
          <w:sz w:val="16"/>
          <w:szCs w:val="16"/>
        </w:rPr>
        <w:t xml:space="preserve"> FXLD, &amp; Yao (Pinker) S (2023), </w:t>
      </w:r>
      <w:hyperlink r:id="rId6" w:history="1">
        <w:r w:rsidRPr="00D022DB">
          <w:rPr>
            <w:rStyle w:val="Hyperlink"/>
            <w:sz w:val="16"/>
            <w:szCs w:val="16"/>
          </w:rPr>
          <w:t>‘Digital News Report: Australia 2023</w:t>
        </w:r>
        <w:r w:rsidRPr="00D022DB">
          <w:rPr>
            <w:rStyle w:val="Hyperlink"/>
            <w:i/>
            <w:sz w:val="16"/>
            <w:szCs w:val="16"/>
          </w:rPr>
          <w:t>’</w:t>
        </w:r>
      </w:hyperlink>
      <w:r w:rsidRPr="00D022DB">
        <w:rPr>
          <w:rStyle w:val="Hyperlink"/>
          <w:color w:val="auto"/>
          <w:sz w:val="16"/>
          <w:szCs w:val="16"/>
        </w:rPr>
        <w:t>,</w:t>
      </w:r>
      <w:r w:rsidRPr="00D022DB">
        <w:rPr>
          <w:sz w:val="16"/>
          <w:szCs w:val="16"/>
        </w:rPr>
        <w:t xml:space="preserve"> News &amp; Media Research Centre, University of Canberra, p 76</w:t>
      </w:r>
      <w:r>
        <w:rPr>
          <w:sz w:val="16"/>
          <w:szCs w:val="16"/>
        </w:rPr>
        <w:t>.</w:t>
      </w:r>
    </w:p>
  </w:footnote>
  <w:footnote w:id="9">
    <w:p w14:paraId="79ACD75E" w14:textId="0EC7DFE7" w:rsidR="00293924" w:rsidRPr="00D022DB" w:rsidRDefault="00293924" w:rsidP="00E4133D">
      <w:pPr>
        <w:pStyle w:val="FootnoteText"/>
        <w:ind w:left="0" w:firstLine="0"/>
        <w:rPr>
          <w:sz w:val="16"/>
          <w:szCs w:val="16"/>
          <w:lang w:val="en-US"/>
        </w:rPr>
      </w:pPr>
      <w:r w:rsidRPr="00D022DB">
        <w:rPr>
          <w:rStyle w:val="FootnoteReference"/>
          <w:sz w:val="16"/>
          <w:szCs w:val="16"/>
        </w:rPr>
        <w:footnoteRef/>
      </w:r>
      <w:r w:rsidRPr="00D022DB">
        <w:rPr>
          <w:sz w:val="16"/>
          <w:szCs w:val="16"/>
        </w:rPr>
        <w:t xml:space="preserve"> ACMA (2023), ‘</w:t>
      </w:r>
      <w:hyperlink r:id="rId7" w:history="1">
        <w:r w:rsidRPr="00D022DB">
          <w:rPr>
            <w:rStyle w:val="Hyperlink"/>
            <w:sz w:val="16"/>
            <w:szCs w:val="16"/>
          </w:rPr>
          <w:t>Communications and media in Australia: How we watch and listen to content</w:t>
        </w:r>
      </w:hyperlink>
      <w:r w:rsidRPr="00D022DB">
        <w:rPr>
          <w:rStyle w:val="Hyperlink"/>
          <w:sz w:val="16"/>
          <w:szCs w:val="16"/>
        </w:rPr>
        <w:t xml:space="preserve"> November 2023’,</w:t>
      </w:r>
      <w:r w:rsidRPr="00D022DB">
        <w:rPr>
          <w:rStyle w:val="Hyperlink"/>
          <w:i/>
          <w:color w:val="auto"/>
          <w:sz w:val="16"/>
          <w:szCs w:val="16"/>
          <w:u w:val="none"/>
        </w:rPr>
        <w:t xml:space="preserve"> </w:t>
      </w:r>
      <w:r w:rsidRPr="00D022DB">
        <w:rPr>
          <w:rStyle w:val="Hyperlink"/>
          <w:color w:val="auto"/>
          <w:sz w:val="16"/>
          <w:szCs w:val="16"/>
          <w:u w:val="none"/>
        </w:rPr>
        <w:t>ACMA</w:t>
      </w:r>
      <w:r w:rsidRPr="00D022DB">
        <w:rPr>
          <w:rStyle w:val="Hyperlink"/>
          <w:sz w:val="16"/>
          <w:szCs w:val="16"/>
          <w:u w:val="none"/>
        </w:rPr>
        <w:t xml:space="preserve">, </w:t>
      </w:r>
      <w:r w:rsidRPr="00D022DB">
        <w:rPr>
          <w:rStyle w:val="Hyperlink"/>
          <w:color w:val="auto"/>
          <w:sz w:val="16"/>
          <w:szCs w:val="16"/>
          <w:u w:val="none"/>
        </w:rPr>
        <w:t>Chapter 8.</w:t>
      </w:r>
    </w:p>
  </w:footnote>
  <w:footnote w:id="10">
    <w:p w14:paraId="76CF20CA" w14:textId="50D6B15A" w:rsidR="00293924" w:rsidRPr="00D022DB" w:rsidRDefault="00293924" w:rsidP="00E4133D">
      <w:pPr>
        <w:pStyle w:val="FootnoteText"/>
        <w:ind w:left="0" w:firstLine="0"/>
        <w:rPr>
          <w:sz w:val="16"/>
          <w:szCs w:val="16"/>
        </w:rPr>
      </w:pPr>
      <w:r w:rsidRPr="00D022DB">
        <w:rPr>
          <w:rStyle w:val="FootnoteReference"/>
          <w:sz w:val="16"/>
          <w:szCs w:val="16"/>
        </w:rPr>
        <w:footnoteRef/>
      </w:r>
      <w:r w:rsidRPr="00D022DB">
        <w:rPr>
          <w:sz w:val="16"/>
          <w:szCs w:val="16"/>
        </w:rPr>
        <w:t xml:space="preserve"> CRA (2021), ‘</w:t>
      </w:r>
      <w:hyperlink r:id="rId8" w:history="1">
        <w:r w:rsidRPr="00D022DB">
          <w:rPr>
            <w:rStyle w:val="Hyperlink"/>
            <w:sz w:val="16"/>
            <w:szCs w:val="16"/>
          </w:rPr>
          <w:t>The Smart Audio Report Australia 2021’</w:t>
        </w:r>
      </w:hyperlink>
      <w:r w:rsidRPr="00D022DB">
        <w:rPr>
          <w:rStyle w:val="Hyperlink"/>
          <w:color w:val="auto"/>
          <w:sz w:val="16"/>
          <w:szCs w:val="16"/>
          <w:u w:val="none"/>
        </w:rPr>
        <w:t>, Commercial Radio &amp; Audio, p 4, accessed 11 November 2024;</w:t>
      </w:r>
      <w:r w:rsidRPr="00D022DB">
        <w:rPr>
          <w:sz w:val="16"/>
          <w:szCs w:val="16"/>
        </w:rPr>
        <w:t xml:space="preserve"> </w:t>
      </w:r>
      <w:proofErr w:type="spellStart"/>
      <w:r w:rsidRPr="00D022DB">
        <w:rPr>
          <w:sz w:val="16"/>
          <w:szCs w:val="16"/>
        </w:rPr>
        <w:t>Telsyte</w:t>
      </w:r>
      <w:proofErr w:type="spellEnd"/>
      <w:r w:rsidRPr="00D022DB">
        <w:rPr>
          <w:sz w:val="16"/>
          <w:szCs w:val="16"/>
        </w:rPr>
        <w:t xml:space="preserve"> Australian </w:t>
      </w:r>
      <w:proofErr w:type="spellStart"/>
      <w:r w:rsidRPr="00D022DB">
        <w:rPr>
          <w:sz w:val="16"/>
          <w:szCs w:val="16"/>
        </w:rPr>
        <w:t>IoT@Home</w:t>
      </w:r>
      <w:proofErr w:type="spellEnd"/>
      <w:r w:rsidRPr="00D022DB">
        <w:rPr>
          <w:sz w:val="16"/>
          <w:szCs w:val="16"/>
        </w:rPr>
        <w:t xml:space="preserve"> Market Study 2022, as referenced in ACCC (September 2023) ‘</w:t>
      </w:r>
      <w:hyperlink r:id="rId9" w:history="1">
        <w:r w:rsidRPr="00D022DB">
          <w:rPr>
            <w:rStyle w:val="Hyperlink"/>
            <w:sz w:val="16"/>
            <w:szCs w:val="16"/>
          </w:rPr>
          <w:t>Digital Platform Services Inquiry - September</w:t>
        </w:r>
      </w:hyperlink>
      <w:r w:rsidRPr="00D022DB">
        <w:rPr>
          <w:rStyle w:val="Hyperlink"/>
          <w:sz w:val="16"/>
          <w:szCs w:val="16"/>
        </w:rPr>
        <w:t xml:space="preserve"> 2023 interim report’,</w:t>
      </w:r>
      <w:r w:rsidRPr="00D022DB">
        <w:rPr>
          <w:rStyle w:val="Hyperlink"/>
          <w:i/>
          <w:color w:val="auto"/>
          <w:sz w:val="16"/>
          <w:szCs w:val="16"/>
          <w:u w:val="none"/>
        </w:rPr>
        <w:t xml:space="preserve"> </w:t>
      </w:r>
      <w:r w:rsidRPr="00D022DB">
        <w:rPr>
          <w:rStyle w:val="Hyperlink"/>
          <w:color w:val="auto"/>
          <w:sz w:val="16"/>
          <w:szCs w:val="16"/>
          <w:u w:val="none"/>
        </w:rPr>
        <w:t>ACCC</w:t>
      </w:r>
      <w:r w:rsidRPr="00D022DB">
        <w:rPr>
          <w:i/>
          <w:sz w:val="16"/>
          <w:szCs w:val="16"/>
        </w:rPr>
        <w:t xml:space="preserve">, </w:t>
      </w:r>
      <w:r w:rsidRPr="00D022DB">
        <w:rPr>
          <w:sz w:val="16"/>
          <w:szCs w:val="16"/>
        </w:rPr>
        <w:t>p 73.</w:t>
      </w:r>
    </w:p>
  </w:footnote>
  <w:footnote w:id="11">
    <w:p w14:paraId="29E16483" w14:textId="1726AA88" w:rsidR="00293924" w:rsidRPr="00D022DB" w:rsidRDefault="00293924" w:rsidP="00C74171">
      <w:pPr>
        <w:pStyle w:val="FootnoteText"/>
        <w:ind w:left="0" w:firstLine="0"/>
        <w:rPr>
          <w:sz w:val="16"/>
          <w:szCs w:val="16"/>
          <w:lang w:val="en-US"/>
        </w:rPr>
      </w:pPr>
      <w:r w:rsidRPr="00D022DB">
        <w:rPr>
          <w:rStyle w:val="FootnoteReference"/>
          <w:sz w:val="16"/>
          <w:szCs w:val="16"/>
        </w:rPr>
        <w:footnoteRef/>
      </w:r>
      <w:r w:rsidRPr="00D022DB">
        <w:rPr>
          <w:sz w:val="16"/>
          <w:szCs w:val="16"/>
        </w:rPr>
        <w:t xml:space="preserve"> ACMA (2023), ‘</w:t>
      </w:r>
      <w:hyperlink r:id="rId10" w:history="1">
        <w:r w:rsidRPr="00D022DB">
          <w:rPr>
            <w:rStyle w:val="Hyperlink"/>
            <w:sz w:val="16"/>
            <w:szCs w:val="16"/>
          </w:rPr>
          <w:t>Communications and media in Australia: How we watch and listen to content</w:t>
        </w:r>
      </w:hyperlink>
      <w:r w:rsidRPr="00D022DB">
        <w:rPr>
          <w:rStyle w:val="Hyperlink"/>
          <w:sz w:val="16"/>
          <w:szCs w:val="16"/>
        </w:rPr>
        <w:t xml:space="preserve"> November 2023’,</w:t>
      </w:r>
      <w:r w:rsidRPr="00D022DB">
        <w:rPr>
          <w:rStyle w:val="Hyperlink"/>
          <w:i/>
          <w:color w:val="auto"/>
          <w:sz w:val="16"/>
          <w:szCs w:val="16"/>
          <w:u w:val="none"/>
        </w:rPr>
        <w:t xml:space="preserve"> </w:t>
      </w:r>
      <w:r w:rsidRPr="00D022DB">
        <w:rPr>
          <w:rStyle w:val="Hyperlink"/>
          <w:color w:val="auto"/>
          <w:sz w:val="16"/>
          <w:szCs w:val="16"/>
          <w:u w:val="none"/>
        </w:rPr>
        <w:t>ACMA</w:t>
      </w:r>
      <w:r w:rsidRPr="00D022DB">
        <w:rPr>
          <w:rStyle w:val="Hyperlink"/>
          <w:sz w:val="16"/>
          <w:szCs w:val="16"/>
        </w:rPr>
        <w:t>,</w:t>
      </w:r>
      <w:r w:rsidRPr="00D022DB">
        <w:rPr>
          <w:rStyle w:val="Hyperlink"/>
          <w:sz w:val="16"/>
          <w:szCs w:val="16"/>
          <w:u w:val="none"/>
        </w:rPr>
        <w:t xml:space="preserve"> </w:t>
      </w:r>
      <w:r w:rsidRPr="00D022DB">
        <w:rPr>
          <w:rStyle w:val="Hyperlink"/>
          <w:color w:val="auto"/>
          <w:sz w:val="16"/>
          <w:szCs w:val="16"/>
          <w:u w:val="none"/>
        </w:rPr>
        <w:t>Chapter 8.</w:t>
      </w:r>
    </w:p>
  </w:footnote>
  <w:footnote w:id="12">
    <w:p w14:paraId="46235E45" w14:textId="2322CE62" w:rsidR="00293924" w:rsidRPr="00D3590F" w:rsidRDefault="00293924" w:rsidP="00D3590F">
      <w:pPr>
        <w:pStyle w:val="FootnoteText"/>
        <w:ind w:left="0" w:firstLine="0"/>
        <w:rPr>
          <w:lang w:val="en-US"/>
        </w:rPr>
      </w:pPr>
      <w:r w:rsidRPr="00D022DB">
        <w:rPr>
          <w:rStyle w:val="FootnoteReference"/>
          <w:sz w:val="16"/>
          <w:szCs w:val="16"/>
        </w:rPr>
        <w:footnoteRef/>
      </w:r>
      <w:r w:rsidRPr="00D022DB">
        <w:rPr>
          <w:sz w:val="16"/>
          <w:szCs w:val="16"/>
        </w:rPr>
        <w:t xml:space="preserve"> </w:t>
      </w:r>
      <w:r w:rsidRPr="00EC6F1E">
        <w:rPr>
          <w:sz w:val="16"/>
          <w:szCs w:val="16"/>
        </w:rPr>
        <w:t>Social Research Centre (202</w:t>
      </w:r>
      <w:r w:rsidR="00EC6F1E" w:rsidRPr="005D4A1B">
        <w:rPr>
          <w:sz w:val="16"/>
          <w:szCs w:val="16"/>
        </w:rPr>
        <w:t>4</w:t>
      </w:r>
      <w:r w:rsidRPr="00EC6F1E">
        <w:rPr>
          <w:sz w:val="16"/>
          <w:szCs w:val="16"/>
        </w:rPr>
        <w:t xml:space="preserve">), </w:t>
      </w:r>
      <w:hyperlink r:id="rId11" w:history="1">
        <w:r w:rsidR="00EC6F1E" w:rsidRPr="005D4A1B">
          <w:rPr>
            <w:rStyle w:val="Hyperlink"/>
            <w:sz w:val="16"/>
            <w:szCs w:val="16"/>
          </w:rPr>
          <w:t>‘The Television &amp; Media Survey 2024 – Summary Report’,</w:t>
        </w:r>
      </w:hyperlink>
      <w:r w:rsidR="00EC6F1E" w:rsidRPr="005D4A1B">
        <w:rPr>
          <w:sz w:val="16"/>
          <w:szCs w:val="16"/>
        </w:rPr>
        <w:t xml:space="preserve"> </w:t>
      </w:r>
      <w:r w:rsidRPr="00EC6F1E">
        <w:rPr>
          <w:sz w:val="16"/>
          <w:szCs w:val="16"/>
        </w:rPr>
        <w:t>DITRDC</w:t>
      </w:r>
      <w:r w:rsidR="0075033A">
        <w:rPr>
          <w:sz w:val="16"/>
          <w:szCs w:val="16"/>
        </w:rPr>
        <w:t>S</w:t>
      </w:r>
      <w:r w:rsidRPr="00EC6F1E">
        <w:rPr>
          <w:sz w:val="16"/>
          <w:szCs w:val="16"/>
        </w:rPr>
        <w:t>A, p</w:t>
      </w:r>
      <w:r w:rsidR="00EC6F1E">
        <w:rPr>
          <w:sz w:val="16"/>
          <w:szCs w:val="16"/>
        </w:rPr>
        <w:t xml:space="preserve"> </w:t>
      </w:r>
      <w:proofErr w:type="gramStart"/>
      <w:r w:rsidR="00EC6F1E">
        <w:rPr>
          <w:sz w:val="16"/>
          <w:szCs w:val="16"/>
        </w:rPr>
        <w:t>81</w:t>
      </w:r>
      <w:r w:rsidRPr="00EC6F1E">
        <w:rPr>
          <w:sz w:val="16"/>
          <w:szCs w:val="16"/>
        </w:rPr>
        <w:t>,.</w:t>
      </w:r>
      <w:proofErr w:type="gramEnd"/>
      <w:r w:rsidRPr="00EC6F1E">
        <w:rPr>
          <w:sz w:val="16"/>
          <w:szCs w:val="16"/>
        </w:rPr>
        <w:t xml:space="preserve"> Note: </w:t>
      </w:r>
      <w:r w:rsidRPr="00EC6F1E">
        <w:rPr>
          <w:rFonts w:eastAsia="Times New Roman"/>
          <w:sz w:val="16"/>
          <w:szCs w:val="16"/>
        </w:rPr>
        <w:t>NET of FM Radio, AM Radio, Digital Radio (DAB), and Radio via the internet or an app excluding podcasts</w:t>
      </w:r>
    </w:p>
  </w:footnote>
  <w:footnote w:id="13">
    <w:p w14:paraId="2E305111" w14:textId="6C36F0D5" w:rsidR="00293924" w:rsidRPr="00D022DB" w:rsidRDefault="00293924" w:rsidP="005D4A1B">
      <w:pPr>
        <w:pStyle w:val="FootnoteText"/>
        <w:ind w:left="0" w:firstLine="0"/>
        <w:rPr>
          <w:sz w:val="16"/>
          <w:szCs w:val="16"/>
          <w:lang w:val="en-US"/>
        </w:rPr>
      </w:pPr>
      <w:r w:rsidRPr="00D022DB">
        <w:rPr>
          <w:rStyle w:val="FootnoteReference"/>
          <w:sz w:val="16"/>
          <w:szCs w:val="16"/>
        </w:rPr>
        <w:footnoteRef/>
      </w:r>
      <w:r w:rsidRPr="00D022DB">
        <w:rPr>
          <w:sz w:val="16"/>
          <w:szCs w:val="16"/>
        </w:rPr>
        <w:t xml:space="preserve"> </w:t>
      </w:r>
      <w:r w:rsidR="005D4A1B" w:rsidRPr="00EC6F1E">
        <w:rPr>
          <w:sz w:val="16"/>
          <w:szCs w:val="16"/>
        </w:rPr>
        <w:t>Social Research Centre (202</w:t>
      </w:r>
      <w:r w:rsidR="005D4A1B" w:rsidRPr="005D4A1B">
        <w:rPr>
          <w:sz w:val="16"/>
          <w:szCs w:val="16"/>
        </w:rPr>
        <w:t>4</w:t>
      </w:r>
      <w:r w:rsidR="005D4A1B" w:rsidRPr="00EC6F1E">
        <w:rPr>
          <w:sz w:val="16"/>
          <w:szCs w:val="16"/>
        </w:rPr>
        <w:t xml:space="preserve">), </w:t>
      </w:r>
      <w:hyperlink r:id="rId12" w:history="1">
        <w:r w:rsidR="005D4A1B" w:rsidRPr="005D4A1B">
          <w:rPr>
            <w:rStyle w:val="Hyperlink"/>
            <w:sz w:val="16"/>
            <w:szCs w:val="16"/>
          </w:rPr>
          <w:t>‘The Television &amp; Media Survey 2024 – Summary Report’,</w:t>
        </w:r>
      </w:hyperlink>
      <w:r w:rsidR="005D4A1B" w:rsidRPr="005D4A1B">
        <w:rPr>
          <w:sz w:val="16"/>
          <w:szCs w:val="16"/>
        </w:rPr>
        <w:t xml:space="preserve"> </w:t>
      </w:r>
      <w:r w:rsidR="005D4A1B" w:rsidRPr="00EC6F1E">
        <w:rPr>
          <w:sz w:val="16"/>
          <w:szCs w:val="16"/>
        </w:rPr>
        <w:t>DITRDC</w:t>
      </w:r>
      <w:r w:rsidR="005D4A1B">
        <w:rPr>
          <w:sz w:val="16"/>
          <w:szCs w:val="16"/>
        </w:rPr>
        <w:t>S</w:t>
      </w:r>
      <w:r w:rsidR="005D4A1B" w:rsidRPr="00EC6F1E">
        <w:rPr>
          <w:sz w:val="16"/>
          <w:szCs w:val="16"/>
        </w:rPr>
        <w:t>A, p</w:t>
      </w:r>
      <w:r w:rsidR="005D4A1B">
        <w:rPr>
          <w:sz w:val="16"/>
          <w:szCs w:val="16"/>
        </w:rPr>
        <w:t xml:space="preserve"> </w:t>
      </w:r>
      <w:proofErr w:type="gramStart"/>
      <w:r w:rsidR="005D4A1B">
        <w:rPr>
          <w:sz w:val="16"/>
          <w:szCs w:val="16"/>
        </w:rPr>
        <w:t>81</w:t>
      </w:r>
      <w:r w:rsidR="005D4A1B" w:rsidRPr="00EC6F1E">
        <w:rPr>
          <w:sz w:val="16"/>
          <w:szCs w:val="16"/>
        </w:rPr>
        <w:t>,.</w:t>
      </w:r>
      <w:proofErr w:type="gramEnd"/>
      <w:r w:rsidR="005D4A1B" w:rsidRPr="00EC6F1E">
        <w:rPr>
          <w:sz w:val="16"/>
          <w:szCs w:val="16"/>
        </w:rPr>
        <w:t xml:space="preserve"> Note: </w:t>
      </w:r>
      <w:r w:rsidR="005D4A1B" w:rsidRPr="00EC6F1E">
        <w:rPr>
          <w:rFonts w:eastAsia="Times New Roman"/>
          <w:sz w:val="16"/>
          <w:szCs w:val="16"/>
        </w:rPr>
        <w:t>NET of FM Radio, AM Radio, Digital Radio (DAB), and Radio via the internet or an app excluding podcasts</w:t>
      </w:r>
    </w:p>
  </w:footnote>
  <w:footnote w:id="14">
    <w:p w14:paraId="50457FB4" w14:textId="41B9C0D7" w:rsidR="00293924" w:rsidRPr="00973508" w:rsidRDefault="00293924" w:rsidP="00FD0234">
      <w:pPr>
        <w:pStyle w:val="FootnoteText"/>
        <w:ind w:left="0" w:firstLine="0"/>
        <w:rPr>
          <w:sz w:val="16"/>
          <w:szCs w:val="16"/>
        </w:rPr>
      </w:pPr>
      <w:r w:rsidRPr="00973508">
        <w:rPr>
          <w:rStyle w:val="FootnoteReference"/>
          <w:sz w:val="16"/>
          <w:szCs w:val="16"/>
        </w:rPr>
        <w:footnoteRef/>
      </w:r>
      <w:r w:rsidRPr="00973508">
        <w:rPr>
          <w:sz w:val="16"/>
          <w:szCs w:val="16"/>
        </w:rPr>
        <w:t xml:space="preserve"> </w:t>
      </w:r>
      <w:bookmarkStart w:id="14" w:name="_Hlk165978368"/>
      <w:proofErr w:type="spellStart"/>
      <w:r w:rsidRPr="00973508">
        <w:rPr>
          <w:sz w:val="16"/>
          <w:szCs w:val="16"/>
        </w:rPr>
        <w:t>Telsyte</w:t>
      </w:r>
      <w:proofErr w:type="spellEnd"/>
      <w:r w:rsidRPr="00973508">
        <w:rPr>
          <w:sz w:val="16"/>
          <w:szCs w:val="16"/>
        </w:rPr>
        <w:t xml:space="preserve">, as referenced by Statista Consumer Insights (2023), </w:t>
      </w:r>
      <w:hyperlink r:id="rId13" w:history="1">
        <w:r w:rsidRPr="00973508">
          <w:rPr>
            <w:rStyle w:val="Hyperlink"/>
            <w:sz w:val="16"/>
            <w:szCs w:val="16"/>
          </w:rPr>
          <w:t>Industries &amp; Markets: Consumer electronics in Australia</w:t>
        </w:r>
      </w:hyperlink>
      <w:r w:rsidRPr="00973508">
        <w:rPr>
          <w:sz w:val="16"/>
          <w:szCs w:val="16"/>
        </w:rPr>
        <w:t>, Statista, p 8.</w:t>
      </w:r>
      <w:bookmarkEnd w:id="14"/>
    </w:p>
  </w:footnote>
  <w:footnote w:id="15">
    <w:p w14:paraId="3361A37C" w14:textId="59B2B9DB" w:rsidR="00293924" w:rsidRPr="00973508" w:rsidRDefault="00293924" w:rsidP="00B40F9F">
      <w:pPr>
        <w:pStyle w:val="FootnoteText"/>
        <w:ind w:left="0" w:firstLine="0"/>
        <w:rPr>
          <w:sz w:val="16"/>
          <w:szCs w:val="16"/>
        </w:rPr>
      </w:pPr>
      <w:r w:rsidRPr="00973508">
        <w:rPr>
          <w:rStyle w:val="FootnoteReference"/>
          <w:sz w:val="16"/>
          <w:szCs w:val="16"/>
        </w:rPr>
        <w:footnoteRef/>
      </w:r>
      <w:r w:rsidRPr="00973508">
        <w:rPr>
          <w:sz w:val="16"/>
          <w:szCs w:val="16"/>
        </w:rPr>
        <w:t xml:space="preserve"> </w:t>
      </w:r>
      <w:proofErr w:type="spellStart"/>
      <w:r w:rsidRPr="00973508">
        <w:rPr>
          <w:sz w:val="16"/>
          <w:szCs w:val="16"/>
        </w:rPr>
        <w:t>Telsyte</w:t>
      </w:r>
      <w:proofErr w:type="spellEnd"/>
      <w:r w:rsidRPr="00973508">
        <w:rPr>
          <w:sz w:val="16"/>
          <w:szCs w:val="16"/>
        </w:rPr>
        <w:t xml:space="preserve"> Australian </w:t>
      </w:r>
      <w:proofErr w:type="spellStart"/>
      <w:r w:rsidRPr="00973508">
        <w:rPr>
          <w:sz w:val="16"/>
          <w:szCs w:val="16"/>
        </w:rPr>
        <w:t>IoT@Home</w:t>
      </w:r>
      <w:proofErr w:type="spellEnd"/>
      <w:r w:rsidRPr="00973508">
        <w:rPr>
          <w:sz w:val="16"/>
          <w:szCs w:val="16"/>
        </w:rPr>
        <w:t xml:space="preserve"> Market Study 2022, as referenced in ACCC (2023) ‘</w:t>
      </w:r>
      <w:hyperlink r:id="rId14" w:history="1">
        <w:r w:rsidRPr="00973508">
          <w:rPr>
            <w:rStyle w:val="Hyperlink"/>
            <w:sz w:val="16"/>
            <w:szCs w:val="16"/>
          </w:rPr>
          <w:t>Digital Platform Services Inquiry</w:t>
        </w:r>
      </w:hyperlink>
      <w:r w:rsidRPr="00973508">
        <w:rPr>
          <w:rStyle w:val="Hyperlink"/>
          <w:sz w:val="16"/>
          <w:szCs w:val="16"/>
        </w:rPr>
        <w:t xml:space="preserve"> – September 2023 interim report’,</w:t>
      </w:r>
      <w:r w:rsidRPr="00973508">
        <w:rPr>
          <w:rStyle w:val="Hyperlink"/>
          <w:sz w:val="16"/>
          <w:szCs w:val="16"/>
          <w:u w:val="none"/>
        </w:rPr>
        <w:t xml:space="preserve"> </w:t>
      </w:r>
      <w:r w:rsidRPr="00973508">
        <w:rPr>
          <w:rStyle w:val="Hyperlink"/>
          <w:color w:val="auto"/>
          <w:sz w:val="16"/>
          <w:szCs w:val="16"/>
          <w:u w:val="none"/>
        </w:rPr>
        <w:t>ACCC</w:t>
      </w:r>
      <w:r w:rsidRPr="00973508">
        <w:rPr>
          <w:sz w:val="16"/>
          <w:szCs w:val="16"/>
        </w:rPr>
        <w:t>, p 74.</w:t>
      </w:r>
    </w:p>
  </w:footnote>
  <w:footnote w:id="16">
    <w:p w14:paraId="0312A021" w14:textId="3EF05A02" w:rsidR="00293924" w:rsidRPr="00D022DB" w:rsidRDefault="00293924" w:rsidP="00FD0234">
      <w:pPr>
        <w:pStyle w:val="FootnoteText"/>
        <w:ind w:left="0" w:firstLine="0"/>
        <w:rPr>
          <w:sz w:val="16"/>
          <w:szCs w:val="16"/>
          <w:lang w:val="en-US"/>
        </w:rPr>
      </w:pPr>
      <w:r w:rsidRPr="00D022DB">
        <w:rPr>
          <w:rStyle w:val="FootnoteReference"/>
          <w:sz w:val="16"/>
          <w:szCs w:val="16"/>
        </w:rPr>
        <w:footnoteRef/>
      </w:r>
      <w:r w:rsidRPr="00D022DB">
        <w:rPr>
          <w:sz w:val="16"/>
          <w:szCs w:val="16"/>
        </w:rPr>
        <w:t xml:space="preserve"> Laborde S, (2023) </w:t>
      </w:r>
      <w:hyperlink r:id="rId15" w:history="1">
        <w:r w:rsidRPr="00D022DB">
          <w:rPr>
            <w:rStyle w:val="Hyperlink"/>
            <w:sz w:val="16"/>
            <w:szCs w:val="16"/>
          </w:rPr>
          <w:t xml:space="preserve">Key Voice Search Statistics [2023 Updated Data] </w:t>
        </w:r>
      </w:hyperlink>
      <w:r w:rsidRPr="00D022DB">
        <w:rPr>
          <w:rStyle w:val="Hyperlink"/>
          <w:color w:val="auto"/>
          <w:sz w:val="16"/>
          <w:szCs w:val="16"/>
          <w:u w:val="none"/>
        </w:rPr>
        <w:t xml:space="preserve">, </w:t>
      </w:r>
      <w:proofErr w:type="spellStart"/>
      <w:r w:rsidRPr="00D022DB">
        <w:rPr>
          <w:rStyle w:val="Hyperlink"/>
          <w:color w:val="auto"/>
          <w:sz w:val="16"/>
          <w:szCs w:val="16"/>
          <w:u w:val="none"/>
        </w:rPr>
        <w:t>Techreport</w:t>
      </w:r>
      <w:proofErr w:type="spellEnd"/>
      <w:r w:rsidRPr="00D022DB">
        <w:rPr>
          <w:rStyle w:val="Hyperlink"/>
          <w:color w:val="auto"/>
          <w:sz w:val="16"/>
          <w:szCs w:val="16"/>
          <w:u w:val="none"/>
        </w:rPr>
        <w:t>.</w:t>
      </w:r>
    </w:p>
  </w:footnote>
  <w:footnote w:id="17">
    <w:p w14:paraId="7C95D472" w14:textId="66D90F7A" w:rsidR="00293924" w:rsidRPr="00D022DB" w:rsidRDefault="00293924" w:rsidP="00FD0234">
      <w:pPr>
        <w:pStyle w:val="FootnoteText"/>
        <w:ind w:left="0" w:firstLine="0"/>
        <w:rPr>
          <w:sz w:val="16"/>
          <w:szCs w:val="16"/>
        </w:rPr>
      </w:pPr>
      <w:r w:rsidRPr="00D022DB">
        <w:rPr>
          <w:rStyle w:val="FootnoteReference"/>
          <w:sz w:val="16"/>
          <w:szCs w:val="16"/>
        </w:rPr>
        <w:footnoteRef/>
      </w:r>
      <w:r w:rsidRPr="00D022DB">
        <w:rPr>
          <w:sz w:val="16"/>
          <w:szCs w:val="16"/>
        </w:rPr>
        <w:t xml:space="preserve"> </w:t>
      </w:r>
      <w:proofErr w:type="spellStart"/>
      <w:r w:rsidRPr="00D022DB">
        <w:rPr>
          <w:sz w:val="16"/>
          <w:szCs w:val="16"/>
        </w:rPr>
        <w:t>Telsyte</w:t>
      </w:r>
      <w:proofErr w:type="spellEnd"/>
      <w:r w:rsidRPr="00D022DB">
        <w:rPr>
          <w:sz w:val="16"/>
          <w:szCs w:val="16"/>
        </w:rPr>
        <w:t xml:space="preserve"> Australian </w:t>
      </w:r>
      <w:proofErr w:type="spellStart"/>
      <w:r w:rsidRPr="00D022DB">
        <w:rPr>
          <w:sz w:val="16"/>
          <w:szCs w:val="16"/>
        </w:rPr>
        <w:t>IoT@Home</w:t>
      </w:r>
      <w:proofErr w:type="spellEnd"/>
      <w:r w:rsidRPr="00D022DB">
        <w:rPr>
          <w:sz w:val="16"/>
          <w:szCs w:val="16"/>
        </w:rPr>
        <w:t xml:space="preserve"> Market Study 2022, as referenced in ACCC (September 2023) ‘</w:t>
      </w:r>
      <w:hyperlink r:id="rId16" w:history="1">
        <w:r w:rsidRPr="00D022DB">
          <w:rPr>
            <w:rStyle w:val="Hyperlink"/>
            <w:sz w:val="16"/>
            <w:szCs w:val="16"/>
          </w:rPr>
          <w:t>Digital Platform Services Inquiry – September 2023 interim report</w:t>
        </w:r>
        <w:r w:rsidRPr="00D022DB" w:rsidDel="001C6679">
          <w:rPr>
            <w:rStyle w:val="Hyperlink"/>
            <w:sz w:val="16"/>
            <w:szCs w:val="16"/>
          </w:rPr>
          <w:t xml:space="preserve"> </w:t>
        </w:r>
      </w:hyperlink>
      <w:r w:rsidRPr="00D022DB">
        <w:rPr>
          <w:rStyle w:val="Hyperlink"/>
          <w:sz w:val="16"/>
          <w:szCs w:val="16"/>
        </w:rPr>
        <w:t>’,</w:t>
      </w:r>
      <w:r w:rsidRPr="00D022DB">
        <w:rPr>
          <w:rStyle w:val="Hyperlink"/>
          <w:color w:val="auto"/>
          <w:sz w:val="16"/>
          <w:szCs w:val="16"/>
          <w:u w:val="none"/>
        </w:rPr>
        <w:t xml:space="preserve"> ACCC</w:t>
      </w:r>
      <w:r w:rsidRPr="00D022DB">
        <w:rPr>
          <w:rStyle w:val="Hyperlink"/>
          <w:sz w:val="16"/>
          <w:szCs w:val="16"/>
          <w:u w:val="none"/>
        </w:rPr>
        <w:t>,</w:t>
      </w:r>
      <w:r w:rsidRPr="00D022DB">
        <w:rPr>
          <w:sz w:val="16"/>
          <w:szCs w:val="16"/>
        </w:rPr>
        <w:t xml:space="preserve"> p 75.</w:t>
      </w:r>
    </w:p>
  </w:footnote>
  <w:footnote w:id="18">
    <w:p w14:paraId="1B041E0B" w14:textId="5B70298E" w:rsidR="00293924" w:rsidRPr="00D022DB" w:rsidRDefault="00293924" w:rsidP="00FD0234">
      <w:pPr>
        <w:pStyle w:val="FootnoteText"/>
        <w:ind w:left="0" w:firstLine="0"/>
        <w:rPr>
          <w:sz w:val="16"/>
          <w:szCs w:val="16"/>
        </w:rPr>
      </w:pPr>
      <w:r w:rsidRPr="00D022DB">
        <w:rPr>
          <w:rStyle w:val="FootnoteReference"/>
          <w:sz w:val="16"/>
          <w:szCs w:val="16"/>
        </w:rPr>
        <w:footnoteRef/>
      </w:r>
      <w:r w:rsidRPr="00D022DB">
        <w:rPr>
          <w:sz w:val="16"/>
          <w:szCs w:val="16"/>
        </w:rPr>
        <w:t xml:space="preserve"> Statista Consumer Insights (2023), </w:t>
      </w:r>
      <w:hyperlink r:id="rId17" w:history="1">
        <w:r w:rsidRPr="00D022DB">
          <w:rPr>
            <w:rStyle w:val="Hyperlink"/>
            <w:sz w:val="16"/>
            <w:szCs w:val="16"/>
          </w:rPr>
          <w:t>Industries &amp; Markets: Consumer electronics in Australia</w:t>
        </w:r>
      </w:hyperlink>
      <w:r w:rsidRPr="00D022DB">
        <w:rPr>
          <w:sz w:val="16"/>
          <w:szCs w:val="16"/>
        </w:rPr>
        <w:t>, Statista, p 34.</w:t>
      </w:r>
    </w:p>
  </w:footnote>
  <w:footnote w:id="19">
    <w:p w14:paraId="5CD463D7" w14:textId="196FC63B" w:rsidR="00293924" w:rsidRPr="00A501C8" w:rsidRDefault="00293924" w:rsidP="00101A53">
      <w:pPr>
        <w:spacing w:before="0" w:after="0"/>
        <w:rPr>
          <w:sz w:val="16"/>
          <w:szCs w:val="16"/>
        </w:rPr>
      </w:pPr>
      <w:r w:rsidRPr="00D022DB">
        <w:rPr>
          <w:rStyle w:val="FootnoteReference"/>
          <w:sz w:val="16"/>
          <w:szCs w:val="16"/>
        </w:rPr>
        <w:footnoteRef/>
      </w:r>
      <w:r w:rsidRPr="00D022DB">
        <w:rPr>
          <w:sz w:val="16"/>
          <w:szCs w:val="16"/>
        </w:rPr>
        <w:t xml:space="preserve"> </w:t>
      </w:r>
      <w:r w:rsidRPr="006C2E1A">
        <w:rPr>
          <w:sz w:val="16"/>
          <w:szCs w:val="16"/>
        </w:rPr>
        <w:t>Social Research Centre (202</w:t>
      </w:r>
      <w:r w:rsidR="0075033A" w:rsidRPr="006C2E1A">
        <w:rPr>
          <w:sz w:val="16"/>
          <w:szCs w:val="16"/>
        </w:rPr>
        <w:t>4</w:t>
      </w:r>
      <w:r w:rsidRPr="006C2E1A">
        <w:rPr>
          <w:sz w:val="16"/>
          <w:szCs w:val="16"/>
        </w:rPr>
        <w:t>), ‘</w:t>
      </w:r>
      <w:hyperlink r:id="rId18" w:history="1">
        <w:r w:rsidR="0075033A" w:rsidRPr="006C2E1A">
          <w:rPr>
            <w:rStyle w:val="Hyperlink"/>
            <w:sz w:val="16"/>
            <w:szCs w:val="16"/>
          </w:rPr>
          <w:t>The Television &amp; Media Survey 2024 – Summary Report’</w:t>
        </w:r>
      </w:hyperlink>
      <w:r w:rsidRPr="006C2E1A">
        <w:rPr>
          <w:sz w:val="16"/>
          <w:szCs w:val="16"/>
        </w:rPr>
        <w:t>, DITRDC</w:t>
      </w:r>
      <w:r w:rsidR="0075033A" w:rsidRPr="006C2E1A">
        <w:rPr>
          <w:sz w:val="16"/>
          <w:szCs w:val="16"/>
        </w:rPr>
        <w:t>S</w:t>
      </w:r>
      <w:r w:rsidRPr="006C2E1A">
        <w:rPr>
          <w:sz w:val="16"/>
          <w:szCs w:val="16"/>
        </w:rPr>
        <w:t>A, p</w:t>
      </w:r>
      <w:r w:rsidR="008548EB" w:rsidRPr="006C2E1A">
        <w:rPr>
          <w:sz w:val="16"/>
          <w:szCs w:val="16"/>
        </w:rPr>
        <w:t xml:space="preserve"> 81</w:t>
      </w:r>
      <w:r w:rsidRPr="006C2E1A">
        <w:rPr>
          <w:sz w:val="16"/>
          <w:szCs w:val="16"/>
        </w:rPr>
        <w:t xml:space="preserve">. The figure of </w:t>
      </w:r>
      <w:r w:rsidR="00C56AFA" w:rsidRPr="006C2E1A">
        <w:rPr>
          <w:sz w:val="16"/>
          <w:szCs w:val="16"/>
        </w:rPr>
        <w:t>11</w:t>
      </w:r>
      <w:r w:rsidRPr="006C2E1A">
        <w:rPr>
          <w:sz w:val="16"/>
          <w:szCs w:val="16"/>
        </w:rPr>
        <w:t>% is a net from the use of smart speakers to listen to FM Radio, AM Radio, DAB, and Radio via the internet or an app.</w:t>
      </w:r>
    </w:p>
  </w:footnote>
  <w:footnote w:id="20">
    <w:p w14:paraId="5B071801" w14:textId="204C9B2C" w:rsidR="00293924" w:rsidRPr="00A501C8" w:rsidRDefault="00293924" w:rsidP="006C2E1A">
      <w:pPr>
        <w:pStyle w:val="FootnoteText"/>
        <w:ind w:left="0" w:firstLine="0"/>
        <w:rPr>
          <w:sz w:val="16"/>
          <w:szCs w:val="16"/>
          <w:lang w:val="en-US"/>
        </w:rPr>
      </w:pPr>
      <w:r w:rsidRPr="00A501C8">
        <w:rPr>
          <w:rStyle w:val="FootnoteReference"/>
          <w:sz w:val="16"/>
          <w:szCs w:val="16"/>
        </w:rPr>
        <w:footnoteRef/>
      </w:r>
      <w:r w:rsidRPr="00A501C8">
        <w:rPr>
          <w:sz w:val="16"/>
          <w:szCs w:val="16"/>
        </w:rPr>
        <w:t xml:space="preserve"> CRA (2022), </w:t>
      </w:r>
      <w:r w:rsidRPr="00A501C8">
        <w:rPr>
          <w:sz w:val="16"/>
          <w:szCs w:val="16"/>
          <w:u w:val="single"/>
        </w:rPr>
        <w:t>‘</w:t>
      </w:r>
      <w:hyperlink r:id="rId19" w:history="1">
        <w:r w:rsidRPr="00A501C8">
          <w:rPr>
            <w:rStyle w:val="Hyperlink"/>
            <w:sz w:val="16"/>
            <w:szCs w:val="16"/>
          </w:rPr>
          <w:t>GfK Australian Share of Audio 2022’</w:t>
        </w:r>
      </w:hyperlink>
      <w:r w:rsidRPr="00A501C8">
        <w:rPr>
          <w:rStyle w:val="Hyperlink"/>
          <w:sz w:val="16"/>
          <w:szCs w:val="16"/>
        </w:rPr>
        <w:t>,</w:t>
      </w:r>
      <w:r w:rsidRPr="00A501C8">
        <w:rPr>
          <w:rStyle w:val="Hyperlink"/>
          <w:sz w:val="16"/>
          <w:szCs w:val="16"/>
          <w:u w:val="none"/>
        </w:rPr>
        <w:t xml:space="preserve"> </w:t>
      </w:r>
      <w:r w:rsidRPr="00A501C8">
        <w:rPr>
          <w:rStyle w:val="Hyperlink"/>
          <w:color w:val="auto"/>
          <w:sz w:val="16"/>
          <w:szCs w:val="16"/>
          <w:u w:val="none"/>
        </w:rPr>
        <w:t>CRA.</w:t>
      </w:r>
    </w:p>
  </w:footnote>
  <w:footnote w:id="21">
    <w:p w14:paraId="3A30C398" w14:textId="5EEA97BC" w:rsidR="00293924" w:rsidRPr="00A501C8" w:rsidRDefault="00293924" w:rsidP="006C2E1A">
      <w:pPr>
        <w:pStyle w:val="FootnoteText"/>
        <w:ind w:left="0" w:firstLine="0"/>
        <w:rPr>
          <w:sz w:val="16"/>
          <w:szCs w:val="16"/>
          <w:lang w:val="en-US"/>
        </w:rPr>
      </w:pPr>
      <w:r w:rsidRPr="00A501C8">
        <w:rPr>
          <w:rStyle w:val="FootnoteReference"/>
          <w:sz w:val="16"/>
          <w:szCs w:val="16"/>
        </w:rPr>
        <w:footnoteRef/>
      </w:r>
      <w:r w:rsidR="009A3DA5" w:rsidRPr="00A501C8">
        <w:rPr>
          <w:sz w:val="16"/>
          <w:szCs w:val="16"/>
        </w:rPr>
        <w:t xml:space="preserve">CRA (2022), </w:t>
      </w:r>
      <w:r w:rsidR="009A3DA5" w:rsidRPr="00A501C8">
        <w:rPr>
          <w:sz w:val="16"/>
          <w:szCs w:val="16"/>
          <w:u w:val="single"/>
        </w:rPr>
        <w:t>‘</w:t>
      </w:r>
      <w:hyperlink r:id="rId20" w:history="1">
        <w:r w:rsidR="009A3DA5" w:rsidRPr="00A501C8">
          <w:rPr>
            <w:rStyle w:val="Hyperlink"/>
            <w:sz w:val="16"/>
            <w:szCs w:val="16"/>
          </w:rPr>
          <w:t>GfK Australian Share of Audio 2022’</w:t>
        </w:r>
      </w:hyperlink>
      <w:r w:rsidR="009A3DA5" w:rsidRPr="00A501C8">
        <w:rPr>
          <w:rStyle w:val="Hyperlink"/>
          <w:sz w:val="16"/>
          <w:szCs w:val="16"/>
        </w:rPr>
        <w:t>,</w:t>
      </w:r>
      <w:r w:rsidR="009A3DA5" w:rsidRPr="00A501C8">
        <w:rPr>
          <w:rStyle w:val="Hyperlink"/>
          <w:sz w:val="16"/>
          <w:szCs w:val="16"/>
          <w:u w:val="none"/>
        </w:rPr>
        <w:t xml:space="preserve"> </w:t>
      </w:r>
      <w:r w:rsidR="009A3DA5" w:rsidRPr="00A501C8">
        <w:rPr>
          <w:rStyle w:val="Hyperlink"/>
          <w:color w:val="auto"/>
          <w:sz w:val="16"/>
          <w:szCs w:val="16"/>
          <w:u w:val="none"/>
        </w:rPr>
        <w:t>CRA</w:t>
      </w:r>
      <w:r w:rsidRPr="00A501C8">
        <w:rPr>
          <w:sz w:val="16"/>
          <w:szCs w:val="16"/>
          <w:lang w:val="en-US"/>
        </w:rPr>
        <w:t>, p 20.</w:t>
      </w:r>
    </w:p>
  </w:footnote>
  <w:footnote w:id="22">
    <w:p w14:paraId="7BCC60E7" w14:textId="68CBEAB9" w:rsidR="00293924" w:rsidRDefault="00293924" w:rsidP="006C2E1A">
      <w:pPr>
        <w:pStyle w:val="FootnoteText"/>
        <w:ind w:left="0" w:firstLine="0"/>
        <w:rPr>
          <w:lang w:val="en-US"/>
        </w:rPr>
      </w:pPr>
      <w:r w:rsidRPr="00A501C8">
        <w:rPr>
          <w:rStyle w:val="FootnoteReference"/>
          <w:sz w:val="16"/>
          <w:szCs w:val="16"/>
        </w:rPr>
        <w:footnoteRef/>
      </w:r>
      <w:r w:rsidRPr="00A501C8">
        <w:rPr>
          <w:sz w:val="16"/>
          <w:szCs w:val="16"/>
        </w:rPr>
        <w:t xml:space="preserve"> </w:t>
      </w:r>
      <w:r w:rsidR="009A3DA5" w:rsidRPr="00A501C8">
        <w:rPr>
          <w:sz w:val="16"/>
          <w:szCs w:val="16"/>
        </w:rPr>
        <w:t xml:space="preserve">CRA (2022), </w:t>
      </w:r>
      <w:r w:rsidR="009A3DA5" w:rsidRPr="00A501C8">
        <w:rPr>
          <w:sz w:val="16"/>
          <w:szCs w:val="16"/>
          <w:u w:val="single"/>
        </w:rPr>
        <w:t>‘</w:t>
      </w:r>
      <w:hyperlink r:id="rId21" w:history="1">
        <w:r w:rsidR="009A3DA5" w:rsidRPr="00A501C8">
          <w:rPr>
            <w:rStyle w:val="Hyperlink"/>
            <w:sz w:val="16"/>
            <w:szCs w:val="16"/>
          </w:rPr>
          <w:t>GfK Australian Share of Audio 2022’</w:t>
        </w:r>
      </w:hyperlink>
      <w:r w:rsidR="009A3DA5" w:rsidRPr="00A501C8">
        <w:rPr>
          <w:rStyle w:val="Hyperlink"/>
          <w:sz w:val="16"/>
          <w:szCs w:val="16"/>
        </w:rPr>
        <w:t>,</w:t>
      </w:r>
      <w:r w:rsidR="009A3DA5" w:rsidRPr="00A501C8">
        <w:rPr>
          <w:rStyle w:val="Hyperlink"/>
          <w:sz w:val="16"/>
          <w:szCs w:val="16"/>
          <w:u w:val="none"/>
        </w:rPr>
        <w:t xml:space="preserve"> </w:t>
      </w:r>
      <w:r w:rsidR="009A3DA5" w:rsidRPr="00A501C8">
        <w:rPr>
          <w:rStyle w:val="Hyperlink"/>
          <w:color w:val="auto"/>
          <w:sz w:val="16"/>
          <w:szCs w:val="16"/>
          <w:u w:val="none"/>
        </w:rPr>
        <w:t>CRA</w:t>
      </w:r>
      <w:r w:rsidRPr="00A501C8">
        <w:rPr>
          <w:sz w:val="16"/>
          <w:szCs w:val="16"/>
          <w:lang w:val="en-US"/>
        </w:rPr>
        <w:t>.</w:t>
      </w:r>
    </w:p>
  </w:footnote>
  <w:footnote w:id="23">
    <w:p w14:paraId="6B81058A" w14:textId="77777777" w:rsidR="0035273D" w:rsidRDefault="0035273D" w:rsidP="0035273D">
      <w:pPr>
        <w:pStyle w:val="FootnoteText"/>
      </w:pPr>
      <w:r>
        <w:rPr>
          <w:rStyle w:val="FootnoteReference"/>
        </w:rPr>
        <w:footnoteRef/>
      </w:r>
      <w:r>
        <w:t xml:space="preserve"> </w:t>
      </w:r>
      <w:r w:rsidRPr="00B044AE">
        <w:rPr>
          <w:sz w:val="16"/>
          <w:szCs w:val="16"/>
        </w:rPr>
        <w:t xml:space="preserve">Lobato, R. and Arnot-Bradshaw, A. (2024), </w:t>
      </w:r>
      <w:hyperlink r:id="rId22" w:history="1">
        <w:r w:rsidRPr="00B044AE">
          <w:rPr>
            <w:rStyle w:val="Hyperlink"/>
            <w:sz w:val="16"/>
            <w:szCs w:val="16"/>
          </w:rPr>
          <w:t xml:space="preserve">'Smart speakers and radio distribution in Australia: A submission to the Department of Infrastructure, Transport, Regional Development, Communications and the Arts' </w:t>
        </w:r>
        <w:r w:rsidRPr="009A7A88">
          <w:rPr>
            <w:rStyle w:val="Hyperlink"/>
            <w:i/>
            <w:sz w:val="16"/>
            <w:szCs w:val="16"/>
          </w:rPr>
          <w:t>Radio Prominence on Smart Speakers</w:t>
        </w:r>
        <w:r w:rsidRPr="00B044AE">
          <w:rPr>
            <w:rStyle w:val="Hyperlink"/>
            <w:sz w:val="16"/>
            <w:szCs w:val="16"/>
          </w:rPr>
          <w:t xml:space="preserve"> proposals paper'</w:t>
        </w:r>
      </w:hyperlink>
      <w:r w:rsidRPr="00B044AE">
        <w:rPr>
          <w:sz w:val="16"/>
          <w:szCs w:val="16"/>
        </w:rPr>
        <w:t>, DITRDCSA</w:t>
      </w:r>
      <w:r>
        <w:rPr>
          <w:sz w:val="16"/>
          <w:szCs w:val="16"/>
        </w:rPr>
        <w:t>.</w:t>
      </w:r>
    </w:p>
  </w:footnote>
  <w:footnote w:id="24">
    <w:p w14:paraId="4FBE7FA2" w14:textId="77777777" w:rsidR="0035273D" w:rsidRDefault="0035273D" w:rsidP="0035273D">
      <w:pPr>
        <w:pStyle w:val="FootnoteText"/>
      </w:pPr>
      <w:r>
        <w:rPr>
          <w:rStyle w:val="FootnoteReference"/>
        </w:rPr>
        <w:footnoteRef/>
      </w:r>
      <w:r>
        <w:t xml:space="preserve"> </w:t>
      </w:r>
      <w:r w:rsidRPr="00B044AE">
        <w:rPr>
          <w:sz w:val="16"/>
          <w:szCs w:val="16"/>
        </w:rPr>
        <w:t xml:space="preserve">Lobato, R. and Arnot-Bradshaw, A. (2024), </w:t>
      </w:r>
      <w:hyperlink r:id="rId23" w:history="1">
        <w:r w:rsidRPr="00B044AE">
          <w:rPr>
            <w:rStyle w:val="Hyperlink"/>
            <w:sz w:val="16"/>
            <w:szCs w:val="16"/>
          </w:rPr>
          <w:t xml:space="preserve">'Smart speakers and radio distribution in Australia: A submission to the Department of Infrastructure, Transport, Regional Development, Communications and the Arts' </w:t>
        </w:r>
        <w:r w:rsidRPr="009A7A88">
          <w:rPr>
            <w:rStyle w:val="Hyperlink"/>
            <w:i/>
            <w:sz w:val="16"/>
            <w:szCs w:val="16"/>
          </w:rPr>
          <w:t>Radio Prominence on Smart Speakers</w:t>
        </w:r>
        <w:r w:rsidRPr="00B044AE">
          <w:rPr>
            <w:rStyle w:val="Hyperlink"/>
            <w:sz w:val="16"/>
            <w:szCs w:val="16"/>
          </w:rPr>
          <w:t xml:space="preserve"> proposals paper'</w:t>
        </w:r>
      </w:hyperlink>
      <w:r w:rsidRPr="00B044AE">
        <w:rPr>
          <w:sz w:val="16"/>
          <w:szCs w:val="16"/>
        </w:rPr>
        <w:t>, DITRDCSA, p.5.</w:t>
      </w:r>
    </w:p>
  </w:footnote>
  <w:footnote w:id="25">
    <w:p w14:paraId="5A335778" w14:textId="77777777" w:rsidR="0035273D" w:rsidRPr="00D022DB" w:rsidRDefault="0035273D" w:rsidP="0035273D">
      <w:pPr>
        <w:pStyle w:val="FootnoteText"/>
        <w:ind w:left="0" w:firstLine="0"/>
        <w:rPr>
          <w:sz w:val="16"/>
          <w:szCs w:val="16"/>
        </w:rPr>
      </w:pPr>
      <w:r w:rsidRPr="00D022DB">
        <w:rPr>
          <w:rStyle w:val="FootnoteReference"/>
          <w:sz w:val="16"/>
          <w:szCs w:val="16"/>
        </w:rPr>
        <w:footnoteRef/>
      </w:r>
      <w:r w:rsidRPr="00D022DB">
        <w:rPr>
          <w:sz w:val="16"/>
          <w:szCs w:val="16"/>
        </w:rPr>
        <w:t xml:space="preserve"> Ofcom (2022), </w:t>
      </w:r>
      <w:r>
        <w:rPr>
          <w:sz w:val="16"/>
          <w:szCs w:val="16"/>
        </w:rPr>
        <w:t>‘</w:t>
      </w:r>
      <w:hyperlink r:id="rId24" w:history="1">
        <w:r w:rsidRPr="00D022DB">
          <w:rPr>
            <w:rStyle w:val="Hyperlink"/>
            <w:sz w:val="16"/>
            <w:szCs w:val="16"/>
          </w:rPr>
          <w:t>Smart speakers research with the public</w:t>
        </w:r>
        <w:r>
          <w:rPr>
            <w:rStyle w:val="Hyperlink"/>
            <w:sz w:val="16"/>
            <w:szCs w:val="16"/>
          </w:rPr>
          <w:t>’</w:t>
        </w:r>
        <w:r w:rsidRPr="00D022DB">
          <w:rPr>
            <w:rStyle w:val="Hyperlink"/>
            <w:sz w:val="16"/>
            <w:szCs w:val="16"/>
          </w:rPr>
          <w:t xml:space="preserve"> research report</w:t>
        </w:r>
      </w:hyperlink>
      <w:r w:rsidRPr="00D022DB">
        <w:rPr>
          <w:sz w:val="16"/>
          <w:szCs w:val="16"/>
        </w:rPr>
        <w:t>, Ofcom, p 21-25.</w:t>
      </w:r>
    </w:p>
  </w:footnote>
  <w:footnote w:id="26">
    <w:p w14:paraId="7EAF8CD4" w14:textId="77777777" w:rsidR="0035273D" w:rsidRPr="00D022DB" w:rsidRDefault="0035273D" w:rsidP="0035273D">
      <w:pPr>
        <w:pStyle w:val="FootnoteText"/>
        <w:ind w:left="0" w:firstLine="0"/>
        <w:rPr>
          <w:sz w:val="16"/>
          <w:szCs w:val="16"/>
        </w:rPr>
      </w:pPr>
      <w:r w:rsidRPr="00D022DB">
        <w:rPr>
          <w:rStyle w:val="FootnoteReference"/>
          <w:sz w:val="16"/>
          <w:szCs w:val="16"/>
        </w:rPr>
        <w:footnoteRef/>
      </w:r>
      <w:r w:rsidRPr="00D022DB">
        <w:rPr>
          <w:sz w:val="16"/>
          <w:szCs w:val="16"/>
        </w:rPr>
        <w:t xml:space="preserve"> Ofcom (2022), </w:t>
      </w:r>
      <w:r>
        <w:rPr>
          <w:sz w:val="16"/>
          <w:szCs w:val="16"/>
        </w:rPr>
        <w:t>‘</w:t>
      </w:r>
      <w:hyperlink r:id="rId25" w:history="1">
        <w:r w:rsidRPr="00D022DB">
          <w:rPr>
            <w:rStyle w:val="Hyperlink"/>
            <w:sz w:val="16"/>
            <w:szCs w:val="16"/>
          </w:rPr>
          <w:t>Smart speakers research with the public</w:t>
        </w:r>
        <w:r>
          <w:rPr>
            <w:rStyle w:val="Hyperlink"/>
            <w:sz w:val="16"/>
            <w:szCs w:val="16"/>
          </w:rPr>
          <w:t>’</w:t>
        </w:r>
        <w:r w:rsidRPr="00D022DB">
          <w:rPr>
            <w:rStyle w:val="Hyperlink"/>
            <w:sz w:val="16"/>
            <w:szCs w:val="16"/>
          </w:rPr>
          <w:t xml:space="preserve"> research report</w:t>
        </w:r>
      </w:hyperlink>
      <w:r w:rsidRPr="00D022DB">
        <w:rPr>
          <w:sz w:val="16"/>
          <w:szCs w:val="16"/>
        </w:rPr>
        <w:t>, Ofcom, p 26-27.</w:t>
      </w:r>
    </w:p>
  </w:footnote>
  <w:footnote w:id="27">
    <w:p w14:paraId="2FBA92FC" w14:textId="77777777" w:rsidR="0035273D" w:rsidRPr="00D022DB" w:rsidRDefault="0035273D" w:rsidP="0035273D">
      <w:pPr>
        <w:pStyle w:val="FootnoteText"/>
        <w:rPr>
          <w:sz w:val="16"/>
          <w:szCs w:val="16"/>
          <w:lang w:val="en-US"/>
        </w:rPr>
      </w:pPr>
      <w:r w:rsidRPr="00D022DB">
        <w:rPr>
          <w:rStyle w:val="FootnoteReference"/>
          <w:sz w:val="16"/>
          <w:szCs w:val="16"/>
        </w:rPr>
        <w:footnoteRef/>
      </w:r>
      <w:r w:rsidRPr="00D022DB">
        <w:rPr>
          <w:sz w:val="16"/>
          <w:szCs w:val="16"/>
        </w:rPr>
        <w:t xml:space="preserve"> Ofcom (2022), </w:t>
      </w:r>
      <w:r>
        <w:rPr>
          <w:sz w:val="16"/>
          <w:szCs w:val="16"/>
        </w:rPr>
        <w:t>‘</w:t>
      </w:r>
      <w:hyperlink r:id="rId26" w:history="1">
        <w:r w:rsidRPr="00D022DB">
          <w:rPr>
            <w:rStyle w:val="Hyperlink"/>
            <w:sz w:val="16"/>
            <w:szCs w:val="16"/>
          </w:rPr>
          <w:t>Smart speakers research with the public</w:t>
        </w:r>
        <w:r>
          <w:rPr>
            <w:rStyle w:val="Hyperlink"/>
            <w:sz w:val="16"/>
            <w:szCs w:val="16"/>
          </w:rPr>
          <w:t>’</w:t>
        </w:r>
        <w:r w:rsidRPr="00D022DB">
          <w:rPr>
            <w:rStyle w:val="Hyperlink"/>
            <w:sz w:val="16"/>
            <w:szCs w:val="16"/>
          </w:rPr>
          <w:t xml:space="preserve"> research report</w:t>
        </w:r>
      </w:hyperlink>
      <w:r w:rsidRPr="00D022DB">
        <w:rPr>
          <w:sz w:val="16"/>
          <w:szCs w:val="16"/>
        </w:rPr>
        <w:t>, Ofcom, p 26.</w:t>
      </w:r>
    </w:p>
  </w:footnote>
  <w:footnote w:id="28">
    <w:p w14:paraId="2711BBE0" w14:textId="77C99879" w:rsidR="00293924" w:rsidRPr="00973508" w:rsidRDefault="00293924" w:rsidP="002B28D8">
      <w:pPr>
        <w:pStyle w:val="FootnoteText"/>
        <w:ind w:left="0" w:firstLine="0"/>
        <w:rPr>
          <w:sz w:val="16"/>
          <w:szCs w:val="16"/>
          <w:lang w:val="en-US"/>
        </w:rPr>
      </w:pPr>
      <w:r w:rsidRPr="00973508">
        <w:rPr>
          <w:rStyle w:val="FootnoteReference"/>
          <w:sz w:val="16"/>
          <w:szCs w:val="16"/>
        </w:rPr>
        <w:footnoteRef/>
      </w:r>
      <w:r w:rsidRPr="00973508">
        <w:rPr>
          <w:sz w:val="16"/>
          <w:szCs w:val="16"/>
        </w:rPr>
        <w:t xml:space="preserve"> </w:t>
      </w:r>
      <w:r w:rsidRPr="00973508">
        <w:rPr>
          <w:sz w:val="16"/>
          <w:szCs w:val="16"/>
          <w:lang w:val="en-US"/>
        </w:rPr>
        <w:t>ACCC (September 2023),</w:t>
      </w:r>
      <w:hyperlink r:id="rId27" w:history="1">
        <w:r w:rsidRPr="00973508">
          <w:rPr>
            <w:rStyle w:val="Hyperlink"/>
            <w:sz w:val="16"/>
            <w:szCs w:val="16"/>
            <w:lang w:val="en-US"/>
          </w:rPr>
          <w:t xml:space="preserve"> ‘Digital platform services inquiry</w:t>
        </w:r>
        <w:r w:rsidRPr="00973508">
          <w:rPr>
            <w:rStyle w:val="Hyperlink"/>
            <w:sz w:val="16"/>
            <w:szCs w:val="16"/>
          </w:rPr>
          <w:t xml:space="preserve"> – September 2023 interim report</w:t>
        </w:r>
      </w:hyperlink>
      <w:r w:rsidRPr="00973508">
        <w:rPr>
          <w:rStyle w:val="Hyperlink"/>
          <w:sz w:val="16"/>
          <w:szCs w:val="16"/>
          <w:lang w:val="en-US"/>
        </w:rPr>
        <w:t>’</w:t>
      </w:r>
      <w:r w:rsidRPr="00973508">
        <w:rPr>
          <w:rStyle w:val="Hyperlink"/>
          <w:i/>
          <w:color w:val="auto"/>
          <w:sz w:val="16"/>
          <w:szCs w:val="16"/>
          <w:u w:val="none"/>
          <w:lang w:val="en-US"/>
        </w:rPr>
        <w:t xml:space="preserve"> </w:t>
      </w:r>
      <w:r w:rsidRPr="00973508">
        <w:rPr>
          <w:rStyle w:val="Hyperlink"/>
          <w:color w:val="auto"/>
          <w:sz w:val="16"/>
          <w:szCs w:val="16"/>
          <w:u w:val="none"/>
          <w:lang w:val="en-US"/>
        </w:rPr>
        <w:t>ACCC</w:t>
      </w:r>
      <w:r w:rsidRPr="00973508">
        <w:rPr>
          <w:sz w:val="16"/>
          <w:szCs w:val="16"/>
          <w:lang w:val="en-US"/>
        </w:rPr>
        <w:t>, p 70.</w:t>
      </w:r>
    </w:p>
  </w:footnote>
  <w:footnote w:id="29">
    <w:p w14:paraId="12ACC552" w14:textId="104B208B" w:rsidR="00293924" w:rsidRPr="00973508" w:rsidRDefault="00293924" w:rsidP="00EF4DCF">
      <w:pPr>
        <w:pStyle w:val="FootnoteText"/>
        <w:ind w:left="0" w:firstLine="0"/>
        <w:rPr>
          <w:sz w:val="16"/>
          <w:szCs w:val="16"/>
        </w:rPr>
      </w:pPr>
      <w:r w:rsidRPr="00973508">
        <w:rPr>
          <w:rStyle w:val="FootnoteReference"/>
          <w:sz w:val="16"/>
          <w:szCs w:val="16"/>
        </w:rPr>
        <w:footnoteRef/>
      </w:r>
      <w:r w:rsidRPr="00973508">
        <w:rPr>
          <w:sz w:val="16"/>
          <w:szCs w:val="16"/>
        </w:rPr>
        <w:t xml:space="preserve"> UK DCMS (2023), </w:t>
      </w:r>
      <w:hyperlink r:id="rId28" w:history="1">
        <w:r w:rsidRPr="00973508">
          <w:rPr>
            <w:rStyle w:val="Hyperlink"/>
            <w:sz w:val="16"/>
            <w:szCs w:val="16"/>
          </w:rPr>
          <w:t>Impact Assessment - Regulation of radio services across voice assistant platforms [PDF 1,627KB]</w:t>
        </w:r>
      </w:hyperlink>
      <w:r w:rsidRPr="00973508">
        <w:rPr>
          <w:sz w:val="16"/>
          <w:szCs w:val="16"/>
        </w:rPr>
        <w:t>, UK DCMS, p 10.</w:t>
      </w:r>
    </w:p>
  </w:footnote>
  <w:footnote w:id="30">
    <w:p w14:paraId="091AA379" w14:textId="6E711A5B" w:rsidR="00293924" w:rsidRPr="00973508" w:rsidRDefault="00293924" w:rsidP="00EF4DCF">
      <w:pPr>
        <w:pStyle w:val="FootnoteText"/>
        <w:ind w:left="0" w:firstLine="0"/>
        <w:rPr>
          <w:sz w:val="16"/>
          <w:szCs w:val="16"/>
        </w:rPr>
      </w:pPr>
      <w:r w:rsidRPr="00973508">
        <w:rPr>
          <w:rStyle w:val="FootnoteReference"/>
          <w:sz w:val="16"/>
          <w:szCs w:val="16"/>
        </w:rPr>
        <w:footnoteRef/>
      </w:r>
      <w:r w:rsidRPr="00973508">
        <w:rPr>
          <w:sz w:val="16"/>
          <w:szCs w:val="16"/>
        </w:rPr>
        <w:t xml:space="preserve"> </w:t>
      </w:r>
      <w:r w:rsidR="003D7832" w:rsidRPr="00973508">
        <w:rPr>
          <w:sz w:val="16"/>
          <w:szCs w:val="16"/>
        </w:rPr>
        <w:t xml:space="preserve">UK DCMS (2023), </w:t>
      </w:r>
      <w:hyperlink r:id="rId29" w:history="1">
        <w:r w:rsidR="003D7832" w:rsidRPr="00973508">
          <w:rPr>
            <w:rStyle w:val="Hyperlink"/>
            <w:sz w:val="16"/>
            <w:szCs w:val="16"/>
          </w:rPr>
          <w:t>Impact Assessment - Regulation of radio services across voice assistant platforms [PDF 1,627KB]</w:t>
        </w:r>
      </w:hyperlink>
      <w:r w:rsidR="003D7832" w:rsidRPr="00973508">
        <w:rPr>
          <w:sz w:val="16"/>
          <w:szCs w:val="16"/>
        </w:rPr>
        <w:t>, UK DCMS</w:t>
      </w:r>
      <w:r w:rsidRPr="00973508">
        <w:rPr>
          <w:sz w:val="16"/>
          <w:szCs w:val="16"/>
        </w:rPr>
        <w:t>, p 11.</w:t>
      </w:r>
    </w:p>
  </w:footnote>
  <w:footnote w:id="31">
    <w:p w14:paraId="7511B2E1" w14:textId="112CA690" w:rsidR="00293924" w:rsidRPr="00973508" w:rsidRDefault="00293924" w:rsidP="000748C9">
      <w:pPr>
        <w:pStyle w:val="FootnoteText"/>
        <w:ind w:left="0" w:firstLine="0"/>
        <w:rPr>
          <w:sz w:val="16"/>
          <w:szCs w:val="16"/>
          <w:lang w:val="en-US"/>
        </w:rPr>
      </w:pPr>
      <w:r w:rsidRPr="00973508">
        <w:rPr>
          <w:rStyle w:val="FootnoteReference"/>
          <w:sz w:val="16"/>
          <w:szCs w:val="16"/>
        </w:rPr>
        <w:footnoteRef/>
      </w:r>
      <w:r w:rsidRPr="00973508">
        <w:rPr>
          <w:sz w:val="16"/>
          <w:szCs w:val="16"/>
        </w:rPr>
        <w:t xml:space="preserve"> Statista Consumer Insights (</w:t>
      </w:r>
      <w:r w:rsidR="00FB085D">
        <w:rPr>
          <w:sz w:val="16"/>
          <w:szCs w:val="16"/>
        </w:rPr>
        <w:t xml:space="preserve">March </w:t>
      </w:r>
      <w:r w:rsidRPr="00973508">
        <w:rPr>
          <w:sz w:val="16"/>
          <w:szCs w:val="16"/>
        </w:rPr>
        <w:t>202</w:t>
      </w:r>
      <w:r w:rsidR="00FB085D">
        <w:rPr>
          <w:sz w:val="16"/>
          <w:szCs w:val="16"/>
        </w:rPr>
        <w:t>6</w:t>
      </w:r>
      <w:r w:rsidRPr="00973508">
        <w:rPr>
          <w:sz w:val="16"/>
          <w:szCs w:val="16"/>
        </w:rPr>
        <w:t xml:space="preserve">), </w:t>
      </w:r>
      <w:hyperlink r:id="rId30" w:history="1">
        <w:r w:rsidR="00FB085D" w:rsidRPr="00973508">
          <w:rPr>
            <w:rStyle w:val="Hyperlink"/>
            <w:sz w:val="16"/>
            <w:szCs w:val="16"/>
          </w:rPr>
          <w:t>Smart speaker ownership by brand in Australia as of December 202</w:t>
        </w:r>
        <w:r w:rsidR="00FB085D">
          <w:rPr>
            <w:rStyle w:val="Hyperlink"/>
            <w:sz w:val="16"/>
            <w:szCs w:val="16"/>
          </w:rPr>
          <w:t>4</w:t>
        </w:r>
      </w:hyperlink>
      <w:r w:rsidRPr="00973508">
        <w:rPr>
          <w:rStyle w:val="Hyperlink"/>
          <w:sz w:val="16"/>
          <w:szCs w:val="16"/>
        </w:rPr>
        <w:t>,</w:t>
      </w:r>
      <w:r w:rsidRPr="00973508">
        <w:rPr>
          <w:rStyle w:val="Hyperlink"/>
          <w:color w:val="auto"/>
          <w:sz w:val="16"/>
          <w:szCs w:val="16"/>
          <w:u w:val="none"/>
        </w:rPr>
        <w:t xml:space="preserve"> Statista.</w:t>
      </w:r>
    </w:p>
  </w:footnote>
  <w:footnote w:id="32">
    <w:p w14:paraId="43086B02" w14:textId="5CF87332" w:rsidR="00293924" w:rsidRPr="00973508" w:rsidRDefault="00293924" w:rsidP="000748C9">
      <w:pPr>
        <w:pStyle w:val="FootnoteText"/>
        <w:ind w:left="0" w:firstLine="0"/>
        <w:rPr>
          <w:sz w:val="16"/>
          <w:szCs w:val="16"/>
        </w:rPr>
      </w:pPr>
      <w:r w:rsidRPr="00973508">
        <w:rPr>
          <w:rStyle w:val="FootnoteReference"/>
          <w:sz w:val="16"/>
          <w:szCs w:val="16"/>
        </w:rPr>
        <w:footnoteRef/>
      </w:r>
      <w:r w:rsidRPr="00973508">
        <w:rPr>
          <w:sz w:val="16"/>
          <w:szCs w:val="16"/>
        </w:rPr>
        <w:t xml:space="preserve"> </w:t>
      </w:r>
      <w:r w:rsidR="003D7832" w:rsidRPr="00973508">
        <w:rPr>
          <w:sz w:val="16"/>
          <w:szCs w:val="16"/>
        </w:rPr>
        <w:t>Statista Consumer Insights (</w:t>
      </w:r>
      <w:r w:rsidR="00FB085D">
        <w:rPr>
          <w:sz w:val="16"/>
          <w:szCs w:val="16"/>
        </w:rPr>
        <w:t>March 2026</w:t>
      </w:r>
      <w:r w:rsidR="003D7832" w:rsidRPr="00973508">
        <w:rPr>
          <w:sz w:val="16"/>
          <w:szCs w:val="16"/>
        </w:rPr>
        <w:t xml:space="preserve">), </w:t>
      </w:r>
      <w:hyperlink r:id="rId31" w:history="1">
        <w:r w:rsidR="00FB085D" w:rsidRPr="00973508">
          <w:rPr>
            <w:rStyle w:val="Hyperlink"/>
            <w:sz w:val="16"/>
            <w:szCs w:val="16"/>
          </w:rPr>
          <w:t>Smart speaker ownership by brand in Australia as of December 202</w:t>
        </w:r>
        <w:r w:rsidR="00FB085D">
          <w:rPr>
            <w:rStyle w:val="Hyperlink"/>
            <w:sz w:val="16"/>
            <w:szCs w:val="16"/>
          </w:rPr>
          <w:t>4</w:t>
        </w:r>
      </w:hyperlink>
      <w:r w:rsidR="003D7832" w:rsidRPr="00973508">
        <w:rPr>
          <w:rStyle w:val="Hyperlink"/>
          <w:sz w:val="16"/>
          <w:szCs w:val="16"/>
        </w:rPr>
        <w:t>,</w:t>
      </w:r>
      <w:r w:rsidR="003D7832" w:rsidRPr="00973508">
        <w:rPr>
          <w:rStyle w:val="Hyperlink"/>
          <w:color w:val="auto"/>
          <w:sz w:val="16"/>
          <w:szCs w:val="16"/>
          <w:u w:val="none"/>
        </w:rPr>
        <w:t xml:space="preserve"> Statista</w:t>
      </w:r>
      <w:r w:rsidRPr="00973508">
        <w:rPr>
          <w:sz w:val="16"/>
          <w:szCs w:val="16"/>
        </w:rPr>
        <w:t>.</w:t>
      </w:r>
    </w:p>
  </w:footnote>
  <w:footnote w:id="33">
    <w:p w14:paraId="77498352" w14:textId="28FD1E27" w:rsidR="00293924" w:rsidRPr="00973508" w:rsidRDefault="00293924" w:rsidP="00EF4DCF">
      <w:pPr>
        <w:pStyle w:val="FootnoteText"/>
        <w:ind w:left="0" w:firstLine="0"/>
        <w:rPr>
          <w:sz w:val="16"/>
          <w:szCs w:val="16"/>
        </w:rPr>
      </w:pPr>
      <w:r w:rsidRPr="00973508">
        <w:rPr>
          <w:rStyle w:val="FootnoteReference"/>
          <w:sz w:val="16"/>
          <w:szCs w:val="16"/>
        </w:rPr>
        <w:footnoteRef/>
      </w:r>
      <w:r w:rsidRPr="00973508">
        <w:rPr>
          <w:sz w:val="16"/>
          <w:szCs w:val="16"/>
        </w:rPr>
        <w:t xml:space="preserve"> UK DCMS (2023), </w:t>
      </w:r>
      <w:hyperlink r:id="rId32" w:history="1">
        <w:r w:rsidRPr="00973508">
          <w:rPr>
            <w:rStyle w:val="Hyperlink"/>
            <w:sz w:val="16"/>
            <w:szCs w:val="16"/>
          </w:rPr>
          <w:t>Impact Assessment - Regulation of radio services across voice assistant platforms [PDF 1,627KB]</w:t>
        </w:r>
      </w:hyperlink>
      <w:r w:rsidRPr="00973508">
        <w:rPr>
          <w:sz w:val="16"/>
          <w:szCs w:val="16"/>
        </w:rPr>
        <w:t>, UK DCMS, p 7-8.</w:t>
      </w:r>
    </w:p>
  </w:footnote>
  <w:footnote w:id="34">
    <w:p w14:paraId="5A3FCC4F" w14:textId="3BD70FF7" w:rsidR="00293924" w:rsidRPr="00973508" w:rsidRDefault="00293924" w:rsidP="00EF4DCF">
      <w:pPr>
        <w:pStyle w:val="FootnoteText"/>
        <w:ind w:left="0" w:firstLine="0"/>
        <w:rPr>
          <w:sz w:val="16"/>
          <w:szCs w:val="16"/>
        </w:rPr>
      </w:pPr>
      <w:r w:rsidRPr="00973508">
        <w:rPr>
          <w:rStyle w:val="FootnoteReference"/>
          <w:sz w:val="16"/>
          <w:szCs w:val="16"/>
        </w:rPr>
        <w:footnoteRef/>
      </w:r>
      <w:r w:rsidRPr="00973508">
        <w:rPr>
          <w:sz w:val="16"/>
          <w:szCs w:val="16"/>
        </w:rPr>
        <w:t xml:space="preserve"> </w:t>
      </w:r>
      <w:r w:rsidRPr="00973508">
        <w:rPr>
          <w:sz w:val="16"/>
          <w:szCs w:val="16"/>
          <w:lang w:val="en-US"/>
        </w:rPr>
        <w:t>ACCC (September 2023),</w:t>
      </w:r>
      <w:hyperlink r:id="rId33" w:history="1">
        <w:r w:rsidRPr="00973508">
          <w:rPr>
            <w:rStyle w:val="Hyperlink"/>
            <w:sz w:val="16"/>
            <w:szCs w:val="16"/>
            <w:u w:val="none"/>
            <w:lang w:val="en-US"/>
          </w:rPr>
          <w:t xml:space="preserve"> </w:t>
        </w:r>
        <w:r w:rsidRPr="00973508">
          <w:rPr>
            <w:rStyle w:val="Hyperlink"/>
            <w:sz w:val="16"/>
            <w:szCs w:val="16"/>
            <w:lang w:val="en-US"/>
          </w:rPr>
          <w:t>‘Digital platform services inquiry</w:t>
        </w:r>
        <w:r w:rsidRPr="00973508">
          <w:rPr>
            <w:rStyle w:val="Hyperlink"/>
            <w:sz w:val="16"/>
            <w:szCs w:val="16"/>
          </w:rPr>
          <w:t xml:space="preserve"> – September 2023 interim report</w:t>
        </w:r>
      </w:hyperlink>
      <w:r w:rsidRPr="00973508">
        <w:rPr>
          <w:rStyle w:val="Hyperlink"/>
          <w:sz w:val="16"/>
          <w:szCs w:val="16"/>
          <w:lang w:val="en-US"/>
        </w:rPr>
        <w:t>’,</w:t>
      </w:r>
      <w:r w:rsidRPr="00973508">
        <w:rPr>
          <w:rStyle w:val="Hyperlink"/>
          <w:sz w:val="16"/>
          <w:szCs w:val="16"/>
          <w:u w:val="none"/>
          <w:lang w:val="en-US"/>
        </w:rPr>
        <w:t xml:space="preserve"> </w:t>
      </w:r>
      <w:proofErr w:type="gramStart"/>
      <w:r w:rsidRPr="00973508">
        <w:rPr>
          <w:rStyle w:val="Hyperlink"/>
          <w:color w:val="auto"/>
          <w:sz w:val="16"/>
          <w:szCs w:val="16"/>
          <w:u w:val="none"/>
          <w:lang w:val="en-US"/>
        </w:rPr>
        <w:t xml:space="preserve">ACCC </w:t>
      </w:r>
      <w:r w:rsidRPr="00973508">
        <w:rPr>
          <w:sz w:val="16"/>
          <w:szCs w:val="16"/>
          <w:lang w:val="en-US"/>
        </w:rPr>
        <w:t>,</w:t>
      </w:r>
      <w:proofErr w:type="gramEnd"/>
      <w:r w:rsidRPr="00973508">
        <w:rPr>
          <w:sz w:val="16"/>
          <w:szCs w:val="16"/>
          <w:lang w:val="en-US"/>
        </w:rPr>
        <w:t xml:space="preserve"> p 130.</w:t>
      </w:r>
    </w:p>
  </w:footnote>
  <w:footnote w:id="35">
    <w:p w14:paraId="5C8DE5B6" w14:textId="224B19F1" w:rsidR="00293924" w:rsidRPr="00973508" w:rsidRDefault="00293924" w:rsidP="00EF4DCF">
      <w:pPr>
        <w:pStyle w:val="FootnoteText"/>
        <w:ind w:left="0" w:firstLine="0"/>
        <w:rPr>
          <w:sz w:val="16"/>
          <w:szCs w:val="16"/>
        </w:rPr>
      </w:pPr>
      <w:r w:rsidRPr="00973508">
        <w:rPr>
          <w:rStyle w:val="FootnoteReference"/>
          <w:sz w:val="16"/>
          <w:szCs w:val="16"/>
        </w:rPr>
        <w:footnoteRef/>
      </w:r>
      <w:r w:rsidRPr="00973508">
        <w:rPr>
          <w:sz w:val="16"/>
          <w:szCs w:val="16"/>
        </w:rPr>
        <w:t xml:space="preserve"> </w:t>
      </w:r>
      <w:r w:rsidR="003D7832" w:rsidRPr="00973508">
        <w:rPr>
          <w:sz w:val="16"/>
          <w:szCs w:val="16"/>
          <w:lang w:val="en-US"/>
        </w:rPr>
        <w:t>ACCC (September 2023),</w:t>
      </w:r>
      <w:hyperlink r:id="rId34" w:history="1">
        <w:r w:rsidR="003D7832" w:rsidRPr="00973508">
          <w:rPr>
            <w:rStyle w:val="Hyperlink"/>
            <w:sz w:val="16"/>
            <w:szCs w:val="16"/>
            <w:u w:val="none"/>
            <w:lang w:val="en-US"/>
          </w:rPr>
          <w:t xml:space="preserve"> </w:t>
        </w:r>
        <w:r w:rsidR="003D7832" w:rsidRPr="00973508">
          <w:rPr>
            <w:rStyle w:val="Hyperlink"/>
            <w:sz w:val="16"/>
            <w:szCs w:val="16"/>
            <w:lang w:val="en-US"/>
          </w:rPr>
          <w:t>‘Digital platform services inquiry</w:t>
        </w:r>
        <w:r w:rsidR="003D7832" w:rsidRPr="00973508">
          <w:rPr>
            <w:rStyle w:val="Hyperlink"/>
            <w:sz w:val="16"/>
            <w:szCs w:val="16"/>
          </w:rPr>
          <w:t xml:space="preserve"> – September 2023 interim report</w:t>
        </w:r>
      </w:hyperlink>
      <w:r w:rsidR="003D7832" w:rsidRPr="00973508">
        <w:rPr>
          <w:rStyle w:val="Hyperlink"/>
          <w:sz w:val="16"/>
          <w:szCs w:val="16"/>
          <w:lang w:val="en-US"/>
        </w:rPr>
        <w:t>’,</w:t>
      </w:r>
      <w:r w:rsidR="003D7832" w:rsidRPr="00973508">
        <w:rPr>
          <w:rStyle w:val="Hyperlink"/>
          <w:sz w:val="16"/>
          <w:szCs w:val="16"/>
          <w:u w:val="none"/>
          <w:lang w:val="en-US"/>
        </w:rPr>
        <w:t xml:space="preserve"> </w:t>
      </w:r>
      <w:proofErr w:type="gramStart"/>
      <w:r w:rsidR="003D7832" w:rsidRPr="00973508">
        <w:rPr>
          <w:rStyle w:val="Hyperlink"/>
          <w:color w:val="auto"/>
          <w:sz w:val="16"/>
          <w:szCs w:val="16"/>
          <w:u w:val="none"/>
          <w:lang w:val="en-US"/>
        </w:rPr>
        <w:t xml:space="preserve">ACCC </w:t>
      </w:r>
      <w:r w:rsidR="003D7832" w:rsidRPr="00973508">
        <w:rPr>
          <w:sz w:val="16"/>
          <w:szCs w:val="16"/>
          <w:lang w:val="en-US"/>
        </w:rPr>
        <w:t>,</w:t>
      </w:r>
      <w:proofErr w:type="gramEnd"/>
      <w:r w:rsidR="003D7832" w:rsidRPr="00973508">
        <w:rPr>
          <w:sz w:val="16"/>
          <w:szCs w:val="16"/>
          <w:lang w:val="en-US"/>
        </w:rPr>
        <w:t xml:space="preserve"> </w:t>
      </w:r>
      <w:r w:rsidRPr="00973508">
        <w:rPr>
          <w:sz w:val="16"/>
          <w:szCs w:val="16"/>
          <w:lang w:val="en-US"/>
        </w:rPr>
        <w:t>p 131.</w:t>
      </w:r>
    </w:p>
  </w:footnote>
  <w:footnote w:id="36">
    <w:p w14:paraId="4AB2705A" w14:textId="42A85048" w:rsidR="00293924" w:rsidRPr="00D022DB" w:rsidRDefault="00293924" w:rsidP="00EF4DCF">
      <w:pPr>
        <w:pStyle w:val="FootnoteText"/>
        <w:ind w:left="0" w:firstLine="0"/>
        <w:rPr>
          <w:sz w:val="16"/>
          <w:szCs w:val="16"/>
        </w:rPr>
      </w:pPr>
      <w:r w:rsidRPr="00973508">
        <w:rPr>
          <w:rStyle w:val="FootnoteReference"/>
          <w:sz w:val="16"/>
          <w:szCs w:val="16"/>
        </w:rPr>
        <w:footnoteRef/>
      </w:r>
      <w:r w:rsidRPr="00973508">
        <w:rPr>
          <w:sz w:val="16"/>
          <w:szCs w:val="16"/>
        </w:rPr>
        <w:t xml:space="preserve"> </w:t>
      </w:r>
      <w:r w:rsidR="003D7832" w:rsidRPr="00973508">
        <w:rPr>
          <w:sz w:val="16"/>
          <w:szCs w:val="16"/>
          <w:lang w:val="en-US"/>
        </w:rPr>
        <w:t>ACCC (September 2023),</w:t>
      </w:r>
      <w:hyperlink r:id="rId35" w:history="1">
        <w:r w:rsidR="003D7832" w:rsidRPr="00973508">
          <w:rPr>
            <w:rStyle w:val="Hyperlink"/>
            <w:sz w:val="16"/>
            <w:szCs w:val="16"/>
            <w:u w:val="none"/>
            <w:lang w:val="en-US"/>
          </w:rPr>
          <w:t xml:space="preserve"> </w:t>
        </w:r>
        <w:r w:rsidR="003D7832" w:rsidRPr="00973508">
          <w:rPr>
            <w:rStyle w:val="Hyperlink"/>
            <w:sz w:val="16"/>
            <w:szCs w:val="16"/>
            <w:lang w:val="en-US"/>
          </w:rPr>
          <w:t>‘Digital platform services inquiry</w:t>
        </w:r>
        <w:r w:rsidR="003D7832" w:rsidRPr="00973508">
          <w:rPr>
            <w:rStyle w:val="Hyperlink"/>
            <w:sz w:val="16"/>
            <w:szCs w:val="16"/>
          </w:rPr>
          <w:t xml:space="preserve"> – September 2023 interim report</w:t>
        </w:r>
      </w:hyperlink>
      <w:r w:rsidR="003D7832" w:rsidRPr="00973508">
        <w:rPr>
          <w:rStyle w:val="Hyperlink"/>
          <w:sz w:val="16"/>
          <w:szCs w:val="16"/>
          <w:lang w:val="en-US"/>
        </w:rPr>
        <w:t>’,</w:t>
      </w:r>
      <w:r w:rsidR="003D7832" w:rsidRPr="00973508">
        <w:rPr>
          <w:rStyle w:val="Hyperlink"/>
          <w:sz w:val="16"/>
          <w:szCs w:val="16"/>
          <w:u w:val="none"/>
          <w:lang w:val="en-US"/>
        </w:rPr>
        <w:t xml:space="preserve"> </w:t>
      </w:r>
      <w:proofErr w:type="gramStart"/>
      <w:r w:rsidR="003D7832" w:rsidRPr="00973508">
        <w:rPr>
          <w:rStyle w:val="Hyperlink"/>
          <w:color w:val="auto"/>
          <w:sz w:val="16"/>
          <w:szCs w:val="16"/>
          <w:u w:val="none"/>
          <w:lang w:val="en-US"/>
        </w:rPr>
        <w:t xml:space="preserve">ACCC </w:t>
      </w:r>
      <w:r w:rsidR="003D7832" w:rsidRPr="00973508">
        <w:rPr>
          <w:sz w:val="16"/>
          <w:szCs w:val="16"/>
          <w:lang w:val="en-US"/>
        </w:rPr>
        <w:t>,</w:t>
      </w:r>
      <w:proofErr w:type="gramEnd"/>
      <w:r w:rsidRPr="00973508">
        <w:rPr>
          <w:sz w:val="16"/>
          <w:szCs w:val="16"/>
          <w:lang w:val="en-US"/>
        </w:rPr>
        <w:t>.</w:t>
      </w:r>
    </w:p>
  </w:footnote>
  <w:footnote w:id="37">
    <w:p w14:paraId="3A8D027D" w14:textId="01F4CC5B" w:rsidR="00293924" w:rsidRPr="00D022DB" w:rsidRDefault="00293924" w:rsidP="00EF4DCF">
      <w:pPr>
        <w:pStyle w:val="FootnoteText"/>
        <w:ind w:left="0" w:firstLine="0"/>
        <w:rPr>
          <w:sz w:val="16"/>
          <w:szCs w:val="16"/>
        </w:rPr>
      </w:pPr>
      <w:r w:rsidRPr="00D022DB">
        <w:rPr>
          <w:rStyle w:val="FootnoteReference"/>
          <w:sz w:val="16"/>
          <w:szCs w:val="16"/>
        </w:rPr>
        <w:footnoteRef/>
      </w:r>
      <w:r w:rsidRPr="00D022DB">
        <w:rPr>
          <w:sz w:val="16"/>
          <w:szCs w:val="16"/>
        </w:rPr>
        <w:t xml:space="preserve"> Frontier Economics (2021) </w:t>
      </w:r>
      <w:hyperlink r:id="rId36" w:history="1">
        <w:r w:rsidRPr="00D022DB">
          <w:rPr>
            <w:rStyle w:val="Hyperlink"/>
            <w:sz w:val="16"/>
            <w:szCs w:val="16"/>
          </w:rPr>
          <w:t>Frontier Economics for Bauer Media Audio: The value exchange between voice assistant platforms and radio broadcasters August 2021 [PDF 333KB]</w:t>
        </w:r>
      </w:hyperlink>
      <w:r w:rsidRPr="00D022DB">
        <w:rPr>
          <w:sz w:val="16"/>
          <w:szCs w:val="16"/>
        </w:rPr>
        <w:t>, Frontier Economics, p 5.</w:t>
      </w:r>
    </w:p>
  </w:footnote>
  <w:footnote w:id="38">
    <w:p w14:paraId="4EA54E6D" w14:textId="0D84BE66" w:rsidR="00293924" w:rsidRPr="00D022DB" w:rsidRDefault="00293924" w:rsidP="00EF4DCF">
      <w:pPr>
        <w:pStyle w:val="FootnoteText"/>
        <w:ind w:left="0" w:firstLine="0"/>
        <w:rPr>
          <w:sz w:val="16"/>
          <w:szCs w:val="16"/>
        </w:rPr>
      </w:pPr>
      <w:r w:rsidRPr="00D022DB">
        <w:rPr>
          <w:rStyle w:val="FootnoteReference"/>
          <w:sz w:val="16"/>
          <w:szCs w:val="16"/>
        </w:rPr>
        <w:footnoteRef/>
      </w:r>
      <w:r w:rsidRPr="00D022DB">
        <w:rPr>
          <w:sz w:val="16"/>
          <w:szCs w:val="16"/>
        </w:rPr>
        <w:t xml:space="preserve"> </w:t>
      </w:r>
      <w:r w:rsidR="003D7832" w:rsidRPr="00D022DB">
        <w:rPr>
          <w:sz w:val="16"/>
          <w:szCs w:val="16"/>
        </w:rPr>
        <w:t xml:space="preserve">Frontier Economics (2021) </w:t>
      </w:r>
      <w:hyperlink r:id="rId37" w:history="1">
        <w:r w:rsidR="003D7832" w:rsidRPr="00D022DB">
          <w:rPr>
            <w:rStyle w:val="Hyperlink"/>
            <w:sz w:val="16"/>
            <w:szCs w:val="16"/>
          </w:rPr>
          <w:t>Frontier Economics for Bauer Media Audio: The value exchange between voice assistant platforms and radio broadcasters August 2021 [PDF 333KB]</w:t>
        </w:r>
      </w:hyperlink>
      <w:r w:rsidR="003D7832" w:rsidRPr="00D022DB">
        <w:rPr>
          <w:sz w:val="16"/>
          <w:szCs w:val="16"/>
        </w:rPr>
        <w:t>, Frontier Economics</w:t>
      </w:r>
      <w:r w:rsidR="003D7832">
        <w:rPr>
          <w:sz w:val="16"/>
          <w:szCs w:val="16"/>
        </w:rPr>
        <w:t>, p.5</w:t>
      </w:r>
      <w:r w:rsidRPr="00B019FB">
        <w:rPr>
          <w:sz w:val="16"/>
          <w:szCs w:val="16"/>
        </w:rPr>
        <w:t>.</w:t>
      </w:r>
    </w:p>
  </w:footnote>
  <w:footnote w:id="39">
    <w:p w14:paraId="36BE7D58" w14:textId="4C46B08A" w:rsidR="00293924" w:rsidRPr="00D022DB" w:rsidRDefault="00293924" w:rsidP="00EF4DCF">
      <w:pPr>
        <w:pStyle w:val="FootnoteText"/>
        <w:ind w:left="0" w:firstLine="0"/>
        <w:rPr>
          <w:sz w:val="16"/>
          <w:szCs w:val="16"/>
        </w:rPr>
      </w:pPr>
      <w:r w:rsidRPr="00D022DB">
        <w:rPr>
          <w:rStyle w:val="FootnoteReference"/>
          <w:sz w:val="16"/>
          <w:szCs w:val="16"/>
        </w:rPr>
        <w:footnoteRef/>
      </w:r>
      <w:r w:rsidRPr="00D022DB">
        <w:rPr>
          <w:sz w:val="16"/>
          <w:szCs w:val="16"/>
        </w:rPr>
        <w:t xml:space="preserve"> UK DCMS (2023), </w:t>
      </w:r>
      <w:hyperlink r:id="rId38" w:history="1">
        <w:r w:rsidRPr="00D022DB">
          <w:rPr>
            <w:rStyle w:val="Hyperlink"/>
            <w:sz w:val="16"/>
            <w:szCs w:val="16"/>
          </w:rPr>
          <w:t>Impact Assessment - Regulation of radio services across voice assistant platforms [PDF 1,627KB]</w:t>
        </w:r>
      </w:hyperlink>
      <w:r w:rsidRPr="00D022DB">
        <w:rPr>
          <w:sz w:val="16"/>
          <w:szCs w:val="16"/>
        </w:rPr>
        <w:t>, UK DCMS, p 12.</w:t>
      </w:r>
    </w:p>
  </w:footnote>
  <w:footnote w:id="40">
    <w:p w14:paraId="44DB7954" w14:textId="3CF5DD89" w:rsidR="00293924" w:rsidRPr="00D022DB" w:rsidRDefault="00293924" w:rsidP="00EF4DCF">
      <w:pPr>
        <w:pStyle w:val="FootnoteText"/>
        <w:ind w:left="0" w:firstLine="0"/>
        <w:rPr>
          <w:sz w:val="16"/>
          <w:szCs w:val="16"/>
        </w:rPr>
      </w:pPr>
      <w:r w:rsidRPr="00D022DB">
        <w:rPr>
          <w:rStyle w:val="FootnoteReference"/>
          <w:sz w:val="16"/>
          <w:szCs w:val="16"/>
        </w:rPr>
        <w:footnoteRef/>
      </w:r>
      <w:r w:rsidRPr="00D022DB">
        <w:rPr>
          <w:sz w:val="16"/>
          <w:szCs w:val="16"/>
        </w:rPr>
        <w:t xml:space="preserve"> </w:t>
      </w:r>
      <w:r w:rsidR="003D7832" w:rsidRPr="00D022DB">
        <w:rPr>
          <w:sz w:val="16"/>
          <w:szCs w:val="16"/>
        </w:rPr>
        <w:t xml:space="preserve">UK DCMS (2023), </w:t>
      </w:r>
      <w:hyperlink r:id="rId39" w:history="1">
        <w:r w:rsidR="003D7832" w:rsidRPr="00D022DB">
          <w:rPr>
            <w:rStyle w:val="Hyperlink"/>
            <w:sz w:val="16"/>
            <w:szCs w:val="16"/>
          </w:rPr>
          <w:t>Impact Assessment - Regulation of radio services across voice assistant platforms [PDF 1,627KB]</w:t>
        </w:r>
      </w:hyperlink>
      <w:r w:rsidR="003D7832" w:rsidRPr="00D022DB">
        <w:rPr>
          <w:sz w:val="16"/>
          <w:szCs w:val="16"/>
        </w:rPr>
        <w:t>, UK DCMS, p 12</w:t>
      </w:r>
      <w:r w:rsidRPr="00D022DB">
        <w:rPr>
          <w:sz w:val="16"/>
          <w:szCs w:val="16"/>
        </w:rPr>
        <w:t>.</w:t>
      </w:r>
    </w:p>
  </w:footnote>
  <w:footnote w:id="41">
    <w:p w14:paraId="32CA559F" w14:textId="04AAC074" w:rsidR="00293924" w:rsidRPr="00D022DB" w:rsidRDefault="00293924" w:rsidP="00EF4DCF">
      <w:pPr>
        <w:pStyle w:val="FootnoteText"/>
        <w:ind w:left="0" w:firstLine="0"/>
        <w:rPr>
          <w:sz w:val="16"/>
          <w:szCs w:val="16"/>
        </w:rPr>
      </w:pPr>
      <w:r w:rsidRPr="00D022DB">
        <w:rPr>
          <w:rStyle w:val="FootnoteReference"/>
          <w:sz w:val="16"/>
          <w:szCs w:val="16"/>
        </w:rPr>
        <w:footnoteRef/>
      </w:r>
      <w:r w:rsidRPr="00D022DB">
        <w:rPr>
          <w:sz w:val="16"/>
          <w:szCs w:val="16"/>
        </w:rPr>
        <w:t xml:space="preserve"> </w:t>
      </w:r>
      <w:r w:rsidR="003D7832" w:rsidRPr="00D022DB">
        <w:rPr>
          <w:sz w:val="16"/>
          <w:szCs w:val="16"/>
        </w:rPr>
        <w:t xml:space="preserve">UK DCMS (2023), </w:t>
      </w:r>
      <w:hyperlink r:id="rId40" w:history="1">
        <w:r w:rsidR="003D7832" w:rsidRPr="00D022DB">
          <w:rPr>
            <w:rStyle w:val="Hyperlink"/>
            <w:sz w:val="16"/>
            <w:szCs w:val="16"/>
          </w:rPr>
          <w:t>Impact Assessment - Regulation of radio services across voice assistant platforms [PDF 1,627KB]</w:t>
        </w:r>
      </w:hyperlink>
      <w:r w:rsidR="003D7832" w:rsidRPr="00D022DB">
        <w:rPr>
          <w:sz w:val="16"/>
          <w:szCs w:val="16"/>
        </w:rPr>
        <w:t>, UK DCMS</w:t>
      </w:r>
      <w:r w:rsidRPr="00D022DB">
        <w:rPr>
          <w:sz w:val="16"/>
          <w:szCs w:val="16"/>
        </w:rPr>
        <w:t>, p 12-13.</w:t>
      </w:r>
    </w:p>
  </w:footnote>
  <w:footnote w:id="42">
    <w:p w14:paraId="172673B9" w14:textId="2325A6F8" w:rsidR="00B019FB" w:rsidRPr="00B019FB" w:rsidRDefault="00B019FB" w:rsidP="00101A53">
      <w:pPr>
        <w:pStyle w:val="Sourcenotes"/>
        <w:spacing w:before="0" w:after="0"/>
        <w:rPr>
          <w:szCs w:val="16"/>
        </w:rPr>
      </w:pPr>
      <w:r w:rsidRPr="00B019FB">
        <w:rPr>
          <w:rStyle w:val="FootnoteReference"/>
          <w:szCs w:val="16"/>
        </w:rPr>
        <w:footnoteRef/>
      </w:r>
      <w:r w:rsidRPr="00B019FB">
        <w:rPr>
          <w:szCs w:val="16"/>
        </w:rPr>
        <w:t xml:space="preserve"> </w:t>
      </w:r>
      <w:r w:rsidRPr="00B019FB">
        <w:rPr>
          <w:szCs w:val="16"/>
        </w:rPr>
        <w:t>Due to double counting that occurs between revenue segments and overall internet advertising, the department has adjusted down the internet advertising segment by the double counted amount. These occurs with segments like digital music streaming advertising, where revenue is accounted to both ‘Music, Radio and podcasts’ and ‘Internet advertising’. These differences total</w:t>
      </w:r>
      <w:r w:rsidRPr="00B019FB">
        <w:rPr>
          <w:szCs w:val="16"/>
          <w:lang w:val="en-AU"/>
        </w:rPr>
        <w:t xml:space="preserve"> AUD</w:t>
      </w:r>
      <w:r w:rsidRPr="00B019FB">
        <w:rPr>
          <w:szCs w:val="16"/>
        </w:rPr>
        <w:t xml:space="preserve"> 1.729 billion in 2019, </w:t>
      </w:r>
      <w:r w:rsidRPr="00B019FB">
        <w:rPr>
          <w:szCs w:val="16"/>
          <w:lang w:val="en-AU"/>
        </w:rPr>
        <w:t xml:space="preserve">AUD </w:t>
      </w:r>
      <w:r w:rsidRPr="00B019FB">
        <w:rPr>
          <w:szCs w:val="16"/>
        </w:rPr>
        <w:t>2.127 billion in 2020,</w:t>
      </w:r>
      <w:r w:rsidRPr="00B019FB">
        <w:rPr>
          <w:szCs w:val="16"/>
          <w:lang w:val="en-AU"/>
        </w:rPr>
        <w:t xml:space="preserve"> AUD</w:t>
      </w:r>
      <w:r w:rsidRPr="00B019FB">
        <w:rPr>
          <w:szCs w:val="16"/>
        </w:rPr>
        <w:t xml:space="preserve"> 2.477 billion in 2021, </w:t>
      </w:r>
      <w:r w:rsidRPr="00B019FB">
        <w:rPr>
          <w:szCs w:val="16"/>
          <w:lang w:val="en-AU"/>
        </w:rPr>
        <w:t xml:space="preserve">AUD </w:t>
      </w:r>
      <w:r w:rsidRPr="00B019FB">
        <w:rPr>
          <w:szCs w:val="16"/>
        </w:rPr>
        <w:t>2.781 billion in 2022, and</w:t>
      </w:r>
      <w:r w:rsidRPr="00B019FB">
        <w:rPr>
          <w:szCs w:val="16"/>
          <w:lang w:val="en-AU"/>
        </w:rPr>
        <w:t xml:space="preserve"> AUD</w:t>
      </w:r>
      <w:r w:rsidRPr="00B019FB">
        <w:rPr>
          <w:szCs w:val="16"/>
        </w:rPr>
        <w:t xml:space="preserve"> 3.009 billion in 2023, which the department has removed from internet advertising and left in their original segments. Some minor double counting may still remain.</w:t>
      </w:r>
      <w:r>
        <w:rPr>
          <w:szCs w:val="16"/>
        </w:rPr>
        <w:t xml:space="preserve"> </w:t>
      </w:r>
      <w:r w:rsidRPr="00B019FB">
        <w:rPr>
          <w:szCs w:val="16"/>
        </w:rPr>
        <w:t>The ‘Other’ segment in the graph combines advertising revenue across all segments other than Internet advertising, Traditional TV, and Music, radio and podcasts (business-to-business; cinema; newspaper; consumer magazine and books; OTT video; out-of-home advertising; Traditional TV; Video games and esports).</w:t>
      </w:r>
    </w:p>
  </w:footnote>
  <w:footnote w:id="43">
    <w:p w14:paraId="7D7A035E" w14:textId="65CA4287" w:rsidR="00293924" w:rsidRPr="00D022DB" w:rsidRDefault="00293924">
      <w:pPr>
        <w:pStyle w:val="FootnoteText"/>
        <w:rPr>
          <w:sz w:val="16"/>
          <w:szCs w:val="16"/>
        </w:rPr>
      </w:pPr>
      <w:r w:rsidRPr="00D022DB">
        <w:rPr>
          <w:rStyle w:val="FootnoteReference"/>
          <w:sz w:val="16"/>
          <w:szCs w:val="16"/>
        </w:rPr>
        <w:footnoteRef/>
      </w:r>
      <w:r w:rsidRPr="00D022DB">
        <w:rPr>
          <w:sz w:val="16"/>
          <w:szCs w:val="16"/>
        </w:rPr>
        <w:t xml:space="preserve"> </w:t>
      </w:r>
      <w:r w:rsidR="0073686C" w:rsidRPr="00E2764A">
        <w:rPr>
          <w:sz w:val="16"/>
          <w:szCs w:val="16"/>
        </w:rPr>
        <w:t>UK DCMS</w:t>
      </w:r>
      <w:r w:rsidRPr="00D022DB" w:rsidDel="0073686C">
        <w:rPr>
          <w:sz w:val="16"/>
          <w:szCs w:val="16"/>
        </w:rPr>
        <w:t xml:space="preserve"> </w:t>
      </w:r>
      <w:r w:rsidRPr="00D022DB">
        <w:rPr>
          <w:sz w:val="16"/>
          <w:szCs w:val="16"/>
        </w:rPr>
        <w:t xml:space="preserve">(2024), </w:t>
      </w:r>
      <w:hyperlink r:id="rId41" w:history="1">
        <w:r w:rsidRPr="00D022DB">
          <w:rPr>
            <w:rStyle w:val="Hyperlink"/>
            <w:sz w:val="16"/>
            <w:szCs w:val="16"/>
          </w:rPr>
          <w:t>UK Media Bill Overarching Impact Analysis</w:t>
        </w:r>
      </w:hyperlink>
      <w:r w:rsidRPr="00D022DB">
        <w:rPr>
          <w:sz w:val="16"/>
          <w:szCs w:val="16"/>
        </w:rPr>
        <w:t>,</w:t>
      </w:r>
      <w:r w:rsidR="0073686C">
        <w:rPr>
          <w:sz w:val="16"/>
          <w:szCs w:val="16"/>
        </w:rPr>
        <w:t xml:space="preserve"> UK Gov,</w:t>
      </w:r>
      <w:r w:rsidRPr="00D022DB">
        <w:rPr>
          <w:sz w:val="16"/>
          <w:szCs w:val="16"/>
        </w:rPr>
        <w:t xml:space="preserve"> p 34.</w:t>
      </w:r>
    </w:p>
  </w:footnote>
  <w:footnote w:id="44">
    <w:p w14:paraId="07B70ED7" w14:textId="6E1DCC6A" w:rsidR="00293924" w:rsidRPr="00BA6E34" w:rsidRDefault="00293924" w:rsidP="00746709">
      <w:pPr>
        <w:pStyle w:val="FootnoteText"/>
        <w:ind w:left="0" w:firstLine="0"/>
        <w:rPr>
          <w:sz w:val="16"/>
          <w:szCs w:val="16"/>
        </w:rPr>
      </w:pPr>
      <w:r w:rsidRPr="00D022DB">
        <w:rPr>
          <w:rStyle w:val="FootnoteReference"/>
          <w:sz w:val="16"/>
          <w:szCs w:val="16"/>
        </w:rPr>
        <w:footnoteRef/>
      </w:r>
      <w:r w:rsidRPr="00D022DB">
        <w:rPr>
          <w:sz w:val="16"/>
          <w:szCs w:val="16"/>
        </w:rPr>
        <w:t xml:space="preserve"> Frontier Economics (2023), </w:t>
      </w:r>
      <w:hyperlink r:id="rId42" w:history="1">
        <w:r w:rsidRPr="00D022DB">
          <w:rPr>
            <w:rStyle w:val="Hyperlink"/>
            <w:sz w:val="16"/>
            <w:szCs w:val="16"/>
          </w:rPr>
          <w:t xml:space="preserve">An Assessment of the Bargaining Relationship Between Radio and Voice Assistant Platforms in the Coming Decade: A Report for </w:t>
        </w:r>
        <w:proofErr w:type="spellStart"/>
        <w:r w:rsidRPr="00D022DB">
          <w:rPr>
            <w:rStyle w:val="Hyperlink"/>
            <w:sz w:val="16"/>
            <w:szCs w:val="16"/>
          </w:rPr>
          <w:t>Radiocentre</w:t>
        </w:r>
        <w:proofErr w:type="spellEnd"/>
      </w:hyperlink>
      <w:r w:rsidRPr="00D022DB">
        <w:rPr>
          <w:sz w:val="16"/>
          <w:szCs w:val="16"/>
        </w:rPr>
        <w:t>, March 2023, p 30, as sourced from Annex D: Research, UK Media Bill Overarching Impact Assessment.</w:t>
      </w:r>
    </w:p>
  </w:footnote>
  <w:footnote w:id="45">
    <w:p w14:paraId="71AFCE2C" w14:textId="77777777" w:rsidR="00D40176" w:rsidRPr="00524CC5" w:rsidRDefault="00D40176" w:rsidP="00D40176">
      <w:pPr>
        <w:pStyle w:val="FootnoteText"/>
        <w:ind w:left="0" w:firstLine="0"/>
        <w:rPr>
          <w:sz w:val="16"/>
          <w:szCs w:val="16"/>
          <w:lang w:val="en-US"/>
        </w:rPr>
      </w:pPr>
      <w:r w:rsidRPr="00524CC5">
        <w:rPr>
          <w:rStyle w:val="FootnoteReference"/>
          <w:sz w:val="16"/>
          <w:szCs w:val="16"/>
        </w:rPr>
        <w:footnoteRef/>
      </w:r>
      <w:r w:rsidRPr="00524CC5">
        <w:rPr>
          <w:sz w:val="16"/>
          <w:szCs w:val="16"/>
        </w:rPr>
        <w:t xml:space="preserve"> UK </w:t>
      </w:r>
      <w:r>
        <w:rPr>
          <w:sz w:val="16"/>
          <w:szCs w:val="16"/>
        </w:rPr>
        <w:t>DCMS</w:t>
      </w:r>
      <w:r w:rsidRPr="00524CC5">
        <w:rPr>
          <w:sz w:val="16"/>
          <w:szCs w:val="16"/>
        </w:rPr>
        <w:t xml:space="preserve"> (2024) </w:t>
      </w:r>
      <w:hyperlink r:id="rId43" w:history="1">
        <w:r w:rsidRPr="00524CC5">
          <w:rPr>
            <w:rStyle w:val="Hyperlink"/>
            <w:sz w:val="16"/>
            <w:szCs w:val="16"/>
          </w:rPr>
          <w:t>Media Act 2024</w:t>
        </w:r>
      </w:hyperlink>
      <w:r w:rsidRPr="00524CC5">
        <w:rPr>
          <w:rStyle w:val="Hyperlink"/>
          <w:sz w:val="16"/>
          <w:szCs w:val="16"/>
          <w:u w:val="none"/>
        </w:rPr>
        <w:t xml:space="preserve">, </w:t>
      </w:r>
      <w:r w:rsidRPr="00524CC5">
        <w:rPr>
          <w:rStyle w:val="Hyperlink"/>
          <w:color w:val="auto"/>
          <w:sz w:val="16"/>
          <w:szCs w:val="16"/>
          <w:u w:val="none"/>
        </w:rPr>
        <w:t xml:space="preserve">UK </w:t>
      </w:r>
      <w:r>
        <w:rPr>
          <w:rStyle w:val="Hyperlink"/>
          <w:color w:val="auto"/>
          <w:sz w:val="16"/>
          <w:szCs w:val="16"/>
          <w:u w:val="none"/>
        </w:rPr>
        <w:t>Parliament</w:t>
      </w:r>
      <w:r w:rsidRPr="00524CC5">
        <w:rPr>
          <w:sz w:val="16"/>
          <w:szCs w:val="16"/>
        </w:rPr>
        <w:t>.</w:t>
      </w:r>
    </w:p>
  </w:footnote>
  <w:footnote w:id="46">
    <w:p w14:paraId="60A8E078" w14:textId="77777777" w:rsidR="000724B1" w:rsidRPr="00BA6E34" w:rsidRDefault="000724B1" w:rsidP="000724B1">
      <w:pPr>
        <w:pStyle w:val="FootnoteText"/>
        <w:ind w:left="0" w:firstLine="0"/>
        <w:rPr>
          <w:sz w:val="16"/>
          <w:szCs w:val="16"/>
          <w:lang w:val="en-US"/>
        </w:rPr>
      </w:pPr>
      <w:r w:rsidRPr="00524CC5">
        <w:rPr>
          <w:rStyle w:val="FootnoteReference"/>
          <w:sz w:val="16"/>
          <w:szCs w:val="16"/>
        </w:rPr>
        <w:footnoteRef/>
      </w:r>
      <w:r w:rsidRPr="00524CC5">
        <w:rPr>
          <w:sz w:val="16"/>
          <w:szCs w:val="16"/>
        </w:rPr>
        <w:t xml:space="preserve"> </w:t>
      </w:r>
      <w:r w:rsidRPr="00524CC5" w:rsidDel="008C26D1">
        <w:rPr>
          <w:sz w:val="16"/>
          <w:szCs w:val="16"/>
        </w:rPr>
        <w:t xml:space="preserve"> </w:t>
      </w:r>
      <w:r w:rsidRPr="00524CC5">
        <w:rPr>
          <w:sz w:val="16"/>
          <w:szCs w:val="16"/>
        </w:rPr>
        <w:t xml:space="preserve">UK </w:t>
      </w:r>
      <w:r>
        <w:rPr>
          <w:sz w:val="16"/>
          <w:szCs w:val="16"/>
        </w:rPr>
        <w:t>DCMS</w:t>
      </w:r>
      <w:r w:rsidRPr="00524CC5">
        <w:rPr>
          <w:sz w:val="16"/>
          <w:szCs w:val="16"/>
        </w:rPr>
        <w:t xml:space="preserve"> (2024) </w:t>
      </w:r>
      <w:hyperlink r:id="rId44" w:history="1">
        <w:r w:rsidRPr="00524CC5">
          <w:rPr>
            <w:rStyle w:val="Hyperlink"/>
            <w:sz w:val="16"/>
            <w:szCs w:val="16"/>
          </w:rPr>
          <w:t>Media Act 2024</w:t>
        </w:r>
      </w:hyperlink>
      <w:r w:rsidRPr="00524CC5">
        <w:rPr>
          <w:rStyle w:val="Hyperlink"/>
          <w:sz w:val="16"/>
          <w:szCs w:val="16"/>
          <w:u w:val="none"/>
        </w:rPr>
        <w:t xml:space="preserve">, </w:t>
      </w:r>
      <w:r w:rsidRPr="00524CC5">
        <w:rPr>
          <w:rStyle w:val="Hyperlink"/>
          <w:color w:val="auto"/>
          <w:sz w:val="16"/>
          <w:szCs w:val="16"/>
          <w:u w:val="none"/>
        </w:rPr>
        <w:t xml:space="preserve">UK </w:t>
      </w:r>
      <w:r>
        <w:rPr>
          <w:rStyle w:val="Hyperlink"/>
          <w:color w:val="auto"/>
          <w:sz w:val="16"/>
          <w:szCs w:val="16"/>
          <w:u w:val="none"/>
        </w:rPr>
        <w:t>Parliament</w:t>
      </w:r>
      <w:r w:rsidRPr="00524CC5">
        <w:rPr>
          <w:sz w:val="16"/>
          <w:szCs w:val="16"/>
        </w:rPr>
        <w:t>.</w:t>
      </w:r>
    </w:p>
  </w:footnote>
  <w:footnote w:id="47">
    <w:p w14:paraId="49B8508E" w14:textId="77777777" w:rsidR="000724B1" w:rsidRPr="00BA6E34" w:rsidRDefault="000724B1" w:rsidP="000724B1">
      <w:pPr>
        <w:pStyle w:val="FootnoteText"/>
        <w:jc w:val="both"/>
        <w:rPr>
          <w:sz w:val="16"/>
          <w:szCs w:val="16"/>
        </w:rPr>
      </w:pPr>
      <w:r w:rsidRPr="00BA6E34">
        <w:rPr>
          <w:rStyle w:val="FootnoteReference"/>
          <w:sz w:val="16"/>
          <w:szCs w:val="16"/>
        </w:rPr>
        <w:footnoteRef/>
      </w:r>
      <w:r w:rsidRPr="00BA6E34">
        <w:rPr>
          <w:sz w:val="16"/>
          <w:szCs w:val="16"/>
        </w:rPr>
        <w:t xml:space="preserve"> </w:t>
      </w:r>
      <w:r>
        <w:rPr>
          <w:sz w:val="16"/>
          <w:szCs w:val="16"/>
        </w:rPr>
        <w:t>Ofcom</w:t>
      </w:r>
      <w:r w:rsidRPr="009A7A88">
        <w:rPr>
          <w:sz w:val="16"/>
          <w:szCs w:val="16"/>
        </w:rPr>
        <w:t xml:space="preserve"> (2025), </w:t>
      </w:r>
      <w:r>
        <w:rPr>
          <w:sz w:val="16"/>
          <w:szCs w:val="16"/>
        </w:rPr>
        <w:t>‘</w:t>
      </w:r>
      <w:hyperlink r:id="rId45" w:history="1">
        <w:r w:rsidRPr="009A7A88">
          <w:rPr>
            <w:rStyle w:val="Hyperlink"/>
            <w:sz w:val="16"/>
            <w:szCs w:val="16"/>
          </w:rPr>
          <w:t>Consultation: Designation of Radio Selection Services – principles and methods of Ofcom’s recommendations</w:t>
        </w:r>
      </w:hyperlink>
      <w:r>
        <w:rPr>
          <w:sz w:val="16"/>
          <w:szCs w:val="16"/>
        </w:rPr>
        <w:t>’,</w:t>
      </w:r>
      <w:r w:rsidRPr="009A7A88">
        <w:rPr>
          <w:sz w:val="16"/>
          <w:szCs w:val="16"/>
        </w:rPr>
        <w:t xml:space="preserve"> </w:t>
      </w:r>
      <w:r>
        <w:rPr>
          <w:sz w:val="16"/>
          <w:szCs w:val="16"/>
        </w:rPr>
        <w:t>Ofcom.</w:t>
      </w:r>
    </w:p>
  </w:footnote>
  <w:footnote w:id="48">
    <w:p w14:paraId="3EF7462E" w14:textId="77777777" w:rsidR="000724B1" w:rsidRDefault="000724B1" w:rsidP="000724B1">
      <w:pPr>
        <w:pStyle w:val="FootnoteText"/>
      </w:pPr>
      <w:r w:rsidRPr="00BA6E34">
        <w:rPr>
          <w:rStyle w:val="FootnoteReference"/>
          <w:sz w:val="16"/>
          <w:szCs w:val="16"/>
        </w:rPr>
        <w:footnoteRef/>
      </w:r>
      <w:r w:rsidRPr="00BA6E34">
        <w:rPr>
          <w:sz w:val="16"/>
          <w:szCs w:val="16"/>
        </w:rPr>
        <w:t xml:space="preserve"> </w:t>
      </w:r>
      <w:r w:rsidRPr="00B044AE">
        <w:rPr>
          <w:sz w:val="16"/>
          <w:szCs w:val="16"/>
        </w:rPr>
        <w:t>Ofcom (2024), ‘</w:t>
      </w:r>
      <w:hyperlink r:id="rId46" w:history="1">
        <w:r w:rsidRPr="00B044AE">
          <w:rPr>
            <w:rStyle w:val="Hyperlink"/>
            <w:sz w:val="16"/>
            <w:szCs w:val="16"/>
          </w:rPr>
          <w:t>Media Bill: Ofcom’s roadmap to regulation’</w:t>
        </w:r>
      </w:hyperlink>
      <w:r w:rsidRPr="00B044AE">
        <w:rPr>
          <w:sz w:val="16"/>
          <w:szCs w:val="16"/>
        </w:rPr>
        <w:t>, Ofcom, p.17.</w:t>
      </w:r>
    </w:p>
  </w:footnote>
  <w:footnote w:id="49">
    <w:p w14:paraId="048248D1" w14:textId="572101BD" w:rsidR="00293924" w:rsidRPr="00524CC5" w:rsidRDefault="00293924" w:rsidP="00E4133D">
      <w:pPr>
        <w:pStyle w:val="FootnoteText"/>
        <w:tabs>
          <w:tab w:val="left" w:pos="284"/>
        </w:tabs>
        <w:ind w:left="0" w:firstLine="0"/>
        <w:rPr>
          <w:color w:val="auto"/>
          <w:sz w:val="16"/>
          <w:szCs w:val="16"/>
        </w:rPr>
      </w:pPr>
      <w:r w:rsidRPr="00524CC5">
        <w:rPr>
          <w:rStyle w:val="FootnoteReference"/>
          <w:sz w:val="16"/>
          <w:szCs w:val="16"/>
        </w:rPr>
        <w:footnoteRef/>
      </w:r>
      <w:r w:rsidRPr="00524CC5">
        <w:rPr>
          <w:sz w:val="16"/>
          <w:szCs w:val="16"/>
        </w:rPr>
        <w:t xml:space="preserve"> </w:t>
      </w:r>
      <w:r w:rsidRPr="001311AF">
        <w:rPr>
          <w:sz w:val="16"/>
          <w:szCs w:val="16"/>
        </w:rPr>
        <w:t xml:space="preserve">UK </w:t>
      </w:r>
      <w:r w:rsidR="0073686C">
        <w:rPr>
          <w:sz w:val="16"/>
          <w:szCs w:val="16"/>
        </w:rPr>
        <w:t>DCMS</w:t>
      </w:r>
      <w:r w:rsidRPr="001311AF">
        <w:rPr>
          <w:sz w:val="16"/>
          <w:szCs w:val="16"/>
        </w:rPr>
        <w:t xml:space="preserve">(2023), </w:t>
      </w:r>
      <w:hyperlink r:id="rId47" w:history="1">
        <w:r w:rsidRPr="001311AF">
          <w:rPr>
            <w:rStyle w:val="Hyperlink"/>
            <w:sz w:val="16"/>
            <w:szCs w:val="16"/>
          </w:rPr>
          <w:t>Draft Media Bill: Government Responses to the Committee’s Twelfth and Thirteenth Reports of Session 2022–23</w:t>
        </w:r>
      </w:hyperlink>
      <w:r w:rsidRPr="001311AF">
        <w:rPr>
          <w:rStyle w:val="Hyperlink"/>
          <w:color w:val="auto"/>
          <w:sz w:val="16"/>
          <w:szCs w:val="16"/>
          <w:u w:val="none"/>
        </w:rPr>
        <w:t>, UK Government, p11.</w:t>
      </w:r>
    </w:p>
  </w:footnote>
  <w:footnote w:id="50">
    <w:p w14:paraId="0DDC214F" w14:textId="77777777" w:rsidR="001D77F3" w:rsidRPr="00B019FB" w:rsidRDefault="001D77F3" w:rsidP="001D77F3">
      <w:pPr>
        <w:pStyle w:val="FootnoteText"/>
        <w:ind w:left="0" w:firstLine="0"/>
        <w:rPr>
          <w:sz w:val="16"/>
          <w:szCs w:val="16"/>
        </w:rPr>
      </w:pPr>
      <w:r w:rsidRPr="00D022DB">
        <w:rPr>
          <w:rStyle w:val="FootnoteReference"/>
          <w:sz w:val="16"/>
          <w:szCs w:val="16"/>
        </w:rPr>
        <w:footnoteRef/>
      </w:r>
      <w:r w:rsidRPr="00D022DB">
        <w:rPr>
          <w:sz w:val="16"/>
          <w:szCs w:val="16"/>
        </w:rPr>
        <w:t xml:space="preserve"> Commercial Radio and Audio (CRA) (2018), Voice Request Audit. Unpublished.</w:t>
      </w:r>
    </w:p>
  </w:footnote>
  <w:footnote w:id="51">
    <w:p w14:paraId="5871B48B" w14:textId="0AD4D432" w:rsidR="00E91303" w:rsidRDefault="00E91303">
      <w:pPr>
        <w:pStyle w:val="FootnoteText"/>
      </w:pPr>
      <w:r>
        <w:rPr>
          <w:rStyle w:val="FootnoteReference"/>
        </w:rPr>
        <w:footnoteRef/>
      </w:r>
      <w:r>
        <w:t xml:space="preserve"> </w:t>
      </w:r>
      <w:hyperlink r:id="rId48" w:history="1">
        <w:r w:rsidR="008B6698" w:rsidRPr="008B6698">
          <w:rPr>
            <w:rStyle w:val="Hyperlink"/>
          </w:rPr>
          <w:t>Regulatory Burden Measurement Framework</w:t>
        </w:r>
      </w:hyperlink>
      <w:r w:rsidR="008B6698">
        <w:t>, Office of Impact Analysis, accessed 20 January 2026.</w:t>
      </w:r>
    </w:p>
  </w:footnote>
  <w:footnote w:id="52">
    <w:p w14:paraId="2655C7E0" w14:textId="2E1EF088" w:rsidR="006402AB" w:rsidRDefault="006402AB" w:rsidP="00FE2A91">
      <w:pPr>
        <w:pStyle w:val="FootnoteText"/>
      </w:pPr>
      <w:r>
        <w:rPr>
          <w:rStyle w:val="FootnoteReference"/>
        </w:rPr>
        <w:footnoteRef/>
      </w:r>
      <w:r>
        <w:t xml:space="preserve"> The Likert scale is</w:t>
      </w:r>
      <w:r w:rsidR="003A72AC">
        <w:t xml:space="preserve"> </w:t>
      </w:r>
      <w:r>
        <w:t>commonly</w:t>
      </w:r>
      <w:r w:rsidRPr="006402AB">
        <w:t xml:space="preserve"> used</w:t>
      </w:r>
      <w:r>
        <w:t xml:space="preserve"> as a</w:t>
      </w:r>
      <w:r w:rsidRPr="006402AB">
        <w:t xml:space="preserve"> psychometric tool in educational and social sciences research</w:t>
      </w:r>
      <w:r w:rsidR="00FE2A91">
        <w:t xml:space="preserve">; in this IA the scale has been chosen </w:t>
      </w:r>
      <w:r w:rsidR="00115043">
        <w:t xml:space="preserve">to </w:t>
      </w:r>
      <w:r w:rsidR="00FE2A91">
        <w:t xml:space="preserve">represent </w:t>
      </w:r>
      <w:r w:rsidR="003D2A5D">
        <w:t>the</w:t>
      </w:r>
      <w:r w:rsidR="00FE2A91">
        <w:t xml:space="preserve"> wide range of stakeholder views in a clear and visually appealing way.</w:t>
      </w:r>
    </w:p>
  </w:footnote>
  <w:footnote w:id="53">
    <w:p w14:paraId="681F10B8" w14:textId="77777777" w:rsidR="00C2230D" w:rsidRDefault="00C2230D" w:rsidP="00C2230D">
      <w:pPr>
        <w:pStyle w:val="FootnoteText"/>
      </w:pPr>
      <w:r>
        <w:rPr>
          <w:rStyle w:val="FootnoteReference"/>
        </w:rPr>
        <w:footnoteRef/>
      </w:r>
      <w:r>
        <w:t xml:space="preserve"> </w:t>
      </w:r>
      <w:r w:rsidRPr="00B044AE">
        <w:rPr>
          <w:sz w:val="16"/>
          <w:szCs w:val="16"/>
        </w:rPr>
        <w:t xml:space="preserve">Lobato, R. and Arnot-Bradshaw, A. (2024), </w:t>
      </w:r>
      <w:hyperlink r:id="rId49" w:history="1">
        <w:r w:rsidRPr="00B044AE">
          <w:rPr>
            <w:rStyle w:val="Hyperlink"/>
            <w:sz w:val="16"/>
            <w:szCs w:val="16"/>
          </w:rPr>
          <w:t xml:space="preserve">'Smart speakers and radio distribution in Australia: A submission to the Department of Infrastructure, Transport, Regional Development, Communications and the Arts' </w:t>
        </w:r>
        <w:r w:rsidRPr="009A7A88">
          <w:rPr>
            <w:rStyle w:val="Hyperlink"/>
            <w:i/>
            <w:sz w:val="16"/>
            <w:szCs w:val="16"/>
          </w:rPr>
          <w:t>Radio Prominence on Smart Speakers</w:t>
        </w:r>
        <w:r w:rsidRPr="00B044AE">
          <w:rPr>
            <w:rStyle w:val="Hyperlink"/>
            <w:sz w:val="16"/>
            <w:szCs w:val="16"/>
          </w:rPr>
          <w:t xml:space="preserve"> proposals paper'</w:t>
        </w:r>
      </w:hyperlink>
      <w:r w:rsidRPr="00B044AE">
        <w:rPr>
          <w:sz w:val="16"/>
          <w:szCs w:val="16"/>
        </w:rPr>
        <w:t>, DITRDCSA, p.5.</w:t>
      </w:r>
    </w:p>
  </w:footnote>
  <w:footnote w:id="54">
    <w:p w14:paraId="14C15997" w14:textId="77777777" w:rsidR="00D77D5C" w:rsidRPr="005F7609" w:rsidRDefault="00D77D5C" w:rsidP="00D77D5C">
      <w:pPr>
        <w:pStyle w:val="FootnoteText"/>
        <w:rPr>
          <w:sz w:val="16"/>
          <w:szCs w:val="16"/>
        </w:rPr>
      </w:pPr>
      <w:r w:rsidRPr="005F7609">
        <w:rPr>
          <w:rStyle w:val="FootnoteReference"/>
          <w:sz w:val="16"/>
          <w:szCs w:val="16"/>
        </w:rPr>
        <w:footnoteRef/>
      </w:r>
      <w:r w:rsidRPr="005F7609">
        <w:rPr>
          <w:sz w:val="16"/>
          <w:szCs w:val="16"/>
        </w:rPr>
        <w:t xml:space="preserve"> Ofcom (2025) </w:t>
      </w:r>
      <w:hyperlink r:id="rId50" w:history="1">
        <w:r w:rsidRPr="005F7609">
          <w:rPr>
            <w:rStyle w:val="Hyperlink"/>
            <w:sz w:val="16"/>
            <w:szCs w:val="16"/>
          </w:rPr>
          <w:t>Audio Listening in the UK 2025</w:t>
        </w:r>
      </w:hyperlink>
      <w:r w:rsidRPr="005F7609">
        <w:rPr>
          <w:sz w:val="16"/>
          <w:szCs w:val="16"/>
        </w:rPr>
        <w:t>, p.10</w:t>
      </w:r>
    </w:p>
  </w:footnote>
  <w:footnote w:id="55">
    <w:p w14:paraId="363AEBF8" w14:textId="6F9CDFE5" w:rsidR="00A75D9C" w:rsidRDefault="00A75D9C" w:rsidP="008B6698">
      <w:pPr>
        <w:pStyle w:val="FootnoteText"/>
      </w:pPr>
      <w:r>
        <w:rPr>
          <w:rStyle w:val="FootnoteReference"/>
        </w:rPr>
        <w:footnoteRef/>
      </w:r>
      <w:r>
        <w:t xml:space="preserve"> </w:t>
      </w:r>
      <w:r w:rsidRPr="00B044AE">
        <w:rPr>
          <w:sz w:val="16"/>
          <w:szCs w:val="16"/>
        </w:rPr>
        <w:t xml:space="preserve">Lobato, R. and Arnot-Bradshaw, A. (2024), </w:t>
      </w:r>
      <w:hyperlink r:id="rId51" w:history="1">
        <w:r w:rsidRPr="00B044AE">
          <w:rPr>
            <w:rStyle w:val="Hyperlink"/>
            <w:sz w:val="16"/>
            <w:szCs w:val="16"/>
          </w:rPr>
          <w:t xml:space="preserve">'Smart speakers and radio distribution in Australia: A submission to the Department of Infrastructure, Transport, Regional Development, Communications and the Arts' </w:t>
        </w:r>
        <w:r w:rsidRPr="009A7A88">
          <w:rPr>
            <w:rStyle w:val="Hyperlink"/>
            <w:i/>
            <w:sz w:val="16"/>
            <w:szCs w:val="16"/>
          </w:rPr>
          <w:t>Radio Prominence on Smart Speakers</w:t>
        </w:r>
        <w:r w:rsidRPr="00B044AE">
          <w:rPr>
            <w:rStyle w:val="Hyperlink"/>
            <w:sz w:val="16"/>
            <w:szCs w:val="16"/>
          </w:rPr>
          <w:t xml:space="preserve"> proposals paper'</w:t>
        </w:r>
      </w:hyperlink>
      <w:r w:rsidRPr="00B044AE">
        <w:rPr>
          <w:sz w:val="16"/>
          <w:szCs w:val="16"/>
        </w:rPr>
        <w:t>, DITRDCSA, p.5.</w:t>
      </w:r>
    </w:p>
  </w:footnote>
  <w:footnote w:id="56">
    <w:p w14:paraId="0D82E8E3" w14:textId="30EC1DA4" w:rsidR="00CB18C8" w:rsidRPr="00CB18C8" w:rsidRDefault="00CB18C8" w:rsidP="00CB18C8">
      <w:pPr>
        <w:pStyle w:val="FootnoteText"/>
        <w:ind w:left="0" w:firstLine="0"/>
        <w:rPr>
          <w:sz w:val="16"/>
          <w:szCs w:val="16"/>
          <w:lang w:val="en-US"/>
        </w:rPr>
      </w:pPr>
      <w:r>
        <w:rPr>
          <w:rStyle w:val="FootnoteReference"/>
        </w:rPr>
        <w:footnoteRef/>
      </w:r>
      <w:r>
        <w:t xml:space="preserve"> </w:t>
      </w:r>
      <w:r w:rsidRPr="005F4AB7">
        <w:rPr>
          <w:sz w:val="16"/>
          <w:szCs w:val="16"/>
        </w:rPr>
        <w:t>Social Research Centre (202</w:t>
      </w:r>
      <w:r w:rsidRPr="005D4A1B">
        <w:rPr>
          <w:sz w:val="16"/>
          <w:szCs w:val="16"/>
        </w:rPr>
        <w:t>4</w:t>
      </w:r>
      <w:r w:rsidRPr="005F4AB7">
        <w:rPr>
          <w:sz w:val="16"/>
          <w:szCs w:val="16"/>
        </w:rPr>
        <w:t>), ‘</w:t>
      </w:r>
      <w:hyperlink r:id="rId52" w:history="1">
        <w:r w:rsidRPr="005D4A1B">
          <w:rPr>
            <w:rStyle w:val="Hyperlink"/>
            <w:sz w:val="16"/>
            <w:szCs w:val="16"/>
          </w:rPr>
          <w:t>The Television &amp; Media Survey 2024 – Summary Report’,</w:t>
        </w:r>
      </w:hyperlink>
      <w:r w:rsidRPr="005D4A1B" w:rsidDel="00377B1E">
        <w:t xml:space="preserve"> </w:t>
      </w:r>
      <w:r w:rsidRPr="005F4AB7">
        <w:rPr>
          <w:sz w:val="16"/>
          <w:szCs w:val="16"/>
        </w:rPr>
        <w:t>DITRDC</w:t>
      </w:r>
      <w:r>
        <w:rPr>
          <w:sz w:val="16"/>
          <w:szCs w:val="16"/>
        </w:rPr>
        <w:t>S</w:t>
      </w:r>
      <w:r w:rsidRPr="005F4AB7">
        <w:rPr>
          <w:sz w:val="16"/>
          <w:szCs w:val="16"/>
        </w:rPr>
        <w:t xml:space="preserve">A, p </w:t>
      </w:r>
      <w:r w:rsidRPr="005D4A1B">
        <w:rPr>
          <w:sz w:val="16"/>
          <w:szCs w:val="16"/>
        </w:rPr>
        <w:t>85</w:t>
      </w:r>
      <w:r w:rsidRPr="005F4AB7">
        <w:rPr>
          <w:sz w:val="16"/>
          <w:szCs w:val="16"/>
        </w:rPr>
        <w:t>.</w:t>
      </w:r>
    </w:p>
  </w:footnote>
  <w:footnote w:id="57">
    <w:p w14:paraId="6E5CC682" w14:textId="2A97A96F" w:rsidR="00CB18C8" w:rsidRPr="00395E63" w:rsidRDefault="00CB18C8">
      <w:pPr>
        <w:pStyle w:val="FootnoteText"/>
        <w:rPr>
          <w:sz w:val="16"/>
          <w:szCs w:val="16"/>
        </w:rPr>
      </w:pPr>
      <w:r w:rsidRPr="00395E63">
        <w:rPr>
          <w:rStyle w:val="FootnoteReference"/>
          <w:sz w:val="16"/>
          <w:szCs w:val="16"/>
        </w:rPr>
        <w:footnoteRef/>
      </w:r>
      <w:r w:rsidRPr="00395E63">
        <w:rPr>
          <w:sz w:val="16"/>
          <w:szCs w:val="16"/>
        </w:rPr>
        <w:t xml:space="preserve"> </w:t>
      </w:r>
      <w:hyperlink r:id="rId53" w:history="1">
        <w:r w:rsidR="000941FA" w:rsidRPr="00395E63">
          <w:rPr>
            <w:rStyle w:val="Hyperlink"/>
            <w:sz w:val="16"/>
            <w:szCs w:val="16"/>
          </w:rPr>
          <w:t>Communications Legislation Amendment (Prominence and Anti-siphoning) Bill 2023 [Provisions] – Parliament of Australia</w:t>
        </w:r>
      </w:hyperlink>
    </w:p>
  </w:footnote>
  <w:footnote w:id="58">
    <w:p w14:paraId="7DB16530" w14:textId="08404DED" w:rsidR="00F37199" w:rsidRDefault="00F37199">
      <w:pPr>
        <w:pStyle w:val="FootnoteText"/>
      </w:pPr>
      <w:r>
        <w:rPr>
          <w:rStyle w:val="FootnoteReference"/>
        </w:rPr>
        <w:footnoteRef/>
      </w:r>
      <w:r>
        <w:t xml:space="preserve"> White, L. ‘</w:t>
      </w:r>
      <w:hyperlink r:id="rId54" w:anchor=":~:text=Wi%2DFi%20or%20network%20issues,mute%20button%20once%20to%20reactivate." w:history="1">
        <w:r w:rsidRPr="00F37199">
          <w:rPr>
            <w:rStyle w:val="Hyperlink"/>
          </w:rPr>
          <w:t>Why is my smart speaker not responding and how to troubleshoot voice commands</w:t>
        </w:r>
      </w:hyperlink>
      <w:r>
        <w:t xml:space="preserve">’, </w:t>
      </w:r>
      <w:hyperlink r:id="rId55" w:history="1">
        <w:r w:rsidRPr="0033390C">
          <w:rPr>
            <w:rStyle w:val="Hyperlink"/>
          </w:rPr>
          <w:t>www.alibaba.com</w:t>
        </w:r>
      </w:hyperlink>
      <w:r>
        <w:t>, 10 February 2026.</w:t>
      </w:r>
    </w:p>
  </w:footnote>
  <w:footnote w:id="59">
    <w:p w14:paraId="5908FDC4" w14:textId="5A7DE59F" w:rsidR="003C520B" w:rsidRPr="003C520B" w:rsidRDefault="003C520B">
      <w:pPr>
        <w:pStyle w:val="FootnoteText"/>
        <w:rPr>
          <w:sz w:val="16"/>
          <w:szCs w:val="16"/>
        </w:rPr>
      </w:pPr>
      <w:r w:rsidRPr="003C520B">
        <w:rPr>
          <w:rStyle w:val="FootnoteReference"/>
          <w:sz w:val="16"/>
          <w:szCs w:val="16"/>
        </w:rPr>
        <w:footnoteRef/>
      </w:r>
      <w:r w:rsidRPr="003C520B">
        <w:rPr>
          <w:sz w:val="16"/>
          <w:szCs w:val="16"/>
        </w:rPr>
        <w:t xml:space="preserve"> Australian Government (2025)</w:t>
      </w:r>
      <w:r>
        <w:rPr>
          <w:sz w:val="16"/>
          <w:szCs w:val="16"/>
        </w:rPr>
        <w:t>,</w:t>
      </w:r>
      <w:r w:rsidRPr="003C520B">
        <w:rPr>
          <w:sz w:val="16"/>
          <w:szCs w:val="16"/>
        </w:rPr>
        <w:t xml:space="preserve"> </w:t>
      </w:r>
      <w:hyperlink r:id="rId56" w:history="1">
        <w:r w:rsidRPr="003C520B">
          <w:rPr>
            <w:rStyle w:val="Hyperlink"/>
            <w:sz w:val="16"/>
            <w:szCs w:val="16"/>
          </w:rPr>
          <w:t xml:space="preserve">Have Your Say: Radio prominence on smart </w:t>
        </w:r>
        <w:proofErr w:type="gramStart"/>
        <w:r w:rsidRPr="003C520B">
          <w:rPr>
            <w:rStyle w:val="Hyperlink"/>
            <w:sz w:val="16"/>
            <w:szCs w:val="16"/>
          </w:rPr>
          <w:t>speakers</w:t>
        </w:r>
        <w:proofErr w:type="gramEnd"/>
        <w:r w:rsidRPr="003C520B">
          <w:rPr>
            <w:rStyle w:val="Hyperlink"/>
            <w:sz w:val="16"/>
            <w:szCs w:val="16"/>
          </w:rPr>
          <w:t xml:space="preserve"> proposals paper’</w:t>
        </w:r>
      </w:hyperlink>
      <w:r w:rsidRPr="003C520B">
        <w:rPr>
          <w:sz w:val="16"/>
          <w:szCs w:val="16"/>
        </w:rPr>
        <w:t xml:space="preserve">, DITRDCSA </w:t>
      </w:r>
    </w:p>
  </w:footnote>
  <w:footnote w:id="60">
    <w:p w14:paraId="6B711D0B" w14:textId="76D5A414" w:rsidR="00293924" w:rsidRPr="00F75F3E" w:rsidRDefault="00293924">
      <w:pPr>
        <w:pStyle w:val="FootnoteText"/>
        <w:rPr>
          <w:sz w:val="16"/>
          <w:szCs w:val="16"/>
        </w:rPr>
      </w:pPr>
      <w:r w:rsidRPr="00F75F3E">
        <w:rPr>
          <w:rStyle w:val="FootnoteReference"/>
          <w:sz w:val="16"/>
          <w:szCs w:val="16"/>
        </w:rPr>
        <w:footnoteRef/>
      </w:r>
      <w:r w:rsidRPr="00F75F3E">
        <w:rPr>
          <w:sz w:val="16"/>
          <w:szCs w:val="16"/>
        </w:rPr>
        <w:t xml:space="preserve"> </w:t>
      </w:r>
      <w:r w:rsidR="00DF65EA" w:rsidRPr="00F75F3E">
        <w:rPr>
          <w:sz w:val="16"/>
          <w:szCs w:val="16"/>
        </w:rPr>
        <w:t>Australian Government (2025), ‘</w:t>
      </w:r>
      <w:hyperlink r:id="rId57" w:history="1">
        <w:r w:rsidR="00DF65EA" w:rsidRPr="00F75F3E">
          <w:rPr>
            <w:rStyle w:val="Hyperlink"/>
            <w:sz w:val="16"/>
            <w:szCs w:val="16"/>
          </w:rPr>
          <w:t xml:space="preserve">Have Your Say: Radio prominence on smart </w:t>
        </w:r>
        <w:proofErr w:type="gramStart"/>
        <w:r w:rsidR="00DF65EA" w:rsidRPr="00F75F3E">
          <w:rPr>
            <w:rStyle w:val="Hyperlink"/>
            <w:sz w:val="16"/>
            <w:szCs w:val="16"/>
          </w:rPr>
          <w:t>speakers</w:t>
        </w:r>
        <w:proofErr w:type="gramEnd"/>
        <w:r w:rsidR="00DF65EA" w:rsidRPr="00F75F3E">
          <w:rPr>
            <w:rStyle w:val="Hyperlink"/>
            <w:sz w:val="16"/>
            <w:szCs w:val="16"/>
          </w:rPr>
          <w:t xml:space="preserve"> proposals paper’</w:t>
        </w:r>
      </w:hyperlink>
      <w:r w:rsidR="00DF65EA" w:rsidRPr="00F75F3E">
        <w:rPr>
          <w:sz w:val="16"/>
          <w:szCs w:val="16"/>
        </w:rPr>
        <w:t xml:space="preserve">, </w:t>
      </w:r>
      <w:r w:rsidR="00B63237" w:rsidRPr="00F75F3E">
        <w:rPr>
          <w:sz w:val="16"/>
          <w:szCs w:val="16"/>
        </w:rPr>
        <w:t>DITRDCSA</w:t>
      </w:r>
      <w:r w:rsidR="00DF65EA" w:rsidRPr="00F75F3E">
        <w:rPr>
          <w:sz w:val="16"/>
          <w:szCs w:val="16"/>
        </w:rPr>
        <w:t>, Table 1, p7-8.</w:t>
      </w:r>
    </w:p>
  </w:footnote>
  <w:footnote w:id="61">
    <w:p w14:paraId="0B5BC496" w14:textId="64979744" w:rsidR="002829F6" w:rsidRPr="0074315A" w:rsidRDefault="002829F6" w:rsidP="0074315A">
      <w:pPr>
        <w:spacing w:before="0" w:after="0"/>
        <w:rPr>
          <w:sz w:val="16"/>
          <w:szCs w:val="16"/>
        </w:rPr>
      </w:pPr>
      <w:r w:rsidRPr="0074315A">
        <w:rPr>
          <w:rStyle w:val="FootnoteReference"/>
          <w:sz w:val="16"/>
          <w:szCs w:val="16"/>
        </w:rPr>
        <w:footnoteRef/>
      </w:r>
      <w:r w:rsidRPr="0074315A">
        <w:rPr>
          <w:sz w:val="16"/>
          <w:szCs w:val="16"/>
        </w:rPr>
        <w:t xml:space="preserve"> As option 1 represents the status quo, there is no regulatory burden measure to calculate. Option 3 represents a non-regulatory solution to the policy issue. While there may be costs incurred by business and community organisations in implementing the solution, there would be no regulatory requirements for participation, and so no regulatory burden has been considered.</w:t>
      </w:r>
    </w:p>
  </w:footnote>
  <w:footnote w:id="62">
    <w:p w14:paraId="363E2A45" w14:textId="3FCEABC6" w:rsidR="00DB1053" w:rsidRPr="0074315A" w:rsidRDefault="00DB1053" w:rsidP="002829F6">
      <w:pPr>
        <w:pStyle w:val="FootnoteText"/>
        <w:rPr>
          <w:sz w:val="16"/>
          <w:szCs w:val="16"/>
        </w:rPr>
      </w:pPr>
      <w:r w:rsidRPr="0074315A">
        <w:rPr>
          <w:rStyle w:val="FootnoteReference"/>
          <w:sz w:val="16"/>
          <w:szCs w:val="16"/>
        </w:rPr>
        <w:footnoteRef/>
      </w:r>
      <w:r w:rsidRPr="0074315A">
        <w:rPr>
          <w:sz w:val="16"/>
          <w:szCs w:val="16"/>
        </w:rPr>
        <w:t xml:space="preserve"> </w:t>
      </w:r>
      <w:hyperlink r:id="rId58" w:history="1">
        <w:r w:rsidR="00C1132B" w:rsidRPr="0074315A">
          <w:rPr>
            <w:rStyle w:val="Hyperlink"/>
            <w:sz w:val="16"/>
            <w:szCs w:val="16"/>
          </w:rPr>
          <w:t>Compliance officer salary in Australia</w:t>
        </w:r>
      </w:hyperlink>
      <w:r w:rsidR="00C1132B" w:rsidRPr="0074315A">
        <w:rPr>
          <w:sz w:val="16"/>
          <w:szCs w:val="16"/>
        </w:rPr>
        <w:t xml:space="preserve"> accessed on 17 Dec 2025</w:t>
      </w:r>
    </w:p>
  </w:footnote>
  <w:footnote w:id="63">
    <w:p w14:paraId="392BB5A7" w14:textId="28BE3953" w:rsidR="003C31A8" w:rsidRPr="0074315A" w:rsidRDefault="003C31A8" w:rsidP="002829F6">
      <w:pPr>
        <w:pStyle w:val="FootnoteText"/>
        <w:rPr>
          <w:sz w:val="16"/>
          <w:szCs w:val="16"/>
        </w:rPr>
      </w:pPr>
      <w:r w:rsidRPr="0074315A">
        <w:rPr>
          <w:rStyle w:val="FootnoteReference"/>
          <w:sz w:val="16"/>
          <w:szCs w:val="16"/>
        </w:rPr>
        <w:footnoteRef/>
      </w:r>
      <w:r w:rsidRPr="0074315A">
        <w:rPr>
          <w:sz w:val="16"/>
          <w:szCs w:val="16"/>
        </w:rPr>
        <w:t xml:space="preserve"> </w:t>
      </w:r>
      <w:hyperlink r:id="rId59" w:history="1">
        <w:r w:rsidR="00C1132B" w:rsidRPr="0074315A">
          <w:rPr>
            <w:rStyle w:val="Hyperlink"/>
            <w:sz w:val="16"/>
            <w:szCs w:val="16"/>
          </w:rPr>
          <w:t>Software engineer salary in Australia</w:t>
        </w:r>
      </w:hyperlink>
      <w:r w:rsidR="00C1132B" w:rsidRPr="0074315A">
        <w:rPr>
          <w:sz w:val="16"/>
          <w:szCs w:val="16"/>
        </w:rPr>
        <w:t xml:space="preserve">  accessed on 17 Dec 2025</w:t>
      </w:r>
    </w:p>
  </w:footnote>
  <w:footnote w:id="64">
    <w:p w14:paraId="15C8143A" w14:textId="72EA6AA2" w:rsidR="0040434D" w:rsidRDefault="0040434D" w:rsidP="002829F6">
      <w:pPr>
        <w:pStyle w:val="FootnoteText"/>
      </w:pPr>
      <w:r w:rsidRPr="0074315A">
        <w:rPr>
          <w:rStyle w:val="FootnoteReference"/>
          <w:sz w:val="16"/>
          <w:szCs w:val="16"/>
        </w:rPr>
        <w:footnoteRef/>
      </w:r>
      <w:r w:rsidRPr="0074315A">
        <w:rPr>
          <w:sz w:val="16"/>
          <w:szCs w:val="16"/>
        </w:rPr>
        <w:t xml:space="preserve"> CRA lists 20 networks </w:t>
      </w:r>
      <w:hyperlink r:id="rId60" w:history="1">
        <w:r w:rsidRPr="0074315A">
          <w:rPr>
            <w:rStyle w:val="Hyperlink"/>
            <w:sz w:val="16"/>
            <w:szCs w:val="16"/>
          </w:rPr>
          <w:t>Find a Station - Network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7A11D" w14:textId="045B57E8" w:rsidR="00293924" w:rsidRDefault="00BA2C60">
    <w:pPr>
      <w:pStyle w:val="Header"/>
    </w:pPr>
    <w:r>
      <w:rPr>
        <w:noProof/>
      </w:rPr>
      <mc:AlternateContent>
        <mc:Choice Requires="wps">
          <w:drawing>
            <wp:anchor distT="0" distB="0" distL="0" distR="0" simplePos="0" relativeHeight="251658242" behindDoc="0" locked="0" layoutInCell="1" allowOverlap="1" wp14:anchorId="2A30E534" wp14:editId="423E16B5">
              <wp:simplePos x="635" y="635"/>
              <wp:positionH relativeFrom="page">
                <wp:align>center</wp:align>
              </wp:positionH>
              <wp:positionV relativeFrom="page">
                <wp:align>top</wp:align>
              </wp:positionV>
              <wp:extent cx="726440" cy="509270"/>
              <wp:effectExtent l="0" t="0" r="16510" b="5080"/>
              <wp:wrapNone/>
              <wp:docPr id="38910901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3C013C06" w14:textId="166875B1" w:rsidR="00BA2C60" w:rsidRPr="00BA2C60" w:rsidRDefault="00BA2C60" w:rsidP="00BA2C60">
                          <w:pPr>
                            <w:spacing w:after="0"/>
                            <w:rPr>
                              <w:rFonts w:ascii="Aptos" w:eastAsia="Aptos" w:hAnsi="Aptos" w:cs="Aptos"/>
                              <w:noProof/>
                              <w:color w:val="FF0000"/>
                              <w:sz w:val="28"/>
                              <w:szCs w:val="28"/>
                            </w:rPr>
                          </w:pPr>
                          <w:r w:rsidRPr="00BA2C60">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30E534" id="_x0000_t202" coordsize="21600,21600" o:spt="202" path="m,l,21600r21600,l21600,xe">
              <v:stroke joinstyle="miter"/>
              <v:path gradientshapeok="t" o:connecttype="rect"/>
            </v:shapetype>
            <v:shape id="Text Box 2" o:spid="_x0000_s1026" type="#_x0000_t202" alt="OFFICIAL" style="position:absolute;left:0;text-align:left;margin-left:0;margin-top:0;width:57.2pt;height:40.1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" filled="f" stroked="f">
              <v:textbox style="mso-fit-shape-to-text:t" inset="0,15pt,0,0">
                <w:txbxContent>
                  <w:p w14:paraId="3C013C06" w14:textId="166875B1" w:rsidR="00BA2C60" w:rsidRPr="00BA2C60" w:rsidRDefault="00BA2C60" w:rsidP="00BA2C60">
                    <w:pPr>
                      <w:spacing w:after="0"/>
                      <w:rPr>
                        <w:rFonts w:ascii="Aptos" w:eastAsia="Aptos" w:hAnsi="Aptos" w:cs="Aptos"/>
                        <w:noProof/>
                        <w:color w:val="FF0000"/>
                        <w:sz w:val="28"/>
                        <w:szCs w:val="28"/>
                      </w:rPr>
                    </w:pPr>
                    <w:r w:rsidRPr="00BA2C60">
                      <w:rPr>
                        <w:rFonts w:ascii="Aptos" w:eastAsia="Aptos" w:hAnsi="Aptos" w:cs="Aptos"/>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83955" w14:textId="3F481262" w:rsidR="00293924" w:rsidRDefault="00293924" w:rsidP="00D86E40">
    <w:pPr>
      <w:pStyle w:val="Header"/>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AAE1A" w14:textId="500C5666" w:rsidR="00293924" w:rsidRDefault="00BA2C60" w:rsidP="00546218">
    <w:pPr>
      <w:pStyle w:val="Header"/>
      <w:spacing w:after="1320"/>
    </w:pPr>
    <w:r>
      <w:rPr>
        <w:noProof/>
      </w:rPr>
      <mc:AlternateContent>
        <mc:Choice Requires="wps">
          <w:drawing>
            <wp:anchor distT="0" distB="0" distL="0" distR="0" simplePos="0" relativeHeight="251658241" behindDoc="0" locked="0" layoutInCell="1" allowOverlap="1" wp14:anchorId="4E53116D" wp14:editId="06E80ABC">
              <wp:simplePos x="635" y="635"/>
              <wp:positionH relativeFrom="page">
                <wp:align>center</wp:align>
              </wp:positionH>
              <wp:positionV relativeFrom="page">
                <wp:align>top</wp:align>
              </wp:positionV>
              <wp:extent cx="726440" cy="509270"/>
              <wp:effectExtent l="0" t="0" r="16510" b="5080"/>
              <wp:wrapNone/>
              <wp:docPr id="120125569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028B81A3" w14:textId="3CF8F4C6" w:rsidR="00BA2C60" w:rsidRPr="00BA2C60" w:rsidRDefault="00BA2C60" w:rsidP="00BA2C60">
                          <w:pPr>
                            <w:spacing w:after="0"/>
                            <w:rPr>
                              <w:rFonts w:ascii="Aptos" w:eastAsia="Aptos" w:hAnsi="Aptos" w:cs="Aptos"/>
                              <w:noProof/>
                              <w:color w:val="FF0000"/>
                              <w:sz w:val="28"/>
                              <w:szCs w:val="28"/>
                            </w:rPr>
                          </w:pPr>
                          <w:r w:rsidRPr="00BA2C60">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E53116D" id="_x0000_t202" coordsize="21600,21600" o:spt="202" path="m,l,21600r21600,l21600,xe">
              <v:stroke joinstyle="miter"/>
              <v:path gradientshapeok="t" o:connecttype="rect"/>
            </v:shapetype>
            <v:shape id="Text Box 1" o:spid="_x0000_s1028" type="#_x0000_t202" alt="OFFICIAL" style="position:absolute;left:0;text-align:left;margin-left:0;margin-top:0;width:57.2pt;height:40.1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" filled="f" stroked="f">
              <v:textbox style="mso-fit-shape-to-text:t" inset="0,15pt,0,0">
                <w:txbxContent>
                  <w:p w14:paraId="028B81A3" w14:textId="3CF8F4C6" w:rsidR="00BA2C60" w:rsidRPr="00BA2C60" w:rsidRDefault="00BA2C60" w:rsidP="00BA2C60">
                    <w:pPr>
                      <w:spacing w:after="0"/>
                      <w:rPr>
                        <w:rFonts w:ascii="Aptos" w:eastAsia="Aptos" w:hAnsi="Aptos" w:cs="Aptos"/>
                        <w:noProof/>
                        <w:color w:val="FF0000"/>
                        <w:sz w:val="28"/>
                        <w:szCs w:val="28"/>
                      </w:rPr>
                    </w:pPr>
                    <w:r w:rsidRPr="00BA2C60">
                      <w:rPr>
                        <w:rFonts w:ascii="Aptos" w:eastAsia="Aptos" w:hAnsi="Aptos" w:cs="Aptos"/>
                        <w:noProof/>
                        <w:color w:val="FF0000"/>
                        <w:sz w:val="28"/>
                        <w:szCs w:val="28"/>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70389" w14:textId="5CA26FBD" w:rsidR="00293924" w:rsidRDefault="00BA2C60">
    <w:pPr>
      <w:pStyle w:val="Header"/>
    </w:pPr>
    <w:r>
      <w:rPr>
        <w:noProof/>
      </w:rPr>
      <mc:AlternateContent>
        <mc:Choice Requires="wps">
          <w:drawing>
            <wp:anchor distT="0" distB="0" distL="0" distR="0" simplePos="0" relativeHeight="251658243" behindDoc="0" locked="0" layoutInCell="1" allowOverlap="1" wp14:anchorId="114ADB6E" wp14:editId="3AD45021">
              <wp:simplePos x="635" y="635"/>
              <wp:positionH relativeFrom="page">
                <wp:align>center</wp:align>
              </wp:positionH>
              <wp:positionV relativeFrom="page">
                <wp:align>top</wp:align>
              </wp:positionV>
              <wp:extent cx="726440" cy="509270"/>
              <wp:effectExtent l="0" t="0" r="16510" b="5080"/>
              <wp:wrapNone/>
              <wp:docPr id="698621116"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06FCF627" w14:textId="317BFC74" w:rsidR="00BA2C60" w:rsidRPr="00BA2C60" w:rsidRDefault="00BA2C60" w:rsidP="00BA2C60">
                          <w:pPr>
                            <w:spacing w:after="0"/>
                            <w:rPr>
                              <w:rFonts w:ascii="Aptos" w:eastAsia="Aptos" w:hAnsi="Aptos" w:cs="Aptos"/>
                              <w:noProof/>
                              <w:color w:val="FF0000"/>
                              <w:sz w:val="28"/>
                              <w:szCs w:val="28"/>
                            </w:rPr>
                          </w:pPr>
                          <w:r w:rsidRPr="00BA2C60">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4ADB6E" id="_x0000_t202" coordsize="21600,21600" o:spt="202" path="m,l,21600r21600,l21600,xe">
              <v:stroke joinstyle="miter"/>
              <v:path gradientshapeok="t" o:connecttype="rect"/>
            </v:shapetype>
            <v:shape id="Text Box 8" o:spid="_x0000_s1031" type="#_x0000_t202" alt="OFFICIAL" style="position:absolute;left:0;text-align:left;margin-left:0;margin-top:0;width:57.2pt;height:40.1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" filled="f" stroked="f">
              <v:textbox style="mso-fit-shape-to-text:t" inset="0,15pt,0,0">
                <w:txbxContent>
                  <w:p w14:paraId="06FCF627" w14:textId="317BFC74" w:rsidR="00BA2C60" w:rsidRPr="00BA2C60" w:rsidRDefault="00BA2C60" w:rsidP="00BA2C60">
                    <w:pPr>
                      <w:spacing w:after="0"/>
                      <w:rPr>
                        <w:rFonts w:ascii="Aptos" w:eastAsia="Aptos" w:hAnsi="Aptos" w:cs="Aptos"/>
                        <w:noProof/>
                        <w:color w:val="FF0000"/>
                        <w:sz w:val="28"/>
                        <w:szCs w:val="28"/>
                      </w:rPr>
                    </w:pPr>
                    <w:r w:rsidRPr="00BA2C60">
                      <w:rPr>
                        <w:rFonts w:ascii="Aptos" w:eastAsia="Aptos" w:hAnsi="Aptos" w:cs="Aptos"/>
                        <w:noProof/>
                        <w:color w:val="FF0000"/>
                        <w:sz w:val="28"/>
                        <w:szCs w:val="28"/>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4B199" w14:textId="77777777" w:rsidR="00293924" w:rsidRPr="00D86E40" w:rsidRDefault="00293924" w:rsidP="00D86E4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964FA" w14:textId="4AF60ECB" w:rsidR="00293924" w:rsidRDefault="00BA2C60" w:rsidP="00827492">
    <w:pPr>
      <w:pStyle w:val="SecurityMarker"/>
    </w:pPr>
    <w:r>
      <w:rPr>
        <w:noProof/>
      </w:rPr>
      <mc:AlternateContent>
        <mc:Choice Requires="wps">
          <w:drawing>
            <wp:anchor distT="0" distB="0" distL="0" distR="0" simplePos="0" relativeHeight="251658240" behindDoc="0" locked="0" layoutInCell="1" allowOverlap="1" wp14:anchorId="0D66144C" wp14:editId="119B1360">
              <wp:simplePos x="635" y="635"/>
              <wp:positionH relativeFrom="page">
                <wp:align>center</wp:align>
              </wp:positionH>
              <wp:positionV relativeFrom="page">
                <wp:align>top</wp:align>
              </wp:positionV>
              <wp:extent cx="726440" cy="509270"/>
              <wp:effectExtent l="0" t="0" r="16510" b="5080"/>
              <wp:wrapNone/>
              <wp:docPr id="350021439"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051DA2F6" w14:textId="5D015D21" w:rsidR="00BA2C60" w:rsidRPr="00BA2C60" w:rsidRDefault="00BA2C60" w:rsidP="00BA2C60">
                          <w:pPr>
                            <w:spacing w:after="0"/>
                            <w:rPr>
                              <w:rFonts w:ascii="Aptos" w:eastAsia="Aptos" w:hAnsi="Aptos" w:cs="Aptos"/>
                              <w:noProof/>
                              <w:color w:val="FF0000"/>
                              <w:sz w:val="28"/>
                              <w:szCs w:val="28"/>
                            </w:rPr>
                          </w:pPr>
                          <w:r w:rsidRPr="00BA2C60">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66144C" id="_x0000_t202" coordsize="21600,21600" o:spt="202" path="m,l,21600r21600,l21600,xe">
              <v:stroke joinstyle="miter"/>
              <v:path gradientshapeok="t" o:connecttype="rect"/>
            </v:shapetype>
            <v:shape id="Text Box 7" o:spid="_x0000_s1032" type="#_x0000_t202" alt="OFFICIAL" style="position:absolute;left:0;text-align:left;margin-left:0;margin-top:0;width:57.2pt;height:40.1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" filled="f" stroked="f">
              <v:textbox style="mso-fit-shape-to-text:t" inset="0,15pt,0,0">
                <w:txbxContent>
                  <w:p w14:paraId="051DA2F6" w14:textId="5D015D21" w:rsidR="00BA2C60" w:rsidRPr="00BA2C60" w:rsidRDefault="00BA2C60" w:rsidP="00BA2C60">
                    <w:pPr>
                      <w:spacing w:after="0"/>
                      <w:rPr>
                        <w:rFonts w:ascii="Aptos" w:eastAsia="Aptos" w:hAnsi="Aptos" w:cs="Aptos"/>
                        <w:noProof/>
                        <w:color w:val="FF0000"/>
                        <w:sz w:val="28"/>
                        <w:szCs w:val="28"/>
                      </w:rPr>
                    </w:pPr>
                    <w:r w:rsidRPr="00BA2C60">
                      <w:rPr>
                        <w:rFonts w:ascii="Aptos" w:eastAsia="Aptos" w:hAnsi="Aptos" w:cs="Aptos"/>
                        <w:noProof/>
                        <w:color w:val="FF0000"/>
                        <w:sz w:val="28"/>
                        <w:szCs w:val="28"/>
                      </w:rPr>
                      <w:t>OFFICIAL</w:t>
                    </w:r>
                  </w:p>
                </w:txbxContent>
              </v:textbox>
              <w10:wrap anchorx="page" anchory="page"/>
            </v:shape>
          </w:pict>
        </mc:Fallback>
      </mc:AlternateContent>
    </w:r>
  </w:p>
  <w:p w14:paraId="56CA8AE7" w14:textId="1D563C33" w:rsidR="00293924" w:rsidRDefault="00293924" w:rsidP="00827492">
    <w:pPr>
      <w:pStyle w:val="SecurityMarker"/>
    </w:pPr>
    <w:r>
      <w:t>OFFICIAL / OFFICIAL: SENSITIVE / PROTECTEDSELECT THE CLASSIFICATION MARKER ABOVE THAT APPLIES TO YOUR DOCUMENT, THEN DELETE THE OTHERS AND THIS TEXT&gt;</w:t>
    </w:r>
  </w:p>
  <w:p w14:paraId="1233BCF0" w14:textId="463B9757" w:rsidR="00293924" w:rsidRDefault="009C6651" w:rsidP="00BA24FB">
    <w:pPr>
      <w:pStyle w:val="Header"/>
      <w:spacing w:after="720"/>
    </w:pPr>
    <w:fldSimple w:instr=" STYLEREF  &quot;Heading 1&quot; \l  \* MERGEFORMAT ">
      <w:r>
        <w:rPr>
          <w:noProof/>
        </w:rPr>
        <w:t>Summary</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5234"/>
    <w:multiLevelType w:val="hybridMultilevel"/>
    <w:tmpl w:val="B61E19DA"/>
    <w:lvl w:ilvl="0" w:tplc="0C090001">
      <w:start w:val="1"/>
      <w:numFmt w:val="bullet"/>
      <w:lvlText w:val=""/>
      <w:lvlJc w:val="left"/>
      <w:pPr>
        <w:ind w:left="645" w:hanging="360"/>
      </w:pPr>
      <w:rPr>
        <w:rFonts w:ascii="Symbol" w:hAnsi="Symbol" w:hint="default"/>
      </w:rPr>
    </w:lvl>
    <w:lvl w:ilvl="1" w:tplc="0C090003" w:tentative="1">
      <w:start w:val="1"/>
      <w:numFmt w:val="bullet"/>
      <w:lvlText w:val="o"/>
      <w:lvlJc w:val="left"/>
      <w:pPr>
        <w:ind w:left="1365" w:hanging="360"/>
      </w:pPr>
      <w:rPr>
        <w:rFonts w:ascii="Courier New" w:hAnsi="Courier New" w:cs="Courier New" w:hint="default"/>
      </w:rPr>
    </w:lvl>
    <w:lvl w:ilvl="2" w:tplc="0C090005" w:tentative="1">
      <w:start w:val="1"/>
      <w:numFmt w:val="bullet"/>
      <w:lvlText w:val=""/>
      <w:lvlJc w:val="left"/>
      <w:pPr>
        <w:ind w:left="2085" w:hanging="360"/>
      </w:pPr>
      <w:rPr>
        <w:rFonts w:ascii="Wingdings" w:hAnsi="Wingdings" w:hint="default"/>
      </w:rPr>
    </w:lvl>
    <w:lvl w:ilvl="3" w:tplc="0C090001" w:tentative="1">
      <w:start w:val="1"/>
      <w:numFmt w:val="bullet"/>
      <w:lvlText w:val=""/>
      <w:lvlJc w:val="left"/>
      <w:pPr>
        <w:ind w:left="2805" w:hanging="360"/>
      </w:pPr>
      <w:rPr>
        <w:rFonts w:ascii="Symbol" w:hAnsi="Symbol" w:hint="default"/>
      </w:rPr>
    </w:lvl>
    <w:lvl w:ilvl="4" w:tplc="0C090003" w:tentative="1">
      <w:start w:val="1"/>
      <w:numFmt w:val="bullet"/>
      <w:lvlText w:val="o"/>
      <w:lvlJc w:val="left"/>
      <w:pPr>
        <w:ind w:left="3525" w:hanging="360"/>
      </w:pPr>
      <w:rPr>
        <w:rFonts w:ascii="Courier New" w:hAnsi="Courier New" w:cs="Courier New" w:hint="default"/>
      </w:rPr>
    </w:lvl>
    <w:lvl w:ilvl="5" w:tplc="0C090005" w:tentative="1">
      <w:start w:val="1"/>
      <w:numFmt w:val="bullet"/>
      <w:lvlText w:val=""/>
      <w:lvlJc w:val="left"/>
      <w:pPr>
        <w:ind w:left="4245" w:hanging="360"/>
      </w:pPr>
      <w:rPr>
        <w:rFonts w:ascii="Wingdings" w:hAnsi="Wingdings" w:hint="default"/>
      </w:rPr>
    </w:lvl>
    <w:lvl w:ilvl="6" w:tplc="0C090001" w:tentative="1">
      <w:start w:val="1"/>
      <w:numFmt w:val="bullet"/>
      <w:lvlText w:val=""/>
      <w:lvlJc w:val="left"/>
      <w:pPr>
        <w:ind w:left="4965" w:hanging="360"/>
      </w:pPr>
      <w:rPr>
        <w:rFonts w:ascii="Symbol" w:hAnsi="Symbol" w:hint="default"/>
      </w:rPr>
    </w:lvl>
    <w:lvl w:ilvl="7" w:tplc="0C090003" w:tentative="1">
      <w:start w:val="1"/>
      <w:numFmt w:val="bullet"/>
      <w:lvlText w:val="o"/>
      <w:lvlJc w:val="left"/>
      <w:pPr>
        <w:ind w:left="5685" w:hanging="360"/>
      </w:pPr>
      <w:rPr>
        <w:rFonts w:ascii="Courier New" w:hAnsi="Courier New" w:cs="Courier New" w:hint="default"/>
      </w:rPr>
    </w:lvl>
    <w:lvl w:ilvl="8" w:tplc="0C090005" w:tentative="1">
      <w:start w:val="1"/>
      <w:numFmt w:val="bullet"/>
      <w:lvlText w:val=""/>
      <w:lvlJc w:val="left"/>
      <w:pPr>
        <w:ind w:left="6405" w:hanging="360"/>
      </w:pPr>
      <w:rPr>
        <w:rFonts w:ascii="Wingdings" w:hAnsi="Wingdings" w:hint="default"/>
      </w:rPr>
    </w:lvl>
  </w:abstractNum>
  <w:abstractNum w:abstractNumId="1" w15:restartNumberingAfterBreak="0">
    <w:nsid w:val="04F552B9"/>
    <w:multiLevelType w:val="multilevel"/>
    <w:tmpl w:val="9E1E9102"/>
    <w:styleLink w:val="ListNumbered"/>
    <w:lvl w:ilvl="0">
      <w:start w:val="1"/>
      <w:numFmt w:val="decimal"/>
      <w:pStyle w:val="ListNumbered1"/>
      <w:lvlText w:val="%1."/>
      <w:lvlJc w:val="left"/>
      <w:pPr>
        <w:ind w:left="284" w:hanging="284"/>
      </w:pPr>
      <w:rPr>
        <w:rFonts w:hint="default"/>
      </w:rPr>
    </w:lvl>
    <w:lvl w:ilvl="1">
      <w:start w:val="1"/>
      <w:numFmt w:val="decimal"/>
      <w:pStyle w:val="ListNumbered21"/>
      <w:lvlText w:val="%1.%2"/>
      <w:lvlJc w:val="left"/>
      <w:pPr>
        <w:ind w:left="851" w:hanging="567"/>
      </w:pPr>
      <w:rPr>
        <w:rFonts w:hint="default"/>
      </w:rPr>
    </w:lvl>
    <w:lvl w:ilvl="2">
      <w:start w:val="1"/>
      <w:numFmt w:val="decimal"/>
      <w:pStyle w:val="ListNumbered311"/>
      <w:lvlText w:val="%1.%2.%3"/>
      <w:lvlJc w:val="left"/>
      <w:pPr>
        <w:ind w:left="1701" w:hanging="85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2552"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86C525C"/>
    <w:multiLevelType w:val="multilevel"/>
    <w:tmpl w:val="CCC09A46"/>
    <w:lvl w:ilvl="0">
      <w:start w:val="1"/>
      <w:numFmt w:val="bullet"/>
      <w:lvlText w:val=""/>
      <w:lvlJc w:val="left"/>
      <w:pPr>
        <w:tabs>
          <w:tab w:val="num" w:pos="363"/>
        </w:tabs>
        <w:ind w:left="363" w:hanging="360"/>
      </w:pPr>
      <w:rPr>
        <w:rFonts w:ascii="Symbol" w:hAnsi="Symbol" w:hint="default"/>
        <w:sz w:val="20"/>
      </w:rPr>
    </w:lvl>
    <w:lvl w:ilvl="1">
      <w:start w:val="1"/>
      <w:numFmt w:val="bullet"/>
      <w:lvlText w:val="o"/>
      <w:lvlJc w:val="left"/>
      <w:pPr>
        <w:tabs>
          <w:tab w:val="num" w:pos="1083"/>
        </w:tabs>
        <w:ind w:left="1083" w:hanging="360"/>
      </w:pPr>
      <w:rPr>
        <w:rFonts w:ascii="Courier New" w:hAnsi="Courier New" w:cs="Courier New" w:hint="default"/>
        <w:sz w:val="20"/>
      </w:rPr>
    </w:lvl>
    <w:lvl w:ilvl="2">
      <w:start w:val="1"/>
      <w:numFmt w:val="bullet"/>
      <w:lvlText w:val=""/>
      <w:lvlJc w:val="left"/>
      <w:pPr>
        <w:tabs>
          <w:tab w:val="num" w:pos="1803"/>
        </w:tabs>
        <w:ind w:left="1803" w:hanging="360"/>
      </w:pPr>
      <w:rPr>
        <w:rFonts w:ascii="Symbol" w:hAnsi="Symbol" w:hint="default"/>
        <w:sz w:val="20"/>
      </w:rPr>
    </w:lvl>
    <w:lvl w:ilvl="3">
      <w:start w:val="1"/>
      <w:numFmt w:val="bullet"/>
      <w:lvlText w:val=""/>
      <w:lvlJc w:val="left"/>
      <w:pPr>
        <w:tabs>
          <w:tab w:val="num" w:pos="2523"/>
        </w:tabs>
        <w:ind w:left="2523" w:hanging="360"/>
      </w:pPr>
      <w:rPr>
        <w:rFonts w:ascii="Symbol" w:hAnsi="Symbol" w:hint="default"/>
        <w:sz w:val="20"/>
      </w:rPr>
    </w:lvl>
    <w:lvl w:ilvl="4">
      <w:start w:val="1"/>
      <w:numFmt w:val="bullet"/>
      <w:lvlText w:val=""/>
      <w:lvlJc w:val="left"/>
      <w:pPr>
        <w:tabs>
          <w:tab w:val="num" w:pos="3243"/>
        </w:tabs>
        <w:ind w:left="3243" w:hanging="360"/>
      </w:pPr>
      <w:rPr>
        <w:rFonts w:ascii="Symbol" w:hAnsi="Symbol" w:hint="default"/>
        <w:sz w:val="20"/>
      </w:rPr>
    </w:lvl>
    <w:lvl w:ilvl="5">
      <w:start w:val="1"/>
      <w:numFmt w:val="bullet"/>
      <w:lvlText w:val=""/>
      <w:lvlJc w:val="left"/>
      <w:pPr>
        <w:tabs>
          <w:tab w:val="num" w:pos="3963"/>
        </w:tabs>
        <w:ind w:left="3963" w:hanging="360"/>
      </w:pPr>
      <w:rPr>
        <w:rFonts w:ascii="Symbol" w:hAnsi="Symbol" w:hint="default"/>
        <w:sz w:val="20"/>
      </w:rPr>
    </w:lvl>
    <w:lvl w:ilvl="6">
      <w:start w:val="1"/>
      <w:numFmt w:val="bullet"/>
      <w:lvlText w:val=""/>
      <w:lvlJc w:val="left"/>
      <w:pPr>
        <w:tabs>
          <w:tab w:val="num" w:pos="4683"/>
        </w:tabs>
        <w:ind w:left="4683" w:hanging="360"/>
      </w:pPr>
      <w:rPr>
        <w:rFonts w:ascii="Symbol" w:hAnsi="Symbol" w:hint="default"/>
        <w:sz w:val="20"/>
      </w:rPr>
    </w:lvl>
    <w:lvl w:ilvl="7">
      <w:start w:val="1"/>
      <w:numFmt w:val="bullet"/>
      <w:lvlText w:val=""/>
      <w:lvlJc w:val="left"/>
      <w:pPr>
        <w:tabs>
          <w:tab w:val="num" w:pos="5403"/>
        </w:tabs>
        <w:ind w:left="5403" w:hanging="360"/>
      </w:pPr>
      <w:rPr>
        <w:rFonts w:ascii="Symbol" w:hAnsi="Symbol" w:hint="default"/>
        <w:sz w:val="20"/>
      </w:rPr>
    </w:lvl>
    <w:lvl w:ilvl="8">
      <w:start w:val="1"/>
      <w:numFmt w:val="bullet"/>
      <w:lvlText w:val=""/>
      <w:lvlJc w:val="left"/>
      <w:pPr>
        <w:tabs>
          <w:tab w:val="num" w:pos="6123"/>
        </w:tabs>
        <w:ind w:left="6123" w:hanging="360"/>
      </w:pPr>
      <w:rPr>
        <w:rFonts w:ascii="Symbol" w:hAnsi="Symbol" w:hint="default"/>
        <w:sz w:val="20"/>
      </w:rPr>
    </w:lvl>
  </w:abstractNum>
  <w:abstractNum w:abstractNumId="3" w15:restartNumberingAfterBreak="0">
    <w:nsid w:val="0ABE4FC1"/>
    <w:multiLevelType w:val="multilevel"/>
    <w:tmpl w:val="CDF81E7A"/>
    <w:lvl w:ilvl="0">
      <w:start w:val="1"/>
      <w:numFmt w:val="bullet"/>
      <w:lvlText w:val=""/>
      <w:lvlJc w:val="left"/>
      <w:pPr>
        <w:tabs>
          <w:tab w:val="num" w:pos="363"/>
        </w:tabs>
        <w:ind w:left="363" w:hanging="360"/>
      </w:pPr>
      <w:rPr>
        <w:rFonts w:ascii="Symbol" w:hAnsi="Symbol" w:hint="default"/>
        <w:sz w:val="20"/>
      </w:rPr>
    </w:lvl>
    <w:lvl w:ilvl="1">
      <w:start w:val="1"/>
      <w:numFmt w:val="bullet"/>
      <w:lvlText w:val=""/>
      <w:lvlJc w:val="left"/>
      <w:pPr>
        <w:tabs>
          <w:tab w:val="num" w:pos="1083"/>
        </w:tabs>
        <w:ind w:left="1083" w:hanging="360"/>
      </w:pPr>
      <w:rPr>
        <w:rFonts w:ascii="Symbol" w:hAnsi="Symbol" w:hint="default"/>
        <w:sz w:val="20"/>
      </w:rPr>
    </w:lvl>
    <w:lvl w:ilvl="2">
      <w:start w:val="1"/>
      <w:numFmt w:val="bullet"/>
      <w:lvlText w:val=""/>
      <w:lvlJc w:val="left"/>
      <w:pPr>
        <w:tabs>
          <w:tab w:val="num" w:pos="1803"/>
        </w:tabs>
        <w:ind w:left="1803" w:hanging="360"/>
      </w:pPr>
      <w:rPr>
        <w:rFonts w:ascii="Symbol" w:hAnsi="Symbol" w:hint="default"/>
        <w:sz w:val="20"/>
      </w:rPr>
    </w:lvl>
    <w:lvl w:ilvl="3">
      <w:start w:val="1"/>
      <w:numFmt w:val="bullet"/>
      <w:lvlText w:val=""/>
      <w:lvlJc w:val="left"/>
      <w:pPr>
        <w:tabs>
          <w:tab w:val="num" w:pos="2523"/>
        </w:tabs>
        <w:ind w:left="2523" w:hanging="360"/>
      </w:pPr>
      <w:rPr>
        <w:rFonts w:ascii="Symbol" w:hAnsi="Symbol" w:hint="default"/>
        <w:sz w:val="20"/>
      </w:rPr>
    </w:lvl>
    <w:lvl w:ilvl="4">
      <w:start w:val="1"/>
      <w:numFmt w:val="bullet"/>
      <w:lvlText w:val=""/>
      <w:lvlJc w:val="left"/>
      <w:pPr>
        <w:tabs>
          <w:tab w:val="num" w:pos="3243"/>
        </w:tabs>
        <w:ind w:left="3243" w:hanging="360"/>
      </w:pPr>
      <w:rPr>
        <w:rFonts w:ascii="Symbol" w:hAnsi="Symbol" w:hint="default"/>
        <w:sz w:val="20"/>
      </w:rPr>
    </w:lvl>
    <w:lvl w:ilvl="5">
      <w:start w:val="1"/>
      <w:numFmt w:val="bullet"/>
      <w:lvlText w:val=""/>
      <w:lvlJc w:val="left"/>
      <w:pPr>
        <w:tabs>
          <w:tab w:val="num" w:pos="3963"/>
        </w:tabs>
        <w:ind w:left="3963" w:hanging="360"/>
      </w:pPr>
      <w:rPr>
        <w:rFonts w:ascii="Symbol" w:hAnsi="Symbol" w:hint="default"/>
        <w:sz w:val="20"/>
      </w:rPr>
    </w:lvl>
    <w:lvl w:ilvl="6">
      <w:start w:val="1"/>
      <w:numFmt w:val="bullet"/>
      <w:lvlText w:val=""/>
      <w:lvlJc w:val="left"/>
      <w:pPr>
        <w:tabs>
          <w:tab w:val="num" w:pos="4683"/>
        </w:tabs>
        <w:ind w:left="4683" w:hanging="360"/>
      </w:pPr>
      <w:rPr>
        <w:rFonts w:ascii="Symbol" w:hAnsi="Symbol" w:hint="default"/>
        <w:sz w:val="20"/>
      </w:rPr>
    </w:lvl>
    <w:lvl w:ilvl="7">
      <w:start w:val="1"/>
      <w:numFmt w:val="bullet"/>
      <w:lvlText w:val=""/>
      <w:lvlJc w:val="left"/>
      <w:pPr>
        <w:tabs>
          <w:tab w:val="num" w:pos="5403"/>
        </w:tabs>
        <w:ind w:left="5403" w:hanging="360"/>
      </w:pPr>
      <w:rPr>
        <w:rFonts w:ascii="Symbol" w:hAnsi="Symbol" w:hint="default"/>
        <w:sz w:val="20"/>
      </w:rPr>
    </w:lvl>
    <w:lvl w:ilvl="8">
      <w:start w:val="1"/>
      <w:numFmt w:val="bullet"/>
      <w:lvlText w:val=""/>
      <w:lvlJc w:val="left"/>
      <w:pPr>
        <w:tabs>
          <w:tab w:val="num" w:pos="6123"/>
        </w:tabs>
        <w:ind w:left="6123" w:hanging="360"/>
      </w:pPr>
      <w:rPr>
        <w:rFonts w:ascii="Symbol" w:hAnsi="Symbol" w:hint="default"/>
        <w:sz w:val="20"/>
      </w:rPr>
    </w:lvl>
  </w:abstractNum>
  <w:abstractNum w:abstractNumId="4" w15:restartNumberingAfterBreak="0">
    <w:nsid w:val="0AE10EAE"/>
    <w:multiLevelType w:val="hybridMultilevel"/>
    <w:tmpl w:val="9926B3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1F5564"/>
    <w:multiLevelType w:val="hybridMultilevel"/>
    <w:tmpl w:val="2AE284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CC64657"/>
    <w:multiLevelType w:val="hybridMultilevel"/>
    <w:tmpl w:val="7DDCE6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D621AED"/>
    <w:multiLevelType w:val="multilevel"/>
    <w:tmpl w:val="C2EED61A"/>
    <w:numStyleLink w:val="NumberedHeadings"/>
  </w:abstractNum>
  <w:abstractNum w:abstractNumId="8" w15:restartNumberingAfterBreak="0">
    <w:nsid w:val="0F777C38"/>
    <w:multiLevelType w:val="hybridMultilevel"/>
    <w:tmpl w:val="75641B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00555A8"/>
    <w:multiLevelType w:val="hybridMultilevel"/>
    <w:tmpl w:val="A6A0E0D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0" w15:restartNumberingAfterBreak="0">
    <w:nsid w:val="100D072C"/>
    <w:multiLevelType w:val="multilevel"/>
    <w:tmpl w:val="B63498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12B44688"/>
    <w:multiLevelType w:val="hybridMultilevel"/>
    <w:tmpl w:val="056693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37C3A2C"/>
    <w:multiLevelType w:val="hybridMultilevel"/>
    <w:tmpl w:val="195661A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593560A"/>
    <w:multiLevelType w:val="hybridMultilevel"/>
    <w:tmpl w:val="4EE62F38"/>
    <w:lvl w:ilvl="0" w:tplc="0C09000F">
      <w:start w:val="1"/>
      <w:numFmt w:val="decimal"/>
      <w:lvlText w:val="%1."/>
      <w:lvlJc w:val="left"/>
      <w:pPr>
        <w:ind w:left="360" w:hanging="360"/>
      </w:pPr>
    </w:lvl>
    <w:lvl w:ilvl="1" w:tplc="883E471A">
      <w:start w:val="1"/>
      <w:numFmt w:val="lowerLetter"/>
      <w:lvlText w:val="(%2)"/>
      <w:lvlJc w:val="left"/>
      <w:pPr>
        <w:ind w:left="1080" w:hanging="360"/>
      </w:pPr>
      <w:rPr>
        <w:rFonts w:hint="default"/>
      </w:r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15B03D9D"/>
    <w:multiLevelType w:val="hybridMultilevel"/>
    <w:tmpl w:val="FEEC313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5" w15:restartNumberingAfterBreak="0">
    <w:nsid w:val="1D5030FD"/>
    <w:multiLevelType w:val="hybridMultilevel"/>
    <w:tmpl w:val="36F01C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1FF23E36"/>
    <w:multiLevelType w:val="hybridMultilevel"/>
    <w:tmpl w:val="9EA21D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0702D5D"/>
    <w:multiLevelType w:val="hybridMultilevel"/>
    <w:tmpl w:val="8EDE6C76"/>
    <w:lvl w:ilvl="0" w:tplc="0C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rPr>
        <w:rFonts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21376B90"/>
    <w:multiLevelType w:val="hybridMultilevel"/>
    <w:tmpl w:val="836E78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4AD4BF7"/>
    <w:multiLevelType w:val="hybridMultilevel"/>
    <w:tmpl w:val="FE2A56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25421D23"/>
    <w:multiLevelType w:val="hybridMultilevel"/>
    <w:tmpl w:val="E08294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55D0A89"/>
    <w:multiLevelType w:val="hybridMultilevel"/>
    <w:tmpl w:val="9B2A04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2F160C5E"/>
    <w:multiLevelType w:val="multilevel"/>
    <w:tmpl w:val="298C34E4"/>
    <w:styleLink w:val="AppendixNumbers"/>
    <w:lvl w:ilvl="0">
      <w:start w:val="1"/>
      <w:numFmt w:val="upperLetter"/>
      <w:pStyle w:val="AppendixHeading1"/>
      <w:suff w:val="space"/>
      <w:lvlText w:val="Appendix %1 –"/>
      <w:lvlJc w:val="left"/>
      <w:pPr>
        <w:ind w:left="0" w:firstLine="0"/>
      </w:pPr>
      <w:rPr>
        <w:rFonts w:hint="default"/>
      </w:rPr>
    </w:lvl>
    <w:lvl w:ilvl="1">
      <w:start w:val="1"/>
      <w:numFmt w:val="decimal"/>
      <w:pStyle w:val="Appendix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00E3AEC"/>
    <w:multiLevelType w:val="hybridMultilevel"/>
    <w:tmpl w:val="5CA827F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01B41D5"/>
    <w:multiLevelType w:val="hybridMultilevel"/>
    <w:tmpl w:val="9552FAE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5" w15:restartNumberingAfterBreak="0">
    <w:nsid w:val="327E4CE8"/>
    <w:multiLevelType w:val="hybridMultilevel"/>
    <w:tmpl w:val="523660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334068D6"/>
    <w:multiLevelType w:val="hybridMultilevel"/>
    <w:tmpl w:val="6A1ADD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7267723"/>
    <w:multiLevelType w:val="hybridMultilevel"/>
    <w:tmpl w:val="4EE62F38"/>
    <w:lvl w:ilvl="0" w:tplc="FFFFFFFF">
      <w:start w:val="1"/>
      <w:numFmt w:val="decimal"/>
      <w:lvlText w:val="%1."/>
      <w:lvlJc w:val="left"/>
      <w:pPr>
        <w:ind w:left="360" w:hanging="360"/>
      </w:pPr>
    </w:lvl>
    <w:lvl w:ilvl="1" w:tplc="FFFFFFFF">
      <w:start w:val="1"/>
      <w:numFmt w:val="lowerLetter"/>
      <w:lvlText w:val="(%2)"/>
      <w:lvlJc w:val="left"/>
      <w:pPr>
        <w:ind w:left="1080" w:hanging="360"/>
      </w:pPr>
      <w:rPr>
        <w:rFonts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3AA51938"/>
    <w:multiLevelType w:val="multilevel"/>
    <w:tmpl w:val="298C34E4"/>
    <w:numStyleLink w:val="AppendixNumbers"/>
  </w:abstractNum>
  <w:abstractNum w:abstractNumId="29" w15:restartNumberingAfterBreak="0">
    <w:nsid w:val="3F166873"/>
    <w:multiLevelType w:val="multilevel"/>
    <w:tmpl w:val="C2EED61A"/>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1134" w:hanging="1134"/>
      </w:pPr>
      <w:rPr>
        <w:rFonts w:hint="default"/>
      </w:rPr>
    </w:lvl>
    <w:lvl w:ilvl="3">
      <w:start w:val="1"/>
      <w:numFmt w:val="decimal"/>
      <w:pStyle w:val="Heading4Numbered"/>
      <w:lvlText w:val="%1.%2.%3.%4"/>
      <w:lvlJc w:val="left"/>
      <w:pPr>
        <w:ind w:left="1134" w:hanging="1134"/>
      </w:pPr>
      <w:rPr>
        <w:rFonts w:hint="default"/>
      </w:rPr>
    </w:lvl>
    <w:lvl w:ilvl="4">
      <w:start w:val="1"/>
      <w:numFmt w:val="decimal"/>
      <w:pStyle w:val="Heading5Numbered"/>
      <w:lvlText w:val="%1.%2.%3.%4.%5"/>
      <w:lvlJc w:val="left"/>
      <w:pPr>
        <w:ind w:left="1134" w:hanging="113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494"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173295E"/>
    <w:multiLevelType w:val="multilevel"/>
    <w:tmpl w:val="61F4324A"/>
    <w:styleLink w:val="Bullets"/>
    <w:lvl w:ilvl="0">
      <w:start w:val="1"/>
      <w:numFmt w:val="bullet"/>
      <w:lvlText w:val=""/>
      <w:lvlJc w:val="left"/>
      <w:pPr>
        <w:ind w:left="284" w:hanging="284"/>
      </w:pPr>
      <w:rPr>
        <w:rFonts w:ascii="Symbol" w:hAnsi="Symbol" w:hint="default"/>
        <w:color w:val="auto"/>
      </w:rPr>
    </w:lvl>
    <w:lvl w:ilvl="1">
      <w:start w:val="1"/>
      <w:numFmt w:val="bullet"/>
      <w:pStyle w:val="Bullet2"/>
      <w:lvlText w:val="–"/>
      <w:lvlJc w:val="left"/>
      <w:pPr>
        <w:ind w:left="568" w:hanging="284"/>
      </w:pPr>
      <w:rPr>
        <w:rFonts w:ascii="Calibri" w:hAnsi="Calibri" w:hint="default"/>
        <w:color w:val="auto"/>
      </w:rPr>
    </w:lvl>
    <w:lvl w:ilvl="2">
      <w:start w:val="1"/>
      <w:numFmt w:val="bullet"/>
      <w:pStyle w:val="Bullet3"/>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1" w15:restartNumberingAfterBreak="0">
    <w:nsid w:val="433464FF"/>
    <w:multiLevelType w:val="hybridMultilevel"/>
    <w:tmpl w:val="9994456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44DF73C6"/>
    <w:multiLevelType w:val="hybridMultilevel"/>
    <w:tmpl w:val="AB58D446"/>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9F15529"/>
    <w:multiLevelType w:val="hybridMultilevel"/>
    <w:tmpl w:val="A962B8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4B3B4EA2"/>
    <w:multiLevelType w:val="hybridMultilevel"/>
    <w:tmpl w:val="C99E628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4D7C5118"/>
    <w:multiLevelType w:val="hybridMultilevel"/>
    <w:tmpl w:val="B1E65084"/>
    <w:lvl w:ilvl="0" w:tplc="379EF0DA">
      <w:start w:val="1"/>
      <w:numFmt w:val="bullet"/>
      <w:lvlText w:val=""/>
      <w:lvlJc w:val="left"/>
      <w:pPr>
        <w:ind w:left="1440" w:hanging="360"/>
      </w:pPr>
      <w:rPr>
        <w:rFonts w:ascii="Symbol" w:hAnsi="Symbol"/>
      </w:rPr>
    </w:lvl>
    <w:lvl w:ilvl="1" w:tplc="99D6373C">
      <w:start w:val="1"/>
      <w:numFmt w:val="bullet"/>
      <w:lvlText w:val=""/>
      <w:lvlJc w:val="left"/>
      <w:pPr>
        <w:ind w:left="1440" w:hanging="360"/>
      </w:pPr>
      <w:rPr>
        <w:rFonts w:ascii="Symbol" w:hAnsi="Symbol"/>
      </w:rPr>
    </w:lvl>
    <w:lvl w:ilvl="2" w:tplc="7A741BE8">
      <w:start w:val="1"/>
      <w:numFmt w:val="bullet"/>
      <w:lvlText w:val=""/>
      <w:lvlJc w:val="left"/>
      <w:pPr>
        <w:ind w:left="1440" w:hanging="360"/>
      </w:pPr>
      <w:rPr>
        <w:rFonts w:ascii="Symbol" w:hAnsi="Symbol"/>
      </w:rPr>
    </w:lvl>
    <w:lvl w:ilvl="3" w:tplc="F1423234">
      <w:start w:val="1"/>
      <w:numFmt w:val="bullet"/>
      <w:lvlText w:val=""/>
      <w:lvlJc w:val="left"/>
      <w:pPr>
        <w:ind w:left="1440" w:hanging="360"/>
      </w:pPr>
      <w:rPr>
        <w:rFonts w:ascii="Symbol" w:hAnsi="Symbol"/>
      </w:rPr>
    </w:lvl>
    <w:lvl w:ilvl="4" w:tplc="6E5AD4C4">
      <w:start w:val="1"/>
      <w:numFmt w:val="bullet"/>
      <w:lvlText w:val=""/>
      <w:lvlJc w:val="left"/>
      <w:pPr>
        <w:ind w:left="1440" w:hanging="360"/>
      </w:pPr>
      <w:rPr>
        <w:rFonts w:ascii="Symbol" w:hAnsi="Symbol"/>
      </w:rPr>
    </w:lvl>
    <w:lvl w:ilvl="5" w:tplc="13723950">
      <w:start w:val="1"/>
      <w:numFmt w:val="bullet"/>
      <w:lvlText w:val=""/>
      <w:lvlJc w:val="left"/>
      <w:pPr>
        <w:ind w:left="1440" w:hanging="360"/>
      </w:pPr>
      <w:rPr>
        <w:rFonts w:ascii="Symbol" w:hAnsi="Symbol"/>
      </w:rPr>
    </w:lvl>
    <w:lvl w:ilvl="6" w:tplc="0E74FBC2">
      <w:start w:val="1"/>
      <w:numFmt w:val="bullet"/>
      <w:lvlText w:val=""/>
      <w:lvlJc w:val="left"/>
      <w:pPr>
        <w:ind w:left="1440" w:hanging="360"/>
      </w:pPr>
      <w:rPr>
        <w:rFonts w:ascii="Symbol" w:hAnsi="Symbol"/>
      </w:rPr>
    </w:lvl>
    <w:lvl w:ilvl="7" w:tplc="FF0C3486">
      <w:start w:val="1"/>
      <w:numFmt w:val="bullet"/>
      <w:lvlText w:val=""/>
      <w:lvlJc w:val="left"/>
      <w:pPr>
        <w:ind w:left="1440" w:hanging="360"/>
      </w:pPr>
      <w:rPr>
        <w:rFonts w:ascii="Symbol" w:hAnsi="Symbol"/>
      </w:rPr>
    </w:lvl>
    <w:lvl w:ilvl="8" w:tplc="4C665646">
      <w:start w:val="1"/>
      <w:numFmt w:val="bullet"/>
      <w:lvlText w:val=""/>
      <w:lvlJc w:val="left"/>
      <w:pPr>
        <w:ind w:left="1440" w:hanging="360"/>
      </w:pPr>
      <w:rPr>
        <w:rFonts w:ascii="Symbol" w:hAnsi="Symbol"/>
      </w:rPr>
    </w:lvl>
  </w:abstractNum>
  <w:abstractNum w:abstractNumId="36" w15:restartNumberingAfterBreak="0">
    <w:nsid w:val="4E4B5646"/>
    <w:multiLevelType w:val="multilevel"/>
    <w:tmpl w:val="FBDCB3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2677DE5"/>
    <w:multiLevelType w:val="hybridMultilevel"/>
    <w:tmpl w:val="2D72F0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A105AF9"/>
    <w:multiLevelType w:val="hybridMultilevel"/>
    <w:tmpl w:val="A7DC547A"/>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9" w15:restartNumberingAfterBreak="0">
    <w:nsid w:val="5A9D0BF7"/>
    <w:multiLevelType w:val="hybridMultilevel"/>
    <w:tmpl w:val="5C00D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AE9643F"/>
    <w:multiLevelType w:val="hybridMultilevel"/>
    <w:tmpl w:val="0694D8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1" w15:restartNumberingAfterBreak="0">
    <w:nsid w:val="5B534967"/>
    <w:multiLevelType w:val="multilevel"/>
    <w:tmpl w:val="6AFCC494"/>
    <w:lvl w:ilvl="0">
      <w:start w:val="1"/>
      <w:numFmt w:val="bullet"/>
      <w:lvlText w:val=""/>
      <w:lvlJc w:val="left"/>
      <w:pPr>
        <w:tabs>
          <w:tab w:val="num" w:pos="363"/>
        </w:tabs>
        <w:ind w:left="363" w:hanging="360"/>
      </w:pPr>
      <w:rPr>
        <w:rFonts w:ascii="Symbol" w:hAnsi="Symbol" w:hint="default"/>
        <w:sz w:val="20"/>
      </w:rPr>
    </w:lvl>
    <w:lvl w:ilvl="1">
      <w:start w:val="1"/>
      <w:numFmt w:val="bullet"/>
      <w:lvlText w:val="o"/>
      <w:lvlJc w:val="left"/>
      <w:pPr>
        <w:tabs>
          <w:tab w:val="num" w:pos="1083"/>
        </w:tabs>
        <w:ind w:left="1083" w:hanging="360"/>
      </w:pPr>
      <w:rPr>
        <w:rFonts w:ascii="Courier New" w:hAnsi="Courier New" w:cs="Courier New" w:hint="default"/>
        <w:sz w:val="20"/>
      </w:rPr>
    </w:lvl>
    <w:lvl w:ilvl="2">
      <w:start w:val="1"/>
      <w:numFmt w:val="bullet"/>
      <w:lvlText w:val=""/>
      <w:lvlJc w:val="left"/>
      <w:pPr>
        <w:tabs>
          <w:tab w:val="num" w:pos="1803"/>
        </w:tabs>
        <w:ind w:left="1803" w:hanging="360"/>
      </w:pPr>
      <w:rPr>
        <w:rFonts w:ascii="Symbol" w:hAnsi="Symbol" w:hint="default"/>
        <w:sz w:val="20"/>
      </w:rPr>
    </w:lvl>
    <w:lvl w:ilvl="3">
      <w:start w:val="1"/>
      <w:numFmt w:val="bullet"/>
      <w:lvlText w:val=""/>
      <w:lvlJc w:val="left"/>
      <w:pPr>
        <w:tabs>
          <w:tab w:val="num" w:pos="2523"/>
        </w:tabs>
        <w:ind w:left="2523" w:hanging="360"/>
      </w:pPr>
      <w:rPr>
        <w:rFonts w:ascii="Symbol" w:hAnsi="Symbol" w:hint="default"/>
        <w:sz w:val="20"/>
      </w:rPr>
    </w:lvl>
    <w:lvl w:ilvl="4">
      <w:start w:val="1"/>
      <w:numFmt w:val="bullet"/>
      <w:lvlText w:val=""/>
      <w:lvlJc w:val="left"/>
      <w:pPr>
        <w:tabs>
          <w:tab w:val="num" w:pos="3243"/>
        </w:tabs>
        <w:ind w:left="3243" w:hanging="360"/>
      </w:pPr>
      <w:rPr>
        <w:rFonts w:ascii="Symbol" w:hAnsi="Symbol" w:hint="default"/>
        <w:sz w:val="20"/>
      </w:rPr>
    </w:lvl>
    <w:lvl w:ilvl="5">
      <w:start w:val="1"/>
      <w:numFmt w:val="bullet"/>
      <w:lvlText w:val=""/>
      <w:lvlJc w:val="left"/>
      <w:pPr>
        <w:tabs>
          <w:tab w:val="num" w:pos="3963"/>
        </w:tabs>
        <w:ind w:left="3963" w:hanging="360"/>
      </w:pPr>
      <w:rPr>
        <w:rFonts w:ascii="Symbol" w:hAnsi="Symbol" w:hint="default"/>
        <w:sz w:val="20"/>
      </w:rPr>
    </w:lvl>
    <w:lvl w:ilvl="6">
      <w:start w:val="1"/>
      <w:numFmt w:val="bullet"/>
      <w:lvlText w:val=""/>
      <w:lvlJc w:val="left"/>
      <w:pPr>
        <w:tabs>
          <w:tab w:val="num" w:pos="4683"/>
        </w:tabs>
        <w:ind w:left="4683" w:hanging="360"/>
      </w:pPr>
      <w:rPr>
        <w:rFonts w:ascii="Symbol" w:hAnsi="Symbol" w:hint="default"/>
        <w:sz w:val="20"/>
      </w:rPr>
    </w:lvl>
    <w:lvl w:ilvl="7">
      <w:start w:val="1"/>
      <w:numFmt w:val="bullet"/>
      <w:lvlText w:val=""/>
      <w:lvlJc w:val="left"/>
      <w:pPr>
        <w:tabs>
          <w:tab w:val="num" w:pos="5403"/>
        </w:tabs>
        <w:ind w:left="5403" w:hanging="360"/>
      </w:pPr>
      <w:rPr>
        <w:rFonts w:ascii="Symbol" w:hAnsi="Symbol" w:hint="default"/>
        <w:sz w:val="20"/>
      </w:rPr>
    </w:lvl>
    <w:lvl w:ilvl="8">
      <w:start w:val="1"/>
      <w:numFmt w:val="bullet"/>
      <w:lvlText w:val=""/>
      <w:lvlJc w:val="left"/>
      <w:pPr>
        <w:tabs>
          <w:tab w:val="num" w:pos="6123"/>
        </w:tabs>
        <w:ind w:left="6123" w:hanging="360"/>
      </w:pPr>
      <w:rPr>
        <w:rFonts w:ascii="Symbol" w:hAnsi="Symbol" w:hint="default"/>
        <w:sz w:val="20"/>
      </w:rPr>
    </w:lvl>
  </w:abstractNum>
  <w:abstractNum w:abstractNumId="42" w15:restartNumberingAfterBreak="0">
    <w:nsid w:val="5BE950C6"/>
    <w:multiLevelType w:val="hybridMultilevel"/>
    <w:tmpl w:val="0DBE9A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5C405611"/>
    <w:multiLevelType w:val="hybridMultilevel"/>
    <w:tmpl w:val="419097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5C7C5C3D"/>
    <w:multiLevelType w:val="multilevel"/>
    <w:tmpl w:val="4B5A47B2"/>
    <w:styleLink w:val="AttachmentNumbers"/>
    <w:lvl w:ilvl="0">
      <w:start w:val="1"/>
      <w:numFmt w:val="upperLetter"/>
      <w:pStyle w:val="AttachmentHeading1"/>
      <w:suff w:val="space"/>
      <w:lvlText w:val="Attachment %1 –"/>
      <w:lvlJc w:val="left"/>
      <w:pPr>
        <w:ind w:left="0" w:firstLine="0"/>
      </w:pPr>
      <w:rPr>
        <w:rFonts w:hint="default"/>
      </w:rPr>
    </w:lvl>
    <w:lvl w:ilvl="1">
      <w:start w:val="1"/>
      <w:numFmt w:val="decimal"/>
      <w:pStyle w:val="Attachment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5C846D89"/>
    <w:multiLevelType w:val="hybridMultilevel"/>
    <w:tmpl w:val="EEDC24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5DAC473F"/>
    <w:multiLevelType w:val="hybridMultilevel"/>
    <w:tmpl w:val="EBDE6220"/>
    <w:lvl w:ilvl="0" w:tplc="C3C85B1A">
      <w:start w:val="1"/>
      <w:numFmt w:val="decimal"/>
      <w:lvlText w:val="%1)"/>
      <w:lvlJc w:val="left"/>
      <w:pPr>
        <w:ind w:left="1020" w:hanging="360"/>
      </w:pPr>
    </w:lvl>
    <w:lvl w:ilvl="1" w:tplc="7868C0F8">
      <w:start w:val="1"/>
      <w:numFmt w:val="decimal"/>
      <w:lvlText w:val="%2)"/>
      <w:lvlJc w:val="left"/>
      <w:pPr>
        <w:ind w:left="1020" w:hanging="360"/>
      </w:pPr>
    </w:lvl>
    <w:lvl w:ilvl="2" w:tplc="933A8142">
      <w:start w:val="1"/>
      <w:numFmt w:val="decimal"/>
      <w:lvlText w:val="%3)"/>
      <w:lvlJc w:val="left"/>
      <w:pPr>
        <w:ind w:left="1020" w:hanging="360"/>
      </w:pPr>
    </w:lvl>
    <w:lvl w:ilvl="3" w:tplc="3CC81868">
      <w:start w:val="1"/>
      <w:numFmt w:val="decimal"/>
      <w:lvlText w:val="%4)"/>
      <w:lvlJc w:val="left"/>
      <w:pPr>
        <w:ind w:left="1020" w:hanging="360"/>
      </w:pPr>
    </w:lvl>
    <w:lvl w:ilvl="4" w:tplc="9FEEFFF8">
      <w:start w:val="1"/>
      <w:numFmt w:val="decimal"/>
      <w:lvlText w:val="%5)"/>
      <w:lvlJc w:val="left"/>
      <w:pPr>
        <w:ind w:left="1020" w:hanging="360"/>
      </w:pPr>
    </w:lvl>
    <w:lvl w:ilvl="5" w:tplc="86723030">
      <w:start w:val="1"/>
      <w:numFmt w:val="decimal"/>
      <w:lvlText w:val="%6)"/>
      <w:lvlJc w:val="left"/>
      <w:pPr>
        <w:ind w:left="1020" w:hanging="360"/>
      </w:pPr>
    </w:lvl>
    <w:lvl w:ilvl="6" w:tplc="1D80029C">
      <w:start w:val="1"/>
      <w:numFmt w:val="decimal"/>
      <w:lvlText w:val="%7)"/>
      <w:lvlJc w:val="left"/>
      <w:pPr>
        <w:ind w:left="1020" w:hanging="360"/>
      </w:pPr>
    </w:lvl>
    <w:lvl w:ilvl="7" w:tplc="6234C2D4">
      <w:start w:val="1"/>
      <w:numFmt w:val="decimal"/>
      <w:lvlText w:val="%8)"/>
      <w:lvlJc w:val="left"/>
      <w:pPr>
        <w:ind w:left="1020" w:hanging="360"/>
      </w:pPr>
    </w:lvl>
    <w:lvl w:ilvl="8" w:tplc="CD0A8192">
      <w:start w:val="1"/>
      <w:numFmt w:val="decimal"/>
      <w:lvlText w:val="%9)"/>
      <w:lvlJc w:val="left"/>
      <w:pPr>
        <w:ind w:left="1020" w:hanging="360"/>
      </w:pPr>
    </w:lvl>
  </w:abstractNum>
  <w:abstractNum w:abstractNumId="47" w15:restartNumberingAfterBreak="0">
    <w:nsid w:val="5F016C34"/>
    <w:multiLevelType w:val="hybridMultilevel"/>
    <w:tmpl w:val="A34E7BA4"/>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48" w15:restartNumberingAfterBreak="0">
    <w:nsid w:val="6098658A"/>
    <w:multiLevelType w:val="hybridMultilevel"/>
    <w:tmpl w:val="6352D542"/>
    <w:lvl w:ilvl="0" w:tplc="D3A4CC96">
      <w:start w:val="1"/>
      <w:numFmt w:val="bullet"/>
      <w:lvlText w:val=""/>
      <w:lvlJc w:val="left"/>
      <w:pPr>
        <w:ind w:left="1440" w:hanging="360"/>
      </w:pPr>
      <w:rPr>
        <w:rFonts w:ascii="Symbol" w:hAnsi="Symbol"/>
      </w:rPr>
    </w:lvl>
    <w:lvl w:ilvl="1" w:tplc="4C20D808">
      <w:start w:val="1"/>
      <w:numFmt w:val="bullet"/>
      <w:lvlText w:val=""/>
      <w:lvlJc w:val="left"/>
      <w:pPr>
        <w:ind w:left="1440" w:hanging="360"/>
      </w:pPr>
      <w:rPr>
        <w:rFonts w:ascii="Symbol" w:hAnsi="Symbol"/>
      </w:rPr>
    </w:lvl>
    <w:lvl w:ilvl="2" w:tplc="2656004C">
      <w:start w:val="1"/>
      <w:numFmt w:val="bullet"/>
      <w:lvlText w:val=""/>
      <w:lvlJc w:val="left"/>
      <w:pPr>
        <w:ind w:left="1440" w:hanging="360"/>
      </w:pPr>
      <w:rPr>
        <w:rFonts w:ascii="Symbol" w:hAnsi="Symbol"/>
      </w:rPr>
    </w:lvl>
    <w:lvl w:ilvl="3" w:tplc="9F085EF4">
      <w:start w:val="1"/>
      <w:numFmt w:val="bullet"/>
      <w:lvlText w:val=""/>
      <w:lvlJc w:val="left"/>
      <w:pPr>
        <w:ind w:left="1440" w:hanging="360"/>
      </w:pPr>
      <w:rPr>
        <w:rFonts w:ascii="Symbol" w:hAnsi="Symbol"/>
      </w:rPr>
    </w:lvl>
    <w:lvl w:ilvl="4" w:tplc="21984828">
      <w:start w:val="1"/>
      <w:numFmt w:val="bullet"/>
      <w:lvlText w:val=""/>
      <w:lvlJc w:val="left"/>
      <w:pPr>
        <w:ind w:left="1440" w:hanging="360"/>
      </w:pPr>
      <w:rPr>
        <w:rFonts w:ascii="Symbol" w:hAnsi="Symbol"/>
      </w:rPr>
    </w:lvl>
    <w:lvl w:ilvl="5" w:tplc="A006AFC6">
      <w:start w:val="1"/>
      <w:numFmt w:val="bullet"/>
      <w:lvlText w:val=""/>
      <w:lvlJc w:val="left"/>
      <w:pPr>
        <w:ind w:left="1440" w:hanging="360"/>
      </w:pPr>
      <w:rPr>
        <w:rFonts w:ascii="Symbol" w:hAnsi="Symbol"/>
      </w:rPr>
    </w:lvl>
    <w:lvl w:ilvl="6" w:tplc="AB0C820A">
      <w:start w:val="1"/>
      <w:numFmt w:val="bullet"/>
      <w:lvlText w:val=""/>
      <w:lvlJc w:val="left"/>
      <w:pPr>
        <w:ind w:left="1440" w:hanging="360"/>
      </w:pPr>
      <w:rPr>
        <w:rFonts w:ascii="Symbol" w:hAnsi="Symbol"/>
      </w:rPr>
    </w:lvl>
    <w:lvl w:ilvl="7" w:tplc="2BDAA724">
      <w:start w:val="1"/>
      <w:numFmt w:val="bullet"/>
      <w:lvlText w:val=""/>
      <w:lvlJc w:val="left"/>
      <w:pPr>
        <w:ind w:left="1440" w:hanging="360"/>
      </w:pPr>
      <w:rPr>
        <w:rFonts w:ascii="Symbol" w:hAnsi="Symbol"/>
      </w:rPr>
    </w:lvl>
    <w:lvl w:ilvl="8" w:tplc="85DA94A0">
      <w:start w:val="1"/>
      <w:numFmt w:val="bullet"/>
      <w:lvlText w:val=""/>
      <w:lvlJc w:val="left"/>
      <w:pPr>
        <w:ind w:left="1440" w:hanging="360"/>
      </w:pPr>
      <w:rPr>
        <w:rFonts w:ascii="Symbol" w:hAnsi="Symbol"/>
      </w:rPr>
    </w:lvl>
  </w:abstractNum>
  <w:abstractNum w:abstractNumId="49" w15:restartNumberingAfterBreak="0">
    <w:nsid w:val="60E7485E"/>
    <w:multiLevelType w:val="multilevel"/>
    <w:tmpl w:val="D69832D4"/>
    <w:styleLink w:val="BoxedBullets"/>
    <w:lvl w:ilvl="0">
      <w:start w:val="1"/>
      <w:numFmt w:val="bullet"/>
      <w:pStyle w:val="Box1Bullet1"/>
      <w:lvlText w:val=""/>
      <w:lvlJc w:val="left"/>
      <w:pPr>
        <w:ind w:left="567" w:hanging="283"/>
      </w:pPr>
      <w:rPr>
        <w:rFonts w:ascii="Symbol" w:hAnsi="Symbol" w:hint="default"/>
        <w:color w:val="auto"/>
      </w:rPr>
    </w:lvl>
    <w:lvl w:ilvl="1">
      <w:start w:val="1"/>
      <w:numFmt w:val="bullet"/>
      <w:pStyle w:val="Box2Bullet1"/>
      <w:lvlText w:val=""/>
      <w:lvlJc w:val="left"/>
      <w:pPr>
        <w:ind w:left="567" w:hanging="283"/>
      </w:pPr>
      <w:rPr>
        <w:rFonts w:ascii="Symbol" w:hAnsi="Symbol" w:hint="default"/>
        <w:color w:val="auto"/>
      </w:rPr>
    </w:lvl>
    <w:lvl w:ilvl="2">
      <w:start w:val="1"/>
      <w:numFmt w:val="bullet"/>
      <w:pStyle w:val="Box2Checklist"/>
      <w:lvlText w:val="□"/>
      <w:lvlJc w:val="left"/>
      <w:pPr>
        <w:ind w:left="567" w:hanging="283"/>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658E552A"/>
    <w:multiLevelType w:val="hybridMultilevel"/>
    <w:tmpl w:val="FB7A0822"/>
    <w:lvl w:ilvl="0" w:tplc="4DBCA2EE">
      <w:start w:val="1"/>
      <w:numFmt w:val="decimal"/>
      <w:lvlText w:val="%1)"/>
      <w:lvlJc w:val="left"/>
      <w:pPr>
        <w:ind w:left="1020" w:hanging="360"/>
      </w:pPr>
    </w:lvl>
    <w:lvl w:ilvl="1" w:tplc="0A2A5BAC">
      <w:start w:val="1"/>
      <w:numFmt w:val="decimal"/>
      <w:lvlText w:val="%2)"/>
      <w:lvlJc w:val="left"/>
      <w:pPr>
        <w:ind w:left="1020" w:hanging="360"/>
      </w:pPr>
    </w:lvl>
    <w:lvl w:ilvl="2" w:tplc="2C8EB4E6">
      <w:start w:val="1"/>
      <w:numFmt w:val="decimal"/>
      <w:lvlText w:val="%3)"/>
      <w:lvlJc w:val="left"/>
      <w:pPr>
        <w:ind w:left="1020" w:hanging="360"/>
      </w:pPr>
    </w:lvl>
    <w:lvl w:ilvl="3" w:tplc="8AE877CE">
      <w:start w:val="1"/>
      <w:numFmt w:val="decimal"/>
      <w:lvlText w:val="%4)"/>
      <w:lvlJc w:val="left"/>
      <w:pPr>
        <w:ind w:left="1020" w:hanging="360"/>
      </w:pPr>
    </w:lvl>
    <w:lvl w:ilvl="4" w:tplc="91D4EDCC">
      <w:start w:val="1"/>
      <w:numFmt w:val="decimal"/>
      <w:lvlText w:val="%5)"/>
      <w:lvlJc w:val="left"/>
      <w:pPr>
        <w:ind w:left="1020" w:hanging="360"/>
      </w:pPr>
    </w:lvl>
    <w:lvl w:ilvl="5" w:tplc="54583672">
      <w:start w:val="1"/>
      <w:numFmt w:val="decimal"/>
      <w:lvlText w:val="%6)"/>
      <w:lvlJc w:val="left"/>
      <w:pPr>
        <w:ind w:left="1020" w:hanging="360"/>
      </w:pPr>
    </w:lvl>
    <w:lvl w:ilvl="6" w:tplc="41E44E10">
      <w:start w:val="1"/>
      <w:numFmt w:val="decimal"/>
      <w:lvlText w:val="%7)"/>
      <w:lvlJc w:val="left"/>
      <w:pPr>
        <w:ind w:left="1020" w:hanging="360"/>
      </w:pPr>
    </w:lvl>
    <w:lvl w:ilvl="7" w:tplc="29A02E34">
      <w:start w:val="1"/>
      <w:numFmt w:val="decimal"/>
      <w:lvlText w:val="%8)"/>
      <w:lvlJc w:val="left"/>
      <w:pPr>
        <w:ind w:left="1020" w:hanging="360"/>
      </w:pPr>
    </w:lvl>
    <w:lvl w:ilvl="8" w:tplc="0BA2C4F6">
      <w:start w:val="1"/>
      <w:numFmt w:val="decimal"/>
      <w:lvlText w:val="%9)"/>
      <w:lvlJc w:val="left"/>
      <w:pPr>
        <w:ind w:left="1020" w:hanging="360"/>
      </w:pPr>
    </w:lvl>
  </w:abstractNum>
  <w:abstractNum w:abstractNumId="51" w15:restartNumberingAfterBreak="0">
    <w:nsid w:val="65F53025"/>
    <w:multiLevelType w:val="multilevel"/>
    <w:tmpl w:val="61F4324A"/>
    <w:numStyleLink w:val="Bullets"/>
  </w:abstractNum>
  <w:abstractNum w:abstractNumId="52" w15:restartNumberingAfterBreak="0">
    <w:nsid w:val="662B59DE"/>
    <w:multiLevelType w:val="hybridMultilevel"/>
    <w:tmpl w:val="A498D4B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3" w15:restartNumberingAfterBreak="0">
    <w:nsid w:val="674213FA"/>
    <w:multiLevelType w:val="hybridMultilevel"/>
    <w:tmpl w:val="428C77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15:restartNumberingAfterBreak="0">
    <w:nsid w:val="68A24970"/>
    <w:multiLevelType w:val="hybridMultilevel"/>
    <w:tmpl w:val="06F89D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5" w15:restartNumberingAfterBreak="0">
    <w:nsid w:val="6C3E52E6"/>
    <w:multiLevelType w:val="hybridMultilevel"/>
    <w:tmpl w:val="FB7ECB8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72707BDD"/>
    <w:multiLevelType w:val="hybridMultilevel"/>
    <w:tmpl w:val="66ECCC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4215AFB"/>
    <w:multiLevelType w:val="hybridMultilevel"/>
    <w:tmpl w:val="40D6B1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8" w15:restartNumberingAfterBreak="0">
    <w:nsid w:val="74942610"/>
    <w:multiLevelType w:val="hybridMultilevel"/>
    <w:tmpl w:val="CEF4133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9" w15:restartNumberingAfterBreak="0">
    <w:nsid w:val="76F26231"/>
    <w:multiLevelType w:val="hybridMultilevel"/>
    <w:tmpl w:val="E8627772"/>
    <w:lvl w:ilvl="0" w:tplc="D61208B6">
      <w:start w:val="1"/>
      <w:numFmt w:val="bullet"/>
      <w:pStyle w:val="CABBulletList"/>
      <w:lvlText w:val=""/>
      <w:lvlJc w:val="left"/>
      <w:pPr>
        <w:ind w:left="-2356" w:hanging="284"/>
      </w:pPr>
      <w:rPr>
        <w:rFonts w:ascii="Symbol" w:hAnsi="Symbol" w:hint="default"/>
        <w:color w:val="081E3E" w:themeColor="accent1"/>
      </w:rPr>
    </w:lvl>
    <w:lvl w:ilvl="1" w:tplc="04090003" w:tentative="1">
      <w:start w:val="1"/>
      <w:numFmt w:val="bullet"/>
      <w:lvlText w:val="o"/>
      <w:lvlJc w:val="left"/>
      <w:pPr>
        <w:ind w:left="-1200" w:hanging="360"/>
      </w:pPr>
      <w:rPr>
        <w:rFonts w:ascii="Courier New" w:hAnsi="Courier New" w:hint="default"/>
      </w:rPr>
    </w:lvl>
    <w:lvl w:ilvl="2" w:tplc="04090005" w:tentative="1">
      <w:start w:val="1"/>
      <w:numFmt w:val="bullet"/>
      <w:lvlText w:val=""/>
      <w:lvlJc w:val="left"/>
      <w:pPr>
        <w:ind w:left="-480" w:hanging="360"/>
      </w:pPr>
      <w:rPr>
        <w:rFonts w:ascii="Wingdings" w:hAnsi="Wingdings" w:hint="default"/>
      </w:rPr>
    </w:lvl>
    <w:lvl w:ilvl="3" w:tplc="04090001" w:tentative="1">
      <w:start w:val="1"/>
      <w:numFmt w:val="bullet"/>
      <w:lvlText w:val=""/>
      <w:lvlJc w:val="left"/>
      <w:pPr>
        <w:ind w:left="240" w:hanging="360"/>
      </w:pPr>
      <w:rPr>
        <w:rFonts w:ascii="Symbol" w:hAnsi="Symbol" w:hint="default"/>
      </w:rPr>
    </w:lvl>
    <w:lvl w:ilvl="4" w:tplc="04090003" w:tentative="1">
      <w:start w:val="1"/>
      <w:numFmt w:val="bullet"/>
      <w:lvlText w:val="o"/>
      <w:lvlJc w:val="left"/>
      <w:pPr>
        <w:ind w:left="960" w:hanging="360"/>
      </w:pPr>
      <w:rPr>
        <w:rFonts w:ascii="Courier New" w:hAnsi="Courier New" w:hint="default"/>
      </w:rPr>
    </w:lvl>
    <w:lvl w:ilvl="5" w:tplc="04090005" w:tentative="1">
      <w:start w:val="1"/>
      <w:numFmt w:val="bullet"/>
      <w:lvlText w:val=""/>
      <w:lvlJc w:val="left"/>
      <w:pPr>
        <w:ind w:left="1680" w:hanging="360"/>
      </w:pPr>
      <w:rPr>
        <w:rFonts w:ascii="Wingdings" w:hAnsi="Wingdings" w:hint="default"/>
      </w:rPr>
    </w:lvl>
    <w:lvl w:ilvl="6" w:tplc="04090001" w:tentative="1">
      <w:start w:val="1"/>
      <w:numFmt w:val="bullet"/>
      <w:lvlText w:val=""/>
      <w:lvlJc w:val="left"/>
      <w:pPr>
        <w:ind w:left="2400" w:hanging="360"/>
      </w:pPr>
      <w:rPr>
        <w:rFonts w:ascii="Symbol" w:hAnsi="Symbol" w:hint="default"/>
      </w:rPr>
    </w:lvl>
    <w:lvl w:ilvl="7" w:tplc="04090003" w:tentative="1">
      <w:start w:val="1"/>
      <w:numFmt w:val="bullet"/>
      <w:lvlText w:val="o"/>
      <w:lvlJc w:val="left"/>
      <w:pPr>
        <w:ind w:left="3120" w:hanging="360"/>
      </w:pPr>
      <w:rPr>
        <w:rFonts w:ascii="Courier New" w:hAnsi="Courier New" w:hint="default"/>
      </w:rPr>
    </w:lvl>
    <w:lvl w:ilvl="8" w:tplc="04090005" w:tentative="1">
      <w:start w:val="1"/>
      <w:numFmt w:val="bullet"/>
      <w:lvlText w:val=""/>
      <w:lvlJc w:val="left"/>
      <w:pPr>
        <w:ind w:left="3840" w:hanging="360"/>
      </w:pPr>
      <w:rPr>
        <w:rFonts w:ascii="Wingdings" w:hAnsi="Wingdings" w:hint="default"/>
      </w:rPr>
    </w:lvl>
  </w:abstractNum>
  <w:abstractNum w:abstractNumId="60" w15:restartNumberingAfterBreak="0">
    <w:nsid w:val="7C952A3D"/>
    <w:multiLevelType w:val="hybridMultilevel"/>
    <w:tmpl w:val="4B4C01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1" w15:restartNumberingAfterBreak="0">
    <w:nsid w:val="7E4F683B"/>
    <w:multiLevelType w:val="hybridMultilevel"/>
    <w:tmpl w:val="BD16844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2" w15:restartNumberingAfterBreak="0">
    <w:nsid w:val="7E554E84"/>
    <w:multiLevelType w:val="multilevel"/>
    <w:tmpl w:val="8FCE6D18"/>
    <w:styleLink w:val="ListLegal"/>
    <w:lvl w:ilvl="0">
      <w:start w:val="1"/>
      <w:numFmt w:val="decimal"/>
      <w:pStyle w:val="ListLegal1"/>
      <w:lvlText w:val="%1."/>
      <w:lvlJc w:val="left"/>
      <w:pPr>
        <w:ind w:left="284" w:hanging="284"/>
      </w:pPr>
      <w:rPr>
        <w:rFonts w:hint="default"/>
      </w:rPr>
    </w:lvl>
    <w:lvl w:ilvl="1">
      <w:start w:val="1"/>
      <w:numFmt w:val="lowerLetter"/>
      <w:pStyle w:val="ListLegal2"/>
      <w:lvlText w:val="%2."/>
      <w:lvlJc w:val="left"/>
      <w:pPr>
        <w:ind w:left="568" w:hanging="284"/>
      </w:pPr>
      <w:rPr>
        <w:rFonts w:hint="default"/>
      </w:rPr>
    </w:lvl>
    <w:lvl w:ilvl="2">
      <w:start w:val="1"/>
      <w:numFmt w:val="lowerRoman"/>
      <w:pStyle w:val="ListLegal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63" w15:restartNumberingAfterBreak="0">
    <w:nsid w:val="7FBC24EC"/>
    <w:multiLevelType w:val="hybridMultilevel"/>
    <w:tmpl w:val="4622D4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07754135">
    <w:abstractNumId w:val="30"/>
  </w:num>
  <w:num w:numId="2" w16cid:durableId="1745490696">
    <w:abstractNumId w:val="62"/>
  </w:num>
  <w:num w:numId="3" w16cid:durableId="806240083">
    <w:abstractNumId w:val="1"/>
  </w:num>
  <w:num w:numId="4" w16cid:durableId="727455472">
    <w:abstractNumId w:val="29"/>
  </w:num>
  <w:num w:numId="5" w16cid:durableId="1408576993">
    <w:abstractNumId w:val="7"/>
    <w:lvlOverride w:ilvl="1">
      <w:lvl w:ilvl="1">
        <w:start w:val="1"/>
        <w:numFmt w:val="decimal"/>
        <w:pStyle w:val="Heading2Numbered"/>
        <w:lvlText w:val="%1.%2"/>
        <w:lvlJc w:val="left"/>
        <w:pPr>
          <w:ind w:left="851" w:hanging="851"/>
        </w:pPr>
        <w:rPr>
          <w:rFonts w:hint="default"/>
        </w:rPr>
      </w:lvl>
    </w:lvlOverride>
  </w:num>
  <w:num w:numId="6" w16cid:durableId="1840777900">
    <w:abstractNumId w:val="22"/>
  </w:num>
  <w:num w:numId="7" w16cid:durableId="54816095">
    <w:abstractNumId w:val="28"/>
  </w:num>
  <w:num w:numId="8" w16cid:durableId="2129081936">
    <w:abstractNumId w:val="44"/>
  </w:num>
  <w:num w:numId="9" w16cid:durableId="502553590">
    <w:abstractNumId w:val="49"/>
  </w:num>
  <w:num w:numId="10" w16cid:durableId="1678842278">
    <w:abstractNumId w:val="49"/>
  </w:num>
  <w:num w:numId="11" w16cid:durableId="1762098680">
    <w:abstractNumId w:val="34"/>
  </w:num>
  <w:num w:numId="12" w16cid:durableId="1438597083">
    <w:abstractNumId w:val="57"/>
  </w:num>
  <w:num w:numId="13" w16cid:durableId="1006982852">
    <w:abstractNumId w:val="33"/>
  </w:num>
  <w:num w:numId="14" w16cid:durableId="1034891432">
    <w:abstractNumId w:val="19"/>
  </w:num>
  <w:num w:numId="15" w16cid:durableId="1305042685">
    <w:abstractNumId w:val="21"/>
  </w:num>
  <w:num w:numId="16" w16cid:durableId="1967159598">
    <w:abstractNumId w:val="52"/>
  </w:num>
  <w:num w:numId="17" w16cid:durableId="223413979">
    <w:abstractNumId w:val="9"/>
  </w:num>
  <w:num w:numId="18" w16cid:durableId="1340430307">
    <w:abstractNumId w:val="40"/>
  </w:num>
  <w:num w:numId="19" w16cid:durableId="46034700">
    <w:abstractNumId w:val="14"/>
  </w:num>
  <w:num w:numId="20" w16cid:durableId="1835223243">
    <w:abstractNumId w:val="15"/>
  </w:num>
  <w:num w:numId="21" w16cid:durableId="2103792880">
    <w:abstractNumId w:val="45"/>
  </w:num>
  <w:num w:numId="22" w16cid:durableId="1805613628">
    <w:abstractNumId w:val="6"/>
  </w:num>
  <w:num w:numId="23" w16cid:durableId="1501122251">
    <w:abstractNumId w:val="11"/>
  </w:num>
  <w:num w:numId="24" w16cid:durableId="1947274409">
    <w:abstractNumId w:val="42"/>
  </w:num>
  <w:num w:numId="25" w16cid:durableId="640500215">
    <w:abstractNumId w:val="25"/>
  </w:num>
  <w:num w:numId="26" w16cid:durableId="1302465021">
    <w:abstractNumId w:val="13"/>
  </w:num>
  <w:num w:numId="27" w16cid:durableId="1406535641">
    <w:abstractNumId w:val="55"/>
  </w:num>
  <w:num w:numId="28" w16cid:durableId="1218862239">
    <w:abstractNumId w:val="23"/>
  </w:num>
  <w:num w:numId="29" w16cid:durableId="991101478">
    <w:abstractNumId w:val="51"/>
  </w:num>
  <w:num w:numId="30" w16cid:durableId="1522892496">
    <w:abstractNumId w:val="47"/>
  </w:num>
  <w:num w:numId="31" w16cid:durableId="455371400">
    <w:abstractNumId w:val="32"/>
  </w:num>
  <w:num w:numId="32" w16cid:durableId="1151022946">
    <w:abstractNumId w:val="31"/>
  </w:num>
  <w:num w:numId="33" w16cid:durableId="825781585">
    <w:abstractNumId w:val="59"/>
  </w:num>
  <w:num w:numId="34" w16cid:durableId="425929392">
    <w:abstractNumId w:val="61"/>
  </w:num>
  <w:num w:numId="35" w16cid:durableId="1128203816">
    <w:abstractNumId w:val="3"/>
  </w:num>
  <w:num w:numId="36" w16cid:durableId="434136721">
    <w:abstractNumId w:val="2"/>
  </w:num>
  <w:num w:numId="37" w16cid:durableId="1037899642">
    <w:abstractNumId w:val="41"/>
  </w:num>
  <w:num w:numId="38" w16cid:durableId="1974486007">
    <w:abstractNumId w:val="7"/>
    <w:lvlOverride w:ilvl="1">
      <w:lvl w:ilvl="1">
        <w:start w:val="1"/>
        <w:numFmt w:val="decimal"/>
        <w:pStyle w:val="Heading2Numbered"/>
        <w:lvlText w:val="%1.%2"/>
        <w:lvlJc w:val="left"/>
        <w:pPr>
          <w:ind w:left="851" w:hanging="851"/>
        </w:pPr>
        <w:rPr>
          <w:rFonts w:hint="default"/>
        </w:rPr>
      </w:lvl>
    </w:lvlOverride>
  </w:num>
  <w:num w:numId="39" w16cid:durableId="145368459">
    <w:abstractNumId w:val="7"/>
    <w:lvlOverride w:ilvl="1">
      <w:lvl w:ilvl="1">
        <w:start w:val="1"/>
        <w:numFmt w:val="decimal"/>
        <w:pStyle w:val="Heading2Numbered"/>
        <w:lvlText w:val="%1.%2"/>
        <w:lvlJc w:val="left"/>
        <w:pPr>
          <w:ind w:left="851" w:hanging="851"/>
        </w:pPr>
        <w:rPr>
          <w:rFonts w:hint="default"/>
        </w:rPr>
      </w:lvl>
    </w:lvlOverride>
  </w:num>
  <w:num w:numId="40" w16cid:durableId="1482042836">
    <w:abstractNumId w:val="7"/>
    <w:lvlOverride w:ilvl="1">
      <w:lvl w:ilvl="1">
        <w:start w:val="1"/>
        <w:numFmt w:val="decimal"/>
        <w:pStyle w:val="Heading2Numbered"/>
        <w:lvlText w:val="%1.%2"/>
        <w:lvlJc w:val="left"/>
        <w:pPr>
          <w:ind w:left="851" w:hanging="851"/>
        </w:pPr>
        <w:rPr>
          <w:rFonts w:hint="default"/>
        </w:rPr>
      </w:lvl>
    </w:lvlOverride>
  </w:num>
  <w:num w:numId="41" w16cid:durableId="288243658">
    <w:abstractNumId w:val="7"/>
    <w:lvlOverride w:ilvl="1">
      <w:lvl w:ilvl="1">
        <w:start w:val="1"/>
        <w:numFmt w:val="decimal"/>
        <w:pStyle w:val="Heading2Numbered"/>
        <w:lvlText w:val="%1.%2"/>
        <w:lvlJc w:val="left"/>
        <w:pPr>
          <w:ind w:left="851" w:hanging="851"/>
        </w:pPr>
        <w:rPr>
          <w:rFonts w:hint="default"/>
        </w:rPr>
      </w:lvl>
    </w:lvlOverride>
  </w:num>
  <w:num w:numId="42" w16cid:durableId="1483544875">
    <w:abstractNumId w:val="7"/>
    <w:lvlOverride w:ilvl="1">
      <w:lvl w:ilvl="1">
        <w:start w:val="1"/>
        <w:numFmt w:val="decimal"/>
        <w:pStyle w:val="Heading2Numbered"/>
        <w:lvlText w:val="%1.%2"/>
        <w:lvlJc w:val="left"/>
        <w:pPr>
          <w:ind w:left="851" w:hanging="851"/>
        </w:pPr>
        <w:rPr>
          <w:rFonts w:hint="default"/>
        </w:rPr>
      </w:lvl>
    </w:lvlOverride>
  </w:num>
  <w:num w:numId="43" w16cid:durableId="723607176">
    <w:abstractNumId w:val="7"/>
    <w:lvlOverride w:ilvl="1">
      <w:lvl w:ilvl="1">
        <w:start w:val="1"/>
        <w:numFmt w:val="decimal"/>
        <w:pStyle w:val="Heading2Numbered"/>
        <w:lvlText w:val="%1.%2"/>
        <w:lvlJc w:val="left"/>
        <w:pPr>
          <w:ind w:left="851" w:hanging="851"/>
        </w:pPr>
        <w:rPr>
          <w:rFonts w:hint="default"/>
        </w:rPr>
      </w:lvl>
    </w:lvlOverride>
  </w:num>
  <w:num w:numId="44" w16cid:durableId="337775453">
    <w:abstractNumId w:val="7"/>
    <w:lvlOverride w:ilvl="1">
      <w:lvl w:ilvl="1">
        <w:start w:val="1"/>
        <w:numFmt w:val="decimal"/>
        <w:pStyle w:val="Heading2Numbered"/>
        <w:lvlText w:val="%1.%2"/>
        <w:lvlJc w:val="left"/>
        <w:pPr>
          <w:ind w:left="851" w:hanging="851"/>
        </w:pPr>
        <w:rPr>
          <w:rFonts w:hint="default"/>
        </w:rPr>
      </w:lvl>
    </w:lvlOverride>
  </w:num>
  <w:num w:numId="45" w16cid:durableId="222058209">
    <w:abstractNumId w:val="10"/>
  </w:num>
  <w:num w:numId="46" w16cid:durableId="901252426">
    <w:abstractNumId w:val="7"/>
    <w:lvlOverride w:ilvl="1">
      <w:lvl w:ilvl="1">
        <w:start w:val="1"/>
        <w:numFmt w:val="decimal"/>
        <w:pStyle w:val="Heading2Numbered"/>
        <w:lvlText w:val="%1.%2"/>
        <w:lvlJc w:val="left"/>
        <w:pPr>
          <w:ind w:left="851" w:hanging="851"/>
        </w:pPr>
        <w:rPr>
          <w:rFonts w:hint="default"/>
        </w:rPr>
      </w:lvl>
    </w:lvlOverride>
  </w:num>
  <w:num w:numId="47" w16cid:durableId="1781678039">
    <w:abstractNumId w:val="4"/>
  </w:num>
  <w:num w:numId="48" w16cid:durableId="1213494986">
    <w:abstractNumId w:val="7"/>
    <w:lvlOverride w:ilvl="1">
      <w:lvl w:ilvl="1">
        <w:start w:val="1"/>
        <w:numFmt w:val="decimal"/>
        <w:pStyle w:val="Heading2Numbered"/>
        <w:lvlText w:val="%1.%2"/>
        <w:lvlJc w:val="left"/>
        <w:pPr>
          <w:ind w:left="851" w:hanging="851"/>
        </w:pPr>
        <w:rPr>
          <w:rFonts w:hint="default"/>
        </w:rPr>
      </w:lvl>
    </w:lvlOverride>
  </w:num>
  <w:num w:numId="49" w16cid:durableId="1193223993">
    <w:abstractNumId w:val="7"/>
    <w:lvlOverride w:ilvl="1">
      <w:lvl w:ilvl="1">
        <w:start w:val="1"/>
        <w:numFmt w:val="decimal"/>
        <w:pStyle w:val="Heading2Numbered"/>
        <w:lvlText w:val="%1.%2"/>
        <w:lvlJc w:val="left"/>
        <w:pPr>
          <w:ind w:left="851" w:hanging="851"/>
        </w:pPr>
        <w:rPr>
          <w:rFonts w:hint="default"/>
        </w:rPr>
      </w:lvl>
    </w:lvlOverride>
  </w:num>
  <w:num w:numId="50" w16cid:durableId="1539315558">
    <w:abstractNumId w:val="37"/>
  </w:num>
  <w:num w:numId="51" w16cid:durableId="105807282">
    <w:abstractNumId w:val="51"/>
  </w:num>
  <w:num w:numId="52" w16cid:durableId="1029065551">
    <w:abstractNumId w:val="7"/>
    <w:lvlOverride w:ilvl="1">
      <w:lvl w:ilvl="1">
        <w:start w:val="1"/>
        <w:numFmt w:val="decimal"/>
        <w:pStyle w:val="Heading2Numbered"/>
        <w:lvlText w:val="%1.%2"/>
        <w:lvlJc w:val="left"/>
        <w:pPr>
          <w:ind w:left="851" w:hanging="851"/>
        </w:pPr>
        <w:rPr>
          <w:rFonts w:hint="default"/>
        </w:rPr>
      </w:lvl>
    </w:lvlOverride>
  </w:num>
  <w:num w:numId="53" w16cid:durableId="17049036">
    <w:abstractNumId w:val="58"/>
  </w:num>
  <w:num w:numId="54" w16cid:durableId="1528907408">
    <w:abstractNumId w:val="53"/>
  </w:num>
  <w:num w:numId="55" w16cid:durableId="1641183971">
    <w:abstractNumId w:val="26"/>
  </w:num>
  <w:num w:numId="56" w16cid:durableId="548952613">
    <w:abstractNumId w:val="12"/>
  </w:num>
  <w:num w:numId="57" w16cid:durableId="277297469">
    <w:abstractNumId w:val="46"/>
  </w:num>
  <w:num w:numId="58" w16cid:durableId="1508321976">
    <w:abstractNumId w:val="50"/>
  </w:num>
  <w:num w:numId="59" w16cid:durableId="1178814709">
    <w:abstractNumId w:val="7"/>
    <w:lvlOverride w:ilvl="0">
      <w:startOverride w:val="1"/>
      <w:lvl w:ilvl="0">
        <w:start w:val="1"/>
        <w:numFmt w:val="decimal"/>
        <w:pStyle w:val="Heading1Numbered"/>
        <w:lvlText w:val="%1."/>
        <w:lvlJc w:val="left"/>
        <w:pPr>
          <w:ind w:left="567" w:hanging="567"/>
        </w:pPr>
        <w:rPr>
          <w:rFonts w:hint="default"/>
        </w:rPr>
      </w:lvl>
    </w:lvlOverride>
    <w:lvlOverride w:ilvl="1">
      <w:startOverride w:val="1"/>
      <w:lvl w:ilvl="1">
        <w:start w:val="1"/>
        <w:numFmt w:val="decimal"/>
        <w:pStyle w:val="Heading2Numbered"/>
        <w:lvlText w:val="%1.%2"/>
        <w:lvlJc w:val="left"/>
        <w:pPr>
          <w:ind w:left="851" w:hanging="851"/>
        </w:pPr>
        <w:rPr>
          <w:rFonts w:hint="default"/>
        </w:rPr>
      </w:lvl>
    </w:lvlOverride>
    <w:lvlOverride w:ilvl="2">
      <w:startOverride w:val="1"/>
      <w:lvl w:ilvl="2">
        <w:start w:val="1"/>
        <w:numFmt w:val="decimal"/>
        <w:pStyle w:val="Heading3Numbered"/>
        <w:lvlText w:val="%1.%2.%3"/>
        <w:lvlJc w:val="left"/>
        <w:pPr>
          <w:ind w:left="1134" w:hanging="1134"/>
        </w:pPr>
        <w:rPr>
          <w:rFonts w:hint="default"/>
        </w:rPr>
      </w:lvl>
    </w:lvlOverride>
    <w:lvlOverride w:ilvl="3">
      <w:startOverride w:val="1"/>
      <w:lvl w:ilvl="3">
        <w:start w:val="1"/>
        <w:numFmt w:val="decimal"/>
        <w:pStyle w:val="Heading4Numbered"/>
        <w:lvlText w:val="%1.%2.%3.%4"/>
        <w:lvlJc w:val="left"/>
        <w:pPr>
          <w:ind w:left="1134" w:hanging="1134"/>
        </w:pPr>
        <w:rPr>
          <w:rFonts w:hint="default"/>
        </w:rPr>
      </w:lvl>
    </w:lvlOverride>
    <w:lvlOverride w:ilvl="4">
      <w:startOverride w:val="1"/>
      <w:lvl w:ilvl="4">
        <w:start w:val="1"/>
        <w:numFmt w:val="decimal"/>
        <w:pStyle w:val="Heading5Numbered"/>
        <w:lvlText w:val="%1.%2.%3.%4.%5"/>
        <w:lvlJc w:val="left"/>
        <w:pPr>
          <w:ind w:left="1134" w:hanging="1134"/>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1494"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60" w16cid:durableId="1052391737">
    <w:abstractNumId w:val="63"/>
  </w:num>
  <w:num w:numId="61" w16cid:durableId="567227544">
    <w:abstractNumId w:val="56"/>
  </w:num>
  <w:num w:numId="62" w16cid:durableId="1174108121">
    <w:abstractNumId w:val="0"/>
  </w:num>
  <w:num w:numId="63" w16cid:durableId="1153721666">
    <w:abstractNumId w:val="39"/>
  </w:num>
  <w:num w:numId="64" w16cid:durableId="421731018">
    <w:abstractNumId w:val="43"/>
  </w:num>
  <w:num w:numId="65" w16cid:durableId="1455128202">
    <w:abstractNumId w:val="27"/>
  </w:num>
  <w:num w:numId="66" w16cid:durableId="2051564338">
    <w:abstractNumId w:val="17"/>
  </w:num>
  <w:num w:numId="67" w16cid:durableId="1702709984">
    <w:abstractNumId w:val="24"/>
  </w:num>
  <w:num w:numId="68" w16cid:durableId="1177966823">
    <w:abstractNumId w:val="36"/>
  </w:num>
  <w:num w:numId="69" w16cid:durableId="656306861">
    <w:abstractNumId w:val="36"/>
    <w:lvlOverride w:ilvl="1">
      <w:lvl w:ilvl="1">
        <w:numFmt w:val="bullet"/>
        <w:lvlText w:val=""/>
        <w:lvlJc w:val="left"/>
        <w:pPr>
          <w:tabs>
            <w:tab w:val="num" w:pos="1440"/>
          </w:tabs>
          <w:ind w:left="1440" w:hanging="360"/>
        </w:pPr>
        <w:rPr>
          <w:rFonts w:ascii="Symbol" w:hAnsi="Symbol" w:hint="default"/>
          <w:sz w:val="20"/>
        </w:rPr>
      </w:lvl>
    </w:lvlOverride>
  </w:num>
  <w:num w:numId="70" w16cid:durableId="949748450">
    <w:abstractNumId w:val="38"/>
  </w:num>
  <w:num w:numId="71" w16cid:durableId="521823925">
    <w:abstractNumId w:val="51"/>
  </w:num>
  <w:num w:numId="72" w16cid:durableId="433287639">
    <w:abstractNumId w:val="20"/>
  </w:num>
  <w:num w:numId="73" w16cid:durableId="709375607">
    <w:abstractNumId w:val="51"/>
  </w:num>
  <w:num w:numId="74" w16cid:durableId="2086029590">
    <w:abstractNumId w:val="51"/>
  </w:num>
  <w:num w:numId="75" w16cid:durableId="66072911">
    <w:abstractNumId w:val="54"/>
  </w:num>
  <w:num w:numId="76" w16cid:durableId="1710833894">
    <w:abstractNumId w:val="60"/>
  </w:num>
  <w:num w:numId="77" w16cid:durableId="1007289530">
    <w:abstractNumId w:val="5"/>
  </w:num>
  <w:num w:numId="78" w16cid:durableId="1469279660">
    <w:abstractNumId w:val="18"/>
  </w:num>
  <w:num w:numId="79" w16cid:durableId="1956137084">
    <w:abstractNumId w:val="8"/>
  </w:num>
  <w:num w:numId="80" w16cid:durableId="1701928946">
    <w:abstractNumId w:val="16"/>
  </w:num>
  <w:num w:numId="81" w16cid:durableId="489449592">
    <w:abstractNumId w:val="48"/>
  </w:num>
  <w:num w:numId="82" w16cid:durableId="383606459">
    <w:abstractNumId w:val="35"/>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EAB"/>
    <w:rsid w:val="00001582"/>
    <w:rsid w:val="00001C2F"/>
    <w:rsid w:val="00002051"/>
    <w:rsid w:val="00003395"/>
    <w:rsid w:val="0000366A"/>
    <w:rsid w:val="000036B9"/>
    <w:rsid w:val="00003EB2"/>
    <w:rsid w:val="00004410"/>
    <w:rsid w:val="00004C54"/>
    <w:rsid w:val="00004EB9"/>
    <w:rsid w:val="0000651A"/>
    <w:rsid w:val="000066D9"/>
    <w:rsid w:val="000066F3"/>
    <w:rsid w:val="0000699F"/>
    <w:rsid w:val="00006E13"/>
    <w:rsid w:val="00006F57"/>
    <w:rsid w:val="000075AC"/>
    <w:rsid w:val="00010210"/>
    <w:rsid w:val="00010485"/>
    <w:rsid w:val="00010BE7"/>
    <w:rsid w:val="00011C09"/>
    <w:rsid w:val="00011DC7"/>
    <w:rsid w:val="00012337"/>
    <w:rsid w:val="00012865"/>
    <w:rsid w:val="0001321B"/>
    <w:rsid w:val="00013543"/>
    <w:rsid w:val="00014136"/>
    <w:rsid w:val="000141A9"/>
    <w:rsid w:val="0001430B"/>
    <w:rsid w:val="000151F5"/>
    <w:rsid w:val="000155C0"/>
    <w:rsid w:val="0001576A"/>
    <w:rsid w:val="000169E7"/>
    <w:rsid w:val="00017081"/>
    <w:rsid w:val="00017CE0"/>
    <w:rsid w:val="00020093"/>
    <w:rsid w:val="000201F7"/>
    <w:rsid w:val="000219F8"/>
    <w:rsid w:val="00021B3E"/>
    <w:rsid w:val="00021CDE"/>
    <w:rsid w:val="000223AB"/>
    <w:rsid w:val="000224D5"/>
    <w:rsid w:val="00022F64"/>
    <w:rsid w:val="00023BAB"/>
    <w:rsid w:val="000248EC"/>
    <w:rsid w:val="00024C3D"/>
    <w:rsid w:val="00025A59"/>
    <w:rsid w:val="00025C6A"/>
    <w:rsid w:val="00026677"/>
    <w:rsid w:val="0002691F"/>
    <w:rsid w:val="00026B55"/>
    <w:rsid w:val="00026EDC"/>
    <w:rsid w:val="0002715D"/>
    <w:rsid w:val="000279FF"/>
    <w:rsid w:val="00027F2B"/>
    <w:rsid w:val="000305C2"/>
    <w:rsid w:val="00030C67"/>
    <w:rsid w:val="00032751"/>
    <w:rsid w:val="000328EB"/>
    <w:rsid w:val="0003291C"/>
    <w:rsid w:val="00032FEC"/>
    <w:rsid w:val="000347F6"/>
    <w:rsid w:val="00034E2F"/>
    <w:rsid w:val="00034F01"/>
    <w:rsid w:val="000369AA"/>
    <w:rsid w:val="0003767F"/>
    <w:rsid w:val="00037684"/>
    <w:rsid w:val="00037923"/>
    <w:rsid w:val="00037BFD"/>
    <w:rsid w:val="00040EBB"/>
    <w:rsid w:val="00041240"/>
    <w:rsid w:val="000418C5"/>
    <w:rsid w:val="0004251C"/>
    <w:rsid w:val="0004279E"/>
    <w:rsid w:val="00042D46"/>
    <w:rsid w:val="000437C6"/>
    <w:rsid w:val="00043ABE"/>
    <w:rsid w:val="00043DD7"/>
    <w:rsid w:val="0004405E"/>
    <w:rsid w:val="00044497"/>
    <w:rsid w:val="00044583"/>
    <w:rsid w:val="00044917"/>
    <w:rsid w:val="00044A9A"/>
    <w:rsid w:val="00044E77"/>
    <w:rsid w:val="00044F1B"/>
    <w:rsid w:val="00045FBB"/>
    <w:rsid w:val="000461A2"/>
    <w:rsid w:val="00046524"/>
    <w:rsid w:val="0004673E"/>
    <w:rsid w:val="00047466"/>
    <w:rsid w:val="000475B8"/>
    <w:rsid w:val="000508CE"/>
    <w:rsid w:val="0005197E"/>
    <w:rsid w:val="00051D83"/>
    <w:rsid w:val="00052B65"/>
    <w:rsid w:val="00052E53"/>
    <w:rsid w:val="0005390B"/>
    <w:rsid w:val="00053B19"/>
    <w:rsid w:val="00054680"/>
    <w:rsid w:val="00054BA7"/>
    <w:rsid w:val="000554CB"/>
    <w:rsid w:val="000560EF"/>
    <w:rsid w:val="00056189"/>
    <w:rsid w:val="00056577"/>
    <w:rsid w:val="00056927"/>
    <w:rsid w:val="00060A7D"/>
    <w:rsid w:val="00062C4D"/>
    <w:rsid w:val="00063A89"/>
    <w:rsid w:val="00063E4C"/>
    <w:rsid w:val="0006519D"/>
    <w:rsid w:val="00066268"/>
    <w:rsid w:val="000668A3"/>
    <w:rsid w:val="00066C91"/>
    <w:rsid w:val="0006706B"/>
    <w:rsid w:val="000670AE"/>
    <w:rsid w:val="0007081C"/>
    <w:rsid w:val="000710F1"/>
    <w:rsid w:val="00072317"/>
    <w:rsid w:val="000724B1"/>
    <w:rsid w:val="0007266D"/>
    <w:rsid w:val="00072FA4"/>
    <w:rsid w:val="00072FD3"/>
    <w:rsid w:val="00073B52"/>
    <w:rsid w:val="0007409E"/>
    <w:rsid w:val="000748C9"/>
    <w:rsid w:val="000749C1"/>
    <w:rsid w:val="00074BEB"/>
    <w:rsid w:val="00074D0C"/>
    <w:rsid w:val="00074DF5"/>
    <w:rsid w:val="00074E1A"/>
    <w:rsid w:val="00075311"/>
    <w:rsid w:val="00076401"/>
    <w:rsid w:val="00076D28"/>
    <w:rsid w:val="000772F1"/>
    <w:rsid w:val="00077974"/>
    <w:rsid w:val="0008025E"/>
    <w:rsid w:val="000807A1"/>
    <w:rsid w:val="000814D4"/>
    <w:rsid w:val="00081AFB"/>
    <w:rsid w:val="00081B72"/>
    <w:rsid w:val="00081E08"/>
    <w:rsid w:val="00083091"/>
    <w:rsid w:val="000831AE"/>
    <w:rsid w:val="0008358B"/>
    <w:rsid w:val="00083869"/>
    <w:rsid w:val="0008388C"/>
    <w:rsid w:val="00084482"/>
    <w:rsid w:val="00084ADE"/>
    <w:rsid w:val="00084FD9"/>
    <w:rsid w:val="000853DC"/>
    <w:rsid w:val="00085622"/>
    <w:rsid w:val="000856EC"/>
    <w:rsid w:val="000858F8"/>
    <w:rsid w:val="00085BEB"/>
    <w:rsid w:val="0008615C"/>
    <w:rsid w:val="000904AD"/>
    <w:rsid w:val="0009082B"/>
    <w:rsid w:val="00090932"/>
    <w:rsid w:val="00090A4D"/>
    <w:rsid w:val="00090CDF"/>
    <w:rsid w:val="00090D55"/>
    <w:rsid w:val="00091188"/>
    <w:rsid w:val="000925C1"/>
    <w:rsid w:val="00092640"/>
    <w:rsid w:val="00092B94"/>
    <w:rsid w:val="00093CE9"/>
    <w:rsid w:val="000941FA"/>
    <w:rsid w:val="000945AA"/>
    <w:rsid w:val="00094B2E"/>
    <w:rsid w:val="00094EDD"/>
    <w:rsid w:val="0009548E"/>
    <w:rsid w:val="00096308"/>
    <w:rsid w:val="00096CF7"/>
    <w:rsid w:val="00096E12"/>
    <w:rsid w:val="000970D7"/>
    <w:rsid w:val="000971D1"/>
    <w:rsid w:val="00097B1A"/>
    <w:rsid w:val="000A0790"/>
    <w:rsid w:val="000A0833"/>
    <w:rsid w:val="000A1963"/>
    <w:rsid w:val="000A1ECF"/>
    <w:rsid w:val="000A2356"/>
    <w:rsid w:val="000A3FEE"/>
    <w:rsid w:val="000A4745"/>
    <w:rsid w:val="000A4A2F"/>
    <w:rsid w:val="000A55BC"/>
    <w:rsid w:val="000A5652"/>
    <w:rsid w:val="000A59D1"/>
    <w:rsid w:val="000A5E6B"/>
    <w:rsid w:val="000A6223"/>
    <w:rsid w:val="000A63D8"/>
    <w:rsid w:val="000A658F"/>
    <w:rsid w:val="000A6E40"/>
    <w:rsid w:val="000A7393"/>
    <w:rsid w:val="000A7D21"/>
    <w:rsid w:val="000A7F2A"/>
    <w:rsid w:val="000B006F"/>
    <w:rsid w:val="000B0979"/>
    <w:rsid w:val="000B0EBD"/>
    <w:rsid w:val="000B1BF9"/>
    <w:rsid w:val="000B2DB8"/>
    <w:rsid w:val="000B30CF"/>
    <w:rsid w:val="000B466C"/>
    <w:rsid w:val="000B5558"/>
    <w:rsid w:val="000B5722"/>
    <w:rsid w:val="000B7080"/>
    <w:rsid w:val="000B78AE"/>
    <w:rsid w:val="000B7CBD"/>
    <w:rsid w:val="000B7DE2"/>
    <w:rsid w:val="000C0455"/>
    <w:rsid w:val="000C1298"/>
    <w:rsid w:val="000C12C5"/>
    <w:rsid w:val="000C176E"/>
    <w:rsid w:val="000C1EDF"/>
    <w:rsid w:val="000C2528"/>
    <w:rsid w:val="000C2AAC"/>
    <w:rsid w:val="000C3005"/>
    <w:rsid w:val="000C36FD"/>
    <w:rsid w:val="000C45AE"/>
    <w:rsid w:val="000C4A3C"/>
    <w:rsid w:val="000C4FA1"/>
    <w:rsid w:val="000C5EC0"/>
    <w:rsid w:val="000C6760"/>
    <w:rsid w:val="000C7193"/>
    <w:rsid w:val="000C7FD0"/>
    <w:rsid w:val="000D01AB"/>
    <w:rsid w:val="000D057A"/>
    <w:rsid w:val="000D0593"/>
    <w:rsid w:val="000D0A6F"/>
    <w:rsid w:val="000D15B4"/>
    <w:rsid w:val="000D1749"/>
    <w:rsid w:val="000D1FFB"/>
    <w:rsid w:val="000D2A6B"/>
    <w:rsid w:val="000D2BA2"/>
    <w:rsid w:val="000D3641"/>
    <w:rsid w:val="000D43A5"/>
    <w:rsid w:val="000D43B1"/>
    <w:rsid w:val="000D48AC"/>
    <w:rsid w:val="000D4C03"/>
    <w:rsid w:val="000D591D"/>
    <w:rsid w:val="000D5C62"/>
    <w:rsid w:val="000D61BE"/>
    <w:rsid w:val="000D6291"/>
    <w:rsid w:val="000E03B2"/>
    <w:rsid w:val="000E1725"/>
    <w:rsid w:val="000E1FEE"/>
    <w:rsid w:val="000E2368"/>
    <w:rsid w:val="000E24BA"/>
    <w:rsid w:val="000E28D8"/>
    <w:rsid w:val="000E453A"/>
    <w:rsid w:val="000E465E"/>
    <w:rsid w:val="000E4C0C"/>
    <w:rsid w:val="000E5674"/>
    <w:rsid w:val="000E5A21"/>
    <w:rsid w:val="000E6BE6"/>
    <w:rsid w:val="000E6D6E"/>
    <w:rsid w:val="000E70AA"/>
    <w:rsid w:val="000E72A1"/>
    <w:rsid w:val="000E7502"/>
    <w:rsid w:val="000F052B"/>
    <w:rsid w:val="000F0F55"/>
    <w:rsid w:val="000F1046"/>
    <w:rsid w:val="000F11BF"/>
    <w:rsid w:val="000F1309"/>
    <w:rsid w:val="000F18FC"/>
    <w:rsid w:val="000F1A05"/>
    <w:rsid w:val="000F1FE7"/>
    <w:rsid w:val="000F2641"/>
    <w:rsid w:val="000F3191"/>
    <w:rsid w:val="000F3DCB"/>
    <w:rsid w:val="000F3E54"/>
    <w:rsid w:val="000F3F36"/>
    <w:rsid w:val="000F498A"/>
    <w:rsid w:val="000F4DAF"/>
    <w:rsid w:val="000F5654"/>
    <w:rsid w:val="000F7611"/>
    <w:rsid w:val="000F7A4A"/>
    <w:rsid w:val="000F7A73"/>
    <w:rsid w:val="000F7C6D"/>
    <w:rsid w:val="00100E0D"/>
    <w:rsid w:val="001014BD"/>
    <w:rsid w:val="00101A53"/>
    <w:rsid w:val="00102243"/>
    <w:rsid w:val="0010275A"/>
    <w:rsid w:val="00102D03"/>
    <w:rsid w:val="00103500"/>
    <w:rsid w:val="001041F2"/>
    <w:rsid w:val="00104B66"/>
    <w:rsid w:val="00104C51"/>
    <w:rsid w:val="001059CD"/>
    <w:rsid w:val="001065D7"/>
    <w:rsid w:val="001069D5"/>
    <w:rsid w:val="00106D46"/>
    <w:rsid w:val="00106E34"/>
    <w:rsid w:val="00110558"/>
    <w:rsid w:val="001106FF"/>
    <w:rsid w:val="00110734"/>
    <w:rsid w:val="0011124E"/>
    <w:rsid w:val="001118FE"/>
    <w:rsid w:val="00112032"/>
    <w:rsid w:val="001133F3"/>
    <w:rsid w:val="00113B58"/>
    <w:rsid w:val="00114865"/>
    <w:rsid w:val="00115043"/>
    <w:rsid w:val="001152C3"/>
    <w:rsid w:val="00115E4C"/>
    <w:rsid w:val="001163DD"/>
    <w:rsid w:val="00117B14"/>
    <w:rsid w:val="00120517"/>
    <w:rsid w:val="00120995"/>
    <w:rsid w:val="00120CA9"/>
    <w:rsid w:val="001214E8"/>
    <w:rsid w:val="00121533"/>
    <w:rsid w:val="00121BB4"/>
    <w:rsid w:val="00121CDC"/>
    <w:rsid w:val="00123CE2"/>
    <w:rsid w:val="00123D13"/>
    <w:rsid w:val="00124A1A"/>
    <w:rsid w:val="00125944"/>
    <w:rsid w:val="00125EAD"/>
    <w:rsid w:val="0012758C"/>
    <w:rsid w:val="001276CF"/>
    <w:rsid w:val="00127BF6"/>
    <w:rsid w:val="0013108C"/>
    <w:rsid w:val="001311AF"/>
    <w:rsid w:val="0013247C"/>
    <w:rsid w:val="001326F8"/>
    <w:rsid w:val="00132CDC"/>
    <w:rsid w:val="00132D2E"/>
    <w:rsid w:val="0013337B"/>
    <w:rsid w:val="0013381E"/>
    <w:rsid w:val="00133CD5"/>
    <w:rsid w:val="001349C6"/>
    <w:rsid w:val="00135290"/>
    <w:rsid w:val="00135490"/>
    <w:rsid w:val="00135D15"/>
    <w:rsid w:val="0013641B"/>
    <w:rsid w:val="001365EB"/>
    <w:rsid w:val="001368FE"/>
    <w:rsid w:val="001374FD"/>
    <w:rsid w:val="001375FA"/>
    <w:rsid w:val="00137D97"/>
    <w:rsid w:val="00137E9E"/>
    <w:rsid w:val="00141934"/>
    <w:rsid w:val="00142360"/>
    <w:rsid w:val="00142366"/>
    <w:rsid w:val="001436E0"/>
    <w:rsid w:val="001439A8"/>
    <w:rsid w:val="00143FC0"/>
    <w:rsid w:val="001444F8"/>
    <w:rsid w:val="00145EB8"/>
    <w:rsid w:val="00146914"/>
    <w:rsid w:val="00146ED9"/>
    <w:rsid w:val="00147DB4"/>
    <w:rsid w:val="00147FB7"/>
    <w:rsid w:val="001508DC"/>
    <w:rsid w:val="00150988"/>
    <w:rsid w:val="00151AA5"/>
    <w:rsid w:val="001523CF"/>
    <w:rsid w:val="0015347E"/>
    <w:rsid w:val="001540FB"/>
    <w:rsid w:val="0015419C"/>
    <w:rsid w:val="00154577"/>
    <w:rsid w:val="001547DA"/>
    <w:rsid w:val="00154CAF"/>
    <w:rsid w:val="001552A3"/>
    <w:rsid w:val="00155E78"/>
    <w:rsid w:val="00156DF3"/>
    <w:rsid w:val="00157765"/>
    <w:rsid w:val="00160006"/>
    <w:rsid w:val="00160986"/>
    <w:rsid w:val="00160E79"/>
    <w:rsid w:val="001625AC"/>
    <w:rsid w:val="0016266A"/>
    <w:rsid w:val="001626E8"/>
    <w:rsid w:val="00164865"/>
    <w:rsid w:val="0016486C"/>
    <w:rsid w:val="00165108"/>
    <w:rsid w:val="001658DE"/>
    <w:rsid w:val="0016671D"/>
    <w:rsid w:val="00166764"/>
    <w:rsid w:val="001668D7"/>
    <w:rsid w:val="00166B97"/>
    <w:rsid w:val="00166D40"/>
    <w:rsid w:val="0016728E"/>
    <w:rsid w:val="001676FC"/>
    <w:rsid w:val="00167DAE"/>
    <w:rsid w:val="00170267"/>
    <w:rsid w:val="001709A9"/>
    <w:rsid w:val="00170C3D"/>
    <w:rsid w:val="00170CF2"/>
    <w:rsid w:val="00171CC6"/>
    <w:rsid w:val="0017231F"/>
    <w:rsid w:val="001728E8"/>
    <w:rsid w:val="001734D1"/>
    <w:rsid w:val="00174C16"/>
    <w:rsid w:val="001754A7"/>
    <w:rsid w:val="0017621D"/>
    <w:rsid w:val="00176512"/>
    <w:rsid w:val="00176714"/>
    <w:rsid w:val="00176DCB"/>
    <w:rsid w:val="00177171"/>
    <w:rsid w:val="00177969"/>
    <w:rsid w:val="00177D8A"/>
    <w:rsid w:val="00180140"/>
    <w:rsid w:val="00180340"/>
    <w:rsid w:val="001803E3"/>
    <w:rsid w:val="001810F9"/>
    <w:rsid w:val="0018117C"/>
    <w:rsid w:val="00181524"/>
    <w:rsid w:val="0018274A"/>
    <w:rsid w:val="001827C1"/>
    <w:rsid w:val="0018282C"/>
    <w:rsid w:val="001832D5"/>
    <w:rsid w:val="0018539F"/>
    <w:rsid w:val="001862F9"/>
    <w:rsid w:val="00186DA1"/>
    <w:rsid w:val="001873E7"/>
    <w:rsid w:val="0018781D"/>
    <w:rsid w:val="00190219"/>
    <w:rsid w:val="001909EE"/>
    <w:rsid w:val="00192609"/>
    <w:rsid w:val="001927CB"/>
    <w:rsid w:val="00192BF0"/>
    <w:rsid w:val="00193A19"/>
    <w:rsid w:val="00193E27"/>
    <w:rsid w:val="00194B10"/>
    <w:rsid w:val="001952C6"/>
    <w:rsid w:val="00195853"/>
    <w:rsid w:val="00195B42"/>
    <w:rsid w:val="00195C94"/>
    <w:rsid w:val="00197345"/>
    <w:rsid w:val="001A06B9"/>
    <w:rsid w:val="001A1159"/>
    <w:rsid w:val="001A11BF"/>
    <w:rsid w:val="001A19E3"/>
    <w:rsid w:val="001A2D76"/>
    <w:rsid w:val="001A2FC1"/>
    <w:rsid w:val="001A3598"/>
    <w:rsid w:val="001A4284"/>
    <w:rsid w:val="001A4A47"/>
    <w:rsid w:val="001A4B76"/>
    <w:rsid w:val="001A5369"/>
    <w:rsid w:val="001A5E70"/>
    <w:rsid w:val="001A6013"/>
    <w:rsid w:val="001A6206"/>
    <w:rsid w:val="001A63A0"/>
    <w:rsid w:val="001A6D01"/>
    <w:rsid w:val="001A775A"/>
    <w:rsid w:val="001A7A1A"/>
    <w:rsid w:val="001A7AE1"/>
    <w:rsid w:val="001B07D0"/>
    <w:rsid w:val="001B0E55"/>
    <w:rsid w:val="001B1024"/>
    <w:rsid w:val="001B11E7"/>
    <w:rsid w:val="001B285B"/>
    <w:rsid w:val="001B2F76"/>
    <w:rsid w:val="001B2FFD"/>
    <w:rsid w:val="001B340A"/>
    <w:rsid w:val="001B3BA4"/>
    <w:rsid w:val="001B3DE0"/>
    <w:rsid w:val="001B4324"/>
    <w:rsid w:val="001B640A"/>
    <w:rsid w:val="001B6533"/>
    <w:rsid w:val="001B6E09"/>
    <w:rsid w:val="001C172C"/>
    <w:rsid w:val="001C197A"/>
    <w:rsid w:val="001C28E2"/>
    <w:rsid w:val="001C3444"/>
    <w:rsid w:val="001C35F4"/>
    <w:rsid w:val="001C516C"/>
    <w:rsid w:val="001C59EE"/>
    <w:rsid w:val="001C6679"/>
    <w:rsid w:val="001C79CA"/>
    <w:rsid w:val="001C7CFF"/>
    <w:rsid w:val="001D047C"/>
    <w:rsid w:val="001D0B44"/>
    <w:rsid w:val="001D0D2A"/>
    <w:rsid w:val="001D0E16"/>
    <w:rsid w:val="001D0E48"/>
    <w:rsid w:val="001D13CD"/>
    <w:rsid w:val="001D176D"/>
    <w:rsid w:val="001D1870"/>
    <w:rsid w:val="001D1AB8"/>
    <w:rsid w:val="001D3D0A"/>
    <w:rsid w:val="001D3F99"/>
    <w:rsid w:val="001D44B0"/>
    <w:rsid w:val="001D46B8"/>
    <w:rsid w:val="001D4C9B"/>
    <w:rsid w:val="001D5085"/>
    <w:rsid w:val="001D5E65"/>
    <w:rsid w:val="001D60EF"/>
    <w:rsid w:val="001D6C1C"/>
    <w:rsid w:val="001D7076"/>
    <w:rsid w:val="001D76AF"/>
    <w:rsid w:val="001D77F3"/>
    <w:rsid w:val="001D7897"/>
    <w:rsid w:val="001D798E"/>
    <w:rsid w:val="001D7E55"/>
    <w:rsid w:val="001E00DD"/>
    <w:rsid w:val="001E0CA7"/>
    <w:rsid w:val="001E10F6"/>
    <w:rsid w:val="001E192F"/>
    <w:rsid w:val="001E1D4E"/>
    <w:rsid w:val="001E2096"/>
    <w:rsid w:val="001E2126"/>
    <w:rsid w:val="001E2232"/>
    <w:rsid w:val="001E2291"/>
    <w:rsid w:val="001E2347"/>
    <w:rsid w:val="001E33BA"/>
    <w:rsid w:val="001E34A3"/>
    <w:rsid w:val="001E36C7"/>
    <w:rsid w:val="001E3733"/>
    <w:rsid w:val="001E3C38"/>
    <w:rsid w:val="001E3C9A"/>
    <w:rsid w:val="001E3D21"/>
    <w:rsid w:val="001E3E9F"/>
    <w:rsid w:val="001E3FBC"/>
    <w:rsid w:val="001E421E"/>
    <w:rsid w:val="001E4D2F"/>
    <w:rsid w:val="001E5403"/>
    <w:rsid w:val="001E5C8C"/>
    <w:rsid w:val="001E62DE"/>
    <w:rsid w:val="001E6C76"/>
    <w:rsid w:val="001E7A77"/>
    <w:rsid w:val="001F06B9"/>
    <w:rsid w:val="001F0D68"/>
    <w:rsid w:val="001F0EAB"/>
    <w:rsid w:val="001F0EFE"/>
    <w:rsid w:val="001F1968"/>
    <w:rsid w:val="001F1A88"/>
    <w:rsid w:val="001F22E6"/>
    <w:rsid w:val="001F2C57"/>
    <w:rsid w:val="001F3042"/>
    <w:rsid w:val="001F3ADA"/>
    <w:rsid w:val="001F3F9C"/>
    <w:rsid w:val="001F3FFE"/>
    <w:rsid w:val="001F4858"/>
    <w:rsid w:val="001F48FC"/>
    <w:rsid w:val="001F4CEB"/>
    <w:rsid w:val="001F516D"/>
    <w:rsid w:val="001F519F"/>
    <w:rsid w:val="001F5B5C"/>
    <w:rsid w:val="001F68CF"/>
    <w:rsid w:val="001F6CB9"/>
    <w:rsid w:val="001F761C"/>
    <w:rsid w:val="001F786F"/>
    <w:rsid w:val="001F7A59"/>
    <w:rsid w:val="002009D4"/>
    <w:rsid w:val="00200C46"/>
    <w:rsid w:val="002012B0"/>
    <w:rsid w:val="002014A9"/>
    <w:rsid w:val="00202117"/>
    <w:rsid w:val="0020270A"/>
    <w:rsid w:val="00204CD2"/>
    <w:rsid w:val="0020565A"/>
    <w:rsid w:val="00205F29"/>
    <w:rsid w:val="002062E2"/>
    <w:rsid w:val="00206B69"/>
    <w:rsid w:val="00206DF0"/>
    <w:rsid w:val="00207279"/>
    <w:rsid w:val="002074E7"/>
    <w:rsid w:val="0020771B"/>
    <w:rsid w:val="002079C5"/>
    <w:rsid w:val="00207A7D"/>
    <w:rsid w:val="0021019B"/>
    <w:rsid w:val="002108F6"/>
    <w:rsid w:val="00212C34"/>
    <w:rsid w:val="00213119"/>
    <w:rsid w:val="00213A1E"/>
    <w:rsid w:val="002148F2"/>
    <w:rsid w:val="00214CFB"/>
    <w:rsid w:val="00215737"/>
    <w:rsid w:val="00216163"/>
    <w:rsid w:val="00216ACE"/>
    <w:rsid w:val="00216AED"/>
    <w:rsid w:val="00216CDC"/>
    <w:rsid w:val="00216CF0"/>
    <w:rsid w:val="00216F5B"/>
    <w:rsid w:val="002170C6"/>
    <w:rsid w:val="002178E6"/>
    <w:rsid w:val="00217B42"/>
    <w:rsid w:val="00220D7F"/>
    <w:rsid w:val="0022106C"/>
    <w:rsid w:val="002215FE"/>
    <w:rsid w:val="0022160C"/>
    <w:rsid w:val="0022198C"/>
    <w:rsid w:val="00221CDF"/>
    <w:rsid w:val="0022281F"/>
    <w:rsid w:val="00222AD7"/>
    <w:rsid w:val="002231BD"/>
    <w:rsid w:val="0022347F"/>
    <w:rsid w:val="0022394E"/>
    <w:rsid w:val="00223D01"/>
    <w:rsid w:val="002243F1"/>
    <w:rsid w:val="00224D3A"/>
    <w:rsid w:val="002254D5"/>
    <w:rsid w:val="0022611D"/>
    <w:rsid w:val="00227021"/>
    <w:rsid w:val="00227063"/>
    <w:rsid w:val="002272C3"/>
    <w:rsid w:val="00227837"/>
    <w:rsid w:val="00230822"/>
    <w:rsid w:val="00230892"/>
    <w:rsid w:val="00231F7C"/>
    <w:rsid w:val="002324C7"/>
    <w:rsid w:val="00232921"/>
    <w:rsid w:val="00233119"/>
    <w:rsid w:val="00233CC8"/>
    <w:rsid w:val="002340F4"/>
    <w:rsid w:val="002347B5"/>
    <w:rsid w:val="00235907"/>
    <w:rsid w:val="00237095"/>
    <w:rsid w:val="00237132"/>
    <w:rsid w:val="0023786C"/>
    <w:rsid w:val="00237AF0"/>
    <w:rsid w:val="00237D57"/>
    <w:rsid w:val="00240B94"/>
    <w:rsid w:val="00240BCD"/>
    <w:rsid w:val="00240D8C"/>
    <w:rsid w:val="00240DA7"/>
    <w:rsid w:val="00241473"/>
    <w:rsid w:val="00241A0E"/>
    <w:rsid w:val="00242250"/>
    <w:rsid w:val="00242313"/>
    <w:rsid w:val="00242773"/>
    <w:rsid w:val="0024312D"/>
    <w:rsid w:val="002432C9"/>
    <w:rsid w:val="00243A03"/>
    <w:rsid w:val="00244213"/>
    <w:rsid w:val="00244220"/>
    <w:rsid w:val="00244335"/>
    <w:rsid w:val="00244EFA"/>
    <w:rsid w:val="0024577C"/>
    <w:rsid w:val="002458F4"/>
    <w:rsid w:val="00246372"/>
    <w:rsid w:val="00247037"/>
    <w:rsid w:val="0025033E"/>
    <w:rsid w:val="00250478"/>
    <w:rsid w:val="00250AE5"/>
    <w:rsid w:val="0025118B"/>
    <w:rsid w:val="002513E1"/>
    <w:rsid w:val="002525A4"/>
    <w:rsid w:val="00252FA1"/>
    <w:rsid w:val="00253507"/>
    <w:rsid w:val="002535C4"/>
    <w:rsid w:val="002546F8"/>
    <w:rsid w:val="002549BC"/>
    <w:rsid w:val="002550A3"/>
    <w:rsid w:val="0025788B"/>
    <w:rsid w:val="0026007D"/>
    <w:rsid w:val="0026022D"/>
    <w:rsid w:val="002605D0"/>
    <w:rsid w:val="00260BFA"/>
    <w:rsid w:val="002611D9"/>
    <w:rsid w:val="00263645"/>
    <w:rsid w:val="00263BEB"/>
    <w:rsid w:val="00263D13"/>
    <w:rsid w:val="002646A2"/>
    <w:rsid w:val="002660E1"/>
    <w:rsid w:val="0026778A"/>
    <w:rsid w:val="0026784B"/>
    <w:rsid w:val="002718DB"/>
    <w:rsid w:val="002719E3"/>
    <w:rsid w:val="00271CA5"/>
    <w:rsid w:val="00271EDE"/>
    <w:rsid w:val="00272503"/>
    <w:rsid w:val="00272A94"/>
    <w:rsid w:val="00272E7C"/>
    <w:rsid w:val="00273C28"/>
    <w:rsid w:val="00275102"/>
    <w:rsid w:val="0027530B"/>
    <w:rsid w:val="0027560D"/>
    <w:rsid w:val="00275C0C"/>
    <w:rsid w:val="002765FD"/>
    <w:rsid w:val="0027771D"/>
    <w:rsid w:val="002812AB"/>
    <w:rsid w:val="0028182F"/>
    <w:rsid w:val="0028245C"/>
    <w:rsid w:val="0028287C"/>
    <w:rsid w:val="002829F6"/>
    <w:rsid w:val="002829FA"/>
    <w:rsid w:val="002836B7"/>
    <w:rsid w:val="002836DF"/>
    <w:rsid w:val="0028375F"/>
    <w:rsid w:val="002840EF"/>
    <w:rsid w:val="00284164"/>
    <w:rsid w:val="002847D4"/>
    <w:rsid w:val="00285388"/>
    <w:rsid w:val="002858D0"/>
    <w:rsid w:val="002868D0"/>
    <w:rsid w:val="002870FF"/>
    <w:rsid w:val="002874D3"/>
    <w:rsid w:val="002876A4"/>
    <w:rsid w:val="002908FA"/>
    <w:rsid w:val="00290914"/>
    <w:rsid w:val="00291050"/>
    <w:rsid w:val="002910C5"/>
    <w:rsid w:val="00291BF2"/>
    <w:rsid w:val="00293334"/>
    <w:rsid w:val="00293924"/>
    <w:rsid w:val="002939FC"/>
    <w:rsid w:val="00293E5E"/>
    <w:rsid w:val="00294143"/>
    <w:rsid w:val="0029441D"/>
    <w:rsid w:val="00295241"/>
    <w:rsid w:val="0029578C"/>
    <w:rsid w:val="0029583C"/>
    <w:rsid w:val="00295D49"/>
    <w:rsid w:val="00296710"/>
    <w:rsid w:val="00297330"/>
    <w:rsid w:val="0029761F"/>
    <w:rsid w:val="002A03D5"/>
    <w:rsid w:val="002A09A6"/>
    <w:rsid w:val="002A1F71"/>
    <w:rsid w:val="002A2CB5"/>
    <w:rsid w:val="002A2F26"/>
    <w:rsid w:val="002A3E7A"/>
    <w:rsid w:val="002A3EC8"/>
    <w:rsid w:val="002A403F"/>
    <w:rsid w:val="002A4DC1"/>
    <w:rsid w:val="002A5A58"/>
    <w:rsid w:val="002A5E7A"/>
    <w:rsid w:val="002A614B"/>
    <w:rsid w:val="002A6B14"/>
    <w:rsid w:val="002A6F07"/>
    <w:rsid w:val="002A6F6A"/>
    <w:rsid w:val="002B0DE9"/>
    <w:rsid w:val="002B14DC"/>
    <w:rsid w:val="002B17B8"/>
    <w:rsid w:val="002B17C4"/>
    <w:rsid w:val="002B1BC9"/>
    <w:rsid w:val="002B2727"/>
    <w:rsid w:val="002B28D8"/>
    <w:rsid w:val="002B3569"/>
    <w:rsid w:val="002B36C7"/>
    <w:rsid w:val="002B3CB4"/>
    <w:rsid w:val="002B44BE"/>
    <w:rsid w:val="002B6B88"/>
    <w:rsid w:val="002B6E20"/>
    <w:rsid w:val="002B7197"/>
    <w:rsid w:val="002B71DE"/>
    <w:rsid w:val="002C157B"/>
    <w:rsid w:val="002C1AC2"/>
    <w:rsid w:val="002C1B10"/>
    <w:rsid w:val="002C342E"/>
    <w:rsid w:val="002C3B77"/>
    <w:rsid w:val="002C4397"/>
    <w:rsid w:val="002C5784"/>
    <w:rsid w:val="002C6628"/>
    <w:rsid w:val="002C72C0"/>
    <w:rsid w:val="002C78B2"/>
    <w:rsid w:val="002C7AA9"/>
    <w:rsid w:val="002D01AA"/>
    <w:rsid w:val="002D1D7A"/>
    <w:rsid w:val="002D278F"/>
    <w:rsid w:val="002D2AE4"/>
    <w:rsid w:val="002D3170"/>
    <w:rsid w:val="002D33BB"/>
    <w:rsid w:val="002D3740"/>
    <w:rsid w:val="002D413D"/>
    <w:rsid w:val="002D4E9E"/>
    <w:rsid w:val="002D57DE"/>
    <w:rsid w:val="002D5F5E"/>
    <w:rsid w:val="002D6052"/>
    <w:rsid w:val="002D60FC"/>
    <w:rsid w:val="002D69ED"/>
    <w:rsid w:val="002D6B89"/>
    <w:rsid w:val="002D73A5"/>
    <w:rsid w:val="002E0895"/>
    <w:rsid w:val="002E1314"/>
    <w:rsid w:val="002E1ADA"/>
    <w:rsid w:val="002E1C69"/>
    <w:rsid w:val="002E1DB4"/>
    <w:rsid w:val="002E1FBE"/>
    <w:rsid w:val="002E2E0E"/>
    <w:rsid w:val="002E2EEE"/>
    <w:rsid w:val="002E4F0B"/>
    <w:rsid w:val="002E5566"/>
    <w:rsid w:val="002E5AB3"/>
    <w:rsid w:val="002E650C"/>
    <w:rsid w:val="002E679C"/>
    <w:rsid w:val="002E6DAE"/>
    <w:rsid w:val="002E7784"/>
    <w:rsid w:val="002F0132"/>
    <w:rsid w:val="002F0651"/>
    <w:rsid w:val="002F1AF0"/>
    <w:rsid w:val="002F1B43"/>
    <w:rsid w:val="002F23FE"/>
    <w:rsid w:val="002F34FE"/>
    <w:rsid w:val="002F3E97"/>
    <w:rsid w:val="002F4EE7"/>
    <w:rsid w:val="002F5127"/>
    <w:rsid w:val="002F57CD"/>
    <w:rsid w:val="002F6A81"/>
    <w:rsid w:val="00300282"/>
    <w:rsid w:val="00301286"/>
    <w:rsid w:val="00302183"/>
    <w:rsid w:val="00302A85"/>
    <w:rsid w:val="00302D7A"/>
    <w:rsid w:val="00303300"/>
    <w:rsid w:val="003045F1"/>
    <w:rsid w:val="00304631"/>
    <w:rsid w:val="0030578D"/>
    <w:rsid w:val="00306590"/>
    <w:rsid w:val="003068BC"/>
    <w:rsid w:val="00306D16"/>
    <w:rsid w:val="00306FC0"/>
    <w:rsid w:val="00307A46"/>
    <w:rsid w:val="00307C93"/>
    <w:rsid w:val="003100E6"/>
    <w:rsid w:val="00311208"/>
    <w:rsid w:val="0031234D"/>
    <w:rsid w:val="003128BB"/>
    <w:rsid w:val="00312EFD"/>
    <w:rsid w:val="003133BA"/>
    <w:rsid w:val="003139C3"/>
    <w:rsid w:val="00313E04"/>
    <w:rsid w:val="00315B5A"/>
    <w:rsid w:val="00316192"/>
    <w:rsid w:val="0031689D"/>
    <w:rsid w:val="003175DC"/>
    <w:rsid w:val="003206EC"/>
    <w:rsid w:val="0032080C"/>
    <w:rsid w:val="0032208C"/>
    <w:rsid w:val="003225E0"/>
    <w:rsid w:val="00322E53"/>
    <w:rsid w:val="003238EF"/>
    <w:rsid w:val="003240D1"/>
    <w:rsid w:val="0032456C"/>
    <w:rsid w:val="00324A97"/>
    <w:rsid w:val="00324C0E"/>
    <w:rsid w:val="0032508B"/>
    <w:rsid w:val="003256CE"/>
    <w:rsid w:val="0032600E"/>
    <w:rsid w:val="003261CF"/>
    <w:rsid w:val="00326273"/>
    <w:rsid w:val="00327726"/>
    <w:rsid w:val="00327D03"/>
    <w:rsid w:val="00327E2B"/>
    <w:rsid w:val="003305F1"/>
    <w:rsid w:val="00331A4E"/>
    <w:rsid w:val="00331B04"/>
    <w:rsid w:val="0033263A"/>
    <w:rsid w:val="003337BA"/>
    <w:rsid w:val="00334124"/>
    <w:rsid w:val="00334AF1"/>
    <w:rsid w:val="00334E88"/>
    <w:rsid w:val="00335599"/>
    <w:rsid w:val="00335E73"/>
    <w:rsid w:val="00336594"/>
    <w:rsid w:val="00336C27"/>
    <w:rsid w:val="00340DBC"/>
    <w:rsid w:val="00340E68"/>
    <w:rsid w:val="003412B3"/>
    <w:rsid w:val="003416CF"/>
    <w:rsid w:val="00341D97"/>
    <w:rsid w:val="00341DC3"/>
    <w:rsid w:val="00341FE8"/>
    <w:rsid w:val="00342846"/>
    <w:rsid w:val="00342E97"/>
    <w:rsid w:val="0034375C"/>
    <w:rsid w:val="00343C5B"/>
    <w:rsid w:val="00343F47"/>
    <w:rsid w:val="0034496A"/>
    <w:rsid w:val="00344EAF"/>
    <w:rsid w:val="00345563"/>
    <w:rsid w:val="00345C2C"/>
    <w:rsid w:val="00346398"/>
    <w:rsid w:val="003475D0"/>
    <w:rsid w:val="003478F1"/>
    <w:rsid w:val="00347974"/>
    <w:rsid w:val="00347D00"/>
    <w:rsid w:val="003503D5"/>
    <w:rsid w:val="00350BD1"/>
    <w:rsid w:val="00350E72"/>
    <w:rsid w:val="0035168E"/>
    <w:rsid w:val="0035273D"/>
    <w:rsid w:val="0035295C"/>
    <w:rsid w:val="00352E12"/>
    <w:rsid w:val="00354CE8"/>
    <w:rsid w:val="003555E1"/>
    <w:rsid w:val="003557B3"/>
    <w:rsid w:val="003559C2"/>
    <w:rsid w:val="00355FB8"/>
    <w:rsid w:val="00356254"/>
    <w:rsid w:val="003571CA"/>
    <w:rsid w:val="00361139"/>
    <w:rsid w:val="00361686"/>
    <w:rsid w:val="0036194A"/>
    <w:rsid w:val="00361A6E"/>
    <w:rsid w:val="00361AA8"/>
    <w:rsid w:val="00361C23"/>
    <w:rsid w:val="00361F3F"/>
    <w:rsid w:val="00362CE6"/>
    <w:rsid w:val="00363AF0"/>
    <w:rsid w:val="003642DB"/>
    <w:rsid w:val="00364A55"/>
    <w:rsid w:val="0036645A"/>
    <w:rsid w:val="003678D7"/>
    <w:rsid w:val="0037076E"/>
    <w:rsid w:val="003710BE"/>
    <w:rsid w:val="0037112B"/>
    <w:rsid w:val="00371198"/>
    <w:rsid w:val="00371887"/>
    <w:rsid w:val="003720E9"/>
    <w:rsid w:val="003723C6"/>
    <w:rsid w:val="00372EC0"/>
    <w:rsid w:val="003733BB"/>
    <w:rsid w:val="00373BBF"/>
    <w:rsid w:val="00374E5D"/>
    <w:rsid w:val="00375805"/>
    <w:rsid w:val="00375A7A"/>
    <w:rsid w:val="00377261"/>
    <w:rsid w:val="003773F0"/>
    <w:rsid w:val="0037769E"/>
    <w:rsid w:val="00377721"/>
    <w:rsid w:val="00377940"/>
    <w:rsid w:val="00377B1E"/>
    <w:rsid w:val="003802FA"/>
    <w:rsid w:val="003803DE"/>
    <w:rsid w:val="00380C34"/>
    <w:rsid w:val="0038241B"/>
    <w:rsid w:val="00382A62"/>
    <w:rsid w:val="00382A7B"/>
    <w:rsid w:val="00382E64"/>
    <w:rsid w:val="0038343E"/>
    <w:rsid w:val="00383504"/>
    <w:rsid w:val="00383C1A"/>
    <w:rsid w:val="003840DF"/>
    <w:rsid w:val="00384DA3"/>
    <w:rsid w:val="00384DFD"/>
    <w:rsid w:val="003853E6"/>
    <w:rsid w:val="003866F8"/>
    <w:rsid w:val="003873D9"/>
    <w:rsid w:val="00387AFC"/>
    <w:rsid w:val="003908BC"/>
    <w:rsid w:val="00390BFB"/>
    <w:rsid w:val="00390E09"/>
    <w:rsid w:val="00391337"/>
    <w:rsid w:val="0039190C"/>
    <w:rsid w:val="00392CE1"/>
    <w:rsid w:val="00394CA3"/>
    <w:rsid w:val="00394F07"/>
    <w:rsid w:val="003950A2"/>
    <w:rsid w:val="0039555E"/>
    <w:rsid w:val="00395E63"/>
    <w:rsid w:val="0039626C"/>
    <w:rsid w:val="00396B4D"/>
    <w:rsid w:val="00396FF8"/>
    <w:rsid w:val="00397D47"/>
    <w:rsid w:val="003A0637"/>
    <w:rsid w:val="003A0BFA"/>
    <w:rsid w:val="003A0DD4"/>
    <w:rsid w:val="003A10C8"/>
    <w:rsid w:val="003A11AD"/>
    <w:rsid w:val="003A185F"/>
    <w:rsid w:val="003A20EE"/>
    <w:rsid w:val="003A220A"/>
    <w:rsid w:val="003A3350"/>
    <w:rsid w:val="003A4A0B"/>
    <w:rsid w:val="003A50C9"/>
    <w:rsid w:val="003A5201"/>
    <w:rsid w:val="003A5356"/>
    <w:rsid w:val="003A5AE4"/>
    <w:rsid w:val="003A64C0"/>
    <w:rsid w:val="003A6B83"/>
    <w:rsid w:val="003A72AC"/>
    <w:rsid w:val="003A7471"/>
    <w:rsid w:val="003B20D1"/>
    <w:rsid w:val="003B2696"/>
    <w:rsid w:val="003B3403"/>
    <w:rsid w:val="003B36F6"/>
    <w:rsid w:val="003B3B58"/>
    <w:rsid w:val="003B4785"/>
    <w:rsid w:val="003B48A5"/>
    <w:rsid w:val="003B5A87"/>
    <w:rsid w:val="003B5E56"/>
    <w:rsid w:val="003B645A"/>
    <w:rsid w:val="003B704A"/>
    <w:rsid w:val="003B7844"/>
    <w:rsid w:val="003B7BD3"/>
    <w:rsid w:val="003C0172"/>
    <w:rsid w:val="003C0CA0"/>
    <w:rsid w:val="003C1123"/>
    <w:rsid w:val="003C1A4A"/>
    <w:rsid w:val="003C1BDB"/>
    <w:rsid w:val="003C2253"/>
    <w:rsid w:val="003C22DB"/>
    <w:rsid w:val="003C25FE"/>
    <w:rsid w:val="003C31A8"/>
    <w:rsid w:val="003C3318"/>
    <w:rsid w:val="003C37A4"/>
    <w:rsid w:val="003C38C3"/>
    <w:rsid w:val="003C4206"/>
    <w:rsid w:val="003C449E"/>
    <w:rsid w:val="003C5204"/>
    <w:rsid w:val="003C520B"/>
    <w:rsid w:val="003C5ADE"/>
    <w:rsid w:val="003C625A"/>
    <w:rsid w:val="003C6AF0"/>
    <w:rsid w:val="003C6FA7"/>
    <w:rsid w:val="003C705C"/>
    <w:rsid w:val="003C7113"/>
    <w:rsid w:val="003C7B7B"/>
    <w:rsid w:val="003D0BA3"/>
    <w:rsid w:val="003D1269"/>
    <w:rsid w:val="003D151C"/>
    <w:rsid w:val="003D17DC"/>
    <w:rsid w:val="003D2331"/>
    <w:rsid w:val="003D2670"/>
    <w:rsid w:val="003D2A5D"/>
    <w:rsid w:val="003D31FF"/>
    <w:rsid w:val="003D35E8"/>
    <w:rsid w:val="003D4015"/>
    <w:rsid w:val="003D402B"/>
    <w:rsid w:val="003D40B7"/>
    <w:rsid w:val="003D4198"/>
    <w:rsid w:val="003D4550"/>
    <w:rsid w:val="003D478D"/>
    <w:rsid w:val="003D4FF5"/>
    <w:rsid w:val="003D5AB9"/>
    <w:rsid w:val="003D5D37"/>
    <w:rsid w:val="003D5DA9"/>
    <w:rsid w:val="003D6308"/>
    <w:rsid w:val="003D6403"/>
    <w:rsid w:val="003D6CAA"/>
    <w:rsid w:val="003D6F1C"/>
    <w:rsid w:val="003D7832"/>
    <w:rsid w:val="003E053E"/>
    <w:rsid w:val="003E0A28"/>
    <w:rsid w:val="003E0DBF"/>
    <w:rsid w:val="003E0EDD"/>
    <w:rsid w:val="003E1103"/>
    <w:rsid w:val="003E14FE"/>
    <w:rsid w:val="003E1ACB"/>
    <w:rsid w:val="003E2593"/>
    <w:rsid w:val="003E285B"/>
    <w:rsid w:val="003E2FEF"/>
    <w:rsid w:val="003E45CF"/>
    <w:rsid w:val="003E460D"/>
    <w:rsid w:val="003E5312"/>
    <w:rsid w:val="003E57E6"/>
    <w:rsid w:val="003E6AA5"/>
    <w:rsid w:val="003E6EA0"/>
    <w:rsid w:val="003E72F5"/>
    <w:rsid w:val="003E751E"/>
    <w:rsid w:val="003E7C13"/>
    <w:rsid w:val="003F1132"/>
    <w:rsid w:val="003F11D4"/>
    <w:rsid w:val="003F1984"/>
    <w:rsid w:val="003F2523"/>
    <w:rsid w:val="003F25AF"/>
    <w:rsid w:val="003F2C5B"/>
    <w:rsid w:val="003F390A"/>
    <w:rsid w:val="003F3BBE"/>
    <w:rsid w:val="003F3BD0"/>
    <w:rsid w:val="003F3EBF"/>
    <w:rsid w:val="003F4732"/>
    <w:rsid w:val="003F51CE"/>
    <w:rsid w:val="003F5CED"/>
    <w:rsid w:val="003F62CF"/>
    <w:rsid w:val="003F6531"/>
    <w:rsid w:val="003F68C6"/>
    <w:rsid w:val="003F6E0E"/>
    <w:rsid w:val="003F7127"/>
    <w:rsid w:val="003F775D"/>
    <w:rsid w:val="003F77FB"/>
    <w:rsid w:val="003F7E82"/>
    <w:rsid w:val="003F7EC3"/>
    <w:rsid w:val="00400200"/>
    <w:rsid w:val="00402D86"/>
    <w:rsid w:val="0040392F"/>
    <w:rsid w:val="00403F16"/>
    <w:rsid w:val="0040427A"/>
    <w:rsid w:val="0040434D"/>
    <w:rsid w:val="004054E8"/>
    <w:rsid w:val="004055CD"/>
    <w:rsid w:val="00405EDF"/>
    <w:rsid w:val="004063DE"/>
    <w:rsid w:val="0040675B"/>
    <w:rsid w:val="0040686B"/>
    <w:rsid w:val="00407CAC"/>
    <w:rsid w:val="00411580"/>
    <w:rsid w:val="00411926"/>
    <w:rsid w:val="00411BA6"/>
    <w:rsid w:val="004126B4"/>
    <w:rsid w:val="00412B21"/>
    <w:rsid w:val="00413284"/>
    <w:rsid w:val="00413506"/>
    <w:rsid w:val="0041356C"/>
    <w:rsid w:val="00413868"/>
    <w:rsid w:val="00413E6C"/>
    <w:rsid w:val="00413F3C"/>
    <w:rsid w:val="00414245"/>
    <w:rsid w:val="004159B3"/>
    <w:rsid w:val="00415E6F"/>
    <w:rsid w:val="00416919"/>
    <w:rsid w:val="00416C76"/>
    <w:rsid w:val="00416EAF"/>
    <w:rsid w:val="00420608"/>
    <w:rsid w:val="00420C83"/>
    <w:rsid w:val="00420E98"/>
    <w:rsid w:val="00420F04"/>
    <w:rsid w:val="00421AF8"/>
    <w:rsid w:val="00422028"/>
    <w:rsid w:val="00422190"/>
    <w:rsid w:val="004229D2"/>
    <w:rsid w:val="004232EA"/>
    <w:rsid w:val="004233A7"/>
    <w:rsid w:val="004233D0"/>
    <w:rsid w:val="0042388C"/>
    <w:rsid w:val="0042391F"/>
    <w:rsid w:val="00423EA1"/>
    <w:rsid w:val="0042402B"/>
    <w:rsid w:val="00424805"/>
    <w:rsid w:val="00424DB6"/>
    <w:rsid w:val="004250C2"/>
    <w:rsid w:val="004251C6"/>
    <w:rsid w:val="00425267"/>
    <w:rsid w:val="0042544A"/>
    <w:rsid w:val="00426C91"/>
    <w:rsid w:val="004277CB"/>
    <w:rsid w:val="004307A4"/>
    <w:rsid w:val="004309C9"/>
    <w:rsid w:val="00431D50"/>
    <w:rsid w:val="00431FE9"/>
    <w:rsid w:val="0043292E"/>
    <w:rsid w:val="0043295C"/>
    <w:rsid w:val="004329E0"/>
    <w:rsid w:val="00432DD1"/>
    <w:rsid w:val="00432E7C"/>
    <w:rsid w:val="0043325A"/>
    <w:rsid w:val="0043369F"/>
    <w:rsid w:val="0043453A"/>
    <w:rsid w:val="0043482D"/>
    <w:rsid w:val="00434AA4"/>
    <w:rsid w:val="004350DC"/>
    <w:rsid w:val="004358F9"/>
    <w:rsid w:val="00435E6A"/>
    <w:rsid w:val="00436740"/>
    <w:rsid w:val="00436FEA"/>
    <w:rsid w:val="004373CA"/>
    <w:rsid w:val="00437F00"/>
    <w:rsid w:val="004405F2"/>
    <w:rsid w:val="00440E4B"/>
    <w:rsid w:val="004411BD"/>
    <w:rsid w:val="00442589"/>
    <w:rsid w:val="00444398"/>
    <w:rsid w:val="0044571D"/>
    <w:rsid w:val="00445AC3"/>
    <w:rsid w:val="00446210"/>
    <w:rsid w:val="004466F3"/>
    <w:rsid w:val="0044714B"/>
    <w:rsid w:val="00447A77"/>
    <w:rsid w:val="00451305"/>
    <w:rsid w:val="004515A8"/>
    <w:rsid w:val="004521D6"/>
    <w:rsid w:val="0045285B"/>
    <w:rsid w:val="00452C6A"/>
    <w:rsid w:val="004536F4"/>
    <w:rsid w:val="00453A39"/>
    <w:rsid w:val="00453B04"/>
    <w:rsid w:val="004540C2"/>
    <w:rsid w:val="004540E3"/>
    <w:rsid w:val="00454336"/>
    <w:rsid w:val="004552C4"/>
    <w:rsid w:val="00456B68"/>
    <w:rsid w:val="00460186"/>
    <w:rsid w:val="00460256"/>
    <w:rsid w:val="004608ED"/>
    <w:rsid w:val="00460DBA"/>
    <w:rsid w:val="00461030"/>
    <w:rsid w:val="0046142C"/>
    <w:rsid w:val="00461BB4"/>
    <w:rsid w:val="0046271F"/>
    <w:rsid w:val="004631C6"/>
    <w:rsid w:val="00463C62"/>
    <w:rsid w:val="00464042"/>
    <w:rsid w:val="00464C75"/>
    <w:rsid w:val="00464F24"/>
    <w:rsid w:val="004650FE"/>
    <w:rsid w:val="004659A9"/>
    <w:rsid w:val="004666E1"/>
    <w:rsid w:val="00466B89"/>
    <w:rsid w:val="00470E17"/>
    <w:rsid w:val="00471EC8"/>
    <w:rsid w:val="00472031"/>
    <w:rsid w:val="004720AC"/>
    <w:rsid w:val="0047275D"/>
    <w:rsid w:val="00472C43"/>
    <w:rsid w:val="0047510E"/>
    <w:rsid w:val="00475234"/>
    <w:rsid w:val="00475776"/>
    <w:rsid w:val="00475E22"/>
    <w:rsid w:val="004768D2"/>
    <w:rsid w:val="00476A1C"/>
    <w:rsid w:val="00477058"/>
    <w:rsid w:val="00477BAF"/>
    <w:rsid w:val="00477E77"/>
    <w:rsid w:val="00480EAD"/>
    <w:rsid w:val="00480FAC"/>
    <w:rsid w:val="00481A57"/>
    <w:rsid w:val="00481DE5"/>
    <w:rsid w:val="00481FAA"/>
    <w:rsid w:val="00482BEA"/>
    <w:rsid w:val="00482CD8"/>
    <w:rsid w:val="00483F39"/>
    <w:rsid w:val="004846E1"/>
    <w:rsid w:val="00485D0A"/>
    <w:rsid w:val="004861D3"/>
    <w:rsid w:val="00486753"/>
    <w:rsid w:val="004868DE"/>
    <w:rsid w:val="00486DB1"/>
    <w:rsid w:val="00487139"/>
    <w:rsid w:val="00487BA7"/>
    <w:rsid w:val="00487C4C"/>
    <w:rsid w:val="00487CA0"/>
    <w:rsid w:val="00487D7A"/>
    <w:rsid w:val="00490104"/>
    <w:rsid w:val="00491462"/>
    <w:rsid w:val="004917CB"/>
    <w:rsid w:val="00493AB2"/>
    <w:rsid w:val="00494AD1"/>
    <w:rsid w:val="00494BD2"/>
    <w:rsid w:val="00494F55"/>
    <w:rsid w:val="00495305"/>
    <w:rsid w:val="0049653A"/>
    <w:rsid w:val="004970A5"/>
    <w:rsid w:val="004970D0"/>
    <w:rsid w:val="004A01A8"/>
    <w:rsid w:val="004A024A"/>
    <w:rsid w:val="004A074A"/>
    <w:rsid w:val="004A08AA"/>
    <w:rsid w:val="004A0E7D"/>
    <w:rsid w:val="004A0E8D"/>
    <w:rsid w:val="004A10FB"/>
    <w:rsid w:val="004A1395"/>
    <w:rsid w:val="004A1BEB"/>
    <w:rsid w:val="004A1CF8"/>
    <w:rsid w:val="004A2251"/>
    <w:rsid w:val="004A263F"/>
    <w:rsid w:val="004A34C6"/>
    <w:rsid w:val="004A3726"/>
    <w:rsid w:val="004A3DD0"/>
    <w:rsid w:val="004A41FF"/>
    <w:rsid w:val="004A4754"/>
    <w:rsid w:val="004A51FB"/>
    <w:rsid w:val="004A5C4B"/>
    <w:rsid w:val="004A5D00"/>
    <w:rsid w:val="004A7079"/>
    <w:rsid w:val="004A7186"/>
    <w:rsid w:val="004B0138"/>
    <w:rsid w:val="004B12D2"/>
    <w:rsid w:val="004B1A48"/>
    <w:rsid w:val="004B26CE"/>
    <w:rsid w:val="004B3371"/>
    <w:rsid w:val="004B3A73"/>
    <w:rsid w:val="004B4759"/>
    <w:rsid w:val="004B48C5"/>
    <w:rsid w:val="004B4DF1"/>
    <w:rsid w:val="004B5225"/>
    <w:rsid w:val="004B579A"/>
    <w:rsid w:val="004B5FA7"/>
    <w:rsid w:val="004B7091"/>
    <w:rsid w:val="004B7454"/>
    <w:rsid w:val="004B748B"/>
    <w:rsid w:val="004B7752"/>
    <w:rsid w:val="004C0092"/>
    <w:rsid w:val="004C0BEE"/>
    <w:rsid w:val="004C16BE"/>
    <w:rsid w:val="004C28FF"/>
    <w:rsid w:val="004C30B3"/>
    <w:rsid w:val="004C30EF"/>
    <w:rsid w:val="004C390D"/>
    <w:rsid w:val="004C40E3"/>
    <w:rsid w:val="004C414D"/>
    <w:rsid w:val="004C4325"/>
    <w:rsid w:val="004C48CE"/>
    <w:rsid w:val="004C5361"/>
    <w:rsid w:val="004C5CC1"/>
    <w:rsid w:val="004C5FE5"/>
    <w:rsid w:val="004C6389"/>
    <w:rsid w:val="004C6768"/>
    <w:rsid w:val="004C6F22"/>
    <w:rsid w:val="004C7183"/>
    <w:rsid w:val="004C7672"/>
    <w:rsid w:val="004D0A2C"/>
    <w:rsid w:val="004D119F"/>
    <w:rsid w:val="004D23DF"/>
    <w:rsid w:val="004D2952"/>
    <w:rsid w:val="004D2DF5"/>
    <w:rsid w:val="004D3347"/>
    <w:rsid w:val="004D3F14"/>
    <w:rsid w:val="004D4B91"/>
    <w:rsid w:val="004D4D67"/>
    <w:rsid w:val="004D51CB"/>
    <w:rsid w:val="004D54A6"/>
    <w:rsid w:val="004D5CE2"/>
    <w:rsid w:val="004D6B27"/>
    <w:rsid w:val="004E0A7D"/>
    <w:rsid w:val="004E0B2B"/>
    <w:rsid w:val="004E0F03"/>
    <w:rsid w:val="004E186B"/>
    <w:rsid w:val="004E2043"/>
    <w:rsid w:val="004E3134"/>
    <w:rsid w:val="004E3AE9"/>
    <w:rsid w:val="004E4160"/>
    <w:rsid w:val="004E5B66"/>
    <w:rsid w:val="004E61DE"/>
    <w:rsid w:val="004E660A"/>
    <w:rsid w:val="004E6882"/>
    <w:rsid w:val="004E6B08"/>
    <w:rsid w:val="004E7A12"/>
    <w:rsid w:val="004E7A3F"/>
    <w:rsid w:val="004F01C3"/>
    <w:rsid w:val="004F02F0"/>
    <w:rsid w:val="004F0307"/>
    <w:rsid w:val="004F0531"/>
    <w:rsid w:val="004F087B"/>
    <w:rsid w:val="004F095B"/>
    <w:rsid w:val="004F0DCB"/>
    <w:rsid w:val="004F17A9"/>
    <w:rsid w:val="004F1FAA"/>
    <w:rsid w:val="004F248D"/>
    <w:rsid w:val="004F2609"/>
    <w:rsid w:val="004F38EC"/>
    <w:rsid w:val="004F3C2A"/>
    <w:rsid w:val="004F4007"/>
    <w:rsid w:val="004F41D1"/>
    <w:rsid w:val="004F48F1"/>
    <w:rsid w:val="004F4A8F"/>
    <w:rsid w:val="004F4C2F"/>
    <w:rsid w:val="004F51CA"/>
    <w:rsid w:val="004F57BB"/>
    <w:rsid w:val="004F5B12"/>
    <w:rsid w:val="004F723F"/>
    <w:rsid w:val="004F75AB"/>
    <w:rsid w:val="00500404"/>
    <w:rsid w:val="00500CBF"/>
    <w:rsid w:val="00500EA4"/>
    <w:rsid w:val="00502576"/>
    <w:rsid w:val="00502858"/>
    <w:rsid w:val="00503188"/>
    <w:rsid w:val="005043E0"/>
    <w:rsid w:val="005057B2"/>
    <w:rsid w:val="00506B1D"/>
    <w:rsid w:val="00507EFF"/>
    <w:rsid w:val="00511FB7"/>
    <w:rsid w:val="00512528"/>
    <w:rsid w:val="005139FD"/>
    <w:rsid w:val="00514123"/>
    <w:rsid w:val="00514C2D"/>
    <w:rsid w:val="005157DA"/>
    <w:rsid w:val="0051615E"/>
    <w:rsid w:val="00520732"/>
    <w:rsid w:val="005209F0"/>
    <w:rsid w:val="00520A44"/>
    <w:rsid w:val="0052172A"/>
    <w:rsid w:val="00522525"/>
    <w:rsid w:val="00522B36"/>
    <w:rsid w:val="00522FC4"/>
    <w:rsid w:val="00523474"/>
    <w:rsid w:val="0052363C"/>
    <w:rsid w:val="00524606"/>
    <w:rsid w:val="005246BF"/>
    <w:rsid w:val="00524CC5"/>
    <w:rsid w:val="005266F7"/>
    <w:rsid w:val="0052746C"/>
    <w:rsid w:val="0053019E"/>
    <w:rsid w:val="00530E92"/>
    <w:rsid w:val="00532569"/>
    <w:rsid w:val="005325F4"/>
    <w:rsid w:val="0053326C"/>
    <w:rsid w:val="00533E59"/>
    <w:rsid w:val="0053401D"/>
    <w:rsid w:val="00534592"/>
    <w:rsid w:val="005346B6"/>
    <w:rsid w:val="0053489F"/>
    <w:rsid w:val="00535938"/>
    <w:rsid w:val="0053606F"/>
    <w:rsid w:val="005366D5"/>
    <w:rsid w:val="00536B98"/>
    <w:rsid w:val="00536E1B"/>
    <w:rsid w:val="00536EFD"/>
    <w:rsid w:val="00537681"/>
    <w:rsid w:val="00541213"/>
    <w:rsid w:val="00543852"/>
    <w:rsid w:val="00544809"/>
    <w:rsid w:val="00546218"/>
    <w:rsid w:val="005464EC"/>
    <w:rsid w:val="0054651D"/>
    <w:rsid w:val="00546DBC"/>
    <w:rsid w:val="00547607"/>
    <w:rsid w:val="00547E66"/>
    <w:rsid w:val="00547EBF"/>
    <w:rsid w:val="005501CA"/>
    <w:rsid w:val="005507FE"/>
    <w:rsid w:val="0055138C"/>
    <w:rsid w:val="005524EA"/>
    <w:rsid w:val="00552638"/>
    <w:rsid w:val="00552A39"/>
    <w:rsid w:val="0055352B"/>
    <w:rsid w:val="005536EB"/>
    <w:rsid w:val="00553F56"/>
    <w:rsid w:val="00554329"/>
    <w:rsid w:val="00554501"/>
    <w:rsid w:val="005546AE"/>
    <w:rsid w:val="00554D59"/>
    <w:rsid w:val="00556100"/>
    <w:rsid w:val="00556EEB"/>
    <w:rsid w:val="00557733"/>
    <w:rsid w:val="00560D50"/>
    <w:rsid w:val="00561029"/>
    <w:rsid w:val="005610D7"/>
    <w:rsid w:val="0056166E"/>
    <w:rsid w:val="00561695"/>
    <w:rsid w:val="00561791"/>
    <w:rsid w:val="00561AA9"/>
    <w:rsid w:val="00561D23"/>
    <w:rsid w:val="005620B4"/>
    <w:rsid w:val="005624FC"/>
    <w:rsid w:val="00562C89"/>
    <w:rsid w:val="0056365F"/>
    <w:rsid w:val="005636A8"/>
    <w:rsid w:val="00564771"/>
    <w:rsid w:val="00564FCA"/>
    <w:rsid w:val="0056533E"/>
    <w:rsid w:val="005659D4"/>
    <w:rsid w:val="00566EED"/>
    <w:rsid w:val="00567330"/>
    <w:rsid w:val="00570488"/>
    <w:rsid w:val="005713AC"/>
    <w:rsid w:val="00571867"/>
    <w:rsid w:val="00572805"/>
    <w:rsid w:val="00573509"/>
    <w:rsid w:val="005735ED"/>
    <w:rsid w:val="00573AD9"/>
    <w:rsid w:val="00573F5B"/>
    <w:rsid w:val="00574AA6"/>
    <w:rsid w:val="0057502D"/>
    <w:rsid w:val="0057521C"/>
    <w:rsid w:val="0057564E"/>
    <w:rsid w:val="00576FD2"/>
    <w:rsid w:val="00577692"/>
    <w:rsid w:val="00577790"/>
    <w:rsid w:val="005778EE"/>
    <w:rsid w:val="0058019C"/>
    <w:rsid w:val="00580FEE"/>
    <w:rsid w:val="00581D3E"/>
    <w:rsid w:val="005824B7"/>
    <w:rsid w:val="00582708"/>
    <w:rsid w:val="00582B90"/>
    <w:rsid w:val="00582D9B"/>
    <w:rsid w:val="00583907"/>
    <w:rsid w:val="00583C26"/>
    <w:rsid w:val="005842B0"/>
    <w:rsid w:val="00584973"/>
    <w:rsid w:val="00584A17"/>
    <w:rsid w:val="00585416"/>
    <w:rsid w:val="005858F7"/>
    <w:rsid w:val="00585A23"/>
    <w:rsid w:val="00585C0E"/>
    <w:rsid w:val="005869A8"/>
    <w:rsid w:val="00587EFE"/>
    <w:rsid w:val="005902A3"/>
    <w:rsid w:val="00590910"/>
    <w:rsid w:val="00590A9C"/>
    <w:rsid w:val="005912BE"/>
    <w:rsid w:val="00592D12"/>
    <w:rsid w:val="00593E20"/>
    <w:rsid w:val="00595DB9"/>
    <w:rsid w:val="00595F0E"/>
    <w:rsid w:val="00595F2A"/>
    <w:rsid w:val="00596A08"/>
    <w:rsid w:val="005978ED"/>
    <w:rsid w:val="00597D02"/>
    <w:rsid w:val="005A0B8A"/>
    <w:rsid w:val="005A0E8D"/>
    <w:rsid w:val="005A1239"/>
    <w:rsid w:val="005A1289"/>
    <w:rsid w:val="005A1B23"/>
    <w:rsid w:val="005A1B5D"/>
    <w:rsid w:val="005A38C6"/>
    <w:rsid w:val="005A47DD"/>
    <w:rsid w:val="005A5A2D"/>
    <w:rsid w:val="005A5D87"/>
    <w:rsid w:val="005A6352"/>
    <w:rsid w:val="005A6784"/>
    <w:rsid w:val="005A6DAA"/>
    <w:rsid w:val="005A7439"/>
    <w:rsid w:val="005A7D75"/>
    <w:rsid w:val="005B09B9"/>
    <w:rsid w:val="005B1DE4"/>
    <w:rsid w:val="005B221A"/>
    <w:rsid w:val="005B2EA1"/>
    <w:rsid w:val="005B31FB"/>
    <w:rsid w:val="005B354D"/>
    <w:rsid w:val="005B3B87"/>
    <w:rsid w:val="005B3D47"/>
    <w:rsid w:val="005B4737"/>
    <w:rsid w:val="005B5A32"/>
    <w:rsid w:val="005B7121"/>
    <w:rsid w:val="005B72F6"/>
    <w:rsid w:val="005B76E2"/>
    <w:rsid w:val="005B7AEE"/>
    <w:rsid w:val="005C00EB"/>
    <w:rsid w:val="005C057F"/>
    <w:rsid w:val="005C0931"/>
    <w:rsid w:val="005C1D7A"/>
    <w:rsid w:val="005C23DB"/>
    <w:rsid w:val="005C24EA"/>
    <w:rsid w:val="005C2C71"/>
    <w:rsid w:val="005C300B"/>
    <w:rsid w:val="005C318D"/>
    <w:rsid w:val="005C341A"/>
    <w:rsid w:val="005C4BCB"/>
    <w:rsid w:val="005C5D5D"/>
    <w:rsid w:val="005C5FE6"/>
    <w:rsid w:val="005C6178"/>
    <w:rsid w:val="005C6C9F"/>
    <w:rsid w:val="005C7A2A"/>
    <w:rsid w:val="005D0BB5"/>
    <w:rsid w:val="005D0BDA"/>
    <w:rsid w:val="005D2186"/>
    <w:rsid w:val="005D38EC"/>
    <w:rsid w:val="005D4339"/>
    <w:rsid w:val="005D4A1B"/>
    <w:rsid w:val="005D594A"/>
    <w:rsid w:val="005D5E4F"/>
    <w:rsid w:val="005D6FF9"/>
    <w:rsid w:val="005D77DA"/>
    <w:rsid w:val="005D7A8C"/>
    <w:rsid w:val="005E068A"/>
    <w:rsid w:val="005E0A21"/>
    <w:rsid w:val="005E131D"/>
    <w:rsid w:val="005E1826"/>
    <w:rsid w:val="005E288C"/>
    <w:rsid w:val="005E29BD"/>
    <w:rsid w:val="005E3014"/>
    <w:rsid w:val="005E34FC"/>
    <w:rsid w:val="005E37A8"/>
    <w:rsid w:val="005E3C8D"/>
    <w:rsid w:val="005E41C8"/>
    <w:rsid w:val="005E4545"/>
    <w:rsid w:val="005E4CFA"/>
    <w:rsid w:val="005E59F8"/>
    <w:rsid w:val="005E732B"/>
    <w:rsid w:val="005E75DC"/>
    <w:rsid w:val="005E7647"/>
    <w:rsid w:val="005E7DDC"/>
    <w:rsid w:val="005F0AF9"/>
    <w:rsid w:val="005F0B2F"/>
    <w:rsid w:val="005F0F2B"/>
    <w:rsid w:val="005F1597"/>
    <w:rsid w:val="005F1A0E"/>
    <w:rsid w:val="005F1EC3"/>
    <w:rsid w:val="005F22C9"/>
    <w:rsid w:val="005F2ECF"/>
    <w:rsid w:val="005F45DA"/>
    <w:rsid w:val="005F4AB7"/>
    <w:rsid w:val="005F5495"/>
    <w:rsid w:val="005F54E3"/>
    <w:rsid w:val="005F6A7A"/>
    <w:rsid w:val="005F7609"/>
    <w:rsid w:val="005F794B"/>
    <w:rsid w:val="00600D74"/>
    <w:rsid w:val="00600E54"/>
    <w:rsid w:val="00603566"/>
    <w:rsid w:val="0060364C"/>
    <w:rsid w:val="006040DE"/>
    <w:rsid w:val="00605275"/>
    <w:rsid w:val="00605445"/>
    <w:rsid w:val="00605DF9"/>
    <w:rsid w:val="00606A69"/>
    <w:rsid w:val="00606DBF"/>
    <w:rsid w:val="00610444"/>
    <w:rsid w:val="0061052D"/>
    <w:rsid w:val="006107E6"/>
    <w:rsid w:val="00610B5B"/>
    <w:rsid w:val="00610C34"/>
    <w:rsid w:val="006110EA"/>
    <w:rsid w:val="00611257"/>
    <w:rsid w:val="006117ED"/>
    <w:rsid w:val="006117FC"/>
    <w:rsid w:val="00611E8D"/>
    <w:rsid w:val="0061236E"/>
    <w:rsid w:val="00612889"/>
    <w:rsid w:val="006132D7"/>
    <w:rsid w:val="00613575"/>
    <w:rsid w:val="006143F1"/>
    <w:rsid w:val="0061462E"/>
    <w:rsid w:val="00614E61"/>
    <w:rsid w:val="006153CE"/>
    <w:rsid w:val="00615749"/>
    <w:rsid w:val="006161F8"/>
    <w:rsid w:val="0061673E"/>
    <w:rsid w:val="00616781"/>
    <w:rsid w:val="00616CFC"/>
    <w:rsid w:val="00616DA3"/>
    <w:rsid w:val="0061720F"/>
    <w:rsid w:val="00620008"/>
    <w:rsid w:val="00620A17"/>
    <w:rsid w:val="00620B53"/>
    <w:rsid w:val="00622629"/>
    <w:rsid w:val="00622680"/>
    <w:rsid w:val="006229EB"/>
    <w:rsid w:val="00623013"/>
    <w:rsid w:val="00623266"/>
    <w:rsid w:val="00623655"/>
    <w:rsid w:val="00623787"/>
    <w:rsid w:val="00623BA4"/>
    <w:rsid w:val="0062475D"/>
    <w:rsid w:val="00624CCC"/>
    <w:rsid w:val="00624E94"/>
    <w:rsid w:val="00626833"/>
    <w:rsid w:val="00627798"/>
    <w:rsid w:val="00630C72"/>
    <w:rsid w:val="006314F2"/>
    <w:rsid w:val="006319DF"/>
    <w:rsid w:val="00631D2F"/>
    <w:rsid w:val="00632AE6"/>
    <w:rsid w:val="00632FC7"/>
    <w:rsid w:val="00633369"/>
    <w:rsid w:val="00634A92"/>
    <w:rsid w:val="00636395"/>
    <w:rsid w:val="00636BC9"/>
    <w:rsid w:val="00636CA9"/>
    <w:rsid w:val="0063730C"/>
    <w:rsid w:val="00637865"/>
    <w:rsid w:val="006379E9"/>
    <w:rsid w:val="006402AB"/>
    <w:rsid w:val="00640590"/>
    <w:rsid w:val="00640C05"/>
    <w:rsid w:val="00640F14"/>
    <w:rsid w:val="00641146"/>
    <w:rsid w:val="00641326"/>
    <w:rsid w:val="00642129"/>
    <w:rsid w:val="00643656"/>
    <w:rsid w:val="00643C68"/>
    <w:rsid w:val="00644345"/>
    <w:rsid w:val="00644BDB"/>
    <w:rsid w:val="00644C58"/>
    <w:rsid w:val="0064585A"/>
    <w:rsid w:val="00645C80"/>
    <w:rsid w:val="00646282"/>
    <w:rsid w:val="00646420"/>
    <w:rsid w:val="00646617"/>
    <w:rsid w:val="00646EDD"/>
    <w:rsid w:val="00646EFF"/>
    <w:rsid w:val="00647279"/>
    <w:rsid w:val="00650BDD"/>
    <w:rsid w:val="00651928"/>
    <w:rsid w:val="00654077"/>
    <w:rsid w:val="00654BE7"/>
    <w:rsid w:val="0065561F"/>
    <w:rsid w:val="00657E08"/>
    <w:rsid w:val="00660738"/>
    <w:rsid w:val="0066073C"/>
    <w:rsid w:val="0066114F"/>
    <w:rsid w:val="00664440"/>
    <w:rsid w:val="00664B00"/>
    <w:rsid w:val="00664C6B"/>
    <w:rsid w:val="00664DC6"/>
    <w:rsid w:val="006650B1"/>
    <w:rsid w:val="0066521A"/>
    <w:rsid w:val="006656AB"/>
    <w:rsid w:val="00665738"/>
    <w:rsid w:val="0066597C"/>
    <w:rsid w:val="00665BFA"/>
    <w:rsid w:val="00665F35"/>
    <w:rsid w:val="0066629C"/>
    <w:rsid w:val="0066670D"/>
    <w:rsid w:val="00666D51"/>
    <w:rsid w:val="00667837"/>
    <w:rsid w:val="0067091A"/>
    <w:rsid w:val="0067123A"/>
    <w:rsid w:val="00671490"/>
    <w:rsid w:val="006728E3"/>
    <w:rsid w:val="0067313A"/>
    <w:rsid w:val="00673C7D"/>
    <w:rsid w:val="00674C25"/>
    <w:rsid w:val="00675523"/>
    <w:rsid w:val="00676BA7"/>
    <w:rsid w:val="00676D1B"/>
    <w:rsid w:val="00676D46"/>
    <w:rsid w:val="006770BB"/>
    <w:rsid w:val="00677524"/>
    <w:rsid w:val="0068067E"/>
    <w:rsid w:val="00680BE3"/>
    <w:rsid w:val="0068124D"/>
    <w:rsid w:val="0068222F"/>
    <w:rsid w:val="006826E8"/>
    <w:rsid w:val="00682A71"/>
    <w:rsid w:val="0068393F"/>
    <w:rsid w:val="0068400E"/>
    <w:rsid w:val="00684854"/>
    <w:rsid w:val="00685028"/>
    <w:rsid w:val="006858CF"/>
    <w:rsid w:val="00685D6F"/>
    <w:rsid w:val="0068653F"/>
    <w:rsid w:val="006873C4"/>
    <w:rsid w:val="00687470"/>
    <w:rsid w:val="00687D98"/>
    <w:rsid w:val="00690736"/>
    <w:rsid w:val="006908F9"/>
    <w:rsid w:val="0069119A"/>
    <w:rsid w:val="00691AEB"/>
    <w:rsid w:val="00691D44"/>
    <w:rsid w:val="00691F7D"/>
    <w:rsid w:val="0069222D"/>
    <w:rsid w:val="006924E3"/>
    <w:rsid w:val="00693D41"/>
    <w:rsid w:val="006942F4"/>
    <w:rsid w:val="00694A7F"/>
    <w:rsid w:val="00694D35"/>
    <w:rsid w:val="0069523B"/>
    <w:rsid w:val="006955E5"/>
    <w:rsid w:val="0069572F"/>
    <w:rsid w:val="00695BAF"/>
    <w:rsid w:val="00695F86"/>
    <w:rsid w:val="00697966"/>
    <w:rsid w:val="00697FF0"/>
    <w:rsid w:val="006A0710"/>
    <w:rsid w:val="006A0D20"/>
    <w:rsid w:val="006A1126"/>
    <w:rsid w:val="006A1242"/>
    <w:rsid w:val="006A1544"/>
    <w:rsid w:val="006A1F84"/>
    <w:rsid w:val="006A264E"/>
    <w:rsid w:val="006A2C51"/>
    <w:rsid w:val="006A3072"/>
    <w:rsid w:val="006A3510"/>
    <w:rsid w:val="006A38FD"/>
    <w:rsid w:val="006A4799"/>
    <w:rsid w:val="006A5519"/>
    <w:rsid w:val="006A593E"/>
    <w:rsid w:val="006A5B15"/>
    <w:rsid w:val="006A6674"/>
    <w:rsid w:val="006A751B"/>
    <w:rsid w:val="006A7FF8"/>
    <w:rsid w:val="006B0245"/>
    <w:rsid w:val="006B053E"/>
    <w:rsid w:val="006B0953"/>
    <w:rsid w:val="006B1BCB"/>
    <w:rsid w:val="006B1E07"/>
    <w:rsid w:val="006B251B"/>
    <w:rsid w:val="006B2B12"/>
    <w:rsid w:val="006B2E2E"/>
    <w:rsid w:val="006B3C6B"/>
    <w:rsid w:val="006B455B"/>
    <w:rsid w:val="006B4F28"/>
    <w:rsid w:val="006B6275"/>
    <w:rsid w:val="006B682C"/>
    <w:rsid w:val="006B6C0F"/>
    <w:rsid w:val="006B7175"/>
    <w:rsid w:val="006B7A2D"/>
    <w:rsid w:val="006C1488"/>
    <w:rsid w:val="006C1A2F"/>
    <w:rsid w:val="006C1E11"/>
    <w:rsid w:val="006C255A"/>
    <w:rsid w:val="006C26F1"/>
    <w:rsid w:val="006C2DD5"/>
    <w:rsid w:val="006C2E1A"/>
    <w:rsid w:val="006C383F"/>
    <w:rsid w:val="006C3E6C"/>
    <w:rsid w:val="006C4054"/>
    <w:rsid w:val="006C4499"/>
    <w:rsid w:val="006C49AF"/>
    <w:rsid w:val="006C516A"/>
    <w:rsid w:val="006C5335"/>
    <w:rsid w:val="006C5A93"/>
    <w:rsid w:val="006C5B16"/>
    <w:rsid w:val="006C6A6E"/>
    <w:rsid w:val="006C73DE"/>
    <w:rsid w:val="006D02E6"/>
    <w:rsid w:val="006D0370"/>
    <w:rsid w:val="006D0615"/>
    <w:rsid w:val="006D2980"/>
    <w:rsid w:val="006D3791"/>
    <w:rsid w:val="006D3FAB"/>
    <w:rsid w:val="006D4287"/>
    <w:rsid w:val="006D4798"/>
    <w:rsid w:val="006D50C1"/>
    <w:rsid w:val="006D5950"/>
    <w:rsid w:val="006D5A13"/>
    <w:rsid w:val="006D6008"/>
    <w:rsid w:val="006D692D"/>
    <w:rsid w:val="006D6BCB"/>
    <w:rsid w:val="006D72DB"/>
    <w:rsid w:val="006D7DDE"/>
    <w:rsid w:val="006E0B48"/>
    <w:rsid w:val="006E1599"/>
    <w:rsid w:val="006E16D5"/>
    <w:rsid w:val="006E1826"/>
    <w:rsid w:val="006E1ECA"/>
    <w:rsid w:val="006E2BD8"/>
    <w:rsid w:val="006E2CE6"/>
    <w:rsid w:val="006E30ED"/>
    <w:rsid w:val="006E3DD2"/>
    <w:rsid w:val="006E4319"/>
    <w:rsid w:val="006E4FBF"/>
    <w:rsid w:val="006E58A8"/>
    <w:rsid w:val="006E5CB6"/>
    <w:rsid w:val="006E6314"/>
    <w:rsid w:val="006E6EF3"/>
    <w:rsid w:val="006E6FB7"/>
    <w:rsid w:val="006E7546"/>
    <w:rsid w:val="006E7C68"/>
    <w:rsid w:val="006E7F51"/>
    <w:rsid w:val="006F029B"/>
    <w:rsid w:val="006F02D2"/>
    <w:rsid w:val="006F0540"/>
    <w:rsid w:val="006F07A1"/>
    <w:rsid w:val="006F1504"/>
    <w:rsid w:val="006F261F"/>
    <w:rsid w:val="006F39A3"/>
    <w:rsid w:val="006F3AFA"/>
    <w:rsid w:val="006F3C69"/>
    <w:rsid w:val="006F50E7"/>
    <w:rsid w:val="006F62E1"/>
    <w:rsid w:val="006F6838"/>
    <w:rsid w:val="006F6B81"/>
    <w:rsid w:val="006F7173"/>
    <w:rsid w:val="006F7510"/>
    <w:rsid w:val="006F7C10"/>
    <w:rsid w:val="006F7E52"/>
    <w:rsid w:val="007004A2"/>
    <w:rsid w:val="00700AFE"/>
    <w:rsid w:val="00701000"/>
    <w:rsid w:val="00701885"/>
    <w:rsid w:val="00702420"/>
    <w:rsid w:val="00702A16"/>
    <w:rsid w:val="00702D37"/>
    <w:rsid w:val="007033B2"/>
    <w:rsid w:val="007037D6"/>
    <w:rsid w:val="00703E88"/>
    <w:rsid w:val="00704743"/>
    <w:rsid w:val="00704CD6"/>
    <w:rsid w:val="00704FEA"/>
    <w:rsid w:val="0070565C"/>
    <w:rsid w:val="0070614D"/>
    <w:rsid w:val="00706AF3"/>
    <w:rsid w:val="00706BCC"/>
    <w:rsid w:val="0070714A"/>
    <w:rsid w:val="00707403"/>
    <w:rsid w:val="0070746C"/>
    <w:rsid w:val="00707886"/>
    <w:rsid w:val="007079F8"/>
    <w:rsid w:val="00707F5E"/>
    <w:rsid w:val="00707F9B"/>
    <w:rsid w:val="007106B0"/>
    <w:rsid w:val="00710CC1"/>
    <w:rsid w:val="00711F44"/>
    <w:rsid w:val="00712307"/>
    <w:rsid w:val="00712DB7"/>
    <w:rsid w:val="007132D7"/>
    <w:rsid w:val="007135C8"/>
    <w:rsid w:val="00713CCC"/>
    <w:rsid w:val="00714211"/>
    <w:rsid w:val="00714E5B"/>
    <w:rsid w:val="00715386"/>
    <w:rsid w:val="007160C8"/>
    <w:rsid w:val="00720408"/>
    <w:rsid w:val="0072064A"/>
    <w:rsid w:val="00723B17"/>
    <w:rsid w:val="00723CD5"/>
    <w:rsid w:val="00724959"/>
    <w:rsid w:val="007266A6"/>
    <w:rsid w:val="00726AC6"/>
    <w:rsid w:val="00727C68"/>
    <w:rsid w:val="007301DC"/>
    <w:rsid w:val="00730521"/>
    <w:rsid w:val="007314BC"/>
    <w:rsid w:val="00731EC7"/>
    <w:rsid w:val="00732E24"/>
    <w:rsid w:val="00732E7B"/>
    <w:rsid w:val="00732E9E"/>
    <w:rsid w:val="007331E9"/>
    <w:rsid w:val="007332FF"/>
    <w:rsid w:val="0073364D"/>
    <w:rsid w:val="0073372A"/>
    <w:rsid w:val="00733B47"/>
    <w:rsid w:val="00734E0B"/>
    <w:rsid w:val="007367BC"/>
    <w:rsid w:val="0073686C"/>
    <w:rsid w:val="00737378"/>
    <w:rsid w:val="00737FA8"/>
    <w:rsid w:val="00740225"/>
    <w:rsid w:val="00740289"/>
    <w:rsid w:val="0074180C"/>
    <w:rsid w:val="00741926"/>
    <w:rsid w:val="00741FAB"/>
    <w:rsid w:val="0074234D"/>
    <w:rsid w:val="0074314E"/>
    <w:rsid w:val="0074315A"/>
    <w:rsid w:val="0074407E"/>
    <w:rsid w:val="007444F1"/>
    <w:rsid w:val="00744745"/>
    <w:rsid w:val="00745304"/>
    <w:rsid w:val="007455D1"/>
    <w:rsid w:val="00745B27"/>
    <w:rsid w:val="007464F5"/>
    <w:rsid w:val="00746709"/>
    <w:rsid w:val="0074695C"/>
    <w:rsid w:val="00747702"/>
    <w:rsid w:val="0075033A"/>
    <w:rsid w:val="0075039C"/>
    <w:rsid w:val="00750ADD"/>
    <w:rsid w:val="00750E03"/>
    <w:rsid w:val="00751392"/>
    <w:rsid w:val="007517D1"/>
    <w:rsid w:val="00751862"/>
    <w:rsid w:val="00752082"/>
    <w:rsid w:val="007531F7"/>
    <w:rsid w:val="00753C7E"/>
    <w:rsid w:val="007544C5"/>
    <w:rsid w:val="00754554"/>
    <w:rsid w:val="00756380"/>
    <w:rsid w:val="00760EC8"/>
    <w:rsid w:val="007610DE"/>
    <w:rsid w:val="0076186A"/>
    <w:rsid w:val="00761D04"/>
    <w:rsid w:val="007630E4"/>
    <w:rsid w:val="00764103"/>
    <w:rsid w:val="00764168"/>
    <w:rsid w:val="007641CF"/>
    <w:rsid w:val="0076490A"/>
    <w:rsid w:val="00764D2A"/>
    <w:rsid w:val="00764FF3"/>
    <w:rsid w:val="00765D86"/>
    <w:rsid w:val="007670CD"/>
    <w:rsid w:val="0076720A"/>
    <w:rsid w:val="007678F6"/>
    <w:rsid w:val="00770581"/>
    <w:rsid w:val="007719E6"/>
    <w:rsid w:val="00771A26"/>
    <w:rsid w:val="007725DD"/>
    <w:rsid w:val="00772F22"/>
    <w:rsid w:val="0077505C"/>
    <w:rsid w:val="00775069"/>
    <w:rsid w:val="0077561B"/>
    <w:rsid w:val="00776845"/>
    <w:rsid w:val="00776949"/>
    <w:rsid w:val="00776EEF"/>
    <w:rsid w:val="007770A0"/>
    <w:rsid w:val="00777714"/>
    <w:rsid w:val="00780595"/>
    <w:rsid w:val="007807B1"/>
    <w:rsid w:val="007816EB"/>
    <w:rsid w:val="00781CA8"/>
    <w:rsid w:val="0078235D"/>
    <w:rsid w:val="0078251C"/>
    <w:rsid w:val="00782D07"/>
    <w:rsid w:val="0078395A"/>
    <w:rsid w:val="007861AA"/>
    <w:rsid w:val="00787101"/>
    <w:rsid w:val="007900F7"/>
    <w:rsid w:val="007902E0"/>
    <w:rsid w:val="00790350"/>
    <w:rsid w:val="0079081D"/>
    <w:rsid w:val="00790F02"/>
    <w:rsid w:val="00791249"/>
    <w:rsid w:val="007922AB"/>
    <w:rsid w:val="00792491"/>
    <w:rsid w:val="0079271D"/>
    <w:rsid w:val="00794161"/>
    <w:rsid w:val="00794F3B"/>
    <w:rsid w:val="00795537"/>
    <w:rsid w:val="0079575F"/>
    <w:rsid w:val="00795935"/>
    <w:rsid w:val="00795E28"/>
    <w:rsid w:val="00795E6E"/>
    <w:rsid w:val="00796325"/>
    <w:rsid w:val="007965D2"/>
    <w:rsid w:val="00796951"/>
    <w:rsid w:val="0079764C"/>
    <w:rsid w:val="007A05BE"/>
    <w:rsid w:val="007A07DC"/>
    <w:rsid w:val="007A10B7"/>
    <w:rsid w:val="007A29A2"/>
    <w:rsid w:val="007A2A0C"/>
    <w:rsid w:val="007A33BF"/>
    <w:rsid w:val="007A378A"/>
    <w:rsid w:val="007A3D5B"/>
    <w:rsid w:val="007A3F18"/>
    <w:rsid w:val="007A43F3"/>
    <w:rsid w:val="007A441F"/>
    <w:rsid w:val="007A58D5"/>
    <w:rsid w:val="007A5BC3"/>
    <w:rsid w:val="007A5C77"/>
    <w:rsid w:val="007A5E9E"/>
    <w:rsid w:val="007A66EF"/>
    <w:rsid w:val="007A678E"/>
    <w:rsid w:val="007A693E"/>
    <w:rsid w:val="007A6D4F"/>
    <w:rsid w:val="007A73B9"/>
    <w:rsid w:val="007B0118"/>
    <w:rsid w:val="007B1088"/>
    <w:rsid w:val="007B1673"/>
    <w:rsid w:val="007B1E27"/>
    <w:rsid w:val="007B32AF"/>
    <w:rsid w:val="007B3A63"/>
    <w:rsid w:val="007B436D"/>
    <w:rsid w:val="007B542A"/>
    <w:rsid w:val="007B55E5"/>
    <w:rsid w:val="007B7241"/>
    <w:rsid w:val="007B7A58"/>
    <w:rsid w:val="007B7AC1"/>
    <w:rsid w:val="007C0972"/>
    <w:rsid w:val="007C0BA9"/>
    <w:rsid w:val="007C1035"/>
    <w:rsid w:val="007C18C3"/>
    <w:rsid w:val="007C22AF"/>
    <w:rsid w:val="007C32B6"/>
    <w:rsid w:val="007C32FD"/>
    <w:rsid w:val="007C348E"/>
    <w:rsid w:val="007C4555"/>
    <w:rsid w:val="007C50E9"/>
    <w:rsid w:val="007C53F2"/>
    <w:rsid w:val="007C559C"/>
    <w:rsid w:val="007C56B5"/>
    <w:rsid w:val="007C57C1"/>
    <w:rsid w:val="007C5A2D"/>
    <w:rsid w:val="007C5B15"/>
    <w:rsid w:val="007C7511"/>
    <w:rsid w:val="007D0955"/>
    <w:rsid w:val="007D205E"/>
    <w:rsid w:val="007D229B"/>
    <w:rsid w:val="007D241B"/>
    <w:rsid w:val="007D2897"/>
    <w:rsid w:val="007D28C3"/>
    <w:rsid w:val="007D2BB5"/>
    <w:rsid w:val="007D348E"/>
    <w:rsid w:val="007D3663"/>
    <w:rsid w:val="007D377F"/>
    <w:rsid w:val="007D44BB"/>
    <w:rsid w:val="007D48BB"/>
    <w:rsid w:val="007D4AD1"/>
    <w:rsid w:val="007D54F4"/>
    <w:rsid w:val="007D600B"/>
    <w:rsid w:val="007D65A7"/>
    <w:rsid w:val="007D6EBE"/>
    <w:rsid w:val="007D7EBA"/>
    <w:rsid w:val="007D7F97"/>
    <w:rsid w:val="007E07D6"/>
    <w:rsid w:val="007E1775"/>
    <w:rsid w:val="007E298B"/>
    <w:rsid w:val="007E2BAD"/>
    <w:rsid w:val="007E336C"/>
    <w:rsid w:val="007E4394"/>
    <w:rsid w:val="007E45EA"/>
    <w:rsid w:val="007E4FE4"/>
    <w:rsid w:val="007E51AD"/>
    <w:rsid w:val="007E559F"/>
    <w:rsid w:val="007E58A4"/>
    <w:rsid w:val="007E5AF2"/>
    <w:rsid w:val="007E7728"/>
    <w:rsid w:val="007F05B2"/>
    <w:rsid w:val="007F0C56"/>
    <w:rsid w:val="007F0FF8"/>
    <w:rsid w:val="007F1021"/>
    <w:rsid w:val="007F2AAF"/>
    <w:rsid w:val="007F35DE"/>
    <w:rsid w:val="007F3827"/>
    <w:rsid w:val="007F3AA5"/>
    <w:rsid w:val="007F4489"/>
    <w:rsid w:val="007F4539"/>
    <w:rsid w:val="007F491E"/>
    <w:rsid w:val="007F5882"/>
    <w:rsid w:val="007F59F0"/>
    <w:rsid w:val="007F5CB3"/>
    <w:rsid w:val="007F5DAE"/>
    <w:rsid w:val="007F5E5B"/>
    <w:rsid w:val="007F6056"/>
    <w:rsid w:val="007F6504"/>
    <w:rsid w:val="007F6DC9"/>
    <w:rsid w:val="007F7145"/>
    <w:rsid w:val="007F7A1E"/>
    <w:rsid w:val="007F7DD4"/>
    <w:rsid w:val="0080033F"/>
    <w:rsid w:val="00800DBC"/>
    <w:rsid w:val="008011D6"/>
    <w:rsid w:val="00801CFC"/>
    <w:rsid w:val="00801DCC"/>
    <w:rsid w:val="0080268F"/>
    <w:rsid w:val="0080295B"/>
    <w:rsid w:val="00803138"/>
    <w:rsid w:val="008037A2"/>
    <w:rsid w:val="0080400C"/>
    <w:rsid w:val="0080495C"/>
    <w:rsid w:val="00804E6E"/>
    <w:rsid w:val="0080508D"/>
    <w:rsid w:val="0080578D"/>
    <w:rsid w:val="008062F9"/>
    <w:rsid w:val="008067A1"/>
    <w:rsid w:val="008070AC"/>
    <w:rsid w:val="0080742A"/>
    <w:rsid w:val="008077EE"/>
    <w:rsid w:val="008078B8"/>
    <w:rsid w:val="00807EB6"/>
    <w:rsid w:val="008109A5"/>
    <w:rsid w:val="00811121"/>
    <w:rsid w:val="00811431"/>
    <w:rsid w:val="00811744"/>
    <w:rsid w:val="00811F4A"/>
    <w:rsid w:val="0081272A"/>
    <w:rsid w:val="00812AB7"/>
    <w:rsid w:val="00813BF1"/>
    <w:rsid w:val="00813C51"/>
    <w:rsid w:val="00814BE1"/>
    <w:rsid w:val="00814ECC"/>
    <w:rsid w:val="008150E7"/>
    <w:rsid w:val="00815404"/>
    <w:rsid w:val="00815A75"/>
    <w:rsid w:val="00815DC3"/>
    <w:rsid w:val="00816AE9"/>
    <w:rsid w:val="00816B45"/>
    <w:rsid w:val="00817941"/>
    <w:rsid w:val="00820480"/>
    <w:rsid w:val="008206F8"/>
    <w:rsid w:val="008207C4"/>
    <w:rsid w:val="00820B8B"/>
    <w:rsid w:val="00820F3D"/>
    <w:rsid w:val="008212C5"/>
    <w:rsid w:val="0082239F"/>
    <w:rsid w:val="0082255D"/>
    <w:rsid w:val="008225AC"/>
    <w:rsid w:val="0082294D"/>
    <w:rsid w:val="00823671"/>
    <w:rsid w:val="00823DB4"/>
    <w:rsid w:val="0082542C"/>
    <w:rsid w:val="00825474"/>
    <w:rsid w:val="00826229"/>
    <w:rsid w:val="008269E7"/>
    <w:rsid w:val="00826F43"/>
    <w:rsid w:val="00826FCB"/>
    <w:rsid w:val="008270B4"/>
    <w:rsid w:val="0082723E"/>
    <w:rsid w:val="00827492"/>
    <w:rsid w:val="008315E7"/>
    <w:rsid w:val="00832294"/>
    <w:rsid w:val="00832BFC"/>
    <w:rsid w:val="00833DB7"/>
    <w:rsid w:val="0083409D"/>
    <w:rsid w:val="0083610C"/>
    <w:rsid w:val="00836BBF"/>
    <w:rsid w:val="00837A56"/>
    <w:rsid w:val="0084031F"/>
    <w:rsid w:val="00840CF1"/>
    <w:rsid w:val="0084160B"/>
    <w:rsid w:val="008429B0"/>
    <w:rsid w:val="008429D7"/>
    <w:rsid w:val="00842A77"/>
    <w:rsid w:val="008430D7"/>
    <w:rsid w:val="008434EE"/>
    <w:rsid w:val="00843742"/>
    <w:rsid w:val="00844756"/>
    <w:rsid w:val="00844BFF"/>
    <w:rsid w:val="00845678"/>
    <w:rsid w:val="008456D5"/>
    <w:rsid w:val="00845C59"/>
    <w:rsid w:val="0084634B"/>
    <w:rsid w:val="008468E6"/>
    <w:rsid w:val="00847143"/>
    <w:rsid w:val="008477E2"/>
    <w:rsid w:val="008521C8"/>
    <w:rsid w:val="00852440"/>
    <w:rsid w:val="00852445"/>
    <w:rsid w:val="00853DE3"/>
    <w:rsid w:val="008548EB"/>
    <w:rsid w:val="00854EF0"/>
    <w:rsid w:val="00855BC0"/>
    <w:rsid w:val="00855DE1"/>
    <w:rsid w:val="0085619B"/>
    <w:rsid w:val="008563D5"/>
    <w:rsid w:val="008568B1"/>
    <w:rsid w:val="00856DD7"/>
    <w:rsid w:val="008575EA"/>
    <w:rsid w:val="00860010"/>
    <w:rsid w:val="00860201"/>
    <w:rsid w:val="008602DB"/>
    <w:rsid w:val="00860526"/>
    <w:rsid w:val="0086079F"/>
    <w:rsid w:val="00861AEF"/>
    <w:rsid w:val="00862FD2"/>
    <w:rsid w:val="00864495"/>
    <w:rsid w:val="008646CC"/>
    <w:rsid w:val="00864F0C"/>
    <w:rsid w:val="0086566D"/>
    <w:rsid w:val="00866308"/>
    <w:rsid w:val="00866571"/>
    <w:rsid w:val="00866AF5"/>
    <w:rsid w:val="00866B65"/>
    <w:rsid w:val="00866CF7"/>
    <w:rsid w:val="0086786B"/>
    <w:rsid w:val="00870B4C"/>
    <w:rsid w:val="008711B6"/>
    <w:rsid w:val="008715F1"/>
    <w:rsid w:val="00871DC4"/>
    <w:rsid w:val="008724CE"/>
    <w:rsid w:val="00872D30"/>
    <w:rsid w:val="0087375A"/>
    <w:rsid w:val="008747CC"/>
    <w:rsid w:val="00874954"/>
    <w:rsid w:val="00876CC7"/>
    <w:rsid w:val="0088133D"/>
    <w:rsid w:val="00881648"/>
    <w:rsid w:val="0088227D"/>
    <w:rsid w:val="008838F9"/>
    <w:rsid w:val="00883DE8"/>
    <w:rsid w:val="00884744"/>
    <w:rsid w:val="00884786"/>
    <w:rsid w:val="00884BC3"/>
    <w:rsid w:val="008856A7"/>
    <w:rsid w:val="0088604D"/>
    <w:rsid w:val="00886175"/>
    <w:rsid w:val="0088617E"/>
    <w:rsid w:val="008869DC"/>
    <w:rsid w:val="008872D0"/>
    <w:rsid w:val="00887477"/>
    <w:rsid w:val="00887F62"/>
    <w:rsid w:val="00890344"/>
    <w:rsid w:val="008912C6"/>
    <w:rsid w:val="00891721"/>
    <w:rsid w:val="00892C77"/>
    <w:rsid w:val="00892FEA"/>
    <w:rsid w:val="00894CC0"/>
    <w:rsid w:val="00894F25"/>
    <w:rsid w:val="00895521"/>
    <w:rsid w:val="00895E90"/>
    <w:rsid w:val="00896F3B"/>
    <w:rsid w:val="00897660"/>
    <w:rsid w:val="008A0759"/>
    <w:rsid w:val="008A112B"/>
    <w:rsid w:val="008A124A"/>
    <w:rsid w:val="008A183E"/>
    <w:rsid w:val="008A1887"/>
    <w:rsid w:val="008A1B70"/>
    <w:rsid w:val="008A2358"/>
    <w:rsid w:val="008A24F9"/>
    <w:rsid w:val="008A25EB"/>
    <w:rsid w:val="008A2C30"/>
    <w:rsid w:val="008A2CCC"/>
    <w:rsid w:val="008A304B"/>
    <w:rsid w:val="008A35FD"/>
    <w:rsid w:val="008A39D7"/>
    <w:rsid w:val="008A3AD5"/>
    <w:rsid w:val="008A47F1"/>
    <w:rsid w:val="008A4C73"/>
    <w:rsid w:val="008A526F"/>
    <w:rsid w:val="008A5321"/>
    <w:rsid w:val="008A535C"/>
    <w:rsid w:val="008A77F3"/>
    <w:rsid w:val="008A7C96"/>
    <w:rsid w:val="008B010C"/>
    <w:rsid w:val="008B06A7"/>
    <w:rsid w:val="008B19C9"/>
    <w:rsid w:val="008B21D5"/>
    <w:rsid w:val="008B21F5"/>
    <w:rsid w:val="008B32BB"/>
    <w:rsid w:val="008B368B"/>
    <w:rsid w:val="008B3BA1"/>
    <w:rsid w:val="008B414E"/>
    <w:rsid w:val="008B4973"/>
    <w:rsid w:val="008B4AA4"/>
    <w:rsid w:val="008B65FB"/>
    <w:rsid w:val="008B6698"/>
    <w:rsid w:val="008B6A81"/>
    <w:rsid w:val="008B6AF2"/>
    <w:rsid w:val="008B77D3"/>
    <w:rsid w:val="008B7BA2"/>
    <w:rsid w:val="008B7E00"/>
    <w:rsid w:val="008C03A5"/>
    <w:rsid w:val="008C0715"/>
    <w:rsid w:val="008C0EC4"/>
    <w:rsid w:val="008C133A"/>
    <w:rsid w:val="008C23DB"/>
    <w:rsid w:val="008C26D1"/>
    <w:rsid w:val="008C3670"/>
    <w:rsid w:val="008C4926"/>
    <w:rsid w:val="008C5157"/>
    <w:rsid w:val="008C57DA"/>
    <w:rsid w:val="008C63E9"/>
    <w:rsid w:val="008C650F"/>
    <w:rsid w:val="008C6C17"/>
    <w:rsid w:val="008C7652"/>
    <w:rsid w:val="008C7D15"/>
    <w:rsid w:val="008D0194"/>
    <w:rsid w:val="008D0546"/>
    <w:rsid w:val="008D1443"/>
    <w:rsid w:val="008D28A1"/>
    <w:rsid w:val="008D34A1"/>
    <w:rsid w:val="008D3924"/>
    <w:rsid w:val="008D3E20"/>
    <w:rsid w:val="008D4324"/>
    <w:rsid w:val="008D4361"/>
    <w:rsid w:val="008D4A17"/>
    <w:rsid w:val="008D4A2B"/>
    <w:rsid w:val="008D4E81"/>
    <w:rsid w:val="008D50BB"/>
    <w:rsid w:val="008D55FA"/>
    <w:rsid w:val="008D5C06"/>
    <w:rsid w:val="008D5FC6"/>
    <w:rsid w:val="008D6554"/>
    <w:rsid w:val="008D6FA2"/>
    <w:rsid w:val="008D7A25"/>
    <w:rsid w:val="008D7B4C"/>
    <w:rsid w:val="008D7F20"/>
    <w:rsid w:val="008E047A"/>
    <w:rsid w:val="008E061F"/>
    <w:rsid w:val="008E0E3D"/>
    <w:rsid w:val="008E189F"/>
    <w:rsid w:val="008E26E4"/>
    <w:rsid w:val="008E2A0D"/>
    <w:rsid w:val="008E2E6E"/>
    <w:rsid w:val="008E39E9"/>
    <w:rsid w:val="008E3E7B"/>
    <w:rsid w:val="008E4786"/>
    <w:rsid w:val="008E54A7"/>
    <w:rsid w:val="008E64CE"/>
    <w:rsid w:val="008E75B3"/>
    <w:rsid w:val="008E779D"/>
    <w:rsid w:val="008E7CB9"/>
    <w:rsid w:val="008F030E"/>
    <w:rsid w:val="008F08F7"/>
    <w:rsid w:val="008F0ABC"/>
    <w:rsid w:val="008F19F2"/>
    <w:rsid w:val="008F1A44"/>
    <w:rsid w:val="008F1B4C"/>
    <w:rsid w:val="008F221E"/>
    <w:rsid w:val="008F23CE"/>
    <w:rsid w:val="008F247E"/>
    <w:rsid w:val="008F2F4C"/>
    <w:rsid w:val="008F36EB"/>
    <w:rsid w:val="008F3ACB"/>
    <w:rsid w:val="008F427E"/>
    <w:rsid w:val="008F4DA8"/>
    <w:rsid w:val="008F5FF4"/>
    <w:rsid w:val="008F6000"/>
    <w:rsid w:val="008F6448"/>
    <w:rsid w:val="008F6B91"/>
    <w:rsid w:val="008F79FB"/>
    <w:rsid w:val="008F7AEE"/>
    <w:rsid w:val="00900D8D"/>
    <w:rsid w:val="0090357C"/>
    <w:rsid w:val="00903A00"/>
    <w:rsid w:val="00904CB9"/>
    <w:rsid w:val="00904D75"/>
    <w:rsid w:val="00906C36"/>
    <w:rsid w:val="00907227"/>
    <w:rsid w:val="0090792D"/>
    <w:rsid w:val="00907D5D"/>
    <w:rsid w:val="0091099F"/>
    <w:rsid w:val="00910DB7"/>
    <w:rsid w:val="00913097"/>
    <w:rsid w:val="0091334A"/>
    <w:rsid w:val="0091490C"/>
    <w:rsid w:val="009151A4"/>
    <w:rsid w:val="0091538B"/>
    <w:rsid w:val="00915689"/>
    <w:rsid w:val="00915E38"/>
    <w:rsid w:val="0091684C"/>
    <w:rsid w:val="00916A5C"/>
    <w:rsid w:val="00916AE2"/>
    <w:rsid w:val="00916FF2"/>
    <w:rsid w:val="00917963"/>
    <w:rsid w:val="009208C5"/>
    <w:rsid w:val="00920DF9"/>
    <w:rsid w:val="00921B3A"/>
    <w:rsid w:val="009225D1"/>
    <w:rsid w:val="00922B60"/>
    <w:rsid w:val="00922B9D"/>
    <w:rsid w:val="00922CEF"/>
    <w:rsid w:val="00922D22"/>
    <w:rsid w:val="00922D4F"/>
    <w:rsid w:val="00923A76"/>
    <w:rsid w:val="00923BE7"/>
    <w:rsid w:val="0092579F"/>
    <w:rsid w:val="00926054"/>
    <w:rsid w:val="00926DEC"/>
    <w:rsid w:val="00926DFB"/>
    <w:rsid w:val="00927A21"/>
    <w:rsid w:val="00927E74"/>
    <w:rsid w:val="0093052C"/>
    <w:rsid w:val="009305EF"/>
    <w:rsid w:val="00930B99"/>
    <w:rsid w:val="0093206B"/>
    <w:rsid w:val="00932F0F"/>
    <w:rsid w:val="00932FF1"/>
    <w:rsid w:val="00933533"/>
    <w:rsid w:val="009363A2"/>
    <w:rsid w:val="00936B8F"/>
    <w:rsid w:val="00937216"/>
    <w:rsid w:val="009373E3"/>
    <w:rsid w:val="00940E0C"/>
    <w:rsid w:val="00941CA8"/>
    <w:rsid w:val="00941CDD"/>
    <w:rsid w:val="00941E2A"/>
    <w:rsid w:val="00942E71"/>
    <w:rsid w:val="0094302A"/>
    <w:rsid w:val="00943519"/>
    <w:rsid w:val="00943911"/>
    <w:rsid w:val="009445DE"/>
    <w:rsid w:val="00944BB7"/>
    <w:rsid w:val="0094512B"/>
    <w:rsid w:val="0094598E"/>
    <w:rsid w:val="00945BDE"/>
    <w:rsid w:val="009467AC"/>
    <w:rsid w:val="00947DC6"/>
    <w:rsid w:val="0095010E"/>
    <w:rsid w:val="009501CB"/>
    <w:rsid w:val="00950F3F"/>
    <w:rsid w:val="00953139"/>
    <w:rsid w:val="009535D3"/>
    <w:rsid w:val="00953693"/>
    <w:rsid w:val="0095388A"/>
    <w:rsid w:val="0095397B"/>
    <w:rsid w:val="009540BD"/>
    <w:rsid w:val="00955022"/>
    <w:rsid w:val="00955041"/>
    <w:rsid w:val="0095533F"/>
    <w:rsid w:val="009555D7"/>
    <w:rsid w:val="009557FB"/>
    <w:rsid w:val="00955FC1"/>
    <w:rsid w:val="00956DC4"/>
    <w:rsid w:val="00957176"/>
    <w:rsid w:val="009578A1"/>
    <w:rsid w:val="00960D3A"/>
    <w:rsid w:val="0096116A"/>
    <w:rsid w:val="0096126A"/>
    <w:rsid w:val="009617B4"/>
    <w:rsid w:val="00961B63"/>
    <w:rsid w:val="009620B8"/>
    <w:rsid w:val="0096212F"/>
    <w:rsid w:val="00962733"/>
    <w:rsid w:val="00962B33"/>
    <w:rsid w:val="00963592"/>
    <w:rsid w:val="009636ED"/>
    <w:rsid w:val="00963700"/>
    <w:rsid w:val="009639E8"/>
    <w:rsid w:val="009640D9"/>
    <w:rsid w:val="009645C8"/>
    <w:rsid w:val="0096474E"/>
    <w:rsid w:val="0096567D"/>
    <w:rsid w:val="009659DC"/>
    <w:rsid w:val="00965EBA"/>
    <w:rsid w:val="00966303"/>
    <w:rsid w:val="00966950"/>
    <w:rsid w:val="009669C6"/>
    <w:rsid w:val="00966B38"/>
    <w:rsid w:val="009675D2"/>
    <w:rsid w:val="00967800"/>
    <w:rsid w:val="00967B9B"/>
    <w:rsid w:val="00967DD4"/>
    <w:rsid w:val="00970C97"/>
    <w:rsid w:val="0097165C"/>
    <w:rsid w:val="00971756"/>
    <w:rsid w:val="00971804"/>
    <w:rsid w:val="00971CCC"/>
    <w:rsid w:val="00972206"/>
    <w:rsid w:val="00972929"/>
    <w:rsid w:val="00972A86"/>
    <w:rsid w:val="009734AC"/>
    <w:rsid w:val="00973508"/>
    <w:rsid w:val="0097375C"/>
    <w:rsid w:val="00974A85"/>
    <w:rsid w:val="00974D3F"/>
    <w:rsid w:val="00975147"/>
    <w:rsid w:val="00975682"/>
    <w:rsid w:val="00975C15"/>
    <w:rsid w:val="00976040"/>
    <w:rsid w:val="00976A37"/>
    <w:rsid w:val="00976CBF"/>
    <w:rsid w:val="00977303"/>
    <w:rsid w:val="00977506"/>
    <w:rsid w:val="0098030D"/>
    <w:rsid w:val="00981141"/>
    <w:rsid w:val="00981395"/>
    <w:rsid w:val="00981563"/>
    <w:rsid w:val="009825D4"/>
    <w:rsid w:val="0098350B"/>
    <w:rsid w:val="00983ED5"/>
    <w:rsid w:val="009844AC"/>
    <w:rsid w:val="00984A98"/>
    <w:rsid w:val="00984F56"/>
    <w:rsid w:val="0098510F"/>
    <w:rsid w:val="00985119"/>
    <w:rsid w:val="009852B9"/>
    <w:rsid w:val="0098539A"/>
    <w:rsid w:val="0098566B"/>
    <w:rsid w:val="009860E2"/>
    <w:rsid w:val="00986E5E"/>
    <w:rsid w:val="0099023C"/>
    <w:rsid w:val="00990496"/>
    <w:rsid w:val="00990834"/>
    <w:rsid w:val="00990C62"/>
    <w:rsid w:val="00991082"/>
    <w:rsid w:val="009912D9"/>
    <w:rsid w:val="00992711"/>
    <w:rsid w:val="00992BF1"/>
    <w:rsid w:val="00992DBC"/>
    <w:rsid w:val="00993B20"/>
    <w:rsid w:val="00993C4F"/>
    <w:rsid w:val="00993EBA"/>
    <w:rsid w:val="00994D95"/>
    <w:rsid w:val="00994E38"/>
    <w:rsid w:val="009951EA"/>
    <w:rsid w:val="00995312"/>
    <w:rsid w:val="00995B16"/>
    <w:rsid w:val="00995BF3"/>
    <w:rsid w:val="00997DFE"/>
    <w:rsid w:val="009A04BB"/>
    <w:rsid w:val="009A11EC"/>
    <w:rsid w:val="009A14CF"/>
    <w:rsid w:val="009A2749"/>
    <w:rsid w:val="009A3C51"/>
    <w:rsid w:val="009A3DA5"/>
    <w:rsid w:val="009A4318"/>
    <w:rsid w:val="009A45A3"/>
    <w:rsid w:val="009A4665"/>
    <w:rsid w:val="009A553B"/>
    <w:rsid w:val="009A5DE2"/>
    <w:rsid w:val="009A5E80"/>
    <w:rsid w:val="009A6481"/>
    <w:rsid w:val="009A6875"/>
    <w:rsid w:val="009A7383"/>
    <w:rsid w:val="009A7A88"/>
    <w:rsid w:val="009B00F2"/>
    <w:rsid w:val="009B02FD"/>
    <w:rsid w:val="009B064D"/>
    <w:rsid w:val="009B143F"/>
    <w:rsid w:val="009B1754"/>
    <w:rsid w:val="009B1E2C"/>
    <w:rsid w:val="009B249B"/>
    <w:rsid w:val="009B3A1B"/>
    <w:rsid w:val="009B4485"/>
    <w:rsid w:val="009B4B9D"/>
    <w:rsid w:val="009B5460"/>
    <w:rsid w:val="009B63AB"/>
    <w:rsid w:val="009B73E0"/>
    <w:rsid w:val="009C02EC"/>
    <w:rsid w:val="009C04B3"/>
    <w:rsid w:val="009C082A"/>
    <w:rsid w:val="009C1823"/>
    <w:rsid w:val="009C260A"/>
    <w:rsid w:val="009C262E"/>
    <w:rsid w:val="009C2CFC"/>
    <w:rsid w:val="009C520D"/>
    <w:rsid w:val="009C5575"/>
    <w:rsid w:val="009C57DA"/>
    <w:rsid w:val="009C5E9A"/>
    <w:rsid w:val="009C6651"/>
    <w:rsid w:val="009C6AB9"/>
    <w:rsid w:val="009C72B9"/>
    <w:rsid w:val="009D0735"/>
    <w:rsid w:val="009D0AFF"/>
    <w:rsid w:val="009D0B66"/>
    <w:rsid w:val="009D127B"/>
    <w:rsid w:val="009D1904"/>
    <w:rsid w:val="009D1A3C"/>
    <w:rsid w:val="009D2568"/>
    <w:rsid w:val="009D361F"/>
    <w:rsid w:val="009D4646"/>
    <w:rsid w:val="009D4A02"/>
    <w:rsid w:val="009D5141"/>
    <w:rsid w:val="009D5C1E"/>
    <w:rsid w:val="009D62A6"/>
    <w:rsid w:val="009D640D"/>
    <w:rsid w:val="009D6540"/>
    <w:rsid w:val="009D6928"/>
    <w:rsid w:val="009D71AB"/>
    <w:rsid w:val="009D72AF"/>
    <w:rsid w:val="009D7834"/>
    <w:rsid w:val="009D7CCE"/>
    <w:rsid w:val="009E037F"/>
    <w:rsid w:val="009E19BE"/>
    <w:rsid w:val="009E1B0D"/>
    <w:rsid w:val="009E2248"/>
    <w:rsid w:val="009E2C78"/>
    <w:rsid w:val="009E3793"/>
    <w:rsid w:val="009E477B"/>
    <w:rsid w:val="009E57E4"/>
    <w:rsid w:val="009E69D5"/>
    <w:rsid w:val="009E7249"/>
    <w:rsid w:val="009E754C"/>
    <w:rsid w:val="009E783B"/>
    <w:rsid w:val="009F01A9"/>
    <w:rsid w:val="009F0DFA"/>
    <w:rsid w:val="009F1032"/>
    <w:rsid w:val="009F1D11"/>
    <w:rsid w:val="009F32F7"/>
    <w:rsid w:val="009F4B91"/>
    <w:rsid w:val="009F5027"/>
    <w:rsid w:val="009F5F4E"/>
    <w:rsid w:val="00A00985"/>
    <w:rsid w:val="00A00C0F"/>
    <w:rsid w:val="00A00D89"/>
    <w:rsid w:val="00A016A3"/>
    <w:rsid w:val="00A01AC2"/>
    <w:rsid w:val="00A01C2B"/>
    <w:rsid w:val="00A01E96"/>
    <w:rsid w:val="00A0222F"/>
    <w:rsid w:val="00A0265D"/>
    <w:rsid w:val="00A0290D"/>
    <w:rsid w:val="00A030BD"/>
    <w:rsid w:val="00A031B4"/>
    <w:rsid w:val="00A04418"/>
    <w:rsid w:val="00A05111"/>
    <w:rsid w:val="00A0617C"/>
    <w:rsid w:val="00A065E1"/>
    <w:rsid w:val="00A06927"/>
    <w:rsid w:val="00A070A2"/>
    <w:rsid w:val="00A078E2"/>
    <w:rsid w:val="00A07F85"/>
    <w:rsid w:val="00A1081E"/>
    <w:rsid w:val="00A12714"/>
    <w:rsid w:val="00A12797"/>
    <w:rsid w:val="00A12E19"/>
    <w:rsid w:val="00A133EF"/>
    <w:rsid w:val="00A13B49"/>
    <w:rsid w:val="00A15077"/>
    <w:rsid w:val="00A159FE"/>
    <w:rsid w:val="00A17886"/>
    <w:rsid w:val="00A17F6B"/>
    <w:rsid w:val="00A21ECB"/>
    <w:rsid w:val="00A23551"/>
    <w:rsid w:val="00A240FA"/>
    <w:rsid w:val="00A24158"/>
    <w:rsid w:val="00A242AA"/>
    <w:rsid w:val="00A24331"/>
    <w:rsid w:val="00A2485B"/>
    <w:rsid w:val="00A2506B"/>
    <w:rsid w:val="00A2681B"/>
    <w:rsid w:val="00A2777C"/>
    <w:rsid w:val="00A30834"/>
    <w:rsid w:val="00A30958"/>
    <w:rsid w:val="00A309FA"/>
    <w:rsid w:val="00A31207"/>
    <w:rsid w:val="00A312EA"/>
    <w:rsid w:val="00A31752"/>
    <w:rsid w:val="00A31A6F"/>
    <w:rsid w:val="00A31EA8"/>
    <w:rsid w:val="00A33F08"/>
    <w:rsid w:val="00A34CBF"/>
    <w:rsid w:val="00A34E3D"/>
    <w:rsid w:val="00A3508F"/>
    <w:rsid w:val="00A3540E"/>
    <w:rsid w:val="00A35F79"/>
    <w:rsid w:val="00A362F9"/>
    <w:rsid w:val="00A36443"/>
    <w:rsid w:val="00A3699D"/>
    <w:rsid w:val="00A36F44"/>
    <w:rsid w:val="00A3730B"/>
    <w:rsid w:val="00A377A2"/>
    <w:rsid w:val="00A378A9"/>
    <w:rsid w:val="00A40C47"/>
    <w:rsid w:val="00A41174"/>
    <w:rsid w:val="00A42CA8"/>
    <w:rsid w:val="00A43EB2"/>
    <w:rsid w:val="00A44331"/>
    <w:rsid w:val="00A44CC8"/>
    <w:rsid w:val="00A4508D"/>
    <w:rsid w:val="00A46096"/>
    <w:rsid w:val="00A47338"/>
    <w:rsid w:val="00A474AC"/>
    <w:rsid w:val="00A477FA"/>
    <w:rsid w:val="00A479F7"/>
    <w:rsid w:val="00A501C8"/>
    <w:rsid w:val="00A50A78"/>
    <w:rsid w:val="00A52025"/>
    <w:rsid w:val="00A525B1"/>
    <w:rsid w:val="00A5288B"/>
    <w:rsid w:val="00A52BB5"/>
    <w:rsid w:val="00A5333A"/>
    <w:rsid w:val="00A53AA1"/>
    <w:rsid w:val="00A542E5"/>
    <w:rsid w:val="00A549F0"/>
    <w:rsid w:val="00A55398"/>
    <w:rsid w:val="00A560A2"/>
    <w:rsid w:val="00A56459"/>
    <w:rsid w:val="00A573C0"/>
    <w:rsid w:val="00A57464"/>
    <w:rsid w:val="00A608B4"/>
    <w:rsid w:val="00A60A7D"/>
    <w:rsid w:val="00A61B50"/>
    <w:rsid w:val="00A61D2B"/>
    <w:rsid w:val="00A61F6E"/>
    <w:rsid w:val="00A62B0F"/>
    <w:rsid w:val="00A62DC5"/>
    <w:rsid w:val="00A63DD8"/>
    <w:rsid w:val="00A63E45"/>
    <w:rsid w:val="00A65936"/>
    <w:rsid w:val="00A67381"/>
    <w:rsid w:val="00A67992"/>
    <w:rsid w:val="00A67F95"/>
    <w:rsid w:val="00A70214"/>
    <w:rsid w:val="00A70732"/>
    <w:rsid w:val="00A707A3"/>
    <w:rsid w:val="00A709C0"/>
    <w:rsid w:val="00A70AB2"/>
    <w:rsid w:val="00A713F4"/>
    <w:rsid w:val="00A71816"/>
    <w:rsid w:val="00A71FFA"/>
    <w:rsid w:val="00A7329F"/>
    <w:rsid w:val="00A7345B"/>
    <w:rsid w:val="00A7379C"/>
    <w:rsid w:val="00A73F60"/>
    <w:rsid w:val="00A74557"/>
    <w:rsid w:val="00A745FD"/>
    <w:rsid w:val="00A7486F"/>
    <w:rsid w:val="00A7487B"/>
    <w:rsid w:val="00A74B83"/>
    <w:rsid w:val="00A74D51"/>
    <w:rsid w:val="00A755DB"/>
    <w:rsid w:val="00A75D9C"/>
    <w:rsid w:val="00A76F94"/>
    <w:rsid w:val="00A77161"/>
    <w:rsid w:val="00A77AB1"/>
    <w:rsid w:val="00A80911"/>
    <w:rsid w:val="00A80DDB"/>
    <w:rsid w:val="00A810B9"/>
    <w:rsid w:val="00A81B0A"/>
    <w:rsid w:val="00A81D19"/>
    <w:rsid w:val="00A81DF0"/>
    <w:rsid w:val="00A81F0E"/>
    <w:rsid w:val="00A827B5"/>
    <w:rsid w:val="00A83526"/>
    <w:rsid w:val="00A8355A"/>
    <w:rsid w:val="00A83585"/>
    <w:rsid w:val="00A83C90"/>
    <w:rsid w:val="00A8407C"/>
    <w:rsid w:val="00A8517D"/>
    <w:rsid w:val="00A85196"/>
    <w:rsid w:val="00A85AFB"/>
    <w:rsid w:val="00A869BE"/>
    <w:rsid w:val="00A86A03"/>
    <w:rsid w:val="00A9196B"/>
    <w:rsid w:val="00A93B2E"/>
    <w:rsid w:val="00A94295"/>
    <w:rsid w:val="00A94360"/>
    <w:rsid w:val="00A956F2"/>
    <w:rsid w:val="00A95970"/>
    <w:rsid w:val="00A95A3A"/>
    <w:rsid w:val="00A95B3D"/>
    <w:rsid w:val="00A977AB"/>
    <w:rsid w:val="00AA0696"/>
    <w:rsid w:val="00AA10BE"/>
    <w:rsid w:val="00AA1913"/>
    <w:rsid w:val="00AA268E"/>
    <w:rsid w:val="00AA3680"/>
    <w:rsid w:val="00AA3A23"/>
    <w:rsid w:val="00AA470E"/>
    <w:rsid w:val="00AA4B50"/>
    <w:rsid w:val="00AA50D9"/>
    <w:rsid w:val="00AA52CA"/>
    <w:rsid w:val="00AA5C81"/>
    <w:rsid w:val="00AA5C96"/>
    <w:rsid w:val="00AA60E6"/>
    <w:rsid w:val="00AA7C90"/>
    <w:rsid w:val="00AB1D5F"/>
    <w:rsid w:val="00AB1DEB"/>
    <w:rsid w:val="00AB247F"/>
    <w:rsid w:val="00AB2744"/>
    <w:rsid w:val="00AB3CD6"/>
    <w:rsid w:val="00AB3E0D"/>
    <w:rsid w:val="00AB4AA5"/>
    <w:rsid w:val="00AB4C20"/>
    <w:rsid w:val="00AB5BC1"/>
    <w:rsid w:val="00AB6A24"/>
    <w:rsid w:val="00AB7C28"/>
    <w:rsid w:val="00AC0448"/>
    <w:rsid w:val="00AC07F0"/>
    <w:rsid w:val="00AC1302"/>
    <w:rsid w:val="00AC1631"/>
    <w:rsid w:val="00AC1BB2"/>
    <w:rsid w:val="00AC256C"/>
    <w:rsid w:val="00AC274B"/>
    <w:rsid w:val="00AC31BB"/>
    <w:rsid w:val="00AC375A"/>
    <w:rsid w:val="00AC39FB"/>
    <w:rsid w:val="00AC3A75"/>
    <w:rsid w:val="00AC3EFB"/>
    <w:rsid w:val="00AC4232"/>
    <w:rsid w:val="00AC4742"/>
    <w:rsid w:val="00AC57CD"/>
    <w:rsid w:val="00AC6AC0"/>
    <w:rsid w:val="00AC6ECB"/>
    <w:rsid w:val="00AC745B"/>
    <w:rsid w:val="00AC7692"/>
    <w:rsid w:val="00AC7A29"/>
    <w:rsid w:val="00AD06CF"/>
    <w:rsid w:val="00AD0D4D"/>
    <w:rsid w:val="00AD1585"/>
    <w:rsid w:val="00AD2638"/>
    <w:rsid w:val="00AD41E0"/>
    <w:rsid w:val="00AD4618"/>
    <w:rsid w:val="00AD4C5D"/>
    <w:rsid w:val="00AD4F03"/>
    <w:rsid w:val="00AD52A3"/>
    <w:rsid w:val="00AD57D5"/>
    <w:rsid w:val="00AD60FF"/>
    <w:rsid w:val="00AD61B2"/>
    <w:rsid w:val="00AD6507"/>
    <w:rsid w:val="00AD6D21"/>
    <w:rsid w:val="00AD6DE4"/>
    <w:rsid w:val="00AD6F5B"/>
    <w:rsid w:val="00AD7346"/>
    <w:rsid w:val="00AD76B5"/>
    <w:rsid w:val="00AD7703"/>
    <w:rsid w:val="00AD7A0A"/>
    <w:rsid w:val="00AD7AB8"/>
    <w:rsid w:val="00AD7BE6"/>
    <w:rsid w:val="00AE01B9"/>
    <w:rsid w:val="00AE13ED"/>
    <w:rsid w:val="00AE174C"/>
    <w:rsid w:val="00AE46A2"/>
    <w:rsid w:val="00AE4FB0"/>
    <w:rsid w:val="00AE4FFD"/>
    <w:rsid w:val="00AE5220"/>
    <w:rsid w:val="00AE5283"/>
    <w:rsid w:val="00AE5A97"/>
    <w:rsid w:val="00AE67EC"/>
    <w:rsid w:val="00AE700A"/>
    <w:rsid w:val="00AE7087"/>
    <w:rsid w:val="00AE725E"/>
    <w:rsid w:val="00AF0C5E"/>
    <w:rsid w:val="00AF1247"/>
    <w:rsid w:val="00AF1D8B"/>
    <w:rsid w:val="00AF2487"/>
    <w:rsid w:val="00AF387F"/>
    <w:rsid w:val="00AF402C"/>
    <w:rsid w:val="00AF42EB"/>
    <w:rsid w:val="00AF4432"/>
    <w:rsid w:val="00AF4DFD"/>
    <w:rsid w:val="00AF4EAF"/>
    <w:rsid w:val="00AF5A71"/>
    <w:rsid w:val="00AF5DF2"/>
    <w:rsid w:val="00AF6F5B"/>
    <w:rsid w:val="00AF7137"/>
    <w:rsid w:val="00AF71AF"/>
    <w:rsid w:val="00AF7217"/>
    <w:rsid w:val="00B005A8"/>
    <w:rsid w:val="00B00A6F"/>
    <w:rsid w:val="00B0116D"/>
    <w:rsid w:val="00B01749"/>
    <w:rsid w:val="00B019FB"/>
    <w:rsid w:val="00B01FAA"/>
    <w:rsid w:val="00B0266A"/>
    <w:rsid w:val="00B026D2"/>
    <w:rsid w:val="00B02AF1"/>
    <w:rsid w:val="00B02D47"/>
    <w:rsid w:val="00B02E5B"/>
    <w:rsid w:val="00B0332A"/>
    <w:rsid w:val="00B036A5"/>
    <w:rsid w:val="00B039A6"/>
    <w:rsid w:val="00B047D5"/>
    <w:rsid w:val="00B049DC"/>
    <w:rsid w:val="00B04B2E"/>
    <w:rsid w:val="00B04B75"/>
    <w:rsid w:val="00B04FA3"/>
    <w:rsid w:val="00B05620"/>
    <w:rsid w:val="00B06618"/>
    <w:rsid w:val="00B06D38"/>
    <w:rsid w:val="00B06D96"/>
    <w:rsid w:val="00B06FF4"/>
    <w:rsid w:val="00B07755"/>
    <w:rsid w:val="00B07BA1"/>
    <w:rsid w:val="00B07C34"/>
    <w:rsid w:val="00B07D3A"/>
    <w:rsid w:val="00B07EF3"/>
    <w:rsid w:val="00B10045"/>
    <w:rsid w:val="00B10638"/>
    <w:rsid w:val="00B10783"/>
    <w:rsid w:val="00B1183F"/>
    <w:rsid w:val="00B127E3"/>
    <w:rsid w:val="00B13BCB"/>
    <w:rsid w:val="00B14AF6"/>
    <w:rsid w:val="00B14CCB"/>
    <w:rsid w:val="00B14EAE"/>
    <w:rsid w:val="00B155EC"/>
    <w:rsid w:val="00B15AE6"/>
    <w:rsid w:val="00B15CBB"/>
    <w:rsid w:val="00B16CE1"/>
    <w:rsid w:val="00B16F74"/>
    <w:rsid w:val="00B20636"/>
    <w:rsid w:val="00B208A3"/>
    <w:rsid w:val="00B209CB"/>
    <w:rsid w:val="00B224D5"/>
    <w:rsid w:val="00B2289B"/>
    <w:rsid w:val="00B23981"/>
    <w:rsid w:val="00B23FFD"/>
    <w:rsid w:val="00B244AF"/>
    <w:rsid w:val="00B25352"/>
    <w:rsid w:val="00B25418"/>
    <w:rsid w:val="00B25608"/>
    <w:rsid w:val="00B262FF"/>
    <w:rsid w:val="00B26C1E"/>
    <w:rsid w:val="00B275FB"/>
    <w:rsid w:val="00B315F6"/>
    <w:rsid w:val="00B31AF6"/>
    <w:rsid w:val="00B31B94"/>
    <w:rsid w:val="00B32735"/>
    <w:rsid w:val="00B32B58"/>
    <w:rsid w:val="00B32E4A"/>
    <w:rsid w:val="00B34DEB"/>
    <w:rsid w:val="00B35A88"/>
    <w:rsid w:val="00B35C8D"/>
    <w:rsid w:val="00B35CE3"/>
    <w:rsid w:val="00B35F63"/>
    <w:rsid w:val="00B362CA"/>
    <w:rsid w:val="00B368E4"/>
    <w:rsid w:val="00B3737D"/>
    <w:rsid w:val="00B37D38"/>
    <w:rsid w:val="00B40108"/>
    <w:rsid w:val="00B40F9F"/>
    <w:rsid w:val="00B41FE1"/>
    <w:rsid w:val="00B4251C"/>
    <w:rsid w:val="00B42992"/>
    <w:rsid w:val="00B42AC2"/>
    <w:rsid w:val="00B43295"/>
    <w:rsid w:val="00B44B62"/>
    <w:rsid w:val="00B44E16"/>
    <w:rsid w:val="00B45CB4"/>
    <w:rsid w:val="00B46CDA"/>
    <w:rsid w:val="00B473D7"/>
    <w:rsid w:val="00B474C9"/>
    <w:rsid w:val="00B51F58"/>
    <w:rsid w:val="00B52932"/>
    <w:rsid w:val="00B529E9"/>
    <w:rsid w:val="00B52B54"/>
    <w:rsid w:val="00B533E0"/>
    <w:rsid w:val="00B53D79"/>
    <w:rsid w:val="00B5409C"/>
    <w:rsid w:val="00B541BF"/>
    <w:rsid w:val="00B54E13"/>
    <w:rsid w:val="00B55FE1"/>
    <w:rsid w:val="00B56BC4"/>
    <w:rsid w:val="00B56BE7"/>
    <w:rsid w:val="00B56C5C"/>
    <w:rsid w:val="00B56EF3"/>
    <w:rsid w:val="00B604C2"/>
    <w:rsid w:val="00B60D59"/>
    <w:rsid w:val="00B6137A"/>
    <w:rsid w:val="00B61414"/>
    <w:rsid w:val="00B61650"/>
    <w:rsid w:val="00B61A24"/>
    <w:rsid w:val="00B61FB6"/>
    <w:rsid w:val="00B62338"/>
    <w:rsid w:val="00B628E4"/>
    <w:rsid w:val="00B63237"/>
    <w:rsid w:val="00B63429"/>
    <w:rsid w:val="00B6381A"/>
    <w:rsid w:val="00B64069"/>
    <w:rsid w:val="00B646CF"/>
    <w:rsid w:val="00B64765"/>
    <w:rsid w:val="00B650B6"/>
    <w:rsid w:val="00B6611B"/>
    <w:rsid w:val="00B663A2"/>
    <w:rsid w:val="00B6654C"/>
    <w:rsid w:val="00B66C12"/>
    <w:rsid w:val="00B67850"/>
    <w:rsid w:val="00B70415"/>
    <w:rsid w:val="00B70CE8"/>
    <w:rsid w:val="00B71726"/>
    <w:rsid w:val="00B71BE9"/>
    <w:rsid w:val="00B71C12"/>
    <w:rsid w:val="00B73B54"/>
    <w:rsid w:val="00B73CA3"/>
    <w:rsid w:val="00B74112"/>
    <w:rsid w:val="00B74DD4"/>
    <w:rsid w:val="00B74ED5"/>
    <w:rsid w:val="00B7599A"/>
    <w:rsid w:val="00B76166"/>
    <w:rsid w:val="00B76198"/>
    <w:rsid w:val="00B80194"/>
    <w:rsid w:val="00B80552"/>
    <w:rsid w:val="00B805B2"/>
    <w:rsid w:val="00B8189B"/>
    <w:rsid w:val="00B82FE6"/>
    <w:rsid w:val="00B83586"/>
    <w:rsid w:val="00B8372D"/>
    <w:rsid w:val="00B84670"/>
    <w:rsid w:val="00B84F09"/>
    <w:rsid w:val="00B85EAC"/>
    <w:rsid w:val="00B872A3"/>
    <w:rsid w:val="00B8733E"/>
    <w:rsid w:val="00B875C3"/>
    <w:rsid w:val="00B90A07"/>
    <w:rsid w:val="00B91A25"/>
    <w:rsid w:val="00B91BE3"/>
    <w:rsid w:val="00B91CDA"/>
    <w:rsid w:val="00B92383"/>
    <w:rsid w:val="00B94C26"/>
    <w:rsid w:val="00B95384"/>
    <w:rsid w:val="00B95D56"/>
    <w:rsid w:val="00B96845"/>
    <w:rsid w:val="00B96919"/>
    <w:rsid w:val="00B971DA"/>
    <w:rsid w:val="00B97868"/>
    <w:rsid w:val="00B97EBE"/>
    <w:rsid w:val="00BA0094"/>
    <w:rsid w:val="00BA0F6D"/>
    <w:rsid w:val="00BA0FAB"/>
    <w:rsid w:val="00BA13E7"/>
    <w:rsid w:val="00BA167B"/>
    <w:rsid w:val="00BA1A3D"/>
    <w:rsid w:val="00BA1E0E"/>
    <w:rsid w:val="00BA24FB"/>
    <w:rsid w:val="00BA261F"/>
    <w:rsid w:val="00BA2B9F"/>
    <w:rsid w:val="00BA2C60"/>
    <w:rsid w:val="00BA36B7"/>
    <w:rsid w:val="00BA3D97"/>
    <w:rsid w:val="00BA4671"/>
    <w:rsid w:val="00BA6E34"/>
    <w:rsid w:val="00BA6F35"/>
    <w:rsid w:val="00BA6FFC"/>
    <w:rsid w:val="00BA745D"/>
    <w:rsid w:val="00BA7904"/>
    <w:rsid w:val="00BA7AEB"/>
    <w:rsid w:val="00BB14DD"/>
    <w:rsid w:val="00BB1912"/>
    <w:rsid w:val="00BB1FB6"/>
    <w:rsid w:val="00BB3AAC"/>
    <w:rsid w:val="00BB3D12"/>
    <w:rsid w:val="00BB4B30"/>
    <w:rsid w:val="00BB4E0C"/>
    <w:rsid w:val="00BB5376"/>
    <w:rsid w:val="00BB6EE1"/>
    <w:rsid w:val="00BB76AB"/>
    <w:rsid w:val="00BB789E"/>
    <w:rsid w:val="00BB7CF1"/>
    <w:rsid w:val="00BC001A"/>
    <w:rsid w:val="00BC02BE"/>
    <w:rsid w:val="00BC1540"/>
    <w:rsid w:val="00BC16FE"/>
    <w:rsid w:val="00BC1979"/>
    <w:rsid w:val="00BC1BBF"/>
    <w:rsid w:val="00BC3999"/>
    <w:rsid w:val="00BC39D2"/>
    <w:rsid w:val="00BC3D1B"/>
    <w:rsid w:val="00BC46BE"/>
    <w:rsid w:val="00BC5C46"/>
    <w:rsid w:val="00BC6604"/>
    <w:rsid w:val="00BC7417"/>
    <w:rsid w:val="00BD1253"/>
    <w:rsid w:val="00BD1B2B"/>
    <w:rsid w:val="00BD1C1D"/>
    <w:rsid w:val="00BD277C"/>
    <w:rsid w:val="00BD355F"/>
    <w:rsid w:val="00BD38C3"/>
    <w:rsid w:val="00BD398E"/>
    <w:rsid w:val="00BD3DB1"/>
    <w:rsid w:val="00BD41AC"/>
    <w:rsid w:val="00BD42F2"/>
    <w:rsid w:val="00BD57A8"/>
    <w:rsid w:val="00BD62AA"/>
    <w:rsid w:val="00BD7BA8"/>
    <w:rsid w:val="00BE0E17"/>
    <w:rsid w:val="00BE1682"/>
    <w:rsid w:val="00BE1E0E"/>
    <w:rsid w:val="00BE222B"/>
    <w:rsid w:val="00BE2361"/>
    <w:rsid w:val="00BE244D"/>
    <w:rsid w:val="00BE29E1"/>
    <w:rsid w:val="00BE2D0A"/>
    <w:rsid w:val="00BE3C8A"/>
    <w:rsid w:val="00BE3D49"/>
    <w:rsid w:val="00BE3E7D"/>
    <w:rsid w:val="00BE3F86"/>
    <w:rsid w:val="00BE4EEA"/>
    <w:rsid w:val="00BE4F0F"/>
    <w:rsid w:val="00BE554B"/>
    <w:rsid w:val="00BE57DF"/>
    <w:rsid w:val="00BE68CA"/>
    <w:rsid w:val="00BE7A27"/>
    <w:rsid w:val="00BE7B82"/>
    <w:rsid w:val="00BE7BA5"/>
    <w:rsid w:val="00BF0FC6"/>
    <w:rsid w:val="00BF11B4"/>
    <w:rsid w:val="00BF1651"/>
    <w:rsid w:val="00BF18F0"/>
    <w:rsid w:val="00BF2950"/>
    <w:rsid w:val="00BF3FF5"/>
    <w:rsid w:val="00BF471E"/>
    <w:rsid w:val="00BF4796"/>
    <w:rsid w:val="00BF5171"/>
    <w:rsid w:val="00BF66DF"/>
    <w:rsid w:val="00BF6A13"/>
    <w:rsid w:val="00BF6A8F"/>
    <w:rsid w:val="00BF7A8E"/>
    <w:rsid w:val="00C00148"/>
    <w:rsid w:val="00C003E8"/>
    <w:rsid w:val="00C00AF3"/>
    <w:rsid w:val="00C0101F"/>
    <w:rsid w:val="00C014FC"/>
    <w:rsid w:val="00C021E0"/>
    <w:rsid w:val="00C0250A"/>
    <w:rsid w:val="00C02687"/>
    <w:rsid w:val="00C03FC4"/>
    <w:rsid w:val="00C04247"/>
    <w:rsid w:val="00C043AC"/>
    <w:rsid w:val="00C04767"/>
    <w:rsid w:val="00C04A9C"/>
    <w:rsid w:val="00C0626E"/>
    <w:rsid w:val="00C075CB"/>
    <w:rsid w:val="00C104DD"/>
    <w:rsid w:val="00C105B8"/>
    <w:rsid w:val="00C1132B"/>
    <w:rsid w:val="00C11702"/>
    <w:rsid w:val="00C123D0"/>
    <w:rsid w:val="00C124FE"/>
    <w:rsid w:val="00C12977"/>
    <w:rsid w:val="00C12F49"/>
    <w:rsid w:val="00C130BE"/>
    <w:rsid w:val="00C136EE"/>
    <w:rsid w:val="00C13710"/>
    <w:rsid w:val="00C13B4B"/>
    <w:rsid w:val="00C14049"/>
    <w:rsid w:val="00C1448C"/>
    <w:rsid w:val="00C14998"/>
    <w:rsid w:val="00C149D1"/>
    <w:rsid w:val="00C14FC9"/>
    <w:rsid w:val="00C151F5"/>
    <w:rsid w:val="00C154ED"/>
    <w:rsid w:val="00C204CD"/>
    <w:rsid w:val="00C20A32"/>
    <w:rsid w:val="00C20A9C"/>
    <w:rsid w:val="00C21902"/>
    <w:rsid w:val="00C21ACC"/>
    <w:rsid w:val="00C21D88"/>
    <w:rsid w:val="00C2230D"/>
    <w:rsid w:val="00C22B24"/>
    <w:rsid w:val="00C23326"/>
    <w:rsid w:val="00C23939"/>
    <w:rsid w:val="00C23BA1"/>
    <w:rsid w:val="00C242EE"/>
    <w:rsid w:val="00C24874"/>
    <w:rsid w:val="00C25271"/>
    <w:rsid w:val="00C26866"/>
    <w:rsid w:val="00C27706"/>
    <w:rsid w:val="00C3007A"/>
    <w:rsid w:val="00C3036B"/>
    <w:rsid w:val="00C30B96"/>
    <w:rsid w:val="00C310E0"/>
    <w:rsid w:val="00C31537"/>
    <w:rsid w:val="00C31AD1"/>
    <w:rsid w:val="00C31B72"/>
    <w:rsid w:val="00C32FF7"/>
    <w:rsid w:val="00C33077"/>
    <w:rsid w:val="00C34A1E"/>
    <w:rsid w:val="00C34D16"/>
    <w:rsid w:val="00C3522D"/>
    <w:rsid w:val="00C357F6"/>
    <w:rsid w:val="00C3686A"/>
    <w:rsid w:val="00C370C0"/>
    <w:rsid w:val="00C37500"/>
    <w:rsid w:val="00C378EB"/>
    <w:rsid w:val="00C3795F"/>
    <w:rsid w:val="00C41ABD"/>
    <w:rsid w:val="00C4218F"/>
    <w:rsid w:val="00C42501"/>
    <w:rsid w:val="00C42E6C"/>
    <w:rsid w:val="00C42FE8"/>
    <w:rsid w:val="00C43424"/>
    <w:rsid w:val="00C43D5D"/>
    <w:rsid w:val="00C457BE"/>
    <w:rsid w:val="00C45E08"/>
    <w:rsid w:val="00C4617C"/>
    <w:rsid w:val="00C46A2B"/>
    <w:rsid w:val="00C46C9C"/>
    <w:rsid w:val="00C47003"/>
    <w:rsid w:val="00C47115"/>
    <w:rsid w:val="00C471A2"/>
    <w:rsid w:val="00C47FE3"/>
    <w:rsid w:val="00C500A6"/>
    <w:rsid w:val="00C50875"/>
    <w:rsid w:val="00C50A1D"/>
    <w:rsid w:val="00C51A28"/>
    <w:rsid w:val="00C52143"/>
    <w:rsid w:val="00C52CE1"/>
    <w:rsid w:val="00C532DC"/>
    <w:rsid w:val="00C53BC1"/>
    <w:rsid w:val="00C53CA8"/>
    <w:rsid w:val="00C53EFD"/>
    <w:rsid w:val="00C55A7F"/>
    <w:rsid w:val="00C56AFA"/>
    <w:rsid w:val="00C6022C"/>
    <w:rsid w:val="00C60D6E"/>
    <w:rsid w:val="00C61502"/>
    <w:rsid w:val="00C62008"/>
    <w:rsid w:val="00C62957"/>
    <w:rsid w:val="00C63796"/>
    <w:rsid w:val="00C63D78"/>
    <w:rsid w:val="00C642A2"/>
    <w:rsid w:val="00C6432A"/>
    <w:rsid w:val="00C650DA"/>
    <w:rsid w:val="00C653DB"/>
    <w:rsid w:val="00C65B2C"/>
    <w:rsid w:val="00C65D55"/>
    <w:rsid w:val="00C665EE"/>
    <w:rsid w:val="00C66A5F"/>
    <w:rsid w:val="00C66CD4"/>
    <w:rsid w:val="00C67094"/>
    <w:rsid w:val="00C7010A"/>
    <w:rsid w:val="00C709F6"/>
    <w:rsid w:val="00C70C4C"/>
    <w:rsid w:val="00C717FC"/>
    <w:rsid w:val="00C722C9"/>
    <w:rsid w:val="00C726B8"/>
    <w:rsid w:val="00C72C06"/>
    <w:rsid w:val="00C7325C"/>
    <w:rsid w:val="00C732EA"/>
    <w:rsid w:val="00C73375"/>
    <w:rsid w:val="00C734C1"/>
    <w:rsid w:val="00C73CD5"/>
    <w:rsid w:val="00C74171"/>
    <w:rsid w:val="00C749B1"/>
    <w:rsid w:val="00C75952"/>
    <w:rsid w:val="00C75FFE"/>
    <w:rsid w:val="00C7658E"/>
    <w:rsid w:val="00C76DC6"/>
    <w:rsid w:val="00C76E9D"/>
    <w:rsid w:val="00C80340"/>
    <w:rsid w:val="00C80632"/>
    <w:rsid w:val="00C8063D"/>
    <w:rsid w:val="00C80BF5"/>
    <w:rsid w:val="00C8151A"/>
    <w:rsid w:val="00C823E5"/>
    <w:rsid w:val="00C8245D"/>
    <w:rsid w:val="00C8275A"/>
    <w:rsid w:val="00C82775"/>
    <w:rsid w:val="00C836C5"/>
    <w:rsid w:val="00C83B88"/>
    <w:rsid w:val="00C84DD5"/>
    <w:rsid w:val="00C85424"/>
    <w:rsid w:val="00C85570"/>
    <w:rsid w:val="00C85F57"/>
    <w:rsid w:val="00C87285"/>
    <w:rsid w:val="00C87417"/>
    <w:rsid w:val="00C907EE"/>
    <w:rsid w:val="00C90CB7"/>
    <w:rsid w:val="00C91DFC"/>
    <w:rsid w:val="00C922AE"/>
    <w:rsid w:val="00C925D2"/>
    <w:rsid w:val="00C92B80"/>
    <w:rsid w:val="00C93153"/>
    <w:rsid w:val="00C93475"/>
    <w:rsid w:val="00C9366E"/>
    <w:rsid w:val="00C93E42"/>
    <w:rsid w:val="00C94AD6"/>
    <w:rsid w:val="00C95B0C"/>
    <w:rsid w:val="00C96042"/>
    <w:rsid w:val="00C96A95"/>
    <w:rsid w:val="00C96DF7"/>
    <w:rsid w:val="00C974E1"/>
    <w:rsid w:val="00C97706"/>
    <w:rsid w:val="00C97928"/>
    <w:rsid w:val="00C97C7E"/>
    <w:rsid w:val="00CA12A7"/>
    <w:rsid w:val="00CA13A8"/>
    <w:rsid w:val="00CA170B"/>
    <w:rsid w:val="00CA32A2"/>
    <w:rsid w:val="00CA3773"/>
    <w:rsid w:val="00CA408A"/>
    <w:rsid w:val="00CA4C99"/>
    <w:rsid w:val="00CA52ED"/>
    <w:rsid w:val="00CA550C"/>
    <w:rsid w:val="00CA5A9C"/>
    <w:rsid w:val="00CA6AE3"/>
    <w:rsid w:val="00CA7B37"/>
    <w:rsid w:val="00CA7FC9"/>
    <w:rsid w:val="00CB052C"/>
    <w:rsid w:val="00CB0647"/>
    <w:rsid w:val="00CB07CE"/>
    <w:rsid w:val="00CB0A12"/>
    <w:rsid w:val="00CB18C8"/>
    <w:rsid w:val="00CB1EC0"/>
    <w:rsid w:val="00CB1F79"/>
    <w:rsid w:val="00CB272D"/>
    <w:rsid w:val="00CB3DAB"/>
    <w:rsid w:val="00CB5053"/>
    <w:rsid w:val="00CB541B"/>
    <w:rsid w:val="00CB552E"/>
    <w:rsid w:val="00CB5989"/>
    <w:rsid w:val="00CB6907"/>
    <w:rsid w:val="00CB6A4D"/>
    <w:rsid w:val="00CC045B"/>
    <w:rsid w:val="00CC048A"/>
    <w:rsid w:val="00CC057C"/>
    <w:rsid w:val="00CC068F"/>
    <w:rsid w:val="00CC0ADA"/>
    <w:rsid w:val="00CC0B20"/>
    <w:rsid w:val="00CC0DFA"/>
    <w:rsid w:val="00CC1121"/>
    <w:rsid w:val="00CC1AC8"/>
    <w:rsid w:val="00CC2089"/>
    <w:rsid w:val="00CC23E1"/>
    <w:rsid w:val="00CC240A"/>
    <w:rsid w:val="00CC2C40"/>
    <w:rsid w:val="00CC2C77"/>
    <w:rsid w:val="00CC2E35"/>
    <w:rsid w:val="00CC4008"/>
    <w:rsid w:val="00CC46F1"/>
    <w:rsid w:val="00CC4989"/>
    <w:rsid w:val="00CC5357"/>
    <w:rsid w:val="00CC557F"/>
    <w:rsid w:val="00CC55E1"/>
    <w:rsid w:val="00CC6422"/>
    <w:rsid w:val="00CC6793"/>
    <w:rsid w:val="00CC6B10"/>
    <w:rsid w:val="00CC6D3F"/>
    <w:rsid w:val="00CD1536"/>
    <w:rsid w:val="00CD17D3"/>
    <w:rsid w:val="00CD191B"/>
    <w:rsid w:val="00CD233E"/>
    <w:rsid w:val="00CD426E"/>
    <w:rsid w:val="00CD4595"/>
    <w:rsid w:val="00CD4C5E"/>
    <w:rsid w:val="00CD4D03"/>
    <w:rsid w:val="00CD5201"/>
    <w:rsid w:val="00CD5AED"/>
    <w:rsid w:val="00CD6344"/>
    <w:rsid w:val="00CD6664"/>
    <w:rsid w:val="00CE0200"/>
    <w:rsid w:val="00CE028F"/>
    <w:rsid w:val="00CE03C3"/>
    <w:rsid w:val="00CE0C2A"/>
    <w:rsid w:val="00CE1610"/>
    <w:rsid w:val="00CE23F5"/>
    <w:rsid w:val="00CE242E"/>
    <w:rsid w:val="00CE2493"/>
    <w:rsid w:val="00CE2505"/>
    <w:rsid w:val="00CE271D"/>
    <w:rsid w:val="00CE31A5"/>
    <w:rsid w:val="00CE36AA"/>
    <w:rsid w:val="00CE4AD0"/>
    <w:rsid w:val="00CE5232"/>
    <w:rsid w:val="00CE565C"/>
    <w:rsid w:val="00CE5996"/>
    <w:rsid w:val="00CE59A0"/>
    <w:rsid w:val="00CE6614"/>
    <w:rsid w:val="00CE6A49"/>
    <w:rsid w:val="00CE6C20"/>
    <w:rsid w:val="00CE6F59"/>
    <w:rsid w:val="00CE7A36"/>
    <w:rsid w:val="00CF089C"/>
    <w:rsid w:val="00CF14DF"/>
    <w:rsid w:val="00CF186D"/>
    <w:rsid w:val="00CF27D1"/>
    <w:rsid w:val="00CF2B5A"/>
    <w:rsid w:val="00CF360A"/>
    <w:rsid w:val="00CF49F6"/>
    <w:rsid w:val="00CF500E"/>
    <w:rsid w:val="00CF52BE"/>
    <w:rsid w:val="00CF565D"/>
    <w:rsid w:val="00CF679A"/>
    <w:rsid w:val="00CF6B8E"/>
    <w:rsid w:val="00CF6CFD"/>
    <w:rsid w:val="00CF775E"/>
    <w:rsid w:val="00D0009F"/>
    <w:rsid w:val="00D00F67"/>
    <w:rsid w:val="00D014A0"/>
    <w:rsid w:val="00D022DB"/>
    <w:rsid w:val="00D024F0"/>
    <w:rsid w:val="00D027A1"/>
    <w:rsid w:val="00D046BA"/>
    <w:rsid w:val="00D05AE8"/>
    <w:rsid w:val="00D06F66"/>
    <w:rsid w:val="00D07878"/>
    <w:rsid w:val="00D07CD1"/>
    <w:rsid w:val="00D07FE6"/>
    <w:rsid w:val="00D10D1A"/>
    <w:rsid w:val="00D11838"/>
    <w:rsid w:val="00D11ACB"/>
    <w:rsid w:val="00D11BF1"/>
    <w:rsid w:val="00D126AF"/>
    <w:rsid w:val="00D1300D"/>
    <w:rsid w:val="00D13EE3"/>
    <w:rsid w:val="00D14430"/>
    <w:rsid w:val="00D144AD"/>
    <w:rsid w:val="00D14682"/>
    <w:rsid w:val="00D14801"/>
    <w:rsid w:val="00D158B6"/>
    <w:rsid w:val="00D16804"/>
    <w:rsid w:val="00D17075"/>
    <w:rsid w:val="00D20A9A"/>
    <w:rsid w:val="00D2180A"/>
    <w:rsid w:val="00D219D5"/>
    <w:rsid w:val="00D2205C"/>
    <w:rsid w:val="00D225C7"/>
    <w:rsid w:val="00D2282A"/>
    <w:rsid w:val="00D22C1F"/>
    <w:rsid w:val="00D232A7"/>
    <w:rsid w:val="00D23498"/>
    <w:rsid w:val="00D2358D"/>
    <w:rsid w:val="00D235A7"/>
    <w:rsid w:val="00D23BE9"/>
    <w:rsid w:val="00D244A7"/>
    <w:rsid w:val="00D26443"/>
    <w:rsid w:val="00D272AB"/>
    <w:rsid w:val="00D27844"/>
    <w:rsid w:val="00D3000D"/>
    <w:rsid w:val="00D308F5"/>
    <w:rsid w:val="00D3094E"/>
    <w:rsid w:val="00D31299"/>
    <w:rsid w:val="00D316B9"/>
    <w:rsid w:val="00D336AB"/>
    <w:rsid w:val="00D33F54"/>
    <w:rsid w:val="00D3412E"/>
    <w:rsid w:val="00D34162"/>
    <w:rsid w:val="00D346BA"/>
    <w:rsid w:val="00D34CF2"/>
    <w:rsid w:val="00D34EBA"/>
    <w:rsid w:val="00D352C4"/>
    <w:rsid w:val="00D3590F"/>
    <w:rsid w:val="00D35924"/>
    <w:rsid w:val="00D36602"/>
    <w:rsid w:val="00D36A9A"/>
    <w:rsid w:val="00D36CC0"/>
    <w:rsid w:val="00D36DA1"/>
    <w:rsid w:val="00D36F28"/>
    <w:rsid w:val="00D37078"/>
    <w:rsid w:val="00D3761E"/>
    <w:rsid w:val="00D379B7"/>
    <w:rsid w:val="00D40176"/>
    <w:rsid w:val="00D41987"/>
    <w:rsid w:val="00D42F16"/>
    <w:rsid w:val="00D42F47"/>
    <w:rsid w:val="00D42FEB"/>
    <w:rsid w:val="00D4369D"/>
    <w:rsid w:val="00D43E78"/>
    <w:rsid w:val="00D44372"/>
    <w:rsid w:val="00D4468A"/>
    <w:rsid w:val="00D4479F"/>
    <w:rsid w:val="00D44B91"/>
    <w:rsid w:val="00D44CD2"/>
    <w:rsid w:val="00D45C57"/>
    <w:rsid w:val="00D469C4"/>
    <w:rsid w:val="00D46E30"/>
    <w:rsid w:val="00D473C8"/>
    <w:rsid w:val="00D475D8"/>
    <w:rsid w:val="00D478FB"/>
    <w:rsid w:val="00D50B3E"/>
    <w:rsid w:val="00D50B68"/>
    <w:rsid w:val="00D51B9A"/>
    <w:rsid w:val="00D51C03"/>
    <w:rsid w:val="00D523D0"/>
    <w:rsid w:val="00D529FC"/>
    <w:rsid w:val="00D52B84"/>
    <w:rsid w:val="00D5306F"/>
    <w:rsid w:val="00D53A8D"/>
    <w:rsid w:val="00D53BE9"/>
    <w:rsid w:val="00D55086"/>
    <w:rsid w:val="00D55A5A"/>
    <w:rsid w:val="00D55C54"/>
    <w:rsid w:val="00D56427"/>
    <w:rsid w:val="00D56483"/>
    <w:rsid w:val="00D5655E"/>
    <w:rsid w:val="00D5690A"/>
    <w:rsid w:val="00D60AB7"/>
    <w:rsid w:val="00D61036"/>
    <w:rsid w:val="00D61ED0"/>
    <w:rsid w:val="00D627D4"/>
    <w:rsid w:val="00D62A17"/>
    <w:rsid w:val="00D630CB"/>
    <w:rsid w:val="00D63286"/>
    <w:rsid w:val="00D63AA9"/>
    <w:rsid w:val="00D63FEB"/>
    <w:rsid w:val="00D647BC"/>
    <w:rsid w:val="00D6494E"/>
    <w:rsid w:val="00D6599B"/>
    <w:rsid w:val="00D65BA0"/>
    <w:rsid w:val="00D66565"/>
    <w:rsid w:val="00D6712E"/>
    <w:rsid w:val="00D6723B"/>
    <w:rsid w:val="00D678AA"/>
    <w:rsid w:val="00D67F36"/>
    <w:rsid w:val="00D67FB8"/>
    <w:rsid w:val="00D71A34"/>
    <w:rsid w:val="00D73C1F"/>
    <w:rsid w:val="00D73CF7"/>
    <w:rsid w:val="00D74D23"/>
    <w:rsid w:val="00D752D5"/>
    <w:rsid w:val="00D756F8"/>
    <w:rsid w:val="00D75D09"/>
    <w:rsid w:val="00D75ECD"/>
    <w:rsid w:val="00D76120"/>
    <w:rsid w:val="00D76383"/>
    <w:rsid w:val="00D763FE"/>
    <w:rsid w:val="00D77D5C"/>
    <w:rsid w:val="00D8030B"/>
    <w:rsid w:val="00D80FC0"/>
    <w:rsid w:val="00D81726"/>
    <w:rsid w:val="00D830A4"/>
    <w:rsid w:val="00D84434"/>
    <w:rsid w:val="00D8466A"/>
    <w:rsid w:val="00D8684D"/>
    <w:rsid w:val="00D86885"/>
    <w:rsid w:val="00D869AD"/>
    <w:rsid w:val="00D86E40"/>
    <w:rsid w:val="00D8721A"/>
    <w:rsid w:val="00D8721B"/>
    <w:rsid w:val="00D87292"/>
    <w:rsid w:val="00D87AD8"/>
    <w:rsid w:val="00D906F9"/>
    <w:rsid w:val="00D9097B"/>
    <w:rsid w:val="00D90E84"/>
    <w:rsid w:val="00D9170A"/>
    <w:rsid w:val="00D92B25"/>
    <w:rsid w:val="00D9375A"/>
    <w:rsid w:val="00D93C77"/>
    <w:rsid w:val="00D93CBA"/>
    <w:rsid w:val="00D94C43"/>
    <w:rsid w:val="00D9524B"/>
    <w:rsid w:val="00D953DD"/>
    <w:rsid w:val="00D977F2"/>
    <w:rsid w:val="00D978FF"/>
    <w:rsid w:val="00D97CF5"/>
    <w:rsid w:val="00DA0E09"/>
    <w:rsid w:val="00DA0FF6"/>
    <w:rsid w:val="00DA273E"/>
    <w:rsid w:val="00DA2F05"/>
    <w:rsid w:val="00DA53BA"/>
    <w:rsid w:val="00DA5843"/>
    <w:rsid w:val="00DA64A6"/>
    <w:rsid w:val="00DA6C0C"/>
    <w:rsid w:val="00DA6C38"/>
    <w:rsid w:val="00DB059E"/>
    <w:rsid w:val="00DB0670"/>
    <w:rsid w:val="00DB1053"/>
    <w:rsid w:val="00DB17D3"/>
    <w:rsid w:val="00DB1870"/>
    <w:rsid w:val="00DB212F"/>
    <w:rsid w:val="00DB249D"/>
    <w:rsid w:val="00DB263D"/>
    <w:rsid w:val="00DB2E05"/>
    <w:rsid w:val="00DB2EE9"/>
    <w:rsid w:val="00DB2F6F"/>
    <w:rsid w:val="00DB542D"/>
    <w:rsid w:val="00DB67B6"/>
    <w:rsid w:val="00DB771A"/>
    <w:rsid w:val="00DB7A52"/>
    <w:rsid w:val="00DB7ABA"/>
    <w:rsid w:val="00DB7CB5"/>
    <w:rsid w:val="00DC0517"/>
    <w:rsid w:val="00DC0C3E"/>
    <w:rsid w:val="00DC1271"/>
    <w:rsid w:val="00DC170C"/>
    <w:rsid w:val="00DC2E41"/>
    <w:rsid w:val="00DC377F"/>
    <w:rsid w:val="00DC3C46"/>
    <w:rsid w:val="00DC3C9A"/>
    <w:rsid w:val="00DC467F"/>
    <w:rsid w:val="00DC4B10"/>
    <w:rsid w:val="00DC6832"/>
    <w:rsid w:val="00DC76C4"/>
    <w:rsid w:val="00DD04EC"/>
    <w:rsid w:val="00DD0973"/>
    <w:rsid w:val="00DD0D37"/>
    <w:rsid w:val="00DD1084"/>
    <w:rsid w:val="00DD1423"/>
    <w:rsid w:val="00DD1A35"/>
    <w:rsid w:val="00DD1D7A"/>
    <w:rsid w:val="00DD30A0"/>
    <w:rsid w:val="00DD31BF"/>
    <w:rsid w:val="00DD4190"/>
    <w:rsid w:val="00DD45DA"/>
    <w:rsid w:val="00DD46AB"/>
    <w:rsid w:val="00DD6006"/>
    <w:rsid w:val="00DD66CE"/>
    <w:rsid w:val="00DD74A5"/>
    <w:rsid w:val="00DD74D2"/>
    <w:rsid w:val="00DD7615"/>
    <w:rsid w:val="00DD7BC3"/>
    <w:rsid w:val="00DE01F0"/>
    <w:rsid w:val="00DE0408"/>
    <w:rsid w:val="00DE0D48"/>
    <w:rsid w:val="00DE0DEE"/>
    <w:rsid w:val="00DE0F60"/>
    <w:rsid w:val="00DE1679"/>
    <w:rsid w:val="00DE1DC9"/>
    <w:rsid w:val="00DE3EAB"/>
    <w:rsid w:val="00DE4362"/>
    <w:rsid w:val="00DE4F7E"/>
    <w:rsid w:val="00DE4FE2"/>
    <w:rsid w:val="00DE52B1"/>
    <w:rsid w:val="00DE57F6"/>
    <w:rsid w:val="00DE59B7"/>
    <w:rsid w:val="00DE5E01"/>
    <w:rsid w:val="00DE6D65"/>
    <w:rsid w:val="00DE6EE8"/>
    <w:rsid w:val="00DE7346"/>
    <w:rsid w:val="00DE76FF"/>
    <w:rsid w:val="00DE7D0A"/>
    <w:rsid w:val="00DF0967"/>
    <w:rsid w:val="00DF0BF8"/>
    <w:rsid w:val="00DF0E1B"/>
    <w:rsid w:val="00DF142F"/>
    <w:rsid w:val="00DF1B9C"/>
    <w:rsid w:val="00DF2446"/>
    <w:rsid w:val="00DF36E8"/>
    <w:rsid w:val="00DF4161"/>
    <w:rsid w:val="00DF4F65"/>
    <w:rsid w:val="00DF592B"/>
    <w:rsid w:val="00DF5F62"/>
    <w:rsid w:val="00DF61B3"/>
    <w:rsid w:val="00DF6324"/>
    <w:rsid w:val="00DF65EA"/>
    <w:rsid w:val="00E0002A"/>
    <w:rsid w:val="00E000F7"/>
    <w:rsid w:val="00E009BF"/>
    <w:rsid w:val="00E01B66"/>
    <w:rsid w:val="00E02959"/>
    <w:rsid w:val="00E02DB5"/>
    <w:rsid w:val="00E037FB"/>
    <w:rsid w:val="00E04041"/>
    <w:rsid w:val="00E041B4"/>
    <w:rsid w:val="00E0454B"/>
    <w:rsid w:val="00E04908"/>
    <w:rsid w:val="00E04ADD"/>
    <w:rsid w:val="00E055F7"/>
    <w:rsid w:val="00E0712B"/>
    <w:rsid w:val="00E07F93"/>
    <w:rsid w:val="00E10736"/>
    <w:rsid w:val="00E10B78"/>
    <w:rsid w:val="00E11004"/>
    <w:rsid w:val="00E110BC"/>
    <w:rsid w:val="00E11349"/>
    <w:rsid w:val="00E11F9D"/>
    <w:rsid w:val="00E121DA"/>
    <w:rsid w:val="00E126E1"/>
    <w:rsid w:val="00E12978"/>
    <w:rsid w:val="00E12D66"/>
    <w:rsid w:val="00E1648D"/>
    <w:rsid w:val="00E16797"/>
    <w:rsid w:val="00E169FA"/>
    <w:rsid w:val="00E17423"/>
    <w:rsid w:val="00E174BC"/>
    <w:rsid w:val="00E17768"/>
    <w:rsid w:val="00E17E8B"/>
    <w:rsid w:val="00E209F3"/>
    <w:rsid w:val="00E21123"/>
    <w:rsid w:val="00E21A1F"/>
    <w:rsid w:val="00E22245"/>
    <w:rsid w:val="00E22D17"/>
    <w:rsid w:val="00E23718"/>
    <w:rsid w:val="00E2407E"/>
    <w:rsid w:val="00E24129"/>
    <w:rsid w:val="00E241B6"/>
    <w:rsid w:val="00E2452F"/>
    <w:rsid w:val="00E25275"/>
    <w:rsid w:val="00E25400"/>
    <w:rsid w:val="00E25AFF"/>
    <w:rsid w:val="00E25C45"/>
    <w:rsid w:val="00E2600D"/>
    <w:rsid w:val="00E260F0"/>
    <w:rsid w:val="00E26241"/>
    <w:rsid w:val="00E265F5"/>
    <w:rsid w:val="00E2764A"/>
    <w:rsid w:val="00E301FB"/>
    <w:rsid w:val="00E30287"/>
    <w:rsid w:val="00E3088C"/>
    <w:rsid w:val="00E312BC"/>
    <w:rsid w:val="00E31678"/>
    <w:rsid w:val="00E316E7"/>
    <w:rsid w:val="00E3202C"/>
    <w:rsid w:val="00E32426"/>
    <w:rsid w:val="00E32C79"/>
    <w:rsid w:val="00E32C98"/>
    <w:rsid w:val="00E330B3"/>
    <w:rsid w:val="00E332E9"/>
    <w:rsid w:val="00E333DE"/>
    <w:rsid w:val="00E3364A"/>
    <w:rsid w:val="00E33896"/>
    <w:rsid w:val="00E3404B"/>
    <w:rsid w:val="00E34307"/>
    <w:rsid w:val="00E34469"/>
    <w:rsid w:val="00E348FB"/>
    <w:rsid w:val="00E34B43"/>
    <w:rsid w:val="00E34FD5"/>
    <w:rsid w:val="00E35585"/>
    <w:rsid w:val="00E35B85"/>
    <w:rsid w:val="00E36169"/>
    <w:rsid w:val="00E36E81"/>
    <w:rsid w:val="00E371AB"/>
    <w:rsid w:val="00E377CE"/>
    <w:rsid w:val="00E37F39"/>
    <w:rsid w:val="00E4044F"/>
    <w:rsid w:val="00E406C3"/>
    <w:rsid w:val="00E4133D"/>
    <w:rsid w:val="00E41660"/>
    <w:rsid w:val="00E41AB4"/>
    <w:rsid w:val="00E41F27"/>
    <w:rsid w:val="00E4207F"/>
    <w:rsid w:val="00E42270"/>
    <w:rsid w:val="00E425B1"/>
    <w:rsid w:val="00E42FB0"/>
    <w:rsid w:val="00E442B8"/>
    <w:rsid w:val="00E44520"/>
    <w:rsid w:val="00E464AC"/>
    <w:rsid w:val="00E47E78"/>
    <w:rsid w:val="00E504A1"/>
    <w:rsid w:val="00E507AB"/>
    <w:rsid w:val="00E508DE"/>
    <w:rsid w:val="00E50D64"/>
    <w:rsid w:val="00E5353B"/>
    <w:rsid w:val="00E53E17"/>
    <w:rsid w:val="00E53F7F"/>
    <w:rsid w:val="00E548AB"/>
    <w:rsid w:val="00E54950"/>
    <w:rsid w:val="00E56F50"/>
    <w:rsid w:val="00E577AF"/>
    <w:rsid w:val="00E57E83"/>
    <w:rsid w:val="00E62AB2"/>
    <w:rsid w:val="00E65096"/>
    <w:rsid w:val="00E65A79"/>
    <w:rsid w:val="00E6691B"/>
    <w:rsid w:val="00E66E8A"/>
    <w:rsid w:val="00E6751C"/>
    <w:rsid w:val="00E677F4"/>
    <w:rsid w:val="00E709C6"/>
    <w:rsid w:val="00E711BB"/>
    <w:rsid w:val="00E715A3"/>
    <w:rsid w:val="00E71818"/>
    <w:rsid w:val="00E719AE"/>
    <w:rsid w:val="00E719D0"/>
    <w:rsid w:val="00E7467C"/>
    <w:rsid w:val="00E75717"/>
    <w:rsid w:val="00E75800"/>
    <w:rsid w:val="00E77832"/>
    <w:rsid w:val="00E778F2"/>
    <w:rsid w:val="00E77F06"/>
    <w:rsid w:val="00E80BCF"/>
    <w:rsid w:val="00E81679"/>
    <w:rsid w:val="00E819E8"/>
    <w:rsid w:val="00E82426"/>
    <w:rsid w:val="00E82A23"/>
    <w:rsid w:val="00E830D6"/>
    <w:rsid w:val="00E833F8"/>
    <w:rsid w:val="00E834EB"/>
    <w:rsid w:val="00E841AF"/>
    <w:rsid w:val="00E84654"/>
    <w:rsid w:val="00E8468F"/>
    <w:rsid w:val="00E8554B"/>
    <w:rsid w:val="00E856BC"/>
    <w:rsid w:val="00E8726E"/>
    <w:rsid w:val="00E87BC2"/>
    <w:rsid w:val="00E90A53"/>
    <w:rsid w:val="00E90ECF"/>
    <w:rsid w:val="00E91303"/>
    <w:rsid w:val="00E91AEE"/>
    <w:rsid w:val="00E91BF5"/>
    <w:rsid w:val="00E91C78"/>
    <w:rsid w:val="00E93CF3"/>
    <w:rsid w:val="00E93DCE"/>
    <w:rsid w:val="00E9528C"/>
    <w:rsid w:val="00E952BB"/>
    <w:rsid w:val="00E9545C"/>
    <w:rsid w:val="00E96AF3"/>
    <w:rsid w:val="00E97201"/>
    <w:rsid w:val="00E97D20"/>
    <w:rsid w:val="00EA045A"/>
    <w:rsid w:val="00EA0EFE"/>
    <w:rsid w:val="00EA0F80"/>
    <w:rsid w:val="00EA1101"/>
    <w:rsid w:val="00EA13DD"/>
    <w:rsid w:val="00EA2060"/>
    <w:rsid w:val="00EA253A"/>
    <w:rsid w:val="00EA276E"/>
    <w:rsid w:val="00EA367A"/>
    <w:rsid w:val="00EA412C"/>
    <w:rsid w:val="00EA4EF6"/>
    <w:rsid w:val="00EA50BD"/>
    <w:rsid w:val="00EA5F44"/>
    <w:rsid w:val="00EA616D"/>
    <w:rsid w:val="00EA63E1"/>
    <w:rsid w:val="00EA6ABE"/>
    <w:rsid w:val="00EA6C4A"/>
    <w:rsid w:val="00EA6D40"/>
    <w:rsid w:val="00EA737A"/>
    <w:rsid w:val="00EA77CF"/>
    <w:rsid w:val="00EA7B66"/>
    <w:rsid w:val="00EA7FAE"/>
    <w:rsid w:val="00EB02E3"/>
    <w:rsid w:val="00EB1525"/>
    <w:rsid w:val="00EB181B"/>
    <w:rsid w:val="00EB1979"/>
    <w:rsid w:val="00EB26F5"/>
    <w:rsid w:val="00EB39FC"/>
    <w:rsid w:val="00EB4CCC"/>
    <w:rsid w:val="00EB4E16"/>
    <w:rsid w:val="00EB52A6"/>
    <w:rsid w:val="00EB5918"/>
    <w:rsid w:val="00EB5E66"/>
    <w:rsid w:val="00EB7043"/>
    <w:rsid w:val="00EB76E3"/>
    <w:rsid w:val="00EC0744"/>
    <w:rsid w:val="00EC0C62"/>
    <w:rsid w:val="00EC1E24"/>
    <w:rsid w:val="00EC268E"/>
    <w:rsid w:val="00EC2A18"/>
    <w:rsid w:val="00EC3104"/>
    <w:rsid w:val="00EC39B2"/>
    <w:rsid w:val="00EC45EC"/>
    <w:rsid w:val="00EC46CD"/>
    <w:rsid w:val="00EC605D"/>
    <w:rsid w:val="00EC6316"/>
    <w:rsid w:val="00EC64F2"/>
    <w:rsid w:val="00EC6ACC"/>
    <w:rsid w:val="00EC6B60"/>
    <w:rsid w:val="00EC6B86"/>
    <w:rsid w:val="00EC6F1E"/>
    <w:rsid w:val="00EC7348"/>
    <w:rsid w:val="00EC7516"/>
    <w:rsid w:val="00EC7C93"/>
    <w:rsid w:val="00ED0587"/>
    <w:rsid w:val="00ED0B2E"/>
    <w:rsid w:val="00ED0E83"/>
    <w:rsid w:val="00ED1199"/>
    <w:rsid w:val="00ED13A4"/>
    <w:rsid w:val="00ED17B7"/>
    <w:rsid w:val="00ED198F"/>
    <w:rsid w:val="00ED2AAC"/>
    <w:rsid w:val="00ED2F3D"/>
    <w:rsid w:val="00ED3238"/>
    <w:rsid w:val="00ED3D05"/>
    <w:rsid w:val="00ED4445"/>
    <w:rsid w:val="00ED4F1E"/>
    <w:rsid w:val="00ED520F"/>
    <w:rsid w:val="00ED5367"/>
    <w:rsid w:val="00ED5615"/>
    <w:rsid w:val="00ED5CB6"/>
    <w:rsid w:val="00ED6A1D"/>
    <w:rsid w:val="00ED6BDF"/>
    <w:rsid w:val="00ED7504"/>
    <w:rsid w:val="00ED7CDC"/>
    <w:rsid w:val="00ED7D93"/>
    <w:rsid w:val="00EE0C89"/>
    <w:rsid w:val="00EE1104"/>
    <w:rsid w:val="00EE2D22"/>
    <w:rsid w:val="00EE2EA7"/>
    <w:rsid w:val="00EE3167"/>
    <w:rsid w:val="00EE50EA"/>
    <w:rsid w:val="00EE5466"/>
    <w:rsid w:val="00EE5897"/>
    <w:rsid w:val="00EE5CA1"/>
    <w:rsid w:val="00EE5CC5"/>
    <w:rsid w:val="00EE66FE"/>
    <w:rsid w:val="00EE6816"/>
    <w:rsid w:val="00EE6CD6"/>
    <w:rsid w:val="00EE6D28"/>
    <w:rsid w:val="00EF0192"/>
    <w:rsid w:val="00EF02C7"/>
    <w:rsid w:val="00EF02FF"/>
    <w:rsid w:val="00EF0AFB"/>
    <w:rsid w:val="00EF0E3B"/>
    <w:rsid w:val="00EF0EDA"/>
    <w:rsid w:val="00EF1BE2"/>
    <w:rsid w:val="00EF1C01"/>
    <w:rsid w:val="00EF2F5D"/>
    <w:rsid w:val="00EF2FE4"/>
    <w:rsid w:val="00EF32DF"/>
    <w:rsid w:val="00EF44B2"/>
    <w:rsid w:val="00EF474F"/>
    <w:rsid w:val="00EF4DCF"/>
    <w:rsid w:val="00EF503D"/>
    <w:rsid w:val="00EF52D4"/>
    <w:rsid w:val="00EF5E18"/>
    <w:rsid w:val="00EF66AA"/>
    <w:rsid w:val="00EF6D04"/>
    <w:rsid w:val="00EF72DC"/>
    <w:rsid w:val="00EF7369"/>
    <w:rsid w:val="00EF78D0"/>
    <w:rsid w:val="00F007AA"/>
    <w:rsid w:val="00F00E2D"/>
    <w:rsid w:val="00F01048"/>
    <w:rsid w:val="00F017A1"/>
    <w:rsid w:val="00F0215A"/>
    <w:rsid w:val="00F024AE"/>
    <w:rsid w:val="00F04B41"/>
    <w:rsid w:val="00F05630"/>
    <w:rsid w:val="00F06029"/>
    <w:rsid w:val="00F06648"/>
    <w:rsid w:val="00F066A2"/>
    <w:rsid w:val="00F066FD"/>
    <w:rsid w:val="00F07A43"/>
    <w:rsid w:val="00F07A4C"/>
    <w:rsid w:val="00F07A5B"/>
    <w:rsid w:val="00F07D12"/>
    <w:rsid w:val="00F10560"/>
    <w:rsid w:val="00F10DA5"/>
    <w:rsid w:val="00F11410"/>
    <w:rsid w:val="00F116F6"/>
    <w:rsid w:val="00F11C66"/>
    <w:rsid w:val="00F1207E"/>
    <w:rsid w:val="00F124EB"/>
    <w:rsid w:val="00F125EE"/>
    <w:rsid w:val="00F125FA"/>
    <w:rsid w:val="00F13593"/>
    <w:rsid w:val="00F14246"/>
    <w:rsid w:val="00F1428D"/>
    <w:rsid w:val="00F14D2E"/>
    <w:rsid w:val="00F14D51"/>
    <w:rsid w:val="00F14E1D"/>
    <w:rsid w:val="00F14FCA"/>
    <w:rsid w:val="00F15DF5"/>
    <w:rsid w:val="00F16772"/>
    <w:rsid w:val="00F16FD6"/>
    <w:rsid w:val="00F17AA4"/>
    <w:rsid w:val="00F17F7C"/>
    <w:rsid w:val="00F206ED"/>
    <w:rsid w:val="00F20FAD"/>
    <w:rsid w:val="00F21748"/>
    <w:rsid w:val="00F21751"/>
    <w:rsid w:val="00F2190F"/>
    <w:rsid w:val="00F21CF9"/>
    <w:rsid w:val="00F22432"/>
    <w:rsid w:val="00F22967"/>
    <w:rsid w:val="00F22F3D"/>
    <w:rsid w:val="00F231EE"/>
    <w:rsid w:val="00F23259"/>
    <w:rsid w:val="00F23338"/>
    <w:rsid w:val="00F23AD2"/>
    <w:rsid w:val="00F24913"/>
    <w:rsid w:val="00F252BD"/>
    <w:rsid w:val="00F25BE8"/>
    <w:rsid w:val="00F26188"/>
    <w:rsid w:val="00F266C5"/>
    <w:rsid w:val="00F26808"/>
    <w:rsid w:val="00F27A3B"/>
    <w:rsid w:val="00F301C1"/>
    <w:rsid w:val="00F31D5E"/>
    <w:rsid w:val="00F32BDA"/>
    <w:rsid w:val="00F32EA4"/>
    <w:rsid w:val="00F32F40"/>
    <w:rsid w:val="00F330CF"/>
    <w:rsid w:val="00F3317A"/>
    <w:rsid w:val="00F3377D"/>
    <w:rsid w:val="00F33D5B"/>
    <w:rsid w:val="00F33EF2"/>
    <w:rsid w:val="00F33F1E"/>
    <w:rsid w:val="00F34EA5"/>
    <w:rsid w:val="00F352A3"/>
    <w:rsid w:val="00F35E21"/>
    <w:rsid w:val="00F35FC1"/>
    <w:rsid w:val="00F365BA"/>
    <w:rsid w:val="00F3706E"/>
    <w:rsid w:val="00F37199"/>
    <w:rsid w:val="00F372CC"/>
    <w:rsid w:val="00F373FB"/>
    <w:rsid w:val="00F37A0C"/>
    <w:rsid w:val="00F37D81"/>
    <w:rsid w:val="00F40146"/>
    <w:rsid w:val="00F40799"/>
    <w:rsid w:val="00F4118E"/>
    <w:rsid w:val="00F42009"/>
    <w:rsid w:val="00F42058"/>
    <w:rsid w:val="00F42DE2"/>
    <w:rsid w:val="00F432B9"/>
    <w:rsid w:val="00F439CD"/>
    <w:rsid w:val="00F43D69"/>
    <w:rsid w:val="00F43E6F"/>
    <w:rsid w:val="00F44256"/>
    <w:rsid w:val="00F445C1"/>
    <w:rsid w:val="00F454A9"/>
    <w:rsid w:val="00F45764"/>
    <w:rsid w:val="00F4620A"/>
    <w:rsid w:val="00F467AA"/>
    <w:rsid w:val="00F4699F"/>
    <w:rsid w:val="00F47528"/>
    <w:rsid w:val="00F4764D"/>
    <w:rsid w:val="00F47B11"/>
    <w:rsid w:val="00F47DC5"/>
    <w:rsid w:val="00F5026E"/>
    <w:rsid w:val="00F50A17"/>
    <w:rsid w:val="00F518FA"/>
    <w:rsid w:val="00F5257C"/>
    <w:rsid w:val="00F52755"/>
    <w:rsid w:val="00F52963"/>
    <w:rsid w:val="00F534D2"/>
    <w:rsid w:val="00F535A2"/>
    <w:rsid w:val="00F53CCC"/>
    <w:rsid w:val="00F5493C"/>
    <w:rsid w:val="00F54BB9"/>
    <w:rsid w:val="00F55902"/>
    <w:rsid w:val="00F56FCE"/>
    <w:rsid w:val="00F570BE"/>
    <w:rsid w:val="00F57202"/>
    <w:rsid w:val="00F57B41"/>
    <w:rsid w:val="00F57DD8"/>
    <w:rsid w:val="00F57EFA"/>
    <w:rsid w:val="00F606A3"/>
    <w:rsid w:val="00F60EA1"/>
    <w:rsid w:val="00F61377"/>
    <w:rsid w:val="00F6177C"/>
    <w:rsid w:val="00F6294C"/>
    <w:rsid w:val="00F63528"/>
    <w:rsid w:val="00F64AA6"/>
    <w:rsid w:val="00F6590E"/>
    <w:rsid w:val="00F65DBE"/>
    <w:rsid w:val="00F65EE1"/>
    <w:rsid w:val="00F66666"/>
    <w:rsid w:val="00F66F3A"/>
    <w:rsid w:val="00F6709D"/>
    <w:rsid w:val="00F673C4"/>
    <w:rsid w:val="00F67A4A"/>
    <w:rsid w:val="00F67CDB"/>
    <w:rsid w:val="00F67DC7"/>
    <w:rsid w:val="00F70639"/>
    <w:rsid w:val="00F70712"/>
    <w:rsid w:val="00F709C2"/>
    <w:rsid w:val="00F70F1C"/>
    <w:rsid w:val="00F71693"/>
    <w:rsid w:val="00F717AC"/>
    <w:rsid w:val="00F7190B"/>
    <w:rsid w:val="00F7213A"/>
    <w:rsid w:val="00F722A1"/>
    <w:rsid w:val="00F722F9"/>
    <w:rsid w:val="00F72B8A"/>
    <w:rsid w:val="00F73D14"/>
    <w:rsid w:val="00F7401D"/>
    <w:rsid w:val="00F743D7"/>
    <w:rsid w:val="00F744BD"/>
    <w:rsid w:val="00F74A7E"/>
    <w:rsid w:val="00F74C27"/>
    <w:rsid w:val="00F753C0"/>
    <w:rsid w:val="00F75F3E"/>
    <w:rsid w:val="00F767E6"/>
    <w:rsid w:val="00F7733C"/>
    <w:rsid w:val="00F77828"/>
    <w:rsid w:val="00F77AFF"/>
    <w:rsid w:val="00F80AC3"/>
    <w:rsid w:val="00F80F07"/>
    <w:rsid w:val="00F81B29"/>
    <w:rsid w:val="00F81F8C"/>
    <w:rsid w:val="00F82557"/>
    <w:rsid w:val="00F836EC"/>
    <w:rsid w:val="00F838DE"/>
    <w:rsid w:val="00F83C38"/>
    <w:rsid w:val="00F84594"/>
    <w:rsid w:val="00F858BE"/>
    <w:rsid w:val="00F859F3"/>
    <w:rsid w:val="00F85A52"/>
    <w:rsid w:val="00F85AAD"/>
    <w:rsid w:val="00F864E8"/>
    <w:rsid w:val="00F8684B"/>
    <w:rsid w:val="00F87B07"/>
    <w:rsid w:val="00F87BD7"/>
    <w:rsid w:val="00F90188"/>
    <w:rsid w:val="00F903B1"/>
    <w:rsid w:val="00F915D5"/>
    <w:rsid w:val="00F91D37"/>
    <w:rsid w:val="00F92D7B"/>
    <w:rsid w:val="00F93341"/>
    <w:rsid w:val="00F935A9"/>
    <w:rsid w:val="00F93799"/>
    <w:rsid w:val="00F95305"/>
    <w:rsid w:val="00F956DF"/>
    <w:rsid w:val="00F962D9"/>
    <w:rsid w:val="00F963A5"/>
    <w:rsid w:val="00F97751"/>
    <w:rsid w:val="00F97BD3"/>
    <w:rsid w:val="00F97BD7"/>
    <w:rsid w:val="00F97FF8"/>
    <w:rsid w:val="00FA02CC"/>
    <w:rsid w:val="00FA0800"/>
    <w:rsid w:val="00FA21F9"/>
    <w:rsid w:val="00FA2B04"/>
    <w:rsid w:val="00FA2E55"/>
    <w:rsid w:val="00FA2FF0"/>
    <w:rsid w:val="00FA384F"/>
    <w:rsid w:val="00FA4B6A"/>
    <w:rsid w:val="00FA5A38"/>
    <w:rsid w:val="00FA5C3D"/>
    <w:rsid w:val="00FA65A0"/>
    <w:rsid w:val="00FA71CA"/>
    <w:rsid w:val="00FA73EA"/>
    <w:rsid w:val="00FA7639"/>
    <w:rsid w:val="00FA79FB"/>
    <w:rsid w:val="00FB01AD"/>
    <w:rsid w:val="00FB085D"/>
    <w:rsid w:val="00FB1068"/>
    <w:rsid w:val="00FB18E9"/>
    <w:rsid w:val="00FB2E7E"/>
    <w:rsid w:val="00FB36C9"/>
    <w:rsid w:val="00FB3E4B"/>
    <w:rsid w:val="00FB43C4"/>
    <w:rsid w:val="00FB4BFF"/>
    <w:rsid w:val="00FB5106"/>
    <w:rsid w:val="00FB5944"/>
    <w:rsid w:val="00FB5A9B"/>
    <w:rsid w:val="00FB5F92"/>
    <w:rsid w:val="00FB666F"/>
    <w:rsid w:val="00FB69E6"/>
    <w:rsid w:val="00FB715C"/>
    <w:rsid w:val="00FB73CA"/>
    <w:rsid w:val="00FC0717"/>
    <w:rsid w:val="00FC0AAF"/>
    <w:rsid w:val="00FC16D4"/>
    <w:rsid w:val="00FC17CC"/>
    <w:rsid w:val="00FC1A81"/>
    <w:rsid w:val="00FC25F2"/>
    <w:rsid w:val="00FC32B2"/>
    <w:rsid w:val="00FC34AF"/>
    <w:rsid w:val="00FC3FC0"/>
    <w:rsid w:val="00FC44C8"/>
    <w:rsid w:val="00FC493D"/>
    <w:rsid w:val="00FC6C0B"/>
    <w:rsid w:val="00FC6D28"/>
    <w:rsid w:val="00FC711D"/>
    <w:rsid w:val="00FC71C0"/>
    <w:rsid w:val="00FC7E6C"/>
    <w:rsid w:val="00FD0234"/>
    <w:rsid w:val="00FD02A0"/>
    <w:rsid w:val="00FD14A0"/>
    <w:rsid w:val="00FD19CF"/>
    <w:rsid w:val="00FD286C"/>
    <w:rsid w:val="00FD3013"/>
    <w:rsid w:val="00FD4B1C"/>
    <w:rsid w:val="00FD4F5C"/>
    <w:rsid w:val="00FD58FD"/>
    <w:rsid w:val="00FD67C6"/>
    <w:rsid w:val="00FD67E3"/>
    <w:rsid w:val="00FD7388"/>
    <w:rsid w:val="00FD7A8A"/>
    <w:rsid w:val="00FE1D32"/>
    <w:rsid w:val="00FE2A91"/>
    <w:rsid w:val="00FE2A95"/>
    <w:rsid w:val="00FE2F83"/>
    <w:rsid w:val="00FE33C3"/>
    <w:rsid w:val="00FE3704"/>
    <w:rsid w:val="00FE4671"/>
    <w:rsid w:val="00FE4F00"/>
    <w:rsid w:val="00FE4FC0"/>
    <w:rsid w:val="00FE5288"/>
    <w:rsid w:val="00FE53ED"/>
    <w:rsid w:val="00FE5A03"/>
    <w:rsid w:val="00FE5AE2"/>
    <w:rsid w:val="00FE608D"/>
    <w:rsid w:val="00FE6215"/>
    <w:rsid w:val="00FE65E1"/>
    <w:rsid w:val="00FE743E"/>
    <w:rsid w:val="00FE7F29"/>
    <w:rsid w:val="00FF045F"/>
    <w:rsid w:val="00FF0702"/>
    <w:rsid w:val="00FF0857"/>
    <w:rsid w:val="00FF1E67"/>
    <w:rsid w:val="00FF3104"/>
    <w:rsid w:val="00FF31B1"/>
    <w:rsid w:val="00FF3448"/>
    <w:rsid w:val="00FF3825"/>
    <w:rsid w:val="00FF4180"/>
    <w:rsid w:val="00FF43C7"/>
    <w:rsid w:val="00FF49A9"/>
    <w:rsid w:val="00FF5A2F"/>
    <w:rsid w:val="00FF655F"/>
    <w:rsid w:val="00FF677E"/>
    <w:rsid w:val="00FF7B17"/>
    <w:rsid w:val="00FF7F7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7F6E0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2"/>
        <w:szCs w:val="22"/>
        <w:lang w:val="en-AU" w:eastAsia="en-US" w:bidi="ar-SA"/>
      </w:rPr>
    </w:rPrDefault>
    <w:pPrDefault>
      <w:pPr>
        <w:spacing w:before="160"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8"/>
    <w:lsdException w:name="Emphasis" w:uiPriority="28"/>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8"/>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3DE"/>
    <w:pPr>
      <w:suppressAutoHyphens/>
    </w:pPr>
  </w:style>
  <w:style w:type="paragraph" w:styleId="Heading1">
    <w:name w:val="heading 1"/>
    <w:basedOn w:val="Normal"/>
    <w:next w:val="Normal"/>
    <w:link w:val="Heading1Char"/>
    <w:uiPriority w:val="9"/>
    <w:qFormat/>
    <w:rsid w:val="00DE4362"/>
    <w:pPr>
      <w:keepNext/>
      <w:keepLines/>
      <w:spacing w:before="480" w:after="160"/>
      <w:contextualSpacing/>
      <w:outlineLvl w:val="0"/>
    </w:pPr>
    <w:rPr>
      <w:rFonts w:asciiTheme="majorHAnsi" w:eastAsiaTheme="majorEastAsia" w:hAnsiTheme="majorHAnsi" w:cstheme="majorBidi"/>
      <w:color w:val="081E3E" w:themeColor="text2"/>
      <w:sz w:val="44"/>
      <w:szCs w:val="32"/>
    </w:rPr>
  </w:style>
  <w:style w:type="paragraph" w:styleId="Heading2">
    <w:name w:val="heading 2"/>
    <w:basedOn w:val="Normal"/>
    <w:next w:val="Normal"/>
    <w:link w:val="Heading2Char"/>
    <w:uiPriority w:val="9"/>
    <w:unhideWhenUsed/>
    <w:qFormat/>
    <w:rsid w:val="005F794B"/>
    <w:pPr>
      <w:keepNext/>
      <w:keepLines/>
      <w:spacing w:before="320" w:after="160"/>
      <w:outlineLvl w:val="1"/>
    </w:pPr>
    <w:rPr>
      <w:rFonts w:asciiTheme="majorHAnsi" w:eastAsiaTheme="majorEastAsia" w:hAnsiTheme="majorHAnsi" w:cstheme="majorBidi"/>
      <w:color w:val="081E3E" w:themeColor="text2"/>
      <w:sz w:val="36"/>
      <w:szCs w:val="26"/>
    </w:rPr>
  </w:style>
  <w:style w:type="paragraph" w:styleId="Heading3">
    <w:name w:val="heading 3"/>
    <w:basedOn w:val="Normal"/>
    <w:next w:val="Normal"/>
    <w:link w:val="Heading3Char"/>
    <w:uiPriority w:val="9"/>
    <w:unhideWhenUsed/>
    <w:qFormat/>
    <w:rsid w:val="004063DE"/>
    <w:pPr>
      <w:keepNext/>
      <w:keepLines/>
      <w:spacing w:before="240" w:after="160"/>
      <w:outlineLvl w:val="2"/>
    </w:pPr>
    <w:rPr>
      <w:rFonts w:asciiTheme="majorHAnsi" w:eastAsiaTheme="majorEastAsia" w:hAnsiTheme="majorHAnsi" w:cstheme="majorBidi"/>
      <w:b/>
      <w:color w:val="6D7989" w:themeColor="accent4" w:themeShade="BF"/>
      <w:sz w:val="32"/>
      <w:szCs w:val="24"/>
    </w:rPr>
  </w:style>
  <w:style w:type="paragraph" w:styleId="Heading4">
    <w:name w:val="heading 4"/>
    <w:basedOn w:val="Normal"/>
    <w:next w:val="Normal"/>
    <w:link w:val="Heading4Char"/>
    <w:uiPriority w:val="9"/>
    <w:unhideWhenUsed/>
    <w:rsid w:val="004063DE"/>
    <w:pPr>
      <w:keepNext/>
      <w:keepLines/>
      <w:spacing w:before="240" w:after="160"/>
      <w:outlineLvl w:val="3"/>
    </w:pPr>
    <w:rPr>
      <w:rFonts w:asciiTheme="majorHAnsi" w:eastAsiaTheme="majorEastAsia" w:hAnsiTheme="majorHAnsi" w:cstheme="majorBidi"/>
      <w:b/>
      <w:iCs/>
      <w:color w:val="49515C" w:themeColor="accent4" w:themeShade="80"/>
      <w:sz w:val="26"/>
    </w:rPr>
  </w:style>
  <w:style w:type="paragraph" w:styleId="Heading5">
    <w:name w:val="heading 5"/>
    <w:basedOn w:val="Normal"/>
    <w:next w:val="Normal"/>
    <w:link w:val="Heading5Char"/>
    <w:uiPriority w:val="9"/>
    <w:unhideWhenUsed/>
    <w:rsid w:val="005F794B"/>
    <w:pPr>
      <w:keepNext/>
      <w:keepLines/>
      <w:spacing w:before="240" w:after="160"/>
      <w:outlineLvl w:val="4"/>
    </w:pPr>
    <w:rPr>
      <w:rFonts w:asciiTheme="majorHAnsi" w:eastAsiaTheme="majorEastAsia" w:hAnsiTheme="majorHAnsi" w:cstheme="majorBidi"/>
      <w:b/>
      <w:color w:val="081E3E" w:themeColor="text2"/>
    </w:rPr>
  </w:style>
  <w:style w:type="paragraph" w:styleId="Heading6">
    <w:name w:val="heading 6"/>
    <w:basedOn w:val="Normal"/>
    <w:next w:val="Normal"/>
    <w:link w:val="Heading6Char"/>
    <w:uiPriority w:val="9"/>
    <w:semiHidden/>
    <w:unhideWhenUsed/>
    <w:rsid w:val="005F794B"/>
    <w:pPr>
      <w:keepNext/>
      <w:keepLines/>
      <w:spacing w:before="240" w:after="160"/>
      <w:outlineLvl w:val="5"/>
    </w:pPr>
    <w:rPr>
      <w:rFonts w:asciiTheme="majorHAnsi" w:eastAsiaTheme="majorEastAsia" w:hAnsiTheme="majorHAnsi" w:cstheme="majorBidi"/>
      <w:i/>
      <w:color w:val="081E3E"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4FE2"/>
    <w:rPr>
      <w:color w:val="808080"/>
    </w:rPr>
  </w:style>
  <w:style w:type="paragraph" w:styleId="Title">
    <w:name w:val="Title"/>
    <w:basedOn w:val="Normal"/>
    <w:next w:val="Normal"/>
    <w:link w:val="TitleChar"/>
    <w:uiPriority w:val="17"/>
    <w:qFormat/>
    <w:rsid w:val="003261CF"/>
    <w:pPr>
      <w:spacing w:before="1680" w:after="480"/>
    </w:pPr>
    <w:rPr>
      <w:rFonts w:asciiTheme="majorHAnsi" w:eastAsiaTheme="majorEastAsia" w:hAnsiTheme="majorHAnsi" w:cstheme="majorBidi"/>
      <w:b/>
      <w:sz w:val="60"/>
      <w:szCs w:val="56"/>
    </w:rPr>
  </w:style>
  <w:style w:type="character" w:customStyle="1" w:styleId="TitleChar">
    <w:name w:val="Title Char"/>
    <w:basedOn w:val="DefaultParagraphFont"/>
    <w:link w:val="Title"/>
    <w:uiPriority w:val="17"/>
    <w:rsid w:val="003261CF"/>
    <w:rPr>
      <w:rFonts w:asciiTheme="majorHAnsi" w:eastAsiaTheme="majorEastAsia" w:hAnsiTheme="majorHAnsi" w:cstheme="majorBidi"/>
      <w:b/>
      <w:kern w:val="12"/>
      <w:sz w:val="60"/>
      <w:szCs w:val="56"/>
    </w:rPr>
  </w:style>
  <w:style w:type="paragraph" w:styleId="Subtitle">
    <w:name w:val="Subtitle"/>
    <w:basedOn w:val="Normal"/>
    <w:next w:val="Normal"/>
    <w:link w:val="SubtitleChar"/>
    <w:uiPriority w:val="18"/>
    <w:qFormat/>
    <w:rsid w:val="003261CF"/>
    <w:pPr>
      <w:numPr>
        <w:ilvl w:val="1"/>
      </w:numPr>
      <w:spacing w:before="480" w:after="160"/>
    </w:pPr>
    <w:rPr>
      <w:rFonts w:asciiTheme="majorHAnsi" w:eastAsiaTheme="minorEastAsia" w:hAnsiTheme="majorHAnsi"/>
      <w:color w:val="377B88"/>
      <w:sz w:val="44"/>
    </w:rPr>
  </w:style>
  <w:style w:type="character" w:customStyle="1" w:styleId="SubtitleChar">
    <w:name w:val="Subtitle Char"/>
    <w:basedOn w:val="DefaultParagraphFont"/>
    <w:link w:val="Subtitle"/>
    <w:uiPriority w:val="18"/>
    <w:rsid w:val="003261CF"/>
    <w:rPr>
      <w:rFonts w:asciiTheme="majorHAnsi" w:eastAsiaTheme="minorEastAsia" w:hAnsiTheme="majorHAnsi"/>
      <w:color w:val="377B88"/>
      <w:kern w:val="12"/>
      <w:sz w:val="44"/>
      <w:szCs w:val="22"/>
    </w:rPr>
  </w:style>
  <w:style w:type="paragraph" w:customStyle="1" w:styleId="CoverDate">
    <w:name w:val="Cover Date"/>
    <w:basedOn w:val="Normal"/>
    <w:uiPriority w:val="19"/>
    <w:qFormat/>
    <w:rsid w:val="003261CF"/>
    <w:rPr>
      <w:b/>
    </w:rPr>
  </w:style>
  <w:style w:type="paragraph" w:styleId="Header">
    <w:name w:val="header"/>
    <w:basedOn w:val="Normal"/>
    <w:link w:val="HeaderChar"/>
    <w:uiPriority w:val="99"/>
    <w:unhideWhenUsed/>
    <w:rsid w:val="005912BE"/>
    <w:pPr>
      <w:tabs>
        <w:tab w:val="center" w:pos="4513"/>
        <w:tab w:val="right" w:pos="9026"/>
      </w:tabs>
      <w:spacing w:before="0" w:after="0"/>
      <w:jc w:val="right"/>
    </w:pPr>
    <w:rPr>
      <w:sz w:val="16"/>
    </w:rPr>
  </w:style>
  <w:style w:type="character" w:customStyle="1" w:styleId="HeaderChar">
    <w:name w:val="Header Char"/>
    <w:basedOn w:val="DefaultParagraphFont"/>
    <w:link w:val="Header"/>
    <w:uiPriority w:val="99"/>
    <w:rsid w:val="005912BE"/>
    <w:rPr>
      <w:kern w:val="12"/>
      <w:sz w:val="16"/>
    </w:rPr>
  </w:style>
  <w:style w:type="paragraph" w:styleId="Footer">
    <w:name w:val="footer"/>
    <w:basedOn w:val="Normal"/>
    <w:link w:val="FooterChar"/>
    <w:uiPriority w:val="99"/>
    <w:unhideWhenUsed/>
    <w:rsid w:val="007A05BE"/>
    <w:pPr>
      <w:tabs>
        <w:tab w:val="center" w:pos="4513"/>
        <w:tab w:val="right" w:pos="9026"/>
      </w:tabs>
      <w:spacing w:before="0" w:after="0"/>
    </w:pPr>
    <w:rPr>
      <w:sz w:val="16"/>
    </w:rPr>
  </w:style>
  <w:style w:type="character" w:customStyle="1" w:styleId="FooterChar">
    <w:name w:val="Footer Char"/>
    <w:basedOn w:val="DefaultParagraphFont"/>
    <w:link w:val="Footer"/>
    <w:uiPriority w:val="99"/>
    <w:rsid w:val="007A05BE"/>
    <w:rPr>
      <w:kern w:val="12"/>
      <w:sz w:val="16"/>
    </w:rPr>
  </w:style>
  <w:style w:type="character" w:styleId="PageNumber">
    <w:name w:val="page number"/>
    <w:basedOn w:val="DefaultParagraphFont"/>
    <w:uiPriority w:val="99"/>
    <w:semiHidden/>
    <w:rsid w:val="007A05BE"/>
    <w:rPr>
      <w:b/>
      <w:sz w:val="20"/>
    </w:rPr>
  </w:style>
  <w:style w:type="paragraph" w:customStyle="1" w:styleId="CoverPhoto">
    <w:name w:val="Cover Photo"/>
    <w:basedOn w:val="Normal"/>
    <w:uiPriority w:val="19"/>
    <w:qFormat/>
    <w:rsid w:val="0022611D"/>
    <w:pPr>
      <w:spacing w:before="1240" w:after="160"/>
    </w:pPr>
  </w:style>
  <w:style w:type="paragraph" w:styleId="NoSpacing">
    <w:name w:val="No Spacing"/>
    <w:uiPriority w:val="1"/>
    <w:qFormat/>
    <w:rsid w:val="000E5674"/>
    <w:pPr>
      <w:suppressAutoHyphens/>
      <w:contextualSpacing/>
    </w:pPr>
    <w:rPr>
      <w:kern w:val="12"/>
    </w:rPr>
  </w:style>
  <w:style w:type="paragraph" w:customStyle="1" w:styleId="ImprintHeading">
    <w:name w:val="Imprint Heading"/>
    <w:basedOn w:val="Normal"/>
    <w:uiPriority w:val="12"/>
    <w:rsid w:val="000E5674"/>
    <w:pPr>
      <w:spacing w:before="240" w:after="160"/>
      <w:outlineLvl w:val="1"/>
    </w:pPr>
    <w:rPr>
      <w:b/>
      <w:lang w:val="x-none"/>
    </w:rPr>
  </w:style>
  <w:style w:type="character" w:styleId="Hyperlink">
    <w:name w:val="Hyperlink"/>
    <w:aliases w:val="Hyperlink Cab"/>
    <w:basedOn w:val="DefaultParagraphFont"/>
    <w:uiPriority w:val="99"/>
    <w:unhideWhenUsed/>
    <w:rsid w:val="000E5674"/>
    <w:rPr>
      <w:color w:val="0046FF" w:themeColor="hyperlink"/>
      <w:u w:val="single"/>
    </w:rPr>
  </w:style>
  <w:style w:type="table" w:styleId="TableGrid">
    <w:name w:val="Table Grid"/>
    <w:basedOn w:val="TableNormal"/>
    <w:uiPriority w:val="39"/>
    <w:rsid w:val="005F794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ACMA Footnote Text,ACMA Footnote Text Char1,Footnote Text Char Char,Footnote Text Char Char Char Char,Footnote Text Char1,Footnote Text Char1 Char Char,Footnote Text Char1 Char Char Char Char,Footnote text,footnote text,f"/>
    <w:basedOn w:val="Normal"/>
    <w:link w:val="FootnoteTextChar"/>
    <w:uiPriority w:val="99"/>
    <w:qFormat/>
    <w:rsid w:val="005912BE"/>
    <w:pPr>
      <w:spacing w:before="0" w:after="0"/>
      <w:ind w:left="284" w:hanging="284"/>
    </w:pPr>
    <w:rPr>
      <w:sz w:val="18"/>
    </w:rPr>
  </w:style>
  <w:style w:type="character" w:customStyle="1" w:styleId="FootnoteTextChar">
    <w:name w:val="Footnote Text Char"/>
    <w:aliases w:val="ACMA Footnote Text Char,ACMA Footnote Text Char1 Char,Footnote Text Char Char Char,Footnote Text Char Char Char Char Char,Footnote Text Char1 Char,Footnote Text Char1 Char Char Char,Footnote Text Char1 Char Char Char Char Char,f Char"/>
    <w:basedOn w:val="DefaultParagraphFont"/>
    <w:link w:val="FootnoteText"/>
    <w:uiPriority w:val="99"/>
    <w:qFormat/>
    <w:rsid w:val="005912BE"/>
    <w:rPr>
      <w:kern w:val="12"/>
      <w:sz w:val="18"/>
    </w:rPr>
  </w:style>
  <w:style w:type="character" w:styleId="FootnoteReference">
    <w:name w:val="footnote reference"/>
    <w:aliases w:val="(NECG) Footnote Reference,Appel note de bas de p,Appel note de bas de p + 11 pt,Appel note de bas de p1,Appel note de bas de p2,Appel note de bas de p3,Footnote,Footnote Reference/,Footnote symbol,Italic,Style 12,Style 124,fr,o"/>
    <w:basedOn w:val="DefaultParagraphFont"/>
    <w:uiPriority w:val="99"/>
    <w:unhideWhenUsed/>
    <w:qFormat/>
    <w:rsid w:val="005F794B"/>
    <w:rPr>
      <w:vertAlign w:val="superscript"/>
    </w:rPr>
  </w:style>
  <w:style w:type="character" w:customStyle="1" w:styleId="Heading1Char">
    <w:name w:val="Heading 1 Char"/>
    <w:basedOn w:val="DefaultParagraphFont"/>
    <w:link w:val="Heading1"/>
    <w:uiPriority w:val="9"/>
    <w:rsid w:val="00DE4362"/>
    <w:rPr>
      <w:rFonts w:asciiTheme="majorHAnsi" w:eastAsiaTheme="majorEastAsia" w:hAnsiTheme="majorHAnsi" w:cstheme="majorBidi"/>
      <w:color w:val="081E3E" w:themeColor="text2"/>
      <w:kern w:val="12"/>
      <w:sz w:val="44"/>
      <w:szCs w:val="32"/>
    </w:rPr>
  </w:style>
  <w:style w:type="character" w:customStyle="1" w:styleId="Heading2Char">
    <w:name w:val="Heading 2 Char"/>
    <w:basedOn w:val="DefaultParagraphFont"/>
    <w:link w:val="Heading2"/>
    <w:uiPriority w:val="9"/>
    <w:rsid w:val="005F794B"/>
    <w:rPr>
      <w:rFonts w:asciiTheme="majorHAnsi" w:eastAsiaTheme="majorEastAsia" w:hAnsiTheme="majorHAnsi" w:cstheme="majorBidi"/>
      <w:color w:val="081E3E" w:themeColor="text2"/>
      <w:kern w:val="12"/>
      <w:sz w:val="36"/>
      <w:szCs w:val="26"/>
    </w:rPr>
  </w:style>
  <w:style w:type="paragraph" w:customStyle="1" w:styleId="Introduction">
    <w:name w:val="Introduction"/>
    <w:basedOn w:val="Normal"/>
    <w:uiPriority w:val="2"/>
    <w:qFormat/>
    <w:rsid w:val="003261CF"/>
    <w:pPr>
      <w:spacing w:before="240" w:after="240"/>
    </w:pPr>
    <w:rPr>
      <w:color w:val="377B88"/>
      <w:sz w:val="26"/>
      <w:lang w:val="x-none"/>
    </w:rPr>
  </w:style>
  <w:style w:type="character" w:customStyle="1" w:styleId="Heading3Char">
    <w:name w:val="Heading 3 Char"/>
    <w:basedOn w:val="DefaultParagraphFont"/>
    <w:link w:val="Heading3"/>
    <w:uiPriority w:val="9"/>
    <w:rsid w:val="004063DE"/>
    <w:rPr>
      <w:rFonts w:asciiTheme="majorHAnsi" w:eastAsiaTheme="majorEastAsia" w:hAnsiTheme="majorHAnsi" w:cstheme="majorBidi"/>
      <w:b/>
      <w:color w:val="6D7989" w:themeColor="accent4" w:themeShade="BF"/>
      <w:sz w:val="32"/>
      <w:szCs w:val="24"/>
    </w:rPr>
  </w:style>
  <w:style w:type="character" w:customStyle="1" w:styleId="Heading4Char">
    <w:name w:val="Heading 4 Char"/>
    <w:basedOn w:val="DefaultParagraphFont"/>
    <w:link w:val="Heading4"/>
    <w:uiPriority w:val="9"/>
    <w:rsid w:val="004063DE"/>
    <w:rPr>
      <w:rFonts w:asciiTheme="majorHAnsi" w:eastAsiaTheme="majorEastAsia" w:hAnsiTheme="majorHAnsi" w:cstheme="majorBidi"/>
      <w:b/>
      <w:iCs/>
      <w:color w:val="49515C" w:themeColor="accent4" w:themeShade="80"/>
      <w:sz w:val="26"/>
    </w:rPr>
  </w:style>
  <w:style w:type="character" w:customStyle="1" w:styleId="Heading5Char">
    <w:name w:val="Heading 5 Char"/>
    <w:basedOn w:val="DefaultParagraphFont"/>
    <w:link w:val="Heading5"/>
    <w:uiPriority w:val="9"/>
    <w:rsid w:val="005F794B"/>
    <w:rPr>
      <w:rFonts w:asciiTheme="majorHAnsi" w:eastAsiaTheme="majorEastAsia" w:hAnsiTheme="majorHAnsi" w:cstheme="majorBidi"/>
      <w:b/>
      <w:color w:val="081E3E" w:themeColor="text2"/>
      <w:kern w:val="12"/>
      <w:sz w:val="22"/>
    </w:rPr>
  </w:style>
  <w:style w:type="character" w:customStyle="1" w:styleId="Heading6Char">
    <w:name w:val="Heading 6 Char"/>
    <w:basedOn w:val="DefaultParagraphFont"/>
    <w:link w:val="Heading6"/>
    <w:uiPriority w:val="9"/>
    <w:semiHidden/>
    <w:rsid w:val="005F794B"/>
    <w:rPr>
      <w:rFonts w:asciiTheme="majorHAnsi" w:eastAsiaTheme="majorEastAsia" w:hAnsiTheme="majorHAnsi" w:cstheme="majorBidi"/>
      <w:i/>
      <w:color w:val="081E3E" w:themeColor="text2"/>
      <w:kern w:val="12"/>
      <w:sz w:val="22"/>
    </w:rPr>
  </w:style>
  <w:style w:type="paragraph" w:styleId="Caption">
    <w:name w:val="caption"/>
    <w:basedOn w:val="Normal"/>
    <w:next w:val="Normal"/>
    <w:uiPriority w:val="14"/>
    <w:qFormat/>
    <w:rsid w:val="005F794B"/>
    <w:pPr>
      <w:spacing w:before="240" w:after="160"/>
    </w:pPr>
    <w:rPr>
      <w:b/>
      <w:iCs/>
      <w:szCs w:val="18"/>
    </w:rPr>
  </w:style>
  <w:style w:type="table" w:customStyle="1" w:styleId="DefaultTable1">
    <w:name w:val="Default Table 1"/>
    <w:basedOn w:val="TableNormal"/>
    <w:uiPriority w:val="99"/>
    <w:rsid w:val="00D5655E"/>
    <w:pPr>
      <w:spacing w:before="80"/>
    </w:pPr>
    <w:tblPr>
      <w:tblStyleRowBandSize w:val="1"/>
      <w:tblStyleColBandSize w:val="1"/>
      <w:tblBorders>
        <w:top w:val="single" w:sz="4" w:space="0" w:color="008089" w:themeColor="accent2"/>
        <w:bottom w:val="single" w:sz="4" w:space="0" w:color="008089" w:themeColor="accent2"/>
        <w:insideH w:val="single" w:sz="4" w:space="0" w:color="008089" w:themeColor="accent2"/>
      </w:tblBorders>
    </w:tblPr>
    <w:tblStylePr w:type="firstRow">
      <w:rPr>
        <w:b/>
        <w:color w:val="FFFFFF" w:themeColor="background1"/>
      </w:rPr>
      <w:tblPr/>
      <w:trPr>
        <w:tblHeader/>
      </w:trPr>
      <w:tcPr>
        <w:tcBorders>
          <w:top w:val="nil"/>
          <w:bottom w:val="nil"/>
        </w:tcBorders>
        <w:shd w:val="clear" w:color="auto" w:fill="081E3E" w:themeFill="accent1"/>
      </w:tcPr>
    </w:tblStylePr>
    <w:tblStylePr w:type="lastRow">
      <w:rPr>
        <w:b/>
      </w:rPr>
      <w:tblPr/>
      <w:tcPr>
        <w:shd w:val="clear" w:color="auto" w:fill="F2F6E8" w:themeFill="accent5" w:themeFillTint="33"/>
      </w:tcPr>
    </w:tblStylePr>
    <w:tblStylePr w:type="firstCol">
      <w:rPr>
        <w:b/>
      </w:r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Sourcenotes">
    <w:name w:val="Source notes"/>
    <w:basedOn w:val="Normal"/>
    <w:uiPriority w:val="15"/>
    <w:qFormat/>
    <w:rsid w:val="001349C6"/>
    <w:pPr>
      <w:spacing w:before="120"/>
    </w:pPr>
    <w:rPr>
      <w:sz w:val="16"/>
      <w:lang w:val="x-none"/>
    </w:rPr>
  </w:style>
  <w:style w:type="paragraph" w:customStyle="1" w:styleId="Sourcenotesnumbered">
    <w:name w:val="Source notes numbered"/>
    <w:basedOn w:val="Sourcenotes"/>
    <w:uiPriority w:val="15"/>
    <w:qFormat/>
    <w:rsid w:val="001349C6"/>
    <w:pPr>
      <w:spacing w:before="80"/>
    </w:pPr>
  </w:style>
  <w:style w:type="paragraph" w:customStyle="1" w:styleId="ListLegal1">
    <w:name w:val="List Legal 1"/>
    <w:basedOn w:val="Normal"/>
    <w:uiPriority w:val="3"/>
    <w:qFormat/>
    <w:rsid w:val="00FC32B2"/>
    <w:pPr>
      <w:numPr>
        <w:numId w:val="2"/>
      </w:numPr>
      <w:spacing w:before="80"/>
    </w:pPr>
    <w:rPr>
      <w:lang w:val="x-none"/>
    </w:rPr>
  </w:style>
  <w:style w:type="paragraph" w:customStyle="1" w:styleId="ListLegal2">
    <w:name w:val="List Legal 2"/>
    <w:basedOn w:val="ListLegal1"/>
    <w:uiPriority w:val="3"/>
    <w:rsid w:val="00FC32B2"/>
    <w:pPr>
      <w:numPr>
        <w:ilvl w:val="1"/>
      </w:numPr>
    </w:pPr>
  </w:style>
  <w:style w:type="paragraph" w:customStyle="1" w:styleId="ListLegal3">
    <w:name w:val="List Legal 3"/>
    <w:basedOn w:val="ListLegal2"/>
    <w:uiPriority w:val="3"/>
    <w:rsid w:val="00FC32B2"/>
    <w:pPr>
      <w:numPr>
        <w:ilvl w:val="2"/>
      </w:numPr>
    </w:pPr>
  </w:style>
  <w:style w:type="paragraph" w:customStyle="1" w:styleId="ListNumbered1">
    <w:name w:val="List Numbered 1"/>
    <w:basedOn w:val="Normal"/>
    <w:uiPriority w:val="3"/>
    <w:qFormat/>
    <w:rsid w:val="00FC32B2"/>
    <w:pPr>
      <w:numPr>
        <w:numId w:val="3"/>
      </w:numPr>
      <w:spacing w:before="80"/>
    </w:pPr>
    <w:rPr>
      <w:lang w:val="x-none"/>
    </w:rPr>
  </w:style>
  <w:style w:type="paragraph" w:customStyle="1" w:styleId="ListNumbered21">
    <w:name w:val="List Numbered 2.1"/>
    <w:basedOn w:val="ListNumbered1"/>
    <w:uiPriority w:val="3"/>
    <w:rsid w:val="00FC32B2"/>
    <w:pPr>
      <w:numPr>
        <w:ilvl w:val="1"/>
      </w:numPr>
    </w:pPr>
  </w:style>
  <w:style w:type="paragraph" w:customStyle="1" w:styleId="ListNumbered311">
    <w:name w:val="List Numbered 3.1.1"/>
    <w:basedOn w:val="ListNumbered21"/>
    <w:uiPriority w:val="3"/>
    <w:rsid w:val="00FC32B2"/>
    <w:pPr>
      <w:numPr>
        <w:ilvl w:val="2"/>
      </w:numPr>
    </w:pPr>
  </w:style>
  <w:style w:type="paragraph" w:customStyle="1" w:styleId="Bullet1">
    <w:name w:val="Bullet 1"/>
    <w:basedOn w:val="Normal"/>
    <w:uiPriority w:val="3"/>
    <w:qFormat/>
    <w:rsid w:val="00CF6CFD"/>
    <w:pPr>
      <w:spacing w:before="80"/>
    </w:pPr>
    <w:rPr>
      <w:lang w:val="x-none"/>
    </w:rPr>
  </w:style>
  <w:style w:type="paragraph" w:customStyle="1" w:styleId="Bullet2">
    <w:name w:val="Bullet 2"/>
    <w:basedOn w:val="Bullet1"/>
    <w:uiPriority w:val="3"/>
    <w:rsid w:val="00CF6CFD"/>
    <w:pPr>
      <w:numPr>
        <w:ilvl w:val="1"/>
        <w:numId w:val="29"/>
      </w:numPr>
    </w:pPr>
  </w:style>
  <w:style w:type="paragraph" w:customStyle="1" w:styleId="Bullet3">
    <w:name w:val="Bullet 3"/>
    <w:basedOn w:val="Bullet2"/>
    <w:uiPriority w:val="3"/>
    <w:rsid w:val="00CF6CFD"/>
    <w:pPr>
      <w:numPr>
        <w:ilvl w:val="2"/>
      </w:numPr>
    </w:pPr>
  </w:style>
  <w:style w:type="paragraph" w:styleId="TOCHeading">
    <w:name w:val="TOC Heading"/>
    <w:basedOn w:val="Heading1"/>
    <w:next w:val="Normal"/>
    <w:uiPriority w:val="38"/>
    <w:rsid w:val="00CF6CFD"/>
    <w:pPr>
      <w:spacing w:before="0"/>
    </w:pPr>
  </w:style>
  <w:style w:type="paragraph" w:customStyle="1" w:styleId="Box1Text">
    <w:name w:val="Box 1 Text"/>
    <w:basedOn w:val="Normal"/>
    <w:uiPriority w:val="23"/>
    <w:qFormat/>
    <w:rsid w:val="00CF6CFD"/>
    <w:pPr>
      <w:pBdr>
        <w:top w:val="single" w:sz="4" w:space="14" w:color="008089" w:themeColor="accent2"/>
        <w:left w:val="single" w:sz="4" w:space="14" w:color="008089" w:themeColor="accent2"/>
        <w:bottom w:val="single" w:sz="4" w:space="14" w:color="008089" w:themeColor="accent2"/>
        <w:right w:val="single" w:sz="4" w:space="14" w:color="008089" w:themeColor="accent2"/>
      </w:pBdr>
      <w:ind w:left="284" w:right="284"/>
    </w:pPr>
    <w:rPr>
      <w:lang w:val="x-none"/>
    </w:rPr>
  </w:style>
  <w:style w:type="paragraph" w:customStyle="1" w:styleId="Box1Heading">
    <w:name w:val="Box 1 Heading"/>
    <w:basedOn w:val="Box1Text"/>
    <w:uiPriority w:val="23"/>
    <w:qFormat/>
    <w:rsid w:val="00CF6CFD"/>
    <w:rPr>
      <w:b/>
    </w:rPr>
  </w:style>
  <w:style w:type="paragraph" w:customStyle="1" w:styleId="Box1Bullet1">
    <w:name w:val="Box 1 Bullet 1"/>
    <w:basedOn w:val="Box1Text"/>
    <w:uiPriority w:val="24"/>
    <w:qFormat/>
    <w:rsid w:val="009D7CCE"/>
    <w:pPr>
      <w:numPr>
        <w:numId w:val="9"/>
      </w:numPr>
      <w:spacing w:before="80"/>
    </w:pPr>
    <w:rPr>
      <w:kern w:val="12"/>
      <w:sz w:val="20"/>
      <w:szCs w:val="20"/>
    </w:rPr>
  </w:style>
  <w:style w:type="paragraph" w:customStyle="1" w:styleId="Box2Text">
    <w:name w:val="Box 2 Text"/>
    <w:basedOn w:val="Normal"/>
    <w:uiPriority w:val="24"/>
    <w:qFormat/>
    <w:rsid w:val="009D7CCE"/>
    <w:pPr>
      <w:pBdr>
        <w:top w:val="single" w:sz="4" w:space="14" w:color="F2F6E8" w:themeColor="accent5" w:themeTint="33"/>
        <w:left w:val="single" w:sz="4" w:space="14" w:color="F2F6E8" w:themeColor="accent5" w:themeTint="33"/>
        <w:bottom w:val="single" w:sz="4" w:space="14" w:color="F2F6E8" w:themeColor="accent5" w:themeTint="33"/>
        <w:right w:val="single" w:sz="4" w:space="14" w:color="F2F6E8" w:themeColor="accent5" w:themeTint="33"/>
      </w:pBdr>
      <w:shd w:val="clear" w:color="auto" w:fill="F2F6E8" w:themeFill="accent5" w:themeFillTint="33"/>
      <w:ind w:left="284" w:right="284"/>
    </w:pPr>
    <w:rPr>
      <w:lang w:val="x-none"/>
    </w:rPr>
  </w:style>
  <w:style w:type="paragraph" w:customStyle="1" w:styleId="Box2Heading">
    <w:name w:val="Box 2 Heading"/>
    <w:basedOn w:val="Box2Text"/>
    <w:uiPriority w:val="24"/>
    <w:qFormat/>
    <w:rsid w:val="00541213"/>
    <w:rPr>
      <w:b/>
    </w:rPr>
  </w:style>
  <w:style w:type="paragraph" w:customStyle="1" w:styleId="Box2Bullet1">
    <w:name w:val="Box 2 Bullet 1"/>
    <w:basedOn w:val="Box2Text"/>
    <w:uiPriority w:val="25"/>
    <w:qFormat/>
    <w:rsid w:val="009D7CCE"/>
    <w:pPr>
      <w:numPr>
        <w:ilvl w:val="1"/>
        <w:numId w:val="10"/>
      </w:numPr>
      <w:spacing w:before="80"/>
    </w:pPr>
    <w:rPr>
      <w:kern w:val="12"/>
      <w:sz w:val="20"/>
      <w:szCs w:val="20"/>
    </w:rPr>
  </w:style>
  <w:style w:type="table" w:customStyle="1" w:styleId="IconBoxTable">
    <w:name w:val="Icon Box Table"/>
    <w:basedOn w:val="TableNormal"/>
    <w:uiPriority w:val="99"/>
    <w:rsid w:val="00D5655E"/>
    <w:pPr>
      <w:spacing w:before="80"/>
    </w:pPr>
    <w:tblPr>
      <w:tblCellMar>
        <w:top w:w="57" w:type="dxa"/>
        <w:left w:w="170" w:type="dxa"/>
        <w:bottom w:w="57" w:type="dxa"/>
        <w:right w:w="170" w:type="dxa"/>
      </w:tblCellMar>
    </w:tblPr>
    <w:tcPr>
      <w:shd w:val="clear" w:color="auto" w:fill="F2F2F2" w:themeFill="background1" w:themeFillShade="F2"/>
    </w:tcPr>
    <w:tblStylePr w:type="firstRow">
      <w:tblPr/>
      <w:trPr>
        <w:tblHeader/>
      </w:trPr>
    </w:tblStylePr>
    <w:tblStylePr w:type="firstCol">
      <w:tblPr>
        <w:tblCellMar>
          <w:top w:w="57" w:type="dxa"/>
          <w:left w:w="170" w:type="dxa"/>
          <w:bottom w:w="57" w:type="dxa"/>
          <w:right w:w="6" w:type="dxa"/>
        </w:tblCellMar>
      </w:tblPr>
      <w:tcPr>
        <w:tcMar>
          <w:top w:w="0" w:type="nil"/>
          <w:left w:w="170" w:type="dxa"/>
          <w:bottom w:w="0" w:type="nil"/>
          <w:right w:w="6" w:type="dxa"/>
        </w:tcMar>
      </w:tcPr>
    </w:tblStylePr>
  </w:style>
  <w:style w:type="numbering" w:customStyle="1" w:styleId="Bullets">
    <w:name w:val="Bullets"/>
    <w:uiPriority w:val="99"/>
    <w:rsid w:val="009B00F2"/>
    <w:pPr>
      <w:numPr>
        <w:numId w:val="1"/>
      </w:numPr>
    </w:pPr>
  </w:style>
  <w:style w:type="numbering" w:customStyle="1" w:styleId="ListLegal">
    <w:name w:val="List Legal"/>
    <w:uiPriority w:val="99"/>
    <w:rsid w:val="00477E77"/>
    <w:pPr>
      <w:numPr>
        <w:numId w:val="2"/>
      </w:numPr>
    </w:pPr>
  </w:style>
  <w:style w:type="numbering" w:customStyle="1" w:styleId="ListNumbered">
    <w:name w:val="List Numbered"/>
    <w:uiPriority w:val="99"/>
    <w:rsid w:val="00477E77"/>
    <w:pPr>
      <w:numPr>
        <w:numId w:val="3"/>
      </w:numPr>
    </w:pPr>
  </w:style>
  <w:style w:type="paragraph" w:customStyle="1" w:styleId="Heading1Numbered">
    <w:name w:val="Heading 1 Numbered"/>
    <w:basedOn w:val="Heading1"/>
    <w:uiPriority w:val="10"/>
    <w:rsid w:val="003F775D"/>
    <w:pPr>
      <w:numPr>
        <w:numId w:val="5"/>
      </w:numPr>
    </w:pPr>
  </w:style>
  <w:style w:type="paragraph" w:customStyle="1" w:styleId="Heading2Numbered">
    <w:name w:val="Heading 2 Numbered"/>
    <w:basedOn w:val="Heading2"/>
    <w:uiPriority w:val="10"/>
    <w:rsid w:val="003F775D"/>
    <w:pPr>
      <w:numPr>
        <w:ilvl w:val="1"/>
        <w:numId w:val="5"/>
      </w:numPr>
    </w:pPr>
  </w:style>
  <w:style w:type="paragraph" w:customStyle="1" w:styleId="Heading3Numbered">
    <w:name w:val="Heading 3 Numbered"/>
    <w:basedOn w:val="Heading3"/>
    <w:uiPriority w:val="10"/>
    <w:rsid w:val="003F775D"/>
    <w:pPr>
      <w:numPr>
        <w:ilvl w:val="2"/>
        <w:numId w:val="5"/>
      </w:numPr>
    </w:pPr>
  </w:style>
  <w:style w:type="paragraph" w:customStyle="1" w:styleId="Heading4Numbered">
    <w:name w:val="Heading 4 Numbered"/>
    <w:basedOn w:val="Heading4"/>
    <w:uiPriority w:val="10"/>
    <w:rsid w:val="003F775D"/>
    <w:pPr>
      <w:numPr>
        <w:ilvl w:val="3"/>
        <w:numId w:val="5"/>
      </w:numPr>
    </w:pPr>
  </w:style>
  <w:style w:type="paragraph" w:customStyle="1" w:styleId="Heading5Numbered">
    <w:name w:val="Heading 5 Numbered"/>
    <w:basedOn w:val="Heading5"/>
    <w:uiPriority w:val="10"/>
    <w:rsid w:val="003F775D"/>
    <w:pPr>
      <w:numPr>
        <w:ilvl w:val="4"/>
        <w:numId w:val="5"/>
      </w:numPr>
    </w:pPr>
  </w:style>
  <w:style w:type="numbering" w:customStyle="1" w:styleId="NumberedHeadings">
    <w:name w:val="Numbered Headings"/>
    <w:uiPriority w:val="99"/>
    <w:rsid w:val="003F775D"/>
    <w:pPr>
      <w:numPr>
        <w:numId w:val="4"/>
      </w:numPr>
    </w:pPr>
  </w:style>
  <w:style w:type="paragraph" w:customStyle="1" w:styleId="AppendixHeading1">
    <w:name w:val="Appendix Heading 1"/>
    <w:basedOn w:val="Heading1"/>
    <w:uiPriority w:val="11"/>
    <w:qFormat/>
    <w:rsid w:val="0001430B"/>
    <w:pPr>
      <w:numPr>
        <w:numId w:val="7"/>
      </w:numPr>
    </w:pPr>
  </w:style>
  <w:style w:type="paragraph" w:customStyle="1" w:styleId="AppendixHeading2">
    <w:name w:val="Appendix Heading 2"/>
    <w:basedOn w:val="Heading2"/>
    <w:uiPriority w:val="11"/>
    <w:rsid w:val="0001430B"/>
    <w:pPr>
      <w:numPr>
        <w:ilvl w:val="1"/>
        <w:numId w:val="7"/>
      </w:numPr>
    </w:pPr>
  </w:style>
  <w:style w:type="paragraph" w:customStyle="1" w:styleId="AttachmentHeading1">
    <w:name w:val="Attachment Heading 1"/>
    <w:basedOn w:val="Heading1"/>
    <w:uiPriority w:val="11"/>
    <w:qFormat/>
    <w:rsid w:val="0001430B"/>
    <w:pPr>
      <w:numPr>
        <w:numId w:val="8"/>
      </w:numPr>
    </w:pPr>
  </w:style>
  <w:style w:type="paragraph" w:customStyle="1" w:styleId="AttachmentHeading2">
    <w:name w:val="Attachment Heading 2"/>
    <w:basedOn w:val="Heading2"/>
    <w:uiPriority w:val="11"/>
    <w:rsid w:val="0001430B"/>
    <w:pPr>
      <w:numPr>
        <w:ilvl w:val="1"/>
        <w:numId w:val="8"/>
      </w:numPr>
    </w:pPr>
  </w:style>
  <w:style w:type="numbering" w:customStyle="1" w:styleId="AppendixNumbers">
    <w:name w:val="Appendix Numbers"/>
    <w:uiPriority w:val="99"/>
    <w:rsid w:val="0001430B"/>
    <w:pPr>
      <w:numPr>
        <w:numId w:val="6"/>
      </w:numPr>
    </w:pPr>
  </w:style>
  <w:style w:type="numbering" w:customStyle="1" w:styleId="AttachmentNumbers">
    <w:name w:val="Attachment Numbers"/>
    <w:uiPriority w:val="99"/>
    <w:rsid w:val="0001430B"/>
    <w:pPr>
      <w:numPr>
        <w:numId w:val="8"/>
      </w:numPr>
    </w:pPr>
  </w:style>
  <w:style w:type="paragraph" w:styleId="Quote">
    <w:name w:val="Quote"/>
    <w:basedOn w:val="Normal"/>
    <w:next w:val="Normal"/>
    <w:link w:val="QuoteChar"/>
    <w:uiPriority w:val="29"/>
    <w:qFormat/>
    <w:rsid w:val="00B06D96"/>
    <w:pPr>
      <w:pBdr>
        <w:left w:val="single" w:sz="48" w:space="22" w:color="4BB3B5"/>
      </w:pBdr>
      <w:spacing w:after="160"/>
      <w:ind w:left="567" w:right="567"/>
    </w:pPr>
    <w:rPr>
      <w:b/>
      <w:iCs/>
      <w:color w:val="404040" w:themeColor="text1" w:themeTint="BF"/>
    </w:rPr>
  </w:style>
  <w:style w:type="character" w:customStyle="1" w:styleId="QuoteChar">
    <w:name w:val="Quote Char"/>
    <w:basedOn w:val="DefaultParagraphFont"/>
    <w:link w:val="Quote"/>
    <w:uiPriority w:val="29"/>
    <w:rsid w:val="00B06D96"/>
    <w:rPr>
      <w:b/>
      <w:iCs/>
      <w:color w:val="404040" w:themeColor="text1" w:themeTint="BF"/>
    </w:rPr>
  </w:style>
  <w:style w:type="paragraph" w:styleId="TOC1">
    <w:name w:val="toc 1"/>
    <w:basedOn w:val="Normal"/>
    <w:next w:val="Normal"/>
    <w:autoRedefine/>
    <w:uiPriority w:val="39"/>
    <w:rsid w:val="00291050"/>
    <w:pPr>
      <w:keepLines/>
      <w:tabs>
        <w:tab w:val="right" w:pos="9854"/>
      </w:tabs>
      <w:ind w:left="567" w:hanging="567"/>
    </w:pPr>
    <w:rPr>
      <w:b/>
      <w:sz w:val="24"/>
      <w:u w:val="single" w:color="008089" w:themeColor="accent2"/>
    </w:rPr>
  </w:style>
  <w:style w:type="paragraph" w:styleId="TOC2">
    <w:name w:val="toc 2"/>
    <w:basedOn w:val="Normal"/>
    <w:next w:val="Normal"/>
    <w:autoRedefine/>
    <w:uiPriority w:val="39"/>
    <w:rsid w:val="00A95970"/>
    <w:pPr>
      <w:keepLines/>
      <w:spacing w:before="80"/>
      <w:ind w:left="567" w:hanging="567"/>
    </w:pPr>
  </w:style>
  <w:style w:type="paragraph" w:styleId="TOC3">
    <w:name w:val="toc 3"/>
    <w:basedOn w:val="Normal"/>
    <w:next w:val="Normal"/>
    <w:autoRedefine/>
    <w:uiPriority w:val="39"/>
    <w:rsid w:val="00DE4362"/>
    <w:pPr>
      <w:spacing w:before="80"/>
      <w:ind w:left="1134" w:hanging="567"/>
    </w:pPr>
  </w:style>
  <w:style w:type="paragraph" w:styleId="TableofFigures">
    <w:name w:val="table of figures"/>
    <w:basedOn w:val="Normal"/>
    <w:next w:val="Normal"/>
    <w:uiPriority w:val="99"/>
    <w:unhideWhenUsed/>
    <w:rsid w:val="006E1ECA"/>
    <w:pPr>
      <w:spacing w:before="80"/>
    </w:pPr>
  </w:style>
  <w:style w:type="paragraph" w:customStyle="1" w:styleId="AreaHeading">
    <w:name w:val="Area Heading"/>
    <w:basedOn w:val="Normal"/>
    <w:qFormat/>
    <w:rsid w:val="004063DE"/>
    <w:pPr>
      <w:spacing w:before="0"/>
      <w:ind w:left="-1020" w:firstLine="1020"/>
    </w:pPr>
    <w:rPr>
      <w:rFonts w:cs="Times New Roman (Body CS)"/>
      <w:caps/>
      <w:color w:val="49515C" w:themeColor="accent4" w:themeShade="80"/>
    </w:rPr>
  </w:style>
  <w:style w:type="paragraph" w:customStyle="1" w:styleId="Box2Checklist">
    <w:name w:val="Box 2 Checklist"/>
    <w:basedOn w:val="Box2Text"/>
    <w:uiPriority w:val="26"/>
    <w:qFormat/>
    <w:rsid w:val="009D7CCE"/>
    <w:pPr>
      <w:numPr>
        <w:ilvl w:val="2"/>
        <w:numId w:val="10"/>
      </w:numPr>
    </w:pPr>
    <w:rPr>
      <w:kern w:val="12"/>
      <w:sz w:val="20"/>
      <w:szCs w:val="20"/>
    </w:rPr>
  </w:style>
  <w:style w:type="numbering" w:customStyle="1" w:styleId="BoxedBullets">
    <w:name w:val="Boxed Bullets"/>
    <w:uiPriority w:val="99"/>
    <w:rsid w:val="009D7CCE"/>
    <w:pPr>
      <w:numPr>
        <w:numId w:val="9"/>
      </w:numPr>
    </w:pPr>
  </w:style>
  <w:style w:type="paragraph" w:customStyle="1" w:styleId="SecurityMarker">
    <w:name w:val="Security Marker"/>
    <w:basedOn w:val="Normal"/>
    <w:qFormat/>
    <w:rsid w:val="00827492"/>
    <w:pPr>
      <w:spacing w:before="60" w:after="60"/>
      <w:ind w:left="-1247"/>
      <w:jc w:val="center"/>
    </w:pPr>
    <w:rPr>
      <w:b/>
      <w:bCs/>
      <w:caps/>
      <w:color w:val="E10000"/>
      <w:sz w:val="28"/>
      <w:szCs w:val="28"/>
    </w:rPr>
  </w:style>
  <w:style w:type="character" w:styleId="FollowedHyperlink">
    <w:name w:val="FollowedHyperlink"/>
    <w:basedOn w:val="DefaultParagraphFont"/>
    <w:uiPriority w:val="99"/>
    <w:semiHidden/>
    <w:unhideWhenUsed/>
    <w:rsid w:val="00216AED"/>
    <w:rPr>
      <w:color w:val="0046FF" w:themeColor="followedHyperlink"/>
      <w:u w:val="single"/>
    </w:rPr>
  </w:style>
  <w:style w:type="character" w:styleId="CommentReference">
    <w:name w:val="annotation reference"/>
    <w:basedOn w:val="DefaultParagraphFont"/>
    <w:uiPriority w:val="99"/>
    <w:semiHidden/>
    <w:unhideWhenUsed/>
    <w:rsid w:val="00666D51"/>
    <w:rPr>
      <w:sz w:val="16"/>
      <w:szCs w:val="16"/>
    </w:rPr>
  </w:style>
  <w:style w:type="paragraph" w:styleId="CommentText">
    <w:name w:val="annotation text"/>
    <w:basedOn w:val="Normal"/>
    <w:link w:val="CommentTextChar"/>
    <w:uiPriority w:val="99"/>
    <w:unhideWhenUsed/>
    <w:rsid w:val="00666D51"/>
    <w:rPr>
      <w:sz w:val="20"/>
      <w:szCs w:val="20"/>
    </w:rPr>
  </w:style>
  <w:style w:type="character" w:customStyle="1" w:styleId="CommentTextChar">
    <w:name w:val="Comment Text Char"/>
    <w:basedOn w:val="DefaultParagraphFont"/>
    <w:link w:val="CommentText"/>
    <w:uiPriority w:val="99"/>
    <w:rsid w:val="00666D51"/>
    <w:rPr>
      <w:sz w:val="20"/>
      <w:szCs w:val="20"/>
    </w:rPr>
  </w:style>
  <w:style w:type="paragraph" w:styleId="CommentSubject">
    <w:name w:val="annotation subject"/>
    <w:basedOn w:val="CommentText"/>
    <w:next w:val="CommentText"/>
    <w:link w:val="CommentSubjectChar"/>
    <w:uiPriority w:val="99"/>
    <w:semiHidden/>
    <w:unhideWhenUsed/>
    <w:rsid w:val="00666D51"/>
    <w:rPr>
      <w:b/>
      <w:bCs/>
    </w:rPr>
  </w:style>
  <w:style w:type="character" w:customStyle="1" w:styleId="CommentSubjectChar">
    <w:name w:val="Comment Subject Char"/>
    <w:basedOn w:val="CommentTextChar"/>
    <w:link w:val="CommentSubject"/>
    <w:uiPriority w:val="99"/>
    <w:semiHidden/>
    <w:rsid w:val="00666D51"/>
    <w:rPr>
      <w:b/>
      <w:bCs/>
      <w:sz w:val="20"/>
      <w:szCs w:val="20"/>
    </w:rPr>
  </w:style>
  <w:style w:type="paragraph" w:styleId="BalloonText">
    <w:name w:val="Balloon Text"/>
    <w:basedOn w:val="Normal"/>
    <w:link w:val="BalloonTextChar"/>
    <w:uiPriority w:val="99"/>
    <w:semiHidden/>
    <w:unhideWhenUsed/>
    <w:rsid w:val="00666D5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6D51"/>
    <w:rPr>
      <w:rFonts w:ascii="Segoe UI" w:hAnsi="Segoe UI" w:cs="Segoe UI"/>
      <w:sz w:val="18"/>
      <w:szCs w:val="18"/>
    </w:rPr>
  </w:style>
  <w:style w:type="paragraph" w:styleId="ListParagraph">
    <w:name w:val="List Paragraph"/>
    <w:aliases w:val="Bullet Points,CV text,Dot pt,F5 List Paragraph,Indicator Text,L,List Paragraph Char Char Char,List Paragraph1,List Paragraph11,List Paragraph12,MAIN CONTENT,No Spacing1,Numbered Para 1,Recommendation,bullet point list,リスト段落,列,列出段,列出段落"/>
    <w:basedOn w:val="Normal"/>
    <w:link w:val="ListParagraphChar"/>
    <w:uiPriority w:val="34"/>
    <w:unhideWhenUsed/>
    <w:qFormat/>
    <w:rsid w:val="000075AC"/>
    <w:pPr>
      <w:ind w:left="720"/>
      <w:contextualSpacing/>
    </w:pPr>
  </w:style>
  <w:style w:type="character" w:customStyle="1" w:styleId="ListParagraphChar">
    <w:name w:val="List Paragraph Char"/>
    <w:aliases w:val="Bullet Points Char,CV text Char,Dot pt Char,F5 List Paragraph Char,Indicator Text Char,L Char,List Paragraph Char Char Char Char,List Paragraph1 Char,List Paragraph11 Char,List Paragraph12 Char,MAIN CONTENT Char,No Spacing1 Char"/>
    <w:link w:val="ListParagraph"/>
    <w:uiPriority w:val="34"/>
    <w:qFormat/>
    <w:locked/>
    <w:rsid w:val="00807EB6"/>
  </w:style>
  <w:style w:type="character" w:styleId="UnresolvedMention">
    <w:name w:val="Unresolved Mention"/>
    <w:basedOn w:val="DefaultParagraphFont"/>
    <w:uiPriority w:val="99"/>
    <w:semiHidden/>
    <w:unhideWhenUsed/>
    <w:rsid w:val="00B84670"/>
    <w:rPr>
      <w:color w:val="605E5C"/>
      <w:shd w:val="clear" w:color="auto" w:fill="E1DFDD"/>
    </w:rPr>
  </w:style>
  <w:style w:type="paragraph" w:styleId="Revision">
    <w:name w:val="Revision"/>
    <w:hidden/>
    <w:uiPriority w:val="99"/>
    <w:semiHidden/>
    <w:rsid w:val="00D44CD2"/>
    <w:pPr>
      <w:spacing w:before="0" w:after="0"/>
    </w:pPr>
  </w:style>
  <w:style w:type="paragraph" w:styleId="NormalWeb">
    <w:name w:val="Normal (Web)"/>
    <w:basedOn w:val="Normal"/>
    <w:uiPriority w:val="99"/>
    <w:unhideWhenUsed/>
    <w:rsid w:val="001E2232"/>
    <w:pPr>
      <w:suppressAutoHyphens w:val="0"/>
      <w:spacing w:before="100" w:beforeAutospacing="1" w:after="100" w:afterAutospacing="1" w:line="256" w:lineRule="auto"/>
    </w:pPr>
    <w:rPr>
      <w:rFonts w:ascii="Times New Roman" w:eastAsia="Times New Roman" w:hAnsi="Times New Roman" w:cs="Times New Roman"/>
      <w:color w:val="auto"/>
      <w:sz w:val="24"/>
      <w:szCs w:val="24"/>
      <w:lang w:eastAsia="en-AU"/>
    </w:rPr>
  </w:style>
  <w:style w:type="paragraph" w:customStyle="1" w:styleId="Paragraph">
    <w:name w:val="Paragraph"/>
    <w:basedOn w:val="Normal"/>
    <w:qFormat/>
    <w:rsid w:val="008B010C"/>
    <w:pPr>
      <w:suppressAutoHyphens w:val="0"/>
      <w:spacing w:before="0" w:after="240" w:line="240" w:lineRule="atLeast"/>
    </w:pPr>
    <w:rPr>
      <w:rFonts w:ascii="Arial" w:eastAsia="Times New Roman" w:hAnsi="Arial" w:cs="Arial"/>
      <w:color w:val="auto"/>
      <w:sz w:val="20"/>
      <w:szCs w:val="24"/>
      <w:lang w:eastAsia="en-AU"/>
    </w:rPr>
  </w:style>
  <w:style w:type="character" w:customStyle="1" w:styleId="ui-provider">
    <w:name w:val="ui-provider"/>
    <w:basedOn w:val="DefaultParagraphFont"/>
    <w:rsid w:val="00B05620"/>
  </w:style>
  <w:style w:type="paragraph" w:styleId="EndnoteText">
    <w:name w:val="endnote text"/>
    <w:basedOn w:val="Normal"/>
    <w:link w:val="EndnoteTextChar"/>
    <w:uiPriority w:val="99"/>
    <w:semiHidden/>
    <w:unhideWhenUsed/>
    <w:rsid w:val="008F7AEE"/>
    <w:pPr>
      <w:spacing w:before="0" w:after="0"/>
    </w:pPr>
    <w:rPr>
      <w:sz w:val="20"/>
      <w:szCs w:val="20"/>
    </w:rPr>
  </w:style>
  <w:style w:type="character" w:customStyle="1" w:styleId="EndnoteTextChar">
    <w:name w:val="Endnote Text Char"/>
    <w:basedOn w:val="DefaultParagraphFont"/>
    <w:link w:val="EndnoteText"/>
    <w:uiPriority w:val="99"/>
    <w:semiHidden/>
    <w:rsid w:val="008F7AEE"/>
    <w:rPr>
      <w:sz w:val="20"/>
      <w:szCs w:val="20"/>
    </w:rPr>
  </w:style>
  <w:style w:type="character" w:styleId="EndnoteReference">
    <w:name w:val="endnote reference"/>
    <w:basedOn w:val="DefaultParagraphFont"/>
    <w:uiPriority w:val="99"/>
    <w:semiHidden/>
    <w:unhideWhenUsed/>
    <w:rsid w:val="008F7AEE"/>
    <w:rPr>
      <w:vertAlign w:val="superscript"/>
    </w:rPr>
  </w:style>
  <w:style w:type="character" w:styleId="HTMLCite">
    <w:name w:val="HTML Cite"/>
    <w:basedOn w:val="DefaultParagraphFont"/>
    <w:uiPriority w:val="99"/>
    <w:semiHidden/>
    <w:unhideWhenUsed/>
    <w:rsid w:val="00FF1E67"/>
    <w:rPr>
      <w:i/>
      <w:iCs/>
    </w:rPr>
  </w:style>
  <w:style w:type="paragraph" w:customStyle="1" w:styleId="CABBulletList">
    <w:name w:val="CAB Bullet List"/>
    <w:basedOn w:val="ListParagraph"/>
    <w:uiPriority w:val="98"/>
    <w:qFormat/>
    <w:rsid w:val="00524CC5"/>
    <w:pPr>
      <w:numPr>
        <w:numId w:val="33"/>
      </w:numPr>
      <w:tabs>
        <w:tab w:val="left" w:pos="851"/>
      </w:tabs>
      <w:suppressAutoHyphens w:val="0"/>
      <w:spacing w:before="60" w:after="60"/>
      <w:ind w:left="850" w:hanging="288"/>
    </w:pPr>
    <w:rPr>
      <w:rFonts w:ascii="Arial" w:hAnsi="Arial"/>
      <w:color w:val="auto"/>
    </w:rPr>
  </w:style>
  <w:style w:type="paragraph" w:customStyle="1" w:styleId="pf0">
    <w:name w:val="pf0"/>
    <w:basedOn w:val="Normal"/>
    <w:rsid w:val="008F247E"/>
    <w:pPr>
      <w:suppressAutoHyphens w:val="0"/>
      <w:spacing w:before="100" w:beforeAutospacing="1" w:after="100" w:afterAutospacing="1"/>
    </w:pPr>
    <w:rPr>
      <w:rFonts w:ascii="Times New Roman" w:eastAsia="Times New Roman" w:hAnsi="Times New Roman" w:cs="Times New Roman"/>
      <w:color w:val="auto"/>
      <w:sz w:val="24"/>
      <w:szCs w:val="24"/>
      <w:lang w:eastAsia="en-AU"/>
    </w:rPr>
  </w:style>
  <w:style w:type="character" w:customStyle="1" w:styleId="cf01">
    <w:name w:val="cf01"/>
    <w:basedOn w:val="DefaultParagraphFont"/>
    <w:rsid w:val="008F247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6726">
      <w:bodyDiv w:val="1"/>
      <w:marLeft w:val="0"/>
      <w:marRight w:val="0"/>
      <w:marTop w:val="0"/>
      <w:marBottom w:val="0"/>
      <w:divBdr>
        <w:top w:val="none" w:sz="0" w:space="0" w:color="auto"/>
        <w:left w:val="none" w:sz="0" w:space="0" w:color="auto"/>
        <w:bottom w:val="none" w:sz="0" w:space="0" w:color="auto"/>
        <w:right w:val="none" w:sz="0" w:space="0" w:color="auto"/>
      </w:divBdr>
    </w:div>
    <w:div w:id="50429050">
      <w:bodyDiv w:val="1"/>
      <w:marLeft w:val="0"/>
      <w:marRight w:val="0"/>
      <w:marTop w:val="0"/>
      <w:marBottom w:val="0"/>
      <w:divBdr>
        <w:top w:val="none" w:sz="0" w:space="0" w:color="auto"/>
        <w:left w:val="none" w:sz="0" w:space="0" w:color="auto"/>
        <w:bottom w:val="none" w:sz="0" w:space="0" w:color="auto"/>
        <w:right w:val="none" w:sz="0" w:space="0" w:color="auto"/>
      </w:divBdr>
    </w:div>
    <w:div w:id="78068811">
      <w:bodyDiv w:val="1"/>
      <w:marLeft w:val="0"/>
      <w:marRight w:val="0"/>
      <w:marTop w:val="0"/>
      <w:marBottom w:val="0"/>
      <w:divBdr>
        <w:top w:val="none" w:sz="0" w:space="0" w:color="auto"/>
        <w:left w:val="none" w:sz="0" w:space="0" w:color="auto"/>
        <w:bottom w:val="none" w:sz="0" w:space="0" w:color="auto"/>
        <w:right w:val="none" w:sz="0" w:space="0" w:color="auto"/>
      </w:divBdr>
    </w:div>
    <w:div w:id="82265656">
      <w:bodyDiv w:val="1"/>
      <w:marLeft w:val="0"/>
      <w:marRight w:val="0"/>
      <w:marTop w:val="0"/>
      <w:marBottom w:val="0"/>
      <w:divBdr>
        <w:top w:val="none" w:sz="0" w:space="0" w:color="auto"/>
        <w:left w:val="none" w:sz="0" w:space="0" w:color="auto"/>
        <w:bottom w:val="none" w:sz="0" w:space="0" w:color="auto"/>
        <w:right w:val="none" w:sz="0" w:space="0" w:color="auto"/>
      </w:divBdr>
    </w:div>
    <w:div w:id="85393887">
      <w:bodyDiv w:val="1"/>
      <w:marLeft w:val="0"/>
      <w:marRight w:val="0"/>
      <w:marTop w:val="0"/>
      <w:marBottom w:val="0"/>
      <w:divBdr>
        <w:top w:val="none" w:sz="0" w:space="0" w:color="auto"/>
        <w:left w:val="none" w:sz="0" w:space="0" w:color="auto"/>
        <w:bottom w:val="none" w:sz="0" w:space="0" w:color="auto"/>
        <w:right w:val="none" w:sz="0" w:space="0" w:color="auto"/>
      </w:divBdr>
    </w:div>
    <w:div w:id="230315307">
      <w:bodyDiv w:val="1"/>
      <w:marLeft w:val="0"/>
      <w:marRight w:val="0"/>
      <w:marTop w:val="0"/>
      <w:marBottom w:val="0"/>
      <w:divBdr>
        <w:top w:val="none" w:sz="0" w:space="0" w:color="auto"/>
        <w:left w:val="none" w:sz="0" w:space="0" w:color="auto"/>
        <w:bottom w:val="none" w:sz="0" w:space="0" w:color="auto"/>
        <w:right w:val="none" w:sz="0" w:space="0" w:color="auto"/>
      </w:divBdr>
    </w:div>
    <w:div w:id="337781312">
      <w:bodyDiv w:val="1"/>
      <w:marLeft w:val="0"/>
      <w:marRight w:val="0"/>
      <w:marTop w:val="0"/>
      <w:marBottom w:val="0"/>
      <w:divBdr>
        <w:top w:val="none" w:sz="0" w:space="0" w:color="auto"/>
        <w:left w:val="none" w:sz="0" w:space="0" w:color="auto"/>
        <w:bottom w:val="none" w:sz="0" w:space="0" w:color="auto"/>
        <w:right w:val="none" w:sz="0" w:space="0" w:color="auto"/>
      </w:divBdr>
    </w:div>
    <w:div w:id="436364728">
      <w:bodyDiv w:val="1"/>
      <w:marLeft w:val="0"/>
      <w:marRight w:val="0"/>
      <w:marTop w:val="0"/>
      <w:marBottom w:val="0"/>
      <w:divBdr>
        <w:top w:val="none" w:sz="0" w:space="0" w:color="auto"/>
        <w:left w:val="none" w:sz="0" w:space="0" w:color="auto"/>
        <w:bottom w:val="none" w:sz="0" w:space="0" w:color="auto"/>
        <w:right w:val="none" w:sz="0" w:space="0" w:color="auto"/>
      </w:divBdr>
    </w:div>
    <w:div w:id="496112005">
      <w:bodyDiv w:val="1"/>
      <w:marLeft w:val="0"/>
      <w:marRight w:val="0"/>
      <w:marTop w:val="0"/>
      <w:marBottom w:val="0"/>
      <w:divBdr>
        <w:top w:val="none" w:sz="0" w:space="0" w:color="auto"/>
        <w:left w:val="none" w:sz="0" w:space="0" w:color="auto"/>
        <w:bottom w:val="none" w:sz="0" w:space="0" w:color="auto"/>
        <w:right w:val="none" w:sz="0" w:space="0" w:color="auto"/>
      </w:divBdr>
    </w:div>
    <w:div w:id="574169236">
      <w:bodyDiv w:val="1"/>
      <w:marLeft w:val="0"/>
      <w:marRight w:val="0"/>
      <w:marTop w:val="0"/>
      <w:marBottom w:val="0"/>
      <w:divBdr>
        <w:top w:val="none" w:sz="0" w:space="0" w:color="auto"/>
        <w:left w:val="none" w:sz="0" w:space="0" w:color="auto"/>
        <w:bottom w:val="none" w:sz="0" w:space="0" w:color="auto"/>
        <w:right w:val="none" w:sz="0" w:space="0" w:color="auto"/>
      </w:divBdr>
    </w:div>
    <w:div w:id="696545785">
      <w:bodyDiv w:val="1"/>
      <w:marLeft w:val="0"/>
      <w:marRight w:val="0"/>
      <w:marTop w:val="0"/>
      <w:marBottom w:val="0"/>
      <w:divBdr>
        <w:top w:val="none" w:sz="0" w:space="0" w:color="auto"/>
        <w:left w:val="none" w:sz="0" w:space="0" w:color="auto"/>
        <w:bottom w:val="none" w:sz="0" w:space="0" w:color="auto"/>
        <w:right w:val="none" w:sz="0" w:space="0" w:color="auto"/>
      </w:divBdr>
    </w:div>
    <w:div w:id="827289866">
      <w:bodyDiv w:val="1"/>
      <w:marLeft w:val="0"/>
      <w:marRight w:val="0"/>
      <w:marTop w:val="0"/>
      <w:marBottom w:val="0"/>
      <w:divBdr>
        <w:top w:val="none" w:sz="0" w:space="0" w:color="auto"/>
        <w:left w:val="none" w:sz="0" w:space="0" w:color="auto"/>
        <w:bottom w:val="none" w:sz="0" w:space="0" w:color="auto"/>
        <w:right w:val="none" w:sz="0" w:space="0" w:color="auto"/>
      </w:divBdr>
    </w:div>
    <w:div w:id="852962125">
      <w:bodyDiv w:val="1"/>
      <w:marLeft w:val="0"/>
      <w:marRight w:val="0"/>
      <w:marTop w:val="0"/>
      <w:marBottom w:val="0"/>
      <w:divBdr>
        <w:top w:val="none" w:sz="0" w:space="0" w:color="auto"/>
        <w:left w:val="none" w:sz="0" w:space="0" w:color="auto"/>
        <w:bottom w:val="none" w:sz="0" w:space="0" w:color="auto"/>
        <w:right w:val="none" w:sz="0" w:space="0" w:color="auto"/>
      </w:divBdr>
    </w:div>
    <w:div w:id="896937659">
      <w:bodyDiv w:val="1"/>
      <w:marLeft w:val="0"/>
      <w:marRight w:val="0"/>
      <w:marTop w:val="0"/>
      <w:marBottom w:val="0"/>
      <w:divBdr>
        <w:top w:val="none" w:sz="0" w:space="0" w:color="auto"/>
        <w:left w:val="none" w:sz="0" w:space="0" w:color="auto"/>
        <w:bottom w:val="none" w:sz="0" w:space="0" w:color="auto"/>
        <w:right w:val="none" w:sz="0" w:space="0" w:color="auto"/>
      </w:divBdr>
    </w:div>
    <w:div w:id="972447277">
      <w:bodyDiv w:val="1"/>
      <w:marLeft w:val="0"/>
      <w:marRight w:val="0"/>
      <w:marTop w:val="0"/>
      <w:marBottom w:val="0"/>
      <w:divBdr>
        <w:top w:val="none" w:sz="0" w:space="0" w:color="auto"/>
        <w:left w:val="none" w:sz="0" w:space="0" w:color="auto"/>
        <w:bottom w:val="none" w:sz="0" w:space="0" w:color="auto"/>
        <w:right w:val="none" w:sz="0" w:space="0" w:color="auto"/>
      </w:divBdr>
    </w:div>
    <w:div w:id="982319498">
      <w:bodyDiv w:val="1"/>
      <w:marLeft w:val="0"/>
      <w:marRight w:val="0"/>
      <w:marTop w:val="0"/>
      <w:marBottom w:val="0"/>
      <w:divBdr>
        <w:top w:val="none" w:sz="0" w:space="0" w:color="auto"/>
        <w:left w:val="none" w:sz="0" w:space="0" w:color="auto"/>
        <w:bottom w:val="none" w:sz="0" w:space="0" w:color="auto"/>
        <w:right w:val="none" w:sz="0" w:space="0" w:color="auto"/>
      </w:divBdr>
    </w:div>
    <w:div w:id="1148859408">
      <w:bodyDiv w:val="1"/>
      <w:marLeft w:val="0"/>
      <w:marRight w:val="0"/>
      <w:marTop w:val="0"/>
      <w:marBottom w:val="0"/>
      <w:divBdr>
        <w:top w:val="none" w:sz="0" w:space="0" w:color="auto"/>
        <w:left w:val="none" w:sz="0" w:space="0" w:color="auto"/>
        <w:bottom w:val="none" w:sz="0" w:space="0" w:color="auto"/>
        <w:right w:val="none" w:sz="0" w:space="0" w:color="auto"/>
      </w:divBdr>
    </w:div>
    <w:div w:id="1158577472">
      <w:bodyDiv w:val="1"/>
      <w:marLeft w:val="0"/>
      <w:marRight w:val="0"/>
      <w:marTop w:val="0"/>
      <w:marBottom w:val="0"/>
      <w:divBdr>
        <w:top w:val="none" w:sz="0" w:space="0" w:color="auto"/>
        <w:left w:val="none" w:sz="0" w:space="0" w:color="auto"/>
        <w:bottom w:val="none" w:sz="0" w:space="0" w:color="auto"/>
        <w:right w:val="none" w:sz="0" w:space="0" w:color="auto"/>
      </w:divBdr>
    </w:div>
    <w:div w:id="1181817149">
      <w:bodyDiv w:val="1"/>
      <w:marLeft w:val="0"/>
      <w:marRight w:val="0"/>
      <w:marTop w:val="0"/>
      <w:marBottom w:val="0"/>
      <w:divBdr>
        <w:top w:val="none" w:sz="0" w:space="0" w:color="auto"/>
        <w:left w:val="none" w:sz="0" w:space="0" w:color="auto"/>
        <w:bottom w:val="none" w:sz="0" w:space="0" w:color="auto"/>
        <w:right w:val="none" w:sz="0" w:space="0" w:color="auto"/>
      </w:divBdr>
    </w:div>
    <w:div w:id="1228881649">
      <w:bodyDiv w:val="1"/>
      <w:marLeft w:val="0"/>
      <w:marRight w:val="0"/>
      <w:marTop w:val="0"/>
      <w:marBottom w:val="0"/>
      <w:divBdr>
        <w:top w:val="none" w:sz="0" w:space="0" w:color="auto"/>
        <w:left w:val="none" w:sz="0" w:space="0" w:color="auto"/>
        <w:bottom w:val="none" w:sz="0" w:space="0" w:color="auto"/>
        <w:right w:val="none" w:sz="0" w:space="0" w:color="auto"/>
      </w:divBdr>
    </w:div>
    <w:div w:id="1244532967">
      <w:bodyDiv w:val="1"/>
      <w:marLeft w:val="0"/>
      <w:marRight w:val="0"/>
      <w:marTop w:val="0"/>
      <w:marBottom w:val="0"/>
      <w:divBdr>
        <w:top w:val="none" w:sz="0" w:space="0" w:color="auto"/>
        <w:left w:val="none" w:sz="0" w:space="0" w:color="auto"/>
        <w:bottom w:val="none" w:sz="0" w:space="0" w:color="auto"/>
        <w:right w:val="none" w:sz="0" w:space="0" w:color="auto"/>
      </w:divBdr>
    </w:div>
    <w:div w:id="1341422839">
      <w:bodyDiv w:val="1"/>
      <w:marLeft w:val="0"/>
      <w:marRight w:val="0"/>
      <w:marTop w:val="0"/>
      <w:marBottom w:val="0"/>
      <w:divBdr>
        <w:top w:val="none" w:sz="0" w:space="0" w:color="auto"/>
        <w:left w:val="none" w:sz="0" w:space="0" w:color="auto"/>
        <w:bottom w:val="none" w:sz="0" w:space="0" w:color="auto"/>
        <w:right w:val="none" w:sz="0" w:space="0" w:color="auto"/>
      </w:divBdr>
    </w:div>
    <w:div w:id="1396977099">
      <w:bodyDiv w:val="1"/>
      <w:marLeft w:val="0"/>
      <w:marRight w:val="0"/>
      <w:marTop w:val="0"/>
      <w:marBottom w:val="0"/>
      <w:divBdr>
        <w:top w:val="none" w:sz="0" w:space="0" w:color="auto"/>
        <w:left w:val="none" w:sz="0" w:space="0" w:color="auto"/>
        <w:bottom w:val="none" w:sz="0" w:space="0" w:color="auto"/>
        <w:right w:val="none" w:sz="0" w:space="0" w:color="auto"/>
      </w:divBdr>
    </w:div>
    <w:div w:id="1662081048">
      <w:bodyDiv w:val="1"/>
      <w:marLeft w:val="0"/>
      <w:marRight w:val="0"/>
      <w:marTop w:val="0"/>
      <w:marBottom w:val="0"/>
      <w:divBdr>
        <w:top w:val="none" w:sz="0" w:space="0" w:color="auto"/>
        <w:left w:val="none" w:sz="0" w:space="0" w:color="auto"/>
        <w:bottom w:val="none" w:sz="0" w:space="0" w:color="auto"/>
        <w:right w:val="none" w:sz="0" w:space="0" w:color="auto"/>
      </w:divBdr>
    </w:div>
    <w:div w:id="1885287956">
      <w:bodyDiv w:val="1"/>
      <w:marLeft w:val="0"/>
      <w:marRight w:val="0"/>
      <w:marTop w:val="0"/>
      <w:marBottom w:val="0"/>
      <w:divBdr>
        <w:top w:val="none" w:sz="0" w:space="0" w:color="auto"/>
        <w:left w:val="none" w:sz="0" w:space="0" w:color="auto"/>
        <w:bottom w:val="none" w:sz="0" w:space="0" w:color="auto"/>
        <w:right w:val="none" w:sz="0" w:space="0" w:color="auto"/>
      </w:divBdr>
    </w:div>
    <w:div w:id="1908806069">
      <w:bodyDiv w:val="1"/>
      <w:marLeft w:val="0"/>
      <w:marRight w:val="0"/>
      <w:marTop w:val="0"/>
      <w:marBottom w:val="0"/>
      <w:divBdr>
        <w:top w:val="none" w:sz="0" w:space="0" w:color="auto"/>
        <w:left w:val="none" w:sz="0" w:space="0" w:color="auto"/>
        <w:bottom w:val="none" w:sz="0" w:space="0" w:color="auto"/>
        <w:right w:val="none" w:sz="0" w:space="0" w:color="auto"/>
      </w:divBdr>
    </w:div>
    <w:div w:id="1911692253">
      <w:bodyDiv w:val="1"/>
      <w:marLeft w:val="0"/>
      <w:marRight w:val="0"/>
      <w:marTop w:val="0"/>
      <w:marBottom w:val="0"/>
      <w:divBdr>
        <w:top w:val="none" w:sz="0" w:space="0" w:color="auto"/>
        <w:left w:val="none" w:sz="0" w:space="0" w:color="auto"/>
        <w:bottom w:val="none" w:sz="0" w:space="0" w:color="auto"/>
        <w:right w:val="none" w:sz="0" w:space="0" w:color="auto"/>
      </w:divBdr>
    </w:div>
    <w:div w:id="2025787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4.png"/><Relationship Id="rId3" Type="http://schemas.openxmlformats.org/officeDocument/2006/relationships/numbering" Target="numbering.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infrastructure.gov.au/department/media/publications/evaluation-strategy-2024-2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6.xml"/><Relationship Id="rId10" Type="http://schemas.openxmlformats.org/officeDocument/2006/relationships/image" Target="media/image2.png"/><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eader" Target="header5.xml"/></Relationships>
</file>

<file path=word/_rels/footnotes.xml.rels><?xml version="1.0" encoding="UTF-8" standalone="yes"?>
<Relationships xmlns="http://schemas.openxmlformats.org/package/2006/relationships"><Relationship Id="rId13" Type="http://schemas.openxmlformats.org/officeDocument/2006/relationships/hyperlink" Target="https://www.statista.com/study/78228/consumer-electronics-in-australia/" TargetMode="External"/><Relationship Id="rId18" Type="http://schemas.openxmlformats.org/officeDocument/2006/relationships/hyperlink" Target="https://www.infrastructure.gov.au/department/media/publications/television-and-media-survey-2024-summary-report" TargetMode="External"/><Relationship Id="rId26" Type="http://schemas.openxmlformats.org/officeDocument/2006/relationships/hyperlink" Target="https://www.ofcom.org.uk/__data/assets/pdf_file/0022/249142/Smart-speakers-research.pdf" TargetMode="External"/><Relationship Id="rId39" Type="http://schemas.openxmlformats.org/officeDocument/2006/relationships/hyperlink" Target="https://assets.publishing.service.gov.uk/media/653f90a6d10f35000d9a6b5f/Radio_over_voice_assistant_platforms_IA_-_Published_Version__2_.pdf" TargetMode="External"/><Relationship Id="rId21" Type="http://schemas.openxmlformats.org/officeDocument/2006/relationships/hyperlink" Target="https://www.commercialradio.com.au/Research/Share-of-Audio" TargetMode="External"/><Relationship Id="rId34" Type="http://schemas.openxmlformats.org/officeDocument/2006/relationships/hyperlink" Target="https://www.accc.gov.au/system/files/DPB%20-%20DPSI%20-%20September%202023%20Report%20-%20Interim%20Report%207%20-%20Final%2815835612.1%29.pdf" TargetMode="External"/><Relationship Id="rId42" Type="http://schemas.openxmlformats.org/officeDocument/2006/relationships/hyperlink" Target="https://www.gov.uk/government/publications/media-bill-supporting-documents" TargetMode="External"/><Relationship Id="rId47" Type="http://schemas.openxmlformats.org/officeDocument/2006/relationships/hyperlink" Target="https://committees.parliament.uk/publications/42125/documents/209447/default/" TargetMode="External"/><Relationship Id="rId50" Type="http://schemas.openxmlformats.org/officeDocument/2006/relationships/hyperlink" Target="https://www.ofcom.org.uk/siteassets/resources/documents/research-and-data/data/statistics/2025/audio-report-2025/audio-report-2025.pdf?v=397444" TargetMode="External"/><Relationship Id="rId55" Type="http://schemas.openxmlformats.org/officeDocument/2006/relationships/hyperlink" Target="http://www.alibaba.com" TargetMode="External"/><Relationship Id="rId7" Type="http://schemas.openxmlformats.org/officeDocument/2006/relationships/hyperlink" Target="https://www.acma.gov.au/publications/2023-12/report/communications-and-media-australia-how-we-watch-and-listen-content" TargetMode="External"/><Relationship Id="rId2" Type="http://schemas.openxmlformats.org/officeDocument/2006/relationships/hyperlink" Target="https://www.aph.gov.au/Parliamentary_Business/Committees/Senate/Environment_and_Communications/ProminenceAntiSiphoning/Report" TargetMode="External"/><Relationship Id="rId16" Type="http://schemas.openxmlformats.org/officeDocument/2006/relationships/hyperlink" Target="https://www.accc.gov.au/about-us/publications/serial-publications/digital-platform-services-inquiry-2020-2025/digital-platform-services-inquiry-september-2023-interim-report" TargetMode="External"/><Relationship Id="rId29" Type="http://schemas.openxmlformats.org/officeDocument/2006/relationships/hyperlink" Target="https://assets.publishing.service.gov.uk/media/653f90a6d10f35000d9a6b5f/Radio_over_voice_assistant_platforms_IA_-_Published_Version__2_.pdf" TargetMode="External"/><Relationship Id="rId11" Type="http://schemas.openxmlformats.org/officeDocument/2006/relationships/hyperlink" Target="https://www.infrastructure.gov.au/department/media/publications/television-and-media-survey-2024-summary-report" TargetMode="External"/><Relationship Id="rId24" Type="http://schemas.openxmlformats.org/officeDocument/2006/relationships/hyperlink" Target="https://www.ofcom.org.uk/__data/assets/pdf_file/0022/249142/Smart-speakers-research.pdf" TargetMode="External"/><Relationship Id="rId32" Type="http://schemas.openxmlformats.org/officeDocument/2006/relationships/hyperlink" Target="https://assets.publishing.service.gov.uk/media/653f90a6d10f35000d9a6b5f/Radio_over_voice_assistant_platforms_IA_-_Published_Version__2_.pdf" TargetMode="External"/><Relationship Id="rId37" Type="http://schemas.openxmlformats.org/officeDocument/2006/relationships/hyperlink" Target="https://getdigitalradio.com/wp-content/uploads/2021/10/Frontier-Economics-for-Bauer-Media-Audio-The-value-exchange-between-voice-assistant-platforms-and-radio-broadcasters-August-2021.pdf" TargetMode="External"/><Relationship Id="rId40" Type="http://schemas.openxmlformats.org/officeDocument/2006/relationships/hyperlink" Target="https://assets.publishing.service.gov.uk/media/653f90a6d10f35000d9a6b5f/Radio_over_voice_assistant_platforms_IA_-_Published_Version__2_.pdf" TargetMode="External"/><Relationship Id="rId45" Type="http://schemas.openxmlformats.org/officeDocument/2006/relationships/hyperlink" Target="https://www.ofcom.org.uk/tv-radio-and-on-demand/digital-radio/consultation-designation-of-radio-selection-services-principles-and-methods-for-ofcoms-recommendations" TargetMode="External"/><Relationship Id="rId53" Type="http://schemas.openxmlformats.org/officeDocument/2006/relationships/hyperlink" Target="https://www.aph.gov.au/Parliamentary_Business/Committees/Senate/Environment_and_Communications/ProminenceAntiSiphoning/Report" TargetMode="External"/><Relationship Id="rId58" Type="http://schemas.openxmlformats.org/officeDocument/2006/relationships/hyperlink" Target="https://au.indeed.com/career/compliance-officer/salaries" TargetMode="External"/><Relationship Id="rId5" Type="http://schemas.openxmlformats.org/officeDocument/2006/relationships/hyperlink" Target="https://www.infrastructure.gov.au/department/media/publications/television-and-media-survey-2024-summary-report" TargetMode="External"/><Relationship Id="rId19" Type="http://schemas.openxmlformats.org/officeDocument/2006/relationships/hyperlink" Target="https://www.commercialradio.com.au/Research/Share-of-Audio" TargetMode="External"/><Relationship Id="rId4" Type="http://schemas.openxmlformats.org/officeDocument/2006/relationships/hyperlink" Target="https://www.accc.gov.au/about-us/publications/serial-publications/digital-platform-services-inquiry-2020-2025/digital-platform-services-inquiry-september-2023-interim-report" TargetMode="External"/><Relationship Id="rId9" Type="http://schemas.openxmlformats.org/officeDocument/2006/relationships/hyperlink" Target="https://www.accc.gov.au/about-us/publications/serial-publications/digital-platform-services-inquiry-2020-2025/digital-platform-services-inquiry-september-2023-interim-report" TargetMode="External"/><Relationship Id="rId14" Type="http://schemas.openxmlformats.org/officeDocument/2006/relationships/hyperlink" Target="https://www.accc.gov.au/about-us/publications/serial-publications/digital-platform-services-inquiry-2020-2025/digital-platform-services-inquiry-september-2023-interim-report" TargetMode="External"/><Relationship Id="rId22" Type="http://schemas.openxmlformats.org/officeDocument/2006/relationships/hyperlink" Target="https://www.infrastructure.gov.au/have-your-say/prominence-framework-radio-smart-speakers" TargetMode="External"/><Relationship Id="rId27" Type="http://schemas.openxmlformats.org/officeDocument/2006/relationships/hyperlink" Target="https://www.accc.gov.au/system/files/DPB%20-%20DPSI%20-%20September%202023%20Report%20-%20Interim%20Report%207%20-%20Final%2815835612.1%29.pdf" TargetMode="External"/><Relationship Id="rId30" Type="http://schemas.openxmlformats.org/officeDocument/2006/relationships/hyperlink" Target="https://www.statista.com/forecasts/1187985/smart-speaker-ownership-by-brand-in-australia" TargetMode="External"/><Relationship Id="rId35" Type="http://schemas.openxmlformats.org/officeDocument/2006/relationships/hyperlink" Target="https://www.accc.gov.au/system/files/DPB%20-%20DPSI%20-%20September%202023%20Report%20-%20Interim%20Report%207%20-%20Final%2815835612.1%29.pdf" TargetMode="External"/><Relationship Id="rId43" Type="http://schemas.openxmlformats.org/officeDocument/2006/relationships/hyperlink" Target="https://bills.parliament.uk/bills/3505" TargetMode="External"/><Relationship Id="rId48" Type="http://schemas.openxmlformats.org/officeDocument/2006/relationships/hyperlink" Target="https://oia.pmc.gov.au/resources/guidance-assessing-impacts/regulatory-burden-measurement-framework" TargetMode="External"/><Relationship Id="rId56" Type="http://schemas.openxmlformats.org/officeDocument/2006/relationships/hyperlink" Target="https://www.infrastructure.gov.au/have-your-say/prominence-framework-radio-smart-speakers" TargetMode="External"/><Relationship Id="rId8" Type="http://schemas.openxmlformats.org/officeDocument/2006/relationships/hyperlink" Target="https://www.commercialradio.com.au/Research/Other-Research-Insights/The-Smart-Audio-Report-Australia/2021" TargetMode="External"/><Relationship Id="rId51" Type="http://schemas.openxmlformats.org/officeDocument/2006/relationships/hyperlink" Target="https://www.infrastructure.gov.au/have-your-say/prominence-framework-radio-smart-speakers" TargetMode="External"/><Relationship Id="rId3" Type="http://schemas.openxmlformats.org/officeDocument/2006/relationships/hyperlink" Target="https://www.infrastructure.gov.au/have-your-say/prominence-framework-radio-smart-speakers" TargetMode="External"/><Relationship Id="rId12" Type="http://schemas.openxmlformats.org/officeDocument/2006/relationships/hyperlink" Target="https://www.infrastructure.gov.au/department/media/publications/television-and-media-survey-2024-summary-report" TargetMode="External"/><Relationship Id="rId17" Type="http://schemas.openxmlformats.org/officeDocument/2006/relationships/hyperlink" Target="https://www.statista.com/study/78228/consumer-electronics-in-australia/" TargetMode="External"/><Relationship Id="rId25" Type="http://schemas.openxmlformats.org/officeDocument/2006/relationships/hyperlink" Target="https://www.ofcom.org.uk/__data/assets/pdf_file/0022/249142/Smart-speakers-research.pdf" TargetMode="External"/><Relationship Id="rId33" Type="http://schemas.openxmlformats.org/officeDocument/2006/relationships/hyperlink" Target="https://www.accc.gov.au/system/files/DPB%20-%20DPSI%20-%20September%202023%20Report%20-%20Interim%20Report%207%20-%20Final%2815835612.1%29.pdf" TargetMode="External"/><Relationship Id="rId38" Type="http://schemas.openxmlformats.org/officeDocument/2006/relationships/hyperlink" Target="https://assets.publishing.service.gov.uk/media/653f90a6d10f35000d9a6b5f/Radio_over_voice_assistant_platforms_IA_-_Published_Version__2_.pdf" TargetMode="External"/><Relationship Id="rId46" Type="http://schemas.openxmlformats.org/officeDocument/2006/relationships/hyperlink" Target="https://www.ofcom.org.uk/tv-radio-and-on-demand/public-service-broadcasting/media-bill-roadmap-to-regulation" TargetMode="External"/><Relationship Id="rId59" Type="http://schemas.openxmlformats.org/officeDocument/2006/relationships/hyperlink" Target="https://au.indeed.com/career/software-engineer/salaries?from=top_sb" TargetMode="External"/><Relationship Id="rId20" Type="http://schemas.openxmlformats.org/officeDocument/2006/relationships/hyperlink" Target="https://www.commercialradio.com.au/Research/Share-of-Audio" TargetMode="External"/><Relationship Id="rId41" Type="http://schemas.openxmlformats.org/officeDocument/2006/relationships/hyperlink" Target="https://www.gov.uk/government/publications/media-bill-supporting-documents" TargetMode="External"/><Relationship Id="rId54" Type="http://schemas.openxmlformats.org/officeDocument/2006/relationships/hyperlink" Target="https://www.alibaba.com/product-insights/why-is-my-smart-speaker-not-responding-and-how-to-troubleshoot-voice-commands.html" TargetMode="External"/><Relationship Id="rId1" Type="http://schemas.openxmlformats.org/officeDocument/2006/relationships/hyperlink" Target="https://assets.publishing.service.gov.uk/media/653f90a6d10f35000d9a6b5f/Radio_over_voice_assistant_platforms_IA_-_Published_Version__2_.pdf" TargetMode="External"/><Relationship Id="rId6" Type="http://schemas.openxmlformats.org/officeDocument/2006/relationships/hyperlink" Target="https://www.canberra.edu.au/research/faculty-research-centres/nmrc/digital-news-report-australia" TargetMode="External"/><Relationship Id="rId15" Type="http://schemas.openxmlformats.org/officeDocument/2006/relationships/hyperlink" Target="https://techreport.com/statistics/voice-search-statistics/" TargetMode="External"/><Relationship Id="rId23" Type="http://schemas.openxmlformats.org/officeDocument/2006/relationships/hyperlink" Target="https://www.infrastructure.gov.au/have-your-say/prominence-framework-radio-smart-speakers" TargetMode="External"/><Relationship Id="rId28" Type="http://schemas.openxmlformats.org/officeDocument/2006/relationships/hyperlink" Target="https://assets.publishing.service.gov.uk/media/653f90a6d10f35000d9a6b5f/Radio_over_voice_assistant_platforms_IA_-_Published_Version__2_.pdf" TargetMode="External"/><Relationship Id="rId36" Type="http://schemas.openxmlformats.org/officeDocument/2006/relationships/hyperlink" Target="https://getdigitalradio.com/wp-content/uploads/2021/10/Frontier-Economics-for-Bauer-Media-Audio-The-value-exchange-between-voice-assistant-platforms-and-radio-broadcasters-August-2021.pdf" TargetMode="External"/><Relationship Id="rId49" Type="http://schemas.openxmlformats.org/officeDocument/2006/relationships/hyperlink" Target="https://www.infrastructure.gov.au/have-your-say/prominence-framework-radio-smart-speakers" TargetMode="External"/><Relationship Id="rId57" Type="http://schemas.openxmlformats.org/officeDocument/2006/relationships/hyperlink" Target="https://www.infrastructure.gov.au/have-your-say/prominence-framework-radio-smart-speakers" TargetMode="External"/><Relationship Id="rId10" Type="http://schemas.openxmlformats.org/officeDocument/2006/relationships/hyperlink" Target="https://www.acma.gov.au/publications/2023-12/report/communications-and-media-australia-how-we-watch-and-listen-content" TargetMode="External"/><Relationship Id="rId31" Type="http://schemas.openxmlformats.org/officeDocument/2006/relationships/hyperlink" Target="https://www.statista.com/forecasts/1187985/smart-speaker-ownership-by-brand-in-australia" TargetMode="External"/><Relationship Id="rId44" Type="http://schemas.openxmlformats.org/officeDocument/2006/relationships/hyperlink" Target="https://bills.parliament.uk/bills/3505" TargetMode="External"/><Relationship Id="rId52" Type="http://schemas.openxmlformats.org/officeDocument/2006/relationships/hyperlink" Target="https://www.infrastructure.gov.au/department/media/publications/television-and-media-survey-2024-summary-report" TargetMode="External"/><Relationship Id="rId60" Type="http://schemas.openxmlformats.org/officeDocument/2006/relationships/hyperlink" Target="https://cra.au/network" TargetMode="External"/></Relationships>
</file>

<file path=word/theme/theme1.xml><?xml version="1.0" encoding="utf-8"?>
<a:theme xmlns:a="http://schemas.openxmlformats.org/drawingml/2006/main" name="Office Theme">
  <a:themeElements>
    <a:clrScheme name="INFRA 2022">
      <a:dk1>
        <a:srgbClr val="000000"/>
      </a:dk1>
      <a:lt1>
        <a:srgbClr val="FFFFFF"/>
      </a:lt1>
      <a:dk2>
        <a:srgbClr val="081E3E"/>
      </a:dk2>
      <a:lt2>
        <a:srgbClr val="E7E7E7"/>
      </a:lt2>
      <a:accent1>
        <a:srgbClr val="081E3E"/>
      </a:accent1>
      <a:accent2>
        <a:srgbClr val="008089"/>
      </a:accent2>
      <a:accent3>
        <a:srgbClr val="77D1F4"/>
      </a:accent3>
      <a:accent4>
        <a:srgbClr val="9AA3AF"/>
      </a:accent4>
      <a:accent5>
        <a:srgbClr val="C0D48F"/>
      </a:accent5>
      <a:accent6>
        <a:srgbClr val="6FC197"/>
      </a:accent6>
      <a:hlink>
        <a:srgbClr val="0046FF"/>
      </a:hlink>
      <a:folHlink>
        <a:srgbClr val="0046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8481EDE-CF50-4971-83F7-9DEF9F2117E8}">
  <ds:schemaRefs>
    <ds:schemaRef ds:uri="http://schemas.openxmlformats.org/officeDocument/2006/bibliography"/>
  </ds:schemaRefs>
</ds:datastoreItem>
</file>

<file path=docMetadata/LabelInfo.xml><?xml version="1.0" encoding="utf-8"?>
<clbl:labelList xmlns:clbl="http://schemas.microsoft.com/office/2020/mipLabelMetadata">
  <clbl:label id="{1e08a618-4c1e-4517-8ef1-59cb63d68e36}" enabled="1" method="Privileged" siteId="{aa21b640-bac2-456d-8505-f2cc07f51784}" contentBits="3" removed="0"/>
</clbl:labelList>
</file>

<file path=docProps/app.xml><?xml version="1.0" encoding="utf-8"?>
<Properties xmlns="http://schemas.openxmlformats.org/officeDocument/2006/extended-properties" xmlns:vt="http://schemas.openxmlformats.org/officeDocument/2006/docPropsVTypes">
  <Template>Normal</Template>
  <TotalTime>0</TotalTime>
  <Pages>42</Pages>
  <Words>17230</Words>
  <Characters>98214</Characters>
  <Application>Microsoft Office Word</Application>
  <DocSecurity>0</DocSecurity>
  <Lines>818</Lines>
  <Paragraphs>230</Paragraphs>
  <ScaleCrop>false</ScaleCrop>
  <Company/>
  <LinksUpToDate>false</LinksUpToDate>
  <CharactersWithSpaces>115214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2026-09-07T04:57:00Z</dcterms:created>
  <dcterms:modified xsi:type="dcterms:W3CDTF">2026-09-07T04:58:00Z</dcterms:modified>
  <cp:contentStatus/>
</cp:coreProperties>
</file>