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76D20" w14:textId="784CFC15" w:rsidR="00A62EF3" w:rsidRPr="00892D49" w:rsidRDefault="005D7C45" w:rsidP="002356F8">
      <w:pPr>
        <w:pStyle w:val="Title"/>
        <w:spacing w:after="120"/>
        <w:rPr>
          <w:sz w:val="44"/>
          <w:szCs w:val="52"/>
        </w:rPr>
      </w:pPr>
      <w:bookmarkStart w:id="0" w:name="_Toc96326909"/>
      <w:r w:rsidRPr="00892D49">
        <w:rPr>
          <w:sz w:val="44"/>
          <w:szCs w:val="52"/>
        </w:rPr>
        <w:t xml:space="preserve">Dashboard </w:t>
      </w:r>
      <w:r w:rsidR="00936C83">
        <w:rPr>
          <w:sz w:val="44"/>
          <w:szCs w:val="52"/>
        </w:rPr>
        <w:t>I</w:t>
      </w:r>
      <w:r w:rsidR="00936C83" w:rsidRPr="00892D49">
        <w:rPr>
          <w:sz w:val="44"/>
          <w:szCs w:val="52"/>
        </w:rPr>
        <w:t xml:space="preserve">mpact </w:t>
      </w:r>
      <w:r w:rsidR="00936C83">
        <w:rPr>
          <w:sz w:val="44"/>
          <w:szCs w:val="52"/>
        </w:rPr>
        <w:t>A</w:t>
      </w:r>
      <w:r w:rsidR="00936C83" w:rsidRPr="00892D49">
        <w:rPr>
          <w:sz w:val="44"/>
          <w:szCs w:val="52"/>
        </w:rPr>
        <w:t xml:space="preserve">nalysis </w:t>
      </w:r>
      <w:r w:rsidR="00232964" w:rsidRPr="00892D49">
        <w:rPr>
          <w:sz w:val="44"/>
          <w:szCs w:val="52"/>
        </w:rPr>
        <w:t xml:space="preserve">(IA) </w:t>
      </w:r>
      <w:r w:rsidR="005F66F9" w:rsidRPr="00892D49">
        <w:rPr>
          <w:sz w:val="44"/>
          <w:szCs w:val="52"/>
        </w:rPr>
        <w:t xml:space="preserve">– </w:t>
      </w:r>
      <w:r w:rsidR="00EE11A7">
        <w:rPr>
          <w:sz w:val="44"/>
          <w:szCs w:val="52"/>
        </w:rPr>
        <w:t xml:space="preserve">Proposed declaration of qualified accountants under </w:t>
      </w:r>
      <w:r w:rsidR="00EE11A7" w:rsidRPr="008E2CA5">
        <w:rPr>
          <w:i/>
          <w:iCs/>
          <w:sz w:val="44"/>
          <w:szCs w:val="52"/>
        </w:rPr>
        <w:t>ASIC Corporations (Qualified Accountant) Instrument 2026/734</w:t>
      </w:r>
    </w:p>
    <w:p w14:paraId="00D22272" w14:textId="71E205CF" w:rsidR="00A62EF3" w:rsidRPr="00892D49" w:rsidRDefault="009B51F2" w:rsidP="0091141A">
      <w:pPr>
        <w:pStyle w:val="Subtitle"/>
        <w:rPr>
          <w:sz w:val="24"/>
          <w:szCs w:val="28"/>
        </w:rPr>
      </w:pPr>
      <w:r>
        <w:rPr>
          <w:sz w:val="24"/>
          <w:szCs w:val="28"/>
        </w:rPr>
        <w:t>Australian Securities and Investments Commission</w:t>
      </w:r>
      <w:r w:rsidR="00DA5F32">
        <w:rPr>
          <w:sz w:val="24"/>
          <w:szCs w:val="28"/>
        </w:rPr>
        <w:t xml:space="preserve"> (ASIC)</w:t>
      </w:r>
    </w:p>
    <w:bookmarkEnd w:id="0"/>
    <w:p w14:paraId="05EFC034" w14:textId="77777777" w:rsidR="00A62EF3" w:rsidRPr="0091141A" w:rsidRDefault="006C7E16" w:rsidP="0026634E">
      <w:pPr>
        <w:pStyle w:val="Heading1"/>
      </w:pPr>
      <w:r w:rsidRPr="0091141A">
        <w:t>The proposed policy approach and policy problem addressing</w:t>
      </w:r>
    </w:p>
    <w:p w14:paraId="59AD4B97" w14:textId="77777777" w:rsidR="001B2C89" w:rsidRDefault="005F3B45" w:rsidP="001B2C89">
      <w:pPr>
        <w:pStyle w:val="Heading2"/>
      </w:pPr>
      <w:r w:rsidRPr="005F3B45">
        <w:t>Proposed approach</w:t>
      </w:r>
    </w:p>
    <w:p w14:paraId="13F90FEF" w14:textId="77777777" w:rsidR="00552E6F" w:rsidRDefault="00552E6F" w:rsidP="00552E6F">
      <w:r w:rsidRPr="00D40DB1">
        <w:t xml:space="preserve">ASIC proposes to make the </w:t>
      </w:r>
      <w:r w:rsidRPr="006D662A">
        <w:rPr>
          <w:i/>
          <w:iCs/>
        </w:rPr>
        <w:t>ASIC Corporations (Qualified Accountant) Instrument 2026/734</w:t>
      </w:r>
      <w:r w:rsidRPr="00D40DB1">
        <w:t xml:space="preserve">, </w:t>
      </w:r>
      <w:r w:rsidRPr="00552E6F">
        <w:t>which declares specified classes of members of certain Australian and foreign professional accounting bodies to be qualified accountants for the purposes of the Corporations Act. The Instrument would designate</w:t>
      </w:r>
      <w:r>
        <w:t>:</w:t>
      </w:r>
      <w:r w:rsidRPr="00552E6F">
        <w:t xml:space="preserve"> </w:t>
      </w:r>
    </w:p>
    <w:p w14:paraId="0DA179A4" w14:textId="77777777" w:rsidR="00552E6F" w:rsidRDefault="00552E6F" w:rsidP="006D662A">
      <w:pPr>
        <w:pStyle w:val="ListParagraph"/>
        <w:numPr>
          <w:ilvl w:val="0"/>
          <w:numId w:val="44"/>
        </w:numPr>
      </w:pPr>
      <w:r w:rsidRPr="00552E6F">
        <w:t>members of CPA Australia, Chartered Accountants Australia and New Zealand, and the Institute of Public Accountants as qualified accountants, reflecting that these are the only Australian accounting bodies with an approved Professional Standards Scheme</w:t>
      </w:r>
      <w:r>
        <w:t xml:space="preserve">; </w:t>
      </w:r>
    </w:p>
    <w:p w14:paraId="7106EEAD" w14:textId="13C4CF2B" w:rsidR="00552E6F" w:rsidRPr="00552E6F" w:rsidRDefault="00552E6F" w:rsidP="006D662A">
      <w:pPr>
        <w:pStyle w:val="ListParagraph"/>
        <w:numPr>
          <w:ilvl w:val="0"/>
          <w:numId w:val="44"/>
        </w:numPr>
      </w:pPr>
      <w:r w:rsidRPr="00552E6F">
        <w:t xml:space="preserve">members of specified professional accounting bodies in the United States, Canada and the United Kingdom in limited circumstances where they have at least three years of practical accounting or auditing experience and provide advice to a person resident in the same country. </w:t>
      </w:r>
    </w:p>
    <w:p w14:paraId="73BFB6E8" w14:textId="0C05F6D3" w:rsidR="00223691" w:rsidRDefault="00552E6F" w:rsidP="00552E6F">
      <w:r w:rsidRPr="00552E6F">
        <w:t xml:space="preserve">The proposed approach is preferred because it maintains an established framework for identifying appropriately qualified professionals who can certify whether a person satisfies the sophisticated investor and wholesale client tests under the </w:t>
      </w:r>
      <w:r w:rsidRPr="00C826E8">
        <w:rPr>
          <w:i/>
          <w:iCs/>
        </w:rPr>
        <w:t>Corporations Act</w:t>
      </w:r>
      <w:r w:rsidR="00C826E8" w:rsidRPr="00C826E8">
        <w:rPr>
          <w:i/>
          <w:iCs/>
        </w:rPr>
        <w:t xml:space="preserve"> 2001</w:t>
      </w:r>
      <w:r w:rsidR="00C826E8">
        <w:t xml:space="preserve"> (</w:t>
      </w:r>
      <w:r w:rsidR="00C826E8" w:rsidRPr="00C826E8">
        <w:rPr>
          <w:b/>
          <w:bCs/>
        </w:rPr>
        <w:t>Corporations Act</w:t>
      </w:r>
      <w:r w:rsidR="00C826E8">
        <w:t>)</w:t>
      </w:r>
      <w:r w:rsidR="00223691">
        <w:t>.</w:t>
      </w:r>
      <w:r w:rsidRPr="00552E6F">
        <w:t xml:space="preserve"> </w:t>
      </w:r>
    </w:p>
    <w:p w14:paraId="2E3CD366" w14:textId="0C4FFD93" w:rsidR="00552E6F" w:rsidRPr="00552E6F" w:rsidRDefault="00552E6F" w:rsidP="00552E6F">
      <w:r w:rsidRPr="00552E6F">
        <w:t xml:space="preserve">The objective of the Instrument is to facilitate the effective operation of the sophisticated investor and wholesale client regimes by providing certainty about who may issue the </w:t>
      </w:r>
      <w:r w:rsidR="00223691">
        <w:t xml:space="preserve">‘qualified </w:t>
      </w:r>
      <w:r w:rsidRPr="00552E6F">
        <w:t>accountant</w:t>
      </w:r>
      <w:r w:rsidR="00223691">
        <w:t xml:space="preserve">’ </w:t>
      </w:r>
      <w:r w:rsidRPr="00552E6F">
        <w:t xml:space="preserve">certificates. </w:t>
      </w:r>
    </w:p>
    <w:p w14:paraId="0B93EC6C" w14:textId="77777777" w:rsidR="001B2C89" w:rsidRDefault="005F3B45" w:rsidP="001B2C89">
      <w:pPr>
        <w:pStyle w:val="Heading2"/>
      </w:pPr>
      <w:r w:rsidRPr="005F3B45">
        <w:t>Policy problem</w:t>
      </w:r>
    </w:p>
    <w:p w14:paraId="7D64A86B" w14:textId="473EAEB2" w:rsidR="00F62B99" w:rsidRPr="00F62B99" w:rsidRDefault="00F62B99" w:rsidP="00F62B99">
      <w:r>
        <w:t>Qualified</w:t>
      </w:r>
      <w:r w:rsidRPr="00F62B99">
        <w:t xml:space="preserve"> accountant certificates are used to determine whether a person satisfies the sophisticated investor and wholesale client tests, which affect the disclosure and licensing obligations that apply to offers of financial products and financial services. Qualified accountants are also relevant to certain audit relief available to proprietary companies.</w:t>
      </w:r>
    </w:p>
    <w:p w14:paraId="24F09AF5" w14:textId="49EE0105" w:rsidR="00F62B99" w:rsidRDefault="00F62B99" w:rsidP="009B51F2">
      <w:r>
        <w:t xml:space="preserve">Specifically: </w:t>
      </w:r>
    </w:p>
    <w:p w14:paraId="213AFB52" w14:textId="7522F605" w:rsidR="009B51F2" w:rsidRPr="00F62B99" w:rsidRDefault="009B51F2" w:rsidP="00F62B99">
      <w:pPr>
        <w:pStyle w:val="ListParagraph"/>
        <w:numPr>
          <w:ilvl w:val="0"/>
          <w:numId w:val="45"/>
        </w:numPr>
        <w:rPr>
          <w:rFonts w:cs="Segoe UI"/>
        </w:rPr>
      </w:pPr>
      <w:r w:rsidRPr="009B51F2">
        <w:t>Under</w:t>
      </w:r>
      <w:r w:rsidRPr="00F62B99">
        <w:rPr>
          <w:rFonts w:cs="Segoe UI"/>
        </w:rPr>
        <w:t xml:space="preserve"> paragraph 708(8)(c) of the </w:t>
      </w:r>
      <w:r w:rsidRPr="00C826E8">
        <w:rPr>
          <w:rFonts w:cs="Segoe UI"/>
        </w:rPr>
        <w:t>Corporations Act,</w:t>
      </w:r>
      <w:r w:rsidRPr="00F62B99">
        <w:rPr>
          <w:rFonts w:cs="Segoe UI"/>
        </w:rPr>
        <w:t xml:space="preserve"> a body does not need to provide a disclosure document for an offer of its securities under Part 6D.2 of the Corporations Act, to a sophisticated investor, that is, a person who has been given a certificate by a qualified accountant, no more than two years before the offer is made, and the person has net assets </w:t>
      </w:r>
      <w:r w:rsidRPr="00F62B99">
        <w:rPr>
          <w:rFonts w:cs="Segoe UI"/>
        </w:rPr>
        <w:lastRenderedPageBreak/>
        <w:t>of at least $2.5 million or gross income for each of the last two financial years of at least $250,000: see also r6D.2.03 and r6D.5.02 of the </w:t>
      </w:r>
      <w:r w:rsidRPr="00F62B99">
        <w:rPr>
          <w:rFonts w:cs="Segoe UI"/>
          <w:i/>
          <w:iCs/>
        </w:rPr>
        <w:t>Corporations Regulations 2001</w:t>
      </w:r>
      <w:r w:rsidRPr="00F62B99">
        <w:rPr>
          <w:rFonts w:cs="Segoe UI"/>
        </w:rPr>
        <w:t> (</w:t>
      </w:r>
      <w:proofErr w:type="spellStart"/>
      <w:r w:rsidRPr="00F62B99">
        <w:rPr>
          <w:rFonts w:cs="Segoe UI"/>
        </w:rPr>
        <w:t>Cth</w:t>
      </w:r>
      <w:proofErr w:type="spellEnd"/>
      <w:r w:rsidRPr="00F62B99">
        <w:rPr>
          <w:rFonts w:cs="Segoe UI"/>
        </w:rPr>
        <w:t>) (</w:t>
      </w:r>
      <w:r w:rsidRPr="00F62B99">
        <w:rPr>
          <w:rFonts w:cs="Segoe UI"/>
          <w:b/>
          <w:bCs/>
        </w:rPr>
        <w:t>Corporations Regulations</w:t>
      </w:r>
      <w:r w:rsidRPr="00F62B99">
        <w:rPr>
          <w:rFonts w:cs="Segoe UI"/>
        </w:rPr>
        <w:t>).</w:t>
      </w:r>
      <w:r w:rsidRPr="00F62B99">
        <w:rPr>
          <w:rFonts w:ascii="Arial" w:hAnsi="Arial"/>
        </w:rPr>
        <w:t>   </w:t>
      </w:r>
      <w:r w:rsidRPr="00F62B99">
        <w:rPr>
          <w:rFonts w:cs="Segoe UI"/>
        </w:rPr>
        <w:t> </w:t>
      </w:r>
    </w:p>
    <w:p w14:paraId="6EC844D7" w14:textId="77777777" w:rsidR="009B51F2" w:rsidRPr="00F62B99" w:rsidRDefault="009B51F2" w:rsidP="00F62B99">
      <w:pPr>
        <w:pStyle w:val="ListParagraph"/>
        <w:numPr>
          <w:ilvl w:val="0"/>
          <w:numId w:val="45"/>
        </w:numPr>
        <w:rPr>
          <w:rFonts w:cs="Segoe UI"/>
        </w:rPr>
      </w:pPr>
      <w:r w:rsidRPr="00F62B99">
        <w:rPr>
          <w:rFonts w:cs="Segoe UI"/>
        </w:rPr>
        <w:t>Under paragraph 761G(7)(c) of the Corporations Act certain financial products or financial services can be provided to a person, as a wholesale client, if a certificate is given by a qualified accountant, within the preceding two years, and the person meets the same prescribed net asset and gross income thresholds: see also r7.1.28 and 7.6.02AF of the Corporations Regulations. </w:t>
      </w:r>
    </w:p>
    <w:p w14:paraId="1405D3F6" w14:textId="1FC003BA" w:rsidR="009B51F2" w:rsidRPr="00F62B99" w:rsidRDefault="009B51F2" w:rsidP="00F62B99">
      <w:pPr>
        <w:pStyle w:val="ListParagraph"/>
        <w:numPr>
          <w:ilvl w:val="0"/>
          <w:numId w:val="45"/>
        </w:numPr>
        <w:rPr>
          <w:rFonts w:cs="Arial"/>
        </w:rPr>
      </w:pPr>
      <w:r>
        <w:t xml:space="preserve">Under </w:t>
      </w:r>
      <w:r w:rsidR="00E70C57" w:rsidRPr="00F62B99">
        <w:rPr>
          <w:rFonts w:cs="Arial"/>
          <w:i/>
          <w:iCs/>
        </w:rPr>
        <w:t>ASIC Corporations (Auditing) Instrument 2026/469</w:t>
      </w:r>
      <w:r>
        <w:t>, audit relief is available to certain proprietary companies if, among other things, the financial report of the company has been compiled by a qualified accountant</w:t>
      </w:r>
      <w:r w:rsidR="00E63509">
        <w:t xml:space="preserve"> who is a member of a specified Australian </w:t>
      </w:r>
      <w:r w:rsidR="00BB3B5B">
        <w:t>professional body</w:t>
      </w:r>
      <w:r>
        <w:t xml:space="preserve"> (or other accountant approved by ASIC for that purpose). </w:t>
      </w:r>
    </w:p>
    <w:p w14:paraId="4A49CD74" w14:textId="0D47D0EB" w:rsidR="00F62B99" w:rsidRPr="006174BB" w:rsidRDefault="00F62B99" w:rsidP="006174BB">
      <w:r w:rsidRPr="006174BB">
        <w:t>A person is only a qualified accountant if they belong to a professional body approved by ASIC under subsection 88</w:t>
      </w:r>
      <w:proofErr w:type="gramStart"/>
      <w:r w:rsidRPr="006174BB">
        <w:t>B(</w:t>
      </w:r>
      <w:proofErr w:type="gramEnd"/>
      <w:r w:rsidRPr="006174BB">
        <w:t>2) of the Corporations Act. Without an ASIC instrument identifying the professional bodies whose members are qualified accountants, there would be uncertainty about who may issue the certificates and assessments required under these provisions. This could affect the operation of the sophisticated investor</w:t>
      </w:r>
      <w:r w:rsidR="00840493" w:rsidRPr="006174BB">
        <w:t xml:space="preserve"> and</w:t>
      </w:r>
      <w:r w:rsidRPr="006174BB">
        <w:t xml:space="preserve"> wholesale client regimes and increase compliance costs for affected businesses and investors.</w:t>
      </w:r>
    </w:p>
    <w:p w14:paraId="0A97031F" w14:textId="4409B7EC" w:rsidR="0091141A" w:rsidRDefault="006C7E16" w:rsidP="00C826E8">
      <w:pPr>
        <w:pStyle w:val="Heading1"/>
      </w:pPr>
      <w:r w:rsidRPr="0091141A">
        <w:t xml:space="preserve">Summary of impacts and methodology </w:t>
      </w:r>
    </w:p>
    <w:p w14:paraId="2D485972" w14:textId="656713C2" w:rsidR="001560A0" w:rsidRPr="001560A0" w:rsidRDefault="00F62B99" w:rsidP="001560A0">
      <w:r>
        <w:t>I</w:t>
      </w:r>
      <w:r w:rsidRPr="00F62B99">
        <w:t xml:space="preserve">mpacts were assessed by comparing the proposed approach of continuing to declare specified members of professional accounting bodies as qualified accountants against the status quo and the alternative of not making the declaration. </w:t>
      </w:r>
      <w:r w:rsidR="001560A0" w:rsidRPr="00F62B99">
        <w:t>The analysis weighs qualitative</w:t>
      </w:r>
      <w:r w:rsidR="001560A0">
        <w:t xml:space="preserve"> social and </w:t>
      </w:r>
      <w:r w:rsidR="001560A0" w:rsidRPr="00F62B99">
        <w:t>economic benefits against</w:t>
      </w:r>
      <w:r>
        <w:t xml:space="preserve"> qualitative </w:t>
      </w:r>
      <w:r w:rsidR="001560A0" w:rsidRPr="00F62B99">
        <w:t>regulatory and compliance costs to businesses</w:t>
      </w:r>
      <w:r w:rsidR="001560A0">
        <w:t>.</w:t>
      </w:r>
    </w:p>
    <w:tbl>
      <w:tblPr>
        <w:tblStyle w:val="Style1"/>
        <w:tblW w:w="5000" w:type="pct"/>
        <w:tblBorders>
          <w:top w:val="single" w:sz="8" w:space="0" w:color="0F1F35" w:themeColor="text2"/>
          <w:left w:val="single" w:sz="8" w:space="0" w:color="0F1F35" w:themeColor="text2"/>
          <w:bottom w:val="single" w:sz="8" w:space="0" w:color="0F1F35" w:themeColor="text2"/>
          <w:right w:val="single" w:sz="8" w:space="0" w:color="0F1F35" w:themeColor="text2"/>
          <w:insideH w:val="single" w:sz="8" w:space="0" w:color="0F1F35" w:themeColor="text2"/>
          <w:insideV w:val="single" w:sz="8" w:space="0" w:color="0F1F35" w:themeColor="text2"/>
        </w:tblBorders>
        <w:tblCellMar>
          <w:left w:w="85" w:type="dxa"/>
          <w:right w:w="85" w:type="dxa"/>
        </w:tblCellMar>
        <w:tblLook w:val="0620" w:firstRow="1" w:lastRow="0" w:firstColumn="0" w:lastColumn="0" w:noHBand="1" w:noVBand="1"/>
      </w:tblPr>
      <w:tblGrid>
        <w:gridCol w:w="1430"/>
        <w:gridCol w:w="1929"/>
        <w:gridCol w:w="1929"/>
        <w:gridCol w:w="1929"/>
        <w:gridCol w:w="2401"/>
      </w:tblGrid>
      <w:tr w:rsidR="00364D89" w14:paraId="674C87AC" w14:textId="77777777" w:rsidTr="00397435">
        <w:trPr>
          <w:cnfStyle w:val="100000000000" w:firstRow="1" w:lastRow="0" w:firstColumn="0" w:lastColumn="0" w:oddVBand="0" w:evenVBand="0" w:oddHBand="0" w:evenHBand="0" w:firstRowFirstColumn="0" w:firstRowLastColumn="0" w:lastRowFirstColumn="0" w:lastRowLastColumn="0"/>
          <w:tblHeader/>
        </w:trPr>
        <w:tc>
          <w:tcPr>
            <w:tcW w:w="743" w:type="pct"/>
            <w:shd w:val="clear" w:color="auto" w:fill="0F1F35" w:themeFill="text2"/>
          </w:tcPr>
          <w:p w14:paraId="5E5F665F" w14:textId="77777777" w:rsidR="00364D89" w:rsidRPr="0004246F" w:rsidRDefault="00364D89" w:rsidP="00517D42">
            <w:pPr>
              <w:pStyle w:val="TBLText"/>
              <w:spacing w:after="0"/>
              <w:rPr>
                <w:color w:val="FFFFFF" w:themeColor="background1"/>
              </w:rPr>
            </w:pPr>
            <w:r w:rsidRPr="0004246F">
              <w:rPr>
                <w:color w:val="FFFFFF" w:themeColor="background1"/>
              </w:rPr>
              <w:t>Option</w:t>
            </w:r>
          </w:p>
        </w:tc>
        <w:tc>
          <w:tcPr>
            <w:tcW w:w="1003" w:type="pct"/>
            <w:shd w:val="clear" w:color="auto" w:fill="0F1F35" w:themeFill="text2"/>
          </w:tcPr>
          <w:p w14:paraId="0CE72780" w14:textId="77777777" w:rsidR="00364D89" w:rsidRPr="0004246F" w:rsidRDefault="00364D89" w:rsidP="006174BB">
            <w:pPr>
              <w:pStyle w:val="TBLText"/>
              <w:spacing w:after="0"/>
              <w:rPr>
                <w:color w:val="FFFFFF" w:themeColor="background1"/>
              </w:rPr>
            </w:pPr>
            <w:r w:rsidRPr="0004246F">
              <w:rPr>
                <w:color w:val="FFFFFF" w:themeColor="background1"/>
              </w:rPr>
              <w:t xml:space="preserve">Benefits </w:t>
            </w:r>
            <w:r w:rsidRPr="0004246F">
              <w:rPr>
                <w:color w:val="FFFFFF" w:themeColor="background1"/>
              </w:rPr>
              <w:br/>
              <w:t>(</w:t>
            </w:r>
            <w:r w:rsidR="00613F08">
              <w:rPr>
                <w:color w:val="FFFFFF" w:themeColor="background1"/>
              </w:rPr>
              <w:t>[</w:t>
            </w:r>
            <w:r w:rsidR="00542ECD">
              <w:rPr>
                <w:color w:val="FFFFFF" w:themeColor="background1"/>
              </w:rPr>
              <w:t>X</w:t>
            </w:r>
            <w:r w:rsidR="001B2C89">
              <w:rPr>
                <w:color w:val="FFFFFF" w:themeColor="background1"/>
              </w:rPr>
              <w:t xml:space="preserve">$ unit (e.g. p/a) </w:t>
            </w:r>
            <w:r w:rsidR="00DD1D15">
              <w:rPr>
                <w:color w:val="FFFFFF" w:themeColor="background1"/>
              </w:rPr>
              <w:t>over x years</w:t>
            </w:r>
            <w:r w:rsidR="00613F08">
              <w:rPr>
                <w:color w:val="FFFFFF" w:themeColor="background1"/>
              </w:rPr>
              <w:t>]</w:t>
            </w:r>
            <w:r w:rsidRPr="0004246F">
              <w:rPr>
                <w:color w:val="FFFFFF" w:themeColor="background1"/>
              </w:rPr>
              <w:t>)</w:t>
            </w:r>
          </w:p>
        </w:tc>
        <w:tc>
          <w:tcPr>
            <w:tcW w:w="1003" w:type="pct"/>
            <w:shd w:val="clear" w:color="auto" w:fill="0F1F35" w:themeFill="text2"/>
          </w:tcPr>
          <w:p w14:paraId="1AE31CF0" w14:textId="77777777" w:rsidR="00364D89" w:rsidRPr="0004246F" w:rsidRDefault="00364D89" w:rsidP="006174BB">
            <w:pPr>
              <w:pStyle w:val="TBLText"/>
              <w:spacing w:after="0"/>
              <w:rPr>
                <w:color w:val="FFFFFF" w:themeColor="background1"/>
              </w:rPr>
            </w:pPr>
            <w:r w:rsidRPr="0004246F">
              <w:rPr>
                <w:color w:val="FFFFFF" w:themeColor="background1"/>
              </w:rPr>
              <w:t xml:space="preserve">Other costs </w:t>
            </w:r>
            <w:r w:rsidRPr="0004246F">
              <w:rPr>
                <w:color w:val="FFFFFF" w:themeColor="background1"/>
              </w:rPr>
              <w:br/>
              <w:t>(</w:t>
            </w:r>
            <w:r w:rsidR="00613F08">
              <w:rPr>
                <w:color w:val="FFFFFF" w:themeColor="background1"/>
              </w:rPr>
              <w:t>[</w:t>
            </w:r>
            <w:r w:rsidR="00542ECD">
              <w:rPr>
                <w:color w:val="FFFFFF" w:themeColor="background1"/>
              </w:rPr>
              <w:t>X</w:t>
            </w:r>
            <w:r w:rsidR="001B2C89">
              <w:rPr>
                <w:color w:val="FFFFFF" w:themeColor="background1"/>
              </w:rPr>
              <w:t xml:space="preserve">$ </w:t>
            </w:r>
            <w:r w:rsidR="00613F08">
              <w:rPr>
                <w:color w:val="FFFFFF" w:themeColor="background1"/>
              </w:rPr>
              <w:t>unit (e.g. p/a</w:t>
            </w:r>
            <w:r w:rsidR="001B2C89">
              <w:rPr>
                <w:color w:val="FFFFFF" w:themeColor="background1"/>
              </w:rPr>
              <w:t xml:space="preserve">) </w:t>
            </w:r>
            <w:r w:rsidR="00DD1D15">
              <w:rPr>
                <w:color w:val="FFFFFF" w:themeColor="background1"/>
              </w:rPr>
              <w:t>over x years])</w:t>
            </w:r>
            <w:r w:rsidR="00613F08">
              <w:rPr>
                <w:color w:val="FFFFFF" w:themeColor="background1"/>
              </w:rPr>
              <w:t xml:space="preserve"> </w:t>
            </w:r>
          </w:p>
        </w:tc>
        <w:tc>
          <w:tcPr>
            <w:tcW w:w="1003" w:type="pct"/>
            <w:shd w:val="clear" w:color="auto" w:fill="0F1F35" w:themeFill="text2"/>
          </w:tcPr>
          <w:p w14:paraId="15D9E8F3" w14:textId="77777777" w:rsidR="00364D89" w:rsidRPr="0004246F" w:rsidRDefault="00364D89" w:rsidP="006174BB">
            <w:pPr>
              <w:pStyle w:val="TBLText"/>
              <w:spacing w:after="0"/>
              <w:rPr>
                <w:color w:val="FFFFFF" w:themeColor="background1"/>
              </w:rPr>
            </w:pPr>
            <w:r w:rsidRPr="0004246F">
              <w:rPr>
                <w:color w:val="FFFFFF" w:themeColor="background1"/>
              </w:rPr>
              <w:t xml:space="preserve">Net impact </w:t>
            </w:r>
            <w:r w:rsidRPr="0004246F">
              <w:rPr>
                <w:color w:val="FFFFFF" w:themeColor="background1"/>
              </w:rPr>
              <w:br/>
              <w:t>(</w:t>
            </w:r>
            <w:r w:rsidR="00613F08">
              <w:rPr>
                <w:color w:val="FFFFFF" w:themeColor="background1"/>
              </w:rPr>
              <w:t>[</w:t>
            </w:r>
            <w:r w:rsidR="00542ECD">
              <w:rPr>
                <w:color w:val="FFFFFF" w:themeColor="background1"/>
              </w:rPr>
              <w:t>X</w:t>
            </w:r>
            <w:r w:rsidR="001B2C89">
              <w:rPr>
                <w:color w:val="FFFFFF" w:themeColor="background1"/>
              </w:rPr>
              <w:t xml:space="preserve">$ unit (e.g. p/a) </w:t>
            </w:r>
            <w:r w:rsidR="00DD1D15">
              <w:rPr>
                <w:color w:val="FFFFFF" w:themeColor="background1"/>
              </w:rPr>
              <w:t>over x years</w:t>
            </w:r>
            <w:r w:rsidR="00613F08">
              <w:rPr>
                <w:color w:val="FFFFFF" w:themeColor="background1"/>
              </w:rPr>
              <w:t>]</w:t>
            </w:r>
            <w:r w:rsidRPr="0004246F">
              <w:rPr>
                <w:color w:val="FFFFFF" w:themeColor="background1"/>
              </w:rPr>
              <w:t>)</w:t>
            </w:r>
          </w:p>
        </w:tc>
        <w:tc>
          <w:tcPr>
            <w:tcW w:w="1248" w:type="pct"/>
            <w:shd w:val="clear" w:color="auto" w:fill="0F1F35" w:themeFill="text2"/>
          </w:tcPr>
          <w:p w14:paraId="63CA69DF" w14:textId="77777777" w:rsidR="00364D89" w:rsidRPr="0004246F" w:rsidRDefault="00364D89" w:rsidP="006174BB">
            <w:pPr>
              <w:pStyle w:val="TBLText"/>
              <w:spacing w:after="0"/>
              <w:rPr>
                <w:color w:val="FFFFFF" w:themeColor="background1"/>
              </w:rPr>
            </w:pPr>
            <w:r w:rsidRPr="0004246F">
              <w:rPr>
                <w:color w:val="FFFFFF" w:themeColor="background1"/>
              </w:rPr>
              <w:t xml:space="preserve">Regulatory burden </w:t>
            </w:r>
            <w:r w:rsidRPr="0004246F">
              <w:rPr>
                <w:color w:val="FFFFFF" w:themeColor="background1"/>
              </w:rPr>
              <w:br/>
            </w:r>
            <w:r w:rsidR="00397435">
              <w:rPr>
                <w:color w:val="FFFFFF" w:themeColor="background1"/>
              </w:rPr>
              <w:t>(</w:t>
            </w:r>
            <w:r w:rsidR="00397435" w:rsidRPr="00397435">
              <w:rPr>
                <w:color w:val="FFFFFF" w:themeColor="background1"/>
              </w:rPr>
              <w:t>[</w:t>
            </w:r>
            <w:r w:rsidR="00542ECD">
              <w:rPr>
                <w:color w:val="FFFFFF" w:themeColor="background1"/>
              </w:rPr>
              <w:t>X</w:t>
            </w:r>
            <w:r w:rsidR="00397435" w:rsidRPr="00397435">
              <w:rPr>
                <w:color w:val="FFFFFF" w:themeColor="background1"/>
              </w:rPr>
              <w:t>$ over 10 years</w:t>
            </w:r>
            <w:r w:rsidR="00397435">
              <w:rPr>
                <w:color w:val="FFFFFF" w:themeColor="background1"/>
              </w:rPr>
              <w:t>])</w:t>
            </w:r>
          </w:p>
        </w:tc>
      </w:tr>
      <w:tr w:rsidR="00E002A9" w14:paraId="77DED10D" w14:textId="77777777" w:rsidTr="006174BB">
        <w:trPr>
          <w:trHeight w:val="635"/>
        </w:trPr>
        <w:tc>
          <w:tcPr>
            <w:tcW w:w="743" w:type="pct"/>
          </w:tcPr>
          <w:p w14:paraId="7DFDAE64" w14:textId="261522FD" w:rsidR="00E002A9" w:rsidRPr="00473172" w:rsidRDefault="00E002A9" w:rsidP="00517D42">
            <w:pPr>
              <w:pStyle w:val="TBLText"/>
              <w:rPr>
                <w:b/>
                <w:bCs/>
              </w:rPr>
            </w:pPr>
            <w:r w:rsidRPr="00473172">
              <w:rPr>
                <w:b/>
                <w:bCs/>
              </w:rPr>
              <w:t>Proposed</w:t>
            </w:r>
            <w:r>
              <w:rPr>
                <w:b/>
                <w:bCs/>
              </w:rPr>
              <w:t xml:space="preserve">: </w:t>
            </w:r>
            <w:r w:rsidR="006D662A">
              <w:t>ASIC declaration of ‘qualified accountants’</w:t>
            </w:r>
          </w:p>
        </w:tc>
        <w:tc>
          <w:tcPr>
            <w:tcW w:w="1003" w:type="pct"/>
          </w:tcPr>
          <w:p w14:paraId="08183B87" w14:textId="733BCB05" w:rsidR="001560A0" w:rsidRPr="001560A0" w:rsidRDefault="006D662A" w:rsidP="00517D42">
            <w:pPr>
              <w:pStyle w:val="TBLText"/>
              <w:rPr>
                <w:b/>
                <w:bCs/>
              </w:rPr>
            </w:pPr>
            <w:r>
              <w:t>P</w:t>
            </w:r>
            <w:r w:rsidRPr="00CD7FD4">
              <w:t xml:space="preserve">ositive economic and social benefits </w:t>
            </w:r>
            <w:r w:rsidR="00352302">
              <w:t xml:space="preserve">through </w:t>
            </w:r>
            <w:r w:rsidR="00352302" w:rsidRPr="00352302">
              <w:t>support</w:t>
            </w:r>
            <w:r w:rsidR="00352302">
              <w:t>ing</w:t>
            </w:r>
            <w:r w:rsidR="00352302" w:rsidRPr="00352302">
              <w:t xml:space="preserve"> efficient capital raising and product distribution by enabling eligible sophisticated investors and wholesale clients to continue accessing products and services that are intended for investors with the financial capacity and experience to assess </w:t>
            </w:r>
            <w:r w:rsidR="00352302" w:rsidRPr="00352302">
              <w:lastRenderedPageBreak/>
              <w:t>higher-risk or more complex investments</w:t>
            </w:r>
            <w:r w:rsidRPr="00CD7FD4">
              <w:t>.</w:t>
            </w:r>
          </w:p>
        </w:tc>
        <w:tc>
          <w:tcPr>
            <w:tcW w:w="1003" w:type="pct"/>
          </w:tcPr>
          <w:p w14:paraId="6250314A" w14:textId="7BD768F8" w:rsidR="00517D42" w:rsidRPr="00517D42" w:rsidRDefault="001560A0" w:rsidP="00517D42">
            <w:pPr>
              <w:pStyle w:val="TBLText"/>
            </w:pPr>
            <w:r w:rsidRPr="008E517C">
              <w:lastRenderedPageBreak/>
              <w:t>Limited</w:t>
            </w:r>
            <w:r w:rsidR="00517D42">
              <w:t xml:space="preserve">. </w:t>
            </w:r>
            <w:r w:rsidR="00517D42" w:rsidRPr="00517D42">
              <w:t xml:space="preserve">The proposed </w:t>
            </w:r>
            <w:r w:rsidR="00517D42">
              <w:t xml:space="preserve">approach </w:t>
            </w:r>
            <w:r w:rsidR="00517D42" w:rsidRPr="00517D42">
              <w:t xml:space="preserve">does not create new substantive obligations for investors, issuers, financial services providers or professional accounting bodies. </w:t>
            </w:r>
          </w:p>
          <w:p w14:paraId="24B04DA3" w14:textId="1A4E7FF9" w:rsidR="001560A0" w:rsidRPr="001560A0" w:rsidRDefault="00517D42" w:rsidP="006174BB">
            <w:pPr>
              <w:pStyle w:val="TBLText"/>
              <w:rPr>
                <w:b/>
                <w:bCs/>
              </w:rPr>
            </w:pPr>
            <w:r w:rsidRPr="00517D42">
              <w:t xml:space="preserve">Any compliance costs are expected to be minimal and largely limited to existing administrative processes associated with obtaining and </w:t>
            </w:r>
            <w:r w:rsidRPr="00517D42">
              <w:lastRenderedPageBreak/>
              <w:t>relying on qualified accountant certificates.</w:t>
            </w:r>
          </w:p>
        </w:tc>
        <w:tc>
          <w:tcPr>
            <w:tcW w:w="1003" w:type="pct"/>
          </w:tcPr>
          <w:p w14:paraId="1A9F2468" w14:textId="366016FB" w:rsidR="001560A0" w:rsidRPr="00473172" w:rsidRDefault="00905971" w:rsidP="006174BB">
            <w:pPr>
              <w:pStyle w:val="TBLText"/>
            </w:pPr>
            <w:r>
              <w:lastRenderedPageBreak/>
              <w:t>Significant n</w:t>
            </w:r>
            <w:r w:rsidR="00517D42" w:rsidRPr="008E517C">
              <w:t xml:space="preserve">et positive </w:t>
            </w:r>
            <w:r w:rsidR="00DA6758">
              <w:t xml:space="preserve">impact </w:t>
            </w:r>
            <w:r w:rsidR="00E00353">
              <w:t xml:space="preserve">through </w:t>
            </w:r>
            <w:r w:rsidR="00305E48">
              <w:t xml:space="preserve">reduction in </w:t>
            </w:r>
            <w:r w:rsidR="008130DE">
              <w:t xml:space="preserve">compliance costs </w:t>
            </w:r>
            <w:r w:rsidR="00080882">
              <w:t xml:space="preserve">and improved access to </w:t>
            </w:r>
            <w:r w:rsidR="00702A4E">
              <w:t>financial products and services for eligible wholesale and sophisticated investors</w:t>
            </w:r>
            <w:r w:rsidR="00C826E8">
              <w:t>.</w:t>
            </w:r>
            <w:r w:rsidR="00702A4E">
              <w:t xml:space="preserve"> </w:t>
            </w:r>
          </w:p>
        </w:tc>
        <w:tc>
          <w:tcPr>
            <w:tcW w:w="1248" w:type="pct"/>
          </w:tcPr>
          <w:p w14:paraId="6C1B8C35" w14:textId="1F5E6032" w:rsidR="001560A0" w:rsidRPr="00473172" w:rsidRDefault="001560A0" w:rsidP="006174BB">
            <w:pPr>
              <w:pStyle w:val="TBLText"/>
            </w:pPr>
            <w:r w:rsidRPr="008E517C">
              <w:t>Net positive (qualitative benefits outweigh costs)</w:t>
            </w:r>
            <w:r w:rsidR="00C826E8">
              <w:t>.</w:t>
            </w:r>
          </w:p>
        </w:tc>
      </w:tr>
      <w:tr w:rsidR="00E002A9" w14:paraId="44384A5C" w14:textId="77777777" w:rsidTr="00397435">
        <w:tc>
          <w:tcPr>
            <w:tcW w:w="743" w:type="pct"/>
          </w:tcPr>
          <w:p w14:paraId="3A06CD0B" w14:textId="290AC2C0" w:rsidR="00E002A9" w:rsidRPr="00473172" w:rsidRDefault="00E002A9" w:rsidP="00517D42">
            <w:pPr>
              <w:pStyle w:val="TBLText"/>
              <w:rPr>
                <w:b/>
                <w:bCs/>
              </w:rPr>
            </w:pPr>
            <w:r w:rsidRPr="00473172">
              <w:rPr>
                <w:b/>
                <w:bCs/>
              </w:rPr>
              <w:t>Alternative</w:t>
            </w:r>
            <w:r>
              <w:rPr>
                <w:b/>
                <w:bCs/>
              </w:rPr>
              <w:t xml:space="preserve">: </w:t>
            </w:r>
            <w:r w:rsidR="006D662A">
              <w:t>Maintain status quo (i.e. no ASIC declaration)</w:t>
            </w:r>
          </w:p>
        </w:tc>
        <w:tc>
          <w:tcPr>
            <w:tcW w:w="1003" w:type="pct"/>
          </w:tcPr>
          <w:p w14:paraId="31F4F970" w14:textId="62132620" w:rsidR="001560A0" w:rsidRPr="00473172" w:rsidRDefault="006D662A" w:rsidP="00517D42">
            <w:pPr>
              <w:pStyle w:val="TBLText"/>
            </w:pPr>
            <w:r w:rsidRPr="00CD7FD4">
              <w:t>Without an ASIC declaration</w:t>
            </w:r>
            <w:r w:rsidR="008E2CA5">
              <w:t xml:space="preserve"> of qualified accountants,</w:t>
            </w:r>
            <w:r w:rsidRPr="00CD7FD4">
              <w:t xml:space="preserve"> there would be uncertainty about who may issue the certificates and assessments required under the sophisticated investor</w:t>
            </w:r>
            <w:r>
              <w:t xml:space="preserve"> and </w:t>
            </w:r>
            <w:r w:rsidRPr="00CD7FD4">
              <w:t>wholesale client</w:t>
            </w:r>
            <w:r>
              <w:t xml:space="preserve"> regimes</w:t>
            </w:r>
            <w:r w:rsidRPr="00CD7FD4">
              <w:t xml:space="preserve">. This may reduce the ability of eligible </w:t>
            </w:r>
            <w:r w:rsidR="00CF1DD9">
              <w:t>issuers</w:t>
            </w:r>
            <w:r w:rsidRPr="00CD7FD4">
              <w:t xml:space="preserve"> to rely on existing disclosure exemptions and wholesale client arrangements</w:t>
            </w:r>
            <w:r w:rsidR="00CF1DD9">
              <w:t xml:space="preserve"> for investors</w:t>
            </w:r>
            <w:r w:rsidRPr="00CD7FD4">
              <w:t xml:space="preserve"> under the Corporations Act.</w:t>
            </w:r>
          </w:p>
        </w:tc>
        <w:tc>
          <w:tcPr>
            <w:tcW w:w="1003" w:type="pct"/>
          </w:tcPr>
          <w:p w14:paraId="1E11FA62" w14:textId="42B1657E" w:rsidR="001560A0" w:rsidRPr="00517D42" w:rsidRDefault="00517D42" w:rsidP="006174BB">
            <w:pPr>
              <w:pStyle w:val="TBLText"/>
            </w:pPr>
            <w:r w:rsidRPr="00517D42">
              <w:t>The absence of a</w:t>
            </w:r>
            <w:r>
              <w:t xml:space="preserve">n ASIC </w:t>
            </w:r>
            <w:r w:rsidRPr="00517D42">
              <w:t xml:space="preserve">declaration may substantially increase compliance costs for issuers and financial services providers by </w:t>
            </w:r>
            <w:r w:rsidR="00860395">
              <w:t>requiring a</w:t>
            </w:r>
            <w:r w:rsidRPr="00517D42">
              <w:t xml:space="preserve">ffected investors </w:t>
            </w:r>
            <w:r w:rsidR="00860395">
              <w:t>to</w:t>
            </w:r>
            <w:r w:rsidR="00860395" w:rsidRPr="00517D42">
              <w:t xml:space="preserve"> </w:t>
            </w:r>
            <w:r w:rsidRPr="00517D42">
              <w:t>be treated as retail investors, potentially requiring additional disclosure, licensing and administrative processes. These impacts may be material given the number of investors who may otherwise qualify for wholesale status and the costs associated with maintaining retail disclosure arrangements.</w:t>
            </w:r>
          </w:p>
        </w:tc>
        <w:tc>
          <w:tcPr>
            <w:tcW w:w="1003" w:type="pct"/>
          </w:tcPr>
          <w:p w14:paraId="32BF3A06" w14:textId="632EA62B" w:rsidR="001560A0" w:rsidRPr="00473172" w:rsidRDefault="001560A0" w:rsidP="00517D42">
            <w:pPr>
              <w:pStyle w:val="TBLText"/>
            </w:pPr>
            <w:r w:rsidRPr="002C5EB5">
              <w:t>Substantially higher</w:t>
            </w:r>
            <w:r w:rsidR="00517D42">
              <w:t xml:space="preserve"> administrative and compliance costs</w:t>
            </w:r>
            <w:r w:rsidR="00840493">
              <w:t>, and more uncertainty,</w:t>
            </w:r>
            <w:r w:rsidR="00517D42">
              <w:t xml:space="preserve"> for issuers</w:t>
            </w:r>
            <w:r w:rsidR="00840493">
              <w:t>,</w:t>
            </w:r>
            <w:r w:rsidR="00517D42">
              <w:t xml:space="preserve"> financial services provider</w:t>
            </w:r>
            <w:r w:rsidR="00840493">
              <w:t>s</w:t>
            </w:r>
            <w:r w:rsidR="00517D42">
              <w:t xml:space="preserve"> </w:t>
            </w:r>
            <w:r w:rsidRPr="002C5EB5">
              <w:t xml:space="preserve">and </w:t>
            </w:r>
            <w:r w:rsidR="00517D42">
              <w:t xml:space="preserve">investors. </w:t>
            </w:r>
          </w:p>
        </w:tc>
        <w:tc>
          <w:tcPr>
            <w:tcW w:w="1248" w:type="pct"/>
          </w:tcPr>
          <w:p w14:paraId="6D21C966" w14:textId="029D1CCF" w:rsidR="001560A0" w:rsidRPr="00473172" w:rsidRDefault="001560A0" w:rsidP="00517D42">
            <w:pPr>
              <w:pStyle w:val="TBLText"/>
            </w:pPr>
            <w:r w:rsidRPr="002C5EB5">
              <w:t>Lower net benefit due to higher</w:t>
            </w:r>
            <w:r w:rsidR="00517D42">
              <w:t xml:space="preserve"> administrative and compliance</w:t>
            </w:r>
            <w:r w:rsidRPr="002C5EB5">
              <w:t xml:space="preserve"> costs</w:t>
            </w:r>
            <w:r w:rsidR="00C826E8">
              <w:t>.</w:t>
            </w:r>
          </w:p>
        </w:tc>
      </w:tr>
    </w:tbl>
    <w:p w14:paraId="3EC41640" w14:textId="77777777" w:rsidR="001A5542" w:rsidRPr="0004246F" w:rsidRDefault="001A5542" w:rsidP="0091141A">
      <w:pPr>
        <w:pStyle w:val="Heading2"/>
      </w:pPr>
      <w:r w:rsidRPr="0004246F">
        <w:t>Economic</w:t>
      </w:r>
      <w:r w:rsidR="00603F00">
        <w:t xml:space="preserve"> and</w:t>
      </w:r>
      <w:r w:rsidRPr="0004246F">
        <w:t xml:space="preserve"> social impacts</w:t>
      </w:r>
    </w:p>
    <w:tbl>
      <w:tblPr>
        <w:tblStyle w:val="Style1"/>
        <w:tblW w:w="9634" w:type="dxa"/>
        <w:tblBorders>
          <w:top w:val="single" w:sz="4" w:space="0" w:color="0F1F35" w:themeColor="text2"/>
          <w:left w:val="single" w:sz="4" w:space="0" w:color="0F1F35" w:themeColor="text2"/>
          <w:bottom w:val="single" w:sz="4" w:space="0" w:color="0F1F35" w:themeColor="text2"/>
          <w:right w:val="single" w:sz="4" w:space="0" w:color="0F1F35" w:themeColor="text2"/>
          <w:insideH w:val="single" w:sz="4" w:space="0" w:color="0F1F35" w:themeColor="text2"/>
          <w:insideV w:val="single" w:sz="4" w:space="0" w:color="0F1F35" w:themeColor="text2"/>
        </w:tblBorders>
        <w:tblCellMar>
          <w:left w:w="85" w:type="dxa"/>
          <w:right w:w="85" w:type="dxa"/>
        </w:tblCellMar>
        <w:tblLook w:val="0620" w:firstRow="1" w:lastRow="0" w:firstColumn="0" w:lastColumn="0" w:noHBand="1" w:noVBand="1"/>
      </w:tblPr>
      <w:tblGrid>
        <w:gridCol w:w="4673"/>
        <w:gridCol w:w="4961"/>
      </w:tblGrid>
      <w:tr w:rsidR="001A5542" w14:paraId="23AC2058" w14:textId="77777777" w:rsidTr="006174BB">
        <w:trPr>
          <w:cnfStyle w:val="100000000000" w:firstRow="1" w:lastRow="0" w:firstColumn="0" w:lastColumn="0" w:oddVBand="0" w:evenVBand="0" w:oddHBand="0" w:evenHBand="0" w:firstRowFirstColumn="0" w:firstRowLastColumn="0" w:lastRowFirstColumn="0" w:lastRowLastColumn="0"/>
          <w:tblHeader/>
        </w:trPr>
        <w:tc>
          <w:tcPr>
            <w:tcW w:w="4673" w:type="dxa"/>
            <w:tcBorders>
              <w:bottom w:val="single" w:sz="8" w:space="0" w:color="0F1F35" w:themeColor="text2"/>
            </w:tcBorders>
            <w:shd w:val="clear" w:color="auto" w:fill="0F1F35" w:themeFill="text2"/>
          </w:tcPr>
          <w:p w14:paraId="0396723D" w14:textId="77777777" w:rsidR="001A5542" w:rsidRPr="00473172" w:rsidRDefault="001A5542" w:rsidP="006C62B2">
            <w:pPr>
              <w:pStyle w:val="TBLText"/>
              <w:spacing w:after="0"/>
              <w:rPr>
                <w:color w:val="FFFFFF" w:themeColor="background1"/>
              </w:rPr>
            </w:pPr>
            <w:r w:rsidRPr="00473172">
              <w:rPr>
                <w:color w:val="FFFFFF" w:themeColor="background1"/>
              </w:rPr>
              <w:t>Status quo</w:t>
            </w:r>
          </w:p>
        </w:tc>
        <w:tc>
          <w:tcPr>
            <w:tcW w:w="4961" w:type="dxa"/>
            <w:tcBorders>
              <w:bottom w:val="single" w:sz="8" w:space="0" w:color="0F1F35" w:themeColor="text2"/>
            </w:tcBorders>
            <w:shd w:val="clear" w:color="auto" w:fill="0F1F35" w:themeFill="text2"/>
          </w:tcPr>
          <w:p w14:paraId="3DA95199" w14:textId="77777777" w:rsidR="001A5542" w:rsidRPr="00473172" w:rsidRDefault="001A5542" w:rsidP="006C62B2">
            <w:pPr>
              <w:pStyle w:val="TBLText"/>
              <w:spacing w:after="0"/>
              <w:rPr>
                <w:color w:val="FFFFFF" w:themeColor="background1"/>
              </w:rPr>
            </w:pPr>
            <w:r w:rsidRPr="00473172">
              <w:rPr>
                <w:color w:val="FFFFFF" w:themeColor="background1"/>
              </w:rPr>
              <w:t>Proposed option</w:t>
            </w:r>
          </w:p>
        </w:tc>
      </w:tr>
      <w:tr w:rsidR="001A5542" w:rsidRPr="004D3335" w14:paraId="7CC22BE1" w14:textId="77777777" w:rsidTr="006D662A">
        <w:tc>
          <w:tcPr>
            <w:tcW w:w="4673" w:type="dxa"/>
            <w:tcBorders>
              <w:top w:val="single" w:sz="8" w:space="0" w:color="0F1F35" w:themeColor="text2"/>
              <w:left w:val="single" w:sz="8" w:space="0" w:color="0F1F35" w:themeColor="text2"/>
              <w:bottom w:val="single" w:sz="8" w:space="0" w:color="0F1F35" w:themeColor="text2"/>
              <w:right w:val="single" w:sz="8" w:space="0" w:color="0F1F35" w:themeColor="text2"/>
            </w:tcBorders>
          </w:tcPr>
          <w:p w14:paraId="04624499" w14:textId="76B39AAB" w:rsidR="00CD7FD4" w:rsidRPr="00CD7FD4" w:rsidRDefault="00CD7FD4" w:rsidP="00CD7FD4">
            <w:pPr>
              <w:pStyle w:val="TBLText"/>
            </w:pPr>
            <w:r w:rsidRPr="00CD7FD4">
              <w:t>Without an ASIC declaration of qualified accountants, there would be uncertainty about who may issue the certificates and assessments required under the sophisticated investor</w:t>
            </w:r>
            <w:r w:rsidR="006D662A">
              <w:t xml:space="preserve"> and </w:t>
            </w:r>
            <w:r w:rsidRPr="00CD7FD4">
              <w:t>wholesale client</w:t>
            </w:r>
            <w:r w:rsidR="006D662A">
              <w:t xml:space="preserve"> regimes</w:t>
            </w:r>
            <w:r w:rsidRPr="00CD7FD4">
              <w:t>. This may reduce the ability of eligible i</w:t>
            </w:r>
            <w:r w:rsidR="00CF1DD9">
              <w:t>ssuers</w:t>
            </w:r>
            <w:r w:rsidRPr="00CD7FD4">
              <w:t xml:space="preserve"> to rely on existing disclosure exemptions and wholesale client arrangements</w:t>
            </w:r>
            <w:r w:rsidR="00CF1DD9">
              <w:t xml:space="preserve"> for investors</w:t>
            </w:r>
            <w:r w:rsidRPr="00CD7FD4">
              <w:t xml:space="preserve"> under the Corporations Act.</w:t>
            </w:r>
          </w:p>
          <w:p w14:paraId="7C7278E6" w14:textId="77777777" w:rsidR="00CD7FD4" w:rsidRPr="00CD7FD4" w:rsidRDefault="00CD7FD4" w:rsidP="00CD7FD4">
            <w:pPr>
              <w:pStyle w:val="TBLText"/>
            </w:pPr>
            <w:r w:rsidRPr="00CD7FD4">
              <w:t>The status quo may also reduce access to Australian financial products and services for some foreign investors and Australians residing overseas who rely on certifications from recognised overseas accounting professionals. More broadly, uncertainty about who can act as a qualified accountant could undermine the efficient operation of regulatory regimes that depend on qualified accountant certifications.</w:t>
            </w:r>
          </w:p>
          <w:p w14:paraId="049EBD8D" w14:textId="1A196CF5" w:rsidR="00CD7FD4" w:rsidRPr="004D3335" w:rsidRDefault="00CD7FD4" w:rsidP="00BD21EF">
            <w:pPr>
              <w:pStyle w:val="TBLText"/>
            </w:pPr>
          </w:p>
        </w:tc>
        <w:tc>
          <w:tcPr>
            <w:tcW w:w="4961" w:type="dxa"/>
            <w:tcBorders>
              <w:top w:val="single" w:sz="8" w:space="0" w:color="0F1F35" w:themeColor="text2"/>
              <w:left w:val="single" w:sz="8" w:space="0" w:color="0F1F35" w:themeColor="text2"/>
              <w:bottom w:val="single" w:sz="8" w:space="0" w:color="0F1F35" w:themeColor="text2"/>
              <w:right w:val="single" w:sz="8" w:space="0" w:color="0F1F35" w:themeColor="text2"/>
            </w:tcBorders>
          </w:tcPr>
          <w:p w14:paraId="6A09BAD0" w14:textId="6E01BFF9" w:rsidR="00840493" w:rsidRPr="00840493" w:rsidRDefault="00840493" w:rsidP="00840493">
            <w:pPr>
              <w:pStyle w:val="TBLText"/>
            </w:pPr>
            <w:r w:rsidRPr="00840493">
              <w:t>Compared with the status quo, the proposal is expected to provide positive benefits by identifying the professional bodies whose members are qualified accountants for the purposes of the Corporations Act. This provides certainty about who may issue the certificates and assessments required under the sophisticated investor and wholesale client regimes, supporting the consistent operation of those regimes.</w:t>
            </w:r>
          </w:p>
          <w:p w14:paraId="1250A7F7" w14:textId="63B839A0" w:rsidR="00840493" w:rsidRPr="00840493" w:rsidRDefault="00840493" w:rsidP="00840493">
            <w:pPr>
              <w:pStyle w:val="TBLText"/>
            </w:pPr>
            <w:r w:rsidRPr="00840493">
              <w:t>The proposal supports access to Australian financial products and services for eligible investors by enabling appropriately qualified professionals to continue providing the certifications required under the Corporations Act and Corporations Regulations. It also facilitates participation in Australian financial markets by certain foreign investors and Australians residing overseas who may rely on certificat</w:t>
            </w:r>
            <w:r>
              <w:t>es</w:t>
            </w:r>
            <w:r w:rsidRPr="00840493">
              <w:t xml:space="preserve"> provided by recognised overseas accounting professionals.</w:t>
            </w:r>
          </w:p>
          <w:p w14:paraId="3B485F82" w14:textId="1EF4290A" w:rsidR="00840493" w:rsidRPr="00840493" w:rsidRDefault="00840493" w:rsidP="00840493">
            <w:pPr>
              <w:pStyle w:val="TBLText"/>
            </w:pPr>
            <w:r w:rsidRPr="00840493">
              <w:t xml:space="preserve">By reducing uncertainty about who may issue qualified accountant certificates, the proposal avoids unnecessary </w:t>
            </w:r>
            <w:r w:rsidRPr="00840493">
              <w:lastRenderedPageBreak/>
              <w:t xml:space="preserve">compliance and administrative costs for investors, issuers and financial services providers. It </w:t>
            </w:r>
            <w:r w:rsidR="00D43CA6">
              <w:t>will</w:t>
            </w:r>
            <w:r>
              <w:t xml:space="preserve"> </w:t>
            </w:r>
            <w:r w:rsidRPr="00840493">
              <w:t>also support efficient capital raising and product distribution by enabling eligible sophisticated investors and wholesale clients to continue accessing products and services that are intended for investors with the financial capacity and experience to assess higher-risk or more complex investments.</w:t>
            </w:r>
          </w:p>
          <w:p w14:paraId="0EEC0E02" w14:textId="77777777" w:rsidR="00677654" w:rsidRDefault="00677654" w:rsidP="00840493">
            <w:pPr>
              <w:pStyle w:val="TBLText"/>
            </w:pPr>
            <w:r w:rsidRPr="00677654">
              <w:t xml:space="preserve">The potential impact may be significant given the number of investors who may be eligible for wholesale or sophisticated investor status. Modelling by the Australian National University suggests that approximately 16.2% of Australian adults meet the individual wealth test for wholesale investor classification, although this estimate does not measure actual use of wholesale products and does not capture other pathways to wholesale status. </w:t>
            </w:r>
          </w:p>
          <w:p w14:paraId="76357B25" w14:textId="7A905A7B" w:rsidR="001560A0" w:rsidRPr="004D3335" w:rsidRDefault="00840493" w:rsidP="00840493">
            <w:pPr>
              <w:pStyle w:val="TBLText"/>
            </w:pPr>
            <w:r w:rsidRPr="00840493">
              <w:t>The proposal also promotes professional accountability and confidence in the certification process by restricting the ability to issue qualified accountant certificates to members of specified Australian and overseas professional accounting bodies that meet ASIC's requirements. This helps maintain the integrity of the sophisticated investor and wholesale client regimes while supporting continued access to the associated disclosure exemptions, wholesale client arrangements and audit relief.</w:t>
            </w:r>
          </w:p>
        </w:tc>
      </w:tr>
    </w:tbl>
    <w:p w14:paraId="401A573E" w14:textId="3B113B98" w:rsidR="001A5542" w:rsidRDefault="001A5542" w:rsidP="0091141A">
      <w:pPr>
        <w:pStyle w:val="Heading2"/>
      </w:pPr>
      <w:r w:rsidRPr="001A5542">
        <w:lastRenderedPageBreak/>
        <w:t>Regulatory</w:t>
      </w:r>
      <w:r w:rsidR="00CD7FD4">
        <w:t xml:space="preserve"> </w:t>
      </w:r>
      <w:r w:rsidR="00603F00">
        <w:t>burden</w:t>
      </w:r>
    </w:p>
    <w:tbl>
      <w:tblPr>
        <w:tblStyle w:val="Style1"/>
        <w:tblW w:w="9634" w:type="dxa"/>
        <w:tblBorders>
          <w:top w:val="single" w:sz="4" w:space="0" w:color="0F1F35" w:themeColor="text2"/>
          <w:left w:val="single" w:sz="4" w:space="0" w:color="0F1F35" w:themeColor="text2"/>
          <w:bottom w:val="single" w:sz="4" w:space="0" w:color="0F1F35" w:themeColor="text2"/>
          <w:right w:val="single" w:sz="4" w:space="0" w:color="0F1F35" w:themeColor="text2"/>
          <w:insideH w:val="single" w:sz="4" w:space="0" w:color="0F1F35" w:themeColor="text2"/>
          <w:insideV w:val="single" w:sz="4" w:space="0" w:color="0F1F35" w:themeColor="text2"/>
        </w:tblBorders>
        <w:tblCellMar>
          <w:left w:w="85" w:type="dxa"/>
          <w:right w:w="85" w:type="dxa"/>
        </w:tblCellMar>
        <w:tblLook w:val="0620" w:firstRow="1" w:lastRow="0" w:firstColumn="0" w:lastColumn="0" w:noHBand="1" w:noVBand="1"/>
      </w:tblPr>
      <w:tblGrid>
        <w:gridCol w:w="4673"/>
        <w:gridCol w:w="4961"/>
      </w:tblGrid>
      <w:tr w:rsidR="001A5542" w14:paraId="1AB7E103" w14:textId="77777777" w:rsidTr="006174BB">
        <w:trPr>
          <w:cnfStyle w:val="100000000000" w:firstRow="1" w:lastRow="0" w:firstColumn="0" w:lastColumn="0" w:oddVBand="0" w:evenVBand="0" w:oddHBand="0" w:evenHBand="0" w:firstRowFirstColumn="0" w:firstRowLastColumn="0" w:lastRowFirstColumn="0" w:lastRowLastColumn="0"/>
          <w:trHeight w:val="200"/>
          <w:tblHeader/>
        </w:trPr>
        <w:tc>
          <w:tcPr>
            <w:tcW w:w="4673" w:type="dxa"/>
            <w:shd w:val="clear" w:color="auto" w:fill="0F1F35" w:themeFill="text2"/>
          </w:tcPr>
          <w:p w14:paraId="4D91ACC8" w14:textId="77777777" w:rsidR="001A5542" w:rsidRPr="00473172" w:rsidRDefault="001A5542" w:rsidP="006C62B2">
            <w:pPr>
              <w:pStyle w:val="TBLText"/>
              <w:spacing w:after="0"/>
              <w:rPr>
                <w:color w:val="FFFFFF" w:themeColor="background1"/>
              </w:rPr>
            </w:pPr>
            <w:r w:rsidRPr="00473172">
              <w:rPr>
                <w:color w:val="FFFFFF" w:themeColor="background1"/>
              </w:rPr>
              <w:t>Status quo</w:t>
            </w:r>
          </w:p>
        </w:tc>
        <w:tc>
          <w:tcPr>
            <w:tcW w:w="4961" w:type="dxa"/>
            <w:shd w:val="clear" w:color="auto" w:fill="0F1F35" w:themeFill="text2"/>
          </w:tcPr>
          <w:p w14:paraId="689E4487" w14:textId="77777777" w:rsidR="001A5542" w:rsidRPr="00473172" w:rsidRDefault="001A5542" w:rsidP="006C62B2">
            <w:pPr>
              <w:pStyle w:val="TBLText"/>
              <w:spacing w:after="0"/>
              <w:rPr>
                <w:color w:val="FFFFFF" w:themeColor="background1"/>
              </w:rPr>
            </w:pPr>
            <w:r w:rsidRPr="00473172">
              <w:rPr>
                <w:color w:val="FFFFFF" w:themeColor="background1"/>
              </w:rPr>
              <w:t>Proposed option</w:t>
            </w:r>
          </w:p>
        </w:tc>
      </w:tr>
      <w:tr w:rsidR="001A5542" w:rsidRPr="004D3335" w14:paraId="322629D6" w14:textId="77777777" w:rsidTr="008E2CA5">
        <w:tc>
          <w:tcPr>
            <w:tcW w:w="4673" w:type="dxa"/>
          </w:tcPr>
          <w:p w14:paraId="3B7E83B8" w14:textId="63CF98AF" w:rsidR="002D6FDF" w:rsidRPr="002D6FDF" w:rsidRDefault="002D6FDF" w:rsidP="002D6FDF">
            <w:pPr>
              <w:pStyle w:val="TBLText"/>
            </w:pPr>
            <w:r w:rsidRPr="002D6FDF">
              <w:t>Without an ASIC declaration of qualified accountants, businesses, investors and financial services providers may face additional administrative and compliance costs due to uncertainty about who can provide the certifications required under the sophisticated investor</w:t>
            </w:r>
            <w:r w:rsidR="00D40DB1">
              <w:t xml:space="preserve"> and </w:t>
            </w:r>
            <w:r w:rsidRPr="002D6FDF">
              <w:t>wholesale client regimes.</w:t>
            </w:r>
          </w:p>
          <w:p w14:paraId="7F8FF8F7" w14:textId="21562CCC" w:rsidR="002D6FDF" w:rsidRPr="002D6FDF" w:rsidRDefault="002D6FDF" w:rsidP="002D6FDF">
            <w:pPr>
              <w:pStyle w:val="TBLText"/>
            </w:pPr>
            <w:r w:rsidRPr="002D6FDF">
              <w:t>In practice, individuals who would otherwise satisfy the wealth or income tests for sophisticated investor or wholesale client status may be unable to obtain the qualified accountant certificates required under the Corporations Act. As a result, those individuals may need to be treated as retail investors. Issuers and financial services providers may therefore be required to comply with additional disclosure</w:t>
            </w:r>
            <w:r w:rsidR="00840493">
              <w:t xml:space="preserve"> and</w:t>
            </w:r>
            <w:r w:rsidRPr="002D6FDF">
              <w:t xml:space="preserve"> licensing requirements that would not otherwise apply, and wholesale-only investment products may become unavailable to those investors.</w:t>
            </w:r>
          </w:p>
          <w:p w14:paraId="0D48CDDA" w14:textId="4E90F452" w:rsidR="001560A0" w:rsidRPr="004D3335" w:rsidRDefault="001560A0" w:rsidP="002D6FDF">
            <w:pPr>
              <w:pStyle w:val="TBLText"/>
            </w:pPr>
          </w:p>
        </w:tc>
        <w:tc>
          <w:tcPr>
            <w:tcW w:w="4961" w:type="dxa"/>
          </w:tcPr>
          <w:p w14:paraId="16B456C9" w14:textId="59EFD297" w:rsidR="008755C4" w:rsidRPr="008755C4" w:rsidRDefault="00840493" w:rsidP="008755C4">
            <w:pPr>
              <w:pStyle w:val="TBLText"/>
            </w:pPr>
            <w:r>
              <w:t xml:space="preserve">The proposal </w:t>
            </w:r>
            <w:r w:rsidR="008755C4" w:rsidRPr="008755C4">
              <w:t>is expected to impose minimal regulatory burden. By identifying the professional bodies whose members are qualified accountants for the purposes of the Corporations Act, the Instrument provides certainty about who may issue the certificates and assessments required under the sophisticated investor, wholesale client and audit relief regimes.</w:t>
            </w:r>
          </w:p>
          <w:p w14:paraId="1F721538" w14:textId="44270863" w:rsidR="008755C4" w:rsidRPr="008755C4" w:rsidRDefault="008755C4" w:rsidP="008755C4">
            <w:pPr>
              <w:pStyle w:val="TBLText"/>
            </w:pPr>
            <w:r w:rsidRPr="008755C4">
              <w:t xml:space="preserve">The </w:t>
            </w:r>
            <w:r w:rsidR="00840493">
              <w:t>proposal</w:t>
            </w:r>
            <w:r w:rsidRPr="008755C4">
              <w:t xml:space="preserve"> enables investors, issuers and financial services providers to continue relying on existing certification arrangements, reducing the need for additional verification processes, legal advice or alternative compliance measures. It also facilitates continued access to existing disclosure exemptions</w:t>
            </w:r>
            <w:r w:rsidR="00840493">
              <w:t xml:space="preserve"> and </w:t>
            </w:r>
            <w:r w:rsidRPr="008755C4">
              <w:t>wholesale client arrangements where the relevant legislative requirements are met.</w:t>
            </w:r>
          </w:p>
          <w:p w14:paraId="6BE4588E" w14:textId="662E787D" w:rsidR="008755C4" w:rsidRPr="004D3335" w:rsidRDefault="008755C4" w:rsidP="001A5542">
            <w:pPr>
              <w:pStyle w:val="TBLText"/>
            </w:pPr>
            <w:r w:rsidRPr="008755C4">
              <w:t>Accordingly, the proposal is expected to reduce administrative complexity and avoid the additional compliance costs that could arise in the absence of a qualified accountants</w:t>
            </w:r>
            <w:r w:rsidR="00840493">
              <w:t xml:space="preserve"> declaration</w:t>
            </w:r>
            <w:r w:rsidRPr="008755C4">
              <w:t>.</w:t>
            </w:r>
          </w:p>
        </w:tc>
      </w:tr>
    </w:tbl>
    <w:p w14:paraId="4C6C7DA8" w14:textId="77777777" w:rsidR="00CA3925" w:rsidRDefault="00CA3925" w:rsidP="0074565F">
      <w:pPr>
        <w:pStyle w:val="Heading2"/>
      </w:pPr>
      <w:r w:rsidRPr="00CA3925">
        <w:t>Other considerations and implementation</w:t>
      </w:r>
    </w:p>
    <w:p w14:paraId="32FE3980" w14:textId="73395B3D" w:rsidR="001560A0" w:rsidRDefault="001560A0" w:rsidP="001560A0">
      <w:r>
        <w:rPr>
          <w:b/>
          <w:bCs/>
        </w:rPr>
        <w:t>Other options considered</w:t>
      </w:r>
    </w:p>
    <w:p w14:paraId="7F6E2F65" w14:textId="37DE7F0B" w:rsidR="00D40DB1" w:rsidRPr="00D40DB1" w:rsidRDefault="001560A0" w:rsidP="008E2CA5">
      <w:r w:rsidRPr="008E2CA5">
        <w:rPr>
          <w:u w:val="single"/>
        </w:rPr>
        <w:lastRenderedPageBreak/>
        <w:t>Status quo (no</w:t>
      </w:r>
      <w:r w:rsidR="002D6FDF" w:rsidRPr="008E2CA5">
        <w:rPr>
          <w:u w:val="single"/>
        </w:rPr>
        <w:t xml:space="preserve"> ‘qualified accountants declaration</w:t>
      </w:r>
      <w:r w:rsidRPr="008E2CA5">
        <w:rPr>
          <w:u w:val="single"/>
        </w:rPr>
        <w:t>)</w:t>
      </w:r>
      <w:r w:rsidR="008E2CA5">
        <w:rPr>
          <w:u w:val="single"/>
        </w:rPr>
        <w:t xml:space="preserve">: </w:t>
      </w:r>
      <w:r>
        <w:t>Th</w:t>
      </w:r>
      <w:r w:rsidR="00D40DB1">
        <w:t xml:space="preserve">is option was not preferred because, as mentioned above, </w:t>
      </w:r>
      <w:r w:rsidR="00D40DB1" w:rsidRPr="00D40DB1">
        <w:t>businesses, investors and financial services providers may face uncertainty about who can provide the certifications required under the sophisticated investor</w:t>
      </w:r>
      <w:r w:rsidR="00D40DB1">
        <w:t xml:space="preserve"> and </w:t>
      </w:r>
      <w:r w:rsidR="00D40DB1" w:rsidRPr="00D40DB1">
        <w:t>wholesale client regimes</w:t>
      </w:r>
      <w:r w:rsidR="001C2288">
        <w:t xml:space="preserve">, as well as </w:t>
      </w:r>
      <w:r w:rsidR="00BD4025">
        <w:t xml:space="preserve">compliance costs required as </w:t>
      </w:r>
      <w:r w:rsidR="00B82421">
        <w:t xml:space="preserve">a result of having to treat </w:t>
      </w:r>
      <w:r w:rsidR="001E02A3">
        <w:t xml:space="preserve">those </w:t>
      </w:r>
      <w:r w:rsidR="0089712E">
        <w:t>sophisticated investors/wholesale clients as retail client</w:t>
      </w:r>
      <w:r w:rsidR="0029319A">
        <w:t>,</w:t>
      </w:r>
      <w:r w:rsidR="0029319A" w:rsidRPr="0029319A">
        <w:t xml:space="preserve"> </w:t>
      </w:r>
      <w:r w:rsidR="0029319A">
        <w:t>including compliance costs associated with licensing and disclosure</w:t>
      </w:r>
      <w:r w:rsidR="00D40DB1" w:rsidRPr="00D40DB1">
        <w:t>.</w:t>
      </w:r>
    </w:p>
    <w:p w14:paraId="6A5AF698" w14:textId="77777777" w:rsidR="001560A0" w:rsidRDefault="001560A0" w:rsidP="001560A0">
      <w:r>
        <w:rPr>
          <w:b/>
          <w:bCs/>
        </w:rPr>
        <w:t>What success looks like</w:t>
      </w:r>
    </w:p>
    <w:p w14:paraId="6E651D12" w14:textId="1D6C7988" w:rsidR="009671C0" w:rsidRDefault="00850712" w:rsidP="001560A0">
      <w:r>
        <w:t>Sophis</w:t>
      </w:r>
      <w:r w:rsidR="001238E7">
        <w:t xml:space="preserve">ticated investors and </w:t>
      </w:r>
      <w:r w:rsidR="00935696">
        <w:t xml:space="preserve">wholesale clients </w:t>
      </w:r>
      <w:r w:rsidR="00814B90">
        <w:t>continue to be able to access</w:t>
      </w:r>
      <w:r w:rsidR="00D0448B">
        <w:t>, and product issuers continue to be able to provide,</w:t>
      </w:r>
      <w:r w:rsidR="00814B90">
        <w:t xml:space="preserve"> </w:t>
      </w:r>
      <w:r w:rsidR="00E13EAA">
        <w:t>appropriate financial services and products</w:t>
      </w:r>
      <w:r w:rsidR="00F65332">
        <w:t xml:space="preserve"> in an efficient manner</w:t>
      </w:r>
      <w:r w:rsidR="00D0448B">
        <w:t xml:space="preserve">. </w:t>
      </w:r>
    </w:p>
    <w:p w14:paraId="76A474F3" w14:textId="35CE6B78" w:rsidR="001560A0" w:rsidRDefault="001560A0" w:rsidP="001560A0">
      <w:r>
        <w:rPr>
          <w:b/>
          <w:bCs/>
        </w:rPr>
        <w:t>Implementation approach</w:t>
      </w:r>
    </w:p>
    <w:p w14:paraId="1E27924E" w14:textId="57E985F8" w:rsidR="001560A0" w:rsidRDefault="002D6FDF" w:rsidP="001560A0">
      <w:r>
        <w:t xml:space="preserve">ASIC </w:t>
      </w:r>
      <w:r w:rsidR="00D40DB1">
        <w:t xml:space="preserve">will make </w:t>
      </w:r>
      <w:r w:rsidR="00D40DB1" w:rsidRPr="00D40DB1">
        <w:t xml:space="preserve">the </w:t>
      </w:r>
      <w:r w:rsidR="00D40DB1" w:rsidRPr="00094E8B">
        <w:rPr>
          <w:i/>
          <w:iCs/>
        </w:rPr>
        <w:t>ASIC Corporations (Qualified Accountant) Instrument 2026/734</w:t>
      </w:r>
      <w:r w:rsidR="00D40DB1">
        <w:t xml:space="preserve"> before 1 October 2026 and will announce it via an ASIC news item. </w:t>
      </w:r>
      <w:r w:rsidR="006D662A">
        <w:t xml:space="preserve">ASIC intends to update existing guidance and information about the declaration on the ASIC website. </w:t>
      </w:r>
    </w:p>
    <w:p w14:paraId="6F246FE8" w14:textId="77777777" w:rsidR="001560A0" w:rsidRDefault="001560A0" w:rsidP="001560A0">
      <w:r>
        <w:rPr>
          <w:b/>
          <w:bCs/>
        </w:rPr>
        <w:t>Evaluation planned</w:t>
      </w:r>
    </w:p>
    <w:p w14:paraId="3F31A54E" w14:textId="58DC0B90" w:rsidR="00AE39E1" w:rsidRDefault="000146A8">
      <w:pPr>
        <w:spacing w:after="200" w:line="288" w:lineRule="auto"/>
      </w:pPr>
      <w:r>
        <w:t>The qualified accountant declaration will be</w:t>
      </w:r>
      <w:r w:rsidR="001560A0">
        <w:t xml:space="preserve"> review</w:t>
      </w:r>
      <w:r>
        <w:t>ed</w:t>
      </w:r>
      <w:r w:rsidR="001560A0">
        <w:t xml:space="preserve"> after </w:t>
      </w:r>
      <w:r w:rsidR="002D6FDF" w:rsidRPr="00E62EA5">
        <w:t>10</w:t>
      </w:r>
      <w:r w:rsidR="001560A0" w:rsidRPr="00E62EA5">
        <w:t xml:space="preserve"> years</w:t>
      </w:r>
      <w:r w:rsidR="001560A0">
        <w:t xml:space="preserve"> </w:t>
      </w:r>
      <w:r>
        <w:t xml:space="preserve">in line with the sunsetting process under the </w:t>
      </w:r>
      <w:r w:rsidRPr="006174BB">
        <w:rPr>
          <w:i/>
          <w:iCs/>
        </w:rPr>
        <w:t>Legislation Act 200</w:t>
      </w:r>
      <w:r w:rsidR="00DC41BF" w:rsidRPr="006174BB">
        <w:rPr>
          <w:i/>
          <w:iCs/>
        </w:rPr>
        <w:t>3</w:t>
      </w:r>
      <w:r w:rsidR="00DC41BF">
        <w:t>.</w:t>
      </w:r>
      <w:r w:rsidR="00AE39E1">
        <w:br w:type="page"/>
      </w:r>
    </w:p>
    <w:p w14:paraId="6E9F7D1F" w14:textId="77777777" w:rsidR="00A17097" w:rsidRPr="00370EA1" w:rsidRDefault="00936C83" w:rsidP="00AE39E1">
      <w:pPr>
        <w:pStyle w:val="Heading1"/>
      </w:pPr>
      <w:r>
        <w:lastRenderedPageBreak/>
        <w:t>S</w:t>
      </w:r>
      <w:r w:rsidRPr="00370EA1">
        <w:t xml:space="preserve">tatement </w:t>
      </w:r>
      <w:r w:rsidR="00077EAC">
        <w:t xml:space="preserve">of </w:t>
      </w:r>
      <w:r>
        <w:t>Sufficiency</w:t>
      </w:r>
    </w:p>
    <w:p w14:paraId="778FFBA7" w14:textId="6644B0E0" w:rsidR="00A17097" w:rsidRPr="00370EA1" w:rsidRDefault="00A17097" w:rsidP="00AE39E1">
      <w:r w:rsidRPr="00AE39E1">
        <w:t xml:space="preserve">I confirm that this Dashboard Impact Analysis (IA) prepared for </w:t>
      </w:r>
      <w:r w:rsidR="0014213B">
        <w:t>the p</w:t>
      </w:r>
      <w:r w:rsidR="0014213B" w:rsidRPr="0014213B">
        <w:t xml:space="preserve">roposed declaration of qualified accountants under </w:t>
      </w:r>
      <w:r w:rsidR="0014213B" w:rsidRPr="00FB34F8">
        <w:rPr>
          <w:i/>
          <w:iCs/>
        </w:rPr>
        <w:t>ASIC Corporations (Qualified Accountant) Instrument 2026/734</w:t>
      </w:r>
      <w:r w:rsidR="0014213B" w:rsidRPr="0014213B">
        <w:t xml:space="preserve"> </w:t>
      </w:r>
      <w:r w:rsidRPr="00AE39E1">
        <w:t>meets the requirements</w:t>
      </w:r>
      <w:r w:rsidRPr="00370EA1">
        <w:t xml:space="preserve"> set out in the </w:t>
      </w:r>
      <w:r w:rsidR="00695CB5" w:rsidRPr="0087619F">
        <w:rPr>
          <w:i/>
          <w:iCs/>
        </w:rPr>
        <w:t xml:space="preserve">Australian Government </w:t>
      </w:r>
      <w:r w:rsidRPr="00370EA1">
        <w:rPr>
          <w:i/>
        </w:rPr>
        <w:t>Impact Analysis Framework</w:t>
      </w:r>
      <w:r>
        <w:rPr>
          <w:i/>
        </w:rPr>
        <w:t>.</w:t>
      </w:r>
    </w:p>
    <w:p w14:paraId="69B63D5C" w14:textId="77777777" w:rsidR="00A17097" w:rsidRPr="00370EA1" w:rsidRDefault="00A17097" w:rsidP="00AE39E1">
      <w:r w:rsidRPr="00370EA1">
        <w:t xml:space="preserve">I confirm that the level of analysis is proportionate to the policy issue being considered. </w:t>
      </w:r>
    </w:p>
    <w:p w14:paraId="0F5CF0D4" w14:textId="77777777" w:rsidR="00A17097" w:rsidRPr="00370EA1" w:rsidRDefault="00A17097" w:rsidP="00AE39E1">
      <w:pPr>
        <w:spacing w:after="0"/>
      </w:pPr>
      <w:r w:rsidRPr="00370EA1">
        <w:t>I note the</w:t>
      </w:r>
      <w:r w:rsidR="001C0480">
        <w:t xml:space="preserve"> Dashboard</w:t>
      </w:r>
      <w:r w:rsidRPr="00370EA1">
        <w:t xml:space="preserve"> IA provides</w:t>
      </w:r>
      <w:r w:rsidR="00561D39" w:rsidRPr="00561D39">
        <w:t xml:space="preserve"> </w:t>
      </w:r>
      <w:r w:rsidR="00561D39" w:rsidRPr="00370EA1">
        <w:t xml:space="preserve">analysis of the impacts of the proposal using the </w:t>
      </w:r>
      <w:r w:rsidR="007114AC">
        <w:t>7</w:t>
      </w:r>
      <w:r w:rsidR="007114AC" w:rsidRPr="00370EA1">
        <w:t xml:space="preserve"> </w:t>
      </w:r>
      <w:r w:rsidR="00561D39" w:rsidRPr="00370EA1">
        <w:t>IA questions</w:t>
      </w:r>
      <w:r w:rsidR="00561D39">
        <w:t xml:space="preserve"> and</w:t>
      </w:r>
      <w:r w:rsidRPr="00370EA1">
        <w:t>:</w:t>
      </w:r>
    </w:p>
    <w:p w14:paraId="7B8FB8E6" w14:textId="77777777" w:rsidR="00A17097" w:rsidRPr="00370EA1" w:rsidRDefault="00A17097" w:rsidP="00AE39E1">
      <w:pPr>
        <w:pStyle w:val="BulletedList-Level1"/>
      </w:pPr>
      <w:r>
        <w:t xml:space="preserve">a </w:t>
      </w:r>
      <w:r w:rsidR="00EB763B">
        <w:t>high-level</w:t>
      </w:r>
      <w:r>
        <w:t xml:space="preserve"> summary</w:t>
      </w:r>
      <w:r w:rsidR="001C0480">
        <w:t xml:space="preserve"> of</w:t>
      </w:r>
      <w:r>
        <w:t xml:space="preserve"> </w:t>
      </w:r>
      <w:r w:rsidRPr="00370EA1">
        <w:t>costs and benefits</w:t>
      </w:r>
      <w:r w:rsidR="009433AF">
        <w:t xml:space="preserve"> and an estimate in</w:t>
      </w:r>
      <w:r>
        <w:t xml:space="preserve"> the change in the regulatory burden,</w:t>
      </w:r>
      <w:r w:rsidRPr="00370EA1">
        <w:t xml:space="preserve"> of </w:t>
      </w:r>
      <w:r w:rsidR="009433AF">
        <w:t>the policy options</w:t>
      </w:r>
      <w:r w:rsidR="00F568A6">
        <w:t xml:space="preserve"> under consideration </w:t>
      </w:r>
    </w:p>
    <w:p w14:paraId="53B53F1F" w14:textId="77777777" w:rsidR="00A17097" w:rsidRPr="00370EA1" w:rsidRDefault="00A17097" w:rsidP="00AE39E1">
      <w:pPr>
        <w:pStyle w:val="BulletedList-Level1"/>
      </w:pPr>
      <w:r w:rsidRPr="00370EA1">
        <w:t xml:space="preserve">high-level analysis of the policy option against the </w:t>
      </w:r>
      <w:r w:rsidR="00542ECD">
        <w:t>g</w:t>
      </w:r>
      <w:r w:rsidRPr="00370EA1">
        <w:t>overnment’s key strategic priorities</w:t>
      </w:r>
    </w:p>
    <w:p w14:paraId="6B4373EE" w14:textId="77777777" w:rsidR="00A17097" w:rsidRPr="00370EA1" w:rsidRDefault="00A17097" w:rsidP="00AE39E1">
      <w:pPr>
        <w:pStyle w:val="BulletedList-Level1"/>
      </w:pPr>
      <w:r w:rsidRPr="00370EA1">
        <w:t xml:space="preserve">a summary of </w:t>
      </w:r>
      <w:r>
        <w:t>relevant</w:t>
      </w:r>
      <w:r w:rsidRPr="00370EA1">
        <w:t xml:space="preserve"> distributional effects</w:t>
      </w:r>
      <w:r w:rsidR="00B922B2">
        <w:t xml:space="preserve"> and </w:t>
      </w:r>
      <w:r w:rsidR="00AA5F0B">
        <w:t xml:space="preserve">evidence </w:t>
      </w:r>
      <w:r w:rsidR="007114AC">
        <w:t xml:space="preserve">of </w:t>
      </w:r>
      <w:r w:rsidR="007114AC" w:rsidRPr="007114AC">
        <w:t>key stakeholder feedback incorporated into the policy design</w:t>
      </w:r>
    </w:p>
    <w:p w14:paraId="15C37257" w14:textId="77777777" w:rsidR="00A17097" w:rsidRPr="00370EA1" w:rsidRDefault="00A17097" w:rsidP="00AE39E1">
      <w:pPr>
        <w:pStyle w:val="BulletedList-Level1"/>
        <w:spacing w:after="600"/>
      </w:pPr>
      <w:r w:rsidRPr="00370EA1">
        <w:t>other details required to understand and assess the proposal.</w:t>
      </w:r>
    </w:p>
    <w:p w14:paraId="06063745" w14:textId="77777777" w:rsidR="00AE39E1" w:rsidRPr="00AE39E1" w:rsidRDefault="003D2EA4" w:rsidP="00AE39E1">
      <w:pPr>
        <w:spacing w:after="0"/>
        <w:rPr>
          <w:b/>
          <w:bCs/>
        </w:rPr>
      </w:pPr>
      <w:r w:rsidRPr="00AE39E1">
        <w:rPr>
          <w:b/>
          <w:bCs/>
        </w:rPr>
        <w:t>Endorsed</w:t>
      </w:r>
      <w:r w:rsidR="00A17097" w:rsidRPr="00AE39E1">
        <w:rPr>
          <w:b/>
          <w:bCs/>
        </w:rPr>
        <w:t xml:space="preserve"> by</w:t>
      </w:r>
    </w:p>
    <w:p w14:paraId="3783065E" w14:textId="34FF0D1F" w:rsidR="00A17097" w:rsidRPr="00B50D06" w:rsidRDefault="00E62EA5" w:rsidP="00AE39E1">
      <w:pPr>
        <w:spacing w:after="0"/>
      </w:pPr>
      <w:r w:rsidRPr="006174BB">
        <w:t>Claire La</w:t>
      </w:r>
      <w:r w:rsidR="00703E42" w:rsidRPr="006174BB">
        <w:t>Bouchardi</w:t>
      </w:r>
      <w:r w:rsidR="000447AE" w:rsidRPr="006174BB">
        <w:t>ere</w:t>
      </w:r>
    </w:p>
    <w:p w14:paraId="389815BF" w14:textId="55EC16BC" w:rsidR="00A17097" w:rsidRPr="00B50D06" w:rsidRDefault="000447AE" w:rsidP="00AE39E1">
      <w:pPr>
        <w:spacing w:after="0"/>
      </w:pPr>
      <w:r w:rsidRPr="006174BB">
        <w:t>Senior Executive Leader, Sustainab</w:t>
      </w:r>
      <w:r w:rsidR="00B50D06" w:rsidRPr="006174BB">
        <w:t>ility, Financial Reporting and Audit</w:t>
      </w:r>
    </w:p>
    <w:p w14:paraId="3D8712CF" w14:textId="5D311D89" w:rsidR="00A17097" w:rsidRPr="00B50D06" w:rsidRDefault="00B50D06" w:rsidP="00AE39E1">
      <w:pPr>
        <w:spacing w:after="0"/>
      </w:pPr>
      <w:r w:rsidRPr="006174BB">
        <w:t>Australian Securities and Investments Commission</w:t>
      </w:r>
    </w:p>
    <w:p w14:paraId="01E9618D" w14:textId="33492F30" w:rsidR="005C32EF" w:rsidRPr="005C32EF" w:rsidRDefault="00792D96" w:rsidP="00AE39E1">
      <w:pPr>
        <w:spacing w:after="0"/>
      </w:pPr>
      <w:r>
        <w:t>11 September 2026</w:t>
      </w:r>
    </w:p>
    <w:sectPr w:rsidR="005C32EF" w:rsidRPr="005C32EF" w:rsidSect="002356F8">
      <w:footerReference w:type="default" r:id="rId8"/>
      <w:headerReference w:type="first" r:id="rId9"/>
      <w:footerReference w:type="first" r:id="rId10"/>
      <w:pgSz w:w="11906" w:h="16838"/>
      <w:pgMar w:top="1701" w:right="1134" w:bottom="1134" w:left="1134" w:header="992"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EA529" w14:textId="77777777" w:rsidR="006831BB" w:rsidRDefault="006831BB" w:rsidP="00F957C6">
      <w:pPr>
        <w:spacing w:after="0" w:line="240" w:lineRule="auto"/>
      </w:pPr>
      <w:r>
        <w:separator/>
      </w:r>
    </w:p>
  </w:endnote>
  <w:endnote w:type="continuationSeparator" w:id="0">
    <w:p w14:paraId="1866135B" w14:textId="77777777" w:rsidR="006831BB" w:rsidRDefault="006831BB" w:rsidP="00F95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do">
    <w:altName w:val="Times New Roman"/>
    <w:charset w:val="00"/>
    <w:family w:val="roman"/>
    <w:pitch w:val="variable"/>
    <w:sig w:usb0="E40008FF" w:usb1="5201E0FB" w:usb2="04608000" w:usb3="00000000" w:csb0="000000BB"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light">
    <w:panose1 w:val="020B04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Inter Light">
    <w:altName w:val="Calibri"/>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D257" w14:textId="68A2A19A" w:rsidR="00037513" w:rsidRPr="00852F35" w:rsidRDefault="00936C83" w:rsidP="00936C83">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 xml:space="preserve">| </w:t>
    </w:r>
    <w:r>
      <w:rPr>
        <w:color w:val="6E6E6E"/>
        <w:sz w:val="18"/>
        <w:szCs w:val="18"/>
      </w:rPr>
      <w:t xml:space="preserve">Dashboard Impact Analysis (IA) – </w:t>
    </w:r>
    <w:r w:rsidR="00A64637" w:rsidRPr="00A64637">
      <w:rPr>
        <w:color w:val="6E6E6E"/>
        <w:sz w:val="18"/>
        <w:szCs w:val="18"/>
      </w:rPr>
      <w:t xml:space="preserve">Proposed declaration of qualified accountants under </w:t>
    </w:r>
    <w:r w:rsidR="00A64637" w:rsidRPr="00A64637">
      <w:rPr>
        <w:i/>
        <w:iCs/>
        <w:color w:val="6E6E6E"/>
        <w:sz w:val="18"/>
        <w:szCs w:val="18"/>
      </w:rPr>
      <w:t>ASIC Corporations (Qualified Accountant) Instrument 2026/734</w:t>
    </w:r>
    <w:r w:rsidR="00A64637" w:rsidRPr="00A64637">
      <w:rPr>
        <w:i/>
        <w:iCs/>
        <w:color w:val="6E6E6E"/>
        <w:sz w:val="18"/>
        <w:szCs w:val="18"/>
      </w:rPr>
      <w:ptab w:relativeTo="margin" w:alignment="left" w:leader="none"/>
    </w:r>
    <w:r w:rsidRPr="00852F35">
      <w:rPr>
        <w:color w:val="6E6E6E"/>
      </w:rPr>
      <w:ptab w:relativeTo="margin" w:alignment="right" w:leader="none"/>
    </w:r>
    <w:r w:rsidRPr="00852F35">
      <w:rPr>
        <w:rFonts w:ascii="Segoe UI" w:hAnsi="Segoe UI" w:cs="Segoe UI"/>
        <w:color w:val="6E6E6E"/>
        <w:sz w:val="18"/>
      </w:rPr>
      <w:fldChar w:fldCharType="begin"/>
    </w:r>
    <w:r w:rsidRPr="00852F35">
      <w:rPr>
        <w:rFonts w:ascii="Segoe UI" w:hAnsi="Segoe UI" w:cs="Segoe UI"/>
        <w:color w:val="6E6E6E"/>
        <w:sz w:val="18"/>
      </w:rPr>
      <w:instrText xml:space="preserve"> PAGE   \* MERGEFORMAT </w:instrText>
    </w:r>
    <w:r w:rsidRPr="00852F35">
      <w:rPr>
        <w:rFonts w:ascii="Segoe UI" w:hAnsi="Segoe UI" w:cs="Segoe UI"/>
        <w:color w:val="6E6E6E"/>
        <w:sz w:val="18"/>
      </w:rPr>
      <w:fldChar w:fldCharType="separate"/>
    </w:r>
    <w:r>
      <w:rPr>
        <w:rFonts w:ascii="Segoe UI" w:hAnsi="Segoe UI" w:cs="Segoe UI"/>
        <w:color w:val="6E6E6E"/>
        <w:sz w:val="18"/>
      </w:rPr>
      <w:t>1</w:t>
    </w:r>
    <w:r w:rsidRPr="00852F35">
      <w:rPr>
        <w:rFonts w:ascii="Segoe UI" w:hAnsi="Segoe UI" w:cs="Segoe UI"/>
        <w:noProof/>
        <w:color w:val="6E6E6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E8954" w14:textId="77777777" w:rsidR="006E7551" w:rsidRDefault="006E7551" w:rsidP="00BB1526">
    <w:pPr>
      <w:pStyle w:val="Header"/>
      <w:rPr>
        <w:color w:val="6E6E6E"/>
        <w:sz w:val="18"/>
        <w:szCs w:val="18"/>
      </w:rPr>
    </w:pPr>
  </w:p>
  <w:p w14:paraId="362A454C" w14:textId="77777777" w:rsidR="00A64637" w:rsidRDefault="005A3632" w:rsidP="00BB1526">
    <w:pPr>
      <w:pStyle w:val="Header"/>
      <w:rPr>
        <w:i/>
        <w:iCs/>
        <w:color w:val="6E6E6E"/>
        <w:sz w:val="18"/>
        <w:szCs w:val="18"/>
      </w:rPr>
    </w:pPr>
    <w:r>
      <w:rPr>
        <w:color w:val="6E6E6E"/>
        <w:sz w:val="18"/>
        <w:szCs w:val="18"/>
      </w:rPr>
      <w:t xml:space="preserve">Australian Government </w:t>
    </w:r>
    <w:r w:rsidRPr="00852F35">
      <w:rPr>
        <w:color w:val="6E6E6E"/>
        <w:sz w:val="18"/>
        <w:szCs w:val="18"/>
      </w:rPr>
      <w:t>|</w:t>
    </w:r>
    <w:r w:rsidR="00BB1526" w:rsidRPr="00852F35">
      <w:rPr>
        <w:color w:val="6E6E6E"/>
        <w:sz w:val="18"/>
        <w:szCs w:val="18"/>
      </w:rPr>
      <w:t xml:space="preserve"> </w:t>
    </w:r>
    <w:r w:rsidR="005D7C45">
      <w:rPr>
        <w:color w:val="6E6E6E"/>
        <w:sz w:val="18"/>
        <w:szCs w:val="18"/>
      </w:rPr>
      <w:t xml:space="preserve">Dashboard Impact Analysis (IA) – </w:t>
    </w:r>
    <w:r w:rsidR="00A64637" w:rsidRPr="00A64637">
      <w:rPr>
        <w:color w:val="6E6E6E"/>
        <w:sz w:val="18"/>
        <w:szCs w:val="18"/>
      </w:rPr>
      <w:t xml:space="preserve">Proposed declaration of qualified accountants under </w:t>
    </w:r>
    <w:r w:rsidR="00A64637" w:rsidRPr="00A64637">
      <w:rPr>
        <w:i/>
        <w:iCs/>
        <w:color w:val="6E6E6E"/>
        <w:sz w:val="18"/>
        <w:szCs w:val="18"/>
      </w:rPr>
      <w:t>ASIC Corporations (Qualified Accountant) Instrument 2026/734</w:t>
    </w:r>
  </w:p>
  <w:p w14:paraId="504706F9" w14:textId="0CA52287" w:rsidR="00464D89" w:rsidRPr="00BB1526" w:rsidRDefault="00BB1526" w:rsidP="00A64637">
    <w:pPr>
      <w:pStyle w:val="Header"/>
      <w:jc w:val="right"/>
      <w:rPr>
        <w:rFonts w:ascii="Segoe UI" w:hAnsi="Segoe UI" w:cs="Segoe UI"/>
        <w:color w:val="6E6E6E"/>
        <w:sz w:val="18"/>
      </w:rPr>
    </w:pPr>
    <w:r w:rsidRPr="00A64637">
      <w:rPr>
        <w:i/>
        <w:iCs/>
        <w:color w:val="6E6E6E"/>
        <w:sz w:val="18"/>
        <w:szCs w:val="18"/>
      </w:rPr>
      <w:ptab w:relativeTo="margin" w:alignment="left" w:leader="none"/>
    </w:r>
    <w:r w:rsidRPr="00A64637">
      <w:rPr>
        <w:color w:val="6E6E6E"/>
        <w:sz w:val="18"/>
        <w:szCs w:val="18"/>
      </w:rPr>
      <w:fldChar w:fldCharType="begin"/>
    </w:r>
    <w:r w:rsidRPr="00A64637">
      <w:rPr>
        <w:color w:val="6E6E6E"/>
        <w:sz w:val="18"/>
        <w:szCs w:val="18"/>
      </w:rPr>
      <w:instrText xml:space="preserve"> PAGE   \* MERGEFORMAT </w:instrText>
    </w:r>
    <w:r w:rsidRPr="00A64637">
      <w:rPr>
        <w:color w:val="6E6E6E"/>
        <w:sz w:val="18"/>
        <w:szCs w:val="18"/>
      </w:rPr>
      <w:fldChar w:fldCharType="separate"/>
    </w:r>
    <w:r w:rsidR="00E155C1" w:rsidRPr="00A64637">
      <w:rPr>
        <w:color w:val="6E6E6E"/>
        <w:sz w:val="18"/>
        <w:szCs w:val="18"/>
      </w:rPr>
      <w:t>1</w:t>
    </w:r>
    <w:r w:rsidRPr="00A64637">
      <w:rPr>
        <w:color w:val="6E6E6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9913D" w14:textId="77777777" w:rsidR="006831BB" w:rsidRDefault="006831BB" w:rsidP="00F957C6">
      <w:pPr>
        <w:spacing w:after="0" w:line="240" w:lineRule="auto"/>
      </w:pPr>
      <w:r>
        <w:separator/>
      </w:r>
    </w:p>
  </w:footnote>
  <w:footnote w:type="continuationSeparator" w:id="0">
    <w:p w14:paraId="5056F7DB" w14:textId="77777777" w:rsidR="006831BB" w:rsidRDefault="006831BB" w:rsidP="00F95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E48C8" w14:textId="5D0847F5" w:rsidR="00037513" w:rsidRPr="0026634E" w:rsidRDefault="0026634E" w:rsidP="000F29BA">
    <w:pPr>
      <w:pStyle w:val="Header"/>
      <w:jc w:val="center"/>
    </w:pPr>
    <w:r>
      <w:rPr>
        <w:rStyle w:val="CLASSIFICATIONChar"/>
        <w:noProof/>
        <w:lang w:eastAsia="en-AU"/>
      </w:rPr>
      <w:drawing>
        <wp:anchor distT="0" distB="0" distL="114300" distR="114300" simplePos="0" relativeHeight="251658240" behindDoc="1" locked="0" layoutInCell="1" allowOverlap="1" wp14:anchorId="0BAD895F" wp14:editId="1B7BAD46">
          <wp:simplePos x="0" y="0"/>
          <wp:positionH relativeFrom="column">
            <wp:posOffset>-46990</wp:posOffset>
          </wp:positionH>
          <wp:positionV relativeFrom="paragraph">
            <wp:posOffset>-217805</wp:posOffset>
          </wp:positionV>
          <wp:extent cx="2322830" cy="621665"/>
          <wp:effectExtent l="0" t="0" r="1270" b="6985"/>
          <wp:wrapNone/>
          <wp:docPr id="16" name="Picture 16"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ustralian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2166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04592A"/>
    <w:lvl w:ilvl="0">
      <w:start w:val="1"/>
      <w:numFmt w:val="decimal"/>
      <w:lvlText w:val="%1."/>
      <w:lvlJc w:val="left"/>
      <w:pPr>
        <w:tabs>
          <w:tab w:val="num" w:pos="2060"/>
        </w:tabs>
        <w:ind w:left="2060" w:hanging="360"/>
      </w:pPr>
    </w:lvl>
  </w:abstractNum>
  <w:abstractNum w:abstractNumId="1" w15:restartNumberingAfterBreak="0">
    <w:nsid w:val="FFFFFF7D"/>
    <w:multiLevelType w:val="singleLevel"/>
    <w:tmpl w:val="35487F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50D9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3D612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1469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F01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FE08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9813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0620C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A4281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75033"/>
    <w:multiLevelType w:val="hybridMultilevel"/>
    <w:tmpl w:val="C6DC8A2C"/>
    <w:lvl w:ilvl="0" w:tplc="458A1C2C">
      <w:start w:val="1"/>
      <w:numFmt w:val="bullet"/>
      <w:pStyle w:val="TBL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B014CCD"/>
    <w:multiLevelType w:val="hybridMultilevel"/>
    <w:tmpl w:val="D0E0AE74"/>
    <w:lvl w:ilvl="0" w:tplc="42CAA44A">
      <w:start w:val="1"/>
      <w:numFmt w:val="bullet"/>
      <w:pStyle w:val="BOXBulletedList"/>
      <w:lvlText w:val=""/>
      <w:lvlJc w:val="left"/>
      <w:pPr>
        <w:ind w:left="284" w:hanging="284"/>
      </w:pPr>
      <w:rPr>
        <w:rFonts w:ascii="Symbol" w:hAnsi="Symbol" w:hint="default"/>
      </w:rPr>
    </w:lvl>
    <w:lvl w:ilvl="1" w:tplc="AFD06412">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AF6F03"/>
    <w:multiLevelType w:val="hybridMultilevel"/>
    <w:tmpl w:val="4CF49542"/>
    <w:lvl w:ilvl="0" w:tplc="6C069990">
      <w:start w:val="1"/>
      <w:numFmt w:val="bullet"/>
      <w:pStyle w:val="BulletedList-Level3"/>
      <w:lvlText w:val="o"/>
      <w:lvlJc w:val="left"/>
      <w:pPr>
        <w:ind w:left="1134" w:hanging="283"/>
      </w:pPr>
      <w:rPr>
        <w:rFonts w:ascii="Courier New" w:hAnsi="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3" w15:restartNumberingAfterBreak="0">
    <w:nsid w:val="13A3105B"/>
    <w:multiLevelType w:val="hybridMultilevel"/>
    <w:tmpl w:val="2F88CC68"/>
    <w:lvl w:ilvl="0" w:tplc="93300146">
      <w:start w:val="1"/>
      <w:numFmt w:val="decimal"/>
      <w:pStyle w:val="BoxDark-NumberedList"/>
      <w:lvlText w:val="%1."/>
      <w:lvlJc w:val="left"/>
      <w:pPr>
        <w:ind w:left="947" w:hanging="360"/>
      </w:pPr>
    </w:lvl>
    <w:lvl w:ilvl="1" w:tplc="0C090019" w:tentative="1">
      <w:start w:val="1"/>
      <w:numFmt w:val="lowerLetter"/>
      <w:lvlText w:val="%2."/>
      <w:lvlJc w:val="left"/>
      <w:pPr>
        <w:ind w:left="1667" w:hanging="360"/>
      </w:pPr>
    </w:lvl>
    <w:lvl w:ilvl="2" w:tplc="0C09001B" w:tentative="1">
      <w:start w:val="1"/>
      <w:numFmt w:val="lowerRoman"/>
      <w:lvlText w:val="%3."/>
      <w:lvlJc w:val="right"/>
      <w:pPr>
        <w:ind w:left="2387" w:hanging="180"/>
      </w:pPr>
    </w:lvl>
    <w:lvl w:ilvl="3" w:tplc="0C09000F" w:tentative="1">
      <w:start w:val="1"/>
      <w:numFmt w:val="decimal"/>
      <w:lvlText w:val="%4."/>
      <w:lvlJc w:val="left"/>
      <w:pPr>
        <w:ind w:left="3107" w:hanging="360"/>
      </w:pPr>
    </w:lvl>
    <w:lvl w:ilvl="4" w:tplc="0C090019" w:tentative="1">
      <w:start w:val="1"/>
      <w:numFmt w:val="lowerLetter"/>
      <w:lvlText w:val="%5."/>
      <w:lvlJc w:val="left"/>
      <w:pPr>
        <w:ind w:left="3827" w:hanging="360"/>
      </w:pPr>
    </w:lvl>
    <w:lvl w:ilvl="5" w:tplc="0C09001B" w:tentative="1">
      <w:start w:val="1"/>
      <w:numFmt w:val="lowerRoman"/>
      <w:lvlText w:val="%6."/>
      <w:lvlJc w:val="right"/>
      <w:pPr>
        <w:ind w:left="4547" w:hanging="180"/>
      </w:pPr>
    </w:lvl>
    <w:lvl w:ilvl="6" w:tplc="0C09000F" w:tentative="1">
      <w:start w:val="1"/>
      <w:numFmt w:val="decimal"/>
      <w:lvlText w:val="%7."/>
      <w:lvlJc w:val="left"/>
      <w:pPr>
        <w:ind w:left="5267" w:hanging="360"/>
      </w:pPr>
    </w:lvl>
    <w:lvl w:ilvl="7" w:tplc="0C090019" w:tentative="1">
      <w:start w:val="1"/>
      <w:numFmt w:val="lowerLetter"/>
      <w:lvlText w:val="%8."/>
      <w:lvlJc w:val="left"/>
      <w:pPr>
        <w:ind w:left="5987" w:hanging="360"/>
      </w:pPr>
    </w:lvl>
    <w:lvl w:ilvl="8" w:tplc="0C09001B" w:tentative="1">
      <w:start w:val="1"/>
      <w:numFmt w:val="lowerRoman"/>
      <w:lvlText w:val="%9."/>
      <w:lvlJc w:val="right"/>
      <w:pPr>
        <w:ind w:left="6707" w:hanging="180"/>
      </w:pPr>
    </w:lvl>
  </w:abstractNum>
  <w:abstractNum w:abstractNumId="14" w15:restartNumberingAfterBreak="0">
    <w:nsid w:val="19F33BBA"/>
    <w:multiLevelType w:val="hybridMultilevel"/>
    <w:tmpl w:val="0812E2DE"/>
    <w:lvl w:ilvl="0" w:tplc="E1AE5D66">
      <w:start w:val="1"/>
      <w:numFmt w:val="decimal"/>
      <w:pStyle w:val="Figure"/>
      <w:suff w:val="space"/>
      <w:lvlText w:val="Figure %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F507AC4"/>
    <w:multiLevelType w:val="hybridMultilevel"/>
    <w:tmpl w:val="6FFA548C"/>
    <w:lvl w:ilvl="0" w:tplc="E7066796">
      <w:start w:val="1"/>
      <w:numFmt w:val="bullet"/>
      <w:pStyle w:val="BulletedList-Level2"/>
      <w:lvlText w:val="−"/>
      <w:lvlJc w:val="left"/>
      <w:pPr>
        <w:ind w:left="851" w:hanging="284"/>
      </w:pPr>
      <w:rPr>
        <w:rFonts w:ascii="Cardo" w:hAnsi="Cardo"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26DF05D0"/>
    <w:multiLevelType w:val="hybridMultilevel"/>
    <w:tmpl w:val="361C27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854A54"/>
    <w:multiLevelType w:val="hybridMultilevel"/>
    <w:tmpl w:val="253E2E62"/>
    <w:lvl w:ilvl="0" w:tplc="B2AA9F56">
      <w:start w:val="1"/>
      <w:numFmt w:val="bullet"/>
      <w:pStyle w:val="BulletedList-Level1"/>
      <w:lvlText w:val=""/>
      <w:lvlJc w:val="left"/>
      <w:pPr>
        <w:ind w:left="425" w:hanging="283"/>
      </w:pPr>
      <w:rPr>
        <w:rFonts w:ascii="Symbol" w:hAnsi="Symbol" w:hint="default"/>
      </w:rPr>
    </w:lvl>
    <w:lvl w:ilvl="1" w:tplc="4BB4D094">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1EFC13BC">
      <w:start w:val="1"/>
      <w:numFmt w:val="bullet"/>
      <w:lvlText w:val=""/>
      <w:lvlJc w:val="left"/>
      <w:pPr>
        <w:ind w:left="992" w:hanging="283"/>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8" w15:restartNumberingAfterBreak="0">
    <w:nsid w:val="2F3D6CD4"/>
    <w:multiLevelType w:val="hybridMultilevel"/>
    <w:tmpl w:val="82AED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A43634D"/>
    <w:multiLevelType w:val="hybridMultilevel"/>
    <w:tmpl w:val="BCB85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738790B"/>
    <w:multiLevelType w:val="hybridMultilevel"/>
    <w:tmpl w:val="FB4C4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6C7FF6"/>
    <w:multiLevelType w:val="hybridMultilevel"/>
    <w:tmpl w:val="4D4A750C"/>
    <w:lvl w:ilvl="0" w:tplc="D6643B58">
      <w:start w:val="1"/>
      <w:numFmt w:val="decimal"/>
      <w:pStyle w:val="BOXNumberedList"/>
      <w:lvlText w:val="%1."/>
      <w:lvlJc w:val="left"/>
      <w:pPr>
        <w:ind w:left="840" w:hanging="360"/>
      </w:pPr>
    </w:lvl>
    <w:lvl w:ilvl="1" w:tplc="0C090019" w:tentative="1">
      <w:start w:val="1"/>
      <w:numFmt w:val="lowerLetter"/>
      <w:lvlText w:val="%2."/>
      <w:lvlJc w:val="left"/>
      <w:pPr>
        <w:ind w:left="1560" w:hanging="360"/>
      </w:pPr>
    </w:lvl>
    <w:lvl w:ilvl="2" w:tplc="0C09001B" w:tentative="1">
      <w:start w:val="1"/>
      <w:numFmt w:val="lowerRoman"/>
      <w:lvlText w:val="%3."/>
      <w:lvlJc w:val="right"/>
      <w:pPr>
        <w:ind w:left="2280" w:hanging="180"/>
      </w:pPr>
    </w:lvl>
    <w:lvl w:ilvl="3" w:tplc="0C09000F" w:tentative="1">
      <w:start w:val="1"/>
      <w:numFmt w:val="decimal"/>
      <w:lvlText w:val="%4."/>
      <w:lvlJc w:val="left"/>
      <w:pPr>
        <w:ind w:left="3000" w:hanging="360"/>
      </w:pPr>
    </w:lvl>
    <w:lvl w:ilvl="4" w:tplc="0C090019" w:tentative="1">
      <w:start w:val="1"/>
      <w:numFmt w:val="lowerLetter"/>
      <w:lvlText w:val="%5."/>
      <w:lvlJc w:val="left"/>
      <w:pPr>
        <w:ind w:left="3720" w:hanging="360"/>
      </w:pPr>
    </w:lvl>
    <w:lvl w:ilvl="5" w:tplc="0C09001B" w:tentative="1">
      <w:start w:val="1"/>
      <w:numFmt w:val="lowerRoman"/>
      <w:lvlText w:val="%6."/>
      <w:lvlJc w:val="right"/>
      <w:pPr>
        <w:ind w:left="4440" w:hanging="180"/>
      </w:pPr>
    </w:lvl>
    <w:lvl w:ilvl="6" w:tplc="0C09000F" w:tentative="1">
      <w:start w:val="1"/>
      <w:numFmt w:val="decimal"/>
      <w:lvlText w:val="%7."/>
      <w:lvlJc w:val="left"/>
      <w:pPr>
        <w:ind w:left="5160" w:hanging="360"/>
      </w:pPr>
    </w:lvl>
    <w:lvl w:ilvl="7" w:tplc="0C090019" w:tentative="1">
      <w:start w:val="1"/>
      <w:numFmt w:val="lowerLetter"/>
      <w:lvlText w:val="%8."/>
      <w:lvlJc w:val="left"/>
      <w:pPr>
        <w:ind w:left="5880" w:hanging="360"/>
      </w:pPr>
    </w:lvl>
    <w:lvl w:ilvl="8" w:tplc="0C09001B" w:tentative="1">
      <w:start w:val="1"/>
      <w:numFmt w:val="lowerRoman"/>
      <w:lvlText w:val="%9."/>
      <w:lvlJc w:val="right"/>
      <w:pPr>
        <w:ind w:left="6600" w:hanging="180"/>
      </w:pPr>
    </w:lvl>
  </w:abstractNum>
  <w:abstractNum w:abstractNumId="22" w15:restartNumberingAfterBreak="0">
    <w:nsid w:val="4E781EDD"/>
    <w:multiLevelType w:val="hybridMultilevel"/>
    <w:tmpl w:val="6B225E28"/>
    <w:lvl w:ilvl="0" w:tplc="1B58674C">
      <w:start w:val="1"/>
      <w:numFmt w:val="bullet"/>
      <w:lvlText w:val="–"/>
      <w:lvlJc w:val="left"/>
      <w:pPr>
        <w:ind w:left="851" w:hanging="284"/>
      </w:pPr>
      <w:rPr>
        <w:rFonts w:ascii="Arial Black" w:hAnsi="Arial Black"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61135143"/>
    <w:multiLevelType w:val="hybridMultilevel"/>
    <w:tmpl w:val="7D8C0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3A4CBF2"/>
    <w:multiLevelType w:val="hybridMultilevel"/>
    <w:tmpl w:val="4328ADD0"/>
    <w:lvl w:ilvl="0" w:tplc="9C3C317A">
      <w:start w:val="1"/>
      <w:numFmt w:val="bullet"/>
      <w:lvlText w:val=""/>
      <w:lvlJc w:val="left"/>
      <w:pPr>
        <w:ind w:left="720" w:hanging="360"/>
      </w:pPr>
      <w:rPr>
        <w:rFonts w:ascii="Symbol" w:eastAsia="Symbol" w:hAnsi="Symbol" w:cs="Symbol"/>
      </w:rPr>
    </w:lvl>
    <w:lvl w:ilvl="1" w:tplc="8A7E84BE">
      <w:start w:val="1"/>
      <w:numFmt w:val="bullet"/>
      <w:lvlText w:val="o"/>
      <w:lvlJc w:val="left"/>
      <w:pPr>
        <w:ind w:left="1440" w:hanging="360"/>
      </w:pPr>
      <w:rPr>
        <w:rFonts w:ascii="Courier New" w:eastAsia="Courier New" w:hAnsi="Courier New" w:cs="Courier New"/>
      </w:rPr>
    </w:lvl>
    <w:lvl w:ilvl="2" w:tplc="DA3CDBA6">
      <w:start w:val="1"/>
      <w:numFmt w:val="bullet"/>
      <w:lvlText w:val=""/>
      <w:lvlJc w:val="left"/>
      <w:pPr>
        <w:ind w:left="2160" w:hanging="360"/>
      </w:pPr>
      <w:rPr>
        <w:rFonts w:ascii="Wingdings" w:eastAsia="Wingdings" w:hAnsi="Wingdings" w:cs="Wingdings"/>
      </w:rPr>
    </w:lvl>
    <w:lvl w:ilvl="3" w:tplc="089A497C">
      <w:start w:val="1"/>
      <w:numFmt w:val="bullet"/>
      <w:lvlText w:val=""/>
      <w:lvlJc w:val="left"/>
      <w:pPr>
        <w:ind w:left="2880" w:hanging="360"/>
      </w:pPr>
      <w:rPr>
        <w:rFonts w:ascii="Symbol" w:eastAsia="Symbol" w:hAnsi="Symbol" w:cs="Symbol"/>
      </w:rPr>
    </w:lvl>
    <w:lvl w:ilvl="4" w:tplc="A652290E">
      <w:start w:val="1"/>
      <w:numFmt w:val="bullet"/>
      <w:lvlText w:val="o"/>
      <w:lvlJc w:val="left"/>
      <w:pPr>
        <w:ind w:left="3600" w:hanging="360"/>
      </w:pPr>
      <w:rPr>
        <w:rFonts w:ascii="Courier New" w:eastAsia="Courier New" w:hAnsi="Courier New" w:cs="Courier New"/>
      </w:rPr>
    </w:lvl>
    <w:lvl w:ilvl="5" w:tplc="7DBCF70C">
      <w:start w:val="1"/>
      <w:numFmt w:val="bullet"/>
      <w:lvlText w:val=""/>
      <w:lvlJc w:val="left"/>
      <w:pPr>
        <w:ind w:left="4320" w:hanging="360"/>
      </w:pPr>
      <w:rPr>
        <w:rFonts w:ascii="Wingdings" w:eastAsia="Wingdings" w:hAnsi="Wingdings" w:cs="Wingdings"/>
      </w:rPr>
    </w:lvl>
    <w:lvl w:ilvl="6" w:tplc="091A9C08">
      <w:start w:val="1"/>
      <w:numFmt w:val="bullet"/>
      <w:lvlText w:val=""/>
      <w:lvlJc w:val="left"/>
      <w:pPr>
        <w:ind w:left="5040" w:hanging="360"/>
      </w:pPr>
      <w:rPr>
        <w:rFonts w:ascii="Symbol" w:eastAsia="Symbol" w:hAnsi="Symbol" w:cs="Symbol"/>
      </w:rPr>
    </w:lvl>
    <w:lvl w:ilvl="7" w:tplc="536CD78C">
      <w:start w:val="1"/>
      <w:numFmt w:val="bullet"/>
      <w:lvlText w:val="o"/>
      <w:lvlJc w:val="left"/>
      <w:pPr>
        <w:ind w:left="5760" w:hanging="360"/>
      </w:pPr>
      <w:rPr>
        <w:rFonts w:ascii="Courier New" w:eastAsia="Courier New" w:hAnsi="Courier New" w:cs="Courier New"/>
      </w:rPr>
    </w:lvl>
    <w:lvl w:ilvl="8" w:tplc="9DFE9164">
      <w:start w:val="1"/>
      <w:numFmt w:val="bullet"/>
      <w:lvlText w:val=""/>
      <w:lvlJc w:val="left"/>
      <w:pPr>
        <w:ind w:left="6480" w:hanging="360"/>
      </w:pPr>
      <w:rPr>
        <w:rFonts w:ascii="Wingdings" w:eastAsia="Wingdings" w:hAnsi="Wingdings" w:cs="Wingdings"/>
      </w:rPr>
    </w:lvl>
  </w:abstractNum>
  <w:abstractNum w:abstractNumId="25" w15:restartNumberingAfterBreak="0">
    <w:nsid w:val="6ABF0286"/>
    <w:multiLevelType w:val="hybridMultilevel"/>
    <w:tmpl w:val="70C6C990"/>
    <w:lvl w:ilvl="0" w:tplc="56D0C196">
      <w:start w:val="1"/>
      <w:numFmt w:val="decimal"/>
      <w:lvlText w:val="%1."/>
      <w:lvlJc w:val="left"/>
      <w:pPr>
        <w:ind w:left="284" w:hanging="28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EDB2988"/>
    <w:multiLevelType w:val="hybridMultilevel"/>
    <w:tmpl w:val="F8521D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EE51B32"/>
    <w:multiLevelType w:val="hybridMultilevel"/>
    <w:tmpl w:val="F2CE71E2"/>
    <w:lvl w:ilvl="0" w:tplc="5E348A7E">
      <w:start w:val="1"/>
      <w:numFmt w:val="decimal"/>
      <w:pStyle w:val="TBLNumberedLis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FD46875"/>
    <w:multiLevelType w:val="hybridMultilevel"/>
    <w:tmpl w:val="6E460EE2"/>
    <w:lvl w:ilvl="0" w:tplc="665C7380">
      <w:start w:val="1"/>
      <w:numFmt w:val="decimal"/>
      <w:lvlText w:val="%1."/>
      <w:lvlJc w:val="left"/>
      <w:pPr>
        <w:ind w:left="930" w:hanging="57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65021A2"/>
    <w:multiLevelType w:val="hybridMultilevel"/>
    <w:tmpl w:val="F196949E"/>
    <w:lvl w:ilvl="0" w:tplc="08063A62">
      <w:start w:val="1"/>
      <w:numFmt w:val="lowerLetter"/>
      <w:lvlText w:val="%1)"/>
      <w:lvlJc w:val="left"/>
      <w:pPr>
        <w:ind w:left="1280" w:hanging="360"/>
      </w:pPr>
    </w:lvl>
    <w:lvl w:ilvl="1" w:tplc="2F38D19A">
      <w:start w:val="1"/>
      <w:numFmt w:val="lowerLetter"/>
      <w:lvlText w:val="%2)"/>
      <w:lvlJc w:val="left"/>
      <w:pPr>
        <w:ind w:left="1280" w:hanging="360"/>
      </w:pPr>
    </w:lvl>
    <w:lvl w:ilvl="2" w:tplc="B3D6B098">
      <w:start w:val="1"/>
      <w:numFmt w:val="lowerLetter"/>
      <w:lvlText w:val="%3)"/>
      <w:lvlJc w:val="left"/>
      <w:pPr>
        <w:ind w:left="1280" w:hanging="360"/>
      </w:pPr>
    </w:lvl>
    <w:lvl w:ilvl="3" w:tplc="675837D4">
      <w:start w:val="1"/>
      <w:numFmt w:val="lowerLetter"/>
      <w:lvlText w:val="%4)"/>
      <w:lvlJc w:val="left"/>
      <w:pPr>
        <w:ind w:left="1280" w:hanging="360"/>
      </w:pPr>
    </w:lvl>
    <w:lvl w:ilvl="4" w:tplc="07CC58DE">
      <w:start w:val="1"/>
      <w:numFmt w:val="lowerLetter"/>
      <w:lvlText w:val="%5)"/>
      <w:lvlJc w:val="left"/>
      <w:pPr>
        <w:ind w:left="1280" w:hanging="360"/>
      </w:pPr>
    </w:lvl>
    <w:lvl w:ilvl="5" w:tplc="9D92524E">
      <w:start w:val="1"/>
      <w:numFmt w:val="lowerLetter"/>
      <w:lvlText w:val="%6)"/>
      <w:lvlJc w:val="left"/>
      <w:pPr>
        <w:ind w:left="1280" w:hanging="360"/>
      </w:pPr>
    </w:lvl>
    <w:lvl w:ilvl="6" w:tplc="014C2120">
      <w:start w:val="1"/>
      <w:numFmt w:val="lowerLetter"/>
      <w:lvlText w:val="%7)"/>
      <w:lvlJc w:val="left"/>
      <w:pPr>
        <w:ind w:left="1280" w:hanging="360"/>
      </w:pPr>
    </w:lvl>
    <w:lvl w:ilvl="7" w:tplc="53AAF56E">
      <w:start w:val="1"/>
      <w:numFmt w:val="lowerLetter"/>
      <w:lvlText w:val="%8)"/>
      <w:lvlJc w:val="left"/>
      <w:pPr>
        <w:ind w:left="1280" w:hanging="360"/>
      </w:pPr>
    </w:lvl>
    <w:lvl w:ilvl="8" w:tplc="0F0A6EAA">
      <w:start w:val="1"/>
      <w:numFmt w:val="lowerLetter"/>
      <w:lvlText w:val="%9)"/>
      <w:lvlJc w:val="left"/>
      <w:pPr>
        <w:ind w:left="1280" w:hanging="360"/>
      </w:pPr>
    </w:lvl>
  </w:abstractNum>
  <w:abstractNum w:abstractNumId="30" w15:restartNumberingAfterBreak="0">
    <w:nsid w:val="781170D5"/>
    <w:multiLevelType w:val="hybridMultilevel"/>
    <w:tmpl w:val="38E03EE6"/>
    <w:lvl w:ilvl="0" w:tplc="9C7CCF60">
      <w:start w:val="1"/>
      <w:numFmt w:val="decimal"/>
      <w:pStyle w:val="NumberedList-Level1"/>
      <w:lvlText w:val="%1."/>
      <w:lvlJc w:val="left"/>
      <w:pPr>
        <w:ind w:left="567" w:hanging="283"/>
      </w:pPr>
      <w:rPr>
        <w:rFonts w:hint="default"/>
      </w:rPr>
    </w:lvl>
    <w:lvl w:ilvl="1" w:tplc="1FAA0FEC">
      <w:start w:val="1"/>
      <w:numFmt w:val="lowerLetter"/>
      <w:pStyle w:val="NumberedList-level2"/>
      <w:lvlText w:val="%2."/>
      <w:lvlJc w:val="left"/>
      <w:pPr>
        <w:ind w:left="851" w:hanging="284"/>
      </w:pPr>
      <w:rPr>
        <w:rFonts w:hint="default"/>
      </w:rPr>
    </w:lvl>
    <w:lvl w:ilvl="2" w:tplc="65FAA32A">
      <w:start w:val="1"/>
      <w:numFmt w:val="lowerRoman"/>
      <w:pStyle w:val="NumberedList-Level3"/>
      <w:lvlText w:val="%3."/>
      <w:lvlJc w:val="right"/>
      <w:pPr>
        <w:ind w:left="1134" w:hanging="170"/>
      </w:pPr>
      <w:rPr>
        <w:rFonts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625884965">
    <w:abstractNumId w:val="11"/>
  </w:num>
  <w:num w:numId="2" w16cid:durableId="404568253">
    <w:abstractNumId w:val="9"/>
  </w:num>
  <w:num w:numId="3" w16cid:durableId="504319927">
    <w:abstractNumId w:val="7"/>
  </w:num>
  <w:num w:numId="4" w16cid:durableId="302465916">
    <w:abstractNumId w:val="6"/>
  </w:num>
  <w:num w:numId="5" w16cid:durableId="1197698854">
    <w:abstractNumId w:val="5"/>
  </w:num>
  <w:num w:numId="6" w16cid:durableId="680863680">
    <w:abstractNumId w:val="4"/>
  </w:num>
  <w:num w:numId="7" w16cid:durableId="255748006">
    <w:abstractNumId w:val="8"/>
  </w:num>
  <w:num w:numId="8" w16cid:durableId="1137651052">
    <w:abstractNumId w:val="3"/>
  </w:num>
  <w:num w:numId="9" w16cid:durableId="96338727">
    <w:abstractNumId w:val="2"/>
  </w:num>
  <w:num w:numId="10" w16cid:durableId="372266075">
    <w:abstractNumId w:val="1"/>
  </w:num>
  <w:num w:numId="11" w16cid:durableId="888490440">
    <w:abstractNumId w:val="0"/>
  </w:num>
  <w:num w:numId="12" w16cid:durableId="1815296940">
    <w:abstractNumId w:val="10"/>
  </w:num>
  <w:num w:numId="13" w16cid:durableId="1560096658">
    <w:abstractNumId w:val="27"/>
  </w:num>
  <w:num w:numId="14" w16cid:durableId="219633512">
    <w:abstractNumId w:val="17"/>
  </w:num>
  <w:num w:numId="15" w16cid:durableId="590897300">
    <w:abstractNumId w:val="17"/>
    <w:lvlOverride w:ilvl="0">
      <w:startOverride w:val="1"/>
    </w:lvlOverride>
  </w:num>
  <w:num w:numId="16" w16cid:durableId="534200502">
    <w:abstractNumId w:val="17"/>
    <w:lvlOverride w:ilvl="0">
      <w:startOverride w:val="1"/>
    </w:lvlOverride>
  </w:num>
  <w:num w:numId="17" w16cid:durableId="2023972854">
    <w:abstractNumId w:val="17"/>
    <w:lvlOverride w:ilvl="0">
      <w:startOverride w:val="1"/>
    </w:lvlOverride>
  </w:num>
  <w:num w:numId="18" w16cid:durableId="564725321">
    <w:abstractNumId w:val="17"/>
    <w:lvlOverride w:ilvl="0">
      <w:startOverride w:val="1"/>
    </w:lvlOverride>
  </w:num>
  <w:num w:numId="19" w16cid:durableId="224335938">
    <w:abstractNumId w:val="22"/>
  </w:num>
  <w:num w:numId="20" w16cid:durableId="1190410526">
    <w:abstractNumId w:val="22"/>
    <w:lvlOverride w:ilvl="0">
      <w:startOverride w:val="1"/>
    </w:lvlOverride>
  </w:num>
  <w:num w:numId="21" w16cid:durableId="1408385144">
    <w:abstractNumId w:val="30"/>
  </w:num>
  <w:num w:numId="22" w16cid:durableId="1652633785">
    <w:abstractNumId w:val="25"/>
  </w:num>
  <w:num w:numId="23" w16cid:durableId="1863855379">
    <w:abstractNumId w:val="11"/>
    <w:lvlOverride w:ilvl="0">
      <w:startOverride w:val="1"/>
    </w:lvlOverride>
  </w:num>
  <w:num w:numId="24" w16cid:durableId="1004935679">
    <w:abstractNumId w:val="30"/>
    <w:lvlOverride w:ilvl="0">
      <w:startOverride w:val="1"/>
    </w:lvlOverride>
  </w:num>
  <w:num w:numId="25" w16cid:durableId="556090353">
    <w:abstractNumId w:val="25"/>
    <w:lvlOverride w:ilvl="0">
      <w:startOverride w:val="1"/>
    </w:lvlOverride>
  </w:num>
  <w:num w:numId="26" w16cid:durableId="1451320037">
    <w:abstractNumId w:val="25"/>
    <w:lvlOverride w:ilvl="0">
      <w:startOverride w:val="1"/>
    </w:lvlOverride>
  </w:num>
  <w:num w:numId="27" w16cid:durableId="343560202">
    <w:abstractNumId w:val="14"/>
  </w:num>
  <w:num w:numId="28" w16cid:durableId="183137696">
    <w:abstractNumId w:val="21"/>
  </w:num>
  <w:num w:numId="29" w16cid:durableId="1159925919">
    <w:abstractNumId w:val="13"/>
  </w:num>
  <w:num w:numId="30" w16cid:durableId="506991561">
    <w:abstractNumId w:val="15"/>
  </w:num>
  <w:num w:numId="31" w16cid:durableId="762264085">
    <w:abstractNumId w:val="12"/>
  </w:num>
  <w:num w:numId="32" w16cid:durableId="1275554476">
    <w:abstractNumId w:val="30"/>
    <w:lvlOverride w:ilvl="0">
      <w:startOverride w:val="1"/>
    </w:lvlOverride>
  </w:num>
  <w:num w:numId="33" w16cid:durableId="22633587">
    <w:abstractNumId w:val="30"/>
    <w:lvlOverride w:ilvl="0">
      <w:startOverride w:val="1"/>
    </w:lvlOverride>
  </w:num>
  <w:num w:numId="34" w16cid:durableId="1153646539">
    <w:abstractNumId w:val="30"/>
    <w:lvlOverride w:ilvl="0">
      <w:startOverride w:val="1"/>
    </w:lvlOverride>
  </w:num>
  <w:num w:numId="35" w16cid:durableId="162401463">
    <w:abstractNumId w:val="27"/>
    <w:lvlOverride w:ilvl="0">
      <w:startOverride w:val="1"/>
    </w:lvlOverride>
  </w:num>
  <w:num w:numId="36" w16cid:durableId="450367212">
    <w:abstractNumId w:val="27"/>
    <w:lvlOverride w:ilvl="0">
      <w:startOverride w:val="1"/>
    </w:lvlOverride>
  </w:num>
  <w:num w:numId="37" w16cid:durableId="1187674628">
    <w:abstractNumId w:val="27"/>
    <w:lvlOverride w:ilvl="0">
      <w:startOverride w:val="1"/>
    </w:lvlOverride>
  </w:num>
  <w:num w:numId="38" w16cid:durableId="246689910">
    <w:abstractNumId w:val="23"/>
  </w:num>
  <w:num w:numId="39" w16cid:durableId="1755778916">
    <w:abstractNumId w:val="16"/>
  </w:num>
  <w:num w:numId="40" w16cid:durableId="307176929">
    <w:abstractNumId w:val="19"/>
  </w:num>
  <w:num w:numId="41" w16cid:durableId="592205034">
    <w:abstractNumId w:val="26"/>
  </w:num>
  <w:num w:numId="42" w16cid:durableId="1848402565">
    <w:abstractNumId w:val="24"/>
  </w:num>
  <w:num w:numId="43" w16cid:durableId="924145190">
    <w:abstractNumId w:val="28"/>
  </w:num>
  <w:num w:numId="44" w16cid:durableId="1347444833">
    <w:abstractNumId w:val="18"/>
  </w:num>
  <w:num w:numId="45" w16cid:durableId="939139128">
    <w:abstractNumId w:val="20"/>
  </w:num>
  <w:num w:numId="46" w16cid:durableId="200894100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23"/>
  <w:activeWritingStyle w:appName="MSWord" w:lang="en-AU"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1F2"/>
    <w:rsid w:val="000102CD"/>
    <w:rsid w:val="000109F5"/>
    <w:rsid w:val="00013113"/>
    <w:rsid w:val="000146A8"/>
    <w:rsid w:val="00015101"/>
    <w:rsid w:val="00025C2E"/>
    <w:rsid w:val="00026A6B"/>
    <w:rsid w:val="00027038"/>
    <w:rsid w:val="0003154E"/>
    <w:rsid w:val="00031BB8"/>
    <w:rsid w:val="00031C3A"/>
    <w:rsid w:val="000328DF"/>
    <w:rsid w:val="00033784"/>
    <w:rsid w:val="00034A0D"/>
    <w:rsid w:val="00035963"/>
    <w:rsid w:val="00036162"/>
    <w:rsid w:val="00036586"/>
    <w:rsid w:val="000371BC"/>
    <w:rsid w:val="00037513"/>
    <w:rsid w:val="0004246F"/>
    <w:rsid w:val="00042916"/>
    <w:rsid w:val="00044521"/>
    <w:rsid w:val="000447AE"/>
    <w:rsid w:val="00050E9A"/>
    <w:rsid w:val="000513D8"/>
    <w:rsid w:val="0005464A"/>
    <w:rsid w:val="00056A64"/>
    <w:rsid w:val="00056F86"/>
    <w:rsid w:val="00057763"/>
    <w:rsid w:val="00057AAE"/>
    <w:rsid w:val="00060657"/>
    <w:rsid w:val="000653A5"/>
    <w:rsid w:val="0006627F"/>
    <w:rsid w:val="00067D86"/>
    <w:rsid w:val="0007179E"/>
    <w:rsid w:val="000758E3"/>
    <w:rsid w:val="0007649A"/>
    <w:rsid w:val="00077EAC"/>
    <w:rsid w:val="00080882"/>
    <w:rsid w:val="00084A3D"/>
    <w:rsid w:val="00086BF5"/>
    <w:rsid w:val="00092F9D"/>
    <w:rsid w:val="000930D0"/>
    <w:rsid w:val="00096F2A"/>
    <w:rsid w:val="00097D73"/>
    <w:rsid w:val="000A1F81"/>
    <w:rsid w:val="000B02F4"/>
    <w:rsid w:val="000B3417"/>
    <w:rsid w:val="000B6A28"/>
    <w:rsid w:val="000C669B"/>
    <w:rsid w:val="000C76A9"/>
    <w:rsid w:val="000D088D"/>
    <w:rsid w:val="000D1ED4"/>
    <w:rsid w:val="000D3583"/>
    <w:rsid w:val="000D4815"/>
    <w:rsid w:val="000D749D"/>
    <w:rsid w:val="000E0A07"/>
    <w:rsid w:val="000E0E7A"/>
    <w:rsid w:val="000E23AC"/>
    <w:rsid w:val="000E27BD"/>
    <w:rsid w:val="000E5B4B"/>
    <w:rsid w:val="000F29BA"/>
    <w:rsid w:val="000F7843"/>
    <w:rsid w:val="00101162"/>
    <w:rsid w:val="00105C0B"/>
    <w:rsid w:val="00111B56"/>
    <w:rsid w:val="00113D72"/>
    <w:rsid w:val="00115264"/>
    <w:rsid w:val="00116523"/>
    <w:rsid w:val="00117A77"/>
    <w:rsid w:val="001207A0"/>
    <w:rsid w:val="001238E7"/>
    <w:rsid w:val="001255AA"/>
    <w:rsid w:val="0013015F"/>
    <w:rsid w:val="001312FF"/>
    <w:rsid w:val="0013761C"/>
    <w:rsid w:val="0014213B"/>
    <w:rsid w:val="00143FFA"/>
    <w:rsid w:val="00144773"/>
    <w:rsid w:val="001463BE"/>
    <w:rsid w:val="00151882"/>
    <w:rsid w:val="001560A0"/>
    <w:rsid w:val="00156CB9"/>
    <w:rsid w:val="00160787"/>
    <w:rsid w:val="001611BF"/>
    <w:rsid w:val="00161D73"/>
    <w:rsid w:val="0017057D"/>
    <w:rsid w:val="00173C03"/>
    <w:rsid w:val="00173C4D"/>
    <w:rsid w:val="0017436A"/>
    <w:rsid w:val="00176C32"/>
    <w:rsid w:val="00177C1F"/>
    <w:rsid w:val="00177CB2"/>
    <w:rsid w:val="00182468"/>
    <w:rsid w:val="00190395"/>
    <w:rsid w:val="00190CC3"/>
    <w:rsid w:val="00192A9F"/>
    <w:rsid w:val="00193A2C"/>
    <w:rsid w:val="001954B4"/>
    <w:rsid w:val="001A06B9"/>
    <w:rsid w:val="001A2BE2"/>
    <w:rsid w:val="001A3AE9"/>
    <w:rsid w:val="001A3BE8"/>
    <w:rsid w:val="001A5542"/>
    <w:rsid w:val="001A6826"/>
    <w:rsid w:val="001B009D"/>
    <w:rsid w:val="001B09D1"/>
    <w:rsid w:val="001B19EA"/>
    <w:rsid w:val="001B2C89"/>
    <w:rsid w:val="001B2D56"/>
    <w:rsid w:val="001B37AF"/>
    <w:rsid w:val="001B38AB"/>
    <w:rsid w:val="001B41E4"/>
    <w:rsid w:val="001B5004"/>
    <w:rsid w:val="001B6910"/>
    <w:rsid w:val="001B7123"/>
    <w:rsid w:val="001B73E2"/>
    <w:rsid w:val="001B7E79"/>
    <w:rsid w:val="001C0480"/>
    <w:rsid w:val="001C1DEA"/>
    <w:rsid w:val="001C2288"/>
    <w:rsid w:val="001C5C82"/>
    <w:rsid w:val="001C710A"/>
    <w:rsid w:val="001C7E52"/>
    <w:rsid w:val="001D04C2"/>
    <w:rsid w:val="001D3B03"/>
    <w:rsid w:val="001D412F"/>
    <w:rsid w:val="001D6EB9"/>
    <w:rsid w:val="001D7236"/>
    <w:rsid w:val="001D7F4D"/>
    <w:rsid w:val="001E02A3"/>
    <w:rsid w:val="001E4236"/>
    <w:rsid w:val="001E50B0"/>
    <w:rsid w:val="001E71A3"/>
    <w:rsid w:val="001F0B08"/>
    <w:rsid w:val="001F6307"/>
    <w:rsid w:val="0021173F"/>
    <w:rsid w:val="00212015"/>
    <w:rsid w:val="00212443"/>
    <w:rsid w:val="00217A6F"/>
    <w:rsid w:val="00220DDA"/>
    <w:rsid w:val="00223691"/>
    <w:rsid w:val="00227722"/>
    <w:rsid w:val="00227DB5"/>
    <w:rsid w:val="002304B4"/>
    <w:rsid w:val="00232710"/>
    <w:rsid w:val="00232964"/>
    <w:rsid w:val="00233F66"/>
    <w:rsid w:val="002356F8"/>
    <w:rsid w:val="00235E9A"/>
    <w:rsid w:val="002420B0"/>
    <w:rsid w:val="00245E38"/>
    <w:rsid w:val="0024617E"/>
    <w:rsid w:val="00253AA7"/>
    <w:rsid w:val="00256F79"/>
    <w:rsid w:val="00257AE7"/>
    <w:rsid w:val="0026634E"/>
    <w:rsid w:val="0026648E"/>
    <w:rsid w:val="00266CCC"/>
    <w:rsid w:val="00271A8D"/>
    <w:rsid w:val="00274D42"/>
    <w:rsid w:val="00280B39"/>
    <w:rsid w:val="00281445"/>
    <w:rsid w:val="0028235C"/>
    <w:rsid w:val="0028266A"/>
    <w:rsid w:val="00282DDF"/>
    <w:rsid w:val="00285CAF"/>
    <w:rsid w:val="00292DD3"/>
    <w:rsid w:val="0029319A"/>
    <w:rsid w:val="00294D7C"/>
    <w:rsid w:val="002A28A8"/>
    <w:rsid w:val="002A4866"/>
    <w:rsid w:val="002B4950"/>
    <w:rsid w:val="002B5716"/>
    <w:rsid w:val="002B661A"/>
    <w:rsid w:val="002C011F"/>
    <w:rsid w:val="002C1514"/>
    <w:rsid w:val="002C31A2"/>
    <w:rsid w:val="002C446D"/>
    <w:rsid w:val="002C46CA"/>
    <w:rsid w:val="002C6258"/>
    <w:rsid w:val="002C7A05"/>
    <w:rsid w:val="002D2AC1"/>
    <w:rsid w:val="002D4A9D"/>
    <w:rsid w:val="002D55FD"/>
    <w:rsid w:val="002D686C"/>
    <w:rsid w:val="002D6B3D"/>
    <w:rsid w:val="002D6FDF"/>
    <w:rsid w:val="002E1968"/>
    <w:rsid w:val="002E272D"/>
    <w:rsid w:val="002E2FA2"/>
    <w:rsid w:val="002E5916"/>
    <w:rsid w:val="002E7B19"/>
    <w:rsid w:val="002F2978"/>
    <w:rsid w:val="002F2F02"/>
    <w:rsid w:val="002F3CB5"/>
    <w:rsid w:val="002F5202"/>
    <w:rsid w:val="002F6B99"/>
    <w:rsid w:val="00301396"/>
    <w:rsid w:val="003020FF"/>
    <w:rsid w:val="003030E1"/>
    <w:rsid w:val="0030332C"/>
    <w:rsid w:val="00303C55"/>
    <w:rsid w:val="00305E48"/>
    <w:rsid w:val="00307465"/>
    <w:rsid w:val="00311C2D"/>
    <w:rsid w:val="0031310C"/>
    <w:rsid w:val="00313706"/>
    <w:rsid w:val="00315EBF"/>
    <w:rsid w:val="00316303"/>
    <w:rsid w:val="00317030"/>
    <w:rsid w:val="00321618"/>
    <w:rsid w:val="003343FD"/>
    <w:rsid w:val="00342C74"/>
    <w:rsid w:val="003432CA"/>
    <w:rsid w:val="00345A78"/>
    <w:rsid w:val="00352302"/>
    <w:rsid w:val="00353E5E"/>
    <w:rsid w:val="0035406C"/>
    <w:rsid w:val="00361020"/>
    <w:rsid w:val="00363D31"/>
    <w:rsid w:val="00364D89"/>
    <w:rsid w:val="0036638C"/>
    <w:rsid w:val="003666A7"/>
    <w:rsid w:val="003739A0"/>
    <w:rsid w:val="00374D2A"/>
    <w:rsid w:val="0037686B"/>
    <w:rsid w:val="00376CCE"/>
    <w:rsid w:val="00376FE6"/>
    <w:rsid w:val="00381F17"/>
    <w:rsid w:val="00382504"/>
    <w:rsid w:val="0038465F"/>
    <w:rsid w:val="0038501A"/>
    <w:rsid w:val="00385BD5"/>
    <w:rsid w:val="003863D0"/>
    <w:rsid w:val="00390F8D"/>
    <w:rsid w:val="0039118C"/>
    <w:rsid w:val="003915C8"/>
    <w:rsid w:val="00392101"/>
    <w:rsid w:val="00397435"/>
    <w:rsid w:val="003A159A"/>
    <w:rsid w:val="003A7EFA"/>
    <w:rsid w:val="003B3B98"/>
    <w:rsid w:val="003B52A0"/>
    <w:rsid w:val="003C181D"/>
    <w:rsid w:val="003C6606"/>
    <w:rsid w:val="003D10E4"/>
    <w:rsid w:val="003D1C58"/>
    <w:rsid w:val="003D2A5A"/>
    <w:rsid w:val="003D2EA4"/>
    <w:rsid w:val="003D551C"/>
    <w:rsid w:val="003D5DFA"/>
    <w:rsid w:val="003D6446"/>
    <w:rsid w:val="003D66B2"/>
    <w:rsid w:val="003D676D"/>
    <w:rsid w:val="003E13E1"/>
    <w:rsid w:val="003E2049"/>
    <w:rsid w:val="003E21CA"/>
    <w:rsid w:val="003E40C8"/>
    <w:rsid w:val="003E44BB"/>
    <w:rsid w:val="003E4572"/>
    <w:rsid w:val="003E6936"/>
    <w:rsid w:val="003F0796"/>
    <w:rsid w:val="003F23E9"/>
    <w:rsid w:val="003F3C01"/>
    <w:rsid w:val="00401A0F"/>
    <w:rsid w:val="00401A99"/>
    <w:rsid w:val="00401F2C"/>
    <w:rsid w:val="0040218D"/>
    <w:rsid w:val="004038A7"/>
    <w:rsid w:val="00404E1F"/>
    <w:rsid w:val="004103B6"/>
    <w:rsid w:val="00413B2E"/>
    <w:rsid w:val="004164CD"/>
    <w:rsid w:val="0041795D"/>
    <w:rsid w:val="00417D05"/>
    <w:rsid w:val="00417DF4"/>
    <w:rsid w:val="004263C4"/>
    <w:rsid w:val="00431D94"/>
    <w:rsid w:val="00433477"/>
    <w:rsid w:val="004335DE"/>
    <w:rsid w:val="00433BE4"/>
    <w:rsid w:val="00435D24"/>
    <w:rsid w:val="00435DEC"/>
    <w:rsid w:val="00441C3E"/>
    <w:rsid w:val="00441CD6"/>
    <w:rsid w:val="00441E9D"/>
    <w:rsid w:val="004425C1"/>
    <w:rsid w:val="004434B2"/>
    <w:rsid w:val="00443F97"/>
    <w:rsid w:val="0044525C"/>
    <w:rsid w:val="00445C09"/>
    <w:rsid w:val="00445E7E"/>
    <w:rsid w:val="004460CD"/>
    <w:rsid w:val="00447204"/>
    <w:rsid w:val="00456916"/>
    <w:rsid w:val="00464D89"/>
    <w:rsid w:val="00470295"/>
    <w:rsid w:val="00473172"/>
    <w:rsid w:val="0047358E"/>
    <w:rsid w:val="00477CE3"/>
    <w:rsid w:val="0048189A"/>
    <w:rsid w:val="00483888"/>
    <w:rsid w:val="0048667A"/>
    <w:rsid w:val="00487456"/>
    <w:rsid w:val="004878D3"/>
    <w:rsid w:val="00490B90"/>
    <w:rsid w:val="0049575B"/>
    <w:rsid w:val="004958F2"/>
    <w:rsid w:val="00496211"/>
    <w:rsid w:val="00496448"/>
    <w:rsid w:val="0049682F"/>
    <w:rsid w:val="00497F2D"/>
    <w:rsid w:val="004A30FD"/>
    <w:rsid w:val="004A3872"/>
    <w:rsid w:val="004A4EC7"/>
    <w:rsid w:val="004B2C90"/>
    <w:rsid w:val="004B6BAB"/>
    <w:rsid w:val="004B7C9B"/>
    <w:rsid w:val="004C010C"/>
    <w:rsid w:val="004C0F3E"/>
    <w:rsid w:val="004C17DE"/>
    <w:rsid w:val="004C4418"/>
    <w:rsid w:val="004C6BB9"/>
    <w:rsid w:val="004D3335"/>
    <w:rsid w:val="004D489E"/>
    <w:rsid w:val="004D6D28"/>
    <w:rsid w:val="004E0C63"/>
    <w:rsid w:val="004E14A4"/>
    <w:rsid w:val="004E1D44"/>
    <w:rsid w:val="004E6809"/>
    <w:rsid w:val="004E6934"/>
    <w:rsid w:val="004E73B5"/>
    <w:rsid w:val="004E7DCD"/>
    <w:rsid w:val="004F0F97"/>
    <w:rsid w:val="004F13DF"/>
    <w:rsid w:val="004F163D"/>
    <w:rsid w:val="004F3E3B"/>
    <w:rsid w:val="004F4C4F"/>
    <w:rsid w:val="004F4D77"/>
    <w:rsid w:val="00501768"/>
    <w:rsid w:val="0050318D"/>
    <w:rsid w:val="0050654F"/>
    <w:rsid w:val="005122D0"/>
    <w:rsid w:val="00514DC5"/>
    <w:rsid w:val="00515136"/>
    <w:rsid w:val="00517D42"/>
    <w:rsid w:val="005202BA"/>
    <w:rsid w:val="00521EDC"/>
    <w:rsid w:val="005226B9"/>
    <w:rsid w:val="00522D9C"/>
    <w:rsid w:val="005249A9"/>
    <w:rsid w:val="00527E61"/>
    <w:rsid w:val="00530887"/>
    <w:rsid w:val="00533C80"/>
    <w:rsid w:val="0053437D"/>
    <w:rsid w:val="00534E69"/>
    <w:rsid w:val="00542ECD"/>
    <w:rsid w:val="00543C86"/>
    <w:rsid w:val="005478FE"/>
    <w:rsid w:val="00552E6F"/>
    <w:rsid w:val="00555790"/>
    <w:rsid w:val="00557418"/>
    <w:rsid w:val="00560FCA"/>
    <w:rsid w:val="00561D39"/>
    <w:rsid w:val="00561FB9"/>
    <w:rsid w:val="00563000"/>
    <w:rsid w:val="005647ED"/>
    <w:rsid w:val="00564D92"/>
    <w:rsid w:val="00571466"/>
    <w:rsid w:val="005755D6"/>
    <w:rsid w:val="00576572"/>
    <w:rsid w:val="005818AA"/>
    <w:rsid w:val="00584C18"/>
    <w:rsid w:val="00584D63"/>
    <w:rsid w:val="00585BDE"/>
    <w:rsid w:val="0059123C"/>
    <w:rsid w:val="00591288"/>
    <w:rsid w:val="005917FD"/>
    <w:rsid w:val="0059541A"/>
    <w:rsid w:val="00595853"/>
    <w:rsid w:val="005965F1"/>
    <w:rsid w:val="005A3632"/>
    <w:rsid w:val="005A4AA1"/>
    <w:rsid w:val="005A699D"/>
    <w:rsid w:val="005B10CB"/>
    <w:rsid w:val="005B3358"/>
    <w:rsid w:val="005B7683"/>
    <w:rsid w:val="005C0043"/>
    <w:rsid w:val="005C0F15"/>
    <w:rsid w:val="005C32EF"/>
    <w:rsid w:val="005C3C13"/>
    <w:rsid w:val="005C49B0"/>
    <w:rsid w:val="005C584A"/>
    <w:rsid w:val="005D00E4"/>
    <w:rsid w:val="005D0381"/>
    <w:rsid w:val="005D4706"/>
    <w:rsid w:val="005D5F5E"/>
    <w:rsid w:val="005D7618"/>
    <w:rsid w:val="005D7C45"/>
    <w:rsid w:val="005E05EC"/>
    <w:rsid w:val="005E3199"/>
    <w:rsid w:val="005E3226"/>
    <w:rsid w:val="005E32DB"/>
    <w:rsid w:val="005E35C3"/>
    <w:rsid w:val="005E3A97"/>
    <w:rsid w:val="005F3B45"/>
    <w:rsid w:val="005F3E11"/>
    <w:rsid w:val="005F60C9"/>
    <w:rsid w:val="005F66F9"/>
    <w:rsid w:val="006019A9"/>
    <w:rsid w:val="00601A7B"/>
    <w:rsid w:val="00603F00"/>
    <w:rsid w:val="00604F35"/>
    <w:rsid w:val="00606CF1"/>
    <w:rsid w:val="00613F08"/>
    <w:rsid w:val="006147EB"/>
    <w:rsid w:val="00615B58"/>
    <w:rsid w:val="00615D05"/>
    <w:rsid w:val="00615EC4"/>
    <w:rsid w:val="00616B9C"/>
    <w:rsid w:val="006174BB"/>
    <w:rsid w:val="006200EB"/>
    <w:rsid w:val="0062039B"/>
    <w:rsid w:val="00621D2F"/>
    <w:rsid w:val="00621EA3"/>
    <w:rsid w:val="00623876"/>
    <w:rsid w:val="006266EA"/>
    <w:rsid w:val="00630B03"/>
    <w:rsid w:val="00631F45"/>
    <w:rsid w:val="00632123"/>
    <w:rsid w:val="00636383"/>
    <w:rsid w:val="00640234"/>
    <w:rsid w:val="00642D6A"/>
    <w:rsid w:val="0064343A"/>
    <w:rsid w:val="00653068"/>
    <w:rsid w:val="00653832"/>
    <w:rsid w:val="006600A3"/>
    <w:rsid w:val="00660BC5"/>
    <w:rsid w:val="00663FF0"/>
    <w:rsid w:val="00665FB6"/>
    <w:rsid w:val="00667DBC"/>
    <w:rsid w:val="006766E8"/>
    <w:rsid w:val="00677654"/>
    <w:rsid w:val="00680138"/>
    <w:rsid w:val="0068119C"/>
    <w:rsid w:val="00681DFA"/>
    <w:rsid w:val="00682DBB"/>
    <w:rsid w:val="006831BB"/>
    <w:rsid w:val="006837EF"/>
    <w:rsid w:val="00683A23"/>
    <w:rsid w:val="00684CAE"/>
    <w:rsid w:val="00691EF2"/>
    <w:rsid w:val="00692EEB"/>
    <w:rsid w:val="006945A3"/>
    <w:rsid w:val="00695CB5"/>
    <w:rsid w:val="006A008F"/>
    <w:rsid w:val="006A03F5"/>
    <w:rsid w:val="006A5AA6"/>
    <w:rsid w:val="006B0D1B"/>
    <w:rsid w:val="006B1F84"/>
    <w:rsid w:val="006B3835"/>
    <w:rsid w:val="006B6B21"/>
    <w:rsid w:val="006C62B2"/>
    <w:rsid w:val="006C7687"/>
    <w:rsid w:val="006C7E16"/>
    <w:rsid w:val="006D0ACF"/>
    <w:rsid w:val="006D1D5E"/>
    <w:rsid w:val="006D2B80"/>
    <w:rsid w:val="006D4826"/>
    <w:rsid w:val="006D662A"/>
    <w:rsid w:val="006E170D"/>
    <w:rsid w:val="006E3236"/>
    <w:rsid w:val="006E698B"/>
    <w:rsid w:val="006E7551"/>
    <w:rsid w:val="006F06C4"/>
    <w:rsid w:val="006F731F"/>
    <w:rsid w:val="006F73FE"/>
    <w:rsid w:val="006F7EFE"/>
    <w:rsid w:val="0070056E"/>
    <w:rsid w:val="00702A4E"/>
    <w:rsid w:val="00702CBD"/>
    <w:rsid w:val="00702E8C"/>
    <w:rsid w:val="00703E42"/>
    <w:rsid w:val="007078A6"/>
    <w:rsid w:val="007114AC"/>
    <w:rsid w:val="007132E9"/>
    <w:rsid w:val="007151E9"/>
    <w:rsid w:val="0071548B"/>
    <w:rsid w:val="007203C8"/>
    <w:rsid w:val="007203E4"/>
    <w:rsid w:val="007204A9"/>
    <w:rsid w:val="00722D12"/>
    <w:rsid w:val="007240CA"/>
    <w:rsid w:val="0072497F"/>
    <w:rsid w:val="00726D78"/>
    <w:rsid w:val="00732081"/>
    <w:rsid w:val="00735179"/>
    <w:rsid w:val="00736E2A"/>
    <w:rsid w:val="007428EC"/>
    <w:rsid w:val="00742D4E"/>
    <w:rsid w:val="00743B31"/>
    <w:rsid w:val="0074565F"/>
    <w:rsid w:val="007461F3"/>
    <w:rsid w:val="007464D1"/>
    <w:rsid w:val="0075061A"/>
    <w:rsid w:val="00750EFC"/>
    <w:rsid w:val="00751FEF"/>
    <w:rsid w:val="00754BFA"/>
    <w:rsid w:val="00756929"/>
    <w:rsid w:val="00760C4C"/>
    <w:rsid w:val="0076423D"/>
    <w:rsid w:val="00764970"/>
    <w:rsid w:val="00765B33"/>
    <w:rsid w:val="00767B5A"/>
    <w:rsid w:val="00767DBB"/>
    <w:rsid w:val="00771BF9"/>
    <w:rsid w:val="0077206D"/>
    <w:rsid w:val="00772B70"/>
    <w:rsid w:val="00774646"/>
    <w:rsid w:val="00776144"/>
    <w:rsid w:val="00776D82"/>
    <w:rsid w:val="00777DE5"/>
    <w:rsid w:val="00781695"/>
    <w:rsid w:val="007820F5"/>
    <w:rsid w:val="007837FE"/>
    <w:rsid w:val="00784DA0"/>
    <w:rsid w:val="00787CD8"/>
    <w:rsid w:val="00787D4C"/>
    <w:rsid w:val="00792D96"/>
    <w:rsid w:val="00793856"/>
    <w:rsid w:val="007971E4"/>
    <w:rsid w:val="007A02A7"/>
    <w:rsid w:val="007A1670"/>
    <w:rsid w:val="007A1943"/>
    <w:rsid w:val="007A1EEB"/>
    <w:rsid w:val="007A2B48"/>
    <w:rsid w:val="007A46AF"/>
    <w:rsid w:val="007A4D06"/>
    <w:rsid w:val="007A5116"/>
    <w:rsid w:val="007A55D5"/>
    <w:rsid w:val="007A73F6"/>
    <w:rsid w:val="007B1BD0"/>
    <w:rsid w:val="007B60D0"/>
    <w:rsid w:val="007B6984"/>
    <w:rsid w:val="007B7344"/>
    <w:rsid w:val="007C0935"/>
    <w:rsid w:val="007C452A"/>
    <w:rsid w:val="007D1A5E"/>
    <w:rsid w:val="007D7CD9"/>
    <w:rsid w:val="007E596A"/>
    <w:rsid w:val="007E7B68"/>
    <w:rsid w:val="007F177B"/>
    <w:rsid w:val="007F2A7D"/>
    <w:rsid w:val="007F4E93"/>
    <w:rsid w:val="007F5448"/>
    <w:rsid w:val="007F5C90"/>
    <w:rsid w:val="007F67E0"/>
    <w:rsid w:val="00800A66"/>
    <w:rsid w:val="00801C4F"/>
    <w:rsid w:val="008042B4"/>
    <w:rsid w:val="008046D4"/>
    <w:rsid w:val="00804703"/>
    <w:rsid w:val="00805A5D"/>
    <w:rsid w:val="008066CE"/>
    <w:rsid w:val="00810E90"/>
    <w:rsid w:val="008130DE"/>
    <w:rsid w:val="00813887"/>
    <w:rsid w:val="00814B90"/>
    <w:rsid w:val="00820415"/>
    <w:rsid w:val="0082055F"/>
    <w:rsid w:val="00823F98"/>
    <w:rsid w:val="00825DED"/>
    <w:rsid w:val="00831029"/>
    <w:rsid w:val="00831F64"/>
    <w:rsid w:val="00833792"/>
    <w:rsid w:val="008359F3"/>
    <w:rsid w:val="00837707"/>
    <w:rsid w:val="00840493"/>
    <w:rsid w:val="00841433"/>
    <w:rsid w:val="00842935"/>
    <w:rsid w:val="00846743"/>
    <w:rsid w:val="0084732B"/>
    <w:rsid w:val="008500C0"/>
    <w:rsid w:val="00850712"/>
    <w:rsid w:val="00850888"/>
    <w:rsid w:val="00850B49"/>
    <w:rsid w:val="0085193C"/>
    <w:rsid w:val="00852F35"/>
    <w:rsid w:val="00855E59"/>
    <w:rsid w:val="00856B74"/>
    <w:rsid w:val="00857363"/>
    <w:rsid w:val="00860395"/>
    <w:rsid w:val="00860457"/>
    <w:rsid w:val="00860FDF"/>
    <w:rsid w:val="00862467"/>
    <w:rsid w:val="008630ED"/>
    <w:rsid w:val="0086394C"/>
    <w:rsid w:val="00863EDB"/>
    <w:rsid w:val="008667C4"/>
    <w:rsid w:val="00866A87"/>
    <w:rsid w:val="008755C4"/>
    <w:rsid w:val="00875C91"/>
    <w:rsid w:val="0087619F"/>
    <w:rsid w:val="00876A08"/>
    <w:rsid w:val="00880485"/>
    <w:rsid w:val="00881A82"/>
    <w:rsid w:val="00881C2D"/>
    <w:rsid w:val="00883248"/>
    <w:rsid w:val="008838ED"/>
    <w:rsid w:val="008842FE"/>
    <w:rsid w:val="008855FF"/>
    <w:rsid w:val="00886A22"/>
    <w:rsid w:val="00890D44"/>
    <w:rsid w:val="008921BE"/>
    <w:rsid w:val="00892D49"/>
    <w:rsid w:val="008933BC"/>
    <w:rsid w:val="0089712E"/>
    <w:rsid w:val="008A0614"/>
    <w:rsid w:val="008A1D42"/>
    <w:rsid w:val="008A3133"/>
    <w:rsid w:val="008A45F8"/>
    <w:rsid w:val="008A69F0"/>
    <w:rsid w:val="008A6C81"/>
    <w:rsid w:val="008A6CF1"/>
    <w:rsid w:val="008B0957"/>
    <w:rsid w:val="008B18B4"/>
    <w:rsid w:val="008B28D9"/>
    <w:rsid w:val="008B44F5"/>
    <w:rsid w:val="008B7808"/>
    <w:rsid w:val="008B78D1"/>
    <w:rsid w:val="008C1E66"/>
    <w:rsid w:val="008C20D9"/>
    <w:rsid w:val="008C45FF"/>
    <w:rsid w:val="008C47A1"/>
    <w:rsid w:val="008C738F"/>
    <w:rsid w:val="008D18C1"/>
    <w:rsid w:val="008D5ABA"/>
    <w:rsid w:val="008D5D01"/>
    <w:rsid w:val="008D6B9E"/>
    <w:rsid w:val="008E005C"/>
    <w:rsid w:val="008E1024"/>
    <w:rsid w:val="008E1599"/>
    <w:rsid w:val="008E1FCD"/>
    <w:rsid w:val="008E2CA5"/>
    <w:rsid w:val="008E5613"/>
    <w:rsid w:val="008E641F"/>
    <w:rsid w:val="008F352D"/>
    <w:rsid w:val="008F4C6A"/>
    <w:rsid w:val="00905971"/>
    <w:rsid w:val="00906D5D"/>
    <w:rsid w:val="0091141A"/>
    <w:rsid w:val="0091143A"/>
    <w:rsid w:val="0091347B"/>
    <w:rsid w:val="009137B6"/>
    <w:rsid w:val="00913ED0"/>
    <w:rsid w:val="00927650"/>
    <w:rsid w:val="00930578"/>
    <w:rsid w:val="0093222B"/>
    <w:rsid w:val="00932DE1"/>
    <w:rsid w:val="00933438"/>
    <w:rsid w:val="00935696"/>
    <w:rsid w:val="00935EA5"/>
    <w:rsid w:val="00936C83"/>
    <w:rsid w:val="0093799C"/>
    <w:rsid w:val="00937A52"/>
    <w:rsid w:val="009418EB"/>
    <w:rsid w:val="00942CB6"/>
    <w:rsid w:val="00942CE9"/>
    <w:rsid w:val="009433AF"/>
    <w:rsid w:val="00944A0A"/>
    <w:rsid w:val="00944CCF"/>
    <w:rsid w:val="009456F9"/>
    <w:rsid w:val="00945E1B"/>
    <w:rsid w:val="00947112"/>
    <w:rsid w:val="00951407"/>
    <w:rsid w:val="009517DC"/>
    <w:rsid w:val="00954FF2"/>
    <w:rsid w:val="009615D2"/>
    <w:rsid w:val="0096272B"/>
    <w:rsid w:val="00962EE8"/>
    <w:rsid w:val="00963C21"/>
    <w:rsid w:val="0096450B"/>
    <w:rsid w:val="00964905"/>
    <w:rsid w:val="00966FA0"/>
    <w:rsid w:val="009671C0"/>
    <w:rsid w:val="00971222"/>
    <w:rsid w:val="00972C50"/>
    <w:rsid w:val="00974666"/>
    <w:rsid w:val="0097491E"/>
    <w:rsid w:val="00976EE9"/>
    <w:rsid w:val="009770A4"/>
    <w:rsid w:val="009774A6"/>
    <w:rsid w:val="00977BE1"/>
    <w:rsid w:val="00977EBA"/>
    <w:rsid w:val="00984376"/>
    <w:rsid w:val="00991110"/>
    <w:rsid w:val="00991C32"/>
    <w:rsid w:val="00991DBD"/>
    <w:rsid w:val="009945B5"/>
    <w:rsid w:val="0099693A"/>
    <w:rsid w:val="009A01D5"/>
    <w:rsid w:val="009A43DE"/>
    <w:rsid w:val="009A481A"/>
    <w:rsid w:val="009A6120"/>
    <w:rsid w:val="009A6D9C"/>
    <w:rsid w:val="009A7B23"/>
    <w:rsid w:val="009B0000"/>
    <w:rsid w:val="009B1378"/>
    <w:rsid w:val="009B3EA0"/>
    <w:rsid w:val="009B51F2"/>
    <w:rsid w:val="009C051A"/>
    <w:rsid w:val="009C139B"/>
    <w:rsid w:val="009C529C"/>
    <w:rsid w:val="009C5B8C"/>
    <w:rsid w:val="009C60F6"/>
    <w:rsid w:val="009C7E18"/>
    <w:rsid w:val="009D2232"/>
    <w:rsid w:val="009D2CDE"/>
    <w:rsid w:val="009D789B"/>
    <w:rsid w:val="009E4002"/>
    <w:rsid w:val="009E64E8"/>
    <w:rsid w:val="009F0889"/>
    <w:rsid w:val="009F0FA4"/>
    <w:rsid w:val="009F1023"/>
    <w:rsid w:val="009F5A34"/>
    <w:rsid w:val="009F69BD"/>
    <w:rsid w:val="009F6A0F"/>
    <w:rsid w:val="009F7EA6"/>
    <w:rsid w:val="00A008E6"/>
    <w:rsid w:val="00A008F6"/>
    <w:rsid w:val="00A00DE3"/>
    <w:rsid w:val="00A02AEF"/>
    <w:rsid w:val="00A12C83"/>
    <w:rsid w:val="00A1585F"/>
    <w:rsid w:val="00A158D4"/>
    <w:rsid w:val="00A1607B"/>
    <w:rsid w:val="00A16996"/>
    <w:rsid w:val="00A169FC"/>
    <w:rsid w:val="00A17097"/>
    <w:rsid w:val="00A21BFA"/>
    <w:rsid w:val="00A21C2B"/>
    <w:rsid w:val="00A269B3"/>
    <w:rsid w:val="00A26D73"/>
    <w:rsid w:val="00A31CD9"/>
    <w:rsid w:val="00A343A0"/>
    <w:rsid w:val="00A3440B"/>
    <w:rsid w:val="00A35E13"/>
    <w:rsid w:val="00A47011"/>
    <w:rsid w:val="00A51597"/>
    <w:rsid w:val="00A54993"/>
    <w:rsid w:val="00A54E1B"/>
    <w:rsid w:val="00A55076"/>
    <w:rsid w:val="00A560E9"/>
    <w:rsid w:val="00A57820"/>
    <w:rsid w:val="00A60412"/>
    <w:rsid w:val="00A62EF3"/>
    <w:rsid w:val="00A64637"/>
    <w:rsid w:val="00A67EC4"/>
    <w:rsid w:val="00A71346"/>
    <w:rsid w:val="00A71587"/>
    <w:rsid w:val="00A72C23"/>
    <w:rsid w:val="00A918A7"/>
    <w:rsid w:val="00A91FBC"/>
    <w:rsid w:val="00A934C4"/>
    <w:rsid w:val="00A93D1B"/>
    <w:rsid w:val="00A94B65"/>
    <w:rsid w:val="00A950D1"/>
    <w:rsid w:val="00A95218"/>
    <w:rsid w:val="00A97664"/>
    <w:rsid w:val="00AA06D3"/>
    <w:rsid w:val="00AA2158"/>
    <w:rsid w:val="00AA5F0B"/>
    <w:rsid w:val="00AA6B85"/>
    <w:rsid w:val="00AA705F"/>
    <w:rsid w:val="00AA7F82"/>
    <w:rsid w:val="00AB148F"/>
    <w:rsid w:val="00AB2696"/>
    <w:rsid w:val="00AB583E"/>
    <w:rsid w:val="00AB6B14"/>
    <w:rsid w:val="00AC0A35"/>
    <w:rsid w:val="00AC1F4C"/>
    <w:rsid w:val="00AC2CDC"/>
    <w:rsid w:val="00AC3F56"/>
    <w:rsid w:val="00AC5304"/>
    <w:rsid w:val="00AD5237"/>
    <w:rsid w:val="00AD7805"/>
    <w:rsid w:val="00AE0C6D"/>
    <w:rsid w:val="00AE39E1"/>
    <w:rsid w:val="00AE41B5"/>
    <w:rsid w:val="00AF080A"/>
    <w:rsid w:val="00AF0832"/>
    <w:rsid w:val="00AF269A"/>
    <w:rsid w:val="00AF2DDB"/>
    <w:rsid w:val="00AF365A"/>
    <w:rsid w:val="00AF4977"/>
    <w:rsid w:val="00AF4FAB"/>
    <w:rsid w:val="00B016AD"/>
    <w:rsid w:val="00B03458"/>
    <w:rsid w:val="00B05561"/>
    <w:rsid w:val="00B05FFD"/>
    <w:rsid w:val="00B13935"/>
    <w:rsid w:val="00B13CBD"/>
    <w:rsid w:val="00B16B79"/>
    <w:rsid w:val="00B173F7"/>
    <w:rsid w:val="00B17A58"/>
    <w:rsid w:val="00B2045F"/>
    <w:rsid w:val="00B21608"/>
    <w:rsid w:val="00B22EC7"/>
    <w:rsid w:val="00B32CE9"/>
    <w:rsid w:val="00B36C53"/>
    <w:rsid w:val="00B43D31"/>
    <w:rsid w:val="00B5013D"/>
    <w:rsid w:val="00B50D06"/>
    <w:rsid w:val="00B51225"/>
    <w:rsid w:val="00B51356"/>
    <w:rsid w:val="00B56736"/>
    <w:rsid w:val="00B56ECE"/>
    <w:rsid w:val="00B62A0F"/>
    <w:rsid w:val="00B64324"/>
    <w:rsid w:val="00B6596F"/>
    <w:rsid w:val="00B70A45"/>
    <w:rsid w:val="00B7130C"/>
    <w:rsid w:val="00B72128"/>
    <w:rsid w:val="00B746ED"/>
    <w:rsid w:val="00B74924"/>
    <w:rsid w:val="00B818B4"/>
    <w:rsid w:val="00B820BA"/>
    <w:rsid w:val="00B82421"/>
    <w:rsid w:val="00B82A65"/>
    <w:rsid w:val="00B83070"/>
    <w:rsid w:val="00B85BEA"/>
    <w:rsid w:val="00B87AB1"/>
    <w:rsid w:val="00B922B2"/>
    <w:rsid w:val="00B95C8F"/>
    <w:rsid w:val="00B9781B"/>
    <w:rsid w:val="00BA3D8E"/>
    <w:rsid w:val="00BA4ADB"/>
    <w:rsid w:val="00BA66D7"/>
    <w:rsid w:val="00BA68AA"/>
    <w:rsid w:val="00BB04DC"/>
    <w:rsid w:val="00BB1526"/>
    <w:rsid w:val="00BB2D95"/>
    <w:rsid w:val="00BB38C3"/>
    <w:rsid w:val="00BB3B5B"/>
    <w:rsid w:val="00BB3D4D"/>
    <w:rsid w:val="00BB79E5"/>
    <w:rsid w:val="00BC0BF7"/>
    <w:rsid w:val="00BC0ED5"/>
    <w:rsid w:val="00BC1E8D"/>
    <w:rsid w:val="00BC3014"/>
    <w:rsid w:val="00BC330E"/>
    <w:rsid w:val="00BC394B"/>
    <w:rsid w:val="00BC535A"/>
    <w:rsid w:val="00BC5893"/>
    <w:rsid w:val="00BD141C"/>
    <w:rsid w:val="00BD171D"/>
    <w:rsid w:val="00BD21EF"/>
    <w:rsid w:val="00BD25DD"/>
    <w:rsid w:val="00BD37B8"/>
    <w:rsid w:val="00BD3DEF"/>
    <w:rsid w:val="00BD3F5E"/>
    <w:rsid w:val="00BD4025"/>
    <w:rsid w:val="00BD57F5"/>
    <w:rsid w:val="00BD7890"/>
    <w:rsid w:val="00BD7B4D"/>
    <w:rsid w:val="00BE07B3"/>
    <w:rsid w:val="00BE281D"/>
    <w:rsid w:val="00BE3CD2"/>
    <w:rsid w:val="00BE48A4"/>
    <w:rsid w:val="00BE56F0"/>
    <w:rsid w:val="00BE6048"/>
    <w:rsid w:val="00BF17B9"/>
    <w:rsid w:val="00BF4BFD"/>
    <w:rsid w:val="00BF5A50"/>
    <w:rsid w:val="00BF5F61"/>
    <w:rsid w:val="00BF7349"/>
    <w:rsid w:val="00C066BA"/>
    <w:rsid w:val="00C12D35"/>
    <w:rsid w:val="00C1330C"/>
    <w:rsid w:val="00C13746"/>
    <w:rsid w:val="00C14889"/>
    <w:rsid w:val="00C17807"/>
    <w:rsid w:val="00C17A89"/>
    <w:rsid w:val="00C22088"/>
    <w:rsid w:val="00C2307F"/>
    <w:rsid w:val="00C2371A"/>
    <w:rsid w:val="00C264AE"/>
    <w:rsid w:val="00C26EC0"/>
    <w:rsid w:val="00C31252"/>
    <w:rsid w:val="00C332B2"/>
    <w:rsid w:val="00C34227"/>
    <w:rsid w:val="00C342BF"/>
    <w:rsid w:val="00C36A3E"/>
    <w:rsid w:val="00C43B9B"/>
    <w:rsid w:val="00C44076"/>
    <w:rsid w:val="00C4602E"/>
    <w:rsid w:val="00C46578"/>
    <w:rsid w:val="00C47620"/>
    <w:rsid w:val="00C5293B"/>
    <w:rsid w:val="00C53068"/>
    <w:rsid w:val="00C5346E"/>
    <w:rsid w:val="00C54532"/>
    <w:rsid w:val="00C55408"/>
    <w:rsid w:val="00C56E3A"/>
    <w:rsid w:val="00C65612"/>
    <w:rsid w:val="00C70947"/>
    <w:rsid w:val="00C75EA1"/>
    <w:rsid w:val="00C77BFE"/>
    <w:rsid w:val="00C826E8"/>
    <w:rsid w:val="00C84369"/>
    <w:rsid w:val="00C84BDF"/>
    <w:rsid w:val="00C95ECB"/>
    <w:rsid w:val="00C969DC"/>
    <w:rsid w:val="00C976F9"/>
    <w:rsid w:val="00CA2987"/>
    <w:rsid w:val="00CA3925"/>
    <w:rsid w:val="00CA3B0F"/>
    <w:rsid w:val="00CA4EDE"/>
    <w:rsid w:val="00CA75F7"/>
    <w:rsid w:val="00CB10ED"/>
    <w:rsid w:val="00CB11F0"/>
    <w:rsid w:val="00CB182D"/>
    <w:rsid w:val="00CB2D37"/>
    <w:rsid w:val="00CB44FA"/>
    <w:rsid w:val="00CB4E08"/>
    <w:rsid w:val="00CB7E98"/>
    <w:rsid w:val="00CC1F7D"/>
    <w:rsid w:val="00CC43D6"/>
    <w:rsid w:val="00CC6110"/>
    <w:rsid w:val="00CC6D68"/>
    <w:rsid w:val="00CD17DB"/>
    <w:rsid w:val="00CD192D"/>
    <w:rsid w:val="00CD2F96"/>
    <w:rsid w:val="00CD3644"/>
    <w:rsid w:val="00CD4319"/>
    <w:rsid w:val="00CD7CF5"/>
    <w:rsid w:val="00CD7FD4"/>
    <w:rsid w:val="00CE5DC0"/>
    <w:rsid w:val="00CF0DE3"/>
    <w:rsid w:val="00CF1DD9"/>
    <w:rsid w:val="00CF3315"/>
    <w:rsid w:val="00CF6B45"/>
    <w:rsid w:val="00D008ED"/>
    <w:rsid w:val="00D00DFB"/>
    <w:rsid w:val="00D02178"/>
    <w:rsid w:val="00D0372D"/>
    <w:rsid w:val="00D03799"/>
    <w:rsid w:val="00D03B15"/>
    <w:rsid w:val="00D0448B"/>
    <w:rsid w:val="00D04E61"/>
    <w:rsid w:val="00D07BE2"/>
    <w:rsid w:val="00D10635"/>
    <w:rsid w:val="00D121C6"/>
    <w:rsid w:val="00D20BBF"/>
    <w:rsid w:val="00D21D9E"/>
    <w:rsid w:val="00D22740"/>
    <w:rsid w:val="00D33677"/>
    <w:rsid w:val="00D40DB1"/>
    <w:rsid w:val="00D43CA6"/>
    <w:rsid w:val="00D444BC"/>
    <w:rsid w:val="00D46CAE"/>
    <w:rsid w:val="00D50087"/>
    <w:rsid w:val="00D500C1"/>
    <w:rsid w:val="00D525B8"/>
    <w:rsid w:val="00D547D0"/>
    <w:rsid w:val="00D61DE9"/>
    <w:rsid w:val="00D72CF6"/>
    <w:rsid w:val="00D7378B"/>
    <w:rsid w:val="00D82F07"/>
    <w:rsid w:val="00D84122"/>
    <w:rsid w:val="00D90C71"/>
    <w:rsid w:val="00D91024"/>
    <w:rsid w:val="00D91E5A"/>
    <w:rsid w:val="00D9240A"/>
    <w:rsid w:val="00DA18A2"/>
    <w:rsid w:val="00DA336C"/>
    <w:rsid w:val="00DA3E94"/>
    <w:rsid w:val="00DA40A5"/>
    <w:rsid w:val="00DA5553"/>
    <w:rsid w:val="00DA5F32"/>
    <w:rsid w:val="00DA6758"/>
    <w:rsid w:val="00DB00C8"/>
    <w:rsid w:val="00DB10E4"/>
    <w:rsid w:val="00DB6C76"/>
    <w:rsid w:val="00DB7132"/>
    <w:rsid w:val="00DC41BF"/>
    <w:rsid w:val="00DC6CF7"/>
    <w:rsid w:val="00DD1329"/>
    <w:rsid w:val="00DD1D15"/>
    <w:rsid w:val="00DD1DE9"/>
    <w:rsid w:val="00DD2372"/>
    <w:rsid w:val="00DD4880"/>
    <w:rsid w:val="00DD615D"/>
    <w:rsid w:val="00DE052A"/>
    <w:rsid w:val="00DE0681"/>
    <w:rsid w:val="00DE0B99"/>
    <w:rsid w:val="00DE2C0E"/>
    <w:rsid w:val="00DE36FB"/>
    <w:rsid w:val="00DE45D4"/>
    <w:rsid w:val="00DF2F8D"/>
    <w:rsid w:val="00DF5782"/>
    <w:rsid w:val="00DF6C57"/>
    <w:rsid w:val="00E002A9"/>
    <w:rsid w:val="00E00353"/>
    <w:rsid w:val="00E04A5E"/>
    <w:rsid w:val="00E05FA4"/>
    <w:rsid w:val="00E100E9"/>
    <w:rsid w:val="00E13603"/>
    <w:rsid w:val="00E13EAA"/>
    <w:rsid w:val="00E149D2"/>
    <w:rsid w:val="00E155C1"/>
    <w:rsid w:val="00E15E8D"/>
    <w:rsid w:val="00E172A5"/>
    <w:rsid w:val="00E1787D"/>
    <w:rsid w:val="00E21038"/>
    <w:rsid w:val="00E21122"/>
    <w:rsid w:val="00E224F4"/>
    <w:rsid w:val="00E2753F"/>
    <w:rsid w:val="00E37134"/>
    <w:rsid w:val="00E43609"/>
    <w:rsid w:val="00E445A8"/>
    <w:rsid w:val="00E47BF3"/>
    <w:rsid w:val="00E60630"/>
    <w:rsid w:val="00E624BD"/>
    <w:rsid w:val="00E62EA5"/>
    <w:rsid w:val="00E63509"/>
    <w:rsid w:val="00E64E22"/>
    <w:rsid w:val="00E65024"/>
    <w:rsid w:val="00E70C57"/>
    <w:rsid w:val="00E77394"/>
    <w:rsid w:val="00E806EE"/>
    <w:rsid w:val="00E846C6"/>
    <w:rsid w:val="00E84E98"/>
    <w:rsid w:val="00E84F06"/>
    <w:rsid w:val="00E902B0"/>
    <w:rsid w:val="00E912B6"/>
    <w:rsid w:val="00E91560"/>
    <w:rsid w:val="00E92551"/>
    <w:rsid w:val="00E94AC5"/>
    <w:rsid w:val="00E959C4"/>
    <w:rsid w:val="00E96912"/>
    <w:rsid w:val="00EA1D8E"/>
    <w:rsid w:val="00EA287E"/>
    <w:rsid w:val="00EA324C"/>
    <w:rsid w:val="00EA364A"/>
    <w:rsid w:val="00EA4C6C"/>
    <w:rsid w:val="00EA6068"/>
    <w:rsid w:val="00EA62A6"/>
    <w:rsid w:val="00EA6FEF"/>
    <w:rsid w:val="00EB23B9"/>
    <w:rsid w:val="00EB7292"/>
    <w:rsid w:val="00EB763B"/>
    <w:rsid w:val="00EB774C"/>
    <w:rsid w:val="00EB7E1D"/>
    <w:rsid w:val="00EC0EE5"/>
    <w:rsid w:val="00EC188E"/>
    <w:rsid w:val="00EC32F6"/>
    <w:rsid w:val="00EC6D96"/>
    <w:rsid w:val="00EC7406"/>
    <w:rsid w:val="00EC7A8C"/>
    <w:rsid w:val="00EC7FCF"/>
    <w:rsid w:val="00ED0450"/>
    <w:rsid w:val="00ED0697"/>
    <w:rsid w:val="00ED2A38"/>
    <w:rsid w:val="00ED2B12"/>
    <w:rsid w:val="00ED42D3"/>
    <w:rsid w:val="00EE11A7"/>
    <w:rsid w:val="00EE2E3F"/>
    <w:rsid w:val="00EE3D67"/>
    <w:rsid w:val="00EE530F"/>
    <w:rsid w:val="00EE65A2"/>
    <w:rsid w:val="00EE6BBB"/>
    <w:rsid w:val="00EF12CD"/>
    <w:rsid w:val="00EF183B"/>
    <w:rsid w:val="00F02051"/>
    <w:rsid w:val="00F03073"/>
    <w:rsid w:val="00F04EAF"/>
    <w:rsid w:val="00F052D8"/>
    <w:rsid w:val="00F05614"/>
    <w:rsid w:val="00F0697B"/>
    <w:rsid w:val="00F109A1"/>
    <w:rsid w:val="00F1217D"/>
    <w:rsid w:val="00F13A7A"/>
    <w:rsid w:val="00F1402E"/>
    <w:rsid w:val="00F14D98"/>
    <w:rsid w:val="00F178DA"/>
    <w:rsid w:val="00F17CA5"/>
    <w:rsid w:val="00F17E05"/>
    <w:rsid w:val="00F23ED5"/>
    <w:rsid w:val="00F24405"/>
    <w:rsid w:val="00F253DF"/>
    <w:rsid w:val="00F260C9"/>
    <w:rsid w:val="00F325CA"/>
    <w:rsid w:val="00F33F75"/>
    <w:rsid w:val="00F34AF3"/>
    <w:rsid w:val="00F41A18"/>
    <w:rsid w:val="00F41C01"/>
    <w:rsid w:val="00F431DA"/>
    <w:rsid w:val="00F44DED"/>
    <w:rsid w:val="00F47E9C"/>
    <w:rsid w:val="00F50BFF"/>
    <w:rsid w:val="00F5178F"/>
    <w:rsid w:val="00F5674C"/>
    <w:rsid w:val="00F568A6"/>
    <w:rsid w:val="00F62B99"/>
    <w:rsid w:val="00F63EFD"/>
    <w:rsid w:val="00F64736"/>
    <w:rsid w:val="00F65332"/>
    <w:rsid w:val="00F66078"/>
    <w:rsid w:val="00F663F4"/>
    <w:rsid w:val="00F67E54"/>
    <w:rsid w:val="00F72DB4"/>
    <w:rsid w:val="00F74230"/>
    <w:rsid w:val="00F7531D"/>
    <w:rsid w:val="00F80AD0"/>
    <w:rsid w:val="00F80EF4"/>
    <w:rsid w:val="00F834BD"/>
    <w:rsid w:val="00F837E6"/>
    <w:rsid w:val="00F84847"/>
    <w:rsid w:val="00F84A25"/>
    <w:rsid w:val="00F862B5"/>
    <w:rsid w:val="00F862D1"/>
    <w:rsid w:val="00F86700"/>
    <w:rsid w:val="00F86A1F"/>
    <w:rsid w:val="00F86EA9"/>
    <w:rsid w:val="00F87586"/>
    <w:rsid w:val="00F957C6"/>
    <w:rsid w:val="00F967E2"/>
    <w:rsid w:val="00F96CAB"/>
    <w:rsid w:val="00F9775C"/>
    <w:rsid w:val="00FA2596"/>
    <w:rsid w:val="00FA309E"/>
    <w:rsid w:val="00FA3A68"/>
    <w:rsid w:val="00FB1C0A"/>
    <w:rsid w:val="00FB34F8"/>
    <w:rsid w:val="00FB3B23"/>
    <w:rsid w:val="00FB4C2D"/>
    <w:rsid w:val="00FB73F0"/>
    <w:rsid w:val="00FC50CB"/>
    <w:rsid w:val="00FC6DDE"/>
    <w:rsid w:val="00FC7A0E"/>
    <w:rsid w:val="00FD1ECD"/>
    <w:rsid w:val="00FD20A5"/>
    <w:rsid w:val="00FD2C22"/>
    <w:rsid w:val="00FD4A7E"/>
    <w:rsid w:val="00FD6FD8"/>
    <w:rsid w:val="00FD7A89"/>
    <w:rsid w:val="00FE0D2E"/>
    <w:rsid w:val="00FE2C7F"/>
    <w:rsid w:val="00FE4F02"/>
    <w:rsid w:val="00FF0C22"/>
    <w:rsid w:val="00FF0D83"/>
    <w:rsid w:val="00FF2574"/>
    <w:rsid w:val="00FF44D9"/>
    <w:rsid w:val="00FF4D08"/>
    <w:rsid w:val="00FF6B64"/>
    <w:rsid w:val="00FF75BA"/>
    <w:rsid w:val="00FF7FF5"/>
    <w:rsid w:val="1EE18650"/>
    <w:rsid w:val="27C5DBE3"/>
    <w:rsid w:val="28CE494C"/>
    <w:rsid w:val="7104812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5B996"/>
  <w14:discardImageEditingData/>
  <w15:chartTrackingRefBased/>
  <w15:docId w15:val="{5FD752BC-9E38-491D-917B-4D7CF91E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6" w:qFormat="1"/>
    <w:lsdException w:name="Intense Quote" w:uiPriority="17"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34E"/>
    <w:pPr>
      <w:spacing w:after="160" w:line="264" w:lineRule="auto"/>
    </w:pPr>
    <w:rPr>
      <w:color w:val="262626" w:themeColor="text1" w:themeTint="D9"/>
      <w:sz w:val="22"/>
    </w:rPr>
  </w:style>
  <w:style w:type="paragraph" w:styleId="Heading1">
    <w:name w:val="heading 1"/>
    <w:basedOn w:val="Normal"/>
    <w:next w:val="Normal"/>
    <w:link w:val="Heading1Char"/>
    <w:uiPriority w:val="9"/>
    <w:qFormat/>
    <w:rsid w:val="0091141A"/>
    <w:pPr>
      <w:keepNext/>
      <w:keepLines/>
      <w:spacing w:before="360" w:line="240" w:lineRule="auto"/>
      <w:outlineLvl w:val="0"/>
    </w:pPr>
    <w:rPr>
      <w:rFonts w:eastAsiaTheme="majorEastAsia" w:cstheme="minorHAnsi"/>
      <w:b/>
      <w:bCs/>
      <w:noProof/>
      <w:color w:val="007279" w:themeColor="accent1"/>
      <w:sz w:val="32"/>
      <w:szCs w:val="24"/>
    </w:rPr>
  </w:style>
  <w:style w:type="paragraph" w:styleId="Heading2">
    <w:name w:val="heading 2"/>
    <w:basedOn w:val="Normal"/>
    <w:next w:val="Normal"/>
    <w:link w:val="Heading2Char"/>
    <w:uiPriority w:val="2"/>
    <w:qFormat/>
    <w:rsid w:val="0091141A"/>
    <w:pPr>
      <w:keepNext/>
      <w:keepLines/>
      <w:spacing w:before="240" w:line="240" w:lineRule="auto"/>
      <w:outlineLvl w:val="1"/>
    </w:pPr>
    <w:rPr>
      <w:rFonts w:eastAsiaTheme="majorEastAsia" w:cstheme="minorHAnsi"/>
      <w:color w:val="007279" w:themeColor="accent1"/>
      <w:sz w:val="28"/>
      <w:szCs w:val="22"/>
    </w:rPr>
  </w:style>
  <w:style w:type="paragraph" w:styleId="Heading3">
    <w:name w:val="heading 3"/>
    <w:basedOn w:val="Heading4"/>
    <w:next w:val="Normal"/>
    <w:link w:val="Heading3Char"/>
    <w:uiPriority w:val="2"/>
    <w:qFormat/>
    <w:rsid w:val="00AE39E1"/>
    <w:pPr>
      <w:outlineLvl w:val="2"/>
    </w:pPr>
    <w:rPr>
      <w:color w:val="262626" w:themeColor="text1" w:themeTint="D9"/>
      <w:sz w:val="24"/>
      <w:szCs w:val="24"/>
    </w:rPr>
  </w:style>
  <w:style w:type="paragraph" w:styleId="Heading4">
    <w:name w:val="heading 4"/>
    <w:basedOn w:val="Normal"/>
    <w:next w:val="Normal"/>
    <w:link w:val="Heading4Char"/>
    <w:uiPriority w:val="2"/>
    <w:rsid w:val="006147EB"/>
    <w:pPr>
      <w:keepNext/>
      <w:keepLines/>
      <w:spacing w:before="240"/>
      <w:outlineLvl w:val="3"/>
    </w:pPr>
    <w:rPr>
      <w:rFonts w:eastAsiaTheme="majorEastAsia" w:cstheme="minorHAnsi"/>
      <w:b/>
      <w:color w:val="3266AB"/>
      <w:szCs w:val="22"/>
    </w:rPr>
  </w:style>
  <w:style w:type="paragraph" w:styleId="Heading5">
    <w:name w:val="heading 5"/>
    <w:basedOn w:val="Normal"/>
    <w:next w:val="Normal"/>
    <w:link w:val="Heading5Char"/>
    <w:uiPriority w:val="2"/>
    <w:unhideWhenUsed/>
    <w:rsid w:val="00857363"/>
    <w:pPr>
      <w:keepNext/>
      <w:keepLines/>
      <w:spacing w:before="240"/>
      <w:outlineLvl w:val="4"/>
    </w:pPr>
    <w:rPr>
      <w:rFonts w:eastAsiaTheme="majorEastAsia" w:cstheme="majorBidi"/>
      <w:iCs/>
      <w:color w:val="3266AB"/>
      <w:szCs w:val="22"/>
    </w:rPr>
  </w:style>
  <w:style w:type="paragraph" w:styleId="Heading6">
    <w:name w:val="heading 6"/>
    <w:basedOn w:val="Normal"/>
    <w:next w:val="Normal"/>
    <w:link w:val="Heading6Char"/>
    <w:uiPriority w:val="2"/>
    <w:unhideWhenUsed/>
    <w:rsid w:val="006200EB"/>
    <w:pPr>
      <w:keepNext/>
      <w:keepLines/>
      <w:spacing w:before="240"/>
      <w:outlineLvl w:val="5"/>
    </w:pPr>
    <w:rPr>
      <w:rFonts w:asciiTheme="majorHAnsi" w:eastAsiaTheme="majorEastAsia" w:hAnsiTheme="majorHAnsi" w:cstheme="majorBidi"/>
      <w:color w:val="3266AB"/>
    </w:rPr>
  </w:style>
  <w:style w:type="paragraph" w:styleId="Heading7">
    <w:name w:val="heading 7"/>
    <w:basedOn w:val="Normal"/>
    <w:next w:val="Normal"/>
    <w:link w:val="Heading7Char"/>
    <w:uiPriority w:val="2"/>
    <w:unhideWhenUsed/>
    <w:rsid w:val="006200EB"/>
    <w:pPr>
      <w:keepNext/>
      <w:keepLines/>
      <w:spacing w:before="240"/>
      <w:outlineLvl w:val="6"/>
    </w:pPr>
    <w:rPr>
      <w:rFonts w:asciiTheme="majorHAnsi" w:eastAsiaTheme="majorEastAsia" w:hAnsiTheme="majorHAnsi" w:cstheme="majorBidi"/>
      <w:b/>
      <w:bCs/>
      <w:color w:val="3266AB"/>
    </w:rPr>
  </w:style>
  <w:style w:type="paragraph" w:styleId="Heading8">
    <w:name w:val="heading 8"/>
    <w:basedOn w:val="Normal"/>
    <w:next w:val="Normal"/>
    <w:link w:val="Heading8Char"/>
    <w:uiPriority w:val="2"/>
    <w:unhideWhenUsed/>
    <w:rsid w:val="006200EB"/>
    <w:pPr>
      <w:keepNext/>
      <w:keepLines/>
      <w:spacing w:before="240"/>
      <w:outlineLvl w:val="7"/>
    </w:pPr>
    <w:rPr>
      <w:rFonts w:asciiTheme="majorHAnsi" w:eastAsiaTheme="majorEastAsia" w:hAnsiTheme="majorHAnsi" w:cstheme="majorBidi"/>
      <w:b/>
      <w:bCs/>
      <w:i/>
      <w:iCs/>
      <w:color w:val="3266AB"/>
      <w:sz w:val="20"/>
      <w:szCs w:val="20"/>
    </w:rPr>
  </w:style>
  <w:style w:type="paragraph" w:styleId="Heading9">
    <w:name w:val="heading 9"/>
    <w:basedOn w:val="Normal"/>
    <w:next w:val="Normal"/>
    <w:link w:val="Heading9Char"/>
    <w:uiPriority w:val="2"/>
    <w:unhideWhenUsed/>
    <w:rsid w:val="006200EB"/>
    <w:pPr>
      <w:keepNext/>
      <w:keepLines/>
      <w:spacing w:before="240"/>
      <w:outlineLvl w:val="8"/>
    </w:pPr>
    <w:rPr>
      <w:rFonts w:asciiTheme="majorHAnsi" w:eastAsiaTheme="majorEastAsia" w:hAnsiTheme="majorHAnsi" w:cstheme="majorBidi"/>
      <w:i/>
      <w:iCs/>
      <w:color w:val="3266A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1141A"/>
    <w:rPr>
      <w:rFonts w:eastAsiaTheme="majorEastAsia" w:cstheme="minorHAnsi"/>
      <w:b/>
      <w:bCs/>
      <w:noProof/>
      <w:color w:val="007279" w:themeColor="accent1"/>
      <w:sz w:val="32"/>
      <w:szCs w:val="24"/>
    </w:rPr>
  </w:style>
  <w:style w:type="paragraph" w:styleId="Title">
    <w:name w:val="Title"/>
    <w:basedOn w:val="Normal"/>
    <w:next w:val="Normal"/>
    <w:link w:val="TitleChar"/>
    <w:uiPriority w:val="18"/>
    <w:rsid w:val="0091141A"/>
    <w:pPr>
      <w:spacing w:after="240" w:line="240" w:lineRule="auto"/>
      <w:contextualSpacing/>
    </w:pPr>
    <w:rPr>
      <w:rFonts w:asciiTheme="majorHAnsi" w:eastAsiaTheme="majorEastAsia" w:hAnsiTheme="majorHAnsi" w:cstheme="majorBidi"/>
      <w:noProof/>
      <w:spacing w:val="-15"/>
      <w:sz w:val="48"/>
      <w:szCs w:val="56"/>
    </w:rPr>
  </w:style>
  <w:style w:type="character" w:customStyle="1" w:styleId="TitleChar">
    <w:name w:val="Title Char"/>
    <w:basedOn w:val="DefaultParagraphFont"/>
    <w:link w:val="Title"/>
    <w:uiPriority w:val="18"/>
    <w:rsid w:val="0091141A"/>
    <w:rPr>
      <w:rFonts w:asciiTheme="majorHAnsi" w:eastAsiaTheme="majorEastAsia" w:hAnsiTheme="majorHAnsi" w:cstheme="majorBidi"/>
      <w:noProof/>
      <w:spacing w:val="-15"/>
      <w:sz w:val="48"/>
      <w:szCs w:val="56"/>
    </w:rPr>
  </w:style>
  <w:style w:type="character" w:customStyle="1" w:styleId="Heading2Char">
    <w:name w:val="Heading 2 Char"/>
    <w:basedOn w:val="DefaultParagraphFont"/>
    <w:link w:val="Heading2"/>
    <w:uiPriority w:val="2"/>
    <w:rsid w:val="0091141A"/>
    <w:rPr>
      <w:rFonts w:eastAsiaTheme="majorEastAsia" w:cstheme="minorHAnsi"/>
      <w:color w:val="007279" w:themeColor="accent1"/>
      <w:sz w:val="28"/>
      <w:szCs w:val="22"/>
    </w:rPr>
  </w:style>
  <w:style w:type="character" w:customStyle="1" w:styleId="Heading3Char">
    <w:name w:val="Heading 3 Char"/>
    <w:basedOn w:val="DefaultParagraphFont"/>
    <w:link w:val="Heading3"/>
    <w:uiPriority w:val="2"/>
    <w:rsid w:val="00AE39E1"/>
    <w:rPr>
      <w:rFonts w:eastAsiaTheme="majorEastAsia" w:cstheme="minorHAnsi"/>
      <w:b/>
      <w:color w:val="262626" w:themeColor="text1" w:themeTint="D9"/>
      <w:sz w:val="24"/>
      <w:szCs w:val="24"/>
    </w:rPr>
  </w:style>
  <w:style w:type="character" w:customStyle="1" w:styleId="Heading4Char">
    <w:name w:val="Heading 4 Char"/>
    <w:basedOn w:val="DefaultParagraphFont"/>
    <w:link w:val="Heading4"/>
    <w:uiPriority w:val="2"/>
    <w:rsid w:val="006147EB"/>
    <w:rPr>
      <w:rFonts w:eastAsiaTheme="majorEastAsia" w:cstheme="minorHAnsi"/>
      <w:b/>
      <w:color w:val="3266AB"/>
      <w:sz w:val="22"/>
      <w:szCs w:val="22"/>
    </w:rPr>
  </w:style>
  <w:style w:type="character" w:customStyle="1" w:styleId="Heading5Char">
    <w:name w:val="Heading 5 Char"/>
    <w:basedOn w:val="DefaultParagraphFont"/>
    <w:link w:val="Heading5"/>
    <w:uiPriority w:val="2"/>
    <w:rsid w:val="00857363"/>
    <w:rPr>
      <w:rFonts w:eastAsiaTheme="majorEastAsia" w:cstheme="majorBidi"/>
      <w:iCs/>
      <w:color w:val="3266AB"/>
      <w:sz w:val="22"/>
      <w:szCs w:val="22"/>
    </w:rPr>
  </w:style>
  <w:style w:type="character" w:customStyle="1" w:styleId="Heading6Char">
    <w:name w:val="Heading 6 Char"/>
    <w:basedOn w:val="DefaultParagraphFont"/>
    <w:link w:val="Heading6"/>
    <w:uiPriority w:val="2"/>
    <w:rsid w:val="006200EB"/>
    <w:rPr>
      <w:rFonts w:asciiTheme="majorHAnsi" w:eastAsiaTheme="majorEastAsia" w:hAnsiTheme="majorHAnsi" w:cstheme="majorBidi"/>
      <w:color w:val="3266AB"/>
      <w:sz w:val="22"/>
    </w:rPr>
  </w:style>
  <w:style w:type="character" w:customStyle="1" w:styleId="Heading7Char">
    <w:name w:val="Heading 7 Char"/>
    <w:basedOn w:val="DefaultParagraphFont"/>
    <w:link w:val="Heading7"/>
    <w:uiPriority w:val="2"/>
    <w:rsid w:val="006200EB"/>
    <w:rPr>
      <w:rFonts w:asciiTheme="majorHAnsi" w:eastAsiaTheme="majorEastAsia" w:hAnsiTheme="majorHAnsi" w:cstheme="majorBidi"/>
      <w:b/>
      <w:bCs/>
      <w:color w:val="3266AB"/>
      <w:sz w:val="22"/>
    </w:rPr>
  </w:style>
  <w:style w:type="character" w:customStyle="1" w:styleId="Heading8Char">
    <w:name w:val="Heading 8 Char"/>
    <w:basedOn w:val="DefaultParagraphFont"/>
    <w:link w:val="Heading8"/>
    <w:uiPriority w:val="2"/>
    <w:rsid w:val="006200EB"/>
    <w:rPr>
      <w:rFonts w:asciiTheme="majorHAnsi" w:eastAsiaTheme="majorEastAsia" w:hAnsiTheme="majorHAnsi" w:cstheme="majorBidi"/>
      <w:b/>
      <w:bCs/>
      <w:i/>
      <w:iCs/>
      <w:color w:val="3266AB"/>
      <w:sz w:val="20"/>
      <w:szCs w:val="20"/>
    </w:rPr>
  </w:style>
  <w:style w:type="character" w:customStyle="1" w:styleId="Heading9Char">
    <w:name w:val="Heading 9 Char"/>
    <w:basedOn w:val="DefaultParagraphFont"/>
    <w:link w:val="Heading9"/>
    <w:uiPriority w:val="2"/>
    <w:rsid w:val="006200EB"/>
    <w:rPr>
      <w:rFonts w:asciiTheme="majorHAnsi" w:eastAsiaTheme="majorEastAsia" w:hAnsiTheme="majorHAnsi" w:cstheme="majorBidi"/>
      <w:i/>
      <w:iCs/>
      <w:color w:val="3266AB"/>
      <w:sz w:val="20"/>
      <w:szCs w:val="20"/>
    </w:rPr>
  </w:style>
  <w:style w:type="paragraph" w:styleId="Subtitle">
    <w:name w:val="Subtitle"/>
    <w:basedOn w:val="Normal"/>
    <w:next w:val="Normal"/>
    <w:link w:val="SubtitleChar"/>
    <w:uiPriority w:val="19"/>
    <w:rsid w:val="0091141A"/>
    <w:pPr>
      <w:numPr>
        <w:ilvl w:val="1"/>
      </w:numPr>
      <w:spacing w:line="240" w:lineRule="auto"/>
    </w:pPr>
    <w:rPr>
      <w:rFonts w:eastAsiaTheme="majorEastAsia" w:cstheme="minorHAnsi"/>
      <w:noProof/>
      <w:color w:val="6C6C6C" w:themeColor="background2" w:themeShade="80"/>
      <w:sz w:val="28"/>
      <w:szCs w:val="30"/>
    </w:rPr>
  </w:style>
  <w:style w:type="character" w:customStyle="1" w:styleId="SubtitleChar">
    <w:name w:val="Subtitle Char"/>
    <w:basedOn w:val="DefaultParagraphFont"/>
    <w:link w:val="Subtitle"/>
    <w:uiPriority w:val="19"/>
    <w:rsid w:val="0091141A"/>
    <w:rPr>
      <w:rFonts w:eastAsiaTheme="majorEastAsia" w:cstheme="minorHAnsi"/>
      <w:noProof/>
      <w:color w:val="6C6C6C" w:themeColor="background2" w:themeShade="80"/>
      <w:sz w:val="28"/>
      <w:szCs w:val="30"/>
    </w:rPr>
  </w:style>
  <w:style w:type="paragraph" w:styleId="NoSpacing">
    <w:name w:val="No Spacing"/>
    <w:uiPriority w:val="98"/>
    <w:unhideWhenUsed/>
    <w:rsid w:val="00D525B8"/>
    <w:pPr>
      <w:spacing w:after="0" w:line="240" w:lineRule="auto"/>
    </w:pPr>
  </w:style>
  <w:style w:type="paragraph" w:styleId="Caption">
    <w:name w:val="caption"/>
    <w:basedOn w:val="Normal"/>
    <w:next w:val="Normal"/>
    <w:uiPriority w:val="35"/>
    <w:semiHidden/>
    <w:unhideWhenUsed/>
    <w:qFormat/>
    <w:rsid w:val="00D525B8"/>
    <w:pPr>
      <w:spacing w:line="240" w:lineRule="auto"/>
    </w:pPr>
    <w:rPr>
      <w:b/>
      <w:bCs/>
      <w:smallCaps/>
      <w:color w:val="595959" w:themeColor="text1" w:themeTint="A6"/>
    </w:rPr>
  </w:style>
  <w:style w:type="character" w:styleId="Strong">
    <w:name w:val="Strong"/>
    <w:basedOn w:val="DefaultParagraphFont"/>
    <w:uiPriority w:val="22"/>
    <w:unhideWhenUsed/>
    <w:rsid w:val="00D525B8"/>
    <w:rPr>
      <w:b/>
      <w:bCs/>
    </w:rPr>
  </w:style>
  <w:style w:type="character" w:styleId="Emphasis">
    <w:name w:val="Emphasis"/>
    <w:basedOn w:val="DefaultParagraphFont"/>
    <w:uiPriority w:val="20"/>
    <w:unhideWhenUsed/>
    <w:qFormat/>
    <w:rsid w:val="005C0F15"/>
    <w:rPr>
      <w:i/>
      <w:iCs/>
      <w:color w:val="auto"/>
    </w:rPr>
  </w:style>
  <w:style w:type="paragraph" w:styleId="Quote">
    <w:name w:val="Quote"/>
    <w:basedOn w:val="Normal"/>
    <w:next w:val="Normal"/>
    <w:link w:val="QuoteChar"/>
    <w:uiPriority w:val="16"/>
    <w:qFormat/>
    <w:rsid w:val="00857363"/>
    <w:pPr>
      <w:spacing w:before="240"/>
      <w:ind w:left="720" w:right="720"/>
    </w:pPr>
    <w:rPr>
      <w:i/>
      <w:iCs/>
      <w:color w:val="3266AB"/>
    </w:rPr>
  </w:style>
  <w:style w:type="character" w:customStyle="1" w:styleId="QuoteChar">
    <w:name w:val="Quote Char"/>
    <w:basedOn w:val="DefaultParagraphFont"/>
    <w:link w:val="Quote"/>
    <w:uiPriority w:val="16"/>
    <w:rsid w:val="00857363"/>
    <w:rPr>
      <w:i/>
      <w:iCs/>
      <w:color w:val="3266AB"/>
      <w:sz w:val="22"/>
    </w:rPr>
  </w:style>
  <w:style w:type="paragraph" w:styleId="IntenseQuote">
    <w:name w:val="Intense Quote"/>
    <w:basedOn w:val="Normal"/>
    <w:next w:val="Normal"/>
    <w:link w:val="IntenseQuoteChar"/>
    <w:uiPriority w:val="17"/>
    <w:qFormat/>
    <w:rsid w:val="00857363"/>
    <w:pPr>
      <w:spacing w:before="120"/>
      <w:ind w:left="720" w:right="720"/>
    </w:pPr>
    <w:rPr>
      <w:rFonts w:asciiTheme="majorHAnsi" w:eastAsiaTheme="majorEastAsia" w:hAnsiTheme="majorHAnsi" w:cstheme="majorBidi"/>
      <w:i/>
      <w:iCs/>
      <w:color w:val="3266AB"/>
      <w:sz w:val="32"/>
      <w:szCs w:val="32"/>
    </w:rPr>
  </w:style>
  <w:style w:type="character" w:customStyle="1" w:styleId="IntenseQuoteChar">
    <w:name w:val="Intense Quote Char"/>
    <w:basedOn w:val="DefaultParagraphFont"/>
    <w:link w:val="IntenseQuote"/>
    <w:uiPriority w:val="17"/>
    <w:rsid w:val="00857363"/>
    <w:rPr>
      <w:rFonts w:asciiTheme="majorHAnsi" w:eastAsiaTheme="majorEastAsia" w:hAnsiTheme="majorHAnsi" w:cstheme="majorBidi"/>
      <w:i/>
      <w:iCs/>
      <w:color w:val="3266AB"/>
      <w:sz w:val="32"/>
      <w:szCs w:val="32"/>
    </w:rPr>
  </w:style>
  <w:style w:type="character" w:styleId="SubtleEmphasis">
    <w:name w:val="Subtle Emphasis"/>
    <w:basedOn w:val="DefaultParagraphFont"/>
    <w:uiPriority w:val="19"/>
    <w:unhideWhenUsed/>
    <w:rsid w:val="00D525B8"/>
    <w:rPr>
      <w:i/>
      <w:iCs/>
    </w:rPr>
  </w:style>
  <w:style w:type="character" w:styleId="IntenseEmphasis">
    <w:name w:val="Intense Emphasis"/>
    <w:basedOn w:val="DefaultParagraphFont"/>
    <w:uiPriority w:val="21"/>
    <w:unhideWhenUsed/>
    <w:rsid w:val="00D525B8"/>
    <w:rPr>
      <w:b/>
      <w:bCs/>
      <w:i/>
      <w:iCs/>
    </w:rPr>
  </w:style>
  <w:style w:type="character" w:styleId="SubtleReference">
    <w:name w:val="Subtle Reference"/>
    <w:basedOn w:val="DefaultParagraphFont"/>
    <w:uiPriority w:val="31"/>
    <w:unhideWhenUsed/>
    <w:rsid w:val="00D525B8"/>
    <w:rPr>
      <w:smallCaps/>
      <w:color w:val="595959" w:themeColor="text1" w:themeTint="A6"/>
    </w:rPr>
  </w:style>
  <w:style w:type="character" w:styleId="IntenseReference">
    <w:name w:val="Intense Reference"/>
    <w:basedOn w:val="DefaultParagraphFont"/>
    <w:uiPriority w:val="32"/>
    <w:unhideWhenUsed/>
    <w:rsid w:val="006200EB"/>
    <w:rPr>
      <w:b/>
      <w:bCs/>
      <w:smallCaps/>
      <w:color w:val="3266AB"/>
    </w:rPr>
  </w:style>
  <w:style w:type="paragraph" w:styleId="TOCHeading">
    <w:name w:val="TOC Heading"/>
    <w:basedOn w:val="Heading1"/>
    <w:next w:val="Normal"/>
    <w:uiPriority w:val="39"/>
    <w:unhideWhenUsed/>
    <w:rsid w:val="00D525B8"/>
    <w:pPr>
      <w:outlineLvl w:val="9"/>
    </w:pPr>
  </w:style>
  <w:style w:type="paragraph" w:styleId="Header">
    <w:name w:val="header"/>
    <w:basedOn w:val="Normal"/>
    <w:link w:val="HeaderChar"/>
    <w:uiPriority w:val="99"/>
    <w:unhideWhenUsed/>
    <w:rsid w:val="00F95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7C6"/>
  </w:style>
  <w:style w:type="paragraph" w:styleId="Footer">
    <w:name w:val="footer"/>
    <w:basedOn w:val="Normal"/>
    <w:link w:val="FooterChar"/>
    <w:uiPriority w:val="99"/>
    <w:unhideWhenUsed/>
    <w:rsid w:val="00F95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7C6"/>
  </w:style>
  <w:style w:type="character" w:styleId="PlaceholderText">
    <w:name w:val="Placeholder Text"/>
    <w:basedOn w:val="DefaultParagraphFont"/>
    <w:uiPriority w:val="99"/>
    <w:semiHidden/>
    <w:rsid w:val="005226B9"/>
    <w:rPr>
      <w:color w:val="808080"/>
    </w:rPr>
  </w:style>
  <w:style w:type="paragraph" w:styleId="BalloonText">
    <w:name w:val="Balloon Text"/>
    <w:basedOn w:val="Normal"/>
    <w:link w:val="BalloonTextChar"/>
    <w:uiPriority w:val="99"/>
    <w:semiHidden/>
    <w:unhideWhenUsed/>
    <w:rsid w:val="00522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6B9"/>
    <w:rPr>
      <w:rFonts w:ascii="Segoe UI" w:hAnsi="Segoe UI" w:cs="Segoe UI"/>
      <w:sz w:val="18"/>
      <w:szCs w:val="18"/>
    </w:rPr>
  </w:style>
  <w:style w:type="paragraph" w:customStyle="1" w:styleId="CLASSIFICATION">
    <w:name w:val="CLASSIFICATION"/>
    <w:basedOn w:val="Normal"/>
    <w:link w:val="CLASSIFICATIONChar"/>
    <w:autoRedefine/>
    <w:uiPriority w:val="99"/>
    <w:unhideWhenUsed/>
    <w:rsid w:val="00F86700"/>
    <w:pPr>
      <w:jc w:val="center"/>
    </w:pPr>
    <w:rPr>
      <w:rFonts w:ascii="Segoe UI" w:hAnsi="Segoe UI"/>
      <w:caps/>
      <w:color w:val="C00000"/>
      <w:sz w:val="18"/>
    </w:rPr>
  </w:style>
  <w:style w:type="paragraph" w:customStyle="1" w:styleId="BOXHeading2">
    <w:name w:val="BOX Heading 2"/>
    <w:basedOn w:val="Heading2"/>
    <w:next w:val="BOXText"/>
    <w:uiPriority w:val="6"/>
    <w:qFormat/>
    <w:rsid w:val="0091141A"/>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ind w:left="227" w:right="227"/>
    </w:pPr>
  </w:style>
  <w:style w:type="character" w:customStyle="1" w:styleId="CLASSIFICATIONChar">
    <w:name w:val="CLASSIFICATION Char"/>
    <w:basedOn w:val="DefaultParagraphFont"/>
    <w:link w:val="CLASSIFICATION"/>
    <w:uiPriority w:val="99"/>
    <w:rsid w:val="00F86700"/>
    <w:rPr>
      <w:rFonts w:ascii="Segoe UI" w:hAnsi="Segoe UI"/>
      <w:caps/>
      <w:color w:val="C00000"/>
      <w:sz w:val="18"/>
    </w:rPr>
  </w:style>
  <w:style w:type="paragraph" w:customStyle="1" w:styleId="BOXText">
    <w:name w:val="BOX Text"/>
    <w:basedOn w:val="Normal"/>
    <w:next w:val="Normal"/>
    <w:uiPriority w:val="4"/>
    <w:qFormat/>
    <w:rsid w:val="005F3B45"/>
    <w:pPr>
      <w:pBdr>
        <w:top w:val="single" w:sz="48" w:space="1" w:color="F2F2F2" w:themeColor="background1" w:themeShade="F2"/>
        <w:left w:val="single" w:sz="48" w:space="4" w:color="F2F2F2" w:themeColor="background1" w:themeShade="F2"/>
        <w:bottom w:val="single" w:sz="48" w:space="1" w:color="F2F2F2" w:themeColor="background1" w:themeShade="F2"/>
        <w:right w:val="single" w:sz="48" w:space="4" w:color="F2F2F2" w:themeColor="background1" w:themeShade="F2"/>
      </w:pBdr>
      <w:shd w:val="clear" w:color="auto" w:fill="F2F2F2" w:themeFill="background1" w:themeFillShade="F2"/>
      <w:tabs>
        <w:tab w:val="left" w:pos="3300"/>
      </w:tabs>
      <w:ind w:left="227" w:right="227"/>
    </w:pPr>
    <w:rPr>
      <w:sz w:val="18"/>
      <w:szCs w:val="18"/>
    </w:rPr>
  </w:style>
  <w:style w:type="paragraph" w:customStyle="1" w:styleId="BOXBulletedList">
    <w:name w:val="BOX Bulleted List"/>
    <w:basedOn w:val="BOXText"/>
    <w:uiPriority w:val="5"/>
    <w:qFormat/>
    <w:rsid w:val="00BD171D"/>
    <w:pPr>
      <w:numPr>
        <w:numId w:val="1"/>
      </w:numPr>
      <w:ind w:left="511"/>
    </w:pPr>
  </w:style>
  <w:style w:type="table" w:styleId="TableGrid">
    <w:name w:val="Table Grid"/>
    <w:basedOn w:val="TableNormal"/>
    <w:uiPriority w:val="39"/>
    <w:rsid w:val="00BD5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BD57F5"/>
    <w:pPr>
      <w:spacing w:after="0" w:line="240" w:lineRule="auto"/>
    </w:pPr>
    <w:tblPr>
      <w:tblStyleRowBandSize w:val="1"/>
      <w:tblStyleColBandSize w:val="1"/>
      <w:tblBorders>
        <w:top w:val="single" w:sz="4" w:space="0" w:color="15F1FF" w:themeColor="accent1" w:themeTint="99"/>
        <w:left w:val="single" w:sz="4" w:space="0" w:color="15F1FF" w:themeColor="accent1" w:themeTint="99"/>
        <w:bottom w:val="single" w:sz="4" w:space="0" w:color="15F1FF" w:themeColor="accent1" w:themeTint="99"/>
        <w:right w:val="single" w:sz="4" w:space="0" w:color="15F1FF" w:themeColor="accent1" w:themeTint="99"/>
        <w:insideH w:val="single" w:sz="4" w:space="0" w:color="15F1FF" w:themeColor="accent1" w:themeTint="99"/>
      </w:tblBorders>
    </w:tblPr>
    <w:tblStylePr w:type="firstRow">
      <w:rPr>
        <w:b/>
        <w:bCs/>
        <w:color w:val="FFFFFF" w:themeColor="background1"/>
      </w:rPr>
      <w:tblPr/>
      <w:tcPr>
        <w:tcBorders>
          <w:top w:val="single" w:sz="4" w:space="0" w:color="007279" w:themeColor="accent1"/>
          <w:left w:val="single" w:sz="4" w:space="0" w:color="007279" w:themeColor="accent1"/>
          <w:bottom w:val="single" w:sz="4" w:space="0" w:color="007279" w:themeColor="accent1"/>
          <w:right w:val="single" w:sz="4" w:space="0" w:color="007279" w:themeColor="accent1"/>
          <w:insideH w:val="nil"/>
        </w:tcBorders>
        <w:shd w:val="clear" w:color="auto" w:fill="007279" w:themeFill="accent1"/>
      </w:tcPr>
    </w:tblStylePr>
    <w:tblStylePr w:type="lastRow">
      <w:rPr>
        <w:b/>
        <w:bCs/>
      </w:rPr>
      <w:tblPr/>
      <w:tcPr>
        <w:tcBorders>
          <w:top w:val="double" w:sz="4" w:space="0" w:color="15F1FF" w:themeColor="accent1" w:themeTint="99"/>
        </w:tcBorders>
      </w:tcPr>
    </w:tblStylePr>
    <w:tblStylePr w:type="firstCol">
      <w:rPr>
        <w:b/>
        <w:bCs/>
      </w:rPr>
    </w:tblStylePr>
    <w:tblStylePr w:type="lastCol">
      <w:rPr>
        <w:b/>
        <w:bCs/>
      </w:rPr>
    </w:tblStylePr>
    <w:tblStylePr w:type="band1Vert">
      <w:tblPr/>
      <w:tcPr>
        <w:shd w:val="clear" w:color="auto" w:fill="B1FAFF" w:themeFill="accent1" w:themeFillTint="33"/>
      </w:tcPr>
    </w:tblStylePr>
    <w:tblStylePr w:type="band1Horz">
      <w:tblPr/>
      <w:tcPr>
        <w:shd w:val="clear" w:color="auto" w:fill="B1FAFF" w:themeFill="accent1" w:themeFillTint="33"/>
      </w:tcPr>
    </w:tblStylePr>
  </w:style>
  <w:style w:type="paragraph" w:customStyle="1" w:styleId="Figure">
    <w:name w:val="Figure"/>
    <w:basedOn w:val="Normal"/>
    <w:uiPriority w:val="2"/>
    <w:qFormat/>
    <w:rsid w:val="006147EB"/>
    <w:pPr>
      <w:numPr>
        <w:numId w:val="27"/>
      </w:numPr>
      <w:spacing w:before="240"/>
    </w:pPr>
    <w:rPr>
      <w:rFonts w:ascii="Segoe UI" w:hAnsi="Segoe UI" w:cs="Segoe UI"/>
      <w:color w:val="3266AB"/>
    </w:rPr>
  </w:style>
  <w:style w:type="paragraph" w:customStyle="1" w:styleId="TBLHeading">
    <w:name w:val="TBL Heading"/>
    <w:basedOn w:val="Normal"/>
    <w:autoRedefine/>
    <w:uiPriority w:val="11"/>
    <w:qFormat/>
    <w:rsid w:val="009615D2"/>
    <w:pPr>
      <w:spacing w:after="0" w:line="240" w:lineRule="auto"/>
    </w:pPr>
    <w:rPr>
      <w:rFonts w:ascii="Segoe UI" w:hAnsi="Segoe UI" w:cs="Segoe UI"/>
      <w:color w:val="FFFFFF" w:themeColor="background1"/>
      <w:sz w:val="18"/>
    </w:rPr>
  </w:style>
  <w:style w:type="paragraph" w:customStyle="1" w:styleId="TBLText">
    <w:name w:val="TBL Text"/>
    <w:basedOn w:val="Normal"/>
    <w:uiPriority w:val="9"/>
    <w:qFormat/>
    <w:rsid w:val="004D3335"/>
    <w:pPr>
      <w:spacing w:after="120" w:line="240" w:lineRule="auto"/>
    </w:pPr>
    <w:rPr>
      <w:sz w:val="18"/>
      <w:szCs w:val="18"/>
    </w:rPr>
  </w:style>
  <w:style w:type="paragraph" w:customStyle="1" w:styleId="TBLBulletedList">
    <w:name w:val="TBL Bulleted List"/>
    <w:basedOn w:val="TBLText"/>
    <w:uiPriority w:val="10"/>
    <w:qFormat/>
    <w:rsid w:val="006C62B2"/>
    <w:pPr>
      <w:numPr>
        <w:numId w:val="12"/>
      </w:numPr>
      <w:ind w:left="204" w:hanging="204"/>
    </w:pPr>
  </w:style>
  <w:style w:type="paragraph" w:customStyle="1" w:styleId="TBLNumberedList">
    <w:name w:val="TBL Numbered List"/>
    <w:basedOn w:val="TBLText"/>
    <w:uiPriority w:val="10"/>
    <w:qFormat/>
    <w:rsid w:val="00E05FA4"/>
    <w:pPr>
      <w:numPr>
        <w:numId w:val="13"/>
      </w:numPr>
      <w:ind w:left="270" w:hanging="270"/>
    </w:pPr>
  </w:style>
  <w:style w:type="paragraph" w:customStyle="1" w:styleId="BOXHeading3">
    <w:name w:val="BOX Heading 3"/>
    <w:basedOn w:val="BOXHeading2"/>
    <w:next w:val="BOXText"/>
    <w:uiPriority w:val="6"/>
    <w:qFormat/>
    <w:rsid w:val="00857363"/>
    <w:pPr>
      <w:outlineLvl w:val="2"/>
    </w:pPr>
    <w:rPr>
      <w:b/>
      <w:sz w:val="24"/>
      <w:szCs w:val="26"/>
    </w:rPr>
  </w:style>
  <w:style w:type="paragraph" w:styleId="ListParagraph">
    <w:name w:val="List Paragraph"/>
    <w:basedOn w:val="Normal"/>
    <w:uiPriority w:val="34"/>
    <w:unhideWhenUsed/>
    <w:qFormat/>
    <w:rsid w:val="005917FD"/>
    <w:pPr>
      <w:ind w:left="720"/>
      <w:contextualSpacing/>
    </w:pPr>
  </w:style>
  <w:style w:type="paragraph" w:customStyle="1" w:styleId="BulletedList-Level1">
    <w:name w:val="Bulleted List - Level 1"/>
    <w:basedOn w:val="ListParagraph"/>
    <w:uiPriority w:val="1"/>
    <w:qFormat/>
    <w:rsid w:val="00BD171D"/>
    <w:pPr>
      <w:numPr>
        <w:numId w:val="14"/>
      </w:numPr>
      <w:ind w:left="568" w:hanging="284"/>
    </w:pPr>
  </w:style>
  <w:style w:type="paragraph" w:customStyle="1" w:styleId="BulletedList-Level2">
    <w:name w:val="Bulleted List - Level 2"/>
    <w:basedOn w:val="BulletedList-Level1"/>
    <w:uiPriority w:val="1"/>
    <w:qFormat/>
    <w:rsid w:val="00BD171D"/>
    <w:pPr>
      <w:numPr>
        <w:numId w:val="30"/>
      </w:numPr>
    </w:pPr>
  </w:style>
  <w:style w:type="paragraph" w:customStyle="1" w:styleId="BulletedList-Level3">
    <w:name w:val="Bulleted List - Level 3"/>
    <w:basedOn w:val="ListParagraph"/>
    <w:uiPriority w:val="1"/>
    <w:qFormat/>
    <w:rsid w:val="00BD171D"/>
    <w:pPr>
      <w:numPr>
        <w:numId w:val="31"/>
      </w:numPr>
      <w:ind w:left="1135" w:hanging="284"/>
    </w:pPr>
  </w:style>
  <w:style w:type="paragraph" w:customStyle="1" w:styleId="NumberedList-Level1">
    <w:name w:val="Numbered List - Level 1"/>
    <w:basedOn w:val="ListParagraph"/>
    <w:uiPriority w:val="1"/>
    <w:qFormat/>
    <w:rsid w:val="00BD171D"/>
    <w:pPr>
      <w:numPr>
        <w:numId w:val="21"/>
      </w:numPr>
      <w:ind w:left="568" w:hanging="284"/>
    </w:pPr>
  </w:style>
  <w:style w:type="paragraph" w:customStyle="1" w:styleId="NumberedList-level2">
    <w:name w:val="Numbered List - level 2"/>
    <w:basedOn w:val="ListParagraph"/>
    <w:uiPriority w:val="1"/>
    <w:qFormat/>
    <w:rsid w:val="00BD171D"/>
    <w:pPr>
      <w:numPr>
        <w:ilvl w:val="1"/>
        <w:numId w:val="21"/>
      </w:numPr>
    </w:pPr>
  </w:style>
  <w:style w:type="paragraph" w:customStyle="1" w:styleId="NumberedList-Level3">
    <w:name w:val="Numbered List - Level 3"/>
    <w:basedOn w:val="ListParagraph"/>
    <w:uiPriority w:val="1"/>
    <w:qFormat/>
    <w:rsid w:val="00BD171D"/>
    <w:pPr>
      <w:numPr>
        <w:ilvl w:val="2"/>
        <w:numId w:val="21"/>
      </w:numPr>
    </w:pPr>
  </w:style>
  <w:style w:type="paragraph" w:customStyle="1" w:styleId="BoxDark-HeadingLevel1">
    <w:name w:val="Box Dark - Heading Level 1"/>
    <w:basedOn w:val="BOXHeading2"/>
    <w:uiPriority w:val="9"/>
    <w:rsid w:val="00311C2D"/>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color w:val="FFFFFF" w:themeColor="background1"/>
    </w:rPr>
  </w:style>
  <w:style w:type="paragraph" w:styleId="TOC1">
    <w:name w:val="toc 1"/>
    <w:basedOn w:val="Normal"/>
    <w:next w:val="Normal"/>
    <w:autoRedefine/>
    <w:uiPriority w:val="39"/>
    <w:unhideWhenUsed/>
    <w:rsid w:val="00117A77"/>
    <w:pPr>
      <w:spacing w:after="100"/>
    </w:pPr>
  </w:style>
  <w:style w:type="paragraph" w:styleId="TOC2">
    <w:name w:val="toc 2"/>
    <w:basedOn w:val="Normal"/>
    <w:next w:val="Normal"/>
    <w:autoRedefine/>
    <w:uiPriority w:val="39"/>
    <w:unhideWhenUsed/>
    <w:rsid w:val="00117A77"/>
    <w:pPr>
      <w:spacing w:after="100"/>
      <w:ind w:left="220"/>
    </w:pPr>
  </w:style>
  <w:style w:type="paragraph" w:styleId="TOC3">
    <w:name w:val="toc 3"/>
    <w:basedOn w:val="Normal"/>
    <w:next w:val="Normal"/>
    <w:autoRedefine/>
    <w:uiPriority w:val="39"/>
    <w:unhideWhenUsed/>
    <w:rsid w:val="00117A77"/>
    <w:pPr>
      <w:spacing w:after="100"/>
      <w:ind w:left="440"/>
    </w:pPr>
  </w:style>
  <w:style w:type="character" w:styleId="Hyperlink">
    <w:name w:val="Hyperlink"/>
    <w:basedOn w:val="DefaultParagraphFont"/>
    <w:uiPriority w:val="99"/>
    <w:unhideWhenUsed/>
    <w:rsid w:val="00117A77"/>
    <w:rPr>
      <w:color w:val="007279" w:themeColor="hyperlink"/>
      <w:u w:val="single"/>
    </w:rPr>
  </w:style>
  <w:style w:type="paragraph" w:customStyle="1" w:styleId="BoxDark-HeadingLevel3">
    <w:name w:val="Box Dark - Heading Level 3"/>
    <w:basedOn w:val="BOXHeading3"/>
    <w:uiPriority w:val="9"/>
    <w:rsid w:val="00311C2D"/>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color w:val="FFFFFF" w:themeColor="background1"/>
    </w:rPr>
  </w:style>
  <w:style w:type="paragraph" w:customStyle="1" w:styleId="BoxDark-Text">
    <w:name w:val="Box Dark - Text"/>
    <w:basedOn w:val="BOXText"/>
    <w:uiPriority w:val="7"/>
    <w:rsid w:val="00FE2C7F"/>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rFonts w:ascii="Segoe UI Semilight" w:hAnsi="Segoe UI Semilight"/>
      <w:color w:val="FFFFFF" w:themeColor="background1"/>
    </w:rPr>
  </w:style>
  <w:style w:type="paragraph" w:customStyle="1" w:styleId="BoxDark-BulletedList">
    <w:name w:val="Box Dark - Bulleted List"/>
    <w:basedOn w:val="BOXBulletedList"/>
    <w:uiPriority w:val="8"/>
    <w:rsid w:val="00FE2C7F"/>
    <w:p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pPr>
    <w:rPr>
      <w:rFonts w:ascii="Segoe UI Semilight" w:hAnsi="Segoe UI Semilight"/>
    </w:rPr>
  </w:style>
  <w:style w:type="paragraph" w:customStyle="1" w:styleId="BOXNumberedList">
    <w:name w:val="BOX Numbered List"/>
    <w:basedOn w:val="BOXText"/>
    <w:uiPriority w:val="5"/>
    <w:qFormat/>
    <w:rsid w:val="00BD171D"/>
    <w:pPr>
      <w:numPr>
        <w:numId w:val="28"/>
      </w:numPr>
      <w:ind w:left="584" w:hanging="357"/>
    </w:pPr>
  </w:style>
  <w:style w:type="paragraph" w:customStyle="1" w:styleId="BoxDark-NumberedList">
    <w:name w:val="Box Dark - Numbered List"/>
    <w:basedOn w:val="BOXNumberedList"/>
    <w:uiPriority w:val="8"/>
    <w:rsid w:val="00FE2C7F"/>
    <w:pPr>
      <w:numPr>
        <w:numId w:val="29"/>
      </w:numPr>
      <w:pBdr>
        <w:top w:val="single" w:sz="48" w:space="1" w:color="007279" w:themeColor="accent1"/>
        <w:left w:val="single" w:sz="48" w:space="4" w:color="007279" w:themeColor="accent1"/>
        <w:bottom w:val="single" w:sz="48" w:space="1" w:color="007279" w:themeColor="accent1"/>
        <w:right w:val="single" w:sz="48" w:space="4" w:color="007279" w:themeColor="accent1"/>
      </w:pBdr>
      <w:shd w:val="clear" w:color="auto" w:fill="007279" w:themeFill="accent1"/>
      <w:ind w:left="584" w:hanging="357"/>
    </w:pPr>
  </w:style>
  <w:style w:type="table" w:customStyle="1" w:styleId="Custom1">
    <w:name w:val="Custom 1"/>
    <w:basedOn w:val="TableNormal"/>
    <w:uiPriority w:val="99"/>
    <w:rsid w:val="00665FB6"/>
    <w:pPr>
      <w:spacing w:after="0" w:line="240" w:lineRule="auto"/>
    </w:pPr>
    <w:rPr>
      <w:sz w:val="18"/>
    </w:rPr>
    <w:tblPr>
      <w:tblStyleRowBandSize w:val="1"/>
      <w:tblBorders>
        <w:top w:val="single" w:sz="4" w:space="0" w:color="007279" w:themeColor="accent1"/>
        <w:bottom w:val="single" w:sz="12" w:space="0" w:color="007279" w:themeColor="accent1"/>
        <w:insideH w:val="single" w:sz="4" w:space="0" w:color="007279" w:themeColor="accent1"/>
      </w:tblBorders>
      <w:tblCellMar>
        <w:top w:w="57" w:type="dxa"/>
        <w:bottom w:w="57" w:type="dxa"/>
      </w:tblCellMar>
    </w:tblPr>
    <w:tblStylePr w:type="firstRow">
      <w:rPr>
        <w:rFonts w:asciiTheme="minorHAnsi" w:hAnsiTheme="minorHAnsi"/>
        <w:b/>
        <w:sz w:val="18"/>
      </w:rPr>
      <w:tblPr/>
      <w:tcPr>
        <w:shd w:val="clear" w:color="auto" w:fill="007279" w:themeFill="accent1"/>
      </w:tcPr>
    </w:tblStylePr>
    <w:tblStylePr w:type="band1Horz">
      <w:tblPr/>
      <w:tcPr>
        <w:shd w:val="clear" w:color="auto" w:fill="D8D8D8" w:themeFill="background2"/>
      </w:tcPr>
    </w:tblStylePr>
  </w:style>
  <w:style w:type="table" w:customStyle="1" w:styleId="Style1">
    <w:name w:val="Style1"/>
    <w:basedOn w:val="Custom1"/>
    <w:uiPriority w:val="99"/>
    <w:rsid w:val="00D500C1"/>
    <w:tblPr>
      <w:tblBorders>
        <w:top w:val="none" w:sz="0" w:space="0" w:color="auto"/>
        <w:left w:val="single" w:sz="4" w:space="0" w:color="007279" w:themeColor="accent1"/>
        <w:bottom w:val="single" w:sz="4" w:space="0" w:color="007279" w:themeColor="accent1"/>
        <w:right w:val="single" w:sz="4" w:space="0" w:color="007279" w:themeColor="accent1"/>
        <w:insideH w:val="none" w:sz="0" w:space="0" w:color="auto"/>
        <w:insideV w:val="single" w:sz="4" w:space="0" w:color="007279" w:themeColor="accent1"/>
      </w:tblBorders>
    </w:tblPr>
    <w:tblStylePr w:type="firstRow">
      <w:rPr>
        <w:rFonts w:asciiTheme="minorHAnsi" w:hAnsiTheme="minorHAnsi"/>
        <w:b/>
        <w:sz w:val="18"/>
      </w:rPr>
      <w:tblPr/>
      <w:tcPr>
        <w:shd w:val="clear" w:color="auto" w:fill="007279" w:themeFill="accent1"/>
      </w:tcPr>
    </w:tblStylePr>
    <w:tblStylePr w:type="firstCol">
      <w:rPr>
        <w:b/>
      </w:rPr>
      <w:tblPr/>
      <w:tcPr>
        <w:shd w:val="clear" w:color="auto" w:fill="007279" w:themeFill="accent1"/>
      </w:tcPr>
    </w:tblStylePr>
    <w:tblStylePr w:type="band1Horz">
      <w:tblPr/>
      <w:tcPr>
        <w:shd w:val="clear" w:color="auto" w:fill="D8D8D8" w:themeFill="background2"/>
      </w:tcPr>
    </w:tblStylePr>
  </w:style>
  <w:style w:type="character" w:styleId="UnresolvedMention">
    <w:name w:val="Unresolved Mention"/>
    <w:basedOn w:val="DefaultParagraphFont"/>
    <w:uiPriority w:val="99"/>
    <w:semiHidden/>
    <w:unhideWhenUsed/>
    <w:rsid w:val="006C7E16"/>
    <w:rPr>
      <w:color w:val="605E5C"/>
      <w:shd w:val="clear" w:color="auto" w:fill="E1DFDD"/>
    </w:rPr>
  </w:style>
  <w:style w:type="paragraph" w:styleId="Revision">
    <w:name w:val="Revision"/>
    <w:hidden/>
    <w:uiPriority w:val="99"/>
    <w:semiHidden/>
    <w:rsid w:val="005F66F9"/>
    <w:pPr>
      <w:spacing w:after="0" w:line="240" w:lineRule="auto"/>
    </w:pPr>
    <w:rPr>
      <w:sz w:val="22"/>
    </w:rPr>
  </w:style>
  <w:style w:type="character" w:styleId="CommentReference">
    <w:name w:val="annotation reference"/>
    <w:basedOn w:val="DefaultParagraphFont"/>
    <w:uiPriority w:val="99"/>
    <w:semiHidden/>
    <w:unhideWhenUsed/>
    <w:rsid w:val="00810E90"/>
    <w:rPr>
      <w:sz w:val="16"/>
      <w:szCs w:val="16"/>
    </w:rPr>
  </w:style>
  <w:style w:type="paragraph" w:styleId="CommentText">
    <w:name w:val="annotation text"/>
    <w:basedOn w:val="Normal"/>
    <w:link w:val="CommentTextChar"/>
    <w:uiPriority w:val="99"/>
    <w:unhideWhenUsed/>
    <w:rsid w:val="00810E90"/>
    <w:pPr>
      <w:spacing w:line="240" w:lineRule="auto"/>
    </w:pPr>
    <w:rPr>
      <w:sz w:val="20"/>
      <w:szCs w:val="20"/>
    </w:rPr>
  </w:style>
  <w:style w:type="character" w:customStyle="1" w:styleId="CommentTextChar">
    <w:name w:val="Comment Text Char"/>
    <w:basedOn w:val="DefaultParagraphFont"/>
    <w:link w:val="CommentText"/>
    <w:uiPriority w:val="99"/>
    <w:rsid w:val="00810E90"/>
    <w:rPr>
      <w:sz w:val="20"/>
      <w:szCs w:val="20"/>
    </w:rPr>
  </w:style>
  <w:style w:type="paragraph" w:styleId="CommentSubject">
    <w:name w:val="annotation subject"/>
    <w:basedOn w:val="CommentText"/>
    <w:next w:val="CommentText"/>
    <w:link w:val="CommentSubjectChar"/>
    <w:uiPriority w:val="99"/>
    <w:semiHidden/>
    <w:unhideWhenUsed/>
    <w:rsid w:val="00810E90"/>
    <w:rPr>
      <w:b/>
      <w:bCs/>
    </w:rPr>
  </w:style>
  <w:style w:type="character" w:customStyle="1" w:styleId="CommentSubjectChar">
    <w:name w:val="Comment Subject Char"/>
    <w:basedOn w:val="CommentTextChar"/>
    <w:link w:val="CommentSubject"/>
    <w:uiPriority w:val="99"/>
    <w:semiHidden/>
    <w:rsid w:val="00810E90"/>
    <w:rPr>
      <w:b/>
      <w:bCs/>
      <w:sz w:val="20"/>
      <w:szCs w:val="20"/>
    </w:rPr>
  </w:style>
  <w:style w:type="character" w:styleId="FollowedHyperlink">
    <w:name w:val="FollowedHyperlink"/>
    <w:basedOn w:val="DefaultParagraphFont"/>
    <w:uiPriority w:val="99"/>
    <w:semiHidden/>
    <w:unhideWhenUsed/>
    <w:rsid w:val="000E5B4B"/>
    <w:rPr>
      <w:color w:val="007279" w:themeColor="followedHyperlink"/>
      <w:u w:val="single"/>
    </w:rPr>
  </w:style>
  <w:style w:type="table" w:customStyle="1" w:styleId="LightGrid-Accent21">
    <w:name w:val="Light Grid - Accent 21"/>
    <w:basedOn w:val="TableNormal"/>
    <w:next w:val="LightGrid-Accent2"/>
    <w:uiPriority w:val="62"/>
    <w:rsid w:val="00A17097"/>
    <w:pPr>
      <w:spacing w:after="0" w:line="240" w:lineRule="auto"/>
    </w:pPr>
    <w:rPr>
      <w:rFonts w:eastAsia="Times New Roman" w:cs="Times New Roman"/>
      <w:sz w:val="24"/>
      <w:szCs w:val="24"/>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auto"/>
    </w:tcPr>
    <w:tblStylePr w:type="firstRow">
      <w:pPr>
        <w:spacing w:before="0" w:after="0" w:line="240" w:lineRule="auto"/>
      </w:pPr>
      <w:rPr>
        <w:rFonts w:ascii="Bell MT" w:eastAsia="Times New Roman" w:hAnsi="Bell MT" w:cs="Times New Roman"/>
        <w:b/>
        <w:bCs/>
      </w:rPr>
      <w:tblPr/>
      <w:tcPr>
        <w:shd w:val="clear" w:color="auto" w:fill="CD0920"/>
      </w:tcPr>
    </w:tblStylePr>
    <w:tblStylePr w:type="lastRow">
      <w:pPr>
        <w:spacing w:before="0" w:after="0" w:line="240" w:lineRule="auto"/>
      </w:pPr>
      <w:rPr>
        <w:rFonts w:ascii="Bell MT" w:eastAsia="Times New Roman" w:hAnsi="Bell M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ell MT" w:eastAsia="Times New Roman" w:hAnsi="Bell MT" w:cs="Times New Roman"/>
        <w:b/>
        <w:bCs/>
      </w:rPr>
    </w:tblStylePr>
    <w:tblStylePr w:type="lastCol">
      <w:rPr>
        <w:rFonts w:ascii="Bell MT" w:eastAsia="Times New Roman" w:hAnsi="Bell M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2">
    <w:name w:val="Light Grid Accent 2"/>
    <w:basedOn w:val="TableNormal"/>
    <w:uiPriority w:val="62"/>
    <w:semiHidden/>
    <w:unhideWhenUsed/>
    <w:rsid w:val="00A17097"/>
    <w:pPr>
      <w:spacing w:after="0" w:line="240" w:lineRule="auto"/>
    </w:pPr>
    <w:tblPr>
      <w:tblStyleRowBandSize w:val="1"/>
      <w:tblStyleColBandSize w:val="1"/>
      <w:tblBorders>
        <w:top w:val="single" w:sz="8" w:space="0" w:color="1C2B39" w:themeColor="accent2"/>
        <w:left w:val="single" w:sz="8" w:space="0" w:color="1C2B39" w:themeColor="accent2"/>
        <w:bottom w:val="single" w:sz="8" w:space="0" w:color="1C2B39" w:themeColor="accent2"/>
        <w:right w:val="single" w:sz="8" w:space="0" w:color="1C2B39" w:themeColor="accent2"/>
        <w:insideH w:val="single" w:sz="8" w:space="0" w:color="1C2B39" w:themeColor="accent2"/>
        <w:insideV w:val="single" w:sz="8" w:space="0" w:color="1C2B3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2B39" w:themeColor="accent2"/>
          <w:left w:val="single" w:sz="8" w:space="0" w:color="1C2B39" w:themeColor="accent2"/>
          <w:bottom w:val="single" w:sz="18" w:space="0" w:color="1C2B39" w:themeColor="accent2"/>
          <w:right w:val="single" w:sz="8" w:space="0" w:color="1C2B39" w:themeColor="accent2"/>
          <w:insideH w:val="nil"/>
          <w:insideV w:val="single" w:sz="8" w:space="0" w:color="1C2B3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2B39" w:themeColor="accent2"/>
          <w:left w:val="single" w:sz="8" w:space="0" w:color="1C2B39" w:themeColor="accent2"/>
          <w:bottom w:val="single" w:sz="8" w:space="0" w:color="1C2B39" w:themeColor="accent2"/>
          <w:right w:val="single" w:sz="8" w:space="0" w:color="1C2B39" w:themeColor="accent2"/>
          <w:insideH w:val="nil"/>
          <w:insideV w:val="single" w:sz="8" w:space="0" w:color="1C2B3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2B39" w:themeColor="accent2"/>
          <w:left w:val="single" w:sz="8" w:space="0" w:color="1C2B39" w:themeColor="accent2"/>
          <w:bottom w:val="single" w:sz="8" w:space="0" w:color="1C2B39" w:themeColor="accent2"/>
          <w:right w:val="single" w:sz="8" w:space="0" w:color="1C2B39" w:themeColor="accent2"/>
        </w:tcBorders>
      </w:tcPr>
    </w:tblStylePr>
    <w:tblStylePr w:type="band1Vert">
      <w:tblPr/>
      <w:tcPr>
        <w:tcBorders>
          <w:top w:val="single" w:sz="8" w:space="0" w:color="1C2B39" w:themeColor="accent2"/>
          <w:left w:val="single" w:sz="8" w:space="0" w:color="1C2B39" w:themeColor="accent2"/>
          <w:bottom w:val="single" w:sz="8" w:space="0" w:color="1C2B39" w:themeColor="accent2"/>
          <w:right w:val="single" w:sz="8" w:space="0" w:color="1C2B39" w:themeColor="accent2"/>
        </w:tcBorders>
        <w:shd w:val="clear" w:color="auto" w:fill="B8CADC" w:themeFill="accent2" w:themeFillTint="3F"/>
      </w:tcPr>
    </w:tblStylePr>
    <w:tblStylePr w:type="band1Horz">
      <w:tblPr/>
      <w:tcPr>
        <w:tcBorders>
          <w:top w:val="single" w:sz="8" w:space="0" w:color="1C2B39" w:themeColor="accent2"/>
          <w:left w:val="single" w:sz="8" w:space="0" w:color="1C2B39" w:themeColor="accent2"/>
          <w:bottom w:val="single" w:sz="8" w:space="0" w:color="1C2B39" w:themeColor="accent2"/>
          <w:right w:val="single" w:sz="8" w:space="0" w:color="1C2B39" w:themeColor="accent2"/>
          <w:insideV w:val="single" w:sz="8" w:space="0" w:color="1C2B39" w:themeColor="accent2"/>
        </w:tcBorders>
        <w:shd w:val="clear" w:color="auto" w:fill="B8CADC" w:themeFill="accent2" w:themeFillTint="3F"/>
      </w:tcPr>
    </w:tblStylePr>
    <w:tblStylePr w:type="band2Horz">
      <w:tblPr/>
      <w:tcPr>
        <w:tcBorders>
          <w:top w:val="single" w:sz="8" w:space="0" w:color="1C2B39" w:themeColor="accent2"/>
          <w:left w:val="single" w:sz="8" w:space="0" w:color="1C2B39" w:themeColor="accent2"/>
          <w:bottom w:val="single" w:sz="8" w:space="0" w:color="1C2B39" w:themeColor="accent2"/>
          <w:right w:val="single" w:sz="8" w:space="0" w:color="1C2B39" w:themeColor="accent2"/>
          <w:insideV w:val="single" w:sz="8" w:space="0" w:color="1C2B39" w:themeColor="accent2"/>
        </w:tcBorders>
      </w:tcPr>
    </w:tblStylePr>
  </w:style>
  <w:style w:type="paragraph" w:customStyle="1" w:styleId="Default">
    <w:name w:val="Default"/>
    <w:rsid w:val="008A3133"/>
    <w:pPr>
      <w:autoSpaceDE w:val="0"/>
      <w:autoSpaceDN w:val="0"/>
      <w:adjustRightInd w:val="0"/>
      <w:spacing w:after="0" w:line="240" w:lineRule="auto"/>
    </w:pPr>
    <w:rPr>
      <w:rFonts w:ascii="Inter Light" w:hAnsi="Inter Light" w:cs="Inter Light"/>
      <w:color w:val="000000"/>
      <w:sz w:val="24"/>
      <w:szCs w:val="24"/>
    </w:rPr>
  </w:style>
  <w:style w:type="character" w:customStyle="1" w:styleId="A9">
    <w:name w:val="A9"/>
    <w:uiPriority w:val="99"/>
    <w:rsid w:val="008A3133"/>
    <w:rPr>
      <w:rFonts w:cs="Inter Light"/>
      <w:color w:val="042534"/>
    </w:rPr>
  </w:style>
  <w:style w:type="paragraph" w:customStyle="1" w:styleId="ListPara1">
    <w:name w:val="List Para 1"/>
    <w:basedOn w:val="Normal"/>
    <w:link w:val="ListPara1Char"/>
    <w:uiPriority w:val="4"/>
    <w:qFormat/>
    <w:rsid w:val="009B51F2"/>
    <w:pPr>
      <w:spacing w:after="200" w:line="276" w:lineRule="auto"/>
      <w:ind w:left="360" w:hanging="360"/>
    </w:pPr>
    <w:rPr>
      <w:rFonts w:ascii="Century Gothic" w:eastAsia="Times New Roman" w:hAnsi="Century Gothic" w:cs="Arial"/>
      <w:color w:val="auto"/>
      <w:szCs w:val="22"/>
      <w:lang w:val="en-US" w:eastAsia="en-AU"/>
    </w:rPr>
  </w:style>
  <w:style w:type="character" w:customStyle="1" w:styleId="ListPara1Char">
    <w:name w:val="List Para 1 Char"/>
    <w:basedOn w:val="DefaultParagraphFont"/>
    <w:link w:val="ListPara1"/>
    <w:uiPriority w:val="4"/>
    <w:rsid w:val="009B51F2"/>
    <w:rPr>
      <w:rFonts w:ascii="Century Gothic" w:eastAsia="Times New Roman" w:hAnsi="Century Gothic" w:cs="Arial"/>
      <w:sz w:val="22"/>
      <w:szCs w:val="22"/>
      <w:lang w:val="en-US" w:eastAsia="en-AU"/>
    </w:rPr>
  </w:style>
  <w:style w:type="paragraph" w:customStyle="1" w:styleId="ListPara2">
    <w:name w:val="List Para 2"/>
    <w:basedOn w:val="Normal"/>
    <w:link w:val="ListPara2Char"/>
    <w:qFormat/>
    <w:rsid w:val="009B51F2"/>
    <w:pPr>
      <w:spacing w:line="259" w:lineRule="auto"/>
      <w:ind w:left="1134" w:hanging="454"/>
    </w:pPr>
    <w:rPr>
      <w:rFonts w:ascii="Century Gothic" w:eastAsiaTheme="minorHAnsi" w:hAnsi="Century Gothic"/>
      <w:color w:val="auto"/>
      <w:szCs w:val="20"/>
    </w:rPr>
  </w:style>
  <w:style w:type="character" w:customStyle="1" w:styleId="ListPara2Char">
    <w:name w:val="List Para 2 Char"/>
    <w:basedOn w:val="DefaultParagraphFont"/>
    <w:link w:val="ListPara2"/>
    <w:rsid w:val="009B51F2"/>
    <w:rPr>
      <w:rFonts w:ascii="Century Gothic" w:eastAsiaTheme="minorHAnsi" w:hAnsi="Century Gothic"/>
      <w:sz w:val="22"/>
      <w:szCs w:val="20"/>
    </w:rPr>
  </w:style>
  <w:style w:type="paragraph" w:customStyle="1" w:styleId="LI-BodyTextParaa">
    <w:name w:val="LI - Body Text Para (a)"/>
    <w:basedOn w:val="Normal"/>
    <w:link w:val="LI-BodyTextParaaChar"/>
    <w:rsid w:val="001560A0"/>
    <w:pPr>
      <w:spacing w:before="240" w:after="0" w:line="240" w:lineRule="auto"/>
      <w:ind w:left="1701" w:hanging="567"/>
    </w:pPr>
    <w:rPr>
      <w:rFonts w:ascii="Times New Roman" w:eastAsia="Times New Roman" w:hAnsi="Times New Roman" w:cs="Times New Roman"/>
      <w:color w:val="auto"/>
      <w:sz w:val="24"/>
      <w:szCs w:val="24"/>
      <w:lang w:eastAsia="en-AU"/>
    </w:rPr>
  </w:style>
  <w:style w:type="character" w:customStyle="1" w:styleId="LI-BodyTextParaaChar">
    <w:name w:val="LI - Body Text Para (a) Char"/>
    <w:link w:val="LI-BodyTextParaa"/>
    <w:rsid w:val="001560A0"/>
    <w:rPr>
      <w:rFonts w:ascii="Times New Roman" w:eastAsia="Times New Roman" w:hAnsi="Times New Roman" w:cs="Times New Roman"/>
      <w:sz w:val="24"/>
      <w:szCs w:val="24"/>
      <w:lang w:eastAsia="en-AU"/>
    </w:rPr>
  </w:style>
  <w:style w:type="character" w:styleId="Mention">
    <w:name w:val="Mention"/>
    <w:basedOn w:val="DefaultParagraphFont"/>
    <w:uiPriority w:val="99"/>
    <w:unhideWhenUsed/>
    <w:rsid w:val="00552E6F"/>
    <w:rPr>
      <w:color w:val="2B579A"/>
      <w:shd w:val="clear" w:color="auto" w:fill="E1DFDD"/>
    </w:rPr>
  </w:style>
  <w:style w:type="paragraph" w:styleId="NormalWeb">
    <w:name w:val="Normal (Web)"/>
    <w:basedOn w:val="Normal"/>
    <w:uiPriority w:val="99"/>
    <w:semiHidden/>
    <w:unhideWhenUsed/>
    <w:rsid w:val="00517D4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185144">
      <w:bodyDiv w:val="1"/>
      <w:marLeft w:val="0"/>
      <w:marRight w:val="0"/>
      <w:marTop w:val="0"/>
      <w:marBottom w:val="0"/>
      <w:divBdr>
        <w:top w:val="none" w:sz="0" w:space="0" w:color="auto"/>
        <w:left w:val="none" w:sz="0" w:space="0" w:color="auto"/>
        <w:bottom w:val="none" w:sz="0" w:space="0" w:color="auto"/>
        <w:right w:val="none" w:sz="0" w:space="0" w:color="auto"/>
      </w:divBdr>
    </w:div>
    <w:div w:id="1873834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6">
      <a:dk1>
        <a:srgbClr val="000000"/>
      </a:dk1>
      <a:lt1>
        <a:srgbClr val="FFFFFF"/>
      </a:lt1>
      <a:dk2>
        <a:srgbClr val="0F1F35"/>
      </a:dk2>
      <a:lt2>
        <a:srgbClr val="D8D8D8"/>
      </a:lt2>
      <a:accent1>
        <a:srgbClr val="007279"/>
      </a:accent1>
      <a:accent2>
        <a:srgbClr val="1C2B39"/>
      </a:accent2>
      <a:accent3>
        <a:srgbClr val="F26337"/>
      </a:accent3>
      <a:accent4>
        <a:srgbClr val="4BADB0"/>
      </a:accent4>
      <a:accent5>
        <a:srgbClr val="B75B53"/>
      </a:accent5>
      <a:accent6>
        <a:srgbClr val="FCB76C"/>
      </a:accent6>
      <a:hlink>
        <a:srgbClr val="007279"/>
      </a:hlink>
      <a:folHlink>
        <a:srgbClr val="007279"/>
      </a:folHlink>
    </a:clrScheme>
    <a:fontScheme name="PM&amp;C light">
      <a:majorFont>
        <a:latin typeface="Times New Roman"/>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72E6E-FD23-4121-A104-F0750CDAA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2055</Words>
  <Characters>11719</Characters>
  <Application>Microsoft Office Word</Application>
  <DocSecurity>0</DocSecurity>
  <Lines>97</Lines>
  <Paragraphs>27</Paragraphs>
  <ScaleCrop>false</ScaleCrop>
  <Company/>
  <LinksUpToDate>false</LinksUpToDate>
  <CharactersWithSpaces>13747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Sugden, Robert</cp:lastModifiedBy>
  <cp:revision>2</cp:revision>
  <dcterms:created xsi:type="dcterms:W3CDTF">2026-09-21T21:41:00Z</dcterms:created>
  <dcterms:modified xsi:type="dcterms:W3CDTF">2026-09-21T21:42:00Z</dcterms:modified>
</cp:coreProperties>
</file>